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sz w:val="36"/>
          <w:szCs w:val="36"/>
          <w:highlight w:val="none"/>
        </w:rPr>
      </w:pPr>
      <w:r>
        <w:rPr>
          <w:rFonts w:hint="eastAsia" w:asciiTheme="minorEastAsia" w:hAnsiTheme="minorEastAsia" w:eastAsiaTheme="minorEastAsia"/>
          <w:b/>
          <w:bCs/>
          <w:sz w:val="36"/>
          <w:szCs w:val="36"/>
          <w:highlight w:val="none"/>
        </w:rPr>
      </w:r>
      <w:r/>
    </w:p>
    <w:p>
      <w:pPr>
        <w:jc w:val="center"/>
        <w:spacing w:line="360" w:lineRule="auto"/>
        <w:shd w:val="clear" w:color="auto" w:fill="ffffff"/>
        <w:widowControl/>
        <w:rPr>
          <w:rFonts w:hint="eastAsia" w:asciiTheme="minorEastAsia" w:hAnsiTheme="minorEastAsia" w:eastAsiaTheme="minorEastAsia"/>
          <w:b/>
          <w:sz w:val="36"/>
          <w:szCs w:val="36"/>
          <w:highlight w:val="none"/>
          <w:lang w:val="zh-CN"/>
        </w:rPr>
      </w:pPr>
      <w:r>
        <w:rPr>
          <w:rFonts w:hint="eastAsia" w:cs="黑体" w:asciiTheme="minorEastAsia" w:hAnsiTheme="minorEastAsia" w:eastAsiaTheme="minorEastAsia"/>
          <w:b/>
          <w:bCs/>
          <w:sz w:val="36"/>
          <w:szCs w:val="36"/>
          <w:highlight w:val="none"/>
        </w:rPr>
        <w:t xml:space="preserve">公交轨道公安局2026-2027年度食堂食材招标</w:t>
      </w:r>
      <w:r/>
    </w:p>
    <w:p>
      <w:pP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公开招标文件</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项目编号：JSZC-320100-JSGC-G2026-0051</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t xml:space="preserve">采购人：</w:t>
      </w:r>
      <w:bookmarkStart w:id="0" w:name="OLE_LINK9"/>
      <w:r>
        <w:rPr>
          <w:rFonts w:hint="eastAsia" w:cs="宋体" w:asciiTheme="minorEastAsia" w:hAnsiTheme="minorEastAsia" w:eastAsiaTheme="minorEastAsia"/>
          <w:b/>
          <w:bCs/>
          <w:sz w:val="36"/>
          <w:szCs w:val="36"/>
          <w:highlight w:val="none"/>
        </w:rPr>
        <w:t xml:space="preserve">南京市公共交通和城市轨道公安局</w:t>
      </w:r>
      <w:bookmarkEnd w:id="0"/>
      <w:r/>
      <w:r/>
    </w:p>
    <w:p>
      <w:pPr>
        <w:jc w:val="center"/>
        <w:spacing w:line="360" w:lineRule="auto"/>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highlight w:val="none"/>
        </w:rPr>
        <w:t xml:space="preserve">2026年10月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206"/>
            <w:jc w:val="center"/>
            <w:spacing w:line="360" w:lineRule="auto"/>
            <w:rPr>
              <w:rFonts w:hint="eastAsia" w:asciiTheme="minorEastAsia" w:hAnsiTheme="minorEastAsia" w:eastAsiaTheme="minorEastAsia"/>
              <w:b/>
              <w:bCs/>
              <w:color w:val="auto"/>
              <w:highlight w:val="none"/>
            </w:rPr>
          </w:pPr>
          <w:r>
            <w:rPr>
              <w:rFonts w:asciiTheme="minorEastAsia" w:hAnsiTheme="minorEastAsia" w:eastAsiaTheme="minorEastAsia"/>
              <w:b/>
              <w:bCs/>
              <w:color w:val="auto"/>
              <w:highlight w:val="none"/>
              <w:lang w:val="zh-CN"/>
            </w:rPr>
            <w:t xml:space="preserve">目录</w:t>
          </w:r>
          <w:r/>
        </w:p>
        <w:p>
          <w:pPr>
            <w:pStyle w:val="884"/>
            <w:spacing w:line="360" w:lineRule="auto"/>
            <w:tabs>
              <w:tab w:val="right" w:pos="9026" w:leader="dot"/>
            </w:tabs>
            <w:rPr>
              <w:b/>
              <w:bCs/>
              <w:sz w:val="32"/>
              <w:szCs w:val="40"/>
              <w:highlight w:val="none"/>
            </w:rPr>
          </w:pPr>
          <w:r>
            <w:rPr>
              <w:rFonts w:asciiTheme="minorEastAsia" w:hAnsiTheme="minorEastAsia" w:eastAsiaTheme="minorEastAsia"/>
              <w:b/>
              <w:bCs/>
              <w:sz w:val="72"/>
              <w:szCs w:val="72"/>
              <w:highlight w:val="none"/>
            </w:rPr>
            <w:fldChar w:fldCharType="begin"/>
          </w:r>
          <w:r>
            <w:rPr>
              <w:rFonts w:asciiTheme="minorEastAsia" w:hAnsiTheme="minorEastAsia" w:eastAsiaTheme="minorEastAsia"/>
              <w:b/>
              <w:bCs/>
              <w:sz w:val="72"/>
              <w:szCs w:val="72"/>
              <w:highlight w:val="none"/>
            </w:rPr>
            <w:instrText xml:space="preserve"> TOC \o "1-1" \h \z \u </w:instrText>
          </w:r>
          <w:r>
            <w:rPr>
              <w:rFonts w:asciiTheme="minorEastAsia" w:hAnsiTheme="minorEastAsia" w:eastAsiaTheme="minorEastAsia"/>
              <w:b/>
              <w:bCs/>
              <w:sz w:val="72"/>
              <w:szCs w:val="72"/>
              <w:highlight w:val="none"/>
            </w:rPr>
            <w:fldChar w:fldCharType="separate"/>
          </w:r>
          <w:r>
            <w:rPr>
              <w:highlight w:val="none"/>
            </w:rPr>
            <w:fldChar w:fldCharType="begin"/>
          </w:r>
          <w:r>
            <w:rPr>
              <w:highlight w:val="none"/>
            </w:rPr>
            <w:instrText xml:space="preserve"> HYPERLINK \l "_Toc7577" </w:instrText>
          </w:r>
          <w:r>
            <w:rPr>
              <w:highlight w:val="none"/>
            </w:rPr>
            <w:fldChar w:fldCharType="separate"/>
          </w:r>
          <w:r>
            <w:rPr>
              <w:rFonts w:asciiTheme="minorEastAsia" w:hAnsiTheme="minorEastAsia" w:eastAsiaTheme="minorEastAsia"/>
              <w:b/>
              <w:bCs/>
              <w:sz w:val="32"/>
              <w:szCs w:val="40"/>
              <w:highlight w:val="none"/>
            </w:rPr>
            <w:t xml:space="preserve">第一章 </w:t>
          </w:r>
          <w:r>
            <w:rPr>
              <w:rFonts w:hint="eastAsia" w:asciiTheme="minorEastAsia" w:hAnsiTheme="minorEastAsia" w:eastAsiaTheme="minorEastAsia"/>
              <w:b/>
              <w:bCs/>
              <w:sz w:val="32"/>
              <w:szCs w:val="40"/>
              <w:highlight w:val="none"/>
            </w:rPr>
            <w:t xml:space="preserve">采购公告</w:t>
          </w:r>
          <w:r>
            <w:rPr>
              <w:b/>
              <w:bCs/>
              <w:sz w:val="32"/>
              <w:szCs w:val="40"/>
              <w:highlight w:val="none"/>
            </w:rPr>
            <w:tab/>
          </w:r>
          <w:r>
            <w:rPr>
              <w:b/>
              <w:bCs/>
              <w:sz w:val="32"/>
              <w:szCs w:val="40"/>
              <w:highlight w:val="none"/>
            </w:rPr>
            <w:fldChar w:fldCharType="begin"/>
          </w:r>
          <w:r>
            <w:rPr>
              <w:b/>
              <w:bCs/>
              <w:sz w:val="32"/>
              <w:szCs w:val="40"/>
              <w:highlight w:val="none"/>
            </w:rPr>
            <w:instrText xml:space="preserve"> PAGEREF _Toc7577 \h </w:instrText>
          </w:r>
          <w:r>
            <w:rPr>
              <w:b/>
              <w:bCs/>
              <w:sz w:val="32"/>
              <w:szCs w:val="40"/>
              <w:highlight w:val="none"/>
            </w:rPr>
            <w:fldChar w:fldCharType="separate"/>
          </w:r>
          <w:r>
            <w:rPr>
              <w:b/>
              <w:bCs/>
              <w:sz w:val="32"/>
              <w:szCs w:val="40"/>
              <w:highlight w:val="none"/>
            </w:rPr>
            <w:t xml:space="preserve">1</w:t>
          </w:r>
          <w:r>
            <w:rPr>
              <w:b/>
              <w:bCs/>
              <w:sz w:val="32"/>
              <w:szCs w:val="40"/>
              <w:highlight w:val="none"/>
            </w:rPr>
            <w:fldChar w:fldCharType="end"/>
          </w:r>
          <w:r>
            <w:rPr>
              <w:b/>
              <w:bCs/>
              <w:sz w:val="32"/>
              <w:szCs w:val="40"/>
              <w:highlight w:val="none"/>
            </w:rPr>
            <w:fldChar w:fldCharType="end"/>
          </w:r>
          <w:r/>
        </w:p>
        <w:p>
          <w:pPr>
            <w:pStyle w:val="884"/>
            <w:spacing w:line="360" w:lineRule="auto"/>
            <w:tabs>
              <w:tab w:val="right" w:pos="9026" w:leader="dot"/>
            </w:tabs>
            <w:rPr>
              <w:b/>
              <w:bCs/>
              <w:sz w:val="32"/>
              <w:szCs w:val="40"/>
              <w:highlight w:val="none"/>
            </w:rPr>
          </w:pPr>
          <w:r>
            <w:rPr>
              <w:highlight w:val="none"/>
            </w:rPr>
            <w:fldChar w:fldCharType="begin"/>
          </w:r>
          <w:r>
            <w:rPr>
              <w:highlight w:val="none"/>
            </w:rPr>
            <w:instrText xml:space="preserve"> HYPERLINK \l "_Toc15375" </w:instrText>
          </w:r>
          <w:r>
            <w:rPr>
              <w:highlight w:val="none"/>
            </w:rPr>
            <w:fldChar w:fldCharType="separate"/>
          </w:r>
          <w:r>
            <w:rPr>
              <w:rFonts w:hint="eastAsia" w:ascii="宋体" w:hAnsi="宋体" w:cs="宋体"/>
              <w:b/>
              <w:bCs/>
              <w:sz w:val="32"/>
              <w:szCs w:val="60"/>
              <w:highlight w:val="none"/>
            </w:rPr>
            <w:t xml:space="preserve">第二章 投标人须知</w:t>
          </w:r>
          <w:r>
            <w:rPr>
              <w:b/>
              <w:bCs/>
              <w:sz w:val="32"/>
              <w:szCs w:val="40"/>
              <w:highlight w:val="none"/>
            </w:rPr>
            <w:tab/>
          </w:r>
          <w:r>
            <w:rPr>
              <w:b/>
              <w:bCs/>
              <w:sz w:val="32"/>
              <w:szCs w:val="40"/>
              <w:highlight w:val="none"/>
            </w:rPr>
            <w:fldChar w:fldCharType="begin"/>
          </w:r>
          <w:r>
            <w:rPr>
              <w:b/>
              <w:bCs/>
              <w:sz w:val="32"/>
              <w:szCs w:val="40"/>
              <w:highlight w:val="none"/>
            </w:rPr>
            <w:instrText xml:space="preserve"> PAGEREF _Toc15375 \h </w:instrText>
          </w:r>
          <w:r>
            <w:rPr>
              <w:b/>
              <w:bCs/>
              <w:sz w:val="32"/>
              <w:szCs w:val="40"/>
              <w:highlight w:val="none"/>
            </w:rPr>
            <w:fldChar w:fldCharType="separate"/>
          </w:r>
          <w:r>
            <w:rPr>
              <w:b/>
              <w:bCs/>
              <w:sz w:val="32"/>
              <w:szCs w:val="40"/>
              <w:highlight w:val="none"/>
            </w:rPr>
            <w:t xml:space="preserve">6</w:t>
          </w:r>
          <w:r>
            <w:rPr>
              <w:b/>
              <w:bCs/>
              <w:sz w:val="32"/>
              <w:szCs w:val="40"/>
              <w:highlight w:val="none"/>
            </w:rPr>
            <w:fldChar w:fldCharType="end"/>
          </w:r>
          <w:r>
            <w:rPr>
              <w:b/>
              <w:bCs/>
              <w:sz w:val="32"/>
              <w:szCs w:val="40"/>
              <w:highlight w:val="none"/>
            </w:rPr>
            <w:fldChar w:fldCharType="end"/>
          </w:r>
          <w:r/>
        </w:p>
        <w:p>
          <w:pPr>
            <w:pStyle w:val="884"/>
            <w:spacing w:line="360" w:lineRule="auto"/>
            <w:tabs>
              <w:tab w:val="right" w:pos="9026" w:leader="dot"/>
            </w:tabs>
            <w:rPr>
              <w:b/>
              <w:bCs/>
              <w:sz w:val="32"/>
              <w:szCs w:val="40"/>
              <w:highlight w:val="none"/>
            </w:rPr>
          </w:pPr>
          <w:r>
            <w:rPr>
              <w:highlight w:val="none"/>
            </w:rPr>
            <w:fldChar w:fldCharType="begin"/>
          </w:r>
          <w:r>
            <w:rPr>
              <w:highlight w:val="none"/>
            </w:rPr>
            <w:instrText xml:space="preserve"> HYPERLINK \l "_Toc19146" </w:instrText>
          </w:r>
          <w:r>
            <w:rPr>
              <w:highlight w:val="none"/>
            </w:rPr>
            <w:fldChar w:fldCharType="separate"/>
          </w:r>
          <w:r>
            <w:rPr>
              <w:rFonts w:hint="eastAsia" w:asciiTheme="minorEastAsia" w:hAnsiTheme="minorEastAsia" w:eastAsiaTheme="minorEastAsia"/>
              <w:b/>
              <w:bCs/>
              <w:sz w:val="32"/>
              <w:szCs w:val="40"/>
              <w:highlight w:val="none"/>
            </w:rPr>
            <w:t xml:space="preserve">第三章 评标标准</w:t>
          </w:r>
          <w:r>
            <w:rPr>
              <w:b/>
              <w:bCs/>
              <w:sz w:val="32"/>
              <w:szCs w:val="40"/>
              <w:highlight w:val="none"/>
            </w:rPr>
            <w:tab/>
          </w:r>
          <w:r>
            <w:rPr>
              <w:b/>
              <w:bCs/>
              <w:sz w:val="32"/>
              <w:szCs w:val="40"/>
              <w:highlight w:val="none"/>
            </w:rPr>
            <w:fldChar w:fldCharType="begin"/>
          </w:r>
          <w:r>
            <w:rPr>
              <w:b/>
              <w:bCs/>
              <w:sz w:val="32"/>
              <w:szCs w:val="40"/>
              <w:highlight w:val="none"/>
            </w:rPr>
            <w:instrText xml:space="preserve"> PAGEREF _Toc19146 \h </w:instrText>
          </w:r>
          <w:r>
            <w:rPr>
              <w:b/>
              <w:bCs/>
              <w:sz w:val="32"/>
              <w:szCs w:val="40"/>
              <w:highlight w:val="none"/>
            </w:rPr>
            <w:fldChar w:fldCharType="separate"/>
          </w:r>
          <w:r>
            <w:rPr>
              <w:b/>
              <w:bCs/>
              <w:sz w:val="32"/>
              <w:szCs w:val="40"/>
              <w:highlight w:val="none"/>
            </w:rPr>
            <w:t xml:space="preserve">17</w:t>
          </w:r>
          <w:r>
            <w:rPr>
              <w:b/>
              <w:bCs/>
              <w:sz w:val="32"/>
              <w:szCs w:val="40"/>
              <w:highlight w:val="none"/>
            </w:rPr>
            <w:fldChar w:fldCharType="end"/>
          </w:r>
          <w:r>
            <w:rPr>
              <w:b/>
              <w:bCs/>
              <w:sz w:val="32"/>
              <w:szCs w:val="40"/>
              <w:highlight w:val="none"/>
            </w:rPr>
            <w:fldChar w:fldCharType="end"/>
          </w:r>
          <w:r/>
        </w:p>
        <w:p>
          <w:pPr>
            <w:pStyle w:val="884"/>
            <w:spacing w:line="360" w:lineRule="auto"/>
            <w:tabs>
              <w:tab w:val="right" w:pos="9026" w:leader="dot"/>
            </w:tabs>
            <w:rPr>
              <w:b/>
              <w:bCs/>
              <w:sz w:val="32"/>
              <w:szCs w:val="40"/>
              <w:highlight w:val="none"/>
            </w:rPr>
          </w:pPr>
          <w:r>
            <w:rPr>
              <w:highlight w:val="none"/>
            </w:rPr>
            <w:fldChar w:fldCharType="begin"/>
          </w:r>
          <w:r>
            <w:rPr>
              <w:highlight w:val="none"/>
            </w:rPr>
            <w:instrText xml:space="preserve"> HYPERLINK \l "_Toc20591" </w:instrText>
          </w:r>
          <w:r>
            <w:rPr>
              <w:highlight w:val="none"/>
            </w:rPr>
            <w:fldChar w:fldCharType="separate"/>
          </w:r>
          <w:r>
            <w:rPr>
              <w:rFonts w:hint="eastAsia" w:asciiTheme="minorEastAsia" w:hAnsiTheme="minorEastAsia" w:eastAsiaTheme="minorEastAsia"/>
              <w:b/>
              <w:bCs/>
              <w:sz w:val="32"/>
              <w:szCs w:val="40"/>
              <w:highlight w:val="none"/>
            </w:rPr>
            <w:t xml:space="preserve">第四章 采购项目需求</w:t>
          </w:r>
          <w:r>
            <w:rPr>
              <w:b/>
              <w:bCs/>
              <w:sz w:val="32"/>
              <w:szCs w:val="40"/>
              <w:highlight w:val="none"/>
            </w:rPr>
            <w:tab/>
          </w:r>
          <w:r>
            <w:rPr>
              <w:b/>
              <w:bCs/>
              <w:sz w:val="32"/>
              <w:szCs w:val="40"/>
              <w:highlight w:val="none"/>
            </w:rPr>
            <w:fldChar w:fldCharType="begin"/>
          </w:r>
          <w:r>
            <w:rPr>
              <w:b/>
              <w:bCs/>
              <w:sz w:val="32"/>
              <w:szCs w:val="40"/>
              <w:highlight w:val="none"/>
            </w:rPr>
            <w:instrText xml:space="preserve"> PAGEREF _Toc20591 \h </w:instrText>
          </w:r>
          <w:r>
            <w:rPr>
              <w:b/>
              <w:bCs/>
              <w:sz w:val="32"/>
              <w:szCs w:val="40"/>
              <w:highlight w:val="none"/>
            </w:rPr>
            <w:fldChar w:fldCharType="separate"/>
          </w:r>
          <w:r>
            <w:rPr>
              <w:b/>
              <w:bCs/>
              <w:sz w:val="32"/>
              <w:szCs w:val="40"/>
              <w:highlight w:val="none"/>
            </w:rPr>
            <w:t xml:space="preserve">23</w:t>
          </w:r>
          <w:r>
            <w:rPr>
              <w:b/>
              <w:bCs/>
              <w:sz w:val="32"/>
              <w:szCs w:val="40"/>
              <w:highlight w:val="none"/>
            </w:rPr>
            <w:fldChar w:fldCharType="end"/>
          </w:r>
          <w:r>
            <w:rPr>
              <w:b/>
              <w:bCs/>
              <w:sz w:val="32"/>
              <w:szCs w:val="40"/>
              <w:highlight w:val="none"/>
            </w:rPr>
            <w:fldChar w:fldCharType="end"/>
          </w:r>
          <w:r/>
        </w:p>
        <w:p>
          <w:pPr>
            <w:pStyle w:val="884"/>
            <w:spacing w:line="360" w:lineRule="auto"/>
            <w:tabs>
              <w:tab w:val="right" w:pos="9026" w:leader="dot"/>
            </w:tabs>
            <w:rPr>
              <w:b/>
              <w:bCs/>
              <w:sz w:val="32"/>
              <w:szCs w:val="40"/>
              <w:highlight w:val="none"/>
            </w:rPr>
          </w:pPr>
          <w:r>
            <w:rPr>
              <w:highlight w:val="none"/>
            </w:rPr>
            <w:fldChar w:fldCharType="begin"/>
          </w:r>
          <w:r>
            <w:rPr>
              <w:highlight w:val="none"/>
            </w:rPr>
            <w:instrText xml:space="preserve"> HYPERLINK \l "_Toc6514" </w:instrText>
          </w:r>
          <w:r>
            <w:rPr>
              <w:highlight w:val="none"/>
            </w:rPr>
            <w:fldChar w:fldCharType="separate"/>
          </w:r>
          <w:r>
            <w:rPr>
              <w:rFonts w:hint="eastAsia" w:asciiTheme="minorEastAsia" w:hAnsiTheme="minorEastAsia" w:eastAsiaTheme="minorEastAsia"/>
              <w:b/>
              <w:bCs/>
              <w:sz w:val="32"/>
              <w:szCs w:val="40"/>
              <w:highlight w:val="none"/>
            </w:rPr>
            <w:t xml:space="preserve">第五章 合同主要条款及格式</w:t>
          </w:r>
          <w:r>
            <w:rPr>
              <w:b/>
              <w:bCs/>
              <w:sz w:val="32"/>
              <w:szCs w:val="40"/>
              <w:highlight w:val="none"/>
            </w:rPr>
            <w:tab/>
          </w:r>
          <w:r>
            <w:rPr>
              <w:b/>
              <w:bCs/>
              <w:sz w:val="32"/>
              <w:szCs w:val="40"/>
              <w:highlight w:val="none"/>
            </w:rPr>
            <w:fldChar w:fldCharType="begin"/>
          </w:r>
          <w:r>
            <w:rPr>
              <w:b/>
              <w:bCs/>
              <w:sz w:val="32"/>
              <w:szCs w:val="40"/>
              <w:highlight w:val="none"/>
            </w:rPr>
            <w:instrText xml:space="preserve"> PAGEREF _Toc6514 \h </w:instrText>
          </w:r>
          <w:r>
            <w:rPr>
              <w:b/>
              <w:bCs/>
              <w:sz w:val="32"/>
              <w:szCs w:val="40"/>
              <w:highlight w:val="none"/>
            </w:rPr>
            <w:fldChar w:fldCharType="separate"/>
          </w:r>
          <w:r>
            <w:rPr>
              <w:b/>
              <w:bCs/>
              <w:sz w:val="32"/>
              <w:szCs w:val="40"/>
              <w:highlight w:val="none"/>
            </w:rPr>
            <w:t xml:space="preserve">43</w:t>
          </w:r>
          <w:r>
            <w:rPr>
              <w:b/>
              <w:bCs/>
              <w:sz w:val="32"/>
              <w:szCs w:val="40"/>
              <w:highlight w:val="none"/>
            </w:rPr>
            <w:fldChar w:fldCharType="end"/>
          </w:r>
          <w:r>
            <w:rPr>
              <w:b/>
              <w:bCs/>
              <w:sz w:val="32"/>
              <w:szCs w:val="40"/>
              <w:highlight w:val="none"/>
            </w:rPr>
            <w:fldChar w:fldCharType="end"/>
          </w:r>
          <w:r/>
        </w:p>
        <w:p>
          <w:pPr>
            <w:pStyle w:val="884"/>
            <w:spacing w:line="360" w:lineRule="auto"/>
            <w:tabs>
              <w:tab w:val="right" w:pos="9026" w:leader="dot"/>
            </w:tabs>
            <w:rPr>
              <w:b/>
              <w:bCs/>
              <w:sz w:val="32"/>
              <w:szCs w:val="40"/>
              <w:highlight w:val="none"/>
            </w:rPr>
          </w:pPr>
          <w:r>
            <w:rPr>
              <w:highlight w:val="none"/>
            </w:rPr>
            <w:fldChar w:fldCharType="begin"/>
          </w:r>
          <w:r>
            <w:rPr>
              <w:highlight w:val="none"/>
            </w:rPr>
            <w:instrText xml:space="preserve"> HYPERLINK \l "_Toc8775" </w:instrText>
          </w:r>
          <w:r>
            <w:rPr>
              <w:highlight w:val="none"/>
            </w:rPr>
            <w:fldChar w:fldCharType="separate"/>
          </w:r>
          <w:r>
            <w:rPr>
              <w:rFonts w:hint="eastAsia" w:asciiTheme="minorEastAsia" w:hAnsiTheme="minorEastAsia" w:eastAsiaTheme="minorEastAsia"/>
              <w:b/>
              <w:bCs/>
              <w:sz w:val="32"/>
              <w:szCs w:val="40"/>
              <w:highlight w:val="none"/>
            </w:rPr>
            <w:t xml:space="preserve">第六章 投标文件格式</w:t>
          </w:r>
          <w:r>
            <w:rPr>
              <w:b/>
              <w:bCs/>
              <w:sz w:val="32"/>
              <w:szCs w:val="40"/>
              <w:highlight w:val="none"/>
            </w:rPr>
            <w:tab/>
          </w:r>
          <w:r>
            <w:rPr>
              <w:b/>
              <w:bCs/>
              <w:sz w:val="32"/>
              <w:szCs w:val="40"/>
              <w:highlight w:val="none"/>
            </w:rPr>
            <w:fldChar w:fldCharType="begin"/>
          </w:r>
          <w:r>
            <w:rPr>
              <w:b/>
              <w:bCs/>
              <w:sz w:val="32"/>
              <w:szCs w:val="40"/>
              <w:highlight w:val="none"/>
            </w:rPr>
            <w:instrText xml:space="preserve"> PAGEREF _Toc8775 \h </w:instrText>
          </w:r>
          <w:r>
            <w:rPr>
              <w:b/>
              <w:bCs/>
              <w:sz w:val="32"/>
              <w:szCs w:val="40"/>
              <w:highlight w:val="none"/>
            </w:rPr>
            <w:fldChar w:fldCharType="separate"/>
          </w:r>
          <w:r>
            <w:rPr>
              <w:b/>
              <w:bCs/>
              <w:sz w:val="32"/>
              <w:szCs w:val="40"/>
              <w:highlight w:val="none"/>
            </w:rPr>
            <w:t xml:space="preserve">53</w:t>
          </w:r>
          <w:r>
            <w:rPr>
              <w:b/>
              <w:bCs/>
              <w:sz w:val="32"/>
              <w:szCs w:val="40"/>
              <w:highlight w:val="none"/>
            </w:rPr>
            <w:fldChar w:fldCharType="end"/>
          </w:r>
          <w:r>
            <w:rPr>
              <w:b/>
              <w:bCs/>
              <w:sz w:val="32"/>
              <w:szCs w:val="40"/>
              <w:highlight w:val="none"/>
            </w:rPr>
            <w:fldChar w:fldCharType="end"/>
          </w:r>
          <w:r/>
        </w:p>
        <w:p>
          <w:pPr>
            <w:spacing w:line="360" w:lineRule="auto"/>
            <w:rPr>
              <w:rFonts w:hint="eastAsia" w:asciiTheme="minorEastAsia" w:hAnsiTheme="minorEastAsia" w:eastAsiaTheme="minorEastAsia"/>
              <w:b/>
              <w:bCs/>
              <w:sz w:val="52"/>
              <w:szCs w:val="60"/>
              <w:highlight w:val="none"/>
            </w:rPr>
          </w:pPr>
          <w:r>
            <w:rPr>
              <w:rFonts w:asciiTheme="minorEastAsia" w:hAnsiTheme="minorEastAsia" w:eastAsiaTheme="minorEastAsia"/>
              <w:b/>
              <w:bCs/>
              <w:sz w:val="32"/>
              <w:szCs w:val="72"/>
              <w:highlight w:val="none"/>
            </w:rPr>
            <w:fldChar w:fldCharType="end"/>
          </w:r>
          <w:r/>
        </w:p>
      </w:sdtContent>
    </w:sdt>
    <w:p>
      <w:pPr>
        <w:pStyle w:val="884"/>
        <w:tabs>
          <w:tab w:val="right" w:pos="8296" w:leader="dot"/>
        </w:tabs>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884"/>
        <w:spacing w:line="480" w:lineRule="auto"/>
        <w:tabs>
          <w:tab w:val="right" w:pos="8306" w:leader="dot"/>
        </w:tabs>
        <w:rPr>
          <w:rFonts w:hint="eastAsia" w:asciiTheme="minorEastAsia" w:hAnsiTheme="minorEastAsia" w:eastAsiaTheme="minorEastAsia"/>
          <w:b/>
          <w:sz w:val="28"/>
          <w:szCs w:val="28"/>
          <w:highlight w:val="none"/>
        </w:rPr>
      </w:pPr>
      <w:r>
        <w:rPr>
          <w:rFonts w:hint="eastAsia" w:cs="宋体" w:asciiTheme="minorEastAsia" w:hAnsiTheme="minorEastAsia" w:eastAsiaTheme="minorEastAsia"/>
          <w:b/>
          <w:sz w:val="28"/>
          <w:szCs w:val="28"/>
          <w:highlight w:val="none"/>
        </w:rPr>
        <w:fldChar w:fldCharType="begin"/>
      </w:r>
      <w:r>
        <w:rPr>
          <w:rFonts w:hint="eastAsia" w:cs="宋体" w:asciiTheme="minorEastAsia" w:hAnsiTheme="minorEastAsia" w:eastAsiaTheme="minorEastAsia"/>
          <w:b/>
          <w:sz w:val="28"/>
          <w:szCs w:val="28"/>
          <w:highlight w:val="none"/>
        </w:rPr>
        <w:instrText xml:space="preserve">TOC \o "1-1" \h \u </w:instrText>
      </w:r>
      <w:r>
        <w:rPr>
          <w:rFonts w:hint="eastAsia" w:cs="宋体" w:asciiTheme="minorEastAsia" w:hAnsiTheme="minorEastAsia" w:eastAsiaTheme="minorEastAsia"/>
          <w:b/>
          <w:sz w:val="28"/>
          <w:szCs w:val="28"/>
          <w:highlight w:val="none"/>
        </w:rPr>
        <w:fldChar w:fldCharType="separate"/>
      </w:r>
      <w:r/>
    </w:p>
    <w:p>
      <w:pPr>
        <w:spacing w:line="480" w:lineRule="auto"/>
        <w:rPr>
          <w:rFonts w:hint="eastAsia" w:asciiTheme="minorEastAsia" w:hAnsiTheme="minorEastAsia" w:eastAsiaTheme="minorEastAsia"/>
          <w:sz w:val="28"/>
          <w:szCs w:val="28"/>
          <w:highlight w:val="none"/>
        </w:rPr>
      </w:pPr>
      <w:r>
        <w:rPr>
          <w:rFonts w:hint="eastAsia" w:cs="宋体" w:asciiTheme="minorEastAsia" w:hAnsiTheme="minorEastAsia" w:eastAsiaTheme="minorEastAsia"/>
          <w:b/>
          <w:sz w:val="28"/>
          <w:szCs w:val="28"/>
          <w:highlight w:val="none"/>
        </w:rPr>
        <w:fldChar w:fldCharType="end"/>
      </w:r>
      <w:r/>
    </w:p>
    <w:p>
      <w:pPr>
        <w:pStyle w:val="852"/>
        <w:spacing w:before="130" w:after="130" w:line="360" w:lineRule="auto"/>
        <w:rPr>
          <w:rFonts w:hint="eastAsia" w:asciiTheme="minorEastAsia" w:hAnsiTheme="minorEastAsia" w:eastAsiaTheme="minorEastAsia"/>
          <w:highlight w:val="none"/>
        </w:rPr>
        <w:sectPr>
          <w:footerReference w:type="default" r:id="rId12"/>
          <w:footerReference w:type="first" r:id="rId13"/>
          <w:footnotePr/>
          <w:endnotePr/>
          <w:type w:val="nextPage"/>
          <w:pgSz w:w="11906" w:h="16838" w:orient="portrait"/>
          <w:pgMar w:top="1440" w:right="1440" w:bottom="1440" w:left="1440" w:header="850" w:footer="850" w:gutter="0"/>
          <w:pgNumType w:start="1"/>
          <w:cols w:num="1" w:sep="0" w:space="720" w:equalWidth="1"/>
          <w:docGrid w:linePitch="360"/>
          <w:titlePg/>
        </w:sectPr>
      </w:pPr>
      <w:r/>
      <w:bookmarkStart w:id="1" w:name="_Toc481057143"/>
      <w:r/>
      <w:bookmarkStart w:id="2" w:name="_Toc29007"/>
      <w:r/>
      <w:bookmarkStart w:id="3" w:name="_Hlk43897905"/>
      <w:r/>
      <w:r/>
    </w:p>
    <w:p>
      <w:pPr>
        <w:pStyle w:val="852"/>
        <w:spacing w:before="130" w:after="130" w:line="360" w:lineRule="auto"/>
        <w:rPr>
          <w:rFonts w:hint="eastAsia" w:asciiTheme="minorEastAsia" w:hAnsiTheme="minorEastAsia" w:eastAsiaTheme="minorEastAsia"/>
          <w:highlight w:val="none"/>
        </w:rPr>
      </w:pPr>
      <w:r>
        <w:rPr>
          <w:rFonts w:hint="eastAsia" w:cs="宋体" w:asciiTheme="minorEastAsia" w:hAnsiTheme="minorEastAsia" w:eastAsiaTheme="minorEastAsia"/>
          <w:sz w:val="36"/>
          <w:szCs w:val="36"/>
          <w:highlight w:val="none"/>
          <w:shd w:val="clear" w:color="auto" w:fill="ffffff"/>
        </w:rPr>
        <w:t xml:space="preserve"> </w:t>
      </w:r>
      <w:bookmarkStart w:id="4" w:name="_Toc7577"/>
      <w:r>
        <w:rPr>
          <w:rFonts w:hint="eastAsia" w:asciiTheme="minorEastAsia" w:hAnsiTheme="minorEastAsia" w:eastAsiaTheme="minorEastAsia"/>
          <w:highlight w:val="none"/>
        </w:rPr>
        <w:t xml:space="preserve">采购公告</w:t>
      </w:r>
      <w:bookmarkEnd w:id="1"/>
      <w:r/>
      <w:bookmarkEnd w:id="2"/>
      <w:r/>
      <w:bookmarkEnd w:id="4"/>
      <w:r/>
      <w:r/>
    </w:p>
    <w:p>
      <w:pPr>
        <w:ind w:firstLine="454"/>
        <w:spacing w:line="360" w:lineRule="auto"/>
        <w:widowControl/>
        <w:rPr>
          <w:rFonts w:hint="eastAsia" w:cs="宋体" w:asciiTheme="minorEastAsia" w:hAnsiTheme="minorEastAsia" w:eastAsiaTheme="minorEastAsia"/>
          <w:b/>
          <w:bCs/>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highlight w:val="none"/>
        </w:rPr>
        <w:t xml:space="preserve">项目概况</w:t>
      </w:r>
      <w:r/>
    </w:p>
    <w:p>
      <w:pPr>
        <w:ind w:firstLine="452"/>
        <w:spacing w:line="360" w:lineRule="auto"/>
        <w:widowControl/>
        <w:rPr>
          <w:rFonts w:hint="eastAsia" w:cs="宋体" w:asciiTheme="minorEastAsia" w:hAnsiTheme="minorEastAsia" w:eastAsiaTheme="minorEastAsia"/>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highlight w:val="none"/>
        </w:rPr>
        <w:t xml:space="preserve">公交轨道公安局2026-2027年度食堂食材招标采购项目的潜在投标人应在江苏政府采购网“苏采云”系统获取采购文件，并于2026年11月16日08:30（北京时间）前提交投标文件。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一、项目基本情况</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项目编号：</w:t>
      </w:r>
      <w:r>
        <w:rPr>
          <w:rFonts w:hint="eastAsia" w:cs="Arial" w:asciiTheme="minorEastAsia" w:hAnsiTheme="minorEastAsia" w:eastAsiaTheme="minorEastAsia"/>
          <w:bCs/>
          <w:szCs w:val="21"/>
          <w:highlight w:val="none"/>
        </w:rPr>
        <w:t xml:space="preserve">JSZC-320100-JSGC-G2026-0051</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项目名称：</w:t>
      </w:r>
      <w:r>
        <w:rPr>
          <w:rFonts w:hint="eastAsia" w:cs="Arial" w:asciiTheme="minorEastAsia" w:hAnsiTheme="minorEastAsia" w:eastAsiaTheme="minorEastAsia"/>
          <w:bCs/>
          <w:szCs w:val="21"/>
          <w:highlight w:val="none"/>
        </w:rPr>
        <w:t xml:space="preserve">公交轨道公安局2026-2027年度食堂食材招标</w:t>
      </w:r>
      <w:r/>
    </w:p>
    <w:p>
      <w:pPr>
        <w:ind w:firstLine="420"/>
        <w:jc w:val="left"/>
        <w:spacing w:line="360" w:lineRule="auto"/>
        <w:shd w:val="clear" w:color="auto" w:fill="ffffff"/>
        <w:widowControl/>
        <w:rPr>
          <w:rFonts w:hint="eastAsia" w:cs="Arial" w:asciiTheme="minorEastAsia" w:hAnsiTheme="minorEastAsia"/>
          <w:bCs/>
          <w:szCs w:val="21"/>
          <w:highlight w:val="none"/>
        </w:rPr>
      </w:pPr>
      <w:r>
        <w:rPr>
          <w:rFonts w:hint="eastAsia" w:cs="Arial" w:asciiTheme="minorEastAsia" w:hAnsiTheme="minorEastAsia" w:eastAsiaTheme="minorEastAsia"/>
          <w:bCs/>
          <w:szCs w:val="21"/>
          <w:highlight w:val="none"/>
        </w:rPr>
        <w:t xml:space="preserve">预算金额</w:t>
      </w:r>
      <w:r>
        <w:rPr>
          <w:rFonts w:hint="eastAsia" w:asciiTheme="minorEastAsia" w:hAnsiTheme="minorEastAsia" w:eastAsiaTheme="minorEastAsia"/>
          <w:bCs/>
          <w:szCs w:val="21"/>
          <w:highlight w:val="none"/>
        </w:rPr>
        <w:t xml:space="preserve">：2037万元</w:t>
      </w:r>
      <w:bookmarkStart w:id="5" w:name="OLE_LINK5"/>
      <w:r>
        <w:rPr>
          <w:rFonts w:hint="eastAsia" w:asciiTheme="minorEastAsia" w:hAnsiTheme="minorEastAsia" w:eastAsiaTheme="minorEastAsia"/>
          <w:bCs/>
          <w:szCs w:val="21"/>
          <w:highlight w:val="none"/>
        </w:rPr>
        <w:t xml:space="preserve">（采购包1：</w:t>
      </w:r>
      <w:r>
        <w:rPr>
          <w:rFonts w:ascii="宋体" w:hAnsi="宋体" w:cs="宋体"/>
          <w:szCs w:val="21"/>
          <w:highlight w:val="none"/>
          <w:lang w:bidi="ar"/>
        </w:rPr>
        <w:t xml:space="preserve">385.930098</w:t>
      </w:r>
      <w:r>
        <w:rPr>
          <w:rFonts w:hint="eastAsia" w:asciiTheme="minorEastAsia" w:hAnsiTheme="minorEastAsia" w:eastAsiaTheme="minorEastAsia"/>
          <w:bCs/>
          <w:szCs w:val="21"/>
          <w:highlight w:val="none"/>
        </w:rPr>
        <w:t xml:space="preserve">万元；采购包2：</w:t>
      </w:r>
      <w:r>
        <w:rPr>
          <w:rFonts w:ascii="宋体" w:hAnsi="宋体" w:cs="宋体"/>
          <w:szCs w:val="21"/>
          <w:highlight w:val="none"/>
          <w:lang w:bidi="ar"/>
        </w:rPr>
        <w:t xml:space="preserve">305</w:t>
      </w:r>
      <w:r>
        <w:rPr>
          <w:rFonts w:hint="eastAsia" w:ascii="宋体" w:hAnsi="宋体" w:cs="宋体"/>
          <w:szCs w:val="21"/>
          <w:highlight w:val="none"/>
          <w:lang w:bidi="ar"/>
        </w:rPr>
        <w:t xml:space="preserve">.</w:t>
      </w:r>
      <w:r>
        <w:rPr>
          <w:rFonts w:ascii="宋体" w:hAnsi="宋体" w:cs="宋体"/>
          <w:szCs w:val="21"/>
          <w:highlight w:val="none"/>
          <w:lang w:bidi="ar"/>
        </w:rPr>
        <w:t xml:space="preserve">483612</w:t>
      </w:r>
      <w:r>
        <w:rPr>
          <w:rFonts w:hint="eastAsia" w:asciiTheme="minorEastAsia" w:hAnsiTheme="minorEastAsia" w:eastAsiaTheme="minorEastAsia"/>
          <w:bCs/>
          <w:szCs w:val="21"/>
          <w:highlight w:val="none"/>
        </w:rPr>
        <w:t xml:space="preserve">万元；采购包3：</w:t>
      </w:r>
      <w:r>
        <w:rPr>
          <w:rFonts w:ascii="宋体" w:hAnsi="宋体" w:cs="宋体"/>
          <w:szCs w:val="21"/>
          <w:highlight w:val="none"/>
          <w:lang w:bidi="ar"/>
        </w:rPr>
        <w:t xml:space="preserve">240</w:t>
      </w:r>
      <w:r>
        <w:rPr>
          <w:rFonts w:hint="eastAsia" w:ascii="宋体" w:hAnsi="宋体" w:cs="宋体"/>
          <w:szCs w:val="21"/>
          <w:highlight w:val="none"/>
          <w:lang w:bidi="ar"/>
        </w:rPr>
        <w:t xml:space="preserve">.</w:t>
      </w:r>
      <w:r>
        <w:rPr>
          <w:rFonts w:ascii="宋体" w:hAnsi="宋体" w:cs="宋体"/>
          <w:szCs w:val="21"/>
          <w:highlight w:val="none"/>
          <w:lang w:bidi="ar"/>
        </w:rPr>
        <w:t xml:space="preserve">2754</w:t>
      </w:r>
      <w:r>
        <w:rPr>
          <w:rFonts w:hint="eastAsia" w:asciiTheme="minorEastAsia" w:hAnsiTheme="minorEastAsia" w:eastAsiaTheme="minorEastAsia"/>
          <w:bCs/>
          <w:szCs w:val="21"/>
          <w:highlight w:val="none"/>
        </w:rPr>
        <w:t xml:space="preserve">万元；采购包4：</w:t>
      </w:r>
      <w:r>
        <w:rPr>
          <w:rFonts w:ascii="宋体" w:hAnsi="宋体" w:cs="宋体"/>
          <w:szCs w:val="21"/>
          <w:highlight w:val="none"/>
          <w:lang w:bidi="ar"/>
        </w:rPr>
        <w:t xml:space="preserve">186</w:t>
      </w:r>
      <w:r>
        <w:rPr>
          <w:rFonts w:hint="eastAsia" w:ascii="宋体" w:hAnsi="宋体" w:cs="宋体"/>
          <w:szCs w:val="21"/>
          <w:highlight w:val="none"/>
          <w:lang w:bidi="ar"/>
        </w:rPr>
        <w:t xml:space="preserve">.</w:t>
      </w:r>
      <w:r>
        <w:rPr>
          <w:rFonts w:ascii="宋体" w:hAnsi="宋体" w:cs="宋体"/>
          <w:szCs w:val="21"/>
          <w:highlight w:val="none"/>
          <w:lang w:bidi="ar"/>
        </w:rPr>
        <w:t xml:space="preserve">6077</w:t>
      </w:r>
      <w:r>
        <w:rPr>
          <w:rFonts w:hint="eastAsia" w:asciiTheme="minorEastAsia" w:hAnsiTheme="minorEastAsia" w:eastAsiaTheme="minorEastAsia"/>
          <w:bCs/>
          <w:szCs w:val="21"/>
          <w:highlight w:val="none"/>
        </w:rPr>
        <w:t xml:space="preserve">万元；采购包5：</w:t>
      </w:r>
      <w:r>
        <w:rPr>
          <w:rFonts w:ascii="宋体" w:hAnsi="宋体" w:cs="宋体"/>
          <w:szCs w:val="21"/>
          <w:highlight w:val="none"/>
          <w:lang w:bidi="ar"/>
        </w:rPr>
        <w:t xml:space="preserve">166</w:t>
      </w:r>
      <w:r>
        <w:rPr>
          <w:rFonts w:hint="eastAsia" w:ascii="宋体" w:hAnsi="宋体" w:cs="宋体"/>
          <w:szCs w:val="21"/>
          <w:highlight w:val="none"/>
          <w:lang w:bidi="ar"/>
        </w:rPr>
        <w:t xml:space="preserve">.</w:t>
      </w:r>
      <w:r>
        <w:rPr>
          <w:rFonts w:ascii="宋体" w:hAnsi="宋体" w:cs="宋体"/>
          <w:szCs w:val="21"/>
          <w:highlight w:val="none"/>
          <w:lang w:bidi="ar"/>
        </w:rPr>
        <w:t xml:space="preserve">82854</w:t>
      </w:r>
      <w:r>
        <w:rPr>
          <w:rFonts w:hint="eastAsia" w:asciiTheme="minorEastAsia" w:hAnsiTheme="minorEastAsia" w:eastAsiaTheme="minorEastAsia"/>
          <w:bCs/>
          <w:szCs w:val="21"/>
          <w:highlight w:val="none"/>
        </w:rPr>
        <w:t xml:space="preserve">万元；采购包6：</w:t>
      </w:r>
      <w:r>
        <w:rPr>
          <w:rFonts w:ascii="宋体" w:hAnsi="宋体" w:cs="宋体"/>
          <w:szCs w:val="21"/>
          <w:highlight w:val="none"/>
          <w:lang w:bidi="ar"/>
        </w:rPr>
        <w:t xml:space="preserve">146</w:t>
      </w:r>
      <w:r>
        <w:rPr>
          <w:rFonts w:hint="eastAsia" w:ascii="宋体" w:hAnsi="宋体" w:cs="宋体"/>
          <w:szCs w:val="21"/>
          <w:highlight w:val="none"/>
          <w:lang w:bidi="ar"/>
        </w:rPr>
        <w:t xml:space="preserve">.</w:t>
      </w:r>
      <w:r>
        <w:rPr>
          <w:rFonts w:ascii="宋体" w:hAnsi="宋体" w:cs="宋体"/>
          <w:szCs w:val="21"/>
          <w:highlight w:val="none"/>
          <w:lang w:bidi="ar"/>
        </w:rPr>
        <w:t xml:space="preserve">6474</w:t>
      </w:r>
      <w:r>
        <w:rPr>
          <w:rFonts w:hint="eastAsia" w:asciiTheme="minorEastAsia" w:hAnsiTheme="minorEastAsia" w:eastAsiaTheme="minorEastAsia"/>
          <w:bCs/>
          <w:szCs w:val="21"/>
          <w:highlight w:val="none"/>
        </w:rPr>
        <w:t xml:space="preserve">万元；采购包7：</w:t>
      </w:r>
      <w:r>
        <w:rPr>
          <w:rFonts w:ascii="宋体" w:hAnsi="宋体" w:cs="宋体"/>
          <w:szCs w:val="21"/>
          <w:highlight w:val="none"/>
          <w:lang w:bidi="ar"/>
        </w:rPr>
        <w:t xml:space="preserve">140</w:t>
      </w:r>
      <w:r>
        <w:rPr>
          <w:rFonts w:hint="eastAsia" w:ascii="宋体" w:hAnsi="宋体" w:cs="宋体"/>
          <w:szCs w:val="21"/>
          <w:highlight w:val="none"/>
          <w:lang w:bidi="ar"/>
        </w:rPr>
        <w:t xml:space="preserve">.</w:t>
      </w:r>
      <w:r>
        <w:rPr>
          <w:rFonts w:ascii="宋体" w:hAnsi="宋体" w:cs="宋体"/>
          <w:szCs w:val="21"/>
          <w:highlight w:val="none"/>
          <w:lang w:bidi="ar"/>
        </w:rPr>
        <w:t xml:space="preserve">4180</w:t>
      </w:r>
      <w:r>
        <w:rPr>
          <w:rFonts w:hint="eastAsia" w:asciiTheme="minorEastAsia" w:hAnsiTheme="minorEastAsia" w:eastAsiaTheme="minorEastAsia"/>
          <w:bCs/>
          <w:szCs w:val="21"/>
          <w:highlight w:val="none"/>
        </w:rPr>
        <w:t xml:space="preserve">万元；采购包8：</w:t>
      </w:r>
      <w:r>
        <w:rPr>
          <w:rFonts w:ascii="宋体" w:hAnsi="宋体" w:cs="宋体"/>
          <w:szCs w:val="21"/>
          <w:highlight w:val="none"/>
          <w:lang w:bidi="ar"/>
        </w:rPr>
        <w:t xml:space="preserve">139</w:t>
      </w:r>
      <w:r>
        <w:rPr>
          <w:rFonts w:hint="eastAsia" w:ascii="宋体" w:hAnsi="宋体" w:cs="宋体"/>
          <w:szCs w:val="21"/>
          <w:highlight w:val="none"/>
          <w:lang w:bidi="ar"/>
        </w:rPr>
        <w:t xml:space="preserve">.</w:t>
      </w:r>
      <w:r>
        <w:rPr>
          <w:rFonts w:ascii="宋体" w:hAnsi="宋体" w:cs="宋体"/>
          <w:szCs w:val="21"/>
          <w:highlight w:val="none"/>
          <w:lang w:bidi="ar"/>
        </w:rPr>
        <w:t xml:space="preserve">85171</w:t>
      </w:r>
      <w:r>
        <w:rPr>
          <w:rFonts w:hint="eastAsia" w:asciiTheme="minorEastAsia" w:hAnsiTheme="minorEastAsia" w:eastAsiaTheme="minorEastAsia"/>
          <w:bCs/>
          <w:szCs w:val="21"/>
          <w:highlight w:val="none"/>
        </w:rPr>
        <w:t xml:space="preserve">万元；采购包9：</w:t>
      </w:r>
      <w:r>
        <w:rPr>
          <w:rFonts w:ascii="宋体" w:hAnsi="宋体" w:cs="宋体"/>
          <w:szCs w:val="21"/>
          <w:highlight w:val="none"/>
          <w:lang w:bidi="ar"/>
        </w:rPr>
        <w:t xml:space="preserve">136</w:t>
      </w:r>
      <w:r>
        <w:rPr>
          <w:rFonts w:hint="eastAsia" w:ascii="宋体" w:hAnsi="宋体" w:cs="宋体"/>
          <w:szCs w:val="21"/>
          <w:highlight w:val="none"/>
          <w:lang w:bidi="ar"/>
        </w:rPr>
        <w:t xml:space="preserve">.</w:t>
      </w:r>
      <w:r>
        <w:rPr>
          <w:rFonts w:ascii="宋体" w:hAnsi="宋体" w:cs="宋体"/>
          <w:szCs w:val="21"/>
          <w:highlight w:val="none"/>
          <w:lang w:bidi="ar"/>
        </w:rPr>
        <w:t xml:space="preserve">2417</w:t>
      </w:r>
      <w:r>
        <w:rPr>
          <w:rFonts w:hint="eastAsia" w:asciiTheme="minorEastAsia" w:hAnsiTheme="minorEastAsia" w:eastAsiaTheme="minorEastAsia"/>
          <w:bCs/>
          <w:szCs w:val="21"/>
          <w:highlight w:val="none"/>
        </w:rPr>
        <w:t xml:space="preserve">万元；采购包10：</w:t>
      </w:r>
      <w:r>
        <w:rPr>
          <w:rFonts w:ascii="宋体" w:hAnsi="宋体" w:cs="宋体"/>
          <w:szCs w:val="21"/>
          <w:highlight w:val="none"/>
          <w:lang w:bidi="ar"/>
        </w:rPr>
        <w:t xml:space="preserve">112</w:t>
      </w:r>
      <w:r>
        <w:rPr>
          <w:rFonts w:hint="eastAsia" w:ascii="宋体" w:hAnsi="宋体" w:cs="宋体"/>
          <w:szCs w:val="21"/>
          <w:highlight w:val="none"/>
          <w:lang w:bidi="ar"/>
        </w:rPr>
        <w:t xml:space="preserve">.</w:t>
      </w:r>
      <w:r>
        <w:rPr>
          <w:rFonts w:ascii="宋体" w:hAnsi="宋体" w:cs="宋体"/>
          <w:szCs w:val="21"/>
          <w:highlight w:val="none"/>
          <w:lang w:bidi="ar"/>
        </w:rPr>
        <w:t xml:space="preserve">45204</w:t>
      </w:r>
      <w:r>
        <w:rPr>
          <w:rFonts w:hint="eastAsia" w:asciiTheme="minorEastAsia" w:hAnsiTheme="minorEastAsia" w:eastAsiaTheme="minorEastAsia"/>
          <w:bCs/>
          <w:szCs w:val="21"/>
          <w:highlight w:val="none"/>
        </w:rPr>
        <w:t xml:space="preserve">万元；采购包11：</w:t>
      </w:r>
      <w:r>
        <w:rPr>
          <w:rFonts w:ascii="宋体" w:hAnsi="宋体" w:cs="宋体"/>
          <w:szCs w:val="21"/>
          <w:highlight w:val="none"/>
          <w:lang w:bidi="ar"/>
        </w:rPr>
        <w:t xml:space="preserve">76</w:t>
      </w:r>
      <w:r>
        <w:rPr>
          <w:rFonts w:hint="eastAsia" w:ascii="宋体" w:hAnsi="宋体" w:cs="宋体"/>
          <w:szCs w:val="21"/>
          <w:highlight w:val="none"/>
          <w:lang w:bidi="ar"/>
        </w:rPr>
        <w:t xml:space="preserve">.</w:t>
      </w:r>
      <w:r>
        <w:rPr>
          <w:rFonts w:ascii="宋体" w:hAnsi="宋体" w:cs="宋体"/>
          <w:szCs w:val="21"/>
          <w:highlight w:val="none"/>
          <w:lang w:bidi="ar"/>
        </w:rPr>
        <w:t xml:space="preserve">2638</w:t>
      </w:r>
      <w:r>
        <w:rPr>
          <w:rFonts w:hint="eastAsia" w:asciiTheme="minorEastAsia" w:hAnsiTheme="minorEastAsia" w:eastAsiaTheme="minorEastAsia"/>
          <w:bCs/>
          <w:szCs w:val="21"/>
          <w:highlight w:val="none"/>
        </w:rPr>
        <w:t xml:space="preserve">万元；）</w:t>
      </w:r>
      <w:bookmarkEnd w:id="5"/>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ascii="宋体" w:hAnsi="宋体"/>
          <w:bCs/>
          <w:szCs w:val="21"/>
          <w:highlight w:val="none"/>
        </w:rPr>
        <w:t xml:space="preserve">最高限价(如有):本项目采用优惠率报价。</w:t>
      </w:r>
      <w:r/>
    </w:p>
    <w:p>
      <w:pPr>
        <w:ind w:firstLine="420"/>
        <w:jc w:val="left"/>
        <w:spacing w:line="360" w:lineRule="auto"/>
        <w:shd w:val="clear" w:color="auto" w:fill="ffffff"/>
        <w:widowControl/>
        <w:rPr>
          <w:rFonts w:hint="eastAsia" w:cs="Arial" w:asciiTheme="minorEastAsia" w:hAnsiTheme="minorEastAsia"/>
          <w:bCs/>
          <w:szCs w:val="21"/>
          <w:highlight w:val="none"/>
        </w:rPr>
      </w:pPr>
      <w:r>
        <w:rPr>
          <w:rFonts w:hint="eastAsia" w:cs="Arial" w:asciiTheme="minorEastAsia" w:hAnsiTheme="minorEastAsia" w:eastAsiaTheme="minorEastAsia"/>
          <w:bCs/>
          <w:szCs w:val="21"/>
          <w:highlight w:val="none"/>
        </w:rPr>
        <w:t xml:space="preserve">采购需求：</w:t>
      </w:r>
      <w:r/>
    </w:p>
    <w:tbl>
      <w:tblPr>
        <w:tblStyle w:val="862"/>
        <w:tblW w:w="49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568"/>
        <w:gridCol w:w="2590"/>
        <w:gridCol w:w="1374"/>
        <w:gridCol w:w="1400"/>
      </w:tblGrid>
      <w:tr>
        <w:trPr>
          <w:trHeight w:val="340"/>
        </w:trPr>
        <w:tc>
          <w:tcPr>
            <w:tcW w:w="518" w:type="pct"/>
            <w:vAlign w:val="center"/>
            <w:textDirection w:val="lrTb"/>
            <w:noWrap/>
          </w:tcPr>
          <w:p>
            <w:pPr>
              <w:jc w:val="center"/>
              <w:spacing w:line="360" w:lineRule="auto"/>
              <w:widowControl/>
              <w:rPr>
                <w:rFonts w:hint="eastAsia" w:ascii="宋体" w:hAnsi="宋体" w:cs="宋体"/>
                <w:szCs w:val="21"/>
                <w:highlight w:val="none"/>
              </w:rPr>
            </w:pPr>
            <w:r>
              <w:rPr>
                <w:rFonts w:hint="eastAsia" w:cs="宋体"/>
                <w:szCs w:val="21"/>
                <w:highlight w:val="none"/>
                <w:lang w:bidi="ar"/>
              </w:rPr>
              <w:t xml:space="preserve">采购包号</w:t>
            </w:r>
            <w:r/>
          </w:p>
        </w:tc>
        <w:tc>
          <w:tcPr>
            <w:tcW w:w="1450" w:type="pct"/>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食堂名称</w:t>
            </w:r>
            <w:r/>
          </w:p>
        </w:tc>
        <w:tc>
          <w:tcPr>
            <w:tcW w:w="1462" w:type="pct"/>
            <w:vAlign w:val="center"/>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食材配送地址</w:t>
            </w:r>
            <w:r/>
          </w:p>
        </w:tc>
        <w:tc>
          <w:tcPr>
            <w:tcW w:w="776" w:type="pct"/>
            <w:vAlign w:val="center"/>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预算金额</w:t>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（万元）</w:t>
            </w:r>
            <w:r/>
          </w:p>
        </w:tc>
        <w:tc>
          <w:tcPr>
            <w:tcW w:w="791" w:type="pct"/>
            <w:vAlign w:val="center"/>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rPr>
              <w:t xml:space="preserve">采购需求</w:t>
            </w:r>
            <w:r/>
          </w:p>
        </w:tc>
      </w:tr>
      <w:tr>
        <w:trPr>
          <w:trHeight w:val="408"/>
        </w:trPr>
        <w:tc>
          <w:tcPr>
            <w:tcW w:w="518" w:type="pct"/>
            <w:vAlign w:val="center"/>
            <w:textDirection w:val="lrTb"/>
            <w:noWrap/>
          </w:tcPr>
          <w:p>
            <w:pPr>
              <w:jc w:val="center"/>
              <w:spacing w:line="360" w:lineRule="auto"/>
              <w:widowControl/>
              <w:rPr>
                <w:rFonts w:cs="宋体"/>
                <w:szCs w:val="21"/>
                <w:highlight w:val="none"/>
                <w:lang w:bidi="ar"/>
              </w:rPr>
            </w:pPr>
            <w:r/>
            <w:bookmarkStart w:id="6" w:name="_Hlk243642448"/>
            <w:r>
              <w:rPr>
                <w:rFonts w:hint="eastAsia" w:cs="宋体"/>
                <w:szCs w:val="21"/>
                <w:highlight w:val="none"/>
                <w:lang w:bidi="ar"/>
              </w:rPr>
              <w:t xml:space="preserve">1</w:t>
            </w:r>
            <w:r/>
          </w:p>
        </w:tc>
        <w:tc>
          <w:tcPr>
            <w:tcW w:w="1450" w:type="pct"/>
            <w:vAlign w:val="center"/>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局机关食堂食材采购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ascii="宋体" w:hAnsi="宋体" w:cs="宋体"/>
                <w:szCs w:val="21"/>
                <w:highlight w:val="none"/>
              </w:rPr>
              <w:t xml:space="preserve">南京市雨花台区小行路158号</w:t>
            </w:r>
            <w:r/>
          </w:p>
        </w:tc>
        <w:tc>
          <w:tcPr>
            <w:tcW w:w="776" w:type="pct"/>
            <w:vAlign w:val="center"/>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385.930098</w:t>
            </w:r>
            <w:r/>
          </w:p>
        </w:tc>
        <w:tc>
          <w:tcPr>
            <w:tcW w:w="791" w:type="pct"/>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2</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南京南站所</w:t>
            </w:r>
            <w:r>
              <w:rPr>
                <w:rFonts w:hint="eastAsia" w:ascii="宋体" w:hAnsi="宋体" w:cs="宋体"/>
                <w:szCs w:val="21"/>
                <w:highlight w:val="none"/>
                <w:lang w:bidi="ar"/>
              </w:rPr>
              <w:t xml:space="preserve">-</w:t>
            </w:r>
            <w:r>
              <w:rPr>
                <w:rFonts w:ascii="宋体" w:hAnsi="宋体" w:cs="宋体"/>
                <w:szCs w:val="21"/>
                <w:highlight w:val="none"/>
                <w:lang w:bidi="ar"/>
              </w:rPr>
              <w:t xml:space="preserve">刑警大队</w:t>
            </w:r>
            <w:r>
              <w:rPr>
                <w:rFonts w:hint="eastAsia" w:ascii="宋体" w:hAnsi="宋体" w:cs="宋体"/>
                <w:szCs w:val="21"/>
                <w:highlight w:val="none"/>
                <w:lang w:bidi="ar"/>
              </w:rPr>
              <w:t xml:space="preserve">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南京南站所：南京市雨花台区玉兰路88号</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305</w:t>
            </w:r>
            <w:r>
              <w:rPr>
                <w:rFonts w:hint="eastAsia" w:ascii="宋体" w:hAnsi="宋体" w:cs="宋体"/>
                <w:szCs w:val="21"/>
                <w:highlight w:val="none"/>
                <w:lang w:bidi="ar"/>
              </w:rPr>
              <w:t xml:space="preserve">.</w:t>
            </w:r>
            <w:r>
              <w:rPr>
                <w:rFonts w:ascii="宋体" w:hAnsi="宋体" w:cs="宋体"/>
                <w:szCs w:val="21"/>
                <w:highlight w:val="none"/>
                <w:lang w:bidi="ar"/>
              </w:rPr>
              <w:t xml:space="preserve">483612</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刑警大队：地铁6号线双龙街停车场</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3</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rPr>
            </w:pPr>
            <w:r>
              <w:rPr>
                <w:rFonts w:ascii="宋体" w:hAnsi="宋体" w:cs="宋体"/>
                <w:szCs w:val="21"/>
                <w:highlight w:val="none"/>
              </w:rPr>
              <w:t xml:space="preserve">南京站所</w:t>
            </w:r>
            <w:r>
              <w:rPr>
                <w:rFonts w:hint="eastAsia" w:ascii="宋体" w:hAnsi="宋体" w:cs="宋体"/>
                <w:szCs w:val="21"/>
                <w:highlight w:val="none"/>
              </w:rPr>
              <w:t xml:space="preserve">-</w:t>
            </w:r>
            <w:r>
              <w:rPr>
                <w:rFonts w:ascii="宋体" w:hAnsi="宋体" w:cs="宋体"/>
                <w:szCs w:val="21"/>
                <w:highlight w:val="none"/>
              </w:rPr>
              <w:t xml:space="preserve">长途东站</w:t>
            </w:r>
            <w:r>
              <w:rPr>
                <w:rFonts w:hint="eastAsia" w:ascii="宋体" w:hAnsi="宋体" w:cs="宋体"/>
                <w:szCs w:val="21"/>
                <w:highlight w:val="none"/>
              </w:rPr>
              <w:t xml:space="preserve">所</w:t>
            </w:r>
            <w:r>
              <w:rPr>
                <w:rFonts w:ascii="宋体" w:hAnsi="宋体" w:cs="宋体"/>
                <w:szCs w:val="21"/>
                <w:highlight w:val="none"/>
              </w:rPr>
              <w:t xml:space="preserve">(6号</w:t>
            </w:r>
            <w:r>
              <w:rPr>
                <w:rFonts w:hint="eastAsia" w:ascii="宋体" w:hAnsi="宋体" w:cs="宋体"/>
                <w:szCs w:val="21"/>
                <w:highlight w:val="none"/>
              </w:rPr>
              <w:t xml:space="preserve">线</w:t>
            </w:r>
            <w:r>
              <w:rPr>
                <w:rFonts w:ascii="宋体" w:hAnsi="宋体" w:cs="宋体"/>
                <w:szCs w:val="21"/>
                <w:highlight w:val="none"/>
              </w:rPr>
              <w:t xml:space="preserve">)</w:t>
            </w:r>
            <w:r>
              <w:rPr>
                <w:rFonts w:hint="eastAsia" w:ascii="宋体" w:hAnsi="宋体" w:cs="宋体"/>
                <w:szCs w:val="21"/>
                <w:highlight w:val="none"/>
                <w:lang w:bidi="ar"/>
              </w:rPr>
              <w:t xml:space="preserve">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南京站所：玄武区红山南路69号</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240</w:t>
            </w:r>
            <w:r>
              <w:rPr>
                <w:rFonts w:hint="eastAsia" w:ascii="宋体" w:hAnsi="宋体" w:cs="宋体"/>
                <w:szCs w:val="21"/>
                <w:highlight w:val="none"/>
                <w:lang w:bidi="ar"/>
              </w:rPr>
              <w:t xml:space="preserve">.</w:t>
            </w:r>
            <w:r>
              <w:rPr>
                <w:rFonts w:ascii="宋体" w:hAnsi="宋体" w:cs="宋体"/>
                <w:szCs w:val="21"/>
                <w:highlight w:val="none"/>
                <w:lang w:bidi="ar"/>
              </w:rPr>
              <w:t xml:space="preserve">2754</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长途东站所：曹后村地铁车辆基地内</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4</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新街口站所-玄武门站所食堂食材采购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新街口站所：白下路2号3楼</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186</w:t>
            </w:r>
            <w:r>
              <w:rPr>
                <w:rFonts w:hint="eastAsia" w:ascii="宋体" w:hAnsi="宋体" w:cs="宋体"/>
                <w:szCs w:val="21"/>
                <w:highlight w:val="none"/>
                <w:lang w:bidi="ar"/>
              </w:rPr>
              <w:t xml:space="preserve">.</w:t>
            </w:r>
            <w:r>
              <w:rPr>
                <w:rFonts w:ascii="宋体" w:hAnsi="宋体" w:cs="宋体"/>
                <w:szCs w:val="21"/>
                <w:highlight w:val="none"/>
                <w:lang w:bidi="ar"/>
              </w:rPr>
              <w:t xml:space="preserve">6077</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玄武门站所：丹凤街19号4楼</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5</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Segoe UI" w:hAnsi="Segoe UI" w:eastAsia="Segoe UI" w:cs="Segoe UI"/>
                <w:szCs w:val="21"/>
                <w:highlight w:val="none"/>
              </w:rPr>
              <w:t xml:space="preserve">城西路站所-秣周路站所食堂食材采购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城西里站所：南京市雨花台区雨花南路18号</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166</w:t>
            </w:r>
            <w:r>
              <w:rPr>
                <w:rFonts w:hint="eastAsia" w:ascii="宋体" w:hAnsi="宋体" w:cs="宋体"/>
                <w:szCs w:val="21"/>
                <w:highlight w:val="none"/>
                <w:lang w:bidi="ar"/>
              </w:rPr>
              <w:t xml:space="preserve">.</w:t>
            </w:r>
            <w:r>
              <w:rPr>
                <w:rFonts w:ascii="宋体" w:hAnsi="宋体" w:cs="宋体"/>
                <w:szCs w:val="21"/>
                <w:highlight w:val="none"/>
                <w:lang w:bidi="ar"/>
              </w:rPr>
              <w:t xml:space="preserve">82854</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秣周路站所：南京市雨花台区卡子门大街76号</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6</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Segoe UI" w:hAnsi="Segoe UI" w:eastAsia="Segoe UI" w:cs="Segoe UI"/>
                <w:szCs w:val="21"/>
                <w:highlight w:val="none"/>
                <w:shd w:val="clear" w:color="auto" w:fill="fafafa"/>
              </w:rPr>
              <w:t xml:space="preserve">大校场站所-晓庄站所食堂食材采购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大校场站所：南京市鼓楼区三步两桥10号</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146</w:t>
            </w:r>
            <w:r>
              <w:rPr>
                <w:rFonts w:hint="eastAsia" w:ascii="宋体" w:hAnsi="宋体" w:cs="宋体"/>
                <w:szCs w:val="21"/>
                <w:highlight w:val="none"/>
                <w:lang w:bidi="ar"/>
              </w:rPr>
              <w:t xml:space="preserve">.</w:t>
            </w:r>
            <w:r>
              <w:rPr>
                <w:rFonts w:ascii="宋体" w:hAnsi="宋体" w:cs="宋体"/>
                <w:szCs w:val="21"/>
                <w:highlight w:val="none"/>
                <w:lang w:bidi="ar"/>
              </w:rPr>
              <w:t xml:space="preserve">6474</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晓庄站所：南京市鼓楼区古平岗1号</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7</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禄口新城站所-汤山站所食堂食材采购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禄口新城站所：禄口街道飞天大道禄口南地铁基地内</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140</w:t>
            </w:r>
            <w:r>
              <w:rPr>
                <w:rFonts w:hint="eastAsia" w:ascii="宋体" w:hAnsi="宋体" w:cs="宋体"/>
                <w:szCs w:val="21"/>
                <w:highlight w:val="none"/>
                <w:lang w:bidi="ar"/>
              </w:rPr>
              <w:t xml:space="preserve">.</w:t>
            </w:r>
            <w:r>
              <w:rPr>
                <w:rFonts w:ascii="宋体" w:hAnsi="宋体" w:cs="宋体"/>
                <w:szCs w:val="21"/>
                <w:highlight w:val="none"/>
                <w:lang w:bidi="ar"/>
              </w:rPr>
              <w:t xml:space="preserve">418</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汤山站所：地铁江宁区药科大学站车辆基地内</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8</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孝陵卫站所-仙林湖站所食堂食材采购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孝陵卫站所：南京市西岗街道-C地铁青龙山车辆基地边</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139</w:t>
            </w:r>
            <w:r>
              <w:rPr>
                <w:rFonts w:hint="eastAsia" w:ascii="宋体" w:hAnsi="宋体" w:cs="宋体"/>
                <w:szCs w:val="21"/>
                <w:highlight w:val="none"/>
                <w:lang w:bidi="ar"/>
              </w:rPr>
              <w:t xml:space="preserve">.</w:t>
            </w:r>
            <w:r>
              <w:rPr>
                <w:rFonts w:ascii="宋体" w:hAnsi="宋体" w:cs="宋体"/>
                <w:szCs w:val="21"/>
                <w:highlight w:val="none"/>
                <w:lang w:bidi="ar"/>
              </w:rPr>
              <w:t xml:space="preserve">85171</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仙林湖站所：栖霞区仙林大道180-1地铁经天路站桥下</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9</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天保站所-中和村站所</w:t>
            </w:r>
            <w:r>
              <w:rPr>
                <w:rFonts w:hint="eastAsia" w:ascii="宋体" w:hAnsi="宋体" w:cs="宋体"/>
                <w:szCs w:val="21"/>
                <w:highlight w:val="none"/>
                <w:lang w:bidi="ar"/>
              </w:rPr>
              <w:t xml:space="preserve">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天保站所：南京市雨花台区新湖大道西善桥地铁基地内</w:t>
            </w:r>
            <w:r/>
          </w:p>
        </w:tc>
        <w:tc>
          <w:tcPr>
            <w:tcW w:w="776" w:type="pct"/>
            <w:vAlign w:val="center"/>
            <w:vMerge w:val="restart"/>
            <w:textDirection w:val="lrTb"/>
            <w:noWrap/>
          </w:tcPr>
          <w:p>
            <w:pPr>
              <w:jc w:val="center"/>
              <w:spacing w:line="360" w:lineRule="auto"/>
              <w:widowControl/>
              <w:tabs>
                <w:tab w:val="left" w:pos="491" w:leader="none"/>
                <w:tab w:val="center" w:pos="1002" w:leader="none"/>
              </w:tabs>
              <w:rPr>
                <w:rFonts w:hint="eastAsia" w:ascii="宋体" w:hAnsi="宋体" w:cs="宋体"/>
                <w:szCs w:val="21"/>
                <w:highlight w:val="none"/>
                <w:lang w:bidi="ar"/>
              </w:rPr>
            </w:pPr>
            <w:r>
              <w:rPr>
                <w:rFonts w:ascii="宋体" w:hAnsi="宋体" w:cs="宋体"/>
                <w:szCs w:val="21"/>
                <w:highlight w:val="none"/>
                <w:lang w:bidi="ar"/>
              </w:rPr>
              <w:t xml:space="preserve">136</w:t>
            </w:r>
            <w:r>
              <w:rPr>
                <w:rFonts w:hint="eastAsia" w:ascii="宋体" w:hAnsi="宋体" w:cs="宋体"/>
                <w:szCs w:val="21"/>
                <w:highlight w:val="none"/>
                <w:lang w:bidi="ar"/>
              </w:rPr>
              <w:t xml:space="preserve">.</w:t>
            </w:r>
            <w:r>
              <w:rPr>
                <w:rFonts w:ascii="宋体" w:hAnsi="宋体" w:cs="宋体"/>
                <w:szCs w:val="21"/>
                <w:highlight w:val="none"/>
                <w:lang w:bidi="ar"/>
              </w:rPr>
              <w:t xml:space="preserve">2417</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tabs>
                <w:tab w:val="left" w:pos="491" w:leader="none"/>
                <w:tab w:val="center" w:pos="1002" w:leader="none"/>
              </w:tabs>
              <w:rPr>
                <w:highlight w:val="none"/>
              </w:rPr>
            </w:pPr>
            <w:r>
              <w:rPr>
                <w:highlight w:val="none"/>
              </w:rPr>
            </w:r>
            <w:r/>
          </w:p>
        </w:tc>
        <w:tc>
          <w:tcPr>
            <w:tcW w:w="1450" w:type="pct"/>
            <w:vAlign w:val="center"/>
            <w:vMerge w:val="continue"/>
            <w:textDirection w:val="lrTb"/>
            <w:noWrap/>
          </w:tcPr>
          <w:p>
            <w:pPr>
              <w:jc w:val="center"/>
              <w:spacing w:line="360" w:lineRule="auto"/>
              <w:widowControl/>
              <w:tabs>
                <w:tab w:val="left" w:pos="491" w:leader="none"/>
                <w:tab w:val="center" w:pos="1002" w:leader="none"/>
              </w:tabs>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中和村站所：地铁油坊桥车辆基地内</w:t>
            </w:r>
            <w:r/>
          </w:p>
        </w:tc>
        <w:tc>
          <w:tcPr>
            <w:tcW w:w="776" w:type="pct"/>
            <w:vAlign w:val="center"/>
            <w:vMerge w:val="continue"/>
            <w:textDirection w:val="lrTb"/>
            <w:noWrap/>
          </w:tcPr>
          <w:p>
            <w:pPr>
              <w:jc w:val="center"/>
              <w:spacing w:line="360" w:lineRule="auto"/>
              <w:widowControl/>
              <w:tabs>
                <w:tab w:val="left" w:pos="491" w:leader="none"/>
                <w:tab w:val="center" w:pos="1002" w:leader="none"/>
              </w:tabs>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tabs>
                <w:tab w:val="left" w:pos="491" w:leader="none"/>
                <w:tab w:val="center" w:pos="1002" w:leader="none"/>
              </w:tabs>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8"/>
        </w:trPr>
        <w:tc>
          <w:tcPr>
            <w:tcW w:w="518" w:type="pct"/>
            <w:vAlign w:val="center"/>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10</w:t>
            </w:r>
            <w:r/>
          </w:p>
        </w:tc>
        <w:tc>
          <w:tcPr>
            <w:tcW w:w="1450" w:type="pct"/>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巡特警大队食堂食材采购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地铁马群车辆基地内马群神马路19号</w:t>
            </w:r>
            <w:r/>
          </w:p>
        </w:tc>
        <w:tc>
          <w:tcPr>
            <w:tcW w:w="776" w:type="pct"/>
            <w:vAlign w:val="center"/>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112</w:t>
            </w:r>
            <w:r>
              <w:rPr>
                <w:rFonts w:hint="eastAsia" w:ascii="宋体" w:hAnsi="宋体" w:cs="宋体"/>
                <w:szCs w:val="21"/>
                <w:highlight w:val="none"/>
                <w:lang w:bidi="ar"/>
              </w:rPr>
              <w:t xml:space="preserve">.</w:t>
            </w:r>
            <w:r>
              <w:rPr>
                <w:rFonts w:ascii="宋体" w:hAnsi="宋体" w:cs="宋体"/>
                <w:szCs w:val="21"/>
                <w:highlight w:val="none"/>
                <w:lang w:bidi="ar"/>
              </w:rPr>
              <w:t xml:space="preserve">45204</w:t>
            </w:r>
            <w:r/>
          </w:p>
        </w:tc>
        <w:tc>
          <w:tcPr>
            <w:tcW w:w="791" w:type="pct"/>
            <w:vAlign w:val="center"/>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全品类食材供应商</w:t>
            </w:r>
            <w:r/>
          </w:p>
        </w:tc>
      </w:tr>
      <w:tr>
        <w:trPr>
          <w:trHeight w:val="408"/>
        </w:trPr>
        <w:tc>
          <w:tcPr>
            <w:tcW w:w="518" w:type="pct"/>
            <w:vAlign w:val="center"/>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11</w:t>
            </w:r>
            <w:r/>
          </w:p>
        </w:tc>
        <w:tc>
          <w:tcPr>
            <w:tcW w:w="1450" w:type="pct"/>
            <w:vAlign w:val="center"/>
            <w:textDirection w:val="lrTb"/>
            <w:noWrap/>
          </w:tcPr>
          <w:p>
            <w:pPr>
              <w:jc w:val="center"/>
              <w:spacing w:line="360" w:lineRule="auto"/>
              <w:widowControl/>
              <w:rPr>
                <w:rFonts w:hint="eastAsia" w:ascii="宋体" w:hAnsi="宋体" w:cs="宋体"/>
                <w:szCs w:val="21"/>
                <w:highlight w:val="none"/>
              </w:rPr>
            </w:pPr>
            <w:r>
              <w:rPr>
                <w:rFonts w:ascii="宋体" w:hAnsi="宋体" w:cs="宋体"/>
                <w:szCs w:val="21"/>
                <w:highlight w:val="none"/>
              </w:rPr>
              <w:t xml:space="preserve">大厂东站所食堂食材采购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六合区平顶山路和平社区地铁大厂东车辆基地内</w:t>
            </w:r>
            <w:r/>
          </w:p>
        </w:tc>
        <w:tc>
          <w:tcPr>
            <w:tcW w:w="776" w:type="pct"/>
            <w:vAlign w:val="center"/>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76</w:t>
            </w:r>
            <w:r>
              <w:rPr>
                <w:rFonts w:hint="eastAsia" w:ascii="宋体" w:hAnsi="宋体" w:cs="宋体"/>
                <w:szCs w:val="21"/>
                <w:highlight w:val="none"/>
                <w:lang w:bidi="ar"/>
              </w:rPr>
              <w:t xml:space="preserve">.</w:t>
            </w:r>
            <w:r>
              <w:rPr>
                <w:rFonts w:ascii="宋体" w:hAnsi="宋体" w:cs="宋体"/>
                <w:szCs w:val="21"/>
                <w:highlight w:val="none"/>
                <w:lang w:bidi="ar"/>
              </w:rPr>
              <w:t xml:space="preserve">2638</w:t>
            </w:r>
            <w:r/>
          </w:p>
        </w:tc>
        <w:tc>
          <w:tcPr>
            <w:tcW w:w="791" w:type="pct"/>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bookmarkEnd w:id="6"/>
            <w:r/>
            <w:r/>
          </w:p>
        </w:tc>
      </w:tr>
    </w:tbl>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
          <w:szCs w:val="21"/>
          <w:highlight w:val="none"/>
        </w:rPr>
        <w:t xml:space="preserve">投标人可以参与一个或多个采购包的投标，但兼投不兼中，按照采购包1至采购包11的顺序进行评标。如投标人在前一采购包中标，依旧参与后续采购包的评审，但不再推荐为后续采购包的中标人。</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合同履行期</w:t>
      </w:r>
      <w:r>
        <w:rPr>
          <w:rFonts w:hint="eastAsia" w:cs="Arial" w:asciiTheme="minorEastAsia" w:hAnsiTheme="minorEastAsia" w:eastAsiaTheme="minorEastAsia"/>
          <w:bCs/>
          <w:szCs w:val="21"/>
          <w:highlight w:val="none"/>
        </w:rPr>
        <w:t xml:space="preserve">限：合同自采购人书面通知供货之日起生效，至所属采购包预算资金使用完毕或供货满一年时自动终止，二者以先到者为准。</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bookmarkStart w:id="7" w:name="_Hlk128055931"/>
      <w:r/>
      <w:bookmarkStart w:id="8" w:name="_Hlk77845455"/>
      <w:r>
        <w:rPr>
          <w:rFonts w:cs="Arial" w:asciiTheme="minorEastAsia" w:hAnsiTheme="minorEastAsia" w:eastAsiaTheme="minorEastAsia"/>
          <w:bCs/>
          <w:szCs w:val="21"/>
          <w:highlight w:val="none"/>
        </w:rPr>
        <w:t xml:space="preserve">本项目</w:t>
      </w:r>
      <w:bookmarkStart w:id="9" w:name="_Hlk84582886"/>
      <w:r>
        <w:rPr>
          <w:rFonts w:hint="eastAsia" w:cs="Arial" w:asciiTheme="minorEastAsia" w:hAnsiTheme="minorEastAsia" w:eastAsiaTheme="minorEastAsia"/>
          <w:bCs/>
          <w:szCs w:val="21"/>
          <w:highlight w:val="none"/>
        </w:rPr>
        <w:t xml:space="preserve">（是/否）</w:t>
      </w:r>
      <w:r>
        <w:rPr>
          <w:rFonts w:cs="Arial" w:asciiTheme="minorEastAsia" w:hAnsiTheme="minorEastAsia" w:eastAsiaTheme="minorEastAsia"/>
          <w:bCs/>
          <w:szCs w:val="21"/>
          <w:highlight w:val="none"/>
        </w:rPr>
        <w:t xml:space="preserve">接受</w:t>
      </w:r>
      <w:bookmarkEnd w:id="9"/>
      <w:r>
        <w:rPr>
          <w:rFonts w:cs="Arial" w:asciiTheme="minorEastAsia" w:hAnsiTheme="minorEastAsia" w:eastAsiaTheme="minorEastAsia"/>
          <w:bCs/>
          <w:szCs w:val="21"/>
          <w:highlight w:val="none"/>
        </w:rPr>
        <w:t xml:space="preserve">联合体投标</w:t>
      </w:r>
      <w:r>
        <w:rPr>
          <w:rFonts w:hint="eastAsia" w:cs="Arial" w:asciiTheme="minorEastAsia" w:hAnsiTheme="minorEastAsia" w:eastAsiaTheme="minorEastAsia"/>
          <w:bCs/>
          <w:szCs w:val="21"/>
          <w:highlight w:val="none"/>
        </w:rPr>
        <w:t xml:space="preserve">：否</w:t>
      </w:r>
      <w:bookmarkEnd w:id="7"/>
      <w:r/>
      <w:bookmarkEnd w:id="8"/>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二、</w:t>
      </w:r>
      <w:r>
        <w:rPr>
          <w:rFonts w:hint="eastAsia" w:cs="Arial" w:asciiTheme="minorEastAsia" w:hAnsiTheme="minorEastAsia" w:eastAsiaTheme="minorEastAsia"/>
          <w:b/>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（一）</w:t>
      </w:r>
      <w:r>
        <w:rPr>
          <w:rFonts w:cs="Arial" w:asciiTheme="minorEastAsia" w:hAnsiTheme="minorEastAsia" w:eastAsiaTheme="minorEastAsia"/>
          <w:bCs/>
          <w:szCs w:val="21"/>
          <w:highlight w:val="none"/>
        </w:rPr>
        <w:t xml:space="preserve">满足《中华人民共和国政府采购法》第二十二条规定</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2.具有良好的商业信誉和健全的财务会计制度（提供参加本次政府采购活动前的会计报表或审计报告，或银行出具的投标截止时间前六个月内银行出具的资信证明）；</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3.具有履行合同所必需的设备和专业技术能力（根据项目需求提供履行合同所必需的设备和专业技术能力的声明</w:t>
      </w:r>
      <w:bookmarkStart w:id="10" w:name="_Hlk128041996"/>
      <w:r>
        <w:rPr>
          <w:rFonts w:hint="eastAsia" w:asciiTheme="minorEastAsia" w:hAnsiTheme="minorEastAsia" w:eastAsiaTheme="minorEastAsia"/>
          <w:bCs/>
          <w:szCs w:val="21"/>
          <w:highlight w:val="none"/>
        </w:rPr>
        <w:t xml:space="preserve">或证明材料</w:t>
      </w:r>
      <w:bookmarkEnd w:id="10"/>
      <w:r>
        <w:rPr>
          <w:rFonts w:hint="eastAsia"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w:t>
      </w:r>
      <w:bookmarkStart w:id="11" w:name="_Hlk169006514"/>
      <w:r>
        <w:rPr>
          <w:rFonts w:hint="eastAsia" w:asciiTheme="minorEastAsia" w:hAnsiTheme="minorEastAsia" w:eastAsiaTheme="minorEastAsia"/>
          <w:bCs/>
          <w:szCs w:val="21"/>
          <w:highlight w:val="none"/>
        </w:rPr>
        <w:t xml:space="preserve">具有依法缴纳税收和社会保障资金的良好记录</w:t>
      </w:r>
      <w:bookmarkStart w:id="12" w:name="_Hlk168994408"/>
      <w:r>
        <w:rPr>
          <w:rFonts w:hint="eastAsia" w:asciiTheme="minorEastAsia" w:hAnsiTheme="minorEastAsia" w:eastAsiaTheme="minorEastAsia"/>
          <w:bCs/>
          <w:szCs w:val="21"/>
          <w:highlight w:val="none"/>
        </w:rPr>
        <w:t xml:space="preserve">（提供参加本次政府采购活动前一年内至少一个月缴纳社会保险的凭据及缴纳税收凭据）</w:t>
      </w:r>
      <w:bookmarkEnd w:id="12"/>
      <w:r>
        <w:rPr>
          <w:rFonts w:hint="eastAsia" w:asciiTheme="minorEastAsia" w:hAnsiTheme="minorEastAsia" w:eastAsiaTheme="minorEastAsia"/>
          <w:bCs/>
          <w:szCs w:val="21"/>
          <w:highlight w:val="none"/>
        </w:rPr>
        <w:t xml:space="preserve">；</w:t>
      </w:r>
      <w:bookmarkEnd w:id="11"/>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6.法律、行政法规规定的其他条件：无。</w:t>
      </w:r>
      <w:r/>
    </w:p>
    <w:p>
      <w:pPr>
        <w:ind w:firstLine="420"/>
        <w:jc w:val="left"/>
        <w:spacing w:line="360" w:lineRule="auto"/>
        <w:shd w:val="clear" w:color="auto" w:fill="ffffff"/>
        <w:widowControl/>
        <w:rPr>
          <w:rFonts w:hint="eastAsia" w:cs="宋体"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（二）</w:t>
      </w:r>
      <w:r>
        <w:rPr>
          <w:rFonts w:cs="Arial" w:asciiTheme="minorEastAsia" w:hAnsiTheme="minorEastAsia" w:eastAsiaTheme="minorEastAsia"/>
          <w:bCs/>
          <w:szCs w:val="21"/>
          <w:highlight w:val="none"/>
        </w:rPr>
        <w:t xml:space="preserve">落实政府采购政策需满足的资格要求：</w:t>
      </w:r>
      <w:bookmarkStart w:id="13" w:name="_Hlk128042064"/>
      <w:r>
        <w:rPr>
          <w:rFonts w:hint="eastAsia" w:cs="宋体" w:asciiTheme="minorEastAsia" w:hAnsiTheme="minorEastAsia" w:eastAsiaTheme="minorEastAsia"/>
          <w:bCs/>
          <w:szCs w:val="21"/>
          <w:highlight w:val="none"/>
        </w:rPr>
        <w:t xml:space="preserve">无。</w:t>
      </w:r>
      <w:bookmarkEnd w:id="13"/>
      <w:r/>
      <w:r/>
    </w:p>
    <w:p>
      <w:pPr>
        <w:ind w:firstLine="420"/>
        <w:spacing w:line="360" w:lineRule="auto"/>
        <w:rPr>
          <w:rFonts w:hint="eastAsia" w:cs="Arial" w:asciiTheme="minorEastAsia" w:hAnsiTheme="minorEastAsia"/>
          <w:bCs/>
          <w:szCs w:val="21"/>
          <w:highlight w:val="none"/>
        </w:rPr>
      </w:pPr>
      <w:r/>
      <w:bookmarkStart w:id="14" w:name="_Hlk67996638"/>
      <w:r/>
      <w:bookmarkStart w:id="15" w:name="_Hlk67648547"/>
      <w:r>
        <w:rPr>
          <w:rFonts w:hint="eastAsia" w:cs="Arial" w:asciiTheme="minorEastAsia" w:hAnsiTheme="minorEastAsia" w:eastAsiaTheme="minorEastAsia"/>
          <w:bCs/>
          <w:szCs w:val="21"/>
          <w:highlight w:val="none"/>
        </w:rPr>
        <w:t xml:space="preserve">（三）本项目特定资格要求</w:t>
      </w:r>
      <w:bookmarkEnd w:id="14"/>
      <w:r>
        <w:rPr>
          <w:rFonts w:hint="eastAsia" w:cs="Arial" w:asciiTheme="minorEastAsia" w:hAnsiTheme="minorEastAsia" w:eastAsiaTheme="minorEastAsia"/>
          <w:bCs/>
          <w:szCs w:val="21"/>
          <w:highlight w:val="none"/>
        </w:rPr>
        <w:t xml:space="preserve">：</w:t>
      </w:r>
      <w:bookmarkEnd w:id="15"/>
      <w:r>
        <w:rPr>
          <w:rFonts w:hint="eastAsia" w:ascii="宋体" w:hAnsi="宋体" w:cs="宋体"/>
          <w:b/>
          <w:bCs/>
          <w:highlight w:val="none"/>
        </w:rPr>
        <w:t xml:space="preserve">投标人须具有行政主管部门颁发的《食品经营许可证》（提供有效期内的相关证书复印件加盖投标人公章）。</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bookmarkStart w:id="16" w:name="_Hlk77845490"/>
      <w:r/>
      <w:bookmarkStart w:id="17" w:name="_Hlk77846375"/>
      <w:r>
        <w:rPr>
          <w:rFonts w:cs="Arial" w:asciiTheme="minorEastAsia" w:hAnsiTheme="minorEastAsia" w:eastAsiaTheme="minorEastAsia"/>
          <w:b/>
          <w:szCs w:val="21"/>
          <w:highlight w:val="none"/>
        </w:rPr>
        <w:t xml:space="preserve">三、获取</w:t>
      </w:r>
      <w:r>
        <w:rPr>
          <w:rFonts w:hint="eastAsia" w:cs="Arial" w:asciiTheme="minorEastAsia" w:hAnsiTheme="minorEastAsia" w:eastAsiaTheme="minorEastAsia"/>
          <w:b/>
          <w:szCs w:val="21"/>
          <w:highlight w:val="none"/>
        </w:rPr>
        <w:t xml:space="preserve">采购</w:t>
      </w:r>
      <w:r>
        <w:rPr>
          <w:rFonts w:cs="Arial" w:asciiTheme="minorEastAsia" w:hAnsiTheme="minorEastAsia" w:eastAsiaTheme="minorEastAsia"/>
          <w:b/>
          <w:szCs w:val="21"/>
          <w:highlight w:val="none"/>
        </w:rPr>
        <w:t xml:space="preserve">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highlight w:val="none"/>
        </w:rPr>
      </w:pPr>
      <w:r/>
      <w:bookmarkStart w:id="18" w:name="_Hlk165968429"/>
      <w:r>
        <w:rPr>
          <w:rFonts w:hint="eastAsia" w:cs="Arial" w:asciiTheme="minorEastAsia" w:hAnsiTheme="minorEastAsia" w:eastAsiaTheme="minorEastAsia"/>
          <w:spacing w:val="8"/>
          <w:szCs w:val="21"/>
          <w:highlight w:val="none"/>
        </w:rPr>
        <w:t xml:space="preserve">时间：</w:t>
      </w:r>
      <w:bookmarkEnd w:id="16"/>
      <w:r>
        <w:rPr>
          <w:rFonts w:hint="eastAsia" w:cs="宋体" w:asciiTheme="minorEastAsia" w:hAnsiTheme="minorEastAsia" w:eastAsiaTheme="minorEastAsia"/>
          <w:szCs w:val="21"/>
          <w:highlight w:val="none"/>
        </w:rPr>
        <w:t xml:space="preserve">自采购文件公告发布之日起5个工作日</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9" w:name="_Hlk77845475"/>
      <w:r>
        <w:rPr>
          <w:rFonts w:hint="eastAsia" w:asciiTheme="minorEastAsia" w:hAnsiTheme="minorEastAsia" w:eastAsiaTheme="minorEastAsia"/>
          <w:szCs w:val="21"/>
          <w:highlight w:val="none"/>
        </w:rPr>
        <w:t xml:space="preserve">地点：</w:t>
      </w:r>
      <w:bookmarkStart w:id="20" w:name="OLE_LINK20"/>
      <w:r>
        <w:rPr>
          <w:rFonts w:hint="eastAsia" w:asciiTheme="minorEastAsia" w:hAnsiTheme="minorEastAsia" w:eastAsiaTheme="minorEastAsia"/>
          <w:szCs w:val="21"/>
          <w:highlight w:val="none"/>
        </w:rPr>
        <w:t xml:space="preserve">江苏政府采购网</w:t>
      </w:r>
      <w:bookmarkStart w:id="21" w:name="OLE_LINK21"/>
      <w:r>
        <w:rPr>
          <w:rFonts w:hint="eastAsia" w:asciiTheme="minorEastAsia" w:hAnsiTheme="minorEastAsia" w:eastAsiaTheme="minorEastAsia"/>
          <w:szCs w:val="21"/>
          <w:highlight w:val="none"/>
        </w:rPr>
        <w:t xml:space="preserve">“苏采云”系统</w:t>
      </w:r>
      <w:bookmarkEnd w:id="20"/>
      <w:r/>
      <w:bookmarkEnd w:id="21"/>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22" w:name="_Hlk75168366"/>
      <w:r/>
      <w:bookmarkStart w:id="23" w:name="_Hlk168491149"/>
      <w:r/>
      <w:bookmarkStart w:id="24" w:name="_Hlk164960028"/>
      <w:r/>
      <w:bookmarkStart w:id="25" w:name="_Hlk168491228"/>
      <w:r>
        <w:rPr>
          <w:rFonts w:hint="eastAsia" w:asciiTheme="minorEastAsia" w:hAnsiTheme="minorEastAsia" w:eastAsiaTheme="minorEastAsia"/>
          <w:szCs w:val="21"/>
          <w:highlight w:val="none"/>
        </w:rPr>
        <w:t xml:space="preserve">方式：</w:t>
      </w:r>
      <w:bookmarkEnd w:id="22"/>
      <w:r/>
      <w:bookmarkStart w:id="26" w:name="_Hlk163662034"/>
      <w:r/>
      <w:bookmarkStart w:id="27" w:name="_Hlk168492824"/>
      <w:r/>
      <w:bookmarkStart w:id="28" w:name="_Hlk95487722"/>
      <w:r>
        <w:rPr>
          <w:rFonts w:hint="eastAsia" w:asciiTheme="minorEastAsia" w:hAnsiTheme="minorEastAsia" w:eastAsiaTheme="minorEastAsia"/>
          <w:szCs w:val="21"/>
          <w:highlight w:val="none"/>
        </w:rPr>
        <w:t xml:space="preserve">投标人登陆江苏政府采购网，在网站首页点击“苏采云”系统自行免费下载</w:t>
      </w:r>
      <w:bookmarkEnd w:id="18"/>
      <w:r/>
      <w:bookmarkEnd w:id="23"/>
      <w:r/>
      <w:bookmarkEnd w:id="24"/>
      <w:r/>
      <w:bookmarkEnd w:id="25"/>
      <w:r/>
      <w:bookmarkEnd w:id="26"/>
      <w:r/>
      <w:bookmarkEnd w:id="27"/>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29" w:name="_Hlk128043211"/>
      <w:r>
        <w:rPr>
          <w:rFonts w:hint="eastAsia" w:asciiTheme="minorEastAsia" w:hAnsiTheme="minorEastAsia" w:eastAsiaTheme="minorEastAsia"/>
          <w:szCs w:val="21"/>
          <w:highlight w:val="none"/>
        </w:rPr>
        <w:t xml:space="preserve">售价：0元</w:t>
      </w:r>
      <w:bookmarkEnd w:id="17"/>
      <w:r/>
      <w:bookmarkEnd w:id="19"/>
      <w:r/>
      <w:bookmarkEnd w:id="28"/>
      <w:r/>
      <w:bookmarkEnd w:id="29"/>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四、</w:t>
      </w:r>
      <w:bookmarkStart w:id="30" w:name="_Hlk44579106"/>
      <w:r>
        <w:rPr>
          <w:rFonts w:hint="eastAsia" w:cs="Arial" w:asciiTheme="minorEastAsia" w:hAnsiTheme="minorEastAsia" w:eastAsiaTheme="minorEastAsia"/>
          <w:b/>
          <w:szCs w:val="21"/>
          <w:highlight w:val="none"/>
        </w:rPr>
        <w:t xml:space="preserve">提交投标文件截止时间、开标时间和地点</w:t>
      </w:r>
      <w:bookmarkEnd w:id="30"/>
      <w:r/>
      <w:r/>
    </w:p>
    <w:p>
      <w:pPr>
        <w:ind w:firstLine="452"/>
        <w:jc w:val="left"/>
        <w:spacing w:line="360" w:lineRule="auto"/>
        <w:shd w:val="clear" w:color="auto" w:fill="ffffff"/>
        <w:widowControl/>
        <w:rPr>
          <w:rFonts w:hint="eastAsia" w:cs="Arial" w:asciiTheme="minorEastAsia" w:hAnsiTheme="minorEastAsia" w:eastAsiaTheme="minorEastAsia"/>
          <w:szCs w:val="21"/>
          <w:highlight w:val="none"/>
        </w:rPr>
      </w:pPr>
      <w:r/>
      <w:bookmarkStart w:id="31" w:name="_Hlk44575721"/>
      <w:r>
        <w:rPr>
          <w:rFonts w:hint="eastAsia" w:cs="Arial" w:asciiTheme="minorEastAsia" w:hAnsiTheme="minorEastAsia" w:eastAsiaTheme="minorEastAsia"/>
          <w:spacing w:val="8"/>
          <w:szCs w:val="21"/>
          <w:highlight w:val="none"/>
        </w:rPr>
        <w:t xml:space="preserve">2026年11月16日</w:t>
      </w:r>
      <w:r>
        <w:rPr>
          <w:rFonts w:hint="eastAsia" w:cs="宋体" w:asciiTheme="minorEastAsia" w:hAnsiTheme="minorEastAsia" w:eastAsiaTheme="minorEastAsia"/>
          <w:spacing w:val="8"/>
          <w:highlight w:val="none"/>
        </w:rPr>
        <w:t xml:space="preserve">08:30</w:t>
      </w:r>
      <w:bookmarkEnd w:id="31"/>
      <w:r>
        <w:rPr>
          <w:rFonts w:hint="eastAsia" w:cs="宋体" w:asciiTheme="minorEastAsia" w:hAnsiTheme="minorEastAsia" w:eastAsiaTheme="minorEastAsia"/>
          <w:spacing w:val="8"/>
          <w:highlight w:val="none"/>
        </w:rPr>
        <w:t xml:space="preserve">（北</w:t>
      </w:r>
      <w:r>
        <w:rPr>
          <w:rFonts w:hint="eastAsia" w:cs="Arial" w:asciiTheme="minorEastAsia" w:hAnsiTheme="minorEastAsia" w:eastAsiaTheme="minorEastAsia"/>
          <w:szCs w:val="21"/>
          <w:highlight w:val="none"/>
        </w:rPr>
        <w:t xml:space="preserve">京时间）</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地点：</w:t>
      </w:r>
      <w:bookmarkStart w:id="32" w:name="_Hlk176530129"/>
      <w:r>
        <w:rPr>
          <w:rFonts w:hint="eastAsia" w:asciiTheme="minorEastAsia" w:hAnsiTheme="minorEastAsia" w:eastAsiaTheme="minorEastAsia"/>
          <w:szCs w:val="21"/>
          <w:highlight w:val="none"/>
        </w:rPr>
        <w:t xml:space="preserve">“苏采云”系统开标大厅</w:t>
      </w:r>
      <w:bookmarkEnd w:id="32"/>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五</w:t>
      </w:r>
      <w:r>
        <w:rPr>
          <w:rFonts w:cs="Arial" w:asciiTheme="minorEastAsia" w:hAnsiTheme="minorEastAsia" w:eastAsiaTheme="minorEastAsia"/>
          <w:b/>
          <w:bCs/>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自本公告发布之日起</w:t>
      </w:r>
      <w:r>
        <w:rPr>
          <w:rFonts w:hint="eastAsia" w:cs="Arial" w:asciiTheme="minorEastAsia" w:hAnsiTheme="minorEastAsia" w:eastAsiaTheme="minorEastAsia"/>
          <w:szCs w:val="21"/>
          <w:highlight w:val="none"/>
        </w:rPr>
        <w:t xml:space="preserve">5</w:t>
      </w:r>
      <w:r>
        <w:rPr>
          <w:rFonts w:cs="Arial" w:asciiTheme="minorEastAsia" w:hAnsiTheme="minorEastAsia" w:eastAsiaTheme="minorEastAsia"/>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lang w:val="zh-CN"/>
        </w:rPr>
        <w:t xml:space="preserve">六</w:t>
      </w:r>
      <w:r>
        <w:rPr>
          <w:rFonts w:cs="Arial" w:asciiTheme="minorEastAsia" w:hAnsiTheme="minorEastAsia" w:eastAsiaTheme="minorEastAsia"/>
          <w:b/>
          <w:bCs/>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w:t>
      </w:r>
      <w:r>
        <w:rPr>
          <w:rFonts w:hint="eastAsia" w:asciiTheme="minorEastAsia" w:hAnsiTheme="minorEastAsia" w:eastAsiaTheme="minorEastAsia"/>
          <w:highlight w:val="none"/>
          <w:shd w:val="clear" w:color="auto" w:fill="ffffff"/>
        </w:rPr>
        <w:t xml:space="preserve">本项目根据中小企业划型标准属于：</w:t>
      </w:r>
      <w:r>
        <w:rPr>
          <w:rFonts w:hint="eastAsia" w:ascii="宋体" w:hAnsi="宋体" w:cs="宋体" w:eastAsiaTheme="minorEastAsia"/>
          <w:b/>
          <w:bCs/>
          <w:szCs w:val="21"/>
          <w:highlight w:val="none"/>
          <w:lang w:bidi="ar"/>
        </w:rPr>
        <w:t xml:space="preserve">批发</w:t>
      </w:r>
      <w:r>
        <w:rPr>
          <w:rFonts w:hint="eastAsia" w:ascii="宋体" w:hAnsi="宋体" w:cs="宋体"/>
          <w:b/>
          <w:bCs/>
          <w:szCs w:val="21"/>
          <w:highlight w:val="none"/>
          <w:lang w:bidi="ar"/>
        </w:rPr>
        <w:t xml:space="preserve">业</w:t>
      </w:r>
      <w:r>
        <w:rPr>
          <w:rFonts w:hint="eastAsia" w:asciiTheme="minorEastAsia" w:hAnsiTheme="minorEastAsia" w:eastAsiaTheme="minorEastAsia"/>
          <w:highlight w:val="none"/>
          <w:shd w:val="clear" w:color="auto" w:fill="ffffff"/>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2.本项目在</w:t>
      </w:r>
      <w:r>
        <w:rPr>
          <w:rFonts w:hint="eastAsia" w:ascii="宋体" w:hAnsi="宋体" w:cs="宋体"/>
          <w:b/>
          <w:szCs w:val="21"/>
          <w:highlight w:val="none"/>
        </w:rPr>
        <w:t xml:space="preserve">江苏政府采购网、中国政府采购网</w:t>
      </w:r>
      <w:r>
        <w:rPr>
          <w:rFonts w:hint="eastAsia" w:ascii="宋体" w:hAnsi="宋体" w:cs="宋体"/>
          <w:bCs/>
          <w:szCs w:val="21"/>
          <w:highlight w:val="none"/>
        </w:rPr>
        <w:t xml:space="preserve">发布公告（其他媒体转载无效）。</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3.本项目不专门面向中小微企业采购，执行价格扣除优惠政策，</w:t>
      </w:r>
      <w:r>
        <w:rPr>
          <w:rFonts w:hint="eastAsia" w:ascii="宋体" w:hAnsi="宋体" w:cs="宋体"/>
          <w:szCs w:val="21"/>
          <w:highlight w:val="none"/>
        </w:rPr>
        <w:t xml:space="preserve">具体内容详见采购文件第二章政策功能。</w:t>
      </w:r>
      <w:r/>
    </w:p>
    <w:p>
      <w:pPr>
        <w:ind w:firstLine="420"/>
        <w:jc w:val="left"/>
        <w:spacing w:line="360" w:lineRule="auto"/>
        <w:rPr>
          <w:rFonts w:hint="eastAsia" w:ascii="宋体" w:hAnsi="宋体" w:cs="宋体"/>
          <w:szCs w:val="21"/>
          <w:highlight w:val="none"/>
          <w:u w:val="single"/>
        </w:rPr>
      </w:pPr>
      <w:r>
        <w:rPr>
          <w:rFonts w:hint="eastAsia" w:ascii="宋体" w:hAnsi="宋体" w:cs="宋体"/>
          <w:bCs/>
          <w:szCs w:val="21"/>
          <w:highlight w:val="none"/>
        </w:rPr>
        <w:t xml:space="preserve">4.勘察现场或答疑：采购人不统一组织，有需要的投标人可自行勘察。</w:t>
      </w:r>
      <w:r/>
    </w:p>
    <w:p>
      <w:pPr>
        <w:ind w:firstLine="422"/>
        <w:jc w:val="left"/>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rPr>
        <w:t xml:space="preserve">5</w:t>
      </w:r>
      <w:r>
        <w:rPr>
          <w:rFonts w:hint="eastAsia" w:ascii="宋体" w:hAnsi="宋体" w:cs="宋体"/>
          <w:b/>
          <w:bCs/>
          <w:szCs w:val="21"/>
          <w:highlight w:val="none"/>
          <w:lang w:val="zh-CN"/>
        </w:rPr>
        <w:t xml:space="preserve">.拒绝下述投标人参加本次采购活动</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（1）投标人单位负责人为同一人或者存在直接控股、管理关系的不同投标人，不得参加同一合同项下的政府采购活动。</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（2）为采购项目提供整体设计、规范编制或者项目管理、监理、检测等服务的投标人，不得参加本项目的采购活动。</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（3）投标人被“信用中国”网站（www.creditchina.gov.cn）、“中国政府采购网”(www.ccgp.gov.cn)列入失信被执行人、重大税收违法案件当事人名单、政府采购严重违法失信行为记录名单。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（4）投标人未提供《南京市政府采购供应商信用承诺书》。</w:t>
      </w:r>
      <w:r/>
    </w:p>
    <w:p>
      <w:pPr>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6.</w:t>
      </w:r>
      <w:bookmarkStart w:id="33" w:name="OLE_LINK17"/>
      <w:r>
        <w:rPr>
          <w:rFonts w:hint="eastAsia" w:ascii="宋体" w:hAnsi="宋体" w:cs="宋体"/>
          <w:b/>
          <w:szCs w:val="21"/>
          <w:highlight w:val="none"/>
        </w:rPr>
        <w:t xml:space="preserve">投标人</w:t>
      </w:r>
      <w:bookmarkEnd w:id="33"/>
      <w:r>
        <w:rPr>
          <w:rFonts w:hint="eastAsia" w:ascii="宋体" w:hAnsi="宋体" w:cs="宋体"/>
          <w:b/>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highlight w:val="none"/>
        </w:rPr>
        <w:fldChar w:fldCharType="begin"/>
      </w:r>
      <w:r>
        <w:rPr>
          <w:highlight w:val="none"/>
        </w:rPr>
        <w:instrText xml:space="preserve"> HYPERLINK "http://www.ccgp-jiangsu.gov.cn/jiangsu/zlxz/ee/ee3a4bc5a3454aa2b0d9312230633ce9.html" </w:instrText>
      </w:r>
      <w:r>
        <w:rPr>
          <w:rFonts w:hint="eastAsia"/>
          <w:highlight w:val="none"/>
        </w:rPr>
        <w:fldChar w:fldCharType="separate"/>
      </w:r>
      <w:r>
        <w:rPr>
          <w:rFonts w:hint="eastAsia" w:ascii="宋体" w:hAnsi="宋体" w:cs="宋体"/>
          <w:b/>
          <w:szCs w:val="21"/>
          <w:highlight w:val="none"/>
          <w:u w:val="single"/>
        </w:rPr>
        <w:t xml:space="preserve">下载地址</w:t>
      </w:r>
      <w:r>
        <w:rPr>
          <w:rFonts w:hint="eastAsia" w:ascii="宋体" w:hAnsi="宋体" w:cs="宋体"/>
          <w:b/>
          <w:szCs w:val="21"/>
          <w:highlight w:val="none"/>
          <w:u w:val="single"/>
        </w:rPr>
        <w:fldChar w:fldCharType="end"/>
      </w:r>
      <w:r>
        <w:rPr>
          <w:rFonts w:hint="eastAsia" w:ascii="宋体" w:hAnsi="宋体" w:cs="宋体"/>
          <w:b/>
          <w:szCs w:val="21"/>
          <w:highlight w:val="none"/>
        </w:rPr>
        <w:t xml:space="preserve">（http://www.ccgp-jiangsu.gov.cn/jiangsu/zlxz/ee/ee3a4bc5a3454aa2b0d9312230633ce9.html）。</w:t>
      </w:r>
      <w:bookmarkStart w:id="34" w:name="OLE_LINK2"/>
      <w:r>
        <w:rPr>
          <w:rFonts w:hint="eastAsia" w:ascii="宋体" w:hAnsi="宋体" w:cs="宋体"/>
          <w:b/>
          <w:szCs w:val="21"/>
          <w:highlight w:val="none"/>
        </w:rPr>
        <w:t xml:space="preserve">“苏采云”南京地区客服热线025-83633744、025-83633743。</w:t>
      </w:r>
      <w:bookmarkEnd w:id="34"/>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7.有关本次采购的事项若存在变动或修改，请及时关注“江苏政府采购网”（www.ccgp-jiangsu.gov.cn）更正公告。</w:t>
      </w:r>
      <w:r/>
    </w:p>
    <w:p>
      <w:pPr>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8.政府采购信用承诺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根据《关于在政府采购活动中推行信用承诺制的通知》宁财购通〔2021)5号规定，在政府采购资格审查环节，供应商只需提供《南京市政府采购供应商信用承诺书》，即可替代以下证明材料：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（1）符合国家相关规定的财务状况报告；</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（2）依法缴纳税收的证明材料；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（3）依法缴纳社会保障资金的证明材料；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（4）具备履行政府采购合同所必需的设备和专业技术能力的证明材料；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（5）参加政府采购活动前三年内在经营活动中没有重大违法记录的证明材料；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供应商在中标后，应按采购文件要求，将上述由信用承诺书替代的证明材料（一式两份）加盖公章，提交采购人或采购代理机构核验。经核验无误后，由采购人或采购代理机构发出中标通知书。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投标人涉及以下情形的，不适用信用承诺: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（1）投标人被列入严重失信主体名单；</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（2）被相关监管部门作出行政处罚且尚在处罚有效期内；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（3）其他法律、行政法规规定的不适用信用承诺的情形；</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投标人对信用承诺内容的真实性、合法性、有效性负责。如作出虚假信用承诺，视同为“提供虚假材料谋取中标、成交”的违法行为。</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七</w:t>
      </w:r>
      <w:r>
        <w:rPr>
          <w:rFonts w:cs="Arial" w:asciiTheme="minorEastAsia" w:hAnsiTheme="minorEastAsia" w:eastAsiaTheme="minorEastAsia"/>
          <w:b/>
          <w:bCs/>
          <w:szCs w:val="21"/>
          <w:highlight w:val="none"/>
        </w:rPr>
        <w:t xml:space="preserve">、对本次</w:t>
      </w:r>
      <w:r>
        <w:rPr>
          <w:rFonts w:hint="eastAsia" w:cs="Arial" w:asciiTheme="minorEastAsia" w:hAnsiTheme="minorEastAsia" w:eastAsiaTheme="minorEastAsia"/>
          <w:b/>
          <w:bCs/>
          <w:szCs w:val="21"/>
          <w:highlight w:val="none"/>
        </w:rPr>
        <w:t xml:space="preserve">采购</w:t>
      </w:r>
      <w:r>
        <w:rPr>
          <w:rFonts w:cs="Arial" w:asciiTheme="minorEastAsia" w:hAnsiTheme="minorEastAsia" w:eastAsiaTheme="minorEastAsia"/>
          <w:b/>
          <w:bCs/>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1.</w:t>
      </w:r>
      <w:r>
        <w:rPr>
          <w:rFonts w:cs="Arial" w:asciiTheme="minorEastAsia" w:hAnsiTheme="minorEastAsia" w:eastAsiaTheme="minorEastAsia"/>
          <w:b/>
          <w:szCs w:val="21"/>
          <w:highlight w:val="none"/>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Cs/>
          <w:szCs w:val="21"/>
          <w:highlight w:val="none"/>
        </w:rPr>
        <w:t xml:space="preserve">单位名称：南京市公共交通和城市轨道公安局</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单位地址：南京市雨花台区小行路158号‌ </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zh-CN"/>
        </w:rPr>
        <w:t xml:space="preserve">联系人：</w:t>
      </w:r>
      <w:r>
        <w:rPr>
          <w:rFonts w:hint="eastAsia" w:asciiTheme="minorEastAsia" w:hAnsiTheme="minorEastAsia" w:eastAsiaTheme="minorEastAsia"/>
          <w:szCs w:val="21"/>
          <w:highlight w:val="none"/>
        </w:rPr>
        <w:t xml:space="preserve">张警官</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zh-CN"/>
        </w:rPr>
        <w:t xml:space="preserve">联系电话：025-84426033</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2.采购代理机构信息（如有）</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单位名称：江苏国采工程咨询有限公司</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lang w:val="zh-CN"/>
        </w:rPr>
      </w:pPr>
      <w:r>
        <w:rPr>
          <w:rFonts w:hint="eastAsia" w:cs="Arial" w:asciiTheme="minorEastAsia" w:hAnsiTheme="minorEastAsia" w:eastAsiaTheme="minorEastAsia"/>
          <w:bCs/>
          <w:szCs w:val="21"/>
          <w:highlight w:val="none"/>
          <w:lang w:val="zh-CN"/>
        </w:rPr>
        <w:t xml:space="preserve">单位地址：南京市山西路8号金山大厦A座28层2810室</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lang w:val="zh-CN"/>
        </w:rPr>
      </w:pPr>
      <w:r>
        <w:rPr>
          <w:rFonts w:hint="eastAsia" w:cs="Arial" w:asciiTheme="minorEastAsia" w:hAnsiTheme="minorEastAsia" w:eastAsiaTheme="minorEastAsia"/>
          <w:bCs/>
          <w:szCs w:val="21"/>
          <w:highlight w:val="none"/>
          <w:lang w:val="zh-CN"/>
        </w:rPr>
        <w:t xml:space="preserve">邮箱:jsgczb@sina.com</w:t>
      </w:r>
      <w:r/>
    </w:p>
    <w:p>
      <w:pPr>
        <w:ind w:firstLine="420"/>
        <w:spacing w:line="360" w:lineRule="auto"/>
        <w:rPr>
          <w:rFonts w:hint="eastAsia" w:cs="Arial" w:asciiTheme="minorEastAsia" w:hAnsiTheme="minorEastAsia"/>
          <w:bCs/>
          <w:szCs w:val="21"/>
          <w:highlight w:val="none"/>
        </w:rPr>
      </w:pPr>
      <w:r>
        <w:rPr>
          <w:rFonts w:hint="eastAsia" w:cs="Arial" w:asciiTheme="minorEastAsia" w:hAnsiTheme="minorEastAsia" w:eastAsiaTheme="minorEastAsia"/>
          <w:bCs/>
          <w:szCs w:val="21"/>
          <w:highlight w:val="none"/>
          <w:lang w:val="zh-CN"/>
        </w:rPr>
        <w:t xml:space="preserve">联系人：</w:t>
      </w:r>
      <w:r>
        <w:rPr>
          <w:rFonts w:hint="eastAsia" w:ascii="宋体" w:hAnsi="宋体"/>
          <w:szCs w:val="21"/>
          <w:highlight w:val="none"/>
          <w:lang w:val="zh-CN"/>
        </w:rPr>
        <w:t xml:space="preserve">宋玮 高捷 顾诗洁</w:t>
      </w:r>
      <w:r>
        <w:rPr>
          <w:rFonts w:hint="eastAsia" w:ascii="宋体" w:hAnsi="宋体"/>
          <w:szCs w:val="21"/>
          <w:highlight w:val="none"/>
        </w:rPr>
        <w:t xml:space="preserve"> 濮钰铃</w:t>
      </w:r>
      <w:r/>
    </w:p>
    <w:p>
      <w:pPr>
        <w:ind w:firstLine="420"/>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lang w:val="zh-CN"/>
        </w:rPr>
        <w:t xml:space="preserve">联系电话：</w:t>
      </w:r>
      <w:r>
        <w:rPr>
          <w:rFonts w:hint="eastAsia" w:cs="Arial" w:asciiTheme="minorEastAsia" w:hAnsiTheme="minorEastAsia" w:eastAsiaTheme="minorEastAsia"/>
          <w:bCs/>
          <w:szCs w:val="21"/>
          <w:highlight w:val="none"/>
        </w:rPr>
        <w:t xml:space="preserve">025-83690579  025-83692278 </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3.</w:t>
      </w:r>
      <w:r>
        <w:rPr>
          <w:rFonts w:cs="Arial" w:asciiTheme="minorEastAsia" w:hAnsiTheme="minorEastAsia" w:eastAsiaTheme="minorEastAsia"/>
          <w:b/>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项目联系人：</w:t>
      </w:r>
      <w:r>
        <w:rPr>
          <w:rFonts w:hint="eastAsia" w:ascii="宋体" w:hAnsi="宋体"/>
          <w:szCs w:val="21"/>
          <w:highlight w:val="none"/>
          <w:lang w:val="zh-CN"/>
        </w:rPr>
        <w:t xml:space="preserve">宋玮 高捷 顾诗洁 濮钰铃</w:t>
      </w:r>
      <w:r/>
    </w:p>
    <w:p>
      <w:pPr>
        <w:ind w:firstLine="420"/>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电话：</w:t>
      </w:r>
      <w:bookmarkEnd w:id="3"/>
      <w:r>
        <w:rPr>
          <w:rFonts w:hint="eastAsia" w:cs="Arial" w:asciiTheme="minorEastAsia" w:hAnsiTheme="minorEastAsia" w:eastAsiaTheme="minorEastAsia"/>
          <w:bCs/>
          <w:szCs w:val="21"/>
          <w:highlight w:val="none"/>
        </w:rPr>
        <w:t xml:space="preserve">025-83690579  025-83692278 </w:t>
      </w:r>
      <w:r/>
    </w:p>
    <w:p>
      <w:pPr>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br w:type="page" w:clear="all"/>
      </w:r>
      <w:r/>
    </w:p>
    <w:p>
      <w:pPr>
        <w:jc w:val="center"/>
        <w:keepLines/>
        <w:keepNext/>
        <w:spacing w:before="340" w:after="330" w:line="360" w:lineRule="auto"/>
        <w:rPr>
          <w:rFonts w:hint="eastAsia" w:ascii="宋体" w:hAnsi="宋体" w:cs="宋体"/>
          <w:b/>
          <w:bCs/>
          <w:sz w:val="32"/>
          <w:szCs w:val="44"/>
          <w:highlight w:val="none"/>
        </w:rPr>
        <w:outlineLvl w:val="0"/>
      </w:pPr>
      <w:r/>
      <w:bookmarkStart w:id="35" w:name="_Toc198382927"/>
      <w:r/>
      <w:bookmarkStart w:id="36" w:name="_Toc7511"/>
      <w:r/>
      <w:bookmarkStart w:id="37" w:name="_Toc15375"/>
      <w:r>
        <w:rPr>
          <w:rFonts w:hint="eastAsia" w:ascii="宋体" w:hAnsi="宋体" w:cs="宋体"/>
          <w:b/>
          <w:bCs/>
          <w:sz w:val="32"/>
          <w:szCs w:val="44"/>
          <w:highlight w:val="none"/>
        </w:rPr>
        <w:t xml:space="preserve">第二章</w:t>
      </w:r>
      <w:bookmarkStart w:id="38" w:name="_Toc452625218"/>
      <w:r>
        <w:rPr>
          <w:rFonts w:hint="eastAsia" w:ascii="宋体" w:hAnsi="宋体" w:cs="宋体"/>
          <w:b/>
          <w:bCs/>
          <w:sz w:val="32"/>
          <w:szCs w:val="44"/>
          <w:highlight w:val="none"/>
        </w:rPr>
        <w:t xml:space="preserve"> 投标人须知</w:t>
      </w:r>
      <w:bookmarkEnd w:id="35"/>
      <w:r/>
      <w:bookmarkEnd w:id="36"/>
      <w:r/>
      <w:bookmarkEnd w:id="37"/>
      <w:r/>
      <w:bookmarkEnd w:id="38"/>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一、总则</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1.1本次采购适用《中华人民共和国政府采购法》、《中华人民共和国政府采购法实施条例》、《政府采购货物或服务采购投标管理办法》等法律、行政法规、部门规章和规范性文件。</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p>
    <w:p>
      <w:pPr>
        <w:ind w:firstLine="420"/>
        <w:jc w:val="left"/>
        <w:spacing w:line="360" w:lineRule="auto"/>
        <w:shd w:val="clear" w:color="auto" w:fill="ffffff"/>
        <w:widowControl/>
        <w:rPr>
          <w:rFonts w:hint="eastAsia" w:ascii="宋体" w:hAnsi="宋体" w:cs="宋体"/>
          <w:szCs w:val="21"/>
          <w:highlight w:val="none"/>
        </w:rPr>
      </w:pPr>
      <w:r/>
      <w:bookmarkStart w:id="39" w:name="_Hlk44576213"/>
      <w:r>
        <w:rPr>
          <w:rFonts w:hint="eastAsia" w:ascii="宋体" w:hAnsi="宋体" w:cs="宋体"/>
          <w:szCs w:val="21"/>
          <w:highlight w:val="none"/>
        </w:rPr>
        <w:t xml:space="preserve">2.1“采购人”是指南京市公共交通和城市轨道公安局。</w:t>
      </w:r>
      <w:bookmarkEnd w:id="39"/>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2.2“投标人或供应商”是指参加投标竞争，并符合采购文件规定资格条件的法人、其他组织或者自然人。</w:t>
      </w:r>
      <w:r/>
    </w:p>
    <w:p>
      <w:pPr>
        <w:ind w:firstLine="420"/>
        <w:jc w:val="left"/>
        <w:spacing w:line="360" w:lineRule="auto"/>
        <w:shd w:val="clear" w:color="auto" w:fill="ffffff"/>
        <w:widowControl/>
        <w:rPr>
          <w:rFonts w:hint="eastAsia" w:ascii="宋体" w:hAnsi="宋体" w:cs="宋体"/>
          <w:szCs w:val="21"/>
          <w:highlight w:val="none"/>
        </w:rPr>
      </w:pPr>
      <w:r/>
      <w:bookmarkStart w:id="40" w:name="_Hlk44576222"/>
      <w:r>
        <w:rPr>
          <w:rFonts w:hint="eastAsia" w:ascii="宋体" w:hAnsi="宋体" w:cs="宋体"/>
          <w:szCs w:val="21"/>
          <w:highlight w:val="none"/>
        </w:rPr>
        <w:t xml:space="preserve">2.3“采购代理机构”是指江苏国采工程咨询有限公司。</w:t>
      </w:r>
      <w:bookmarkEnd w:id="40"/>
      <w:r/>
      <w:r/>
    </w:p>
    <w:p>
      <w:pPr>
        <w:ind w:firstLine="420"/>
        <w:jc w:val="left"/>
        <w:spacing w:line="360" w:lineRule="auto"/>
        <w:shd w:val="clear" w:color="auto" w:fill="ffffff"/>
        <w:widowControl/>
        <w:rPr>
          <w:rFonts w:hint="eastAsia" w:ascii="宋体" w:hAnsi="宋体" w:cs="宋体"/>
          <w:szCs w:val="21"/>
          <w:highlight w:val="none"/>
        </w:rPr>
      </w:pPr>
      <w:r/>
      <w:bookmarkStart w:id="41" w:name="_Hlk118723819"/>
      <w:r/>
      <w:bookmarkStart w:id="42" w:name="_Hlk84583107"/>
      <w:r>
        <w:rPr>
          <w:rFonts w:hint="eastAsia" w:ascii="宋体" w:hAnsi="宋体" w:cs="宋体"/>
          <w:szCs w:val="21"/>
          <w:highlight w:val="none"/>
        </w:rPr>
        <w:t xml:space="preserve">2.4“货物和服务”指本采购文件中所述</w:t>
      </w:r>
      <w:r>
        <w:rPr>
          <w:rFonts w:hint="eastAsia" w:ascii="宋体" w:hAnsi="宋体" w:cs="宋体"/>
          <w:bCs/>
          <w:szCs w:val="21"/>
          <w:highlight w:val="none"/>
        </w:rPr>
        <w:t xml:space="preserve">产品及配套服务</w:t>
      </w:r>
      <w:r>
        <w:rPr>
          <w:rFonts w:hint="eastAsia" w:ascii="宋体" w:hAnsi="宋体" w:cs="宋体"/>
          <w:szCs w:val="21"/>
          <w:highlight w:val="none"/>
        </w:rPr>
        <w:t xml:space="preserve">。</w:t>
      </w:r>
      <w:bookmarkEnd w:id="41"/>
      <w:r/>
      <w:bookmarkEnd w:id="42"/>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p>
    <w:p>
      <w:pPr>
        <w:ind w:firstLine="422"/>
        <w:jc w:val="left"/>
        <w:spacing w:line="360" w:lineRule="auto"/>
        <w:shd w:val="clear" w:color="auto" w:fill="ffffff"/>
        <w:widowControl/>
        <w:rPr>
          <w:rFonts w:hint="eastAsia" w:ascii="宋体" w:hAnsi="宋体" w:cs="宋体"/>
          <w:b/>
          <w:szCs w:val="21"/>
          <w:highlight w:val="none"/>
        </w:rPr>
      </w:pPr>
      <w:r/>
      <w:bookmarkStart w:id="43" w:name="_Hlk75345706"/>
      <w:r>
        <w:rPr>
          <w:rFonts w:hint="eastAsia" w:ascii="宋体" w:hAnsi="宋体" w:cs="宋体"/>
          <w:b/>
          <w:szCs w:val="21"/>
          <w:highlight w:val="none"/>
        </w:rPr>
        <w:t xml:space="preserve">3.1中小企业政策</w:t>
      </w:r>
      <w:r/>
    </w:p>
    <w:p>
      <w:pPr>
        <w:ind w:firstLine="420"/>
        <w:jc w:val="left"/>
        <w:spacing w:line="360" w:lineRule="auto"/>
        <w:shd w:val="clear" w:color="auto" w:fill="ffffff"/>
        <w:widowControl/>
        <w:rPr>
          <w:rFonts w:hint="eastAsia" w:ascii="宋体" w:hAnsi="宋体" w:cs="宋体"/>
          <w:szCs w:val="21"/>
          <w:highlight w:val="none"/>
        </w:rPr>
      </w:pPr>
      <w:r/>
      <w:bookmarkStart w:id="44" w:name="_Hlk77845870"/>
      <w:r/>
      <w:bookmarkStart w:id="45" w:name="_Hlk84580649"/>
      <w:r>
        <w:rPr>
          <w:rFonts w:hint="eastAsia" w:ascii="宋体" w:hAnsi="宋体" w:cs="宋体"/>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3"/>
      <w:r/>
      <w:bookmarkEnd w:id="44"/>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以联合体形式参加政府采购活动的，联合体各方均为中小企业的，联合体视同中小企业。其中，联合体各方均为小微企业的，联合体视同小微企业。</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bookmarkEnd w:id="45"/>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3.</w:t>
      </w:r>
      <w:bookmarkStart w:id="46" w:name="_Hlk66802840"/>
      <w:r>
        <w:rPr>
          <w:rFonts w:hint="eastAsia" w:ascii="宋体" w:hAnsi="宋体" w:cs="宋体"/>
          <w:b/>
          <w:bCs/>
          <w:szCs w:val="21"/>
          <w:highlight w:val="none"/>
        </w:rPr>
        <w:t xml:space="preserve">2支持监狱企业（含监狱和戒毒企业）发展政策</w:t>
      </w:r>
      <w:bookmarkEnd w:id="46"/>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jc w:val="left"/>
        <w:spacing w:line="360" w:lineRule="auto"/>
        <w:shd w:val="clear" w:color="auto" w:fill="ffffff"/>
        <w:widowControl/>
        <w:rPr>
          <w:rFonts w:hint="eastAsia" w:ascii="宋体" w:hAnsi="宋体" w:cs="宋体"/>
          <w:szCs w:val="21"/>
          <w:highlight w:val="none"/>
        </w:rPr>
      </w:pPr>
      <w:r/>
      <w:bookmarkStart w:id="47" w:name="_Hlk77845906"/>
      <w:r>
        <w:rPr>
          <w:rFonts w:hint="eastAsia" w:ascii="宋体" w:hAnsi="宋体" w:cs="宋体"/>
          <w:szCs w:val="21"/>
          <w:highlight w:val="none"/>
        </w:rPr>
        <w:t xml:space="preserve">（2）参加政府采购活动的监狱企业提供由省级以上</w:t>
      </w:r>
      <w:bookmarkStart w:id="48" w:name="_Hlk163033106"/>
      <w:r>
        <w:rPr>
          <w:rFonts w:hint="eastAsia" w:ascii="宋体" w:hAnsi="宋体" w:cs="宋体"/>
          <w:szCs w:val="21"/>
          <w:highlight w:val="none"/>
        </w:rPr>
        <w:t xml:space="preserve">监狱管理局、戒毒管理局</w:t>
      </w:r>
      <w:bookmarkEnd w:id="48"/>
      <w:r>
        <w:rPr>
          <w:rFonts w:hint="eastAsia" w:ascii="宋体" w:hAnsi="宋体" w:cs="宋体"/>
          <w:szCs w:val="21"/>
          <w:highlight w:val="none"/>
        </w:rPr>
        <w:t xml:space="preserve">(含新疆生产建设兵团)出具的属于监狱企业的证明文件，监狱和戒毒企业享受政府采购支持政策的要求详见《关于政府采购支持监狱企业发展有关问题的通知》（财库〔2014〕68号）。</w:t>
      </w:r>
      <w:bookmarkEnd w:id="47"/>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3.3促进残疾人就业政策</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jc w:val="left"/>
        <w:spacing w:line="360" w:lineRule="auto"/>
        <w:shd w:val="clear" w:color="auto" w:fill="ffffff"/>
        <w:widowControl/>
        <w:rPr>
          <w:rFonts w:hint="eastAsia" w:ascii="宋体" w:hAnsi="宋体" w:cs="宋体"/>
          <w:szCs w:val="21"/>
          <w:highlight w:val="none"/>
        </w:rPr>
      </w:pPr>
      <w:r/>
      <w:bookmarkStart w:id="49" w:name="_Hlk77845921"/>
      <w:r>
        <w:rPr>
          <w:rFonts w:hint="eastAsia" w:ascii="宋体" w:hAnsi="宋体" w:cs="宋体"/>
          <w:szCs w:val="21"/>
          <w:highlight w:val="none"/>
        </w:rPr>
        <w:t xml:space="preserve">（2）参加政府采购活动的残疾人福利性单位提供《残疾人福利性单位声明函》，残疾人福利性单位享受政府采购支持政策的要求详见《关于促进残疾人就业政府采购政策的通知》（财库〔2017〕141号）。</w:t>
      </w:r>
      <w:bookmarkEnd w:id="49"/>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二、采购文件构成</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4.采购文件组成</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4.1采购文件由以下部分组成：</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（1）采购公告</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jc w:val="left"/>
        <w:spacing w:line="360" w:lineRule="auto"/>
        <w:shd w:val="clear" w:color="auto" w:fill="ffffff"/>
        <w:widowControl/>
        <w:tabs>
          <w:tab w:val="left" w:pos="5172" w:leader="none"/>
        </w:tabs>
        <w:rPr>
          <w:rFonts w:hint="eastAsia" w:ascii="宋体" w:hAnsi="宋体" w:cs="宋体"/>
          <w:szCs w:val="21"/>
          <w:highlight w:val="none"/>
        </w:rPr>
      </w:pPr>
      <w:r>
        <w:rPr>
          <w:rFonts w:hint="eastAsia" w:ascii="宋体" w:hAnsi="宋体" w:cs="宋体"/>
          <w:szCs w:val="21"/>
          <w:highlight w:val="none"/>
        </w:rPr>
        <w:t xml:space="preserve">（4）采购项目的内容和相关技术要求等</w:t>
      </w:r>
      <w:r>
        <w:rPr>
          <w:rFonts w:hint="eastAsia" w:ascii="宋体" w:hAnsi="宋体" w:cs="宋体"/>
          <w:szCs w:val="21"/>
          <w:highlight w:val="none"/>
        </w:rPr>
        <w:tab/>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投标人应仔细检查采购文件是否齐全，如有缺漏请立即与采购代理机构联系。</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4.3采购代理机构如果要求投标人按照采购文件规定提交备选投标方案的，投标人可以提交备选方案；采购文件中未明确规定允许提交备选方案的，投标人不得提交备选方案，否则，备选方案将被拒绝。</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5.采购文件的澄清或者修改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采购文件、采购公告进行必要的澄清或者修改，但不得改变采购标的和资格条件。澄清或者修改应当在原公告发布媒体上发布更正公告。更正内容将作为采购文件的组成部分，并对投标人具有约束力。</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5.2投标人应在提交投标文件截止时间前，关注原公告媒体有关本项目的更正公告，根据更正公告内容自行决定是否需要重新制作和提交投标文件，并承担由此产生的相应责任。</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5.3采购代理机构有权按照法律法规的要求推迟投标截止日期和开标日期，并在原公告媒体发布更正公告。</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6.2除技术性能另有规定外，投标文件所使用的度量衡单位，均须采用国家法定计量单位。</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7.投标文件的组成</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7.1投标人编写的投标文件应包括资格条件证明文件、符合条件证明文件、开标一览表、响应及偏离表、其他证明文件、分项报价表等部分。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7.2如标书制作工具中格式和内容与“江苏政府采购网”发布的采购文件不一致，以“江苏政府采购网”发布的采购文件为准。</w:t>
      </w:r>
      <w:r/>
    </w:p>
    <w:p>
      <w:pPr>
        <w:ind w:firstLine="422"/>
        <w:jc w:val="left"/>
        <w:spacing w:line="360" w:lineRule="auto"/>
        <w:shd w:val="clear" w:color="auto" w:fill="ffffff"/>
        <w:widowControl/>
        <w:rPr>
          <w:rFonts w:hint="eastAsia" w:ascii="宋体" w:hAnsi="宋体" w:cs="宋体"/>
          <w:szCs w:val="21"/>
          <w:highlight w:val="none"/>
        </w:rPr>
      </w:pPr>
      <w:r/>
      <w:bookmarkStart w:id="50" w:name="_Toc14577354"/>
      <w:r/>
      <w:bookmarkStart w:id="51" w:name="_Toc49090507"/>
      <w:r/>
      <w:bookmarkStart w:id="52" w:name="_Toc14577357"/>
      <w:r/>
      <w:bookmarkStart w:id="53" w:name="_Toc513029216"/>
      <w:r/>
      <w:bookmarkStart w:id="54" w:name="_Toc513029219"/>
      <w:r/>
      <w:bookmarkStart w:id="55" w:name="_Toc49090509"/>
      <w:r/>
      <w:bookmarkStart w:id="56" w:name="_Hlk176530273"/>
      <w:r>
        <w:rPr>
          <w:rFonts w:hint="eastAsia" w:ascii="宋体" w:hAnsi="宋体" w:cs="宋体"/>
          <w:b/>
          <w:bCs/>
          <w:szCs w:val="21"/>
          <w:highlight w:val="none"/>
        </w:rPr>
        <w:t xml:space="preserve">8.证明投标人及投标标的符合采购文件规定的文件</w:t>
      </w:r>
      <w:bookmarkEnd w:id="50"/>
      <w:r/>
      <w:bookmarkEnd w:id="51"/>
      <w:r/>
      <w:bookmarkEnd w:id="52"/>
      <w:r/>
      <w:bookmarkEnd w:id="53"/>
      <w:r/>
      <w:bookmarkEnd w:id="54"/>
      <w:r/>
      <w:bookmarkEnd w:id="55"/>
      <w:r/>
      <w:r/>
    </w:p>
    <w:p>
      <w:pPr>
        <w:ind w:firstLine="420"/>
        <w:jc w:val="left"/>
        <w:spacing w:line="360" w:lineRule="auto"/>
        <w:shd w:val="clear" w:color="auto" w:fill="ffffff"/>
        <w:widowControl/>
        <w:rPr>
          <w:rFonts w:hint="eastAsia" w:ascii="宋体" w:hAnsi="宋体" w:cs="宋体"/>
          <w:szCs w:val="21"/>
          <w:highlight w:val="none"/>
        </w:rPr>
      </w:pPr>
      <w:r/>
      <w:bookmarkStart w:id="57" w:name="_Toc14577355"/>
      <w:r/>
      <w:bookmarkStart w:id="58" w:name="_Toc49090508"/>
      <w:r>
        <w:rPr>
          <w:rFonts w:hint="eastAsia" w:ascii="宋体" w:hAnsi="宋体" w:cs="宋体"/>
          <w:szCs w:val="21"/>
          <w:highlight w:val="none"/>
        </w:rPr>
        <w:t xml:space="preserve">8.1投标人应按照法律、法规、规章和规范性文件以及采购文件要求提交证明文件，证明其投标标的符合采购文件规定。</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8.2采购文件对证明文件无明确形式要求的，证明文件可以以文字资料、图纸和数据等形式提交。</w:t>
      </w:r>
      <w:bookmarkEnd w:id="56"/>
      <w:r/>
      <w:bookmarkEnd w:id="57"/>
      <w:r/>
      <w:bookmarkEnd w:id="58"/>
      <w:r/>
      <w:r/>
    </w:p>
    <w:p>
      <w:pPr>
        <w:ind w:firstLine="422"/>
        <w:jc w:val="left"/>
        <w:spacing w:line="360" w:lineRule="auto"/>
        <w:shd w:val="clear" w:color="auto" w:fill="ffffff"/>
        <w:widowControl/>
        <w:rPr>
          <w:rFonts w:hint="eastAsia" w:ascii="宋体" w:hAnsi="宋体" w:cs="宋体"/>
          <w:szCs w:val="21"/>
          <w:highlight w:val="none"/>
        </w:rPr>
      </w:pPr>
      <w:r/>
      <w:bookmarkStart w:id="59" w:name="_Hlt26670425"/>
      <w:r/>
      <w:bookmarkEnd w:id="59"/>
      <w:r/>
      <w:bookmarkStart w:id="60" w:name="_Hlt26954846"/>
      <w:r/>
      <w:bookmarkEnd w:id="60"/>
      <w:r/>
      <w:bookmarkStart w:id="61" w:name="_Hlt26670482"/>
      <w:r/>
      <w:bookmarkEnd w:id="61"/>
      <w:r/>
      <w:bookmarkStart w:id="62" w:name="_Hlt26670403"/>
      <w:r/>
      <w:bookmarkEnd w:id="62"/>
      <w:r/>
      <w:bookmarkStart w:id="63" w:name="_Hlt26670486"/>
      <w:r/>
      <w:bookmarkEnd w:id="63"/>
      <w:r/>
      <w:bookmarkStart w:id="64" w:name="_Hlt26668983"/>
      <w:r/>
      <w:bookmarkEnd w:id="64"/>
      <w:r/>
      <w:bookmarkStart w:id="65" w:name="_Hlt26954842"/>
      <w:r/>
      <w:bookmarkEnd w:id="65"/>
      <w:r/>
      <w:bookmarkStart w:id="66" w:name="_Hlt26954844"/>
      <w:r/>
      <w:bookmarkEnd w:id="66"/>
      <w:r/>
      <w:bookmarkStart w:id="67" w:name="_Hlt26954848"/>
      <w:r/>
      <w:bookmarkEnd w:id="67"/>
      <w:r/>
      <w:bookmarkStart w:id="68" w:name="_Hlt26954731"/>
      <w:r/>
      <w:bookmarkEnd w:id="68"/>
      <w:r>
        <w:rPr>
          <w:rFonts w:hint="eastAsia" w:ascii="宋体" w:hAnsi="宋体" w:cs="宋体"/>
          <w:b/>
          <w:bCs/>
          <w:szCs w:val="21"/>
          <w:highlight w:val="none"/>
        </w:rPr>
        <w:t xml:space="preserve">9.投标货币</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9.1投标文件中的单价和总价无特殊规定的采用人民币报价，以元为单位标注。采购文件中另有规定的按规定执行。</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10.响应及偏离表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10.1投标人需对采购文件中的技术要求与商务要求逐项作出响应或偏离说明。</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10.2投标人可以在投标文件中提供认为需要的其他技术文件或说明。</w:t>
      </w:r>
      <w:r/>
    </w:p>
    <w:p>
      <w:pPr>
        <w:ind w:firstLine="422"/>
        <w:jc w:val="left"/>
        <w:spacing w:line="360" w:lineRule="auto"/>
        <w:shd w:val="clear" w:color="auto" w:fill="ffffff"/>
        <w:widowControl/>
        <w:rPr>
          <w:rFonts w:hint="eastAsia" w:ascii="宋体" w:hAnsi="宋体" w:cs="宋体"/>
          <w:szCs w:val="21"/>
          <w:highlight w:val="none"/>
        </w:rPr>
      </w:pPr>
      <w:r/>
      <w:bookmarkStart w:id="69" w:name="_Toc14577359"/>
      <w:r/>
      <w:bookmarkStart w:id="70" w:name="_Toc49090510"/>
      <w:r>
        <w:rPr>
          <w:rFonts w:hint="eastAsia" w:ascii="宋体" w:hAnsi="宋体" w:cs="宋体"/>
          <w:b/>
          <w:bCs/>
          <w:szCs w:val="21"/>
          <w:highlight w:val="none"/>
        </w:rPr>
        <w:t xml:space="preserve">11.</w:t>
      </w:r>
      <w:bookmarkStart w:id="71" w:name="OLE_LINK27"/>
      <w:r>
        <w:rPr>
          <w:rFonts w:hint="eastAsia" w:ascii="宋体" w:hAnsi="宋体" w:cs="宋体"/>
          <w:b/>
          <w:bCs/>
          <w:szCs w:val="21"/>
          <w:highlight w:val="none"/>
        </w:rPr>
        <w:t xml:space="preserve">投标函</w:t>
      </w:r>
      <w:bookmarkEnd w:id="71"/>
      <w:r>
        <w:rPr>
          <w:rFonts w:hint="eastAsia" w:ascii="宋体" w:hAnsi="宋体" w:cs="宋体"/>
          <w:b/>
          <w:bCs/>
          <w:szCs w:val="21"/>
          <w:highlight w:val="none"/>
        </w:rPr>
        <w:t xml:space="preserve">和开标一览表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11.1投标人应按照采购文件规定格式完整、正确填报投标函、开标一览表。</w:t>
      </w:r>
      <w:bookmarkEnd w:id="69"/>
      <w:r/>
      <w:bookmarkEnd w:id="70"/>
      <w:r/>
      <w:r/>
    </w:p>
    <w:p>
      <w:pPr>
        <w:ind w:right="210" w:firstLine="420"/>
        <w:jc w:val="left"/>
        <w:spacing w:line="360" w:lineRule="auto"/>
        <w:shd w:val="clear" w:color="auto" w:fill="ffffff"/>
        <w:widowControl/>
        <w:rPr>
          <w:rFonts w:hint="eastAsia" w:ascii="宋体" w:hAnsi="宋体" w:cs="宋体"/>
          <w:szCs w:val="21"/>
          <w:highlight w:val="none"/>
        </w:rPr>
      </w:pPr>
      <w:r/>
      <w:bookmarkStart w:id="72" w:name="_Hlk176879442"/>
      <w:r>
        <w:rPr>
          <w:rFonts w:hint="eastAsia" w:asciiTheme="minorEastAsia" w:hAnsiTheme="minorEastAsia" w:eastAsiaTheme="minorEastAsia"/>
          <w:szCs w:val="21"/>
          <w:highlight w:val="none"/>
        </w:rPr>
        <w:t xml:space="preserve">11.2 </w:t>
      </w:r>
      <w:bookmarkStart w:id="73" w:name="_Hlk175667315"/>
      <w:r>
        <w:rPr>
          <w:rFonts w:hint="eastAsia" w:asciiTheme="minorEastAsia" w:hAnsiTheme="minorEastAsia" w:eastAsiaTheme="minorEastAsia"/>
          <w:szCs w:val="21"/>
          <w:highlight w:val="none"/>
        </w:rPr>
        <w:t xml:space="preserve">对于采用货币报价的项目，开标一览表中的投标总价应与分项报价表中的投标总价一致，如不一致不作为无效投标处理，评标时以开标一览表中价格为准。</w:t>
      </w:r>
      <w:bookmarkEnd w:id="72"/>
      <w:r/>
      <w:bookmarkEnd w:id="73"/>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12.投标保证金</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szCs w:val="21"/>
          <w:highlight w:val="none"/>
        </w:rPr>
        <w:t xml:space="preserve">12.1</w:t>
      </w:r>
      <w:bookmarkStart w:id="74" w:name="_Hlk68014334"/>
      <w:r>
        <w:rPr>
          <w:rFonts w:hint="eastAsia" w:ascii="宋体" w:hAnsi="宋体" w:cs="宋体"/>
          <w:bCs/>
          <w:szCs w:val="21"/>
          <w:highlight w:val="none"/>
        </w:rPr>
        <w:t xml:space="preserve">本项目不收取投标保证金。</w:t>
      </w:r>
      <w:bookmarkEnd w:id="74"/>
      <w:r/>
      <w:r/>
    </w:p>
    <w:p>
      <w:pPr>
        <w:ind w:firstLine="422"/>
        <w:jc w:val="left"/>
        <w:spacing w:line="360" w:lineRule="auto"/>
        <w:shd w:val="clear" w:color="auto" w:fill="ffffff"/>
        <w:widowControl/>
        <w:rPr>
          <w:rFonts w:hint="eastAsia" w:ascii="宋体" w:hAnsi="宋体" w:cs="宋体"/>
          <w:b/>
          <w:bCs/>
          <w:szCs w:val="21"/>
          <w:highlight w:val="none"/>
        </w:rPr>
      </w:pPr>
      <w:r/>
      <w:bookmarkStart w:id="75" w:name="_Hlk176182487"/>
      <w:r>
        <w:rPr>
          <w:rFonts w:hint="eastAsia" w:ascii="宋体" w:hAnsi="宋体" w:cs="宋体"/>
          <w:b/>
          <w:bCs/>
          <w:szCs w:val="21"/>
          <w:highlight w:val="none"/>
        </w:rPr>
        <w:t xml:space="preserve">13.投标有效期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13.1自开标之日起90天内投标有效，投标有效期从提交投标文件的截止之日起算，投标文件中承诺的投标有效期应当不少于采购文件中载明的投标有效期。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13.2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75"/>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14.投标费用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14.1投标人应承担所有与准备和参加投标有关的费用，无论采购结果如何，采购代理机构和采购人在任何情况下均无义务和责任承担这些费用。</w:t>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14.2</w:t>
      </w:r>
      <w:bookmarkStart w:id="76" w:name="_Hlk75346060"/>
      <w:r/>
      <w:bookmarkStart w:id="77" w:name="_Hlk75346033"/>
      <w:r>
        <w:rPr>
          <w:rFonts w:hint="eastAsia" w:ascii="宋体" w:hAnsi="宋体" w:cs="宋体"/>
          <w:b/>
          <w:szCs w:val="21"/>
          <w:highlight w:val="none"/>
        </w:rPr>
        <w:t xml:space="preserve">采购代理服务费</w:t>
      </w:r>
      <w:bookmarkEnd w:id="76"/>
      <w:r/>
      <w:bookmarkEnd w:id="77"/>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本次采购，各采购包代理服务费以预算金额为基数按照国家计委印发的《招标代理服务收费管理暂行办法》（计价格[2002]1980号）取费标准的31%计取，各采购包中标人在领取中标通知书前向采购代理机构支付采购代理服务费。</w:t>
      </w:r>
      <w:bookmarkStart w:id="78" w:name="_Hlk66377575"/>
      <w:r>
        <w:rPr>
          <w:rFonts w:hint="eastAsia" w:ascii="宋体" w:hAnsi="宋体"/>
          <w:b/>
          <w:bCs/>
          <w:szCs w:val="21"/>
          <w:highlight w:val="none"/>
        </w:rPr>
        <w:t xml:space="preserve">专家评审费：</w:t>
      </w:r>
      <w:r>
        <w:rPr>
          <w:rFonts w:hint="eastAsia" w:ascii="宋体" w:hAnsi="宋体"/>
          <w:szCs w:val="21"/>
          <w:highlight w:val="none"/>
        </w:rPr>
        <w:t xml:space="preserve">由采购人据实支付。</w:t>
      </w:r>
      <w:r/>
    </w:p>
    <w:p>
      <w:pPr>
        <w:pStyle w:val="873"/>
        <w:ind w:left="0"/>
        <w:spacing w:line="360" w:lineRule="auto"/>
        <w:rPr>
          <w:rFonts w:hint="eastAsia" w:ascii="宋体" w:hAnsi="宋体"/>
          <w:szCs w:val="21"/>
          <w:highlight w:val="none"/>
        </w:rPr>
      </w:pPr>
      <w:r>
        <w:rPr>
          <w:rFonts w:hint="eastAsia" w:ascii="宋体" w:hAnsi="宋体"/>
          <w:szCs w:val="21"/>
          <w:highlight w:val="none"/>
        </w:rPr>
        <w:t xml:space="preserve">代理服务费汇款信息：单位名称：江苏国采工程咨询有限公司</w:t>
      </w:r>
      <w:r/>
    </w:p>
    <w:p>
      <w:pPr>
        <w:pStyle w:val="873"/>
        <w:ind w:left="598" w:firstLine="1890"/>
        <w:spacing w:line="360" w:lineRule="auto"/>
        <w:rPr>
          <w:rFonts w:hint="eastAsia" w:ascii="宋体" w:hAnsi="宋体"/>
          <w:szCs w:val="21"/>
          <w:highlight w:val="none"/>
        </w:rPr>
      </w:pPr>
      <w:r>
        <w:rPr>
          <w:rFonts w:hint="eastAsia" w:ascii="宋体" w:hAnsi="宋体"/>
          <w:szCs w:val="21"/>
          <w:highlight w:val="none"/>
        </w:rPr>
        <w:t xml:space="preserve">银行账户：32050159553600001231</w:t>
      </w:r>
      <w:r/>
    </w:p>
    <w:p>
      <w:pPr>
        <w:pStyle w:val="873"/>
        <w:ind w:left="598" w:firstLine="1890"/>
        <w:spacing w:line="360" w:lineRule="auto"/>
        <w:rPr>
          <w:rFonts w:hint="eastAsia" w:ascii="宋体" w:hAnsi="宋体"/>
          <w:szCs w:val="21"/>
          <w:highlight w:val="none"/>
        </w:rPr>
      </w:pPr>
      <w:r>
        <w:rPr>
          <w:rFonts w:hint="eastAsia" w:ascii="宋体" w:hAnsi="宋体"/>
          <w:szCs w:val="21"/>
          <w:highlight w:val="none"/>
        </w:rPr>
        <w:t xml:space="preserve">开户行：中国建设银行股份有限公司南京鼓楼支行</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注：代理服务费汇款时需备注汇款单位名称、项目名称、项目编号。</w:t>
      </w:r>
      <w:bookmarkEnd w:id="78"/>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四、投标文件的提交</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15.投标文件的提交</w:t>
      </w:r>
      <w:r/>
    </w:p>
    <w:p>
      <w:pPr>
        <w:ind w:firstLine="420"/>
        <w:jc w:val="left"/>
        <w:spacing w:line="360" w:lineRule="auto"/>
        <w:shd w:val="clear" w:color="auto" w:fill="ffffff"/>
        <w:widowControl/>
        <w:rPr>
          <w:rFonts w:hint="eastAsia" w:ascii="宋体" w:hAnsi="宋体" w:cs="宋体"/>
          <w:szCs w:val="21"/>
          <w:highlight w:val="none"/>
        </w:rPr>
      </w:pPr>
      <w:r/>
      <w:bookmarkStart w:id="79" w:name="OLE_LINK1"/>
      <w:r>
        <w:rPr>
          <w:rFonts w:hint="eastAsia" w:ascii="宋体" w:hAnsi="宋体" w:cs="宋体"/>
          <w:szCs w:val="21"/>
          <w:highlight w:val="none"/>
        </w:rPr>
        <w:t xml:space="preserve">15.1投标人应当按照《操作手册》规定，在采购公告规定的投标截止时间前制作并上传电子投标文件。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15.2投标人应充分考虑网络环境、网络带宽等因素可能对投标产生的影响，如因投标人自身原因造成的电子投标文件上传不成功的，按照本采购文件第二章第20.2.3.1条规定做无效投标处理。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15.3采购代理机构可以按照规定，通过修改采购文件酌情延长投标截止时间，在此情况下，投标人的所有权利和义务均以延长后新的截止时间为准。</w:t>
      </w:r>
      <w:bookmarkEnd w:id="79"/>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16.投标文件的拒收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16.1采购代理机构拒绝接收投标截止时间后上传的任何投标文件。</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17.投标文件的撤回和修改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17.1投标文件的撤回</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17.1.1投标人可在投标截止时间前撤回其电子投标文件，具体操作方法见《操作手册》。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17.1.2投标人撤回电子投标文件，则认为其不再参与本项目投标活动。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17.2投标文件的修改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17.2.1投标人可在投标截止时间前对其电子投标文件进行修改，具体操作方法见《操作手册》。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17.2.2投标截止时间之后，投标人不得对其电子投标文件作任何修改。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17.3在投标截止时间至采购文件中规定的投标有效期满之间的这段时间内，投标人不得撤回其投标。</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18.诚实信用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18.1投标人应当遵循公平竞争的原则，不得恶意串通，不得妨碍其他投标人的竞争行为，不得损害采购人或者其他投标人的合法权益。</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18.2在评标过程中发现投标人有上述情形的，评标委员会应当认定其投标无效，并书面报告本级财政部门。</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五、开标、评标与定标</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19.开标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19.1采购代理机构在采购公告中规定的时间和地点组织公开开标。投标人按照《操作手册》规定参加开标活动，并在苏采云系统规定的时间内对投标文件进行解密。苏采云系统公布各投标人名称和投标价格。</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19.2投标人在开标过程中涉及到的投标文件解密、开标结果确认等工作，应按照《操作手册》规定执行。</w:t>
      </w:r>
      <w:r/>
    </w:p>
    <w:p>
      <w:pPr>
        <w:ind w:firstLine="420"/>
        <w:jc w:val="left"/>
        <w:spacing w:line="360" w:lineRule="auto"/>
        <w:rPr>
          <w:rFonts w:hint="eastAsia" w:ascii="宋体" w:hAnsi="宋体" w:cs="宋体"/>
          <w:bCs/>
          <w:szCs w:val="21"/>
          <w:highlight w:val="none"/>
        </w:rPr>
      </w:pPr>
      <w:r>
        <w:rPr>
          <w:rFonts w:hint="eastAsia" w:ascii="宋体" w:hAnsi="宋体" w:cs="宋体"/>
          <w:szCs w:val="21"/>
          <w:highlight w:val="none"/>
        </w:rPr>
        <w:t xml:space="preserve">19.3投标人如果对开标过程和开标结果有疑义，应当根据《操作手册》规定提出，苏采云系统中《开标一览表》公布后5分钟内未提出的，视同认可开标结果。</w:t>
      </w:r>
      <w:bookmarkStart w:id="80" w:name="_Hlk44576482"/>
      <w:r/>
      <w:bookmarkEnd w:id="80"/>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20.评标</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20.1评标委员会</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20.1.1评标委员会负责具体评标事务，并独立履行下列职责：</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（1）审查、评价投标文件是否符合采购文件的商务、技术等实质性要求；</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（2）要求投标人对投标文件有关事项作出澄清或者说明；</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（3）对投标文件进行比较和评价；</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（4）确定中标候选人名单，以及根据采购人委托直接确定中标人；</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（5）向采购人、采购代理机构或者有关部门报告评标中发现的违法行为。</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20.1.2评标委员会由采购人代表和有关技术、经济等方面的专家组成，独立开展评审工作。</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20.2评标程序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20.2.1投标文件审查分为资格审查和符合性审查。</w:t>
      </w:r>
      <w:r/>
    </w:p>
    <w:p>
      <w:pPr>
        <w:ind w:firstLine="422"/>
        <w:jc w:val="left"/>
        <w:spacing w:line="360" w:lineRule="auto"/>
        <w:tabs>
          <w:tab w:val="left" w:pos="4825" w:leader="none"/>
        </w:tabs>
        <w:rPr>
          <w:rFonts w:hint="eastAsia" w:ascii="宋体" w:hAnsi="宋体" w:cs="宋体"/>
          <w:b/>
          <w:szCs w:val="21"/>
          <w:highlight w:val="none"/>
        </w:rPr>
      </w:pPr>
      <w:r>
        <w:rPr>
          <w:rFonts w:hint="eastAsia" w:ascii="宋体" w:hAnsi="宋体" w:cs="宋体"/>
          <w:b/>
          <w:bCs/>
          <w:szCs w:val="21"/>
          <w:highlight w:val="none"/>
        </w:rPr>
        <w:t xml:space="preserve">20.</w:t>
      </w:r>
      <w:r>
        <w:rPr>
          <w:rFonts w:hint="eastAsia" w:ascii="宋体" w:hAnsi="宋体" w:cs="宋体"/>
          <w:b/>
          <w:szCs w:val="21"/>
          <w:highlight w:val="none"/>
        </w:rPr>
        <w:t xml:space="preserve">2.2投标文件的资格审查</w:t>
      </w:r>
      <w:r/>
    </w:p>
    <w:p>
      <w:pPr>
        <w:ind w:firstLine="420"/>
        <w:jc w:val="left"/>
        <w:spacing w:line="360" w:lineRule="auto"/>
        <w:tabs>
          <w:tab w:val="left" w:pos="4825" w:leader="none"/>
        </w:tabs>
        <w:rPr>
          <w:rFonts w:hint="eastAsia" w:ascii="宋体" w:hAnsi="宋体" w:cs="宋体"/>
          <w:szCs w:val="21"/>
          <w:highlight w:val="none"/>
        </w:rPr>
      </w:pPr>
      <w:r/>
      <w:bookmarkStart w:id="81" w:name="_Hlk81573923"/>
      <w:r/>
      <w:bookmarkStart w:id="82" w:name="_Hlk84583325"/>
      <w:r>
        <w:rPr>
          <w:rFonts w:hint="eastAsia" w:ascii="宋体" w:hAnsi="宋体" w:cs="宋体"/>
          <w:szCs w:val="21"/>
          <w:highlight w:val="none"/>
        </w:rPr>
        <w:t xml:space="preserve">资格审查：依据法律法规和采购文件规定，由</w:t>
      </w:r>
      <w:bookmarkStart w:id="83" w:name="OLE_LINK6"/>
      <w:r>
        <w:rPr>
          <w:rFonts w:hint="eastAsia" w:ascii="宋体" w:hAnsi="宋体" w:cs="宋体"/>
          <w:szCs w:val="21"/>
          <w:highlight w:val="none"/>
        </w:rPr>
        <w:t xml:space="preserve">采购人或采购代理机构</w:t>
      </w:r>
      <w:bookmarkEnd w:id="83"/>
      <w:r>
        <w:rPr>
          <w:rFonts w:hint="eastAsia" w:ascii="宋体" w:hAnsi="宋体" w:cs="宋体"/>
          <w:szCs w:val="21"/>
          <w:highlight w:val="none"/>
        </w:rPr>
        <w:t xml:space="preserve">对投标文件中的资格证明文件进行审查，并向评标委员会反馈审查结论。</w:t>
      </w:r>
      <w:bookmarkEnd w:id="81"/>
      <w:r/>
      <w:r/>
    </w:p>
    <w:p>
      <w:pPr>
        <w:ind w:firstLine="422"/>
        <w:jc w:val="left"/>
        <w:spacing w:line="360" w:lineRule="auto"/>
        <w:tabs>
          <w:tab w:val="left" w:pos="4825" w:leader="none"/>
        </w:tabs>
        <w:rPr>
          <w:rFonts w:hint="eastAsia" w:ascii="宋体" w:hAnsi="宋体" w:cs="宋体"/>
          <w:b/>
          <w:szCs w:val="21"/>
          <w:highlight w:val="none"/>
        </w:rPr>
      </w:pPr>
      <w:r>
        <w:rPr>
          <w:rFonts w:hint="eastAsia" w:ascii="宋体" w:hAnsi="宋体" w:cs="宋体"/>
          <w:b/>
          <w:szCs w:val="21"/>
          <w:highlight w:val="none"/>
        </w:rPr>
        <w:t xml:space="preserve">20.2.2.1投标文件有下列情况之一的，在资格审查时按照无效投标处理：</w:t>
      </w:r>
      <w:r/>
    </w:p>
    <w:p>
      <w:pPr>
        <w:ind w:firstLine="420"/>
        <w:jc w:val="left"/>
        <w:spacing w:line="360" w:lineRule="auto"/>
        <w:tabs>
          <w:tab w:val="left" w:pos="4825" w:leader="none"/>
        </w:tabs>
        <w:rPr>
          <w:rFonts w:hint="eastAsia" w:ascii="宋体" w:hAnsi="宋体" w:cs="宋体"/>
          <w:szCs w:val="21"/>
          <w:highlight w:val="none"/>
        </w:rPr>
      </w:pPr>
      <w:r/>
      <w:bookmarkStart w:id="84" w:name="_Hlk81314966"/>
      <w:r/>
      <w:bookmarkStart w:id="85" w:name="_Hlk81573945"/>
      <w:r>
        <w:rPr>
          <w:rFonts w:hint="eastAsia" w:ascii="宋体" w:hAnsi="宋体" w:cs="宋体"/>
          <w:szCs w:val="21"/>
          <w:highlight w:val="none"/>
        </w:rPr>
        <w:t xml:space="preserve">（1）不具备采购文件中规定资格条件的；</w:t>
      </w:r>
      <w:bookmarkEnd w:id="84"/>
      <w:r/>
      <w:r/>
    </w:p>
    <w:p>
      <w:pPr>
        <w:ind w:firstLine="420"/>
        <w:jc w:val="left"/>
        <w:spacing w:line="360" w:lineRule="auto"/>
        <w:tabs>
          <w:tab w:val="left" w:pos="4825" w:leader="none"/>
        </w:tabs>
        <w:rPr>
          <w:rFonts w:hint="eastAsia" w:ascii="宋体" w:hAnsi="宋体" w:cs="宋体"/>
          <w:szCs w:val="21"/>
          <w:highlight w:val="none"/>
        </w:rPr>
      </w:pPr>
      <w:r/>
      <w:bookmarkStart w:id="86" w:name="_Hlk77845984"/>
      <w:r>
        <w:rPr>
          <w:rFonts w:hint="eastAsia" w:ascii="宋体" w:hAnsi="宋体" w:cs="宋体"/>
          <w:szCs w:val="21"/>
          <w:highlight w:val="none"/>
        </w:rPr>
        <w:t xml:space="preserve">（2）未提供《南京市政府采购供应商信用承诺书》。</w:t>
      </w:r>
      <w:bookmarkEnd w:id="82"/>
      <w:r/>
      <w:bookmarkEnd w:id="85"/>
      <w:r/>
      <w:bookmarkEnd w:id="86"/>
      <w:r/>
      <w:r/>
    </w:p>
    <w:p>
      <w:pPr>
        <w:ind w:firstLine="422"/>
        <w:jc w:val="left"/>
        <w:spacing w:line="360" w:lineRule="auto"/>
        <w:tabs>
          <w:tab w:val="left" w:pos="4825" w:leader="none"/>
        </w:tabs>
        <w:rPr>
          <w:rFonts w:hint="eastAsia" w:ascii="宋体" w:hAnsi="宋体" w:cs="宋体"/>
          <w:b/>
          <w:bCs/>
          <w:szCs w:val="21"/>
          <w:highlight w:val="none"/>
        </w:rPr>
      </w:pPr>
      <w:r>
        <w:rPr>
          <w:rFonts w:hint="eastAsia" w:ascii="宋体" w:hAnsi="宋体" w:cs="宋体"/>
          <w:b/>
          <w:szCs w:val="21"/>
          <w:highlight w:val="none"/>
        </w:rPr>
        <w:t xml:space="preserve">20.2.3</w:t>
      </w:r>
      <w:r>
        <w:rPr>
          <w:rFonts w:hint="eastAsia" w:ascii="宋体" w:hAnsi="宋体" w:cs="宋体"/>
          <w:b/>
          <w:bCs/>
          <w:szCs w:val="21"/>
          <w:highlight w:val="none"/>
        </w:rPr>
        <w:t xml:space="preserve">投标文件的符合性检查</w:t>
      </w:r>
      <w:r/>
    </w:p>
    <w:p>
      <w:p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（1）评标委员会将依据法律法规和采购文件的规定，对投标文件的有效性完整性和对采购文件的响应程度进行审查，以确定是否对采购文件的实质性要求作出响应。</w:t>
      </w:r>
      <w:r/>
    </w:p>
    <w:p>
      <w:pPr>
        <w:ind w:firstLine="422"/>
        <w:jc w:val="left"/>
        <w:spacing w:line="360" w:lineRule="auto"/>
        <w:tabs>
          <w:tab w:val="left" w:pos="4825" w:leader="none"/>
        </w:tabs>
        <w:rPr>
          <w:rFonts w:hint="eastAsia" w:ascii="宋体" w:hAnsi="宋体" w:cs="宋体"/>
          <w:b/>
          <w:bCs/>
          <w:szCs w:val="21"/>
          <w:highlight w:val="none"/>
        </w:rPr>
      </w:pPr>
      <w:r>
        <w:rPr>
          <w:rFonts w:hint="eastAsia" w:ascii="宋体" w:hAnsi="宋体" w:cs="宋体"/>
          <w:b/>
          <w:bCs/>
          <w:szCs w:val="21"/>
          <w:highlight w:val="none"/>
        </w:rPr>
        <w:t xml:space="preserve">（2）</w:t>
      </w:r>
      <w:bookmarkStart w:id="87" w:name="_Hlk176530503"/>
      <w:r>
        <w:rPr>
          <w:rFonts w:hint="eastAsia" w:ascii="宋体" w:hAnsi="宋体" w:cs="宋体"/>
          <w:b/>
          <w:bCs/>
          <w:szCs w:val="21"/>
          <w:highlight w:val="none"/>
        </w:rPr>
        <w:t xml:space="preserve">实质性要求是指本</w:t>
      </w:r>
      <w:bookmarkStart w:id="88" w:name="OLE_LINK36"/>
      <w:r>
        <w:rPr>
          <w:rFonts w:hint="eastAsia" w:ascii="宋体" w:hAnsi="宋体" w:cs="宋体"/>
          <w:b/>
          <w:bCs/>
          <w:szCs w:val="21"/>
          <w:highlight w:val="none"/>
        </w:rPr>
        <w:t xml:space="preserve">采购文件中斜体且有下划线部分，或者打“★”“*”等其他文字说明的商务和技术要求。</w:t>
      </w:r>
      <w:bookmarkEnd w:id="87"/>
      <w:r/>
      <w:r/>
    </w:p>
    <w:p>
      <w:p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（3）如果投标文件实质上没有响应采购文件的要求，评标委员会将予以拒绝，投标人不得通过修改或撤销不合要求的偏离或保留而使其投标成为实质性响应的投标。</w:t>
      </w:r>
      <w:bookmarkEnd w:id="88"/>
      <w:r/>
      <w:r/>
    </w:p>
    <w:p>
      <w:pPr>
        <w:ind w:firstLine="422"/>
        <w:jc w:val="left"/>
        <w:spacing w:line="360" w:lineRule="auto"/>
        <w:tabs>
          <w:tab w:val="left" w:pos="4825" w:leader="none"/>
        </w:tabs>
        <w:rPr>
          <w:rFonts w:hint="eastAsia" w:ascii="宋体" w:hAnsi="宋体" w:cs="宋体"/>
          <w:b/>
          <w:szCs w:val="21"/>
          <w:highlight w:val="none"/>
        </w:rPr>
      </w:pPr>
      <w:r>
        <w:rPr>
          <w:rFonts w:hint="eastAsia" w:ascii="宋体" w:hAnsi="宋体" w:cs="宋体"/>
          <w:b/>
          <w:szCs w:val="21"/>
          <w:highlight w:val="none"/>
        </w:rPr>
        <w:t xml:space="preserve">20.2.3.1投标文件属于下列情形之一的，在符合性审查时按照无效投标处理：</w:t>
      </w:r>
      <w:r/>
    </w:p>
    <w:p>
      <w:p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（1）投标人在苏采云系统规定的时间内未成功解密电子投标文件；</w:t>
      </w:r>
      <w:r/>
    </w:p>
    <w:p>
      <w:p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（2）投标人未按照采购文件要求上传电子投标文件；</w:t>
      </w:r>
      <w:r/>
    </w:p>
    <w:p>
      <w:p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（3）投标文件未按照采购文件要求加盖电子公章；</w:t>
      </w:r>
      <w:r/>
    </w:p>
    <w:p>
      <w:p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（4）不具备采购文件中规定实质性要求的；</w:t>
      </w:r>
      <w:r/>
    </w:p>
    <w:p>
      <w:p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（5）投标总价超出采购项目预算；</w:t>
      </w:r>
      <w:r/>
    </w:p>
    <w:p>
      <w:p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（6）不同投标人的投标文件由同一单位或者个人编制的；</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（7）不同投标人委托同一单位或者个人办理投标事宜；</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（8）不同投标人的投标文件载明的项目管理成员</w:t>
      </w:r>
      <w:bookmarkStart w:id="89" w:name="_Hlk176185278"/>
      <w:r>
        <w:rPr>
          <w:rFonts w:hint="eastAsia" w:ascii="宋体" w:hAnsi="宋体" w:cs="宋体"/>
          <w:szCs w:val="21"/>
          <w:highlight w:val="none"/>
        </w:rPr>
        <w:t xml:space="preserve">或者联系人员为同一人</w:t>
      </w:r>
      <w:bookmarkEnd w:id="89"/>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（9）不同投标人的投标文件异常一致或者投标报价呈规律性差异；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（10）不同投标人的负责人为同一人或者存在控股、管理关系的；</w:t>
      </w:r>
      <w:r/>
    </w:p>
    <w:p>
      <w:pPr>
        <w:ind w:firstLine="420"/>
        <w:jc w:val="left"/>
        <w:spacing w:line="360" w:lineRule="auto"/>
        <w:tabs>
          <w:tab w:val="left" w:pos="4825" w:leader="none"/>
        </w:tabs>
        <w:rPr>
          <w:rFonts w:hint="eastAsia" w:ascii="宋体" w:hAnsi="宋体" w:cs="宋体"/>
          <w:szCs w:val="21"/>
          <w:highlight w:val="none"/>
        </w:rPr>
      </w:pPr>
      <w:r>
        <w:rPr>
          <w:rFonts w:hint="eastAsia" w:ascii="宋体" w:hAnsi="宋体" w:cs="宋体"/>
          <w:szCs w:val="21"/>
          <w:highlight w:val="none"/>
        </w:rPr>
        <w:t xml:space="preserve">（11）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（12）投标文件含有采购人不能接受的附加条件的；</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（13）不符合法律、法规和采购文件规定的其他实质性要求的。</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20.2.4有下列情形之一的予以废标：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（1）符合资格条件的投标人或者对采购文件作实质性响应的投标人不足三家的；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（3）因重大变故，采购任务取消的；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（4）因苏采云系统故障造成开标不成功。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20.2.5未通过资格审查或符合性审查的投标人，采购代理机构将通过苏采云系统告知其具体原因，评标结束后不再接受有关询问。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20.2.6如出现投标截止时间后参加的投标人或者对采购文件作出实质性响应的投标人不足三家的情况，按政府采购相关规定执行。</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20.3评标过程中的澄清</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20.3.1评标期间，评标委员会对投标文件中含义不明确、同类问题表述不一致或者有明显文字和计算错误的内容，有权要求投标人作出必要的澄清、说明或者补正。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highlight w:val="none"/>
        </w:rPr>
      </w:pPr>
      <w:r/>
      <w:bookmarkStart w:id="90" w:name="OLE_LINK4"/>
      <w:r>
        <w:rPr>
          <w:rFonts w:hint="eastAsia" w:ascii="宋体" w:hAnsi="宋体" w:cs="宋体"/>
          <w:szCs w:val="21"/>
          <w:highlight w:val="none"/>
        </w:rPr>
        <w:t xml:space="preserve">投标人的澄清、说明或者补正不得超出投标文件的范围或者改变投标文件的实质性内容</w:t>
      </w:r>
      <w:bookmarkEnd w:id="90"/>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评标委员会并非对每个投标人都做澄清要求。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20.3.3接到评标委员会澄清、说明和补正要求的，投标人如未按规定作出澄清、说明和补正，其风险由投标人自行承担。</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20.3.4投标文件报价出现前后不一致的，除采购文件另有规定外，按照下列规定修正：</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（1）投标文件中开标一览表内容与投标文件中相应内容不一致的，以开标一览表为准；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w:t>
      </w:r>
      <w:r/>
    </w:p>
    <w:p>
      <w:pPr>
        <w:ind w:firstLine="420"/>
        <w:jc w:val="left"/>
        <w:spacing w:line="360" w:lineRule="auto"/>
        <w:shd w:val="clear" w:color="auto" w:fill="ffffff"/>
        <w:widowControl/>
        <w:rPr>
          <w:rFonts w:hint="eastAsia" w:ascii="宋体" w:hAnsi="宋体" w:cs="宋体"/>
          <w:szCs w:val="21"/>
          <w:highlight w:val="none"/>
        </w:rPr>
      </w:pPr>
      <w:r/>
      <w:bookmarkStart w:id="91" w:name="_Hlk176184375"/>
      <w:r>
        <w:rPr>
          <w:rFonts w:hint="eastAsia" w:ascii="宋体" w:hAnsi="宋体" w:cs="宋体"/>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20.3.5投标人在开、评标全过程中应保持通讯畅通，</w:t>
      </w:r>
      <w:bookmarkStart w:id="92" w:name="OLE_LINK25"/>
      <w:r>
        <w:rPr>
          <w:rFonts w:hint="eastAsia" w:ascii="宋体" w:hAnsi="宋体" w:cs="宋体"/>
          <w:b/>
          <w:bCs/>
          <w:szCs w:val="21"/>
          <w:highlight w:val="none"/>
        </w:rPr>
        <w:t xml:space="preserve">及时登录苏采云系统查阅</w:t>
      </w:r>
      <w:bookmarkEnd w:id="92"/>
      <w:r>
        <w:rPr>
          <w:rFonts w:hint="eastAsia" w:ascii="宋体" w:hAnsi="宋体" w:cs="宋体"/>
          <w:b/>
          <w:bCs/>
          <w:szCs w:val="21"/>
          <w:highlight w:val="none"/>
        </w:rPr>
        <w:t xml:space="preserve">、答复相关信息，并安排专人与采购代理机构及评标委员会联系。</w:t>
      </w:r>
      <w:bookmarkEnd w:id="91"/>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20.4比较与评价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评标委员会应当按照采购文件中规定的评标方法和标准，对符合性审查合格的投标文件进行商务和技术评估，综合比较与评价。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20.5评标委员会启动异常低价投标审查的情形和具体要求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20.5.1评标过程中出现下列情形之一的，评标委员会应当启动异常低价投标审查程序：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（3）投标（响应）报价低于采购项目最高限价45%的，即投标（响应）报价&lt;采购项目最高限价×45%；</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（4）评审委员会基于专业判断，认为供应商报价过低，有可能影响产品质量或者不能诚信履约的其他情形。</w:t>
      </w:r>
      <w:r/>
    </w:p>
    <w:p>
      <w:pPr>
        <w:pStyle w:val="910"/>
        <w:rPr>
          <w:rFonts w:hint="eastAsia"/>
          <w:b/>
          <w:bCs/>
          <w:highlight w:val="none"/>
        </w:rPr>
      </w:pPr>
      <w:r>
        <w:rPr>
          <w:rFonts w:hint="eastAsia"/>
          <w:b/>
          <w:bCs/>
          <w:highlight w:val="none"/>
        </w:rPr>
        <w:t xml:space="preserve">注：因电子化平台设定，本项目投标人只能以优惠率形式进行报价。为适用“</w:t>
      </w:r>
      <w:bookmarkStart w:id="93" w:name="OLE_LINK10"/>
      <w:r>
        <w:rPr>
          <w:rFonts w:hint="eastAsia"/>
          <w:b/>
          <w:bCs/>
          <w:highlight w:val="none"/>
        </w:rPr>
        <w:t xml:space="preserve">20.5</w:t>
      </w:r>
      <w:bookmarkEnd w:id="93"/>
      <w:r>
        <w:rPr>
          <w:rFonts w:hint="eastAsia"/>
          <w:b/>
          <w:bCs/>
          <w:highlight w:val="none"/>
        </w:rPr>
        <w:t xml:space="preserve">评标委员会启动异常低价投标审查的情形和具体要求”的规定，特此说明：若评标委员会启动异常低价投标审查程序，投标人的投标报价按其优惠率折算，即投标报价＝1-投标优惠率，并以折算后的数值作为异常低价审查的报价依据。此处的折算规则，仅适用于20.5条异常低价投标审查程序，作为该程序中报价比对的依据，不适用于评标、定标、签约及结算等其他任何环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highlight w:val="none"/>
        </w:rPr>
        <w:t xml:space="preserve">投标（响应）供应商不能提供书面说明、证明材料，或者提供的书面说明、证明材料不能证明其报价合理性的，评审委员会应当将其作为无效投标（响应）处理。</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21.评标方法和标准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21.1本次采购采用综合评分法，评标方法和标准，详见本采购文件第三章。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21.2综合评分法，是指投标文件满足采购文件全部实质性要求，且按照评审因素的量化指标评审得分最高的投标人为中标候选人的评标方法。</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22.确定中标人</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22.1采用综合评分法的，评标结果按评审后得分由高到低顺序排列。得分相同的，按投标报价由低到高顺序排列。得分且投标报价相同的并列，按技术指标优劣顺序排列。</w:t>
      </w:r>
      <w:bookmarkStart w:id="94" w:name="_Hlk44576646"/>
      <w:r>
        <w:rPr>
          <w:rFonts w:hint="eastAsia" w:ascii="宋体" w:hAnsi="宋体" w:cs="宋体"/>
          <w:szCs w:val="21"/>
          <w:highlight w:val="none"/>
        </w:rPr>
        <w:t xml:space="preserve">投标文件满足采购文件全部实质性要求，</w:t>
      </w:r>
      <w:bookmarkStart w:id="95" w:name="_Hlk128053036"/>
      <w:r>
        <w:rPr>
          <w:rFonts w:hint="eastAsia" w:ascii="宋体" w:hAnsi="宋体" w:cs="宋体"/>
          <w:szCs w:val="21"/>
          <w:highlight w:val="none"/>
        </w:rPr>
        <w:t xml:space="preserve">且按照评审因素的量化指标评审得分最高的投标人为排名第一的中标候选人，经采购人授权，</w:t>
      </w:r>
      <w:bookmarkEnd w:id="94"/>
      <w:r>
        <w:rPr>
          <w:rFonts w:hint="eastAsia" w:ascii="宋体" w:hAnsi="宋体" w:cs="宋体"/>
          <w:szCs w:val="21"/>
          <w:highlight w:val="none"/>
        </w:rPr>
        <w:t xml:space="preserve">评标委员会将综合排名第一的中标候选人确定为中标人。</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投标人可以参与一个或多个采购包的投标，但兼投不兼中，按照采购包1至采购包11的顺序进行评标。如投标人在前一采购包中标，依旧参与后续采购包的评审，但不再推荐为后续采购包的中标人。</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22.2中标人确定后，采购代理机构在</w:t>
      </w:r>
      <w:r>
        <w:rPr>
          <w:rFonts w:hint="eastAsia" w:ascii="宋体" w:hAnsi="宋体" w:cs="宋体"/>
          <w:szCs w:val="21"/>
          <w:highlight w:val="none"/>
          <w:lang w:val="zh-CN"/>
        </w:rPr>
        <w:t xml:space="preserve">原公告媒体发布</w:t>
      </w:r>
      <w:r>
        <w:rPr>
          <w:rFonts w:hint="eastAsia" w:ascii="宋体" w:hAnsi="宋体" w:cs="宋体"/>
          <w:szCs w:val="21"/>
          <w:highlight w:val="none"/>
        </w:rPr>
        <w:t xml:space="preserve">中标公告，公告期限为1个工作日。</w:t>
      </w:r>
      <w:bookmarkEnd w:id="95"/>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23.中标通知书</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23.l中标结果确定后，采购代理机构将向中标人发出中标通知书。中标人可在中标结果公告届满之日起三十日内,登录苏采云系统下载。</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23.2中标通知书是合同的一个组成部分，对采购人和中标人均具有法律效力。中标通知书发出后，采购人改变中标结果或者中标人放弃中标项目的，应当依法承担法律责任。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23.3各采购包中标人在领取中标通知书时，需向采购代理机构提供</w:t>
      </w:r>
      <w:bookmarkStart w:id="96" w:name="OLE_LINK40"/>
      <w:r>
        <w:rPr>
          <w:rFonts w:hint="eastAsia" w:ascii="宋体" w:hAnsi="宋体"/>
          <w:szCs w:val="21"/>
          <w:highlight w:val="none"/>
        </w:rPr>
        <w:t xml:space="preserve">纸质版投标文件</w:t>
      </w:r>
      <w:bookmarkEnd w:id="96"/>
      <w:r>
        <w:rPr>
          <w:rFonts w:hint="eastAsia" w:ascii="宋体" w:hAnsi="宋体"/>
          <w:szCs w:val="21"/>
          <w:highlight w:val="none"/>
        </w:rPr>
        <w:t xml:space="preserve">并标注页码一式叁份存档（盖章版本），纸质版投标文件须与“苏采云”系统上传的电子版投标文件保持一致，投标文件提倡按照A4幅面打印或复印并进行装订（采用胶装形式递交）。</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24.评标过程的保密性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24.1采购人和采购代理机构将采取必要措施，保证评标在严格保密的情况下进行。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24.2任何单位和个人不得非法干预、影响评标办法的确定，以及评标过程和结果。</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24.3凡是与审查、澄清、评价和比较投标的有关资料等，均不向投标人及与评标无关的其他人员透露。</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24.4采购代理机构和评标委员会不向未中标的投标人解释未中标原因，也不公布评标过程中的相关细节。</w:t>
      </w:r>
      <w:r/>
    </w:p>
    <w:p>
      <w:pPr>
        <w:ind w:firstLine="422"/>
        <w:jc w:val="left"/>
        <w:spacing w:line="360" w:lineRule="auto"/>
        <w:shd w:val="clear" w:color="auto" w:fill="ffffff"/>
        <w:widowControl/>
        <w:rPr>
          <w:rFonts w:hint="eastAsia" w:ascii="宋体" w:hAnsi="宋体" w:cs="宋体"/>
          <w:szCs w:val="21"/>
          <w:highlight w:val="none"/>
        </w:rPr>
      </w:pPr>
      <w:r/>
      <w:bookmarkStart w:id="97" w:name="_Hlk176188663"/>
      <w:r>
        <w:rPr>
          <w:rFonts w:hint="eastAsia" w:ascii="宋体" w:hAnsi="宋体" w:cs="宋体"/>
          <w:b/>
          <w:bCs/>
          <w:szCs w:val="21"/>
          <w:highlight w:val="none"/>
        </w:rPr>
        <w:t xml:space="preserve">六、签订合同</w:t>
      </w:r>
      <w:bookmarkEnd w:id="97"/>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25.签订合同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25.1采购人与中标人应当自中标通知书发出之日起30日内，按照采购文件和中标人投标文件的规定，签订书面合同。所签订的合同不得对采购文件确定的事项和中标人投标文件作实质性修改。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25.2采购人不得向中标人提出任何不合理的要求作为签订合同的条件。</w:t>
      </w:r>
      <w:r/>
    </w:p>
    <w:p>
      <w:pPr>
        <w:ind w:firstLine="420"/>
        <w:jc w:val="left"/>
        <w:spacing w:line="360" w:lineRule="auto"/>
        <w:shd w:val="clear" w:color="auto" w:fill="ffffff"/>
        <w:widowControl/>
        <w:rPr>
          <w:rFonts w:hint="eastAsia" w:ascii="宋体" w:hAnsi="宋体" w:cs="宋体"/>
          <w:szCs w:val="21"/>
          <w:highlight w:val="none"/>
        </w:rPr>
      </w:pPr>
      <w:r/>
      <w:bookmarkStart w:id="98" w:name="_Hlk128053131"/>
      <w:r>
        <w:rPr>
          <w:rFonts w:hint="eastAsia" w:ascii="宋体" w:hAnsi="宋体" w:cs="宋体"/>
          <w:szCs w:val="21"/>
          <w:highlight w:val="none"/>
        </w:rPr>
        <w:t xml:space="preserve">25.3</w:t>
      </w:r>
      <w:bookmarkStart w:id="99" w:name="_Hlk134712780"/>
      <w:r>
        <w:rPr>
          <w:rFonts w:hint="eastAsia" w:ascii="宋体" w:hAnsi="宋体" w:cs="宋体"/>
          <w:szCs w:val="21"/>
          <w:highlight w:val="none"/>
        </w:rPr>
        <w:t xml:space="preserve">中标人拒绝与采购人签订合同的，采购人可以按照评标报告推荐的中标候选人名单排序，确定下一候选人为中标人，也可以重新开展政府采购活动。</w:t>
      </w:r>
      <w:bookmarkEnd w:id="98"/>
      <w:r/>
      <w:bookmarkEnd w:id="99"/>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25.4政府采购合同履行中，采购人需追加与合同标的相同的</w:t>
      </w:r>
      <w:bookmarkStart w:id="100" w:name="_Hlk176352307"/>
      <w:r>
        <w:rPr>
          <w:rFonts w:hint="eastAsia" w:ascii="宋体" w:hAnsi="宋体" w:cs="宋体"/>
          <w:szCs w:val="21"/>
          <w:highlight w:val="none"/>
        </w:rPr>
        <w:t xml:space="preserve">服务（包含与服务相关的货物）</w:t>
      </w:r>
      <w:bookmarkEnd w:id="100"/>
      <w:r>
        <w:rPr>
          <w:rFonts w:hint="eastAsia" w:ascii="宋体" w:hAnsi="宋体" w:cs="宋体"/>
          <w:szCs w:val="21"/>
          <w:highlight w:val="none"/>
        </w:rPr>
        <w:t xml:space="preserve">，在不改变合同其他条款的前提下，可以与中标人协商签订补充合同，但所有补充合同的采购金额不得超过原合同采购金额的百分之十。</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25.5采购文件、中标人的投标文件及采购过程中有关澄清、承诺文件均作为合同附件。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25.6采购人与中标人应当根据合同的约定依法履行合同义务。</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七、质疑和投诉</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26.质疑</w:t>
      </w:r>
      <w:r/>
    </w:p>
    <w:p>
      <w:pPr>
        <w:ind w:firstLine="420"/>
        <w:jc w:val="left"/>
        <w:spacing w:line="360" w:lineRule="auto"/>
        <w:shd w:val="clear" w:color="auto" w:fill="ffffff"/>
        <w:widowControl/>
        <w:rPr>
          <w:rFonts w:hint="eastAsia" w:ascii="宋体" w:hAnsi="宋体" w:cs="宋体"/>
          <w:szCs w:val="21"/>
          <w:highlight w:val="none"/>
        </w:rPr>
      </w:pPr>
      <w:r/>
      <w:bookmarkStart w:id="101" w:name="_Hlk135041925"/>
      <w:r>
        <w:rPr>
          <w:rFonts w:hint="eastAsia" w:ascii="宋体" w:hAnsi="宋体" w:cs="宋体"/>
          <w:szCs w:val="21"/>
          <w:highlight w:val="none"/>
        </w:rPr>
        <w:t xml:space="preserve">26.1投标人对采购活动事项有疑问的，可以向采购代理机构提出询问，采购代理机构将依法作出答复，但答复的内容不涉及商业秘密。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26.2提出质疑的投标人应当是参与所质疑项目采购活动的投标人。潜在投标人已依法获取其可质疑的采购文件的，可以对该文件提出质疑。</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以联合体形式参加政府采购活动的，其质疑应当由组成联合体的所有投标人共同提出，联合体各方均须按要求加盖公章。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26.3投标人认为采购文件、采购过程和中标结果使自己的合法权益受到损害的，可以在知道或者应知其权益受到损害之日起七个工作日内，将质疑文件原件送达采购人或采购代理机构。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应知其权益受到损害之日，是指：对采购文件提出质疑的，应当在获取采购文件或者采购文件公告期限届满之日起7个工作日内提出；对采购过程提出质疑的，为各采购程序环节结束之日；对中标结果提出质疑的，为中标结果公告期限届满之日。</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投标人必须在法定质疑期内一次性提出针对同一采购程序环节的质疑。</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26.4投标人提出质疑应当按照《政府采购质疑和投诉办法》的规定提交质疑函和必要的证明材料。质疑函应当包括下列内容：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（1）投标人的姓名或者名称、地址、邮编、联系人及联系电话；</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（2）质疑项目的名称、编号；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（3）具体、明确的质疑事项和与质疑事项相关的请求（具体条款）；</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（4）事实依据（具体条款）；</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（5）必要的法律依据（具体条款）；</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（6）提出质疑的日期。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26.5质疑函应当现场提交至采购代理机构联系人处，提交时应出示有效身份证明。未按上述要求提交质疑函的，质疑不予受理。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26.7采购代理机构在收到投标人的书面质疑后将及时组织调查核实，在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作出答复，并以书面或在网站公告形式通知质疑投标人和其他有关投标人，答复的内容不涉及商业秘密。</w:t>
      </w:r>
      <w:bookmarkEnd w:id="101"/>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27.投诉</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27.2投标人投诉应当有明确的请求和必要的证明材料。投标人投诉的事项不得超出已质疑事项的范围。</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27.3投诉人对政府采购监督管理部门的投诉处理决定不服或者政府采购监督管理部门逾期未作处理的，可以依法申请行政复议或者向人民法院提起行政诉讼。</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27.4投诉人在全国范围12个月内3次以上投诉查无实据的，由财政部门列入不良行为记录名单。</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27.5投诉人有下列行为之一的，属于虚假、恶意投诉，由财政部门列入不良行为记录名单，禁止其1至3年内参加政府采购活动：</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（1）捏造事实；</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（2）提供虚假材料；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（3）以非法手段取得证明材料。证据来源的合法性存在明显疑问，投诉人无法证明其取得方式合法的，视为以非法手段取得证明材料。</w:t>
      </w:r>
      <w:r/>
    </w:p>
    <w:p>
      <w:pPr>
        <w:pStyle w:val="852"/>
        <w:numPr>
          <w:ilvl w:val="0"/>
          <w:numId w:val="0"/>
        </w:numPr>
        <w:spacing w:after="0" w:line="579" w:lineRule="auto"/>
        <w:rPr>
          <w:rFonts w:hint="eastAsia" w:asciiTheme="minorEastAsia" w:hAnsiTheme="minorEastAsia" w:eastAsiaTheme="minorEastAsia"/>
          <w:highlight w:val="none"/>
        </w:rPr>
      </w:pPr>
      <w:r>
        <w:rPr>
          <w:rFonts w:asciiTheme="minorEastAsia" w:hAnsiTheme="minorEastAsia" w:eastAsiaTheme="minorEastAsia"/>
          <w:sz w:val="21"/>
          <w:szCs w:val="21"/>
          <w:highlight w:val="none"/>
        </w:rPr>
        <w:br w:type="page" w:clear="all"/>
      </w:r>
      <w:bookmarkStart w:id="102" w:name="_Toc2754"/>
      <w:r/>
      <w:bookmarkStart w:id="103" w:name="_Toc481057145"/>
      <w:r/>
      <w:bookmarkStart w:id="104" w:name="_Toc19146"/>
      <w:r>
        <w:rPr>
          <w:rFonts w:hint="eastAsia" w:asciiTheme="minorEastAsia" w:hAnsiTheme="minorEastAsia" w:eastAsiaTheme="minorEastAsia"/>
          <w:highlight w:val="none"/>
        </w:rPr>
        <w:t xml:space="preserve">第三章 评标标准</w:t>
      </w:r>
      <w:bookmarkEnd w:id="102"/>
      <w:r/>
      <w:bookmarkEnd w:id="103"/>
      <w:r/>
      <w:bookmarkEnd w:id="104"/>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05" w:name="_Hlk44577066"/>
      <w:r>
        <w:rPr>
          <w:rFonts w:hint="eastAsia" w:asciiTheme="minorEastAsia" w:hAnsiTheme="minorEastAsia" w:eastAsiaTheme="minorEastAsia"/>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06" w:name="_Hlk176529455"/>
      <w:r/>
      <w:r/>
    </w:p>
    <w:p>
      <w:pPr>
        <w:pStyle w:val="896"/>
        <w:spacing w:before="0" w:after="0" w:line="360" w:lineRule="auto"/>
        <w:rPr>
          <w:rFonts w:hint="eastAsia" w:asciiTheme="minorEastAsia" w:hAnsiTheme="minorEastAsia" w:eastAsiaTheme="minorEastAsia"/>
          <w:b w:val="0"/>
          <w:sz w:val="21"/>
          <w:szCs w:val="21"/>
          <w:highlight w:val="none"/>
        </w:rPr>
        <w:outlineLvl w:val="9"/>
      </w:pPr>
      <w:r>
        <w:rPr>
          <w:rFonts w:hint="eastAsia" w:asciiTheme="minorEastAsia" w:hAnsiTheme="minorEastAsia" w:eastAsiaTheme="minorEastAsia"/>
          <w:b w:val="0"/>
          <w:sz w:val="21"/>
          <w:szCs w:val="21"/>
          <w:highlight w:val="none"/>
        </w:rPr>
        <w:t xml:space="preserve">采购包1-采购包11评标标准</w:t>
      </w:r>
      <w:bookmarkEnd w:id="105"/>
      <w:r/>
      <w:bookmarkEnd w:id="106"/>
      <w:r/>
      <w:r/>
    </w:p>
    <w:tbl>
      <w:tblPr>
        <w:tblStyle w:val="862"/>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ascii="宋体" w:hAnsi="宋体" w:cs="宋体"/>
                <w:b/>
                <w:bCs/>
                <w:spacing w:val="-2"/>
                <w:highlight w:val="none"/>
              </w:rPr>
            </w:pPr>
            <w:r>
              <w:rPr>
                <w:rFonts w:hint="eastAsia" w:ascii="宋体" w:hAnsi="宋体"/>
                <w:b/>
                <w:bCs/>
                <w:highlight w:val="none"/>
              </w:rPr>
              <w:t xml:space="preserve">序号</w:t>
            </w:r>
            <w:r/>
          </w:p>
        </w:tc>
        <w:tc>
          <w:tcPr>
            <w:tcW w:w="1039" w:type="dxa"/>
            <w:vAlign w:val="center"/>
            <w:textDirection w:val="lrTb"/>
            <w:noWrap w:val="false"/>
          </w:tcPr>
          <w:p>
            <w:pPr>
              <w:jc w:val="center"/>
              <w:spacing w:line="360" w:lineRule="auto"/>
              <w:rPr>
                <w:rFonts w:hint="eastAsia" w:ascii="宋体" w:hAnsi="宋体" w:cs="宋体"/>
                <w:b/>
                <w:bCs/>
                <w:spacing w:val="-2"/>
                <w:highlight w:val="none"/>
              </w:rPr>
            </w:pPr>
            <w:r>
              <w:rPr>
                <w:rFonts w:hint="eastAsia" w:ascii="宋体" w:hAnsi="宋体"/>
                <w:b/>
                <w:bCs/>
                <w:highlight w:val="none"/>
              </w:rPr>
              <w:t xml:space="preserve">评分因素</w:t>
            </w:r>
            <w:r/>
          </w:p>
        </w:tc>
        <w:tc>
          <w:tcPr>
            <w:tcW w:w="6800" w:type="dxa"/>
            <w:vAlign w:val="center"/>
            <w:textDirection w:val="lrTb"/>
            <w:noWrap w:val="false"/>
          </w:tcPr>
          <w:p>
            <w:pPr>
              <w:jc w:val="center"/>
              <w:spacing w:line="360" w:lineRule="auto"/>
              <w:rPr>
                <w:rFonts w:hint="eastAsia" w:ascii="宋体" w:hAnsi="宋体" w:cs="宋体"/>
                <w:b/>
                <w:bCs/>
                <w:spacing w:val="-2"/>
                <w:highlight w:val="none"/>
              </w:rPr>
            </w:pPr>
            <w:r>
              <w:rPr>
                <w:rFonts w:hint="eastAsia" w:ascii="宋体" w:hAnsi="宋体"/>
                <w:b/>
                <w:bCs/>
                <w:highlight w:val="none"/>
              </w:rPr>
              <w:t xml:space="preserve">评审标准</w:t>
            </w:r>
            <w:r/>
          </w:p>
        </w:tc>
        <w:tc>
          <w:tcPr>
            <w:tcW w:w="575" w:type="dxa"/>
            <w:vAlign w:val="center"/>
            <w:textDirection w:val="lrTb"/>
            <w:noWrap w:val="false"/>
          </w:tcPr>
          <w:p>
            <w:pPr>
              <w:jc w:val="center"/>
              <w:spacing w:line="360" w:lineRule="auto"/>
              <w:rPr>
                <w:rFonts w:hint="eastAsia" w:ascii="宋体" w:hAnsi="宋体" w:cs="宋体"/>
                <w:b/>
                <w:bCs/>
                <w:spacing w:val="-2"/>
                <w:highlight w:val="none"/>
              </w:rPr>
            </w:pPr>
            <w:r>
              <w:rPr>
                <w:rFonts w:hint="eastAsia" w:ascii="宋体" w:hAnsi="宋体"/>
                <w:b/>
                <w:bCs/>
                <w:highlight w:val="none"/>
              </w:rPr>
              <w:t xml:space="preserve">分值</w:t>
            </w:r>
            <w:r/>
          </w:p>
        </w:tc>
        <w:tc>
          <w:tcPr>
            <w:tcW w:w="789" w:type="dxa"/>
            <w:vAlign w:val="center"/>
            <w:textDirection w:val="lrTb"/>
            <w:noWrap w:val="false"/>
          </w:tcPr>
          <w:p>
            <w:pPr>
              <w:jc w:val="center"/>
              <w:spacing w:line="360" w:lineRule="auto"/>
              <w:rPr>
                <w:rFonts w:hint="eastAsia" w:ascii="宋体" w:hAnsi="宋体" w:cs="宋体"/>
                <w:b/>
                <w:bCs/>
                <w:spacing w:val="-2"/>
                <w:highlight w:val="none"/>
              </w:rPr>
            </w:pPr>
            <w:r>
              <w:rPr>
                <w:rFonts w:hint="eastAsia" w:ascii="宋体" w:hAnsi="宋体"/>
                <w:b/>
                <w:bCs/>
                <w:highlight w:val="none"/>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hint="eastAsia" w:ascii="宋体" w:hAnsi="宋体" w:cs="宋体"/>
                <w:highlight w:val="none"/>
              </w:rPr>
            </w:pPr>
            <w:r>
              <w:rPr>
                <w:rFonts w:hint="eastAsia" w:ascii="宋体" w:hAnsi="宋体" w:cs="宋体"/>
                <w:b/>
                <w:bCs/>
                <w:spacing w:val="-3"/>
                <w:highlight w:val="none"/>
              </w:rPr>
              <w:t xml:space="preserve">一、</w:t>
            </w:r>
            <w:r>
              <w:rPr>
                <w:rFonts w:ascii="宋体" w:hAnsi="宋体" w:cs="宋体"/>
                <w:b/>
                <w:bCs/>
                <w:spacing w:val="-3"/>
                <w:highlight w:val="none"/>
              </w:rPr>
              <w:t xml:space="preserve">价</w:t>
            </w:r>
            <w:r>
              <w:rPr>
                <w:rFonts w:ascii="宋体" w:hAnsi="宋体" w:cs="宋体"/>
                <w:b/>
                <w:bCs/>
                <w:spacing w:val="-2"/>
                <w:highlight w:val="none"/>
              </w:rPr>
              <w:t xml:space="preserve">格</w:t>
            </w:r>
            <w:bookmarkStart w:id="107" w:name="OLE_LINK30"/>
            <w:r>
              <w:rPr>
                <w:rFonts w:hint="eastAsia" w:ascii="宋体" w:hAnsi="宋体" w:cs="宋体"/>
                <w:b/>
                <w:bCs/>
                <w:spacing w:val="-2"/>
                <w:highlight w:val="none"/>
              </w:rPr>
              <w:t xml:space="preserve"> </w:t>
            </w:r>
            <w:bookmarkEnd w:id="107"/>
            <w:r>
              <w:rPr>
                <w:rFonts w:hint="eastAsia" w:ascii="宋体" w:hAnsi="宋体" w:cs="宋体"/>
                <w:b/>
                <w:bCs/>
                <w:spacing w:val="-2"/>
                <w:highlight w:val="none"/>
              </w:rPr>
              <w:t xml:space="preserve">30分</w:t>
            </w:r>
            <w:r/>
          </w:p>
        </w:tc>
      </w:tr>
      <w:tr>
        <w:trPr>
          <w:jc w:val="center"/>
          <w:trHeight w:val="398"/>
        </w:trPr>
        <w:tc>
          <w:tcPr>
            <w:tcW w:w="521" w:type="dxa"/>
            <w:vAlign w:val="center"/>
            <w:textDirection w:val="lrTb"/>
            <w:noWrap w:val="false"/>
          </w:tcPr>
          <w:p>
            <w:pPr>
              <w:jc w:val="center"/>
              <w:spacing w:before="68" w:line="360" w:lineRule="auto"/>
              <w:rPr>
                <w:rFonts w:hint="eastAsia" w:ascii="宋体" w:hAnsi="宋体" w:cs="宋体"/>
                <w:highlight w:val="none"/>
              </w:rPr>
            </w:pPr>
            <w:r>
              <w:rPr>
                <w:rFonts w:hint="eastAsia" w:ascii="宋体" w:hAnsi="宋体" w:cs="宋体"/>
                <w:highlight w:val="none"/>
              </w:rPr>
              <w:t xml:space="preserve">1</w:t>
            </w:r>
            <w:r/>
          </w:p>
        </w:tc>
        <w:tc>
          <w:tcPr>
            <w:tcW w:w="1039" w:type="dxa"/>
            <w:vAlign w:val="center"/>
            <w:textDirection w:val="lrTb"/>
            <w:noWrap w:val="false"/>
          </w:tcPr>
          <w:p>
            <w:pPr>
              <w:jc w:val="left"/>
              <w:spacing w:before="68" w:line="360" w:lineRule="auto"/>
              <w:rPr>
                <w:rFonts w:hint="eastAsia" w:ascii="宋体" w:hAnsi="宋体" w:cs="宋体"/>
                <w:highlight w:val="none"/>
              </w:rPr>
            </w:pPr>
            <w:r>
              <w:rPr>
                <w:rFonts w:hint="eastAsia" w:ascii="宋体" w:hAnsi="宋体" w:cs="宋体"/>
                <w:highlight w:val="none"/>
              </w:rPr>
              <w:t xml:space="preserve">价格</w:t>
            </w:r>
            <w:r/>
          </w:p>
        </w:tc>
        <w:tc>
          <w:tcPr>
            <w:tcW w:w="6800" w:type="dxa"/>
            <w:vAlign w:val="center"/>
            <w:textDirection w:val="lrTb"/>
            <w:noWrap w:val="false"/>
          </w:tcPr>
          <w:p>
            <w:pPr>
              <w:pStyle w:val="863"/>
              <w:ind w:firstLine="0"/>
              <w:widowControl/>
              <w:rPr>
                <w:rFonts w:hint="eastAsia" w:ascii="宋体" w:hAnsi="宋体" w:cs="宋体"/>
                <w:sz w:val="21"/>
                <w:szCs w:val="21"/>
                <w:highlight w:val="none"/>
                <w:lang w:bidi="ar"/>
              </w:rPr>
            </w:pPr>
            <w:r>
              <w:rPr>
                <w:rFonts w:hint="eastAsia" w:ascii="宋体" w:hAnsi="宋体" w:cs="宋体"/>
                <w:b/>
                <w:bCs/>
                <w:sz w:val="21"/>
                <w:szCs w:val="21"/>
                <w:highlight w:val="none"/>
                <w:lang w:bidi="ar"/>
              </w:rPr>
              <w:t xml:space="preserve">本项目采用苏采云系统中的“优惠率”进行报价，投标人统一填报“优惠率”。</w:t>
            </w:r>
            <w:r>
              <w:rPr>
                <w:rFonts w:hint="eastAsia" w:ascii="宋体" w:hAnsi="宋体" w:cs="宋体"/>
                <w:sz w:val="21"/>
                <w:szCs w:val="21"/>
                <w:highlight w:val="none"/>
                <w:lang w:bidi="ar"/>
              </w:rPr>
              <w:t xml:space="preserve">价格分采用低价优先法计算，即满足招标文件要求且投标价格最低的投标报价为评标基准价。</w:t>
            </w:r>
            <w:r/>
          </w:p>
          <w:p>
            <w:pPr>
              <w:pStyle w:val="863"/>
              <w:ind w:firstLine="0"/>
              <w:widowControl/>
              <w:rPr>
                <w:rFonts w:hint="eastAsia" w:ascii="宋体" w:hAnsi="宋体" w:cs="宋体"/>
                <w:sz w:val="21"/>
                <w:szCs w:val="21"/>
                <w:highlight w:val="none"/>
                <w:lang w:bidi="ar"/>
              </w:rPr>
            </w:pPr>
            <w:r>
              <w:rPr>
                <w:rFonts w:hint="eastAsia" w:ascii="宋体" w:hAnsi="宋体" w:cs="宋体"/>
                <w:b/>
                <w:bCs/>
                <w:sz w:val="21"/>
                <w:szCs w:val="21"/>
                <w:highlight w:val="none"/>
                <w:lang w:bidi="ar"/>
              </w:rPr>
              <w:t xml:space="preserve">本项评标价格通过（1-投标优惠率）得出，评标基准价为（1-投标优惠率）的最低值。</w:t>
            </w:r>
            <w:r>
              <w:rPr>
                <w:rFonts w:hint="eastAsia" w:ascii="宋体" w:hAnsi="宋体" w:cs="宋体"/>
                <w:sz w:val="21"/>
                <w:szCs w:val="21"/>
                <w:highlight w:val="none"/>
                <w:lang w:bidi="ar"/>
              </w:rPr>
              <w:t xml:space="preserve">投标人的价格分统一按照下列公式计算：</w:t>
            </w:r>
            <w:r/>
          </w:p>
          <w:p>
            <w:pPr>
              <w:pStyle w:val="863"/>
              <w:ind w:firstLine="0"/>
              <w:widowControl/>
              <w:rPr>
                <w:rFonts w:hint="eastAsia" w:ascii="宋体" w:hAnsi="宋体" w:cs="宋体"/>
                <w:b/>
                <w:bCs/>
                <w:sz w:val="21"/>
                <w:szCs w:val="21"/>
                <w:highlight w:val="none"/>
                <w:lang w:bidi="ar"/>
              </w:rPr>
            </w:pPr>
            <w:r>
              <w:rPr>
                <w:rFonts w:hint="eastAsia" w:ascii="宋体" w:hAnsi="宋体" w:cs="宋体"/>
                <w:b/>
                <w:bCs/>
                <w:sz w:val="21"/>
                <w:szCs w:val="21"/>
                <w:highlight w:val="none"/>
                <w:lang w:bidi="ar"/>
              </w:rPr>
              <w:t xml:space="preserve">价格得分=(评标基准价/评标价格)×30（小数点保留两位）。</w:t>
            </w:r>
            <w:r/>
          </w:p>
          <w:p>
            <w:pPr>
              <w:jc w:val="left"/>
              <w:spacing w:line="360" w:lineRule="auto"/>
              <w:rPr>
                <w:rFonts w:hint="eastAsia" w:ascii="宋体" w:hAnsi="宋体" w:cs="宋体"/>
                <w:highlight w:val="none"/>
              </w:rPr>
            </w:pPr>
            <w:r>
              <w:rPr>
                <w:rFonts w:hint="eastAsia" w:ascii="宋体" w:hAnsi="宋体" w:cs="宋体"/>
                <w:szCs w:val="21"/>
                <w:highlight w:val="none"/>
                <w:lang w:bidi="ar"/>
              </w:rPr>
              <w:t xml:space="preserve">举例如下：投标人A、B、C填报的优惠率分别为30%、25%、20%，以投标人A优惠率计算（1-30%）=70%为评标基准价；同理投标人B、C分别以75%、80%计入价格评分；投标人A的价格得分为30分，投标人B的价格得分为28分；投标人C的价格得分为26.25分。</w:t>
            </w:r>
            <w:r>
              <w:rPr>
                <w:rFonts w:hint="eastAsia" w:ascii="宋体" w:hAnsi="宋体" w:cs="宋体"/>
                <w:b/>
                <w:bCs/>
                <w:szCs w:val="21"/>
                <w:highlight w:val="none"/>
                <w:lang w:bidi="ar"/>
              </w:rPr>
              <w:t xml:space="preserve">（以上数据均未进行政策功能的扣除，仅供理解）</w:t>
            </w:r>
            <w:r/>
          </w:p>
        </w:tc>
        <w:tc>
          <w:tcPr>
            <w:tcW w:w="575" w:type="dxa"/>
            <w:vAlign w:val="center"/>
            <w:textDirection w:val="lrTb"/>
            <w:noWrap w:val="false"/>
          </w:tcPr>
          <w:p>
            <w:pPr>
              <w:jc w:val="center"/>
              <w:spacing w:before="69" w:line="360" w:lineRule="auto"/>
              <w:rPr>
                <w:rFonts w:hint="eastAsia" w:ascii="宋体" w:hAnsi="宋体" w:cs="宋体"/>
                <w:highlight w:val="none"/>
              </w:rPr>
            </w:pPr>
            <w:r>
              <w:rPr>
                <w:rFonts w:hint="eastAsia" w:ascii="宋体" w:hAnsi="宋体" w:cs="宋体"/>
                <w:highlight w:val="none"/>
              </w:rPr>
              <w:t xml:space="preserve">30</w:t>
            </w:r>
            <w:r/>
          </w:p>
        </w:tc>
        <w:tc>
          <w:tcPr>
            <w:tcW w:w="789" w:type="dxa"/>
            <w:vAlign w:val="center"/>
            <w:textDirection w:val="lrTb"/>
            <w:noWrap w:val="false"/>
          </w:tcPr>
          <w:p>
            <w:pPr>
              <w:jc w:val="center"/>
              <w:spacing w:before="69" w:line="360" w:lineRule="auto"/>
              <w:rPr>
                <w:rFonts w:hint="eastAsia" w:ascii="宋体" w:hAnsi="宋体" w:cs="宋体"/>
                <w:highlight w:val="none"/>
              </w:rPr>
            </w:pPr>
            <w:r>
              <w:rPr>
                <w:rFonts w:hint="eastAsia" w:ascii="宋体" w:hAnsi="宋体" w:cs="宋体"/>
                <w:highlight w:val="none"/>
              </w:rPr>
              <w:t xml:space="preserve">价格分</w:t>
            </w:r>
            <w:r/>
          </w:p>
        </w:tc>
      </w:tr>
      <w:tr>
        <w:trPr>
          <w:jc w:val="center"/>
          <w:trHeight w:val="448"/>
        </w:trPr>
        <w:tc>
          <w:tcPr>
            <w:gridSpan w:val="5"/>
            <w:tcW w:w="9724" w:type="dxa"/>
            <w:vAlign w:val="center"/>
            <w:textDirection w:val="lrTb"/>
            <w:noWrap w:val="false"/>
          </w:tcPr>
          <w:p>
            <w:pPr>
              <w:ind w:left="114"/>
              <w:jc w:val="center"/>
              <w:spacing w:before="123" w:line="360" w:lineRule="auto"/>
              <w:rPr>
                <w:rFonts w:hint="eastAsia" w:ascii="宋体" w:hAnsi="宋体" w:cs="宋体"/>
                <w:highlight w:val="none"/>
              </w:rPr>
            </w:pPr>
            <w:r>
              <w:rPr>
                <w:rFonts w:hint="eastAsia" w:ascii="宋体" w:hAnsi="宋体" w:cs="宋体"/>
                <w:b/>
                <w:szCs w:val="21"/>
                <w:highlight w:val="none"/>
              </w:rPr>
              <w:t xml:space="preserve">二、商务</w:t>
            </w:r>
            <w:r>
              <w:rPr>
                <w:rFonts w:hint="eastAsia" w:ascii="宋体" w:hAnsi="宋体" w:cs="宋体"/>
                <w:b/>
                <w:bCs/>
                <w:spacing w:val="-2"/>
                <w:highlight w:val="none"/>
              </w:rPr>
              <w:t xml:space="preserve">33</w:t>
            </w:r>
            <w:r>
              <w:rPr>
                <w:rFonts w:hint="eastAsia" w:ascii="宋体" w:hAnsi="宋体" w:cs="宋体"/>
                <w:b/>
                <w:szCs w:val="21"/>
                <w:highlight w:val="none"/>
              </w:rPr>
              <w:t xml:space="preserve">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highlight w:val="none"/>
              </w:rPr>
            </w:pPr>
            <w:r/>
            <w:bookmarkStart w:id="108" w:name="_Hlk243644558"/>
            <w:r>
              <w:rPr>
                <w:rFonts w:hint="eastAsia" w:ascii="宋体" w:hAnsi="宋体" w:cs="宋体"/>
                <w:spacing w:val="-2"/>
                <w:highlight w:val="none"/>
              </w:rPr>
              <w:t xml:space="preserve">1</w:t>
            </w:r>
            <w:r/>
          </w:p>
        </w:tc>
        <w:tc>
          <w:tcPr>
            <w:tcW w:w="1039" w:type="dxa"/>
            <w:vAlign w:val="center"/>
            <w:textDirection w:val="lrTb"/>
            <w:noWrap w:val="false"/>
          </w:tcPr>
          <w:p>
            <w:pPr>
              <w:jc w:val="left"/>
              <w:spacing w:before="68" w:line="360" w:lineRule="auto"/>
              <w:rPr>
                <w:rFonts w:hint="eastAsia" w:ascii="宋体" w:hAnsi="宋体" w:cs="宋体"/>
                <w:spacing w:val="-2"/>
                <w:highlight w:val="none"/>
              </w:rPr>
            </w:pPr>
            <w:r>
              <w:rPr>
                <w:rFonts w:hint="eastAsia" w:ascii="宋体" w:hAnsi="宋体" w:cs="宋体"/>
                <w:spacing w:val="-2"/>
                <w:highlight w:val="none"/>
              </w:rPr>
              <w:t xml:space="preserve">投标人业绩</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投标人自2023年1月1日（以合同签订日期为准）以来承接过全品类食材供应项目，每提供1个得3分，最高得9分。</w:t>
            </w:r>
            <w:r/>
          </w:p>
          <w:p>
            <w:pPr>
              <w:jc w:val="left"/>
              <w:spacing w:line="360" w:lineRule="auto"/>
              <w:rPr>
                <w:rFonts w:hint="eastAsia" w:ascii="宋体" w:hAnsi="宋体" w:cs="宋体"/>
                <w:highlight w:val="none"/>
              </w:rPr>
            </w:pPr>
            <w:r>
              <w:rPr>
                <w:rFonts w:hint="eastAsia" w:ascii="宋体" w:hAnsi="宋体" w:cs="宋体"/>
                <w:highlight w:val="none"/>
              </w:rPr>
              <w:t xml:space="preserve">（提供完整清晰的合同扫描件及合同服务期内对应的付款发票并加盖投标人公章，其中合同需体现出</w:t>
            </w:r>
            <w:r>
              <w:rPr>
                <w:rFonts w:hint="eastAsia" w:ascii="宋体" w:hAnsi="宋体" w:cs="宋体"/>
                <w:highlight w:val="none"/>
                <w:lang w:val="en-US" w:eastAsia="zh-CN"/>
              </w:rPr>
              <w:t xml:space="preserve">采购人</w:t>
            </w:r>
            <w:r>
              <w:rPr>
                <w:rFonts w:hint="eastAsia" w:ascii="宋体" w:hAnsi="宋体" w:cs="宋体"/>
                <w:highlight w:val="none"/>
              </w:rPr>
              <w:t xml:space="preserve">名称、合同内容、签署日期等信息；发票中购买方信息应与合同中甲方名称一致。一份合同内容中，供应的食材应至少包含①肉家禽水产类②果蔬类③米面油类④调味品干货副食品类以上四类中的至少两类产品，不符合条件的不得分。同一个甲方单位的多个合同不重复计分。未提供或未按要求提供材料的，本项不得分。）</w:t>
            </w:r>
            <w:r/>
          </w:p>
        </w:tc>
        <w:tc>
          <w:tcPr>
            <w:tcW w:w="575" w:type="dxa"/>
            <w:vAlign w:val="center"/>
            <w:textDirection w:val="lrTb"/>
            <w:noWrap w:val="false"/>
          </w:tcPr>
          <w:p>
            <w:pPr>
              <w:jc w:val="center"/>
              <w:spacing w:before="69" w:line="360" w:lineRule="auto"/>
              <w:rPr>
                <w:rFonts w:hint="eastAsia" w:ascii="宋体" w:hAnsi="宋体" w:cs="宋体"/>
                <w:highlight w:val="none"/>
              </w:rPr>
            </w:pPr>
            <w:r>
              <w:rPr>
                <w:rFonts w:hint="eastAsia" w:ascii="宋体" w:hAnsi="宋体" w:cs="宋体"/>
                <w:highlight w:val="none"/>
              </w:rPr>
              <w:t xml:space="preserve">9</w:t>
            </w:r>
            <w:r/>
          </w:p>
        </w:tc>
        <w:tc>
          <w:tcPr>
            <w:tcW w:w="789" w:type="dxa"/>
            <w:vAlign w:val="center"/>
            <w:textDirection w:val="lrTb"/>
            <w:noWrap w:val="false"/>
          </w:tcPr>
          <w:p>
            <w:pPr>
              <w:jc w:val="center"/>
              <w:spacing w:before="68" w:line="360" w:lineRule="auto"/>
              <w:rPr>
                <w:rFonts w:hint="eastAsia" w:ascii="宋体" w:hAnsi="宋体" w:cs="宋体"/>
                <w:highlight w:val="none"/>
              </w:rPr>
            </w:pPr>
            <w:r/>
            <w:bookmarkStart w:id="109" w:name="OLE_LINK35"/>
            <w:r>
              <w:rPr>
                <w:rFonts w:hint="eastAsia" w:ascii="宋体" w:hAnsi="宋体" w:cs="宋体"/>
                <w:spacing w:val="-6"/>
                <w:highlight w:val="none"/>
              </w:rPr>
              <w:t xml:space="preserve">客观分</w:t>
            </w:r>
            <w:bookmarkEnd w:id="109"/>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highlight w:val="none"/>
              </w:rPr>
            </w:pPr>
            <w:r/>
            <w:bookmarkStart w:id="110" w:name="OLE_LINK34"/>
            <w:r>
              <w:rPr>
                <w:rFonts w:hint="eastAsia" w:ascii="宋体" w:hAnsi="宋体" w:cs="宋体"/>
                <w:spacing w:val="-2"/>
                <w:highlight w:val="none"/>
              </w:rPr>
              <w:t xml:space="preserve">2</w:t>
            </w:r>
            <w:r/>
          </w:p>
        </w:tc>
        <w:tc>
          <w:tcPr>
            <w:tcW w:w="1039" w:type="dxa"/>
            <w:vAlign w:val="center"/>
            <w:textDirection w:val="lrTb"/>
            <w:noWrap w:val="false"/>
          </w:tcPr>
          <w:p>
            <w:pPr>
              <w:jc w:val="left"/>
              <w:spacing w:before="68" w:line="360" w:lineRule="auto"/>
              <w:rPr>
                <w:rFonts w:hint="eastAsia" w:ascii="宋体" w:hAnsi="宋体" w:cs="宋体"/>
                <w:spacing w:val="-2"/>
                <w:highlight w:val="none"/>
              </w:rPr>
            </w:pPr>
            <w:r>
              <w:rPr>
                <w:rFonts w:hint="eastAsia" w:ascii="宋体" w:hAnsi="宋体" w:cs="宋体"/>
                <w:spacing w:val="-2"/>
                <w:highlight w:val="none"/>
              </w:rPr>
              <w:t xml:space="preserve">用户评价</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投标人自2023年1月1日（以合同签订日期为准）以来承接的全品类食材供应项目中获得的用户评价或履约满意度为优秀(好评或满意等同等级评价)的每份得1分，其他不得分，最多得3分。</w:t>
            </w:r>
            <w:r/>
          </w:p>
          <w:p>
            <w:pPr>
              <w:jc w:val="left"/>
              <w:spacing w:line="360" w:lineRule="auto"/>
              <w:rPr>
                <w:rFonts w:hint="eastAsia" w:ascii="宋体" w:hAnsi="宋体" w:cs="宋体"/>
                <w:highlight w:val="none"/>
              </w:rPr>
            </w:pPr>
            <w:r>
              <w:rPr>
                <w:rFonts w:hint="eastAsia" w:ascii="宋体" w:hAnsi="宋体" w:cs="宋体"/>
                <w:highlight w:val="none"/>
              </w:rPr>
              <w:t xml:space="preserve">（提供完整清晰的合同扫描件及用户评价/履约满意度证明材料，材料需加盖投标人公章。合同需体现出甲方名称、合同内容、签署日期等信息；一份合同内容中，供应的食材应至少包含①肉家禽水产类②果蔬类③米面油类④调味品干货副食品类以上四类中的至少两类产品。用户评价/履约满意度证明材料中项目信息应与对应项目合同相符，并体现评价单位名称且已盖评价单位公章确认，评价单位应与签订合同的甲方单位或实际使用部门一致。未提供或未按要求提供材料的，本项不得分。所提供的业绩可以和上述“投标人业绩”重复）</w:t>
            </w:r>
            <w:r/>
          </w:p>
        </w:tc>
        <w:tc>
          <w:tcPr>
            <w:tcW w:w="575" w:type="dxa"/>
            <w:vAlign w:val="center"/>
            <w:textDirection w:val="lrTb"/>
            <w:noWrap w:val="false"/>
          </w:tcPr>
          <w:p>
            <w:pPr>
              <w:jc w:val="center"/>
              <w:spacing w:before="69" w:line="360" w:lineRule="auto"/>
              <w:rPr>
                <w:rFonts w:hint="eastAsia" w:ascii="宋体" w:hAnsi="宋体" w:cs="宋体"/>
                <w:highlight w:val="none"/>
              </w:rPr>
            </w:pPr>
            <w:r>
              <w:rPr>
                <w:rFonts w:hint="eastAsia" w:ascii="宋体" w:hAnsi="宋体" w:cs="宋体"/>
                <w:highlight w:val="none"/>
              </w:rPr>
              <w:t xml:space="preserve">3</w:t>
            </w:r>
            <w:r/>
          </w:p>
        </w:tc>
        <w:tc>
          <w:tcPr>
            <w:tcW w:w="789" w:type="dxa"/>
            <w:vAlign w:val="center"/>
            <w:textDirection w:val="lrTb"/>
            <w:noWrap w:val="false"/>
          </w:tcPr>
          <w:p>
            <w:pPr>
              <w:jc w:val="center"/>
              <w:spacing w:before="68" w:line="360" w:lineRule="auto"/>
              <w:rPr>
                <w:rFonts w:hint="eastAsia" w:ascii="宋体" w:hAnsi="宋体" w:cs="宋体"/>
                <w:spacing w:val="-6"/>
                <w:highlight w:val="none"/>
              </w:rPr>
            </w:pPr>
            <w:r>
              <w:rPr>
                <w:rFonts w:hint="eastAsia" w:ascii="宋体" w:hAnsi="宋体" w:cs="宋体"/>
                <w:spacing w:val="-6"/>
                <w:highlight w:val="none"/>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highlight w:val="none"/>
              </w:rPr>
            </w:pPr>
            <w:r>
              <w:rPr>
                <w:rFonts w:hint="eastAsia" w:ascii="宋体" w:hAnsi="宋体" w:cs="宋体"/>
                <w:spacing w:val="-2"/>
                <w:highlight w:val="none"/>
              </w:rPr>
              <w:t xml:space="preserve">3</w:t>
            </w:r>
            <w:r/>
          </w:p>
        </w:tc>
        <w:tc>
          <w:tcPr>
            <w:tcW w:w="1039" w:type="dxa"/>
            <w:vAlign w:val="center"/>
            <w:textDirection w:val="lrTb"/>
            <w:noWrap w:val="false"/>
          </w:tcPr>
          <w:p>
            <w:pPr>
              <w:jc w:val="left"/>
              <w:spacing w:before="68" w:line="360" w:lineRule="auto"/>
              <w:rPr>
                <w:rFonts w:hint="eastAsia" w:ascii="宋体" w:hAnsi="宋体" w:cs="宋体"/>
                <w:spacing w:val="-2"/>
                <w:highlight w:val="none"/>
              </w:rPr>
            </w:pPr>
            <w:r>
              <w:rPr>
                <w:rFonts w:hint="eastAsia" w:ascii="宋体" w:hAnsi="宋体" w:cs="宋体"/>
                <w:spacing w:val="-2"/>
                <w:highlight w:val="none"/>
              </w:rPr>
              <w:t xml:space="preserve">配送车辆情况</w:t>
            </w:r>
            <w:r/>
          </w:p>
        </w:tc>
        <w:tc>
          <w:tcPr>
            <w:tcW w:w="6800" w:type="dxa"/>
            <w:vAlign w:val="center"/>
            <w:textDirection w:val="lrTb"/>
            <w:noWrap w:val="false"/>
          </w:tcPr>
          <w:p>
            <w:pPr>
              <w:pStyle w:val="863"/>
              <w:ind w:firstLine="0"/>
              <w:widowControl/>
              <w:rPr>
                <w:rFonts w:hint="eastAsia" w:ascii="宋体" w:hAnsi="宋体" w:cs="宋体"/>
                <w:bCs/>
                <w:sz w:val="21"/>
                <w:szCs w:val="21"/>
                <w:highlight w:val="none"/>
              </w:rPr>
            </w:pPr>
            <w:r>
              <w:rPr>
                <w:rFonts w:hint="eastAsia" w:ascii="宋体" w:hAnsi="宋体" w:cs="宋体"/>
                <w:bCs/>
                <w:sz w:val="21"/>
                <w:szCs w:val="21"/>
                <w:highlight w:val="none"/>
              </w:rPr>
              <w:t xml:space="preserve">为满足分散食堂的配送任务，投标人每提供固定专用食品配送车辆1台得2分，最多得4分；冷藏车1台得2分，最多得2分。且需提供承诺书承诺相关车辆不得随意更换，未提供本项不得分。</w:t>
            </w:r>
            <w:r/>
          </w:p>
          <w:p>
            <w:pPr>
              <w:pStyle w:val="863"/>
              <w:ind w:firstLine="0"/>
              <w:widowControl/>
              <w:rPr>
                <w:rFonts w:hint="eastAsia" w:ascii="宋体" w:hAnsi="宋体" w:cs="宋体"/>
                <w:bCs/>
                <w:sz w:val="21"/>
                <w:szCs w:val="21"/>
                <w:highlight w:val="none"/>
              </w:rPr>
            </w:pPr>
            <w:r>
              <w:rPr>
                <w:rFonts w:hint="eastAsia" w:ascii="宋体" w:hAnsi="宋体" w:cs="宋体"/>
                <w:b/>
                <w:sz w:val="21"/>
                <w:szCs w:val="21"/>
                <w:highlight w:val="none"/>
              </w:rPr>
              <w:t xml:space="preserve">自有车辆</w:t>
            </w:r>
            <w:r>
              <w:rPr>
                <w:rFonts w:hint="eastAsia" w:ascii="宋体" w:hAnsi="宋体" w:cs="宋体"/>
                <w:bCs/>
                <w:sz w:val="21"/>
                <w:szCs w:val="21"/>
                <w:highlight w:val="none"/>
              </w:rPr>
              <w:t xml:space="preserve">需提供车辆的购买发票，有效期内的车辆行驶证（所有人须为投标人或投标人法人代表）、车辆正面及相关照片（必须体现车牌号，车牌号须与车辆行驶证一致，明显体现出运输车辆特征）等证明材料复印件并加盖公章。</w:t>
            </w:r>
            <w:r/>
          </w:p>
          <w:p>
            <w:pPr>
              <w:pStyle w:val="863"/>
              <w:ind w:firstLine="0"/>
              <w:widowControl/>
              <w:rPr>
                <w:rFonts w:hint="eastAsia" w:ascii="宋体" w:hAnsi="宋体" w:cs="宋体"/>
                <w:bCs/>
                <w:sz w:val="21"/>
                <w:szCs w:val="21"/>
                <w:highlight w:val="none"/>
              </w:rPr>
            </w:pPr>
            <w:r>
              <w:rPr>
                <w:rFonts w:hint="eastAsia" w:ascii="宋体" w:hAnsi="宋体" w:cs="宋体"/>
                <w:b/>
                <w:sz w:val="21"/>
                <w:szCs w:val="21"/>
                <w:highlight w:val="none"/>
              </w:rPr>
              <w:t xml:space="preserve">租赁车辆</w:t>
            </w:r>
            <w:r>
              <w:rPr>
                <w:rFonts w:hint="eastAsia" w:ascii="宋体" w:hAnsi="宋体" w:cs="宋体"/>
                <w:bCs/>
                <w:sz w:val="21"/>
                <w:szCs w:val="21"/>
                <w:highlight w:val="none"/>
              </w:rPr>
              <w:t xml:space="preserve">需提供由投标人或投标人法人代表签订的租用合同，签订的租用合同需超过此项目的服务期限(自开标之日起计算一年），如提供的租赁合同无法覆盖本项目服务期限，须提供续签承诺书，格式自拟并加盖投标人公章；有效期内的车辆行驶证（所有人须为车辆出租单位或车辆出租单位法人代表）、车辆正面及相关照片（必须体现车牌号，车牌号须与车辆行驶证一致，明显体现出运输车辆特征）等证明材料复印件并加盖公章。</w:t>
            </w:r>
            <w:r/>
          </w:p>
          <w:p>
            <w:pPr>
              <w:jc w:val="left"/>
              <w:spacing w:line="360" w:lineRule="auto"/>
              <w:rPr>
                <w:rFonts w:hint="eastAsia" w:ascii="宋体" w:hAnsi="宋体" w:cs="宋体"/>
                <w:highlight w:val="none"/>
              </w:rPr>
            </w:pPr>
            <w:r>
              <w:rPr>
                <w:rFonts w:hint="eastAsia" w:ascii="宋体" w:hAnsi="宋体" w:cs="宋体"/>
                <w:bCs/>
                <w:szCs w:val="21"/>
                <w:highlight w:val="none"/>
              </w:rPr>
              <w:t xml:space="preserve">（提供加盖投标人公章的证明资料复印件，否则不得分。提供的车辆需提供承诺书承诺相关车辆不得随意更换，格式自拟。未提供或未按要求提供的不得分。）</w:t>
            </w:r>
            <w:r/>
          </w:p>
        </w:tc>
        <w:tc>
          <w:tcPr>
            <w:tcW w:w="575" w:type="dxa"/>
            <w:vAlign w:val="center"/>
            <w:textDirection w:val="lrTb"/>
            <w:noWrap w:val="false"/>
          </w:tcPr>
          <w:p>
            <w:pPr>
              <w:jc w:val="center"/>
              <w:spacing w:before="69" w:line="360" w:lineRule="auto"/>
              <w:rPr>
                <w:rFonts w:hint="eastAsia" w:ascii="宋体" w:hAnsi="宋体" w:cs="宋体"/>
                <w:highlight w:val="none"/>
              </w:rPr>
            </w:pPr>
            <w:r>
              <w:rPr>
                <w:rFonts w:hint="eastAsia" w:ascii="宋体" w:hAnsi="宋体" w:cs="宋体"/>
                <w:highlight w:val="none"/>
              </w:rPr>
              <w:t xml:space="preserve">6</w:t>
            </w:r>
            <w:r/>
          </w:p>
        </w:tc>
        <w:tc>
          <w:tcPr>
            <w:tcW w:w="789" w:type="dxa"/>
            <w:vAlign w:val="center"/>
            <w:textDirection w:val="lrTb"/>
            <w:noWrap w:val="false"/>
          </w:tcPr>
          <w:p>
            <w:pPr>
              <w:jc w:val="center"/>
              <w:spacing w:before="68" w:line="360" w:lineRule="auto"/>
              <w:rPr>
                <w:rFonts w:hint="eastAsia" w:ascii="宋体" w:hAnsi="宋体" w:cs="宋体"/>
                <w:spacing w:val="-6"/>
                <w:highlight w:val="none"/>
              </w:rPr>
            </w:pPr>
            <w:r>
              <w:rPr>
                <w:rFonts w:hint="eastAsia"/>
                <w:highlight w:val="none"/>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highlight w:val="none"/>
              </w:rPr>
            </w:pPr>
            <w:r>
              <w:rPr>
                <w:rFonts w:hint="eastAsia" w:ascii="宋体" w:hAnsi="宋体" w:cs="宋体"/>
                <w:spacing w:val="-2"/>
                <w:highlight w:val="none"/>
              </w:rPr>
              <w:t xml:space="preserve">4</w:t>
            </w:r>
            <w:r/>
          </w:p>
        </w:tc>
        <w:tc>
          <w:tcPr>
            <w:tcW w:w="1039" w:type="dxa"/>
            <w:vAlign w:val="center"/>
            <w:textDirection w:val="lrTb"/>
            <w:noWrap w:val="false"/>
          </w:tcPr>
          <w:p>
            <w:pPr>
              <w:jc w:val="left"/>
              <w:spacing w:before="68" w:line="360" w:lineRule="auto"/>
              <w:rPr>
                <w:rFonts w:hint="eastAsia" w:ascii="宋体" w:hAnsi="宋体" w:cs="宋体"/>
                <w:spacing w:val="-2"/>
                <w:highlight w:val="none"/>
              </w:rPr>
            </w:pPr>
            <w:r>
              <w:rPr>
                <w:rFonts w:hint="eastAsia" w:ascii="宋体" w:hAnsi="宋体" w:cs="宋体"/>
                <w:spacing w:val="-2"/>
                <w:highlight w:val="none"/>
              </w:rPr>
              <w:t xml:space="preserve">仓储场地情况1</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投标人自有或租赁仓库且面积满100平方米及以上的得4分，面积50平方米（不含）-100平方米（不含）的得2分，50平方米及以下的得1分。</w:t>
            </w:r>
            <w:r/>
          </w:p>
          <w:p>
            <w:pPr>
              <w:jc w:val="left"/>
              <w:spacing w:line="360" w:lineRule="auto"/>
              <w:rPr>
                <w:rFonts w:hint="eastAsia" w:ascii="宋体" w:hAnsi="宋体" w:cs="宋体"/>
                <w:highlight w:val="none"/>
              </w:rPr>
            </w:pPr>
            <w:r>
              <w:rPr>
                <w:rFonts w:hint="eastAsia" w:ascii="宋体" w:hAnsi="宋体" w:cs="宋体"/>
                <w:b/>
                <w:bCs/>
                <w:highlight w:val="none"/>
              </w:rPr>
              <w:t xml:space="preserve">自有仓库</w:t>
            </w:r>
            <w:r>
              <w:rPr>
                <w:rFonts w:hint="eastAsia" w:ascii="宋体" w:hAnsi="宋体" w:cs="宋体"/>
                <w:highlight w:val="none"/>
              </w:rPr>
              <w:t xml:space="preserve">需提供仓库场所产权证明（所有人须为投标人或投标人法人代表）、仓库场所实际照片等证明材料复印件并加盖公章。</w:t>
            </w:r>
            <w:r/>
          </w:p>
          <w:p>
            <w:pPr>
              <w:jc w:val="left"/>
              <w:spacing w:line="360" w:lineRule="auto"/>
              <w:rPr>
                <w:rFonts w:hint="eastAsia" w:ascii="宋体" w:hAnsi="宋体" w:cs="宋体"/>
                <w:highlight w:val="none"/>
              </w:rPr>
            </w:pPr>
            <w:r>
              <w:rPr>
                <w:rFonts w:hint="eastAsia" w:ascii="宋体" w:hAnsi="宋体" w:cs="宋体"/>
                <w:b/>
                <w:bCs/>
                <w:highlight w:val="none"/>
              </w:rPr>
              <w:t xml:space="preserve">租赁仓库</w:t>
            </w:r>
            <w:r>
              <w:rPr>
                <w:rFonts w:hint="eastAsia" w:ascii="宋体" w:hAnsi="宋体" w:cs="宋体"/>
                <w:highlight w:val="none"/>
              </w:rPr>
              <w:t xml:space="preserve">需提供由投标人或投标人法人代表签订的租用合同、仓库场所实际照片等证明材料，签订的租用合同需超过此项目的服务期限(自开标之日起计算一年），如提供的租赁合同无法覆盖本项目服务期限，须提供续签承诺书，格式自拟并加盖投标人公章。</w:t>
            </w:r>
            <w:r/>
          </w:p>
          <w:p>
            <w:pPr>
              <w:jc w:val="left"/>
              <w:spacing w:line="360" w:lineRule="auto"/>
              <w:rPr>
                <w:rFonts w:hint="eastAsia" w:ascii="宋体" w:hAnsi="宋体" w:cs="宋体"/>
                <w:highlight w:val="none"/>
              </w:rPr>
            </w:pPr>
            <w:r>
              <w:rPr>
                <w:rFonts w:hint="eastAsia" w:ascii="宋体" w:hAnsi="宋体" w:cs="宋体"/>
                <w:highlight w:val="none"/>
              </w:rPr>
              <w:t xml:space="preserve">（提供加盖投标人公章的证明资料复印件，证明材料里须明确体现仓储种类和面积。未提供或未按要求提供的不得分。）</w:t>
            </w:r>
            <w:r/>
          </w:p>
        </w:tc>
        <w:tc>
          <w:tcPr>
            <w:tcW w:w="575" w:type="dxa"/>
            <w:vAlign w:val="center"/>
            <w:textDirection w:val="lrTb"/>
            <w:noWrap w:val="false"/>
          </w:tcPr>
          <w:p>
            <w:pPr>
              <w:jc w:val="center"/>
              <w:spacing w:before="69" w:line="360" w:lineRule="auto"/>
              <w:rPr>
                <w:rFonts w:hint="eastAsia" w:ascii="宋体" w:hAnsi="宋体" w:cs="宋体"/>
                <w:highlight w:val="none"/>
              </w:rPr>
            </w:pPr>
            <w:r>
              <w:rPr>
                <w:rFonts w:hint="eastAsia" w:ascii="宋体" w:hAnsi="宋体" w:cs="宋体"/>
                <w:highlight w:val="none"/>
              </w:rPr>
              <w:t xml:space="preserve">4</w:t>
            </w:r>
            <w:r/>
          </w:p>
        </w:tc>
        <w:tc>
          <w:tcPr>
            <w:tcW w:w="789" w:type="dxa"/>
            <w:vAlign w:val="center"/>
            <w:textDirection w:val="lrTb"/>
            <w:noWrap w:val="false"/>
          </w:tcPr>
          <w:p>
            <w:pPr>
              <w:jc w:val="center"/>
              <w:spacing w:before="68" w:line="360" w:lineRule="auto"/>
              <w:rPr>
                <w:rFonts w:hint="eastAsia" w:ascii="宋体" w:hAnsi="宋体" w:cs="宋体"/>
                <w:spacing w:val="-6"/>
                <w:highlight w:val="none"/>
              </w:rPr>
            </w:pPr>
            <w:r>
              <w:rPr>
                <w:rFonts w:hint="eastAsia"/>
                <w:highlight w:val="none"/>
              </w:rPr>
              <w:t xml:space="preserve">客观分</w:t>
            </w:r>
            <w:r/>
          </w:p>
        </w:tc>
      </w:tr>
      <w:tr>
        <w:trPr>
          <w:jc w:val="center"/>
          <w:trHeight w:val="90"/>
        </w:trPr>
        <w:tc>
          <w:tcPr>
            <w:tcW w:w="521" w:type="dxa"/>
            <w:vAlign w:val="center"/>
            <w:textDirection w:val="lrTb"/>
            <w:noWrap w:val="false"/>
          </w:tcPr>
          <w:p>
            <w:pPr>
              <w:jc w:val="center"/>
              <w:spacing w:line="360" w:lineRule="auto"/>
              <w:rPr>
                <w:rFonts w:hint="eastAsia" w:ascii="宋体" w:hAnsi="宋体" w:cs="宋体"/>
                <w:spacing w:val="-2"/>
                <w:highlight w:val="none"/>
              </w:rPr>
            </w:pPr>
            <w:r>
              <w:rPr>
                <w:rFonts w:hint="eastAsia" w:ascii="宋体" w:hAnsi="宋体" w:cs="宋体"/>
                <w:spacing w:val="-2"/>
                <w:highlight w:val="none"/>
              </w:rPr>
              <w:t xml:space="preserve">5</w:t>
            </w:r>
            <w:r/>
          </w:p>
        </w:tc>
        <w:tc>
          <w:tcPr>
            <w:tcW w:w="1039" w:type="dxa"/>
            <w:vAlign w:val="center"/>
            <w:textDirection w:val="lrTb"/>
            <w:noWrap w:val="false"/>
          </w:tcPr>
          <w:p>
            <w:pPr>
              <w:jc w:val="left"/>
              <w:spacing w:before="68" w:line="360" w:lineRule="auto"/>
              <w:rPr>
                <w:rFonts w:hint="eastAsia" w:ascii="宋体" w:hAnsi="宋体" w:cs="宋体"/>
                <w:spacing w:val="-2"/>
                <w:highlight w:val="none"/>
              </w:rPr>
            </w:pPr>
            <w:r>
              <w:rPr>
                <w:rFonts w:hint="eastAsia" w:ascii="宋体" w:hAnsi="宋体" w:cs="宋体"/>
                <w:spacing w:val="-2"/>
                <w:highlight w:val="none"/>
              </w:rPr>
              <w:t xml:space="preserve">仓储场地情况2</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投标人自有或租赁冷冻库或冷藏库且面积满50平方米及以上的得4分，面积30平方米（不含）-50平方米（不含）的得2分，30平方米及以下的得1分。</w:t>
            </w:r>
            <w:r/>
          </w:p>
          <w:p>
            <w:pPr>
              <w:jc w:val="left"/>
              <w:spacing w:line="360" w:lineRule="auto"/>
              <w:rPr>
                <w:rFonts w:hint="eastAsia" w:ascii="宋体" w:hAnsi="宋体" w:cs="宋体"/>
                <w:highlight w:val="none"/>
              </w:rPr>
            </w:pPr>
            <w:r>
              <w:rPr>
                <w:rFonts w:hint="eastAsia" w:ascii="宋体" w:hAnsi="宋体" w:cs="宋体"/>
                <w:b/>
                <w:bCs/>
                <w:highlight w:val="none"/>
              </w:rPr>
              <w:t xml:space="preserve">自有仓库</w:t>
            </w:r>
            <w:r>
              <w:rPr>
                <w:rFonts w:hint="eastAsia" w:ascii="宋体" w:hAnsi="宋体" w:cs="宋体"/>
                <w:highlight w:val="none"/>
              </w:rPr>
              <w:t xml:space="preserve">需提供仓库场所产权证明（所有人须为投标人或投标人法人代表）、仓库场所实际照片等证明材料复印件并加盖公章。</w:t>
            </w:r>
            <w:r/>
          </w:p>
          <w:p>
            <w:pPr>
              <w:jc w:val="left"/>
              <w:spacing w:line="360" w:lineRule="auto"/>
              <w:rPr>
                <w:rFonts w:hint="eastAsia" w:ascii="宋体" w:hAnsi="宋体" w:cs="宋体"/>
                <w:highlight w:val="none"/>
              </w:rPr>
            </w:pPr>
            <w:r>
              <w:rPr>
                <w:rFonts w:hint="eastAsia" w:ascii="宋体" w:hAnsi="宋体" w:cs="宋体"/>
                <w:b/>
                <w:bCs/>
                <w:highlight w:val="none"/>
              </w:rPr>
              <w:t xml:space="preserve">租赁仓库</w:t>
            </w:r>
            <w:r>
              <w:rPr>
                <w:rFonts w:hint="eastAsia" w:ascii="宋体" w:hAnsi="宋体" w:cs="宋体"/>
                <w:highlight w:val="none"/>
              </w:rPr>
              <w:t xml:space="preserve">需提供由投标人或投标人法人代表签订的租用合同、仓库场所实际照片等证明材料，签订的租用合同需超过此项目的服务期限(自开标之日起计算一年），如提供的租赁合同无法覆盖本项目服务期限，须提供续签承诺书，格式自拟并加盖投标人公章。</w:t>
            </w:r>
            <w:r/>
          </w:p>
          <w:p>
            <w:pPr>
              <w:jc w:val="left"/>
              <w:spacing w:line="360" w:lineRule="auto"/>
              <w:rPr>
                <w:rFonts w:hint="eastAsia" w:ascii="宋体" w:hAnsi="宋体" w:cs="宋体"/>
                <w:highlight w:val="none"/>
              </w:rPr>
            </w:pPr>
            <w:r>
              <w:rPr>
                <w:rFonts w:hint="eastAsia" w:ascii="宋体" w:hAnsi="宋体" w:cs="宋体"/>
                <w:highlight w:val="none"/>
              </w:rPr>
              <w:t xml:space="preserve">（提供加盖投标人公章的证明资料复印件，证明材料里须明确体现仓储种类和面积。未提供或未按要求提供的不得分。）</w:t>
            </w:r>
            <w:r/>
          </w:p>
        </w:tc>
        <w:tc>
          <w:tcPr>
            <w:tcW w:w="575" w:type="dxa"/>
            <w:vAlign w:val="center"/>
            <w:textDirection w:val="lrTb"/>
            <w:noWrap w:val="false"/>
          </w:tcPr>
          <w:p>
            <w:pPr>
              <w:jc w:val="center"/>
              <w:spacing w:before="69" w:line="360" w:lineRule="auto"/>
              <w:rPr>
                <w:rFonts w:hint="eastAsia" w:ascii="宋体" w:hAnsi="宋体" w:cs="宋体"/>
                <w:highlight w:val="none"/>
              </w:rPr>
            </w:pPr>
            <w:r>
              <w:rPr>
                <w:rFonts w:hint="eastAsia" w:ascii="宋体" w:hAnsi="宋体" w:cs="宋体"/>
                <w:highlight w:val="none"/>
              </w:rPr>
              <w:t xml:space="preserve">4</w:t>
            </w:r>
            <w:r/>
          </w:p>
        </w:tc>
        <w:tc>
          <w:tcPr>
            <w:tcW w:w="789" w:type="dxa"/>
            <w:vAlign w:val="center"/>
            <w:textDirection w:val="lrTb"/>
            <w:noWrap w:val="false"/>
          </w:tcPr>
          <w:p>
            <w:pPr>
              <w:jc w:val="center"/>
              <w:spacing w:before="68" w:line="360" w:lineRule="auto"/>
              <w:rPr>
                <w:highlight w:val="none"/>
              </w:rPr>
            </w:pPr>
            <w:r>
              <w:rPr>
                <w:rFonts w:hint="eastAsia"/>
                <w:highlight w:val="none"/>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highlight w:val="none"/>
              </w:rPr>
            </w:pPr>
            <w:r>
              <w:rPr>
                <w:rFonts w:hint="eastAsia" w:ascii="宋体" w:hAnsi="宋体" w:cs="宋体"/>
                <w:spacing w:val="-2"/>
                <w:highlight w:val="none"/>
              </w:rPr>
              <w:t xml:space="preserve">6</w:t>
            </w:r>
            <w:r/>
          </w:p>
        </w:tc>
        <w:tc>
          <w:tcPr>
            <w:tcW w:w="1039" w:type="dxa"/>
            <w:vAlign w:val="center"/>
            <w:textDirection w:val="lrTb"/>
            <w:noWrap w:val="false"/>
          </w:tcPr>
          <w:p>
            <w:pPr>
              <w:jc w:val="left"/>
              <w:spacing w:before="68" w:line="360" w:lineRule="auto"/>
              <w:rPr>
                <w:rFonts w:hint="eastAsia" w:ascii="宋体" w:hAnsi="宋体" w:cs="宋体"/>
                <w:spacing w:val="-2"/>
                <w:highlight w:val="none"/>
              </w:rPr>
            </w:pPr>
            <w:r>
              <w:rPr>
                <w:rFonts w:hint="eastAsia" w:ascii="宋体" w:hAnsi="宋体" w:cs="宋体"/>
                <w:spacing w:val="-2"/>
                <w:highlight w:val="none"/>
              </w:rPr>
              <w:t xml:space="preserve">食材溯源</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投标人提供①牛羊猪肉类②家禽类③果蔬类④米面油类⑤调味品干货副食品上述五类食材的溯源材料，每提供一类食材的溯源材料的得1分，本项最高得5分。</w:t>
            </w:r>
            <w:r/>
          </w:p>
          <w:p>
            <w:pPr>
              <w:jc w:val="left"/>
              <w:spacing w:line="360" w:lineRule="auto"/>
              <w:rPr>
                <w:rFonts w:hint="eastAsia" w:ascii="宋体" w:hAnsi="宋体" w:cs="宋体"/>
                <w:highlight w:val="none"/>
              </w:rPr>
            </w:pPr>
            <w:r>
              <w:rPr>
                <w:rFonts w:hint="eastAsia" w:ascii="宋体" w:hAnsi="宋体" w:cs="宋体"/>
                <w:highlight w:val="none"/>
              </w:rPr>
              <w:t xml:space="preserve">（提供加盖投标人公章的证明资料复印件，证明材料包括但不限于投标人与供货方签订的在有效期内的供货协议(供货期限需包含自开标之日起计算一年），未提供或未按要求提供材料的不得分。）</w:t>
            </w:r>
            <w:r/>
          </w:p>
        </w:tc>
        <w:tc>
          <w:tcPr>
            <w:tcW w:w="575" w:type="dxa"/>
            <w:vAlign w:val="center"/>
            <w:textDirection w:val="lrTb"/>
            <w:noWrap w:val="false"/>
          </w:tcPr>
          <w:p>
            <w:pPr>
              <w:jc w:val="center"/>
              <w:spacing w:before="69" w:line="360" w:lineRule="auto"/>
              <w:rPr>
                <w:rFonts w:hint="eastAsia" w:ascii="宋体" w:hAnsi="宋体" w:cs="宋体"/>
                <w:highlight w:val="none"/>
              </w:rPr>
            </w:pPr>
            <w:r>
              <w:rPr>
                <w:rFonts w:hint="eastAsia" w:ascii="宋体" w:hAnsi="宋体" w:cs="宋体"/>
                <w:highlight w:val="none"/>
              </w:rPr>
              <w:t xml:space="preserve">5</w:t>
            </w:r>
            <w:r/>
          </w:p>
        </w:tc>
        <w:tc>
          <w:tcPr>
            <w:tcW w:w="789" w:type="dxa"/>
            <w:vAlign w:val="center"/>
            <w:textDirection w:val="lrTb"/>
            <w:noWrap w:val="false"/>
          </w:tcPr>
          <w:p>
            <w:pPr>
              <w:jc w:val="center"/>
              <w:spacing w:before="68" w:line="360" w:lineRule="auto"/>
              <w:rPr>
                <w:highlight w:val="none"/>
              </w:rPr>
            </w:pPr>
            <w:r>
              <w:rPr>
                <w:rFonts w:hint="eastAsia"/>
                <w:highlight w:val="none"/>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spacing w:val="-2"/>
                <w:highlight w:val="none"/>
              </w:rPr>
            </w:pPr>
            <w:r>
              <w:rPr>
                <w:rFonts w:hint="eastAsia" w:ascii="宋体" w:hAnsi="宋体" w:cs="宋体"/>
                <w:spacing w:val="-2"/>
                <w:highlight w:val="none"/>
              </w:rPr>
              <w:t xml:space="preserve">7</w:t>
            </w:r>
            <w:r/>
          </w:p>
        </w:tc>
        <w:tc>
          <w:tcPr>
            <w:tcW w:w="1039" w:type="dxa"/>
            <w:vAlign w:val="center"/>
            <w:textDirection w:val="lrTb"/>
            <w:noWrap w:val="false"/>
          </w:tcPr>
          <w:p>
            <w:pPr>
              <w:jc w:val="left"/>
              <w:spacing w:before="68" w:line="360" w:lineRule="auto"/>
              <w:rPr>
                <w:rFonts w:hint="eastAsia" w:ascii="宋体" w:hAnsi="宋体" w:cs="宋体"/>
                <w:spacing w:val="-2"/>
                <w:highlight w:val="none"/>
              </w:rPr>
            </w:pPr>
            <w:r>
              <w:rPr>
                <w:rFonts w:hint="eastAsia" w:ascii="宋体" w:hAnsi="宋体" w:cs="宋体"/>
                <w:spacing w:val="-2"/>
                <w:highlight w:val="none"/>
              </w:rPr>
              <w:t xml:space="preserve">服务承诺</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投标人承诺在中标后购买“食品安全责任险”，食品安全责任险的保险期限应覆盖项目合同服务期：</w:t>
            </w:r>
            <w:r/>
          </w:p>
          <w:p>
            <w:pPr>
              <w:jc w:val="left"/>
              <w:spacing w:line="360" w:lineRule="auto"/>
              <w:rPr>
                <w:rFonts w:hint="eastAsia" w:ascii="宋体" w:hAnsi="宋体" w:cs="宋体"/>
                <w:highlight w:val="none"/>
              </w:rPr>
            </w:pPr>
            <w:r>
              <w:rPr>
                <w:rFonts w:hint="eastAsia" w:ascii="宋体" w:hAnsi="宋体" w:cs="宋体"/>
                <w:highlight w:val="none"/>
              </w:rPr>
              <w:t xml:space="preserve">保单金额≥500万元得2分；</w:t>
            </w:r>
            <w:r/>
          </w:p>
          <w:p>
            <w:pPr>
              <w:jc w:val="left"/>
              <w:spacing w:line="360" w:lineRule="auto"/>
              <w:rPr>
                <w:rFonts w:hint="eastAsia" w:ascii="宋体" w:hAnsi="宋体" w:cs="宋体"/>
                <w:highlight w:val="none"/>
              </w:rPr>
            </w:pPr>
            <w:r>
              <w:rPr>
                <w:rFonts w:hint="eastAsia" w:ascii="宋体" w:hAnsi="宋体" w:cs="宋体"/>
                <w:highlight w:val="none"/>
              </w:rPr>
              <w:t xml:space="preserve">100万元≤保单金额＜500万元，得1分；</w:t>
            </w:r>
            <w:r/>
          </w:p>
          <w:p>
            <w:pPr>
              <w:jc w:val="left"/>
              <w:spacing w:line="360" w:lineRule="auto"/>
              <w:rPr>
                <w:rFonts w:hint="eastAsia" w:ascii="宋体" w:hAnsi="宋体" w:cs="宋体"/>
                <w:highlight w:val="none"/>
              </w:rPr>
            </w:pPr>
            <w:r>
              <w:rPr>
                <w:rFonts w:hint="eastAsia" w:ascii="宋体" w:hAnsi="宋体" w:cs="宋体"/>
                <w:highlight w:val="none"/>
              </w:rPr>
              <w:t xml:space="preserve">保单金额＜100万元，不得分。</w:t>
            </w:r>
            <w:r/>
          </w:p>
          <w:p>
            <w:pPr>
              <w:jc w:val="left"/>
              <w:spacing w:line="360" w:lineRule="auto"/>
              <w:rPr>
                <w:rFonts w:hint="eastAsia" w:ascii="宋体" w:hAnsi="宋体" w:cs="宋体"/>
                <w:highlight w:val="none"/>
              </w:rPr>
            </w:pPr>
            <w:r>
              <w:rPr>
                <w:rFonts w:hint="eastAsia" w:ascii="宋体" w:hAnsi="宋体" w:cs="宋体"/>
                <w:highlight w:val="none"/>
              </w:rPr>
              <w:t xml:space="preserve">（提供承诺书并加盖投标人公章，承诺书内容自拟并能体现对应保单金额；承诺书无法体现保单金额的，本项不得分。未提供或未按要求提供材料的不得分。投标人已投保食品安全责任险的，仍须按要求提供承诺书，未提供承诺书的，本项不得分。）</w:t>
            </w:r>
            <w:r/>
          </w:p>
        </w:tc>
        <w:tc>
          <w:tcPr>
            <w:tcW w:w="575" w:type="dxa"/>
            <w:vAlign w:val="center"/>
            <w:textDirection w:val="lrTb"/>
            <w:noWrap w:val="false"/>
          </w:tcPr>
          <w:p>
            <w:pPr>
              <w:jc w:val="center"/>
              <w:spacing w:before="69" w:line="360" w:lineRule="auto"/>
              <w:rPr>
                <w:rFonts w:hint="eastAsia" w:ascii="宋体" w:hAnsi="宋体" w:cs="宋体"/>
                <w:highlight w:val="none"/>
              </w:rPr>
            </w:pPr>
            <w:r>
              <w:rPr>
                <w:rFonts w:hint="eastAsia" w:ascii="宋体" w:hAnsi="宋体" w:cs="宋体"/>
                <w:highlight w:val="none"/>
              </w:rPr>
              <w:t xml:space="preserve">2</w:t>
            </w:r>
            <w:r/>
          </w:p>
        </w:tc>
        <w:tc>
          <w:tcPr>
            <w:tcW w:w="789" w:type="dxa"/>
            <w:vAlign w:val="center"/>
            <w:textDirection w:val="lrTb"/>
            <w:noWrap w:val="false"/>
          </w:tcPr>
          <w:p>
            <w:pPr>
              <w:jc w:val="center"/>
              <w:spacing w:before="68" w:line="360" w:lineRule="auto"/>
              <w:rPr>
                <w:rFonts w:hint="eastAsia" w:ascii="宋体" w:hAnsi="宋体" w:cs="宋体"/>
                <w:spacing w:val="-6"/>
                <w:highlight w:val="none"/>
              </w:rPr>
            </w:pPr>
            <w:r>
              <w:rPr>
                <w:rFonts w:hint="eastAsia" w:ascii="宋体" w:hAnsi="宋体" w:cs="宋体"/>
                <w:spacing w:val="-6"/>
                <w:highlight w:val="none"/>
              </w:rPr>
              <w:t xml:space="preserve">客观分</w:t>
            </w:r>
            <w:bookmarkEnd w:id="108"/>
            <w:r/>
            <w:r/>
          </w:p>
        </w:tc>
      </w:tr>
      <w:tr>
        <w:trPr>
          <w:jc w:val="center"/>
          <w:trHeight w:val="323"/>
        </w:trPr>
        <w:tc>
          <w:tcPr>
            <w:gridSpan w:val="5"/>
            <w:tcW w:w="9724"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b/>
                <w:szCs w:val="21"/>
                <w:highlight w:val="none"/>
              </w:rPr>
              <w:t xml:space="preserve">三、技术 37分</w:t>
            </w:r>
            <w:bookmarkEnd w:id="110"/>
            <w:r/>
            <w:r/>
          </w:p>
        </w:tc>
      </w:tr>
      <w:tr>
        <w:trPr>
          <w:jc w:val="center"/>
          <w:trHeight w:val="410"/>
        </w:trPr>
        <w:tc>
          <w:tcPr>
            <w:tcW w:w="521" w:type="dxa"/>
            <w:vAlign w:val="center"/>
            <w:textDirection w:val="lrTb"/>
            <w:noWrap w:val="false"/>
          </w:tcPr>
          <w:p>
            <w:pPr>
              <w:jc w:val="center"/>
              <w:spacing w:before="68" w:line="360" w:lineRule="auto"/>
              <w:rPr>
                <w:rFonts w:hint="eastAsia" w:ascii="宋体" w:hAnsi="宋体" w:cs="宋体"/>
                <w:spacing w:val="-2"/>
                <w:highlight w:val="none"/>
              </w:rPr>
            </w:pPr>
            <w:r>
              <w:rPr>
                <w:rFonts w:hint="eastAsia" w:ascii="宋体" w:hAnsi="宋体" w:cs="宋体"/>
                <w:spacing w:val="-2"/>
                <w:highlight w:val="none"/>
              </w:rPr>
              <w:t xml:space="preserve">1</w:t>
            </w:r>
            <w:r/>
          </w:p>
        </w:tc>
        <w:tc>
          <w:tcPr>
            <w:tcW w:w="1039" w:type="dxa"/>
            <w:vAlign w:val="center"/>
            <w:textDirection w:val="lrTb"/>
            <w:noWrap w:val="false"/>
          </w:tcPr>
          <w:p>
            <w:pPr>
              <w:jc w:val="left"/>
              <w:spacing w:before="69" w:line="360" w:lineRule="auto"/>
              <w:rPr>
                <w:rFonts w:hint="eastAsia" w:ascii="宋体" w:hAnsi="宋体" w:cs="宋体"/>
                <w:spacing w:val="-1"/>
                <w:highlight w:val="none"/>
              </w:rPr>
            </w:pPr>
            <w:r>
              <w:rPr>
                <w:rFonts w:hint="eastAsia" w:ascii="宋体" w:hAnsi="宋体" w:cs="宋体"/>
                <w:spacing w:val="-1"/>
                <w:highlight w:val="none"/>
              </w:rPr>
              <w:t xml:space="preserve">配送方案</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根据投标人提供的配送方案（包括但不限于针对各食堂的配送方案）进行打分：</w:t>
            </w:r>
            <w:r/>
          </w:p>
          <w:p>
            <w:pPr>
              <w:jc w:val="left"/>
              <w:spacing w:line="360" w:lineRule="auto"/>
              <w:rPr>
                <w:rFonts w:hint="eastAsia" w:ascii="宋体" w:hAnsi="宋体" w:cs="宋体"/>
                <w:highlight w:val="none"/>
              </w:rPr>
            </w:pPr>
            <w:r>
              <w:rPr>
                <w:rFonts w:hint="eastAsia" w:ascii="宋体" w:hAnsi="宋体" w:cs="宋体"/>
                <w:highlight w:val="none"/>
              </w:rPr>
              <w:t xml:space="preserve">针对采购包中每个食堂都有对应的配送方案，内容涵盖全面，理解准确，针对本项目与采购人实际情况可实施性、针对性强，完全满足采购需求的，得5分；</w:t>
            </w:r>
            <w:r/>
          </w:p>
          <w:p>
            <w:pPr>
              <w:jc w:val="left"/>
              <w:spacing w:line="360" w:lineRule="auto"/>
              <w:rPr>
                <w:rFonts w:hint="eastAsia" w:ascii="宋体" w:hAnsi="宋体" w:cs="宋体"/>
                <w:highlight w:val="none"/>
              </w:rPr>
            </w:pPr>
            <w:r>
              <w:rPr>
                <w:rFonts w:hint="eastAsia" w:ascii="宋体" w:hAnsi="宋体" w:cs="宋体"/>
                <w:highlight w:val="none"/>
              </w:rPr>
              <w:t xml:space="preserve">针对采购包中每个食堂都有对应的配送方案，但与本项目内容有偏差或内容笼统没有针对性，未考虑多个食堂配送距离的，得3分；</w:t>
            </w:r>
            <w:r/>
          </w:p>
          <w:p>
            <w:pPr>
              <w:jc w:val="left"/>
              <w:spacing w:line="360" w:lineRule="auto"/>
              <w:rPr>
                <w:rFonts w:hint="eastAsia" w:ascii="宋体" w:hAnsi="宋体" w:cs="宋体"/>
                <w:highlight w:val="none"/>
              </w:rPr>
            </w:pPr>
            <w:r>
              <w:rPr>
                <w:rFonts w:hint="eastAsia" w:ascii="宋体" w:hAnsi="宋体" w:cs="宋体"/>
                <w:highlight w:val="none"/>
              </w:rPr>
              <w:t xml:space="preserve">未针对采购包中每个食堂提供配送方案，方案内容具有切实可行性但条理不清晰的，得1分；</w:t>
            </w:r>
            <w:r/>
          </w:p>
          <w:p>
            <w:pPr>
              <w:jc w:val="left"/>
              <w:spacing w:line="360" w:lineRule="auto"/>
              <w:rPr>
                <w:rFonts w:hint="eastAsia" w:ascii="宋体" w:hAnsi="宋体" w:cs="宋体"/>
                <w:highlight w:val="none"/>
              </w:rPr>
            </w:pPr>
            <w:r>
              <w:rPr>
                <w:rFonts w:hint="eastAsia" w:ascii="宋体" w:hAnsi="宋体" w:cs="宋体"/>
                <w:highlight w:val="none"/>
              </w:rPr>
              <w:t xml:space="preserve">未提供方案的不得分。</w:t>
            </w:r>
            <w:r/>
          </w:p>
        </w:tc>
        <w:tc>
          <w:tcPr>
            <w:tcW w:w="575" w:type="dxa"/>
            <w:vAlign w:val="center"/>
            <w:textDirection w:val="lrTb"/>
            <w:noWrap w:val="false"/>
          </w:tcPr>
          <w:p>
            <w:pPr>
              <w:jc w:val="center"/>
              <w:spacing w:before="68" w:line="360" w:lineRule="auto"/>
              <w:rPr>
                <w:rFonts w:hint="eastAsia" w:ascii="宋体" w:hAnsi="宋体" w:cs="宋体"/>
                <w:highlight w:val="none"/>
              </w:rPr>
            </w:pPr>
            <w:r>
              <w:rPr>
                <w:rFonts w:hint="eastAsia" w:ascii="宋体" w:hAnsi="宋体" w:cs="宋体"/>
                <w:highlight w:val="none"/>
              </w:rPr>
              <w:t xml:space="preserve">5</w:t>
            </w:r>
            <w:r/>
          </w:p>
        </w:tc>
        <w:tc>
          <w:tcPr>
            <w:tcW w:w="789" w:type="dxa"/>
            <w:vAlign w:val="center"/>
            <w:textDirection w:val="lrTb"/>
            <w:noWrap w:val="false"/>
          </w:tcPr>
          <w:p>
            <w:pPr>
              <w:jc w:val="center"/>
              <w:spacing w:before="68" w:line="360" w:lineRule="auto"/>
              <w:rPr>
                <w:rFonts w:hint="eastAsia" w:ascii="宋体" w:hAnsi="宋体" w:cs="宋体"/>
                <w:spacing w:val="-6"/>
                <w:highlight w:val="none"/>
              </w:rPr>
            </w:pPr>
            <w:r>
              <w:rPr>
                <w:rFonts w:hint="eastAsia" w:ascii="宋体" w:hAnsi="宋体" w:cs="宋体"/>
                <w:spacing w:val="-6"/>
                <w:highlight w:val="none"/>
              </w:rPr>
              <w:t xml:space="preserve">主观分</w:t>
            </w:r>
            <w:r/>
          </w:p>
        </w:tc>
      </w:tr>
      <w:tr>
        <w:trPr>
          <w:jc w:val="center"/>
          <w:trHeight w:val="410"/>
        </w:trPr>
        <w:tc>
          <w:tcPr>
            <w:tcW w:w="521" w:type="dxa"/>
            <w:vAlign w:val="center"/>
            <w:textDirection w:val="lrTb"/>
            <w:noWrap w:val="false"/>
          </w:tcPr>
          <w:p>
            <w:pPr>
              <w:jc w:val="center"/>
              <w:spacing w:before="68" w:line="360" w:lineRule="auto"/>
              <w:rPr>
                <w:rFonts w:hint="eastAsia" w:ascii="宋体" w:hAnsi="宋体" w:cs="宋体"/>
                <w:spacing w:val="-2"/>
                <w:highlight w:val="none"/>
              </w:rPr>
            </w:pPr>
            <w:r>
              <w:rPr>
                <w:rFonts w:hint="eastAsia" w:ascii="宋体" w:hAnsi="宋体" w:cs="宋体"/>
                <w:spacing w:val="-2"/>
                <w:highlight w:val="none"/>
              </w:rPr>
              <w:t xml:space="preserve">2</w:t>
            </w:r>
            <w:r/>
          </w:p>
        </w:tc>
        <w:tc>
          <w:tcPr>
            <w:tcW w:w="1039" w:type="dxa"/>
            <w:vAlign w:val="center"/>
            <w:textDirection w:val="lrTb"/>
            <w:noWrap w:val="false"/>
          </w:tcPr>
          <w:p>
            <w:pPr>
              <w:jc w:val="left"/>
              <w:spacing w:before="69" w:line="360" w:lineRule="auto"/>
              <w:rPr>
                <w:rFonts w:hint="eastAsia" w:ascii="宋体" w:hAnsi="宋体" w:cs="宋体"/>
                <w:spacing w:val="-1"/>
                <w:highlight w:val="none"/>
              </w:rPr>
            </w:pPr>
            <w:r>
              <w:rPr>
                <w:rFonts w:ascii="宋体" w:hAnsi="宋体" w:cs="宋体"/>
                <w:spacing w:val="-1"/>
                <w:highlight w:val="none"/>
              </w:rPr>
              <w:t xml:space="preserve">响应时间</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根据投标人提供的各食堂配送到位响应时间进行打分：</w:t>
            </w:r>
            <w:r/>
          </w:p>
          <w:p>
            <w:pPr>
              <w:jc w:val="left"/>
              <w:spacing w:line="360" w:lineRule="auto"/>
              <w:rPr>
                <w:rFonts w:hint="eastAsia" w:ascii="宋体" w:hAnsi="宋体" w:cs="宋体"/>
                <w:highlight w:val="none"/>
              </w:rPr>
            </w:pPr>
            <w:r>
              <w:rPr>
                <w:rFonts w:hint="eastAsia" w:ascii="宋体" w:hAnsi="宋体" w:cs="宋体"/>
                <w:highlight w:val="none"/>
              </w:rPr>
              <w:t xml:space="preserve">针对采购包中每个食堂都有清晰准确的预估配送到位响应时间，响应时间考虑工作日早高峰、节假日人员安排等情况，配送到位响应时间有相关依据，完全满足采购需求的，得5分；</w:t>
            </w:r>
            <w:r/>
          </w:p>
          <w:p>
            <w:pPr>
              <w:jc w:val="left"/>
              <w:spacing w:line="360" w:lineRule="auto"/>
              <w:rPr>
                <w:rFonts w:hint="eastAsia" w:ascii="宋体" w:hAnsi="宋体" w:cs="宋体"/>
                <w:highlight w:val="none"/>
              </w:rPr>
            </w:pPr>
            <w:r>
              <w:rPr>
                <w:rFonts w:hint="eastAsia" w:ascii="宋体" w:hAnsi="宋体" w:cs="宋体"/>
                <w:highlight w:val="none"/>
              </w:rPr>
              <w:t xml:space="preserve">针对采购包中每个食堂都有预估配送到位响应时间，但预估时间缺乏相关依据的，得3分；</w:t>
            </w:r>
            <w:r/>
          </w:p>
          <w:p>
            <w:pPr>
              <w:jc w:val="left"/>
              <w:spacing w:line="360" w:lineRule="auto"/>
              <w:rPr>
                <w:rFonts w:hint="eastAsia" w:ascii="宋体" w:hAnsi="宋体" w:cs="宋体"/>
                <w:highlight w:val="none"/>
              </w:rPr>
            </w:pPr>
            <w:r>
              <w:rPr>
                <w:rFonts w:hint="eastAsia" w:ascii="宋体" w:hAnsi="宋体" w:cs="宋体"/>
                <w:highlight w:val="none"/>
              </w:rPr>
              <w:t xml:space="preserve">未针对采购包中每个食堂提供预估配送到位响应时间，预估时间未完全贴合实际情况的，得1分；</w:t>
            </w:r>
            <w:r/>
          </w:p>
          <w:p>
            <w:pPr>
              <w:jc w:val="left"/>
              <w:spacing w:line="360" w:lineRule="auto"/>
              <w:rPr>
                <w:rFonts w:hint="eastAsia" w:ascii="宋体" w:hAnsi="宋体" w:cs="宋体"/>
                <w:highlight w:val="none"/>
              </w:rPr>
            </w:pPr>
            <w:r>
              <w:rPr>
                <w:rFonts w:hint="eastAsia" w:ascii="宋体" w:hAnsi="宋体" w:cs="宋体"/>
                <w:highlight w:val="none"/>
              </w:rPr>
              <w:t xml:space="preserve">未提供方案的不得分。</w:t>
            </w:r>
            <w:r/>
          </w:p>
        </w:tc>
        <w:tc>
          <w:tcPr>
            <w:tcW w:w="575" w:type="dxa"/>
            <w:vAlign w:val="center"/>
            <w:textDirection w:val="lrTb"/>
            <w:noWrap w:val="false"/>
          </w:tcPr>
          <w:p>
            <w:pPr>
              <w:jc w:val="center"/>
              <w:spacing w:before="68" w:line="360" w:lineRule="auto"/>
              <w:rPr>
                <w:rFonts w:hint="eastAsia" w:ascii="宋体" w:hAnsi="宋体" w:cs="宋体"/>
                <w:highlight w:val="none"/>
              </w:rPr>
            </w:pPr>
            <w:r>
              <w:rPr>
                <w:rFonts w:hint="eastAsia" w:ascii="宋体" w:hAnsi="宋体" w:cs="宋体"/>
                <w:highlight w:val="none"/>
              </w:rPr>
              <w:t xml:space="preserve">5</w:t>
            </w:r>
            <w:r/>
          </w:p>
        </w:tc>
        <w:tc>
          <w:tcPr>
            <w:tcW w:w="789" w:type="dxa"/>
            <w:vAlign w:val="center"/>
            <w:textDirection w:val="lrTb"/>
            <w:noWrap w:val="false"/>
          </w:tcPr>
          <w:p>
            <w:pPr>
              <w:jc w:val="center"/>
              <w:spacing w:before="68" w:line="360" w:lineRule="auto"/>
              <w:rPr>
                <w:rFonts w:hint="eastAsia" w:ascii="宋体" w:hAnsi="宋体" w:cs="宋体"/>
                <w:spacing w:val="-6"/>
                <w:highlight w:val="none"/>
              </w:rPr>
            </w:pPr>
            <w:r>
              <w:rPr>
                <w:rFonts w:hint="eastAsia" w:ascii="宋体" w:hAnsi="宋体" w:cs="宋体"/>
                <w:spacing w:val="-6"/>
                <w:highlight w:val="none"/>
              </w:rPr>
              <w:t xml:space="preserve">主观分</w:t>
            </w:r>
            <w:r/>
          </w:p>
        </w:tc>
      </w:tr>
      <w:tr>
        <w:trPr>
          <w:jc w:val="center"/>
          <w:trHeight w:val="410"/>
        </w:trPr>
        <w:tc>
          <w:tcPr>
            <w:tcW w:w="521" w:type="dxa"/>
            <w:vAlign w:val="center"/>
            <w:textDirection w:val="lrTb"/>
            <w:noWrap w:val="false"/>
          </w:tcPr>
          <w:p>
            <w:pPr>
              <w:jc w:val="center"/>
              <w:spacing w:before="68" w:line="360" w:lineRule="auto"/>
              <w:rPr>
                <w:rFonts w:hint="eastAsia" w:ascii="宋体" w:hAnsi="宋体" w:cs="宋体"/>
                <w:spacing w:val="-2"/>
                <w:highlight w:val="none"/>
              </w:rPr>
            </w:pPr>
            <w:r>
              <w:rPr>
                <w:rFonts w:hint="eastAsia" w:ascii="宋体" w:hAnsi="宋体" w:cs="宋体"/>
                <w:spacing w:val="-2"/>
                <w:highlight w:val="none"/>
              </w:rPr>
              <w:t xml:space="preserve">3</w:t>
            </w:r>
            <w:r/>
          </w:p>
        </w:tc>
        <w:tc>
          <w:tcPr>
            <w:tcW w:w="1039" w:type="dxa"/>
            <w:vAlign w:val="center"/>
            <w:textDirection w:val="lrTb"/>
            <w:noWrap w:val="false"/>
          </w:tcPr>
          <w:p>
            <w:pPr>
              <w:jc w:val="left"/>
              <w:spacing w:before="69" w:line="360" w:lineRule="auto"/>
              <w:rPr>
                <w:rFonts w:hint="eastAsia" w:ascii="宋体" w:hAnsi="宋体" w:cs="宋体"/>
                <w:spacing w:val="-1"/>
                <w:highlight w:val="none"/>
              </w:rPr>
            </w:pPr>
            <w:r>
              <w:rPr>
                <w:rFonts w:hint="eastAsia" w:ascii="宋体" w:hAnsi="宋体" w:cs="宋体"/>
                <w:spacing w:val="-1"/>
                <w:highlight w:val="none"/>
              </w:rPr>
              <w:t xml:space="preserve">安全、卫生保障方案</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根据投标人提供的配送过程中的安全、卫生保障方案进行打分：</w:t>
            </w:r>
            <w:r/>
          </w:p>
          <w:p>
            <w:pPr>
              <w:jc w:val="left"/>
              <w:spacing w:line="360" w:lineRule="auto"/>
              <w:rPr>
                <w:rFonts w:hint="eastAsia" w:ascii="宋体" w:hAnsi="宋体" w:cs="宋体"/>
                <w:highlight w:val="none"/>
              </w:rPr>
            </w:pPr>
            <w:r>
              <w:rPr>
                <w:rFonts w:hint="eastAsia" w:ascii="宋体" w:hAnsi="宋体" w:cs="宋体"/>
                <w:highlight w:val="none"/>
              </w:rPr>
              <w:t xml:space="preserve">保障方案完整、思路清晰，对参与配送的人员及车辆有完善的关于安全、卫生方面的培训方案及相关制度，送货车辆有清晰的安全保障体系，卫生保障措施完全满足采购需求的，得5分；</w:t>
            </w:r>
            <w:r/>
          </w:p>
          <w:p>
            <w:pPr>
              <w:jc w:val="left"/>
              <w:spacing w:line="360" w:lineRule="auto"/>
              <w:rPr>
                <w:rFonts w:hint="eastAsia" w:ascii="宋体" w:hAnsi="宋体" w:cs="宋体"/>
                <w:highlight w:val="none"/>
              </w:rPr>
            </w:pPr>
            <w:r>
              <w:rPr>
                <w:rFonts w:hint="eastAsia" w:ascii="宋体" w:hAnsi="宋体" w:cs="宋体"/>
                <w:highlight w:val="none"/>
              </w:rPr>
              <w:t xml:space="preserve">有完善清晰的车辆安全、人员安全、卫生保障措施，具有实际可操作性，能够有效避免安全事故的发生，得3分；</w:t>
            </w:r>
            <w:r/>
          </w:p>
          <w:p>
            <w:pPr>
              <w:jc w:val="left"/>
              <w:spacing w:line="360" w:lineRule="auto"/>
              <w:rPr>
                <w:rFonts w:hint="eastAsia" w:ascii="宋体" w:hAnsi="宋体" w:cs="宋体"/>
                <w:highlight w:val="none"/>
              </w:rPr>
            </w:pPr>
            <w:r>
              <w:rPr>
                <w:rFonts w:hint="eastAsia" w:ascii="宋体" w:hAnsi="宋体" w:cs="宋体"/>
                <w:highlight w:val="none"/>
              </w:rPr>
              <w:t xml:space="preserve">保障方案条理不清晰，在配送过程中有可行的安全、卫生保障措施，但未完全贴合实际情况，得1分；</w:t>
            </w:r>
            <w:r/>
          </w:p>
          <w:p>
            <w:pPr>
              <w:jc w:val="left"/>
              <w:spacing w:line="360" w:lineRule="auto"/>
              <w:rPr>
                <w:rFonts w:hint="eastAsia" w:ascii="宋体" w:hAnsi="宋体" w:cs="宋体"/>
                <w:highlight w:val="none"/>
              </w:rPr>
            </w:pPr>
            <w:r>
              <w:rPr>
                <w:rFonts w:hint="eastAsia" w:ascii="宋体" w:hAnsi="宋体" w:cs="宋体"/>
                <w:highlight w:val="none"/>
              </w:rPr>
              <w:t xml:space="preserve">未提供方案的不得分。</w:t>
            </w:r>
            <w:r/>
          </w:p>
        </w:tc>
        <w:tc>
          <w:tcPr>
            <w:tcW w:w="575" w:type="dxa"/>
            <w:vAlign w:val="center"/>
            <w:textDirection w:val="lrTb"/>
            <w:noWrap w:val="false"/>
          </w:tcPr>
          <w:p>
            <w:pPr>
              <w:jc w:val="center"/>
              <w:spacing w:before="68" w:line="360" w:lineRule="auto"/>
              <w:rPr>
                <w:rFonts w:hint="eastAsia" w:ascii="宋体" w:hAnsi="宋体" w:cs="宋体"/>
                <w:highlight w:val="none"/>
              </w:rPr>
            </w:pPr>
            <w:r>
              <w:rPr>
                <w:rFonts w:hint="eastAsia" w:ascii="宋体" w:hAnsi="宋体" w:cs="宋体"/>
                <w:highlight w:val="none"/>
              </w:rPr>
              <w:t xml:space="preserve">5</w:t>
            </w:r>
            <w:r/>
          </w:p>
        </w:tc>
        <w:tc>
          <w:tcPr>
            <w:tcW w:w="789" w:type="dxa"/>
            <w:vAlign w:val="center"/>
            <w:textDirection w:val="lrTb"/>
            <w:noWrap w:val="false"/>
          </w:tcPr>
          <w:p>
            <w:pPr>
              <w:jc w:val="center"/>
              <w:spacing w:before="68" w:line="360" w:lineRule="auto"/>
              <w:rPr>
                <w:rFonts w:hint="eastAsia" w:ascii="宋体" w:hAnsi="宋体" w:cs="宋体"/>
                <w:spacing w:val="-6"/>
                <w:highlight w:val="none"/>
              </w:rPr>
            </w:pPr>
            <w:r>
              <w:rPr>
                <w:rFonts w:hint="eastAsia" w:ascii="宋体" w:hAnsi="宋体" w:cs="宋体"/>
                <w:spacing w:val="-6"/>
                <w:highlight w:val="none"/>
              </w:rPr>
              <w:t xml:space="preserve">主观分</w:t>
            </w:r>
            <w:r/>
          </w:p>
        </w:tc>
      </w:tr>
      <w:tr>
        <w:trPr>
          <w:jc w:val="center"/>
          <w:trHeight w:val="410"/>
        </w:trPr>
        <w:tc>
          <w:tcPr>
            <w:tcW w:w="521" w:type="dxa"/>
            <w:vAlign w:val="center"/>
            <w:textDirection w:val="lrTb"/>
            <w:noWrap w:val="false"/>
          </w:tcPr>
          <w:p>
            <w:pPr>
              <w:jc w:val="center"/>
              <w:spacing w:before="68" w:line="360" w:lineRule="auto"/>
              <w:rPr>
                <w:rFonts w:hint="eastAsia" w:ascii="宋体" w:hAnsi="宋体" w:cs="宋体"/>
                <w:spacing w:val="-2"/>
                <w:highlight w:val="none"/>
              </w:rPr>
            </w:pPr>
            <w:r>
              <w:rPr>
                <w:rFonts w:hint="eastAsia" w:ascii="宋体" w:hAnsi="宋体" w:cs="宋体"/>
                <w:spacing w:val="-2"/>
                <w:highlight w:val="none"/>
              </w:rPr>
              <w:t xml:space="preserve">4</w:t>
            </w:r>
            <w:r/>
          </w:p>
        </w:tc>
        <w:tc>
          <w:tcPr>
            <w:tcW w:w="1039" w:type="dxa"/>
            <w:vAlign w:val="center"/>
            <w:textDirection w:val="lrTb"/>
            <w:noWrap w:val="false"/>
          </w:tcPr>
          <w:p>
            <w:pPr>
              <w:jc w:val="left"/>
              <w:spacing w:before="69" w:line="360" w:lineRule="auto"/>
              <w:rPr>
                <w:rFonts w:hint="eastAsia" w:ascii="宋体" w:hAnsi="宋体" w:cs="宋体"/>
                <w:spacing w:val="-1"/>
                <w:highlight w:val="none"/>
              </w:rPr>
            </w:pPr>
            <w:r>
              <w:rPr>
                <w:rFonts w:hint="eastAsia" w:ascii="宋体" w:hAnsi="宋体" w:cs="宋体"/>
                <w:spacing w:val="-1"/>
                <w:highlight w:val="none"/>
              </w:rPr>
              <w:t xml:space="preserve">质量管理方案</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根据投标人提供的质量管理方案（包括但不限于采购、运输、保存过程中保障食材质量的相关制度措施）进行打分：</w:t>
            </w:r>
            <w:r/>
          </w:p>
          <w:p>
            <w:pPr>
              <w:jc w:val="left"/>
              <w:spacing w:line="360" w:lineRule="auto"/>
              <w:rPr>
                <w:rFonts w:hint="eastAsia" w:ascii="宋体" w:hAnsi="宋体" w:cs="宋体"/>
                <w:highlight w:val="none"/>
              </w:rPr>
            </w:pPr>
            <w:r>
              <w:rPr>
                <w:rFonts w:hint="eastAsia" w:ascii="宋体" w:hAnsi="宋体" w:cs="宋体"/>
                <w:highlight w:val="none"/>
              </w:rPr>
              <w:t xml:space="preserve">质量管理方案完整、思路清晰，在各项过程中均有完善清晰的管理制度及措施，食材质量的溯源机制清晰，完全满足采购需求的，得5分；</w:t>
            </w:r>
            <w:r/>
          </w:p>
          <w:p>
            <w:pPr>
              <w:jc w:val="left"/>
              <w:spacing w:line="360" w:lineRule="auto"/>
              <w:rPr>
                <w:rFonts w:hint="eastAsia" w:ascii="宋体" w:hAnsi="宋体" w:cs="宋体"/>
                <w:highlight w:val="none"/>
              </w:rPr>
            </w:pPr>
            <w:r>
              <w:rPr>
                <w:rFonts w:hint="eastAsia" w:ascii="宋体" w:hAnsi="宋体" w:cs="宋体"/>
                <w:highlight w:val="none"/>
              </w:rPr>
              <w:t xml:space="preserve">质量管理方案合理，具有实际可行性及针对性，有完善的食材质量的溯源机制，能够有效避免食品安全事故的发生，得3分；</w:t>
            </w:r>
            <w:r/>
          </w:p>
          <w:p>
            <w:pPr>
              <w:jc w:val="left"/>
              <w:spacing w:line="360" w:lineRule="auto"/>
              <w:rPr>
                <w:rFonts w:hint="eastAsia" w:ascii="宋体" w:hAnsi="宋体" w:cs="宋体"/>
                <w:highlight w:val="none"/>
              </w:rPr>
            </w:pPr>
            <w:r>
              <w:rPr>
                <w:rFonts w:hint="eastAsia" w:ascii="宋体" w:hAnsi="宋体" w:cs="宋体"/>
                <w:highlight w:val="none"/>
              </w:rPr>
              <w:t xml:space="preserve">质量管理方案条理不清晰，有切实可行的保障措施，但内容笼统没有针对性，得1分；</w:t>
            </w:r>
            <w:r/>
          </w:p>
          <w:p>
            <w:pPr>
              <w:jc w:val="left"/>
              <w:spacing w:line="360" w:lineRule="auto"/>
              <w:rPr>
                <w:rFonts w:hint="eastAsia" w:ascii="宋体" w:hAnsi="宋体" w:cs="宋体"/>
                <w:highlight w:val="none"/>
              </w:rPr>
            </w:pPr>
            <w:r>
              <w:rPr>
                <w:rFonts w:hint="eastAsia" w:ascii="宋体" w:hAnsi="宋体" w:cs="宋体"/>
                <w:highlight w:val="none"/>
              </w:rPr>
              <w:t xml:space="preserve">未提供方案的不得分。</w:t>
            </w:r>
            <w:r/>
          </w:p>
        </w:tc>
        <w:tc>
          <w:tcPr>
            <w:tcW w:w="575" w:type="dxa"/>
            <w:vAlign w:val="center"/>
            <w:textDirection w:val="lrTb"/>
            <w:noWrap w:val="false"/>
          </w:tcPr>
          <w:p>
            <w:pPr>
              <w:jc w:val="center"/>
              <w:spacing w:before="68" w:line="360" w:lineRule="auto"/>
              <w:rPr>
                <w:rFonts w:hint="eastAsia" w:ascii="宋体" w:hAnsi="宋体" w:cs="宋体"/>
                <w:highlight w:val="none"/>
              </w:rPr>
            </w:pPr>
            <w:r>
              <w:rPr>
                <w:rFonts w:hint="eastAsia" w:ascii="宋体" w:hAnsi="宋体" w:cs="宋体"/>
                <w:highlight w:val="none"/>
              </w:rPr>
              <w:t xml:space="preserve">5</w:t>
            </w:r>
            <w:r/>
          </w:p>
        </w:tc>
        <w:tc>
          <w:tcPr>
            <w:tcW w:w="789" w:type="dxa"/>
            <w:vAlign w:val="center"/>
            <w:textDirection w:val="lrTb"/>
            <w:noWrap w:val="false"/>
          </w:tcPr>
          <w:p>
            <w:pPr>
              <w:jc w:val="center"/>
              <w:spacing w:before="68" w:line="360" w:lineRule="auto"/>
              <w:rPr>
                <w:rFonts w:hint="eastAsia" w:ascii="宋体" w:hAnsi="宋体" w:cs="宋体"/>
                <w:spacing w:val="-6"/>
                <w:highlight w:val="none"/>
              </w:rPr>
            </w:pPr>
            <w:r>
              <w:rPr>
                <w:rFonts w:hint="eastAsia"/>
                <w:highlight w:val="none"/>
              </w:rPr>
              <w:t xml:space="preserve">主观分</w:t>
            </w:r>
            <w:r/>
          </w:p>
        </w:tc>
      </w:tr>
      <w:tr>
        <w:trPr>
          <w:jc w:val="center"/>
          <w:trHeight w:val="410"/>
        </w:trPr>
        <w:tc>
          <w:tcPr>
            <w:tcW w:w="521" w:type="dxa"/>
            <w:vAlign w:val="center"/>
            <w:textDirection w:val="lrTb"/>
            <w:noWrap w:val="false"/>
          </w:tcPr>
          <w:p>
            <w:pPr>
              <w:jc w:val="center"/>
              <w:spacing w:before="68" w:line="360" w:lineRule="auto"/>
              <w:rPr>
                <w:rFonts w:hint="eastAsia" w:ascii="宋体" w:hAnsi="宋体" w:cs="宋体"/>
                <w:spacing w:val="-2"/>
                <w:highlight w:val="none"/>
              </w:rPr>
            </w:pPr>
            <w:r>
              <w:rPr>
                <w:rFonts w:hint="eastAsia" w:ascii="宋体" w:hAnsi="宋体" w:cs="宋体"/>
                <w:spacing w:val="-2"/>
                <w:highlight w:val="none"/>
              </w:rPr>
              <w:t xml:space="preserve">5</w:t>
            </w:r>
            <w:r/>
          </w:p>
        </w:tc>
        <w:tc>
          <w:tcPr>
            <w:tcW w:w="1039" w:type="dxa"/>
            <w:vAlign w:val="center"/>
            <w:textDirection w:val="lrTb"/>
            <w:noWrap w:val="false"/>
          </w:tcPr>
          <w:p>
            <w:pPr>
              <w:jc w:val="left"/>
              <w:spacing w:before="69" w:line="360" w:lineRule="auto"/>
              <w:rPr>
                <w:rFonts w:hint="eastAsia" w:ascii="宋体" w:hAnsi="宋体" w:cs="宋体"/>
                <w:spacing w:val="-1"/>
                <w:highlight w:val="none"/>
              </w:rPr>
            </w:pPr>
            <w:r>
              <w:rPr>
                <w:rFonts w:hint="eastAsia" w:ascii="宋体" w:hAnsi="宋体" w:cs="宋体"/>
                <w:spacing w:val="-1"/>
                <w:highlight w:val="none"/>
              </w:rPr>
              <w:t xml:space="preserve">质量不合格产品的处理措施</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根据投标人提供的针对质量不合格产品的处理措施进行打分：</w:t>
            </w:r>
            <w:r/>
          </w:p>
          <w:p>
            <w:pPr>
              <w:jc w:val="left"/>
              <w:spacing w:line="360" w:lineRule="auto"/>
              <w:rPr>
                <w:rFonts w:hint="eastAsia" w:ascii="宋体" w:hAnsi="宋体" w:cs="宋体"/>
                <w:highlight w:val="none"/>
              </w:rPr>
            </w:pPr>
            <w:r>
              <w:rPr>
                <w:rFonts w:hint="eastAsia" w:ascii="宋体" w:hAnsi="宋体" w:cs="宋体"/>
                <w:highlight w:val="none"/>
              </w:rPr>
              <w:t xml:space="preserve">质量管理方案完整、思路清晰，在采购需求的基础上对质量不合格产品有完善的应对及处理措施，对提供质量不合格产品的供货方有清晰有效处理措施，得5分；</w:t>
            </w:r>
            <w:r/>
          </w:p>
          <w:p>
            <w:pPr>
              <w:jc w:val="left"/>
              <w:spacing w:line="360" w:lineRule="auto"/>
              <w:rPr>
                <w:rFonts w:hint="eastAsia" w:ascii="宋体" w:hAnsi="宋体" w:cs="宋体"/>
                <w:highlight w:val="none"/>
              </w:rPr>
            </w:pPr>
            <w:r>
              <w:rPr>
                <w:rFonts w:hint="eastAsia" w:ascii="宋体" w:hAnsi="宋体" w:cs="宋体"/>
                <w:highlight w:val="none"/>
              </w:rPr>
              <w:t xml:space="preserve">质量管理方案合理，处理措施具有实际可行性及针对性，对提供质量不合格产品的供货方的处理措施未完全贴合实际情况，完全参照采购需求相关要求执行的，得3分；</w:t>
            </w:r>
            <w:r/>
          </w:p>
          <w:p>
            <w:pPr>
              <w:jc w:val="left"/>
              <w:spacing w:line="360" w:lineRule="auto"/>
              <w:rPr>
                <w:rFonts w:hint="eastAsia" w:ascii="宋体" w:hAnsi="宋体" w:cs="宋体"/>
                <w:highlight w:val="none"/>
              </w:rPr>
            </w:pPr>
            <w:r>
              <w:rPr>
                <w:rFonts w:hint="eastAsia" w:ascii="宋体" w:hAnsi="宋体" w:cs="宋体"/>
                <w:highlight w:val="none"/>
              </w:rPr>
              <w:t xml:space="preserve">质量管理方案条理不清晰，处理措施有切实可行的保障措施，但内容笼统没有针对性，未明确对提供质量不合格产品的供货方的处理措施，得1分；</w:t>
            </w:r>
            <w:r/>
          </w:p>
          <w:p>
            <w:pPr>
              <w:jc w:val="left"/>
              <w:spacing w:line="360" w:lineRule="auto"/>
              <w:rPr>
                <w:rFonts w:hint="eastAsia" w:ascii="宋体" w:hAnsi="宋体" w:cs="宋体"/>
                <w:highlight w:val="none"/>
              </w:rPr>
            </w:pPr>
            <w:r>
              <w:rPr>
                <w:rFonts w:hint="eastAsia" w:ascii="宋体" w:hAnsi="宋体" w:cs="宋体"/>
                <w:highlight w:val="none"/>
              </w:rPr>
              <w:t xml:space="preserve">未提供方案的不得分。</w:t>
            </w:r>
            <w:r/>
          </w:p>
        </w:tc>
        <w:tc>
          <w:tcPr>
            <w:tcW w:w="575" w:type="dxa"/>
            <w:vAlign w:val="center"/>
            <w:textDirection w:val="lrTb"/>
            <w:noWrap w:val="false"/>
          </w:tcPr>
          <w:p>
            <w:pPr>
              <w:jc w:val="center"/>
              <w:spacing w:before="68" w:line="360" w:lineRule="auto"/>
              <w:rPr>
                <w:rFonts w:hint="eastAsia" w:ascii="宋体" w:hAnsi="宋体" w:cs="宋体"/>
                <w:highlight w:val="none"/>
              </w:rPr>
            </w:pPr>
            <w:r>
              <w:rPr>
                <w:rFonts w:hint="eastAsia" w:ascii="宋体" w:hAnsi="宋体" w:cs="宋体"/>
                <w:highlight w:val="none"/>
              </w:rPr>
              <w:t xml:space="preserve">5</w:t>
            </w:r>
            <w:r/>
          </w:p>
        </w:tc>
        <w:tc>
          <w:tcPr>
            <w:tcW w:w="789" w:type="dxa"/>
            <w:vAlign w:val="center"/>
            <w:textDirection w:val="lrTb"/>
            <w:noWrap w:val="false"/>
          </w:tcPr>
          <w:p>
            <w:pPr>
              <w:jc w:val="center"/>
              <w:spacing w:before="68" w:line="360" w:lineRule="auto"/>
              <w:rPr>
                <w:highlight w:val="none"/>
              </w:rPr>
            </w:pPr>
            <w:r>
              <w:rPr>
                <w:rFonts w:hint="eastAsia"/>
                <w:highlight w:val="none"/>
              </w:rPr>
              <w:t xml:space="preserve">主观分</w:t>
            </w:r>
            <w:r/>
          </w:p>
        </w:tc>
      </w:tr>
      <w:tr>
        <w:trPr>
          <w:jc w:val="center"/>
          <w:trHeight w:val="410"/>
        </w:trPr>
        <w:tc>
          <w:tcPr>
            <w:tcW w:w="521" w:type="dxa"/>
            <w:vAlign w:val="center"/>
            <w:textDirection w:val="lrTb"/>
            <w:noWrap w:val="false"/>
          </w:tcPr>
          <w:p>
            <w:pPr>
              <w:jc w:val="center"/>
              <w:spacing w:before="68" w:line="360" w:lineRule="auto"/>
              <w:rPr>
                <w:rFonts w:hint="eastAsia" w:ascii="宋体" w:hAnsi="宋体" w:cs="宋体"/>
                <w:spacing w:val="-2"/>
                <w:highlight w:val="none"/>
              </w:rPr>
            </w:pPr>
            <w:r>
              <w:rPr>
                <w:rFonts w:hint="eastAsia" w:ascii="宋体" w:hAnsi="宋体" w:cs="宋体"/>
                <w:spacing w:val="-2"/>
                <w:highlight w:val="none"/>
              </w:rPr>
              <w:t xml:space="preserve">6</w:t>
            </w:r>
            <w:r/>
          </w:p>
        </w:tc>
        <w:tc>
          <w:tcPr>
            <w:tcW w:w="1039" w:type="dxa"/>
            <w:vAlign w:val="center"/>
            <w:textDirection w:val="lrTb"/>
            <w:noWrap w:val="false"/>
          </w:tcPr>
          <w:p>
            <w:pPr>
              <w:jc w:val="left"/>
              <w:spacing w:before="69" w:line="360" w:lineRule="auto"/>
              <w:rPr>
                <w:rFonts w:hint="eastAsia" w:ascii="宋体" w:hAnsi="宋体" w:cs="宋体"/>
                <w:spacing w:val="-1"/>
                <w:highlight w:val="none"/>
              </w:rPr>
            </w:pPr>
            <w:r>
              <w:rPr>
                <w:rFonts w:hint="eastAsia" w:ascii="宋体" w:hAnsi="宋体" w:cs="宋体"/>
                <w:spacing w:val="-1"/>
                <w:highlight w:val="none"/>
              </w:rPr>
              <w:t xml:space="preserve">应急工作队伍与车辆</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根据投标人提供的应急工作队伍与车辆</w:t>
            </w:r>
            <w:r>
              <w:rPr>
                <w:rFonts w:hint="eastAsia" w:ascii="宋体" w:hAnsi="宋体" w:cs="宋体"/>
                <w:highlight w:val="none"/>
                <w:lang w:val="en-US" w:eastAsia="zh-CN"/>
              </w:rPr>
              <w:t xml:space="preserve">等处理方案</w:t>
            </w:r>
            <w:r>
              <w:rPr>
                <w:rFonts w:hint="eastAsia" w:ascii="宋体" w:hAnsi="宋体" w:cs="宋体"/>
                <w:highlight w:val="none"/>
              </w:rPr>
              <w:t xml:space="preserve">进行打分：</w:t>
            </w:r>
            <w:r/>
          </w:p>
          <w:p>
            <w:pPr>
              <w:jc w:val="left"/>
              <w:spacing w:line="360" w:lineRule="auto"/>
              <w:rPr>
                <w:rFonts w:hint="eastAsia" w:ascii="宋体" w:hAnsi="宋体" w:cs="宋体"/>
                <w:highlight w:val="none"/>
              </w:rPr>
            </w:pPr>
            <w:r>
              <w:rPr>
                <w:rFonts w:hint="eastAsia" w:ascii="宋体" w:hAnsi="宋体" w:cs="宋体"/>
                <w:highlight w:val="none"/>
              </w:rPr>
              <w:t xml:space="preserve">应急处理方案响应及时、措施有效，能快速解决突发问题；能够提供至少2人的应急工作队伍与至少2辆的应急车辆并提供相关人员及车辆材料的，得4分；</w:t>
            </w:r>
            <w:r/>
          </w:p>
          <w:p>
            <w:pPr>
              <w:jc w:val="left"/>
              <w:spacing w:line="360" w:lineRule="auto"/>
              <w:rPr>
                <w:rFonts w:hint="eastAsia" w:ascii="宋体" w:hAnsi="宋体" w:cs="宋体"/>
                <w:highlight w:val="none"/>
              </w:rPr>
            </w:pPr>
            <w:r>
              <w:rPr>
                <w:rFonts w:hint="eastAsia" w:ascii="宋体" w:hAnsi="宋体" w:cs="宋体"/>
                <w:highlight w:val="none"/>
              </w:rPr>
              <w:t xml:space="preserve">应急处理方案可有效解决突发问题，能够提供至少1人的应急工作队伍与至少1辆的应急车辆并提供相关人员及车辆材料的，得3分；</w:t>
            </w:r>
            <w:r/>
          </w:p>
          <w:p>
            <w:pPr>
              <w:jc w:val="left"/>
              <w:spacing w:line="360" w:lineRule="auto"/>
              <w:rPr>
                <w:rFonts w:hint="eastAsia" w:ascii="宋体" w:hAnsi="宋体" w:cs="宋体"/>
                <w:highlight w:val="none"/>
              </w:rPr>
            </w:pPr>
            <w:r>
              <w:rPr>
                <w:rFonts w:hint="eastAsia" w:ascii="宋体" w:hAnsi="宋体" w:cs="宋体"/>
                <w:highlight w:val="none"/>
              </w:rPr>
              <w:t xml:space="preserve">应急处理方案响应延迟明显，解决问题效率较低，有应急工作队伍与车辆保障措施但缺少相关材料的，得2分；</w:t>
            </w:r>
            <w:r/>
          </w:p>
          <w:p>
            <w:pPr>
              <w:jc w:val="left"/>
              <w:spacing w:line="360" w:lineRule="auto"/>
              <w:rPr>
                <w:rFonts w:hint="eastAsia" w:ascii="宋体" w:hAnsi="宋体" w:cs="宋体"/>
                <w:highlight w:val="none"/>
              </w:rPr>
            </w:pPr>
            <w:r>
              <w:rPr>
                <w:rFonts w:hint="eastAsia" w:ascii="宋体" w:hAnsi="宋体" w:cs="宋体"/>
                <w:highlight w:val="none"/>
              </w:rPr>
              <w:t xml:space="preserve">未提供方案的不得分。</w:t>
            </w:r>
            <w:r/>
          </w:p>
        </w:tc>
        <w:tc>
          <w:tcPr>
            <w:tcW w:w="575" w:type="dxa"/>
            <w:vAlign w:val="center"/>
            <w:textDirection w:val="lrTb"/>
            <w:noWrap w:val="false"/>
          </w:tcPr>
          <w:p>
            <w:pPr>
              <w:jc w:val="center"/>
              <w:spacing w:before="68" w:line="360" w:lineRule="auto"/>
              <w:rPr>
                <w:rFonts w:hint="eastAsia" w:ascii="宋体" w:hAnsi="宋体" w:cs="宋体"/>
                <w:highlight w:val="none"/>
              </w:rPr>
            </w:pPr>
            <w:r>
              <w:rPr>
                <w:rFonts w:hint="eastAsia" w:ascii="宋体" w:hAnsi="宋体" w:cs="宋体"/>
                <w:highlight w:val="none"/>
              </w:rPr>
              <w:t xml:space="preserve">4</w:t>
            </w:r>
            <w:r/>
          </w:p>
        </w:tc>
        <w:tc>
          <w:tcPr>
            <w:tcW w:w="789" w:type="dxa"/>
            <w:vAlign w:val="center"/>
            <w:textDirection w:val="lrTb"/>
            <w:noWrap w:val="false"/>
          </w:tcPr>
          <w:p>
            <w:pPr>
              <w:jc w:val="center"/>
              <w:spacing w:before="68" w:line="360" w:lineRule="auto"/>
              <w:rPr>
                <w:rFonts w:hint="eastAsia" w:ascii="宋体" w:hAnsi="宋体" w:cs="宋体"/>
                <w:spacing w:val="-6"/>
                <w:highlight w:val="none"/>
              </w:rPr>
            </w:pPr>
            <w:r>
              <w:rPr>
                <w:rFonts w:hint="eastAsia"/>
                <w:highlight w:val="none"/>
              </w:rPr>
              <w:t xml:space="preserve">主观分</w:t>
            </w:r>
            <w:r/>
          </w:p>
        </w:tc>
      </w:tr>
      <w:tr>
        <w:trPr>
          <w:jc w:val="center"/>
          <w:trHeight w:val="410"/>
        </w:trPr>
        <w:tc>
          <w:tcPr>
            <w:tcW w:w="521" w:type="dxa"/>
            <w:vAlign w:val="center"/>
            <w:textDirection w:val="lrTb"/>
            <w:noWrap w:val="false"/>
          </w:tcPr>
          <w:p>
            <w:pPr>
              <w:jc w:val="center"/>
              <w:spacing w:before="68" w:line="360" w:lineRule="auto"/>
              <w:rPr>
                <w:rFonts w:hint="eastAsia" w:ascii="宋体" w:hAnsi="宋体" w:cs="宋体"/>
                <w:spacing w:val="-2"/>
                <w:highlight w:val="none"/>
              </w:rPr>
            </w:pPr>
            <w:r>
              <w:rPr>
                <w:rFonts w:hint="eastAsia" w:ascii="宋体" w:hAnsi="宋体" w:cs="宋体"/>
                <w:spacing w:val="-2"/>
                <w:highlight w:val="none"/>
              </w:rPr>
              <w:t xml:space="preserve">7</w:t>
            </w:r>
            <w:r/>
          </w:p>
        </w:tc>
        <w:tc>
          <w:tcPr>
            <w:tcW w:w="1039" w:type="dxa"/>
            <w:vAlign w:val="center"/>
            <w:textDirection w:val="lrTb"/>
            <w:noWrap w:val="false"/>
          </w:tcPr>
          <w:p>
            <w:pPr>
              <w:jc w:val="left"/>
              <w:spacing w:before="69" w:line="360" w:lineRule="auto"/>
              <w:rPr>
                <w:rFonts w:hint="eastAsia" w:ascii="宋体" w:hAnsi="宋体" w:cs="宋体"/>
                <w:spacing w:val="-1"/>
                <w:highlight w:val="none"/>
              </w:rPr>
            </w:pPr>
            <w:r>
              <w:rPr>
                <w:rFonts w:hint="eastAsia" w:ascii="宋体" w:hAnsi="宋体" w:cs="宋体"/>
                <w:spacing w:val="-1"/>
                <w:highlight w:val="none"/>
              </w:rPr>
              <w:t xml:space="preserve">应急联系方式与响应机制</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根据投标人提供的应急联系方式与响应机制进行打分：</w:t>
            </w:r>
            <w:r/>
          </w:p>
          <w:p>
            <w:pPr>
              <w:jc w:val="left"/>
              <w:spacing w:line="360" w:lineRule="auto"/>
              <w:rPr>
                <w:rFonts w:hint="eastAsia" w:ascii="宋体" w:hAnsi="宋体" w:cs="宋体"/>
                <w:highlight w:val="none"/>
              </w:rPr>
            </w:pPr>
            <w:r>
              <w:rPr>
                <w:rFonts w:hint="eastAsia" w:ascii="宋体" w:hAnsi="宋体" w:cs="宋体"/>
                <w:highlight w:val="none"/>
              </w:rPr>
              <w:t xml:space="preserve">应急处理方案响应及时，响应机制完善，对多种应急情况均有考虑及应对措施，能够提供2个及以上应急联系方式且能承诺7×24小时均可联系的，得4分；</w:t>
            </w:r>
            <w:r/>
          </w:p>
          <w:p>
            <w:pPr>
              <w:jc w:val="left"/>
              <w:spacing w:line="360" w:lineRule="auto"/>
              <w:rPr>
                <w:rFonts w:hint="eastAsia" w:ascii="宋体" w:hAnsi="宋体" w:cs="宋体"/>
                <w:highlight w:val="none"/>
              </w:rPr>
            </w:pPr>
            <w:r>
              <w:rPr>
                <w:rFonts w:hint="eastAsia" w:ascii="宋体" w:hAnsi="宋体" w:cs="宋体"/>
                <w:highlight w:val="none"/>
              </w:rPr>
              <w:t xml:space="preserve">应急处理方案可有效解决突发问题，响应机制具有实际可操作性，能够提供1个应急联系方式且能承诺7×24小时均可联系的，得3分；</w:t>
            </w:r>
            <w:r/>
          </w:p>
          <w:p>
            <w:pPr>
              <w:jc w:val="left"/>
              <w:spacing w:line="360" w:lineRule="auto"/>
              <w:rPr>
                <w:rFonts w:hint="eastAsia" w:ascii="宋体" w:hAnsi="宋体" w:cs="宋体"/>
                <w:highlight w:val="none"/>
              </w:rPr>
            </w:pPr>
            <w:r>
              <w:rPr>
                <w:rFonts w:hint="eastAsia" w:ascii="宋体" w:hAnsi="宋体" w:cs="宋体"/>
                <w:highlight w:val="none"/>
              </w:rPr>
              <w:t xml:space="preserve">应急处理方案响应延迟明显，响应机制内容笼统没有针对性，能够提供1个应急联系方式，得2分；</w:t>
            </w:r>
            <w:r/>
          </w:p>
          <w:p>
            <w:pPr>
              <w:jc w:val="left"/>
              <w:spacing w:line="360" w:lineRule="auto"/>
              <w:rPr>
                <w:rFonts w:hint="eastAsia" w:ascii="宋体" w:hAnsi="宋体" w:cs="宋体"/>
                <w:highlight w:val="none"/>
              </w:rPr>
            </w:pPr>
            <w:r>
              <w:rPr>
                <w:rFonts w:hint="eastAsia" w:ascii="宋体" w:hAnsi="宋体" w:cs="宋体"/>
                <w:highlight w:val="none"/>
              </w:rPr>
              <w:t xml:space="preserve">未提供方案的不得分。</w:t>
            </w:r>
            <w:r/>
          </w:p>
        </w:tc>
        <w:tc>
          <w:tcPr>
            <w:tcW w:w="575" w:type="dxa"/>
            <w:vAlign w:val="center"/>
            <w:textDirection w:val="lrTb"/>
            <w:noWrap w:val="false"/>
          </w:tcPr>
          <w:p>
            <w:pPr>
              <w:jc w:val="center"/>
              <w:spacing w:before="68" w:line="360" w:lineRule="auto"/>
              <w:rPr>
                <w:rFonts w:hint="eastAsia" w:ascii="宋体" w:hAnsi="宋体" w:cs="宋体"/>
                <w:highlight w:val="none"/>
              </w:rPr>
            </w:pPr>
            <w:r>
              <w:rPr>
                <w:rFonts w:hint="eastAsia" w:ascii="宋体" w:hAnsi="宋体" w:cs="宋体"/>
                <w:highlight w:val="none"/>
              </w:rPr>
              <w:t xml:space="preserve">4</w:t>
            </w:r>
            <w:r/>
          </w:p>
        </w:tc>
        <w:tc>
          <w:tcPr>
            <w:tcW w:w="789" w:type="dxa"/>
            <w:vAlign w:val="center"/>
            <w:textDirection w:val="lrTb"/>
            <w:noWrap w:val="false"/>
          </w:tcPr>
          <w:p>
            <w:pPr>
              <w:jc w:val="center"/>
              <w:spacing w:before="68" w:line="360" w:lineRule="auto"/>
              <w:rPr>
                <w:highlight w:val="none"/>
              </w:rPr>
            </w:pPr>
            <w:r>
              <w:rPr>
                <w:rFonts w:hint="eastAsia"/>
                <w:highlight w:val="none"/>
              </w:rPr>
              <w:t xml:space="preserve">主观分</w:t>
            </w:r>
            <w:r/>
          </w:p>
        </w:tc>
      </w:tr>
      <w:tr>
        <w:trPr>
          <w:jc w:val="center"/>
          <w:trHeight w:val="410"/>
        </w:trPr>
        <w:tc>
          <w:tcPr>
            <w:tcW w:w="521" w:type="dxa"/>
            <w:vAlign w:val="center"/>
            <w:textDirection w:val="lrTb"/>
            <w:noWrap w:val="false"/>
          </w:tcPr>
          <w:p>
            <w:pPr>
              <w:jc w:val="center"/>
              <w:spacing w:before="68" w:line="360" w:lineRule="auto"/>
              <w:rPr>
                <w:rFonts w:hint="eastAsia" w:ascii="宋体" w:hAnsi="宋体" w:cs="宋体"/>
                <w:spacing w:val="-2"/>
                <w:highlight w:val="none"/>
              </w:rPr>
            </w:pPr>
            <w:r>
              <w:rPr>
                <w:rFonts w:hint="eastAsia" w:ascii="宋体" w:hAnsi="宋体" w:cs="宋体"/>
                <w:spacing w:val="-2"/>
                <w:highlight w:val="none"/>
              </w:rPr>
              <w:t xml:space="preserve">8</w:t>
            </w:r>
            <w:r/>
          </w:p>
        </w:tc>
        <w:tc>
          <w:tcPr>
            <w:tcW w:w="1039" w:type="dxa"/>
            <w:vAlign w:val="center"/>
            <w:textDirection w:val="lrTb"/>
            <w:noWrap w:val="false"/>
          </w:tcPr>
          <w:p>
            <w:pPr>
              <w:jc w:val="left"/>
              <w:spacing w:before="69" w:line="360" w:lineRule="auto"/>
              <w:rPr>
                <w:rFonts w:hint="eastAsia" w:ascii="宋体" w:hAnsi="宋体" w:cs="宋体"/>
                <w:spacing w:val="-1"/>
                <w:highlight w:val="none"/>
              </w:rPr>
            </w:pPr>
            <w:r>
              <w:rPr>
                <w:rFonts w:hint="eastAsia" w:ascii="宋体" w:hAnsi="宋体" w:cs="宋体"/>
                <w:spacing w:val="-1"/>
                <w:highlight w:val="none"/>
              </w:rPr>
              <w:t xml:space="preserve">应急处置措施与承诺</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根据投标人提供的应急处置措施与承诺进行打分：</w:t>
            </w:r>
            <w:r/>
          </w:p>
          <w:p>
            <w:pPr>
              <w:jc w:val="left"/>
              <w:spacing w:line="360" w:lineRule="auto"/>
              <w:rPr>
                <w:rFonts w:hint="eastAsia" w:ascii="宋体" w:hAnsi="宋体" w:cs="宋体"/>
                <w:highlight w:val="none"/>
              </w:rPr>
            </w:pPr>
            <w:r>
              <w:rPr>
                <w:rFonts w:hint="eastAsia" w:ascii="宋体" w:hAnsi="宋体" w:cs="宋体"/>
                <w:highlight w:val="none"/>
              </w:rPr>
              <w:t xml:space="preserve">应急处理方案及备选方案响应及时、措施有效，能快速解决突发问题；或提供2种及以上合理可行的备选方案，且所有方案均能全面、妥善处理突发问题的，得4分；</w:t>
            </w:r>
            <w:r/>
          </w:p>
          <w:p>
            <w:pPr>
              <w:jc w:val="left"/>
              <w:spacing w:line="360" w:lineRule="auto"/>
              <w:rPr>
                <w:rFonts w:hint="eastAsia" w:ascii="宋体" w:hAnsi="宋体" w:cs="宋体"/>
                <w:highlight w:val="none"/>
              </w:rPr>
            </w:pPr>
            <w:r>
              <w:rPr>
                <w:rFonts w:hint="eastAsia" w:ascii="宋体" w:hAnsi="宋体" w:cs="宋体"/>
                <w:highlight w:val="none"/>
              </w:rPr>
              <w:t xml:space="preserve">应急处理方案及备选方案响应较为及时，可有效解决突发问题；或提供1种备选方案，且方案执行效率较高、能较快解决突发问题的，得3分；</w:t>
            </w:r>
            <w:r/>
          </w:p>
          <w:p>
            <w:pPr>
              <w:jc w:val="left"/>
              <w:spacing w:line="360" w:lineRule="auto"/>
              <w:rPr>
                <w:rFonts w:hint="eastAsia" w:ascii="宋体" w:hAnsi="宋体" w:cs="宋体"/>
                <w:highlight w:val="none"/>
              </w:rPr>
            </w:pPr>
            <w:r>
              <w:rPr>
                <w:rFonts w:hint="eastAsia" w:ascii="宋体" w:hAnsi="宋体" w:cs="宋体"/>
                <w:highlight w:val="none"/>
              </w:rPr>
              <w:t xml:space="preserve">应急处理方案及备选方案响应延迟明显，解决问题效率较低；或提供1种备选方案，但方案执行时效性不足、无法及时处理突发问题的，得 2分；</w:t>
            </w:r>
            <w:r/>
          </w:p>
          <w:p>
            <w:pPr>
              <w:jc w:val="left"/>
              <w:spacing w:line="360" w:lineRule="auto"/>
              <w:rPr>
                <w:rFonts w:hint="eastAsia" w:ascii="宋体" w:hAnsi="宋体" w:cs="宋体"/>
                <w:highlight w:val="none"/>
              </w:rPr>
            </w:pPr>
            <w:r>
              <w:rPr>
                <w:rFonts w:hint="eastAsia" w:ascii="宋体" w:hAnsi="宋体" w:cs="宋体"/>
                <w:highlight w:val="none"/>
              </w:rPr>
              <w:t xml:space="preserve">未提供方案的不得分。</w:t>
            </w:r>
            <w:r/>
          </w:p>
        </w:tc>
        <w:tc>
          <w:tcPr>
            <w:tcW w:w="575" w:type="dxa"/>
            <w:vAlign w:val="center"/>
            <w:textDirection w:val="lrTb"/>
            <w:noWrap w:val="false"/>
          </w:tcPr>
          <w:p>
            <w:pPr>
              <w:jc w:val="center"/>
              <w:spacing w:before="68" w:line="360" w:lineRule="auto"/>
              <w:rPr>
                <w:rFonts w:hint="eastAsia" w:ascii="宋体" w:hAnsi="宋体" w:cs="宋体"/>
                <w:highlight w:val="none"/>
              </w:rPr>
            </w:pPr>
            <w:r>
              <w:rPr>
                <w:rFonts w:hint="eastAsia" w:ascii="宋体" w:hAnsi="宋体" w:cs="宋体"/>
                <w:highlight w:val="none"/>
              </w:rPr>
              <w:t xml:space="preserve">4</w:t>
            </w:r>
            <w:r/>
          </w:p>
        </w:tc>
        <w:tc>
          <w:tcPr>
            <w:tcW w:w="789" w:type="dxa"/>
            <w:vAlign w:val="center"/>
            <w:textDirection w:val="lrTb"/>
            <w:noWrap w:val="false"/>
          </w:tcPr>
          <w:p>
            <w:pPr>
              <w:jc w:val="center"/>
              <w:spacing w:before="68" w:line="360" w:lineRule="auto"/>
              <w:rPr>
                <w:highlight w:val="none"/>
              </w:rPr>
            </w:pPr>
            <w:r>
              <w:rPr>
                <w:rFonts w:hint="eastAsia"/>
                <w:highlight w:val="none"/>
              </w:rPr>
              <w:t xml:space="preserve">主观分</w:t>
            </w:r>
            <w:r/>
          </w:p>
        </w:tc>
      </w:tr>
    </w:tbl>
    <w:p>
      <w:pP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r>
      <w:r/>
    </w:p>
    <w:p>
      <w:pPr>
        <w:rPr>
          <w:rFonts w:hint="eastAsia" w:asciiTheme="minorEastAsia" w:hAnsiTheme="minorEastAsia" w:eastAsiaTheme="minorEastAsia"/>
          <w:highlight w:val="none"/>
        </w:rPr>
      </w:pPr>
      <w:r/>
      <w:bookmarkStart w:id="111" w:name="_Toc14826"/>
      <w:r>
        <w:rPr>
          <w:rFonts w:hint="eastAsia" w:asciiTheme="minorEastAsia" w:hAnsiTheme="minorEastAsia" w:eastAsiaTheme="minorEastAsia"/>
          <w:highlight w:val="none"/>
        </w:rPr>
        <w:br w:type="page" w:clear="all"/>
      </w:r>
      <w:r/>
    </w:p>
    <w:p>
      <w:pPr>
        <w:pStyle w:val="852"/>
        <w:numPr>
          <w:ilvl w:val="0"/>
          <w:numId w:val="0"/>
        </w:numPr>
        <w:ind w:left="567"/>
        <w:rPr>
          <w:rFonts w:hint="eastAsia" w:asciiTheme="minorEastAsia" w:hAnsiTheme="minorEastAsia" w:eastAsiaTheme="minorEastAsia"/>
          <w:highlight w:val="none"/>
        </w:rPr>
      </w:pPr>
      <w:r/>
      <w:bookmarkStart w:id="112" w:name="_Toc20591"/>
      <w:r>
        <w:rPr>
          <w:rFonts w:hint="eastAsia" w:asciiTheme="minorEastAsia" w:hAnsiTheme="minorEastAsia" w:eastAsiaTheme="minorEastAsia"/>
          <w:highlight w:val="none"/>
        </w:rPr>
        <w:t xml:space="preserve">第四章</w:t>
      </w:r>
      <w:bookmarkEnd w:id="111"/>
      <w:r/>
      <w:bookmarkStart w:id="113" w:name="_Toc8808"/>
      <w:r/>
      <w:bookmarkStart w:id="114" w:name="_Toc481057147"/>
      <w:r>
        <w:rPr>
          <w:rFonts w:hint="eastAsia" w:asciiTheme="minorEastAsia" w:hAnsiTheme="minorEastAsia" w:eastAsiaTheme="minorEastAsia"/>
          <w:highlight w:val="none"/>
        </w:rPr>
        <w:t xml:space="preserve"> 采购项目需求</w:t>
      </w:r>
      <w:bookmarkEnd w:id="112"/>
      <w:r/>
      <w:r/>
    </w:p>
    <w:p>
      <w:pPr>
        <w:ind w:left="210" w:firstLine="482"/>
        <w:jc w:val="center"/>
        <w:spacing w:line="360" w:lineRule="auto"/>
        <w:shd w:val="clear" w:color="auto" w:fill="ffffff"/>
        <w:widowControl/>
        <w:rPr>
          <w:rFonts w:hint="eastAsia" w:ascii="宋体" w:hAnsi="宋体" w:cs="宋体"/>
          <w:b/>
          <w:bCs/>
          <w:sz w:val="24"/>
          <w:szCs w:val="24"/>
          <w:highlight w:val="none"/>
        </w:rPr>
      </w:pPr>
      <w:r/>
      <w:bookmarkStart w:id="115" w:name="_Hlk107142892"/>
      <w:r/>
      <w:bookmarkStart w:id="116" w:name="_Hlk176529481"/>
      <w:r/>
      <w:bookmarkStart w:id="117" w:name="_Hlk66377641"/>
      <w:r>
        <w:rPr>
          <w:rFonts w:hint="eastAsia" w:ascii="宋体" w:hAnsi="宋体" w:cs="宋体"/>
          <w:b/>
          <w:bCs/>
          <w:sz w:val="24"/>
          <w:szCs w:val="24"/>
          <w:highlight w:val="none"/>
        </w:rPr>
        <w:t xml:space="preserve">技术要求</w:t>
      </w:r>
      <w:r/>
    </w:p>
    <w:p>
      <w:pPr>
        <w:ind w:left="210"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一、项目概况</w:t>
      </w:r>
      <w:r/>
    </w:p>
    <w:p>
      <w:pPr>
        <w:ind w:lef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1.项目名称：公交轨道公安局2026-2027年度食堂食材招标</w:t>
      </w:r>
      <w:r/>
    </w:p>
    <w:p>
      <w:pPr>
        <w:ind w:lef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2.采购预算</w:t>
      </w:r>
      <w:bookmarkStart w:id="118" w:name="OLE_LINK11"/>
      <w:r>
        <w:rPr>
          <w:rFonts w:hint="eastAsia" w:ascii="宋体" w:hAnsi="宋体" w:cs="宋体"/>
          <w:szCs w:val="21"/>
          <w:highlight w:val="none"/>
        </w:rPr>
        <w:t xml:space="preserve">：</w:t>
      </w:r>
      <w:r>
        <w:rPr>
          <w:rFonts w:hint="eastAsia" w:asciiTheme="minorEastAsia" w:hAnsiTheme="minorEastAsia" w:eastAsiaTheme="minorEastAsia"/>
          <w:bCs/>
          <w:szCs w:val="21"/>
          <w:highlight w:val="none"/>
        </w:rPr>
        <w:t xml:space="preserve">2037</w:t>
      </w:r>
      <w:bookmarkEnd w:id="118"/>
      <w:r>
        <w:rPr>
          <w:rFonts w:hint="eastAsia" w:ascii="宋体" w:hAnsi="宋体" w:cs="宋体"/>
          <w:szCs w:val="21"/>
          <w:highlight w:val="none"/>
        </w:rPr>
        <w:t xml:space="preserve">万元</w:t>
      </w:r>
      <w:r/>
    </w:p>
    <w:p>
      <w:pPr>
        <w:ind w:lef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采购需求：依据南京市公共交通和城市轨道公安局全局食堂地理位置和食堂经费开支大小分布，分为11个采购包进行全品类食材采购，各采购包招1家综合性食材供应商为南京市公共交通和城市轨道公安局及下属单位食堂年度鲜肉类、禽类、水产品、米油调料及副食品类、蔬菜等食材供货与配送服务，以确保食材新鲜性、及时性，同时也便于食堂支出的统一管理。</w:t>
      </w:r>
      <w:r/>
    </w:p>
    <w:p>
      <w:pPr>
        <w:ind w:left="210"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szCs w:val="21"/>
          <w:highlight w:val="none"/>
        </w:rPr>
        <w:t xml:space="preserve">4.供货地点：南京市公共交通和城市轨道公安局等，具体以采购人通知为准。</w:t>
      </w:r>
      <w:bookmarkStart w:id="119" w:name="_Toc172535633"/>
      <w:r/>
      <w:bookmarkStart w:id="120" w:name="_Toc140705035"/>
      <w:r/>
      <w:r/>
    </w:p>
    <w:p>
      <w:pPr>
        <w:ind w:left="210"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二、采购标的需实现的功能及标准、规范：</w:t>
      </w:r>
      <w:bookmarkEnd w:id="119"/>
      <w:r/>
      <w:bookmarkEnd w:id="120"/>
      <w:r/>
      <w:r/>
    </w:p>
    <w:p>
      <w:pPr>
        <w:ind w:left="210" w:firstLine="420"/>
        <w:jc w:val="left"/>
        <w:spacing w:line="360" w:lineRule="auto"/>
        <w:shd w:val="clear" w:color="auto" w:fill="ffffff"/>
        <w:widowControl/>
        <w:rPr>
          <w:rFonts w:hint="eastAsia" w:ascii="宋体" w:hAnsi="宋体" w:cs="宋体"/>
          <w:szCs w:val="21"/>
          <w:highlight w:val="none"/>
        </w:rPr>
      </w:pPr>
      <w:r/>
      <w:bookmarkStart w:id="121" w:name="_Toc140705036"/>
      <w:r>
        <w:rPr>
          <w:rFonts w:hint="eastAsia" w:ascii="宋体" w:hAnsi="宋体" w:cs="宋体"/>
          <w:szCs w:val="21"/>
          <w:highlight w:val="none"/>
        </w:rPr>
        <w:t xml:space="preserve">1.符合《中华人民共和国食品安全法》、《中华人民共和国食品安全法实施条例》、《中华人民共和国农产品质量安全法》、《中华人民共和国动物防疫法》等相关规定。</w:t>
      </w:r>
      <w:bookmarkEnd w:id="121"/>
      <w:r/>
      <w:r/>
    </w:p>
    <w:p>
      <w:pPr>
        <w:ind w:left="210" w:firstLine="420"/>
        <w:jc w:val="left"/>
        <w:spacing w:line="360" w:lineRule="auto"/>
        <w:shd w:val="clear" w:color="auto" w:fill="ffffff"/>
        <w:widowControl/>
        <w:rPr>
          <w:rFonts w:hint="eastAsia" w:ascii="宋体" w:hAnsi="宋体" w:cs="宋体"/>
          <w:szCs w:val="21"/>
          <w:highlight w:val="none"/>
        </w:rPr>
      </w:pPr>
      <w:r/>
      <w:bookmarkStart w:id="122" w:name="_Toc140705037"/>
      <w:r>
        <w:rPr>
          <w:rFonts w:hint="eastAsia" w:ascii="宋体" w:hAnsi="宋体" w:cs="宋体"/>
          <w:szCs w:val="21"/>
          <w:highlight w:val="none"/>
        </w:rPr>
        <w:t xml:space="preserve">2.符合国家及行业的相关标准。</w:t>
      </w:r>
      <w:bookmarkEnd w:id="122"/>
      <w:r/>
      <w:r/>
    </w:p>
    <w:p>
      <w:pPr>
        <w:ind w:left="210"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三、服务基本内容</w:t>
      </w:r>
      <w:bookmarkEnd w:id="115"/>
      <w:r/>
      <w:r/>
    </w:p>
    <w:tbl>
      <w:tblPr>
        <w:tblStyle w:val="862"/>
        <w:tblW w:w="49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568"/>
        <w:gridCol w:w="2590"/>
        <w:gridCol w:w="1374"/>
        <w:gridCol w:w="1400"/>
      </w:tblGrid>
      <w:tr>
        <w:trPr>
          <w:trHeight w:val="340"/>
        </w:trPr>
        <w:tc>
          <w:tcPr>
            <w:tcW w:w="518" w:type="pct"/>
            <w:vAlign w:val="center"/>
            <w:textDirection w:val="lrTb"/>
            <w:noWrap/>
          </w:tcPr>
          <w:p>
            <w:pPr>
              <w:jc w:val="center"/>
              <w:spacing w:line="360" w:lineRule="auto"/>
              <w:widowControl/>
              <w:rPr>
                <w:rFonts w:hint="eastAsia" w:ascii="宋体" w:hAnsi="宋体" w:cs="宋体"/>
                <w:szCs w:val="21"/>
                <w:highlight w:val="none"/>
              </w:rPr>
            </w:pPr>
            <w:r/>
            <w:bookmarkStart w:id="123" w:name="_Hlk103878752"/>
            <w:r/>
            <w:bookmarkStart w:id="124" w:name="_Hlk103878173"/>
            <w:r/>
            <w:bookmarkStart w:id="125" w:name="_Hlk110355697"/>
            <w:r/>
            <w:bookmarkStart w:id="126" w:name="_Hlk103616875"/>
            <w:r>
              <w:rPr>
                <w:rFonts w:hint="eastAsia" w:cs="宋体"/>
                <w:szCs w:val="21"/>
                <w:highlight w:val="none"/>
                <w:lang w:bidi="ar"/>
              </w:rPr>
              <w:t xml:space="preserve">采购包号</w:t>
            </w:r>
            <w:r/>
          </w:p>
        </w:tc>
        <w:tc>
          <w:tcPr>
            <w:tcW w:w="1450" w:type="pct"/>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食堂名称</w:t>
            </w:r>
            <w:r/>
          </w:p>
        </w:tc>
        <w:tc>
          <w:tcPr>
            <w:tcW w:w="1462" w:type="pct"/>
            <w:vAlign w:val="center"/>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食材配送地址</w:t>
            </w:r>
            <w:r/>
          </w:p>
        </w:tc>
        <w:tc>
          <w:tcPr>
            <w:tcW w:w="776" w:type="pct"/>
            <w:vAlign w:val="center"/>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预算金额</w:t>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（万元）</w:t>
            </w:r>
            <w:r/>
          </w:p>
        </w:tc>
        <w:tc>
          <w:tcPr>
            <w:tcW w:w="791" w:type="pct"/>
            <w:vAlign w:val="center"/>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rPr>
              <w:t xml:space="preserve">采购需求</w:t>
            </w:r>
            <w:r/>
          </w:p>
        </w:tc>
      </w:tr>
      <w:tr>
        <w:trPr>
          <w:trHeight w:val="408"/>
        </w:trPr>
        <w:tc>
          <w:tcPr>
            <w:tcW w:w="518" w:type="pct"/>
            <w:vAlign w:val="center"/>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1</w:t>
            </w:r>
            <w:r/>
          </w:p>
        </w:tc>
        <w:tc>
          <w:tcPr>
            <w:tcW w:w="1450" w:type="pct"/>
            <w:vAlign w:val="center"/>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局机关食堂食材采购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ascii="宋体" w:hAnsi="宋体" w:cs="宋体"/>
                <w:szCs w:val="21"/>
                <w:highlight w:val="none"/>
              </w:rPr>
              <w:t xml:space="preserve">南京市雨花台区小行路158号</w:t>
            </w:r>
            <w:r/>
          </w:p>
        </w:tc>
        <w:tc>
          <w:tcPr>
            <w:tcW w:w="776" w:type="pct"/>
            <w:vAlign w:val="center"/>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385.930098</w:t>
            </w:r>
            <w:r/>
          </w:p>
        </w:tc>
        <w:tc>
          <w:tcPr>
            <w:tcW w:w="791" w:type="pct"/>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2</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南京南站所</w:t>
            </w:r>
            <w:r>
              <w:rPr>
                <w:rFonts w:hint="eastAsia" w:ascii="宋体" w:hAnsi="宋体" w:cs="宋体"/>
                <w:szCs w:val="21"/>
                <w:highlight w:val="none"/>
                <w:lang w:bidi="ar"/>
              </w:rPr>
              <w:t xml:space="preserve">-</w:t>
            </w:r>
            <w:r>
              <w:rPr>
                <w:rFonts w:ascii="宋体" w:hAnsi="宋体" w:cs="宋体"/>
                <w:szCs w:val="21"/>
                <w:highlight w:val="none"/>
                <w:lang w:bidi="ar"/>
              </w:rPr>
              <w:t xml:space="preserve">刑警大队</w:t>
            </w:r>
            <w:r>
              <w:rPr>
                <w:rFonts w:hint="eastAsia" w:ascii="宋体" w:hAnsi="宋体" w:cs="宋体"/>
                <w:szCs w:val="21"/>
                <w:highlight w:val="none"/>
                <w:lang w:bidi="ar"/>
              </w:rPr>
              <w:t xml:space="preserve">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南京南站所：南京市雨花台区玉兰路88号</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305</w:t>
            </w:r>
            <w:r>
              <w:rPr>
                <w:rFonts w:hint="eastAsia" w:ascii="宋体" w:hAnsi="宋体" w:cs="宋体"/>
                <w:szCs w:val="21"/>
                <w:highlight w:val="none"/>
                <w:lang w:bidi="ar"/>
              </w:rPr>
              <w:t xml:space="preserve">.</w:t>
            </w:r>
            <w:r>
              <w:rPr>
                <w:rFonts w:ascii="宋体" w:hAnsi="宋体" w:cs="宋体"/>
                <w:szCs w:val="21"/>
                <w:highlight w:val="none"/>
                <w:lang w:bidi="ar"/>
              </w:rPr>
              <w:t xml:space="preserve">483612</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刑警大队：地铁6号线双龙街停车场</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3</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rPr>
            </w:pPr>
            <w:r>
              <w:rPr>
                <w:rFonts w:ascii="宋体" w:hAnsi="宋体" w:cs="宋体"/>
                <w:szCs w:val="21"/>
                <w:highlight w:val="none"/>
              </w:rPr>
              <w:t xml:space="preserve">南京站所</w:t>
            </w:r>
            <w:r>
              <w:rPr>
                <w:rFonts w:hint="eastAsia" w:ascii="宋体" w:hAnsi="宋体" w:cs="宋体"/>
                <w:szCs w:val="21"/>
                <w:highlight w:val="none"/>
              </w:rPr>
              <w:t xml:space="preserve">-</w:t>
            </w:r>
            <w:r>
              <w:rPr>
                <w:rFonts w:ascii="宋体" w:hAnsi="宋体" w:cs="宋体"/>
                <w:szCs w:val="21"/>
                <w:highlight w:val="none"/>
              </w:rPr>
              <w:t xml:space="preserve">长途东站</w:t>
            </w:r>
            <w:r>
              <w:rPr>
                <w:rFonts w:hint="eastAsia" w:ascii="宋体" w:hAnsi="宋体" w:cs="宋体"/>
                <w:szCs w:val="21"/>
                <w:highlight w:val="none"/>
              </w:rPr>
              <w:t xml:space="preserve">所</w:t>
            </w:r>
            <w:r>
              <w:rPr>
                <w:rFonts w:ascii="宋体" w:hAnsi="宋体" w:cs="宋体"/>
                <w:szCs w:val="21"/>
                <w:highlight w:val="none"/>
              </w:rPr>
              <w:t xml:space="preserve">(6号</w:t>
            </w:r>
            <w:r>
              <w:rPr>
                <w:rFonts w:hint="eastAsia" w:ascii="宋体" w:hAnsi="宋体" w:cs="宋体"/>
                <w:szCs w:val="21"/>
                <w:highlight w:val="none"/>
              </w:rPr>
              <w:t xml:space="preserve">线</w:t>
            </w:r>
            <w:r>
              <w:rPr>
                <w:rFonts w:ascii="宋体" w:hAnsi="宋体" w:cs="宋体"/>
                <w:szCs w:val="21"/>
                <w:highlight w:val="none"/>
              </w:rPr>
              <w:t xml:space="preserve">)</w:t>
            </w:r>
            <w:r>
              <w:rPr>
                <w:rFonts w:hint="eastAsia" w:ascii="宋体" w:hAnsi="宋体" w:cs="宋体"/>
                <w:szCs w:val="21"/>
                <w:highlight w:val="none"/>
                <w:lang w:bidi="ar"/>
              </w:rPr>
              <w:t xml:space="preserve">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南京站所：玄武区红山南路69号</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240</w:t>
            </w:r>
            <w:r>
              <w:rPr>
                <w:rFonts w:hint="eastAsia" w:ascii="宋体" w:hAnsi="宋体" w:cs="宋体"/>
                <w:szCs w:val="21"/>
                <w:highlight w:val="none"/>
                <w:lang w:bidi="ar"/>
              </w:rPr>
              <w:t xml:space="preserve">.</w:t>
            </w:r>
            <w:r>
              <w:rPr>
                <w:rFonts w:ascii="宋体" w:hAnsi="宋体" w:cs="宋体"/>
                <w:szCs w:val="21"/>
                <w:highlight w:val="none"/>
                <w:lang w:bidi="ar"/>
              </w:rPr>
              <w:t xml:space="preserve">2754</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长途东站所：曹后村地铁车辆基地内</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4</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新街口站所-玄武门站所食堂食材采购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新街口站所：白下路2号3楼</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186</w:t>
            </w:r>
            <w:r>
              <w:rPr>
                <w:rFonts w:hint="eastAsia" w:ascii="宋体" w:hAnsi="宋体" w:cs="宋体"/>
                <w:szCs w:val="21"/>
                <w:highlight w:val="none"/>
                <w:lang w:bidi="ar"/>
              </w:rPr>
              <w:t xml:space="preserve">.</w:t>
            </w:r>
            <w:r>
              <w:rPr>
                <w:rFonts w:ascii="宋体" w:hAnsi="宋体" w:cs="宋体"/>
                <w:szCs w:val="21"/>
                <w:highlight w:val="none"/>
                <w:lang w:bidi="ar"/>
              </w:rPr>
              <w:t xml:space="preserve">6077</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玄武门站所：丹凤街19号4楼</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5</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Segoe UI" w:hAnsi="Segoe UI" w:eastAsia="Segoe UI" w:cs="Segoe UI"/>
                <w:szCs w:val="21"/>
                <w:highlight w:val="none"/>
              </w:rPr>
              <w:t xml:space="preserve">城西路站所-秣周路站所食堂食材采购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城西里站所：南京市雨花台区雨花南路18号</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166</w:t>
            </w:r>
            <w:r>
              <w:rPr>
                <w:rFonts w:hint="eastAsia" w:ascii="宋体" w:hAnsi="宋体" w:cs="宋体"/>
                <w:szCs w:val="21"/>
                <w:highlight w:val="none"/>
                <w:lang w:bidi="ar"/>
              </w:rPr>
              <w:t xml:space="preserve">.</w:t>
            </w:r>
            <w:r>
              <w:rPr>
                <w:rFonts w:ascii="宋体" w:hAnsi="宋体" w:cs="宋体"/>
                <w:szCs w:val="21"/>
                <w:highlight w:val="none"/>
                <w:lang w:bidi="ar"/>
              </w:rPr>
              <w:t xml:space="preserve">82854</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秣周路站所：南京市雨花台区卡子门大街76号</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6</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Segoe UI" w:hAnsi="Segoe UI" w:eastAsia="Segoe UI" w:cs="Segoe UI"/>
                <w:szCs w:val="21"/>
                <w:highlight w:val="none"/>
                <w:shd w:val="clear" w:color="auto" w:fill="fafafa"/>
              </w:rPr>
              <w:t xml:space="preserve">大校场站所-晓庄站所食堂食材采购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大校场站所：南京市鼓楼区三步两桥10号</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146</w:t>
            </w:r>
            <w:r>
              <w:rPr>
                <w:rFonts w:hint="eastAsia" w:ascii="宋体" w:hAnsi="宋体" w:cs="宋体"/>
                <w:szCs w:val="21"/>
                <w:highlight w:val="none"/>
                <w:lang w:bidi="ar"/>
              </w:rPr>
              <w:t xml:space="preserve">.</w:t>
            </w:r>
            <w:r>
              <w:rPr>
                <w:rFonts w:ascii="宋体" w:hAnsi="宋体" w:cs="宋体"/>
                <w:szCs w:val="21"/>
                <w:highlight w:val="none"/>
                <w:lang w:bidi="ar"/>
              </w:rPr>
              <w:t xml:space="preserve">6474</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晓庄站所：南京市鼓楼区古平岗1号</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7</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禄口新城站所-汤山站所食堂食材采购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禄口新城站所：禄口街道飞天大道禄口南地铁基地内</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140</w:t>
            </w:r>
            <w:r>
              <w:rPr>
                <w:rFonts w:hint="eastAsia" w:ascii="宋体" w:hAnsi="宋体" w:cs="宋体"/>
                <w:szCs w:val="21"/>
                <w:highlight w:val="none"/>
                <w:lang w:bidi="ar"/>
              </w:rPr>
              <w:t xml:space="preserve">.</w:t>
            </w:r>
            <w:r>
              <w:rPr>
                <w:rFonts w:ascii="宋体" w:hAnsi="宋体" w:cs="宋体"/>
                <w:szCs w:val="21"/>
                <w:highlight w:val="none"/>
                <w:lang w:bidi="ar"/>
              </w:rPr>
              <w:t xml:space="preserve">418</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汤山站所：地铁江宁区药科大学站车辆基地内</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8</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孝陵卫站所-仙林湖站所食堂食材采购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孝陵卫站所：南京市西岗街道-C地铁青龙山车辆基地边</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139</w:t>
            </w:r>
            <w:r>
              <w:rPr>
                <w:rFonts w:hint="eastAsia" w:ascii="宋体" w:hAnsi="宋体" w:cs="宋体"/>
                <w:szCs w:val="21"/>
                <w:highlight w:val="none"/>
                <w:lang w:bidi="ar"/>
              </w:rPr>
              <w:t xml:space="preserve">.</w:t>
            </w:r>
            <w:r>
              <w:rPr>
                <w:rFonts w:ascii="宋体" w:hAnsi="宋体" w:cs="宋体"/>
                <w:szCs w:val="21"/>
                <w:highlight w:val="none"/>
                <w:lang w:bidi="ar"/>
              </w:rPr>
              <w:t xml:space="preserve">85171</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仙林湖站所：栖霞区仙林大道180-1地铁经天路站桥下</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9</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天保站所-中和村站所</w:t>
            </w:r>
            <w:r>
              <w:rPr>
                <w:rFonts w:hint="eastAsia" w:ascii="宋体" w:hAnsi="宋体" w:cs="宋体"/>
                <w:szCs w:val="21"/>
                <w:highlight w:val="none"/>
                <w:lang w:bidi="ar"/>
              </w:rPr>
              <w:t xml:space="preserve">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天保站所：南京市雨花台区新湖大道西善桥地铁基地内</w:t>
            </w:r>
            <w:r/>
          </w:p>
        </w:tc>
        <w:tc>
          <w:tcPr>
            <w:tcW w:w="776" w:type="pct"/>
            <w:vAlign w:val="center"/>
            <w:vMerge w:val="restart"/>
            <w:textDirection w:val="lrTb"/>
            <w:noWrap/>
          </w:tcPr>
          <w:p>
            <w:pPr>
              <w:jc w:val="center"/>
              <w:spacing w:line="360" w:lineRule="auto"/>
              <w:widowControl/>
              <w:tabs>
                <w:tab w:val="left" w:pos="491" w:leader="none"/>
                <w:tab w:val="center" w:pos="1002" w:leader="none"/>
              </w:tabs>
              <w:rPr>
                <w:rFonts w:hint="eastAsia" w:ascii="宋体" w:hAnsi="宋体" w:cs="宋体"/>
                <w:szCs w:val="21"/>
                <w:highlight w:val="none"/>
                <w:lang w:bidi="ar"/>
              </w:rPr>
            </w:pPr>
            <w:r>
              <w:rPr>
                <w:rFonts w:ascii="宋体" w:hAnsi="宋体" w:cs="宋体"/>
                <w:szCs w:val="21"/>
                <w:highlight w:val="none"/>
                <w:lang w:bidi="ar"/>
              </w:rPr>
              <w:t xml:space="preserve">136</w:t>
            </w:r>
            <w:r>
              <w:rPr>
                <w:rFonts w:hint="eastAsia" w:ascii="宋体" w:hAnsi="宋体" w:cs="宋体"/>
                <w:szCs w:val="21"/>
                <w:highlight w:val="none"/>
                <w:lang w:bidi="ar"/>
              </w:rPr>
              <w:t xml:space="preserve">.</w:t>
            </w:r>
            <w:r>
              <w:rPr>
                <w:rFonts w:ascii="宋体" w:hAnsi="宋体" w:cs="宋体"/>
                <w:szCs w:val="21"/>
                <w:highlight w:val="none"/>
                <w:lang w:bidi="ar"/>
              </w:rPr>
              <w:t xml:space="preserve">2417</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tabs>
                <w:tab w:val="left" w:pos="491" w:leader="none"/>
                <w:tab w:val="center" w:pos="1002" w:leader="none"/>
              </w:tabs>
              <w:rPr>
                <w:highlight w:val="none"/>
              </w:rPr>
            </w:pPr>
            <w:r>
              <w:rPr>
                <w:highlight w:val="none"/>
              </w:rPr>
            </w:r>
            <w:r/>
          </w:p>
        </w:tc>
        <w:tc>
          <w:tcPr>
            <w:tcW w:w="1450" w:type="pct"/>
            <w:vAlign w:val="center"/>
            <w:vMerge w:val="continue"/>
            <w:textDirection w:val="lrTb"/>
            <w:noWrap/>
          </w:tcPr>
          <w:p>
            <w:pPr>
              <w:jc w:val="center"/>
              <w:spacing w:line="360" w:lineRule="auto"/>
              <w:widowControl/>
              <w:tabs>
                <w:tab w:val="left" w:pos="491" w:leader="none"/>
                <w:tab w:val="center" w:pos="1002" w:leader="none"/>
              </w:tabs>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中和村站所：地铁油坊桥车辆基地内</w:t>
            </w:r>
            <w:r/>
          </w:p>
        </w:tc>
        <w:tc>
          <w:tcPr>
            <w:tcW w:w="776" w:type="pct"/>
            <w:vAlign w:val="center"/>
            <w:vMerge w:val="continue"/>
            <w:textDirection w:val="lrTb"/>
            <w:noWrap/>
          </w:tcPr>
          <w:p>
            <w:pPr>
              <w:jc w:val="center"/>
              <w:spacing w:line="360" w:lineRule="auto"/>
              <w:widowControl/>
              <w:tabs>
                <w:tab w:val="left" w:pos="491" w:leader="none"/>
                <w:tab w:val="center" w:pos="1002" w:leader="none"/>
              </w:tabs>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tabs>
                <w:tab w:val="left" w:pos="491" w:leader="none"/>
                <w:tab w:val="center" w:pos="1002" w:leader="none"/>
              </w:tabs>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8"/>
        </w:trPr>
        <w:tc>
          <w:tcPr>
            <w:tcW w:w="518" w:type="pct"/>
            <w:vAlign w:val="center"/>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10</w:t>
            </w:r>
            <w:r/>
          </w:p>
        </w:tc>
        <w:tc>
          <w:tcPr>
            <w:tcW w:w="1450" w:type="pct"/>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巡特警大队食堂食材采购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地铁马群车辆基地内马群神马路19号</w:t>
            </w:r>
            <w:r/>
          </w:p>
        </w:tc>
        <w:tc>
          <w:tcPr>
            <w:tcW w:w="776" w:type="pct"/>
            <w:vAlign w:val="center"/>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112</w:t>
            </w:r>
            <w:r>
              <w:rPr>
                <w:rFonts w:hint="eastAsia" w:ascii="宋体" w:hAnsi="宋体" w:cs="宋体"/>
                <w:szCs w:val="21"/>
                <w:highlight w:val="none"/>
                <w:lang w:bidi="ar"/>
              </w:rPr>
              <w:t xml:space="preserve">.</w:t>
            </w:r>
            <w:r>
              <w:rPr>
                <w:rFonts w:ascii="宋体" w:hAnsi="宋体" w:cs="宋体"/>
                <w:szCs w:val="21"/>
                <w:highlight w:val="none"/>
                <w:lang w:bidi="ar"/>
              </w:rPr>
              <w:t xml:space="preserve">45204</w:t>
            </w:r>
            <w:r/>
          </w:p>
        </w:tc>
        <w:tc>
          <w:tcPr>
            <w:tcW w:w="791" w:type="pct"/>
            <w:vAlign w:val="center"/>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全品类食材供应商</w:t>
            </w:r>
            <w:r/>
          </w:p>
        </w:tc>
      </w:tr>
      <w:tr>
        <w:trPr>
          <w:trHeight w:val="408"/>
        </w:trPr>
        <w:tc>
          <w:tcPr>
            <w:tcW w:w="518" w:type="pct"/>
            <w:vAlign w:val="center"/>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11</w:t>
            </w:r>
            <w:r/>
          </w:p>
        </w:tc>
        <w:tc>
          <w:tcPr>
            <w:tcW w:w="1450" w:type="pct"/>
            <w:vAlign w:val="center"/>
            <w:textDirection w:val="lrTb"/>
            <w:noWrap/>
          </w:tcPr>
          <w:p>
            <w:pPr>
              <w:jc w:val="center"/>
              <w:spacing w:line="360" w:lineRule="auto"/>
              <w:widowControl/>
              <w:rPr>
                <w:rFonts w:hint="eastAsia" w:ascii="宋体" w:hAnsi="宋体" w:cs="宋体"/>
                <w:szCs w:val="21"/>
                <w:highlight w:val="none"/>
              </w:rPr>
            </w:pPr>
            <w:r>
              <w:rPr>
                <w:rFonts w:ascii="宋体" w:hAnsi="宋体" w:cs="宋体"/>
                <w:szCs w:val="21"/>
                <w:highlight w:val="none"/>
              </w:rPr>
              <w:t xml:space="preserve">大厂东站所食堂食材采购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六合区平顶山路和平社区地铁大厂东车辆基地内</w:t>
            </w:r>
            <w:r/>
          </w:p>
        </w:tc>
        <w:tc>
          <w:tcPr>
            <w:tcW w:w="776" w:type="pct"/>
            <w:vAlign w:val="center"/>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76</w:t>
            </w:r>
            <w:r>
              <w:rPr>
                <w:rFonts w:hint="eastAsia" w:ascii="宋体" w:hAnsi="宋体" w:cs="宋体"/>
                <w:szCs w:val="21"/>
                <w:highlight w:val="none"/>
                <w:lang w:bidi="ar"/>
              </w:rPr>
              <w:t xml:space="preserve">.</w:t>
            </w:r>
            <w:r>
              <w:rPr>
                <w:rFonts w:ascii="宋体" w:hAnsi="宋体" w:cs="宋体"/>
                <w:szCs w:val="21"/>
                <w:highlight w:val="none"/>
                <w:lang w:bidi="ar"/>
              </w:rPr>
              <w:t xml:space="preserve">2638</w:t>
            </w:r>
            <w:r/>
          </w:p>
        </w:tc>
        <w:tc>
          <w:tcPr>
            <w:tcW w:w="791" w:type="pct"/>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bl>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注:以上食材配送地址与就餐人数可能会进行调整，最终以采购人确认的食材配送地址与就餐人数为准。本项目预算中的全年采购金额为预估数，采购人不对全年采购金额做承诺。</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四、配送管理及相关要求</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（一）配送要求</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1.配送人员要求：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1.1投标人需固定配送人员，配送人员与驾驶人员可兼任，但不得随意变更，如有变更须经采购人同意。</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1.2投标人需配备专门负责送货人员不少于2人，必须是投标人的正式员工，在合同签订前向采购人提供健康证、劳动合同及社保机构出具的近一个月投标人为其缴纳的加盖社保中心章或社保中心参保缴费证明电子专用章的社会保险金缴纳清单。（需提供承诺书，格式参考附件十二，加盖公章，未提供或未按要求提供按照无效投标处理）</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2.配送车辆要求：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2.1投标人应具有满足项目配送所需的</w:t>
      </w:r>
      <w:r>
        <w:rPr>
          <w:rFonts w:hint="eastAsia" w:asciiTheme="minorEastAsia" w:hAnsiTheme="minorEastAsia" w:eastAsiaTheme="minorEastAsia" w:cstheme="minorEastAsia"/>
          <w:szCs w:val="21"/>
          <w:highlight w:val="none"/>
          <w:lang w:bidi="ar"/>
        </w:rPr>
        <w:t xml:space="preserve">运输配送能力</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2.2配送车辆应符合相关卫生要求，做到每日清洗、消毒并做好消毒记录，车厢内无不良气味、异味。</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2.3配送车辆及运输工具应清洁卫生无污染，食品运输必须采用符合卫生标准的外包装和运载工具，并且要保持清洁和定期消毒。运输途中严防日晒、雨淋，注意通风散热；货物应小心轻卸，严防机械损伤。食品堆放科学合理，避免造成食品的交叉污染；如对温度有要求的食品应确定食品的温度，记录送货车辆温度，并将记录存档。</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3.其他配送要求：</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3.1投标人必须承诺采购人如遇应急或特殊情况下半小时内响应，1小时内送货到场。（需提供承诺书，格式参考</w:t>
      </w:r>
      <w:bookmarkStart w:id="127" w:name="OLE_LINK12"/>
      <w:r>
        <w:rPr>
          <w:rFonts w:hint="eastAsia" w:ascii="宋体" w:hAnsi="宋体" w:cs="宋体"/>
          <w:b/>
          <w:bCs/>
          <w:szCs w:val="21"/>
          <w:highlight w:val="none"/>
        </w:rPr>
        <w:t xml:space="preserve">附件十二</w:t>
      </w:r>
      <w:bookmarkEnd w:id="127"/>
      <w:r>
        <w:rPr>
          <w:rFonts w:hint="eastAsia" w:ascii="宋体" w:hAnsi="宋体" w:cs="宋体"/>
          <w:b/>
          <w:bCs/>
          <w:szCs w:val="21"/>
          <w:highlight w:val="none"/>
        </w:rPr>
        <w:t xml:space="preserve">，加盖公章，未提供或未按要求提供按照无效投标处理）。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3.2人员及车辆遵守采购人要求，在生产配送过程中，发生安全(含交通)事故，造成车辆损坏、人员伤亡及其他一切安全(含交通)生产事故，责任由中标人全部承担，与采购人无关。</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3.3投标人应根据服务地点，充分考虑因天气恶劣导致高速公路封闭等原因，合理安排出货时间，确保不影响采购人正常供餐。</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（二）供货要求：</w:t>
      </w:r>
      <w:r/>
    </w:p>
    <w:p>
      <w:pPr>
        <w:ind w:firstLine="420"/>
        <w:jc w:val="left"/>
        <w:spacing w:line="360" w:lineRule="auto"/>
        <w:rPr>
          <w:rFonts w:hint="eastAsia" w:ascii="宋体" w:hAnsi="宋体" w:cs="宋体"/>
          <w:szCs w:val="21"/>
          <w:highlight w:val="none"/>
        </w:rPr>
      </w:pPr>
      <w:r/>
      <w:bookmarkStart w:id="128" w:name="_Toc140705059"/>
      <w:r>
        <w:rPr>
          <w:rFonts w:hint="eastAsia" w:ascii="宋体" w:hAnsi="宋体" w:cs="宋体"/>
          <w:szCs w:val="21"/>
          <w:highlight w:val="none"/>
        </w:rPr>
        <w:t xml:space="preserve">1.中标人在接到采购人送货通知后，须及时送到采购人指定地点并验收完成。</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2.采购人有权根据中标人实际供货能力调整配送时间段，中标人须无条件按采购人要求执行。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配送及验收：采购人各个项目点的负责人员每天上午对所送货物验收一次，中标人需将当日需要的所有食材、商品一次性打包送达，不得将项目转包、分包给其他人，不得将一批食材多次送货（统一配送，分别验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4.当日供货完毕后，双方应各自保存好经接收食材采购和中标人相关人员供货清单（一式两份，双方签字）。</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食品管控：所有食材来源均有书面依据，必须可追溯，供采购人随时抽检，如后续无法提供相关凭证材料，采购人有权终止合同。所供食材必须每批都持有相对应的检验检疫证明，产品合格证，生产日期，有效使用期限，包装状态、大小，产地等。</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6.因市场特殊原因，个别食材品种不能及时提供，中标人应提前与采购人沟通协调，更换品种，满足需要。</w:t>
      </w:r>
      <w:bookmarkEnd w:id="128"/>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服务响应：中标人需具备应急服务能力，且有固定联系人员，有一定的处理紧急情况的经验。中标人必须承诺采购人如遇节假日、应急或特殊情况下半小时内响应，1小时内送货到场，如遇未及时响应或响应但未及时到场，采购人有权依照履约评价细则扣分扣款或终止合同。</w:t>
      </w:r>
      <w:r/>
    </w:p>
    <w:p>
      <w:pPr>
        <w:ind w:firstLine="420"/>
        <w:jc w:val="left"/>
        <w:spacing w:line="360" w:lineRule="auto"/>
        <w:rPr>
          <w:rFonts w:hint="eastAsia" w:ascii="宋体" w:hAnsi="宋体" w:cs="宋体"/>
          <w:szCs w:val="21"/>
          <w:highlight w:val="none"/>
        </w:rPr>
      </w:pPr>
      <w:r/>
      <w:bookmarkStart w:id="129" w:name="_Toc140705060"/>
      <w:r>
        <w:rPr>
          <w:rFonts w:hint="eastAsia" w:ascii="宋体" w:hAnsi="宋体" w:cs="宋体"/>
          <w:szCs w:val="21"/>
          <w:highlight w:val="none"/>
        </w:rPr>
        <w:t xml:space="preserve">8.所有产品因验收货物时不能直接判断质量的，在使用过程中发现不合格产品，中标人应作退货处理。</w:t>
      </w:r>
      <w:bookmarkEnd w:id="129"/>
      <w:r/>
      <w:r/>
    </w:p>
    <w:p>
      <w:pPr>
        <w:ind w:firstLine="420"/>
        <w:jc w:val="left"/>
        <w:spacing w:line="360" w:lineRule="auto"/>
        <w:rPr>
          <w:rFonts w:hint="eastAsia" w:ascii="宋体" w:hAnsi="宋体" w:cs="宋体"/>
          <w:szCs w:val="21"/>
          <w:highlight w:val="none"/>
        </w:rPr>
      </w:pPr>
      <w:r/>
      <w:bookmarkStart w:id="130" w:name="_Toc140705061"/>
      <w:r>
        <w:rPr>
          <w:rFonts w:hint="eastAsia" w:ascii="宋体" w:hAnsi="宋体" w:cs="宋体"/>
          <w:szCs w:val="21"/>
          <w:highlight w:val="none"/>
        </w:rPr>
        <w:t xml:space="preserve">9.物资验收中不合格产品，中标人应按照采购人规定时间内调换，以不影响正常工作为准。</w:t>
      </w:r>
      <w:bookmarkEnd w:id="130"/>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10.配送人员应具备有效的健康合格证明，配送车辆应符合相关卫生要求，做到每日清洗、消毒并做好消毒记录，配送人员及配送车辆不得随意变更，如有变更须经采购人同意，更换的配送人员及配送车辆的档次、承诺及要求不得低于投标时相关档次、承诺及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11.运输新鲜肉类、冷冻肉类、鲜活水产、冷冻水产等对存储有温度要求的食材时，须保证全程以冷链运输方式送达。</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12.中标人应严格遵守《中华人民共和国食品安全法》等相关规定，严格保证食品质量符合国家相关产品质量标准，符合国家各级强制性规范要求。如因中标人产品质量引起食用者呕吐、腹泻等不良反应或食物中毒现象，经权威部门鉴定，确属产品质量引起的，中标人应负全部责任，赔偿采购人相关损失且采购人有权依照履约评价细则扣分扣款或终止合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13.验收标准及退货依据：中标人应严格遵守《动物检疫管理办法》、《中华人民共和国食品安全法》等相关规定，一经发现供应不合格货品，除全部退货外，中标人承担由此造成的经济责任和法律责任。前两次采购人将予以警告并按履约评价标准进行相关扣分，在当期结算时扣2000元/次，第三次采购人有权终止合同。</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14.中标人供应的食材应为超市、农贸市场等主流流通渠道在售常规品牌；所供品牌市面少见、无法正常询价的，采购人有权拒收。</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15.凡按重量计量物资，均以物品净重方式计量结算。 </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16.供货清单应经采购人及中标人双方相关人员签字（内容包括但不限于供应的具体食材、数量等信息）。每个月汇总交由食堂食材采购负责人核实单价后结算。其提供的所有结算资料均须真实有效、准确详实、有迹可循，不得弄虚作假。</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（三）其他要求</w:t>
      </w:r>
      <w:r/>
    </w:p>
    <w:p>
      <w:pPr>
        <w:ind w:firstLine="420"/>
        <w:jc w:val="left"/>
        <w:spacing w:line="360" w:lineRule="auto"/>
        <w:rPr>
          <w:rFonts w:hint="eastAsia" w:ascii="宋体" w:hAnsi="宋体" w:cs="宋体" w:eastAsiaTheme="minorEastAsia"/>
          <w:b/>
          <w:bCs/>
          <w:szCs w:val="21"/>
          <w:highlight w:val="none"/>
        </w:rPr>
      </w:pPr>
      <w:r>
        <w:rPr>
          <w:rFonts w:hint="eastAsia" w:ascii="宋体" w:hAnsi="宋体" w:cs="宋体"/>
          <w:szCs w:val="21"/>
          <w:highlight w:val="none"/>
        </w:rPr>
        <w:t xml:space="preserve">1.仓储场地要求：为保障食品安全、提升运营效率和确保业务合规，中标人应具有常温仓库、冷冻库</w:t>
      </w:r>
      <w:r>
        <w:rPr>
          <w:rFonts w:hint="eastAsia" w:asciiTheme="minorEastAsia" w:hAnsiTheme="minorEastAsia" w:eastAsiaTheme="minorEastAsia" w:cstheme="minorEastAsia"/>
          <w:szCs w:val="21"/>
          <w:highlight w:val="none"/>
          <w:lang w:bidi="ar"/>
        </w:rPr>
        <w:t xml:space="preserve">、冷藏库。</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2.中标人必须负责货物的运输、质量检测等工作。</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3.中标人不得将本项目转包、分包给他人，否则采购人有权单方终止合同，由此产生的一切经济损失由中标人自行承担。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4.中标人应做好本单位工作人员的教育工作，遵守采购人各项规定。</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5.采购人按合同对商品进行认真验收，对不符合规格要求的商品，无条件退货。采购人发现商品出现损坏（包括表面损坏），或出现串味、受潮等导致货物性质改变的，中标人必须无条件退货或更换商品。</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6.中标人须对全部采购货物进行供应，不可以选择性供应。货品应严格遵守国家及地方相关标准。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7.包装：如果该项货品有外包装，则包装必须完整，无破损、积压或遭开封现象；商标及生产日期清晰明确，无涂改现象；符合《预包装产品标签通则》的相关规定。</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8.运输要求：配送车辆箱体保持清洁，定期消毒。中标人的运输车辆应具备专业保鲜或冷冻条件。食品配送车辆严禁配送有毒有害物品。</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9.“索证索票制”即中标人必须建立并执行进货检查验收制度，审验销售商的经营资格，验明产品合格证明和产品标识，并建立产品进货台账，如实记录产品名称、规格、数量、供货商的联系方式、进货渠道等内容，并且要建立产品销售台账，如实记录批发销售的产品品种、规格、数量、流向等，中标人应当向销售商按照产品生产批次索要符合法定条件的检验报告。</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五、产品质量要求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人应严格遵守《食品安全法》等相关规定，严格保证食品质量，符合国家相关产品质量标准，符合国家各级强制性规范要求。投标人所供食材应为同类产品中的综合质量优良产品，所有商品必须做到可以溯源。投标人应保证所提供的食材剩余保存期不少于原有保质期的三分之二（生鲜除外），在保质期内经正确和合理食用，不会出现食品安全事故，并对食品安全事故负责。</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2.严格禁止供应如下食品，一经发现，采购人有权终止合同：</w:t>
      </w:r>
      <w:r/>
    </w:p>
    <w:p>
      <w:pPr>
        <w:ind w:firstLine="480"/>
        <w:jc w:val="left"/>
        <w:spacing w:line="360" w:lineRule="auto"/>
        <w:rPr>
          <w:rFonts w:hint="eastAsia" w:ascii="宋体" w:hAnsi="宋体" w:cs="宋体"/>
          <w:szCs w:val="21"/>
          <w:highlight w:val="none"/>
        </w:rPr>
      </w:pPr>
      <w:r/>
      <w:bookmarkStart w:id="131" w:name="_Toc140705052"/>
      <w:r>
        <w:rPr>
          <w:rFonts w:hint="eastAsia" w:ascii="宋体" w:hAnsi="宋体" w:cs="宋体"/>
          <w:szCs w:val="21"/>
          <w:highlight w:val="none"/>
        </w:rPr>
        <w:t xml:space="preserve">2.1腐败变质、油脂酸败、霉变、生虫、污秽不洁、混有异物或其他感官性状异常，对人体有害的</w:t>
      </w:r>
      <w:bookmarkEnd w:id="131"/>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bookmarkStart w:id="132" w:name="_Toc140705053"/>
      <w:r>
        <w:rPr>
          <w:rFonts w:hint="eastAsia" w:ascii="宋体" w:hAnsi="宋体" w:cs="宋体"/>
          <w:szCs w:val="21"/>
          <w:highlight w:val="none"/>
        </w:rPr>
        <w:t xml:space="preserve">2.2含有毒、有害物质或被有害物质污染，对人体身体健康有害的；含有严重超出标准限量的农药残留、兽药残留、重金属、污染物质以及其他危害人体健康的</w:t>
      </w:r>
      <w:bookmarkEnd w:id="132"/>
      <w:r/>
      <w:bookmarkStart w:id="133" w:name="_Toc140705054"/>
      <w:r>
        <w:rPr>
          <w:rFonts w:hint="eastAsia" w:ascii="宋体" w:hAnsi="宋体" w:cs="宋体"/>
          <w:szCs w:val="21"/>
          <w:highlight w:val="none"/>
        </w:rPr>
        <w:t xml:space="preserve">；</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2.3含有致病性寄生虫、微生物或者微生物含量超过国家限定标准的；</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2.4未经动物部门检疫、检验或者检疫、检验不合格的肉类及其制品</w:t>
      </w:r>
      <w:bookmarkEnd w:id="133"/>
      <w:r>
        <w:rPr>
          <w:rFonts w:hint="eastAsia" w:ascii="宋体" w:hAnsi="宋体" w:cs="宋体"/>
          <w:szCs w:val="21"/>
          <w:highlight w:val="none"/>
        </w:rPr>
        <w:t xml:space="preserve">；</w:t>
      </w:r>
      <w:bookmarkStart w:id="134" w:name="_Toc140705055"/>
      <w:r/>
      <w:bookmarkEnd w:id="134"/>
      <w:r/>
      <w:r/>
    </w:p>
    <w:p>
      <w:pPr>
        <w:ind w:firstLine="480"/>
        <w:jc w:val="left"/>
        <w:spacing w:line="360" w:lineRule="auto"/>
        <w:rPr>
          <w:rFonts w:hint="eastAsia" w:ascii="宋体" w:hAnsi="宋体" w:cs="宋体"/>
          <w:szCs w:val="21"/>
          <w:highlight w:val="none"/>
        </w:rPr>
      </w:pPr>
      <w:r/>
      <w:bookmarkStart w:id="135" w:name="_Toc140705056"/>
      <w:r>
        <w:rPr>
          <w:rFonts w:hint="eastAsia" w:ascii="宋体" w:hAnsi="宋体" w:cs="宋体"/>
          <w:szCs w:val="21"/>
          <w:highlight w:val="none"/>
        </w:rPr>
        <w:t xml:space="preserve">2.5病死、毒死或不明死因的禽、畜、兽、水产动物等及其制品；</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2.6掺假、掺杂、伪造，影响营养、卫生的；</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2.7用非食品原料加工的，加入非食品用化学物质或将非食品当作食品的</w:t>
      </w:r>
      <w:bookmarkEnd w:id="135"/>
      <w:r/>
      <w:bookmarkStart w:id="136" w:name="_Toc140705057"/>
      <w:r>
        <w:rPr>
          <w:rFonts w:hint="eastAsia" w:ascii="宋体" w:hAnsi="宋体" w:cs="宋体"/>
          <w:szCs w:val="21"/>
          <w:highlight w:val="none"/>
        </w:rPr>
        <w:t xml:space="preserve">；</w:t>
      </w:r>
      <w:bookmarkEnd w:id="136"/>
      <w:r/>
      <w:r/>
    </w:p>
    <w:p>
      <w:pPr>
        <w:ind w:firstLine="480"/>
        <w:jc w:val="left"/>
        <w:spacing w:line="360" w:lineRule="auto"/>
        <w:rPr>
          <w:highlight w:val="none"/>
        </w:rPr>
      </w:pPr>
      <w:r>
        <w:rPr>
          <w:rFonts w:hint="eastAsia" w:ascii="宋体" w:hAnsi="宋体" w:cs="宋体"/>
          <w:szCs w:val="21"/>
          <w:highlight w:val="none"/>
        </w:rPr>
        <w:t xml:space="preserve">2.8超过保质期限的。</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六、验收标准及退货依据：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验收标准及退货依据如下：</w:t>
      </w:r>
      <w:r/>
    </w:p>
    <w:tbl>
      <w:tblPr>
        <w:tblStyle w:val="86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7"/>
        <w:gridCol w:w="4562"/>
        <w:gridCol w:w="2925"/>
      </w:tblGrid>
      <w:tr>
        <w:trPr>
          <w:trHeight w:val="451"/>
          <w:tblHeader/>
        </w:trPr>
        <w:tc>
          <w:tcPr>
            <w:shd w:val="clear" w:color="auto" w:fill="ffffff"/>
            <w:tcW w:w="847" w:type="pct"/>
            <w:vAlign w:val="center"/>
            <w:textDirection w:val="lrTb"/>
            <w:noWrap w:val="false"/>
          </w:tcPr>
          <w:p>
            <w:pPr>
              <w:jc w:val="center"/>
              <w:spacing w:line="360" w:lineRule="auto"/>
              <w:rPr>
                <w:rFonts w:hint="eastAsia" w:ascii="宋体" w:hAnsi="宋体" w:cs="宋体"/>
                <w:b/>
                <w:bCs/>
                <w:szCs w:val="21"/>
                <w:highlight w:val="none"/>
                <w:lang w:bidi="zh-CN"/>
              </w:rPr>
              <w:outlineLvl w:val="1"/>
            </w:pPr>
            <w:r>
              <w:rPr>
                <w:rFonts w:hint="eastAsia" w:ascii="宋体" w:hAnsi="宋体" w:cs="宋体"/>
                <w:b/>
                <w:bCs/>
                <w:szCs w:val="21"/>
                <w:highlight w:val="none"/>
                <w:lang w:bidi="zh-CN"/>
              </w:rPr>
              <w:t xml:space="preserve">种类</w:t>
            </w:r>
            <w:r/>
          </w:p>
        </w:tc>
        <w:tc>
          <w:tcPr>
            <w:shd w:val="clear" w:color="auto" w:fill="ffffff"/>
            <w:tcW w:w="2530" w:type="pct"/>
            <w:vAlign w:val="center"/>
            <w:textDirection w:val="lrTb"/>
            <w:noWrap w:val="false"/>
          </w:tcPr>
          <w:p>
            <w:pPr>
              <w:jc w:val="center"/>
              <w:spacing w:line="360" w:lineRule="auto"/>
              <w:rPr>
                <w:rFonts w:hint="eastAsia" w:ascii="宋体" w:hAnsi="宋体" w:cs="宋体"/>
                <w:b/>
                <w:bCs/>
                <w:szCs w:val="21"/>
                <w:highlight w:val="none"/>
                <w:lang w:bidi="zh-CN"/>
              </w:rPr>
              <w:outlineLvl w:val="1"/>
            </w:pPr>
            <w:r>
              <w:rPr>
                <w:rFonts w:hint="eastAsia" w:ascii="宋体" w:hAnsi="宋体" w:cs="宋体"/>
                <w:b/>
                <w:bCs/>
                <w:szCs w:val="21"/>
                <w:highlight w:val="none"/>
                <w:lang w:bidi="zh-CN"/>
              </w:rPr>
              <w:t xml:space="preserve">验收标准</w:t>
            </w:r>
            <w:r/>
          </w:p>
        </w:tc>
        <w:tc>
          <w:tcPr>
            <w:shd w:val="clear" w:color="auto" w:fill="ffffff"/>
            <w:tcW w:w="1621" w:type="pct"/>
            <w:vAlign w:val="center"/>
            <w:textDirection w:val="lrTb"/>
            <w:noWrap w:val="false"/>
          </w:tcPr>
          <w:p>
            <w:pPr>
              <w:jc w:val="center"/>
              <w:spacing w:line="360" w:lineRule="auto"/>
              <w:rPr>
                <w:rFonts w:hint="eastAsia" w:ascii="宋体" w:hAnsi="宋体" w:cs="宋体"/>
                <w:b/>
                <w:bCs/>
                <w:szCs w:val="21"/>
                <w:highlight w:val="none"/>
                <w:lang w:bidi="zh-CN"/>
              </w:rPr>
              <w:outlineLvl w:val="1"/>
            </w:pPr>
            <w:r>
              <w:rPr>
                <w:rFonts w:hint="eastAsia" w:ascii="宋体" w:hAnsi="宋体" w:cs="宋体"/>
                <w:b/>
                <w:bCs/>
                <w:szCs w:val="21"/>
                <w:highlight w:val="none"/>
                <w:lang w:bidi="zh-CN"/>
              </w:rPr>
              <w:t xml:space="preserve">退货依据</w:t>
            </w:r>
            <w:r/>
          </w:p>
        </w:tc>
      </w:tr>
      <w:tr>
        <w:trPr>
          <w:trHeight w:val="349"/>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叶菜类</w:t>
            </w:r>
            <w:r/>
          </w:p>
        </w:tc>
        <w:tc>
          <w:tcPr>
            <w:shd w:val="clear" w:color="auto" w:fill="ffffff"/>
            <w:tcW w:w="2530"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叶菜必须符合GB23200标准，外形正常，叶梗光滑幼嫩，不干瘪凋萎，无过多黄叶，色泽正常。去除根须，不含土，无虫害，大白菜、卷心菜切开心不变黑，无腐烂情形，无明显浸水现象；农药残留不超标。</w:t>
            </w:r>
            <w:r/>
          </w:p>
        </w:tc>
        <w:tc>
          <w:tcPr>
            <w:shd w:val="clear" w:color="auto" w:fill="ffffff"/>
            <w:tcW w:w="1621"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味苦，鲜度嫩度明显不佳，含黄叶须根，泥土、虫害严重，萎捏严重，浸水后仍不可恢复；农药残留超标。</w:t>
            </w:r>
            <w:r/>
          </w:p>
        </w:tc>
      </w:tr>
      <w:tr>
        <w:trPr>
          <w:trHeight w:val="600"/>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根茎类（如香芋、土豆、莴笋等）</w:t>
            </w:r>
            <w:r/>
          </w:p>
        </w:tc>
        <w:tc>
          <w:tcPr>
            <w:shd w:val="clear" w:color="auto" w:fill="ffffff"/>
            <w:tcW w:w="2530"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根茎类蔬菜必须符合GB23200标准，无虫咬、发芽、发霉现象，新鲜，形态大小与市场常规标准相当。农药残留不超标。</w:t>
            </w:r>
            <w:r/>
          </w:p>
        </w:tc>
        <w:tc>
          <w:tcPr>
            <w:shd w:val="clear" w:color="auto" w:fill="ffffff"/>
            <w:tcW w:w="1621"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发芽严重、发霉，新鲜度不佳，形态大小与市场常规标准存在较大负偏差。农药残留超标。</w:t>
            </w:r>
            <w:r/>
          </w:p>
        </w:tc>
      </w:tr>
      <w:tr>
        <w:trPr>
          <w:trHeight w:val="90"/>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花果类（如西兰花、白菜花）</w:t>
            </w:r>
            <w:r/>
          </w:p>
        </w:tc>
        <w:tc>
          <w:tcPr>
            <w:shd w:val="clear" w:color="auto" w:fill="ffffff"/>
            <w:tcW w:w="2530"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花果类蔬菜必须符合GB23200标准，无虫害，成熟度良好，新鲜固有的色泽鲜明，无发霉发黄。农药残留不超标。</w:t>
            </w:r>
            <w:r/>
          </w:p>
        </w:tc>
        <w:tc>
          <w:tcPr>
            <w:shd w:val="clear" w:color="auto" w:fill="ffffff"/>
            <w:tcW w:w="1621"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不新鲜，发霉，虫害过多。农药残留超标。</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瓜果类</w:t>
            </w:r>
            <w:r/>
          </w:p>
        </w:tc>
        <w:tc>
          <w:tcPr>
            <w:shd w:val="clear" w:color="auto" w:fill="ffffff"/>
            <w:tcW w:w="2530"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瓜果必须符合GB23200标准，外表光亮无斑点，有新鲜连接的秧，形状正常、大小均匀，无软塌，成熟度适度。无腐烂，无污染，清洁、新鲜，无异味、无病虫损害。农药残留不超标。</w:t>
            </w:r>
            <w:r/>
          </w:p>
        </w:tc>
        <w:tc>
          <w:tcPr>
            <w:shd w:val="clear" w:color="auto" w:fill="ffffff"/>
            <w:tcW w:w="1621"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不新鲜、软塌、腐烂，有异味。病虫损害严重，形状不太正常，大小不适中。农药残留超标。</w:t>
            </w:r>
            <w:r/>
          </w:p>
        </w:tc>
      </w:tr>
      <w:tr>
        <w:trPr>
          <w:trHeight w:val="935"/>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肉食类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符合鲜、冻片猪肉国家标准GB2707，冷鲜肉屠宰检验日期48小时内交付，冷冻肉剩余保存期不少于原有保质期的三分之二。猪肉、牛肉、鸡肉、鸭肉等必须具有动物检验检疫合格证明，新鲜无异味，无注水现象，并按食堂要求需进行初步加工，如切块、片、段、丝等。</w:t>
            </w:r>
            <w:r/>
          </w:p>
        </w:tc>
      </w:tr>
      <w:tr>
        <w:trPr>
          <w:trHeight w:val="935"/>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禽蛋类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鲜(冻)鸡鸭、鸡副产品等必须具有动物检验检疫合格证明，符号国家标准GB/T37108，新鲜无异味，无注水现象，并按食堂要求需进行初步加工，如切块、段等，鸡鸭类宰杀刨肚等。蛋壳清洁完整，灯光透视时整个蛋呈微红色，蛋黄不见或略有阴影，打开后蛋黄凸起完整并带有韧性，蛋白澄清透明，稀稠分明。</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水产品类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必须符合GB2733标准；外表新鲜无异味，根据采购人要求大小适中及均匀，按照采购人要求进行加工，如活鱼类现场宰杀，刨肚去鳞等。</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调味品类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包括但不限于符合白砂糖（白砂糖国家标准GB/T317）；食用盐（食用盐国家标准GB/T5461、食用盐卫生标准GB2721）；酱油（酿造酱油国家标准‌GB/T 18186、酱油卫生标准GB2717）；味精（味精卫生标准GB2720）；生粉（淀粉制品卫生标准GB2713）；绵白糖（绵白糖国家标准GB/T1445）；香醋（食醋国家标准GB/T 18187、食醋卫生标准GB2719），送达时的剩余保存期不少于原有保质期的三分之二。</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米、面、油类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大米质量要求：粳米一级国家标准GB1354；</w:t>
            </w:r>
            <w:r/>
          </w:p>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面粉质量要求：小麦粉特制一等国家标准GB/T 1355；</w:t>
            </w:r>
            <w:r/>
          </w:p>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食用油质量要求：非转基因，国家标准GB1535。</w:t>
            </w:r>
            <w:r/>
          </w:p>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送达时的剩余保存期不少于原有保质期的三分之二。</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乳制品类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酸奶（小塑杯）必须符合 GB 19302标准，并拥有“SC”食品质量安全认证；鲜奶类（巴氏奶）：必须符合GB19301标准，并拥有“SC”食品质量安全认证；乳制品类送达时的剩余保存期不少于原有保质期的三分之二，冷链运输，安全储存。</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豆制品类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包括但不限于干丝、豆腐、千张等，必须具有“SC”食品质量安全认证。</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水果类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水果必须符合GB23200系列标准，根据采购人要求大小适中及均匀,成熟度适中，品种好、口感好。</w:t>
            </w:r>
            <w:r/>
          </w:p>
        </w:tc>
      </w:tr>
    </w:tbl>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以上涉及的国家食品安全、卫生生产标准均按照最新标准执行，如在合同履行过程中出台了更新的标准，则按照最新标准执行。</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七、各类食材要求</w:t>
      </w:r>
      <w:r/>
    </w:p>
    <w:p>
      <w:pPr>
        <w:jc w:val="center"/>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食堂食材采购清单（包括但不限于以下品种）</w:t>
      </w:r>
      <w:r/>
    </w:p>
    <w:tbl>
      <w:tblPr>
        <w:tblStyle w:val="862"/>
        <w:tblW w:w="90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3"/>
        <w:gridCol w:w="972"/>
        <w:gridCol w:w="7416"/>
      </w:tblGrid>
      <w:tr>
        <w:trPr>
          <w:jc w:val="center"/>
          <w:trHeight w:val="46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序号</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品类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供应品名</w:t>
            </w:r>
            <w:r/>
          </w:p>
        </w:tc>
      </w:tr>
      <w:tr>
        <w:trPr>
          <w:jc w:val="center"/>
          <w:trHeight w:val="46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冻品类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鸡腿、鸭腿、鸡翅、鸡胸脯肉、猪手、鸡爪、鸭四件、鱼排、松鼠鱼等。</w:t>
            </w:r>
            <w:r/>
          </w:p>
        </w:tc>
      </w:tr>
      <w:tr>
        <w:trPr>
          <w:jc w:val="center"/>
          <w:trHeight w:val="1163"/>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干货类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木耳、香菇、腐竹、海带、花生米、油面筋、梅干菜、茶树菇、黄花菜、菜苔、粉丝、粉条、雪菜、酸菜、榨菜丝、皮肚、紫菜、大蒜头、笋丝等</w:t>
            </w:r>
            <w:r/>
          </w:p>
        </w:tc>
      </w:tr>
      <w:tr>
        <w:trPr>
          <w:jc w:val="center"/>
          <w:trHeight w:val="1933"/>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调味品类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李锦记生抽、老抽、耗油、白胡椒粉、黑胡椒粉、干辣椒、红辣椒、野山椒、胡椒粉、辣椒粉、黄豆酱、甜面酱、芝麻酱、叉烧酱、番茄酱、沙拉酱、料酒、白糖、淮盐、十三香、花椒、八角、桂皮、香叶、白芷、草果、小茴香、豆蔻、香油、辣油、郫县豆瓣酱、蒸鱼豉油、豆豉、味精、鸡精、生粉、红曲粉、孜然粉、面包糠、黄豆等</w:t>
            </w:r>
            <w:r/>
          </w:p>
        </w:tc>
      </w:tr>
      <w:tr>
        <w:trPr>
          <w:jc w:val="center"/>
          <w:trHeight w:val="779"/>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肉类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猪前腿肉、猪五花肉、猪精瘦肉、猪蹄、大排、仔排、猪肝、猪腰子、猪肚子、口条、肥肠、咸肉、香肠、牛前腿肉、牛后腿肉、牛腱子肉、牛肚子、牛里脊、牛腩、羊前腿肉、羊、后腿肉、羊排、猪头肉、烤鸭、盐焗鸭、五香牛肉、卤肥肠等</w:t>
            </w:r>
            <w:r/>
          </w:p>
        </w:tc>
      </w:tr>
      <w:tr>
        <w:trPr>
          <w:jc w:val="center"/>
          <w:trHeight w:val="779"/>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家禽</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仔鸡、三黄鸡、老母鸡、麻鸭、盐水鸭、烤鸭、白斩鸡、冷冻鸡腿、冷冻鸡翅、冻鸡脯、冻鸭腿、冻鸭翅根等</w:t>
            </w:r>
            <w:r/>
          </w:p>
        </w:tc>
      </w:tr>
      <w:tr>
        <w:trPr>
          <w:jc w:val="center"/>
          <w:trHeight w:val="1163"/>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水产类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对虾、鳝鱼段、鳝鱼片、鲫鱼、鳊鱼、青鱼、黑鱼、龙利鱼、带鱼、小龙虾、鲷鱼片、鱿鱼、鱿鱼片、鱿鱼须、虾仁、鲳鳊鱼、鸦片鱼、墨鱼、泥鳅、黄鳝、河蚌肉、螺蛳肉、牛蛙、青条鱼、花鲢鱼头、扒皮鱼等</w:t>
            </w:r>
            <w:r/>
          </w:p>
        </w:tc>
      </w:tr>
      <w:tr>
        <w:trPr>
          <w:jc w:val="center"/>
          <w:trHeight w:val="2702"/>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蔬菜类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青菜、芹菜、生菜、茄子、西葫芦、水芹、苋菜、黄豆芽、绿豆芽、土豆、黄瓜、大白菜、西芹、洋葱、白萝卜、青椒、红椒、小白菜、豇豆、四季豆、刀豆、包菜、花菜、荷兰豆、茼蒿、平菇、西兰花、韭菜、山药、有机花菜、菊花叶、西红柿、冬瓜、空心菜、白芹、彩椒、杭椒、胡萝卜、蘑菇、金针菇、芦笋、秋葵、香菜、芦蒿、毛豆米、板栗米、韭菜苔、韭黄、蒜黄、青蒜、菠菜、木耳菜、油麦菜、青菜苔、冬笋、春笋、茭白、藕、荸荠、青菜秧、丝瓜、姜、蒜子、蚕豆瓣等</w:t>
            </w:r>
            <w:r/>
          </w:p>
        </w:tc>
      </w:tr>
      <w:tr>
        <w:trPr>
          <w:jc w:val="center"/>
          <w:trHeight w:val="779"/>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豆制品类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豆腐、素鸡、豆腐果、内酯豆腐、老豆腐、豆腐皮、脆豆腐、百叶、臭豆腐、水面筋、香干、白干、干丝等</w:t>
            </w:r>
            <w:r/>
          </w:p>
        </w:tc>
      </w:tr>
      <w:tr>
        <w:trPr>
          <w:jc w:val="center"/>
          <w:trHeight w:val="46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水果类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lang w:eastAsia="en-US"/>
              </w:rPr>
            </w:pPr>
            <w:r>
              <w:rPr>
                <w:rFonts w:hint="eastAsia" w:asciiTheme="minorEastAsia" w:hAnsiTheme="minorEastAsia" w:eastAsiaTheme="minorEastAsia" w:cstheme="minorEastAsia"/>
                <w:spacing w:val="-1"/>
                <w:position w:val="17"/>
                <w:szCs w:val="21"/>
                <w:highlight w:val="none"/>
                <w:lang w:eastAsia="en-US"/>
              </w:rPr>
              <w:t xml:space="preserve">香蕉、桃、苹果、桔子、香梨、西瓜等</w:t>
            </w:r>
            <w:r/>
          </w:p>
        </w:tc>
      </w:tr>
      <w:tr>
        <w:trPr>
          <w:jc w:val="center"/>
          <w:trHeight w:val="46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蛋类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鸡蛋、皮蛋、咸鸭蛋等</w:t>
            </w:r>
            <w:r/>
          </w:p>
        </w:tc>
      </w:tr>
      <w:tr>
        <w:trPr>
          <w:jc w:val="center"/>
          <w:trHeight w:val="46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奶制品类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lang w:eastAsia="en-US"/>
              </w:rPr>
            </w:pPr>
            <w:r>
              <w:rPr>
                <w:rFonts w:hint="eastAsia" w:asciiTheme="minorEastAsia" w:hAnsiTheme="minorEastAsia" w:eastAsiaTheme="minorEastAsia" w:cstheme="minorEastAsia"/>
                <w:spacing w:val="-1"/>
                <w:position w:val="17"/>
                <w:szCs w:val="21"/>
                <w:highlight w:val="none"/>
                <w:lang w:eastAsia="en-US"/>
              </w:rPr>
              <w:t xml:space="preserve">纯牛奶、酸奶等</w:t>
            </w:r>
            <w:r/>
          </w:p>
        </w:tc>
      </w:tr>
      <w:tr>
        <w:trPr>
          <w:jc w:val="center"/>
          <w:trHeight w:val="46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12</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主食类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大米、面条、面粉、挂面等</w:t>
            </w:r>
            <w:r/>
          </w:p>
        </w:tc>
      </w:tr>
      <w:tr>
        <w:trPr>
          <w:jc w:val="center"/>
          <w:trHeight w:val="47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13</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油</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lang w:eastAsia="en-US"/>
              </w:rPr>
            </w:pPr>
            <w:r>
              <w:rPr>
                <w:rFonts w:hint="eastAsia" w:asciiTheme="minorEastAsia" w:hAnsiTheme="minorEastAsia" w:eastAsiaTheme="minorEastAsia" w:cstheme="minorEastAsia"/>
                <w:spacing w:val="-1"/>
                <w:position w:val="17"/>
                <w:szCs w:val="21"/>
                <w:highlight w:val="none"/>
              </w:rPr>
              <w:t xml:space="preserve">非转基因</w:t>
            </w:r>
            <w:r>
              <w:rPr>
                <w:rFonts w:hint="eastAsia" w:asciiTheme="minorEastAsia" w:hAnsiTheme="minorEastAsia" w:eastAsiaTheme="minorEastAsia" w:cstheme="minorEastAsia"/>
                <w:spacing w:val="-1"/>
                <w:position w:val="17"/>
                <w:szCs w:val="21"/>
                <w:highlight w:val="none"/>
                <w:lang w:eastAsia="en-US"/>
              </w:rPr>
              <w:t xml:space="preserve">食用油等</w:t>
            </w:r>
            <w:r/>
          </w:p>
        </w:tc>
      </w:tr>
    </w:tbl>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（一）蔬菜类、水果类</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1、蔬菜类要求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1.1一般要求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1.1.1属季节问题，若出现品种不能满足采购人需求的情况，可与采购人协商调换相应类别的品种（按叶菜、瓜菜等进行分类）。</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1.1.2蔬菜类应保持较好的色泽和新鲜度，利用率达到95%。严禁采购有害、有毒、腐烂变质、酸败、霉变、生虫、污垢不洁、混有异物或其他感官性状异常的食品。蔬菜应无损伤、腐烂现象，无寄生虫或已受虫害现象。禁止采购超过保质期限的食品。（附《蔬菜感官质量要求》）</w:t>
      </w:r>
      <w:r/>
    </w:p>
    <w:p>
      <w:pPr>
        <w:ind w:firstLine="422"/>
        <w:jc w:val="center"/>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《蔬菜感官质量要求》</w:t>
      </w:r>
      <w:r/>
    </w:p>
    <w:tbl>
      <w:tblPr>
        <w:tblStyle w:val="862"/>
        <w:tblW w:w="9091" w:type="dxa"/>
        <w:tblInd w:w="1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2578"/>
        <w:gridCol w:w="5486"/>
      </w:tblGrid>
      <w:tr>
        <w:trPr>
          <w:trHeight w:val="411"/>
        </w:trPr>
        <w:tc>
          <w:tcPr>
            <w:tcW w:w="1027" w:type="dxa"/>
            <w:textDirection w:val="lrTb"/>
            <w:noWrap w:val="false"/>
          </w:tcPr>
          <w:p>
            <w:pPr>
              <w:jc w:val="center"/>
              <w:spacing w:line="360" w:lineRule="auto"/>
              <w:rPr>
                <w:rFonts w:hint="eastAsia" w:ascii="宋体" w:hAnsi="宋体" w:cs="宋体"/>
                <w:b/>
                <w:bCs/>
                <w:szCs w:val="21"/>
                <w:highlight w:val="none"/>
                <w:lang w:eastAsia="en-US" w:bidi="zh-CN"/>
              </w:rPr>
              <w:outlineLvl w:val="1"/>
            </w:pPr>
            <w:r>
              <w:rPr>
                <w:rFonts w:hint="eastAsia" w:ascii="宋体" w:hAnsi="宋体" w:cs="宋体"/>
                <w:b/>
                <w:bCs/>
                <w:szCs w:val="21"/>
                <w:highlight w:val="none"/>
                <w:lang w:eastAsia="en-US" w:bidi="zh-CN"/>
              </w:rPr>
              <w:t xml:space="preserve">类别</w:t>
            </w:r>
            <w:r/>
          </w:p>
        </w:tc>
        <w:tc>
          <w:tcPr>
            <w:tcW w:w="2578" w:type="dxa"/>
            <w:textDirection w:val="lrTb"/>
            <w:noWrap w:val="false"/>
          </w:tcPr>
          <w:p>
            <w:pPr>
              <w:jc w:val="center"/>
              <w:spacing w:line="360" w:lineRule="auto"/>
              <w:rPr>
                <w:rFonts w:hint="eastAsia" w:ascii="宋体" w:hAnsi="宋体" w:cs="宋体"/>
                <w:b/>
                <w:bCs/>
                <w:szCs w:val="21"/>
                <w:highlight w:val="none"/>
                <w:lang w:eastAsia="en-US" w:bidi="zh-CN"/>
              </w:rPr>
              <w:outlineLvl w:val="1"/>
            </w:pPr>
            <w:r>
              <w:rPr>
                <w:rFonts w:hint="eastAsia" w:ascii="宋体" w:hAnsi="宋体" w:cs="宋体"/>
                <w:b/>
                <w:bCs/>
                <w:szCs w:val="21"/>
                <w:highlight w:val="none"/>
                <w:lang w:eastAsia="en-US" w:bidi="zh-CN"/>
              </w:rPr>
              <w:t xml:space="preserve">包含品种</w:t>
            </w:r>
            <w:r/>
          </w:p>
        </w:tc>
        <w:tc>
          <w:tcPr>
            <w:tcW w:w="5486" w:type="dxa"/>
            <w:textDirection w:val="lrTb"/>
            <w:noWrap w:val="false"/>
          </w:tcPr>
          <w:p>
            <w:pPr>
              <w:jc w:val="center"/>
              <w:spacing w:line="360" w:lineRule="auto"/>
              <w:rPr>
                <w:rFonts w:hint="eastAsia" w:ascii="宋体" w:hAnsi="宋体" w:cs="宋体"/>
                <w:b/>
                <w:bCs/>
                <w:szCs w:val="21"/>
                <w:highlight w:val="none"/>
                <w:lang w:eastAsia="en-US" w:bidi="zh-CN"/>
              </w:rPr>
              <w:outlineLvl w:val="1"/>
            </w:pPr>
            <w:r>
              <w:rPr>
                <w:rFonts w:hint="eastAsia" w:ascii="宋体" w:hAnsi="宋体" w:cs="宋体"/>
                <w:b/>
                <w:bCs/>
                <w:szCs w:val="21"/>
                <w:highlight w:val="none"/>
                <w:lang w:eastAsia="en-US" w:bidi="zh-CN"/>
              </w:rPr>
              <w:t xml:space="preserve">质量要求</w:t>
            </w:r>
            <w:r/>
          </w:p>
        </w:tc>
      </w:tr>
      <w:tr>
        <w:trPr>
          <w:trHeight w:val="2525"/>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叶菜类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白菜类、甘蓝类和绿叶菜类 的各种蔬菜</w:t>
            </w:r>
            <w:r/>
          </w:p>
        </w:tc>
        <w:tc>
          <w:tcPr>
            <w:tcW w:w="5486" w:type="dxa"/>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肉质鲜嫩，形态好，色泽正常；茎基部削平，无枯黄叶、病叶、泥土、明显机械伤和病虫害伤；无胃灼热、焦边、腐烂等现象，无抽薹（菜心除外）；结球的叶菜应结球紧实；菠菜和本地芹菜 可带根。花椰菜、青花菜属于同一品种，形状正常肉质致密、新鲜，不带叶柄，茎基部削平，无腐烂、病虫害机械伤；花椰菜花球洁白，无毛花，青花菜无托叶，可带主茎，花球青绿色，无紫花、无枯蕾现象。</w:t>
            </w:r>
            <w:r/>
          </w:p>
        </w:tc>
      </w:tr>
      <w:tr>
        <w:trPr>
          <w:trHeight w:val="761"/>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茄果类</w:t>
            </w:r>
            <w:r/>
          </w:p>
        </w:tc>
        <w:tc>
          <w:tcPr>
            <w:tcW w:w="2578"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番茄、茄子、甜椒、辣椒等</w:t>
            </w:r>
            <w:r/>
          </w:p>
        </w:tc>
        <w:tc>
          <w:tcPr>
            <w:tcW w:w="5486" w:type="dxa"/>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色鲜，果实圆整、光洁，成熟度适中，整齐，无烂果、异味病虫害 和明显机械损伤。</w:t>
            </w:r>
            <w:r/>
          </w:p>
        </w:tc>
      </w:tr>
      <w:tr>
        <w:trPr>
          <w:trHeight w:val="1113"/>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瓜类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黄瓜、瓠瓜、越瓜、丝瓜、 苦瓜、冬瓜、毛节瓜、南瓜、佛手瓜等</w:t>
            </w:r>
            <w:r/>
          </w:p>
        </w:tc>
        <w:tc>
          <w:tcPr>
            <w:tcW w:w="5486" w:type="dxa"/>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形状、色泽一致，瓜条均匀，无疤点，无断裂，不带泥土，无畸形瓜、病虫害瓜、烂瓜，无明显机械伤。</w:t>
            </w:r>
            <w:r/>
          </w:p>
        </w:tc>
      </w:tr>
      <w:tr>
        <w:trPr>
          <w:trHeight w:val="854"/>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根菜类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萝卜、胡萝卜、大头菜、芜菁甘蓝等</w:t>
            </w:r>
            <w:r/>
          </w:p>
        </w:tc>
        <w:tc>
          <w:tcPr>
            <w:tcW w:w="5486" w:type="dxa"/>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皮细光滑，色泽良好，大小均匀，肉质脆嫩致密。新鲜，无 畸形、裂痕、糠心、病虫害斑，不带泥沙，不带茎叶、须根。</w:t>
            </w:r>
            <w:r/>
          </w:p>
        </w:tc>
      </w:tr>
      <w:tr>
        <w:trPr>
          <w:trHeight w:val="854"/>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薯芋类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马铃薯、薯蓣、芋、姜、豆 薯等</w:t>
            </w:r>
            <w:r/>
          </w:p>
        </w:tc>
        <w:tc>
          <w:tcPr>
            <w:tcW w:w="5486" w:type="dxa"/>
            <w:vAlign w:val="center"/>
            <w:textDirection w:val="lrTb"/>
            <w:noWrap w:val="false"/>
          </w:tcPr>
          <w:p>
            <w:pPr>
              <w:pStyle w:val="1216"/>
              <w:jc w:val="left"/>
              <w:spacing w:line="360" w:lineRule="auto"/>
              <w:rPr>
                <w:rFonts w:hint="eastAsia" w:ascii="宋体" w:hAnsi="宋体" w:cs="宋体"/>
                <w:sz w:val="21"/>
                <w:szCs w:val="21"/>
                <w:highlight w:val="none"/>
                <w:lang w:eastAsia="zh-CN" w:bidi="zh-CN"/>
              </w:rPr>
            </w:pPr>
            <w:r>
              <w:rPr>
                <w:rFonts w:hint="eastAsia" w:ascii="宋体" w:hAnsi="宋体" w:cs="宋体"/>
                <w:sz w:val="21"/>
                <w:szCs w:val="21"/>
                <w:highlight w:val="none"/>
                <w:lang w:eastAsia="zh-CN" w:bidi="zh-CN"/>
              </w:rPr>
              <w:t xml:space="preserve">色泽一致，不带泥沙，不带茎叶、须根，无机械和病虫害斑 无腐烂、干瘪。马铃薯皮不能变绿色。</w:t>
            </w:r>
            <w:r/>
          </w:p>
        </w:tc>
      </w:tr>
      <w:tr>
        <w:trPr>
          <w:trHeight w:val="854"/>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葱蒜类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大葱、分葱、四季葱等</w:t>
            </w:r>
            <w:r/>
          </w:p>
        </w:tc>
        <w:tc>
          <w:tcPr>
            <w:tcW w:w="5486" w:type="dxa"/>
            <w:vAlign w:val="center"/>
            <w:textDirection w:val="lrTb"/>
            <w:noWrap w:val="false"/>
          </w:tcPr>
          <w:p>
            <w:pPr>
              <w:pStyle w:val="1216"/>
              <w:jc w:val="left"/>
              <w:spacing w:line="360" w:lineRule="auto"/>
              <w:rPr>
                <w:rFonts w:hint="eastAsia" w:ascii="宋体" w:hAnsi="宋体" w:cs="宋体"/>
                <w:sz w:val="21"/>
                <w:szCs w:val="21"/>
                <w:highlight w:val="none"/>
                <w:lang w:eastAsia="zh-CN" w:bidi="zh-CN"/>
              </w:rPr>
            </w:pPr>
            <w:r>
              <w:rPr>
                <w:rFonts w:hint="eastAsia" w:ascii="宋体" w:hAnsi="宋体" w:cs="宋体"/>
                <w:sz w:val="21"/>
                <w:szCs w:val="21"/>
                <w:highlight w:val="none"/>
                <w:lang w:eastAsia="zh-CN" w:bidi="zh-CN"/>
              </w:rPr>
              <w:t xml:space="preserve">允许葱和大蒜的青蒜保留干净须根，去老叶，韭菜去根去老叶，蒜头、洋葱要去枯叶；可食部分质地细嫩，不带泥沙杂质，无病虫害斑。</w:t>
            </w:r>
            <w:r/>
          </w:p>
        </w:tc>
      </w:tr>
      <w:tr>
        <w:trPr>
          <w:trHeight w:val="854"/>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豆类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eastAsia="en-US" w:bidi="zh-CN"/>
              </w:rPr>
              <w:t xml:space="preserve">豇豆、菜豆、豌豆、蚕豆、 刀豆、毛豆、扁豆等</w:t>
            </w:r>
            <w:r/>
          </w:p>
        </w:tc>
        <w:tc>
          <w:tcPr>
            <w:tcW w:w="5486" w:type="dxa"/>
            <w:vAlign w:val="center"/>
            <w:textDirection w:val="lrTb"/>
            <w:noWrap w:val="false"/>
          </w:tcPr>
          <w:p>
            <w:pPr>
              <w:pStyle w:val="1216"/>
              <w:jc w:val="left"/>
              <w:spacing w:line="360" w:lineRule="auto"/>
              <w:rPr>
                <w:rFonts w:hint="eastAsia" w:ascii="宋体" w:hAnsi="宋体" w:cs="宋体"/>
                <w:sz w:val="21"/>
                <w:szCs w:val="21"/>
                <w:highlight w:val="none"/>
                <w:lang w:eastAsia="zh-CN" w:bidi="zh-CN"/>
              </w:rPr>
            </w:pPr>
            <w:r>
              <w:rPr>
                <w:rFonts w:hint="eastAsia" w:ascii="宋体" w:hAnsi="宋体" w:cs="宋体"/>
                <w:sz w:val="21"/>
                <w:szCs w:val="21"/>
                <w:highlight w:val="none"/>
                <w:lang w:eastAsia="zh-CN" w:bidi="zh-CN"/>
              </w:rPr>
              <w:t xml:space="preserve">形态完整，成熟度适中，无病虫害斑。食荚类：豆荚新鲜幼嫩，均匀。食豆仁类：籽粒饱满较均匀，无发芽。不带泥土 杂质。</w:t>
            </w:r>
            <w:r/>
          </w:p>
        </w:tc>
      </w:tr>
      <w:tr>
        <w:trPr>
          <w:trHeight w:val="854"/>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水生类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茭白、藕、荸荠、慈菇、菱 角等</w:t>
            </w:r>
            <w:r/>
          </w:p>
        </w:tc>
        <w:tc>
          <w:tcPr>
            <w:tcW w:w="5486" w:type="dxa"/>
            <w:vAlign w:val="center"/>
            <w:textDirection w:val="lrTb"/>
            <w:noWrap w:val="false"/>
          </w:tcPr>
          <w:p>
            <w:pPr>
              <w:pStyle w:val="1216"/>
              <w:jc w:val="left"/>
              <w:spacing w:line="360" w:lineRule="auto"/>
              <w:rPr>
                <w:rFonts w:hint="eastAsia" w:ascii="宋体" w:hAnsi="宋体" w:cs="宋体"/>
                <w:sz w:val="21"/>
                <w:szCs w:val="21"/>
                <w:highlight w:val="none"/>
                <w:lang w:eastAsia="zh-CN" w:bidi="zh-CN"/>
              </w:rPr>
            </w:pPr>
            <w:r>
              <w:rPr>
                <w:rFonts w:hint="eastAsia" w:ascii="宋体" w:hAnsi="宋体" w:cs="宋体"/>
                <w:sz w:val="21"/>
                <w:szCs w:val="21"/>
                <w:highlight w:val="none"/>
                <w:lang w:eastAsia="zh-CN" w:bidi="zh-CN"/>
              </w:rPr>
              <w:t xml:space="preserve">属同一品种规格，肉质鲜嫩，成熟度适中，无泥土、杂质、机械伤，不干瘪，不腐烂霉变，茭白不黑心。</w:t>
            </w:r>
            <w:r/>
          </w:p>
        </w:tc>
      </w:tr>
      <w:tr>
        <w:trPr>
          <w:trHeight w:val="854"/>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多年生类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竹笋、黄花菜、芦笋等</w:t>
            </w:r>
            <w:r/>
          </w:p>
        </w:tc>
        <w:tc>
          <w:tcPr>
            <w:tcW w:w="5486" w:type="dxa"/>
            <w:vAlign w:val="center"/>
            <w:textDirection w:val="lrTb"/>
            <w:noWrap w:val="false"/>
          </w:tcPr>
          <w:p>
            <w:pPr>
              <w:pStyle w:val="1216"/>
              <w:jc w:val="left"/>
              <w:spacing w:line="360" w:lineRule="auto"/>
              <w:rPr>
                <w:rFonts w:hint="eastAsia" w:ascii="宋体" w:hAnsi="宋体" w:cs="宋体"/>
                <w:sz w:val="21"/>
                <w:szCs w:val="21"/>
                <w:highlight w:val="none"/>
                <w:lang w:eastAsia="zh-CN" w:bidi="zh-CN"/>
              </w:rPr>
            </w:pPr>
            <w:r>
              <w:rPr>
                <w:rFonts w:hint="eastAsia" w:ascii="宋体" w:hAnsi="宋体" w:cs="宋体"/>
                <w:sz w:val="21"/>
                <w:szCs w:val="21"/>
                <w:highlight w:val="none"/>
                <w:lang w:eastAsia="zh-CN" w:bidi="zh-CN"/>
              </w:rPr>
              <w:t xml:space="preserve">属同一品种规格，幼嫩，无病虫害斑，无明显机械伤。</w:t>
            </w:r>
            <w:r/>
          </w:p>
        </w:tc>
      </w:tr>
    </w:tbl>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1.2蔬菜包装与标志要求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1.2.1包装：容器（框、箱、袋）要求清洁、干燥、牢固、透气，无污染、无异味、无霉变现象；</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1.2.2标志：每件包装必须按《农产品包装和标识管理办法》贴标签，并标明农产品的品名、生产地、生产者或者销售者名称。</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1.2.3食品供应链要求：所有食品的来源必须清晰。蔬菜来源应当于受到地方政府部门监管的自有基地、商品菜基地或蔬菜专业流通市场，严禁收购散户农民的蔬菜供应。</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1.2.4运输要求：运输工具应清洁卫生无污染，食品运输必须采用符合卫生标准的外包装和运载工具，并且要保持清洁和定期消毒。运输车厢的内舱，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1.2.5蔬菜卫生质量要求：卫生质量指标，应符合卫生指标规定。</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1.2.6投标人所供蔬菜符合上述质量要求及农药残留不超过国家限量标准，若不符合，愿意接受退货处理并承担违约责任。</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2、水果类要求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水果的品种（包括但不仅限于以下品种）：苹果、橙子、柑、石榴、杨桃、香蕉、圣女果、哈密瓜、西瓜、木瓜、提子、水晶梨、香梨、砂糖橘、金桔、沙田柚、奇异果、火龙果等，具体提供的品种顺应季节变化。</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2.2质量要求：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2.2.1水果供应链要求：所有水果的来源必须清晰。</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2.2.2所提供的水果应当色泽光鲜、水润饱满、无腐烂，果品表面清洁新鲜，无病虫害和机械损伤，带有芳香味。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2.2.3中标人所提供的果品应符合国家规定的果品要求。应是优质、洁净，其品质、营养价值和卫生安全指标应严格符合国家的规定及相关食品卫生标准。</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2.2.4投标人所供水果符合质量要求及农药残留不超过国家限量标准，若不符合，愿意接受退货处理并承担违约责任。</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（二）水产、冰鲜鱼类</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1、水产、冰鲜鱼类要求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1.1水产类健康，体态匀称，游动活泼，体色鲜明，体表光滑，眼睛亮丽，鳞片鳍条完好。</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1.2冰鲜鱼类应符合国家相关标准，有鱼类自然的气味，没有异味。</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（三）鲜肉、腊肉、家禽类</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1、鲜肉要求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所供货物应保持较好的外观和质量等级，符合国家标准，保证无异味、无变质，肉类保证来源于正规肉联厂，供货时应提交肉联厂的验收单及当批次有效的动物检疫合格证明，鲜肉确保每日新鲜、无异味。</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2、腊肉、腊肠要求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2.1腊肉：符合国家标准，良质腊肉色泽鲜明，肌肉暗红色，脂肪透明呈乳白色，肉干燥结实，带有特有的蜡式香味；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2.2腊肠：符合国家标准，品质好的腊肠是肠衣干燥，不发霉，无黏液，肠衣与肉馅紧密连在一起，表面紧而有弹性，色泽均匀，肥肉色白，瘦肉色红，无灰色斑点，气味芳香。</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3、家禽要求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新鲜光禽：光禽是指经宰杀去毛以后的鸡、鸭、鹅等禽类，主要根据以下几方面来判别：</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3.1喙有光泽、干燥、无黏液；</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3.2口腔：新鲜的光禽口腔黏膜呈淡玫瑰色，有光泽、洁净、无异味；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3.3新鲜的光禽眼睛明亮，充满整个眼窝；</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3.4皮肤：新鲜的光禽皮肤上毛孔隆起，表面干燥而紧缩，呈乳白色或淡黄色，稍带微红，无异味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3.5脂肪：新鲜的光禽脂肪呈淡黄色或黄色，有光泽，无异味；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3.6肌肉：新鲜光禽肌肉结实，有弹性，有光泽，颈、腿部肌肉呈玫瑰红色变质的光禽肌肉松弛，湿润发黏，色变暗红，有明显腐败气味；</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注：所有新鲜肉类、禽类不得使用冷冻产品。</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（四）粮油、干货副食品和调味品类</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lang w:bidi="zh-CN"/>
        </w:rPr>
        <w:t xml:space="preserve">1、产品要求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所有包装类食品需提供：生产（供应）企业的《营业执照》《食品经营许可证》《食品生产许可证》。</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1.1副食品要求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1.1.1副食品的质量基本标准要求符合国家行业标准，干爽、不霉烂、整齐、均匀、完整、无虫蛀、无杂质，保持应有的色泽。确保产品质量稳定，保证营养丰富、绿色安全、海味浓郁、易存放、食用方便，保质期长。从加工、包装、运输、贮存到销售全部符合国家规定标准。采购人可根据实际情况对需要的副食品进行品质抽检，对质量未达到国家标准的副食品采购人有权拒绝接收。</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1.1.2所有副食品调味料均为正规知名厂家生产，包装完整，标明商品名称、规格、生产商、产地、生产日期、保质期或保存期。</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1.2大米要求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1.2.1米类执行标准：GB/T1354大米，不含添加剂。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1.2.2标明加工厂名称、品名、生产日期、保质期或保存期，供货时的剩余保质期不少于三分之二，质量等级、产品标准号、产品合格证，质量符合米类执行标准。</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1.2.3具有固有色泽和香味，无污染、无虫害，色泽、气味、口味正常，无异味或霉味（霉变），无虫蛀结块挂丝或杂质异常，符合国家粮食卫生标准。</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1.3食用油（不含转基因成分的食用油）</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1.3.1基本要求：外包装完好，标明品名、厂名、重量、生产日期、保质期或保存期、执行标准，具有产品合格证。具有正常植物油的色泽、透明度、气味和滋味，无焦臭、酸败及其他异味；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1.3.2食用油生产企业的资质证明（首次供应时提供）：《营业执照》《食品经营许可证》《全国工业产品生产许可证》；</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1.3.3气味、滋味：具有固有的气味和滋味，无异味；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1.3.4加热试验（280℃）油色不得变深，无析出物；</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1.3.5不得混有其他食用油或非食用油；</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1.3.6卫生标准和动植物检疫项目，按照国家规定执行；</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1.3.7执行标准：油类执行现行国家标准。</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2、货物质量要求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2.1酱油：不混浊，无正常视力可见外来异物，无霉花浮膜。</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2.2味精：色至白色结晶或粉末，具有特殊的鲜味，无异味，无肉眼可见杂质。</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2.3食醋：有正常食醋的色泽、气味和滋味，不涩，无其他不良气味与异味，无浮物，不浑浊，无沉淀，无异物，无醋鳗、醋虱。</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2.4酱腌菜：有酱腌菜固有的色、香、味，无杂质，无其他不良气味，不得有霉斑白膜。</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2.5酱类食品：有正常酿造酱的色泽、气味和滋味，不涩，无其他不良气味，不得有酸、苦、焦煳及其它异味、异物。</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2.6淀粉制品：有各自品种固有的形态和色泽，不酸、不粘、不发霉，无变质，无异味，无杂质，口尝无砂质。</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2.7食盐：晶体整齐一致，坚硬光滑，呈透明或半透明，不结块，无反卤吸潮现象，无杂质，蘸取少许尝试具有纯正的咸味。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2.8鸡蛋：壳清洁完整，色泽鲜明，无破损、裂纹，无霉斑，灯光透视时，整个蛋呈桔黄色至橙红色，蛋黄不见或略见阴影，没有霉味、酸味，臭味等不良气味，打开后蛋黄凸起、完整、有韧性，蛋白澄清、透明、稀稠分明，无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2.9皮蛋：表泥状包料完整、无霉斑，包料除掉后蛋壳亦完整无损，灯光透照蛋内容物凝固不动，打开观察，整个蛋凝固、不粘壳、清洁而有弹性，呈半透明的棕黄色，闻起来有芳香，无辛辣气。</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2.10咸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2.11面粉：泽呈白色或微黄色，不发暗，无杂质的颜色，呈细粉末状，不含杂质，手指捻捏时无粗粒感，无虫子和结块，置于手中紧捏后放开不成团，具有面粉的正常气味，无其他异味。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2.12豆腐：腐呈均匀的乳白色或淡黄色，稍有光泽，块形完整，软硬适度，富有一定的弹性，质地细嫩，结构均匀，无杂质，具有豆腐特有的香味，取样品尝时口感细腻鲜嫩，味道纯正清香。</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2.13油炸豆卜：金黄色或棕黄色，色彩鲜艳而有光泽，块形整齐，有弹性，皮脆，内质量蜂窝状，不粘不散，无杂质，具有豆腐泡特有的清香风味，无其他任何不良气味，取样品细细咀嚼，外皮酥脆适口，泡内软嫩，咸香适度，具有豆腐泡固有的滋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2.14腐竹：枝条或片叶状，质脆易折，条状折断有空心，无霉斑、杂质、虫蛀。呈淡黄色，有光泽。具有腐竹固有的香味，无其他任何异味，取样品尝其滋味，具有腐竹固有的鲜香滋味。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2.15腐乳：腐乳表面呈红色或枣红色，内部呈杏黄色，色泽鲜艳，有光泽。白腐乳外表呈乳黄色。块形整齐均匀，质地细腻，无霉斑、霉变及杂质。具有各品种的腐乳特有的香味或特征气味，无任何其他异味，滋味鲜美，咸淡适口，无任何其他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2.16黄豆：豆皮色呈各种大豆固有的颜色，光彩油亮，洁净而有光泽，颗粒饱满，整齐均匀，无虫蛀粒，无杂质，无霉变。</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2.17花生：荚呈土黄色或白色，果仁呈各不同品种所特有的颜色，色泽分布均匀一致，带荚花生和去荚果仁均颗粒饱满、形态完整、大小均匀，叶子肥厚而有光泽，无杂质，具有花生特有的气味、香味，无任何异味，无霉变。</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2.18食糖：糖根据经营习惯分为白糖、红糖、冰糖等。</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2.18.1白糖的感官鉴别：色泽洁白明亮，有光泽，具有白糖的正常气味，无酸味、酒味或其他外来气味。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2.18.2白砂糖：颗粒大如砂粒，晶粒均匀整齐，晶面明显，无碎末，糖质坚硬。绵白糖：颗粒细小而均匀，质地绵软、潮润。</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2.18.3冰糖：块形完整，颗粒均匀，结晶组织严密，透明或半透明，无破碎。</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注：凡是白糖都应干燥，晶粒松散，不粘手，不结块，无肉眼可见的杂质，白糖的水溶液应清晰透明无杂质。</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2.19辛辣料：辛辣料是采用植物果实和种子粉碎而配制成的天然植物香料，如五香粉、胡椒粉、花椒粉、咖喱粉、芥末粉等，辛辣料的主要原料有八角、花椒、胡椒、桂皮、小茴香、大茴香、辣椒、孜然等。辛辣料呈干燥状，具有该种香料植物所特有的色、香、味，没有不纯正的气味和味道，无发霉味或其他异味。</w:t>
      </w:r>
      <w:r/>
    </w:p>
    <w:p>
      <w:pPr>
        <w:ind w:firstLine="48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商务要求</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八、投标报价</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投标报价应包括投标人将货物运送至采购人指定交货地点的所有费用，包括但不限于货物成本、利润、税金、运输费、高速通行费、装卸费、保险费等及相关服务费用。请投标人认真测算，项目实施过程中所需一切费用应在投标报价时一并考虑。项目实施过程中不再变更任何费用。</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2.投标报价要求明折明扣，即各项优惠均应在报价中体现，不接受实物或非实物性的反馈折让。</w:t>
      </w:r>
      <w:r/>
    </w:p>
    <w:p>
      <w:pPr>
        <w:ind w:firstLine="420"/>
        <w:spacing w:line="360" w:lineRule="auto"/>
        <w:rPr>
          <w:rFonts w:hint="eastAsia" w:ascii="宋体" w:hAnsi="宋体" w:cs="宋体"/>
          <w:b/>
          <w:bCs/>
          <w:szCs w:val="21"/>
          <w:highlight w:val="none"/>
          <w:lang w:bidi="zh-CN"/>
        </w:rPr>
      </w:pPr>
      <w:r>
        <w:rPr>
          <w:rFonts w:hint="eastAsia" w:ascii="宋体" w:hAnsi="宋体" w:cs="宋体"/>
          <w:szCs w:val="21"/>
          <w:highlight w:val="none"/>
          <w:lang w:bidi="zh-CN"/>
        </w:rPr>
        <w:t xml:space="preserve">3.投标报价方式：所有食材品类以采购人及各采购包中标人双方共同在每供应月中期在科巷菜场的询价结果的算术平均数作为价格基准依据，进行优惠率报价。</w:t>
      </w:r>
      <w:r>
        <w:rPr>
          <w:rFonts w:hint="eastAsia" w:ascii="宋体" w:hAnsi="宋体" w:cs="宋体"/>
          <w:b/>
          <w:bCs/>
          <w:szCs w:val="21"/>
          <w:highlight w:val="none"/>
          <w:lang w:bidi="zh-CN"/>
        </w:rPr>
        <w:t xml:space="preserve">若投标人填报的投标优惠率为20%，价格基准依据为10元/斤，则中标人结算金额为10×（1-20%）=8元/斤。</w:t>
      </w:r>
      <w:r/>
    </w:p>
    <w:p>
      <w:pPr>
        <w:ind w:firstLine="422"/>
        <w:jc w:val="left"/>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注：本项目投标人最终仅需提交一个报价优惠率，采购需求文件中列明的全部服务内容，均适用该报价优惠率进行结算。</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九、履约保证金</w:t>
      </w:r>
      <w:r/>
    </w:p>
    <w:p>
      <w:pPr>
        <w:ind w:firstLine="420"/>
        <w:jc w:val="left"/>
        <w:spacing w:line="360" w:lineRule="auto"/>
        <w:rPr>
          <w:highlight w:val="none"/>
        </w:rPr>
      </w:pPr>
      <w:r>
        <w:rPr>
          <w:highlight w:val="none"/>
        </w:rPr>
        <w:t xml:space="preserve">双方约定履约保证金金额为20000元（大写：人民币贰万元整），中标人须在签订合同前提交由金融机构、担保机构出具的履约保函。保函有效期至项目服务期满，该履约保函作为中标人严格履行本合同的担保。在规定时间内，中标人无法提交履约保函或履约保函内容不符合招标文件约定的，视为中标人拒绝与采购人签订合同。在合同履行期间，中标人没有出现招标文件及合同规定的违约情形，履约保函至有效期满后自动失效。</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十、付款方式</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1.付款条件</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本项目按月结算，当供应月食材供应完毕后十日内，由中标人向采购人自行提出书面申请，并提供加盖中标人公章的以下相关资料：中标人每月提供经采购人及中标人双方相关人员签字的供货清单（包括但不限于供应的具体食材、数量等信息）及价格依据（包括但不限于经双方核实的基准价、投标优惠率、结算价格等信息）。</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1.2书面申请及相关材料经采购人核实后，根据采购人履约评价后确认的金额开具发票，付款资料审核通过后，以转账方式向中标人支付相关费用。</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1.3因中标人书面申请延误提交相关材料的，自行承担责任。</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每供应月中期，经采购人通知，采购人及各采购包中标人双方共同在科巷菜场对所供应食材进行询价。如中标人未按时到达现场，视为默认同意相关询价结果。如遇科巷菜场中未售卖的品种食材，各采购包中标人可与采购人协商确定相关品种食材的价格基准价，最终实际结算金额为价格基准价*投标优惠率。</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中标人每月结算食材价款时须严格按照优惠后进行计算申报，其提供的所有结算资料均须真实有效、准确详实、有迹可循，如经采购人发现弄虚作假，一经查实，采购人有权终止合同，并依法追究中标人的经济和法律责任。</w:t>
      </w:r>
      <w:r/>
    </w:p>
    <w:p>
      <w:pPr>
        <w:pStyle w:val="910"/>
        <w:rPr>
          <w:rFonts w:hint="eastAsia" w:cs="宋体"/>
          <w:szCs w:val="21"/>
          <w:highlight w:val="none"/>
          <w:lang w:bidi="zh-CN"/>
        </w:rPr>
      </w:pPr>
      <w:r>
        <w:rPr>
          <w:rFonts w:hint="eastAsia" w:cs="宋体"/>
          <w:szCs w:val="21"/>
          <w:highlight w:val="none"/>
          <w:lang w:bidi="zh-CN"/>
        </w:rPr>
        <w:t xml:space="preserve">4.其他说明</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（1）若中标人无正当理由拒不参与现场询价，采购人可单独组织询价，询价结果对中标人具有约束力；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（2）询价应当选取同类、同等品质规格的食材，询价记录形成书面记录，双方签字留存，作为结算依据；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（3）科巷菜场询价结果需收集标明时间的菜价照片作为存档证据。采购人不定期对中标人提供的市场调查价格进行抽查，对中标人提供的市场调查价格进行复核。</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十一、履约评价</w:t>
      </w:r>
      <w:r/>
    </w:p>
    <w:p>
      <w:pPr>
        <w:rPr>
          <w:rFonts w:hint="eastAsia" w:ascii="宋体" w:hAnsi="宋体" w:cs="宋体"/>
          <w:b/>
          <w:bCs/>
          <w:sz w:val="24"/>
          <w:highlight w:val="none"/>
          <w:lang w:bidi="zh-CN"/>
        </w:rPr>
      </w:pPr>
      <w:r>
        <w:rPr>
          <w:rFonts w:hint="eastAsia" w:ascii="宋体" w:hAnsi="宋体" w:cs="宋体"/>
          <w:b/>
          <w:bCs/>
          <w:sz w:val="24"/>
          <w:highlight w:val="none"/>
          <w:lang w:bidi="zh-CN"/>
        </w:rPr>
        <w:br w:type="page" w:clear="all"/>
      </w:r>
      <w:r/>
    </w:p>
    <w:p>
      <w:pPr>
        <w:ind w:firstLine="482"/>
        <w:jc w:val="center"/>
        <w:spacing w:line="360" w:lineRule="auto"/>
        <w:rPr>
          <w:rFonts w:hint="eastAsia" w:ascii="宋体" w:hAnsi="宋体" w:cs="宋体"/>
          <w:b/>
          <w:bCs/>
          <w:sz w:val="24"/>
          <w:highlight w:val="none"/>
          <w:lang w:bidi="zh-CN"/>
        </w:rPr>
      </w:pPr>
      <w:r>
        <w:rPr>
          <w:rFonts w:hint="eastAsia" w:ascii="宋体" w:hAnsi="宋体" w:cs="宋体"/>
          <w:b/>
          <w:bCs/>
          <w:sz w:val="24"/>
          <w:highlight w:val="none"/>
          <w:lang w:bidi="zh-CN"/>
        </w:rPr>
        <w:t xml:space="preserve">南京市公共交通和城市轨道公安局食堂食材采购供应商管理考核办法</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总则：</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为保障食堂食材供给，维护供需双方合法权益，保证供需合同的履行，制定《南京市公共交通和城市轨道公安局机关食堂食材采购供应商管理考核办法》。</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本管理办法适用于南京市公共交通和城市轨道公安局机关食堂食材采购中标人。</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一、供应商的日常管理</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供应商的日常管理由南京市公共交通和城市轨道公安局食堂食材供应商考核管理小组负责日常管理。日常管理的重点内容包括：</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1、配送要求：供应商必须严格按照订单数量和品种进行供货，无特殊情况，必须按约定的时间送达指定的收货地点。</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2、来料验收：验收环节严格执行三方验收制度，即采购方、使用方、供货方三方到场方能进行来料验收。对验收中出现的问题由采购方、使用方人员进行现场考核记录。</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3、价格管理：供应商必须按照招标议定价格进行供货，在未经采购人同意情况下，严禁随意变动中标产品的供货价格。</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4、供应商考核：供应商的日常考核由伙食原料供应商考核管理小组综合考核（内容包括质量、安全、服务等），伙食原料供应商考核管理小组每月填写《供货验收日常追踪考核表》 (见附件)，由采购方、使用方、供货商三方签字，月末采购人汇总考核情况。（供货验收（使用）日常考核表、供应商整改通知单附件附后。）</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二、违约责任</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除不可抗力（如洪水、地震、火灾、风暴等自然灾害及战争、动乱、政府行为等社会事件）或甲方原因外，乙方出现以下违约情形，第一次给予警告并发送整改通知单要求改进，其后还将视违约情节轻重给予扣除履约保证金100元—1000元的处理：</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（1）乙方供应产品在验收或使用过程中发现一般质量问题（如夹杂异物较多，以次 充好，有轻微异味、缺斤少两、蔬菜黄叶或腐烂较多、含水量过高、规格不符等），但能及时退还或补足，未影响甲方食堂正常供应的；</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（2）乙方未能按照甲方要求的规格、数量、时间、地点送货到位（含临时送货要求），但未影响甲方食堂正常供应的；</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（3）乙方提供的食品索证材料虚假或不齐全，但事后能及时提供真实有效、齐全的索证材料的。</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2.除不可抗力或甲方原因外，乙方出现以下较重违约情形，给予警告并发送整改通知单要求改进，扣除履约保证金 500-3000 元、承担甲方另行采购所有费用（包括货款、人工、运费等）的处理：</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（1）乙方未及时送货或无故停止送货（含临时送货要求），影响甲方食堂正常供应，迫使甲方另行采购，给甲方造成不良影响和经济损失的；</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（2）乙方不能提供真实有效、齐全的食品索证材料，影响甲方食堂正常供应，迫使甲方另行采购的；</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（3）乙方在合同供货有效期内违反产品质量和安全保证及售后服务承诺的，应向甲方偿付履约保证金，并赔偿甲方由此造成的一切损失。</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三、考核结果应用</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食堂管理人员根据月度考核结果，对供应商实行相应经济和扣分考核：月度考核90分以上为良好；80分至90分之间甲方将给予警告、整改通知，警告、整改通知累计超过3次以上的甲方有权终止合同。月度考核得分低于80分的供应商，甲方有权终止合同。</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r>
      <w:r/>
    </w:p>
    <w:p>
      <w:pPr>
        <w:ind w:firstLine="420"/>
        <w:jc w:val="righ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南京市公共交通和城市轨道公安局</w:t>
      </w:r>
      <w:r/>
    </w:p>
    <w:p>
      <w:pPr>
        <w:ind w:firstLine="420"/>
        <w:jc w:val="righ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  年  月  日</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rPr>
        <w:t xml:space="preserve">十二、</w:t>
      </w:r>
      <w:r>
        <w:rPr>
          <w:rFonts w:hint="eastAsia" w:ascii="宋体" w:hAnsi="宋体" w:cs="宋体"/>
          <w:b/>
          <w:bCs/>
          <w:szCs w:val="21"/>
          <w:highlight w:val="none"/>
          <w:lang w:bidi="zh-CN"/>
        </w:rPr>
        <w:t xml:space="preserve">结算方式</w:t>
      </w:r>
      <w:r/>
    </w:p>
    <w:p>
      <w:pPr>
        <w:ind w:firstLine="420"/>
        <w:spacing w:line="360" w:lineRule="auto"/>
        <w:rPr>
          <w:rFonts w:hint="eastAsia" w:ascii="宋体" w:hAnsi="宋体" w:cs="宋体"/>
          <w:szCs w:val="21"/>
          <w:highlight w:val="none"/>
          <w:lang w:val="zh-CN" w:bidi="zh-CN"/>
        </w:rPr>
      </w:pPr>
      <w:r>
        <w:rPr>
          <w:rFonts w:hint="eastAsia" w:ascii="宋体" w:hAnsi="宋体" w:cs="宋体"/>
          <w:szCs w:val="21"/>
          <w:highlight w:val="none"/>
          <w:lang w:bidi="zh-CN"/>
        </w:rPr>
        <w:t xml:space="preserve">1.</w:t>
      </w:r>
      <w:r>
        <w:rPr>
          <w:rFonts w:hint="eastAsia" w:ascii="宋体" w:hAnsi="宋体" w:cs="宋体"/>
          <w:szCs w:val="21"/>
          <w:highlight w:val="none"/>
          <w:lang w:val="zh-CN" w:bidi="zh-CN"/>
        </w:rPr>
        <w:t xml:space="preserve">各项食材结算数量以</w:t>
      </w:r>
      <w:r>
        <w:rPr>
          <w:rFonts w:hint="eastAsia" w:ascii="宋体" w:hAnsi="宋体" w:cs="宋体"/>
          <w:szCs w:val="21"/>
          <w:highlight w:val="none"/>
          <w:lang w:bidi="zh-CN"/>
        </w:rPr>
        <w:t xml:space="preserve">采购人</w:t>
      </w:r>
      <w:r>
        <w:rPr>
          <w:rFonts w:hint="eastAsia" w:ascii="宋体" w:hAnsi="宋体" w:cs="宋体"/>
          <w:szCs w:val="21"/>
          <w:highlight w:val="none"/>
          <w:lang w:val="zh-CN" w:bidi="zh-CN"/>
        </w:rPr>
        <w:t xml:space="preserve">签收的供货清单为准，供货清单须</w:t>
      </w:r>
      <w:r>
        <w:rPr>
          <w:rFonts w:hint="eastAsia" w:ascii="宋体" w:hAnsi="宋体" w:cs="宋体"/>
          <w:szCs w:val="21"/>
          <w:highlight w:val="none"/>
          <w:lang w:bidi="zh-CN"/>
        </w:rPr>
        <w:t xml:space="preserve">采购人相关部门代表</w:t>
      </w:r>
      <w:r>
        <w:rPr>
          <w:rFonts w:hint="eastAsia" w:ascii="宋体" w:hAnsi="宋体" w:cs="宋体"/>
          <w:szCs w:val="21"/>
          <w:highlight w:val="none"/>
          <w:lang w:val="zh-CN" w:bidi="zh-CN"/>
        </w:rPr>
        <w:t xml:space="preserve">及</w:t>
      </w:r>
      <w:r>
        <w:rPr>
          <w:rFonts w:hint="eastAsia" w:ascii="宋体" w:hAnsi="宋体" w:cs="宋体"/>
          <w:szCs w:val="21"/>
          <w:highlight w:val="none"/>
          <w:lang w:bidi="zh-CN"/>
        </w:rPr>
        <w:t xml:space="preserve">中标人代表</w:t>
      </w:r>
      <w:r>
        <w:rPr>
          <w:rFonts w:hint="eastAsia" w:ascii="宋体" w:hAnsi="宋体" w:cs="宋体"/>
          <w:szCs w:val="21"/>
          <w:highlight w:val="none"/>
          <w:lang w:val="zh-CN" w:bidi="zh-CN"/>
        </w:rPr>
        <w:t xml:space="preserve">双方签字。</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若投标人填报的投标优惠率为20%，价格基准依据为10元/斤，则中标人结算金额为10×（1-20%）=8元/斤。</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2.采购人对全年的合同总额不作保底承诺。</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十三、其他说明</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1.中标人应能够配合采购人及时更新所提供的符合监管部门的有效证明材料。如有效的营业执照、产品合格证等。</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中标人在实施货物供货期间，不得将供货的实际数量及供货地点泄露给其他企业或者个人，中标人必须指派相对固定的人员完成货物配送服务，并需将配送人员的详细资料报采购人备案，货物配送人员必须遵纪守法、品行良好，无违法犯罪记录。如需要更换配送人员，必须事先通知采购人并将其个人资料送采购人审批，审批合格者才能更换。</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本章“采购项目需求”中所有要求为“食材采购、配送及相关服务项目”项目合同不可分割的一部分，中标人在项目实施过程中应严格按照采购项目需求中各项要求、项目合同各项条款、采购人要求以及投标文件中确定的事项和承诺履行本项目。</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4.因不可抗力原因或因政策调整，致使服务期内本项目中个别片区不再需要餐饮服务或者需要其他方式进行调整的，中标人应无条件服从采购人安排，双方均不承担违约责任。</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r>
      <w:r/>
    </w:p>
    <w:p>
      <w:pPr>
        <w:ind w:firstLine="422"/>
        <w:spacing w:line="360" w:lineRule="auto"/>
        <w:rPr>
          <w:highlight w:val="none"/>
          <w:lang w:val="zh-CN"/>
        </w:rPr>
      </w:pPr>
      <w:r>
        <w:rPr>
          <w:rFonts w:hint="eastAsia" w:ascii="宋体" w:hAnsi="宋体"/>
          <w:b/>
          <w:bCs/>
          <w:szCs w:val="21"/>
          <w:highlight w:val="none"/>
        </w:rPr>
        <w:t xml:space="preserve">本章内容均为实质性要求，需在《技术要求响应及偏离表》和《商务要求响应及偏离表》中明确响应；如要求提供承诺书的，需按相关要求提供对应的承诺书。投标人未对实质性要求明确响应或有负偏离的，按无效投标处理。</w:t>
      </w:r>
      <w:r/>
    </w:p>
    <w:p>
      <w:pPr>
        <w:rPr>
          <w:rFonts w:hint="eastAsia" w:ascii="宋体" w:hAnsi="宋体" w:cs="宋体"/>
          <w:szCs w:val="21"/>
          <w:highlight w:val="none"/>
          <w:lang w:bidi="zh-CN"/>
        </w:rPr>
      </w:pPr>
      <w:r>
        <w:rPr>
          <w:rFonts w:hint="eastAsia" w:ascii="宋体" w:hAnsi="宋体" w:cs="宋体"/>
          <w:szCs w:val="21"/>
          <w:highlight w:val="none"/>
          <w:lang w:bidi="zh-CN"/>
        </w:rPr>
        <w:br w:type="page" w:clear="all"/>
      </w:r>
      <w:r/>
    </w:p>
    <w:p>
      <w:pPr>
        <w:ind w:firstLine="560"/>
        <w:jc w:val="left"/>
        <w:spacing w:line="360" w:lineRule="auto"/>
        <w:rPr>
          <w:rFonts w:hint="eastAsia" w:ascii="宋体" w:hAnsi="宋体" w:cs="宋体"/>
          <w:szCs w:val="21"/>
          <w:highlight w:val="none"/>
        </w:rPr>
      </w:pPr>
      <w:r>
        <w:rPr>
          <w:rFonts w:hint="eastAsia" w:ascii="宋体" w:hAnsi="宋体" w:cs="宋体"/>
          <w:szCs w:val="21"/>
          <w:highlight w:val="none"/>
        </w:rPr>
        <w:t xml:space="preserve">附件1：</w:t>
      </w:r>
      <w:r/>
    </w:p>
    <w:tbl>
      <w:tblPr>
        <w:tblStyle w:val="862"/>
        <w:tblpPr w:horzAnchor="margin" w:tblpXSpec="center" w:vertAnchor="text" w:tblpY="297" w:leftFromText="180" w:topFromText="0" w:rightFromText="180" w:bottomFromText="0"/>
        <w:tblW w:w="8176" w:type="dxa"/>
        <w:tblInd w:w="0" w:type="dxa"/>
        <w:tblLayout w:type="fixed"/>
        <w:tblCellMar>
          <w:left w:w="108" w:type="dxa"/>
          <w:top w:w="0" w:type="dxa"/>
          <w:right w:w="108" w:type="dxa"/>
          <w:bottom w:w="0" w:type="dxa"/>
        </w:tblCellMar>
        <w:tblLook w:val="04A0" w:firstRow="1" w:lastRow="0" w:firstColumn="1" w:lastColumn="0" w:noHBand="0" w:noVBand="1"/>
      </w:tblPr>
      <w:tblGrid>
        <w:gridCol w:w="617"/>
        <w:gridCol w:w="901"/>
        <w:gridCol w:w="1088"/>
        <w:gridCol w:w="971"/>
        <w:gridCol w:w="1400"/>
        <w:gridCol w:w="1088"/>
        <w:gridCol w:w="1465"/>
        <w:gridCol w:w="646"/>
      </w:tblGrid>
      <w:tr>
        <w:trPr>
          <w:trHeight w:val="1160"/>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验收时间</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送货单位</w:t>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违规问题描述</w:t>
            </w:r>
            <w:r/>
          </w:p>
        </w:tc>
        <w:tc>
          <w:tcPr>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追踪结果</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是否及时整改</w:t>
            </w:r>
            <w:r/>
          </w:p>
        </w:tc>
        <w:tc>
          <w:tcPr>
            <w:tcBorders>
              <w:top w:val="single" w:color="000000" w:sz="4" w:space="0"/>
              <w:left w:val="none" w:color="000000" w:sz="4" w:space="0"/>
              <w:bottom w:val="single" w:color="000000" w:sz="4" w:space="0"/>
              <w:right w:val="single" w:color="000000" w:sz="4" w:space="0"/>
            </w:tcBorders>
            <w:tcW w:w="146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使用人/</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验收人</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备注</w:t>
            </w:r>
            <w:r/>
          </w:p>
        </w:tc>
      </w:tr>
      <w:tr>
        <w:trPr>
          <w:trHeight w:val="1160"/>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6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6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1170"/>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00"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6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560"/>
        <w:jc w:val="left"/>
        <w:spacing w:line="360" w:lineRule="auto"/>
        <w:rPr>
          <w:rFonts w:hint="eastAsia" w:ascii="宋体" w:hAnsi="宋体" w:cs="宋体"/>
          <w:szCs w:val="21"/>
          <w:highlight w:val="none"/>
        </w:rPr>
      </w:pPr>
      <w:r>
        <w:rPr>
          <w:rFonts w:hint="eastAsia" w:ascii="宋体" w:hAnsi="宋体" w:cs="宋体"/>
          <w:szCs w:val="21"/>
          <w:highlight w:val="none"/>
        </w:rPr>
        <w:t xml:space="preserve"> 注：有违规情况填写说明，无违规情况不记。</w:t>
      </w:r>
      <w:r/>
    </w:p>
    <w:p>
      <w:pPr>
        <w:ind w:firstLine="56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560"/>
        <w:jc w:val="left"/>
        <w:spacing w:line="360" w:lineRule="auto"/>
        <w:rPr>
          <w:rFonts w:hint="eastAsia" w:ascii="宋体" w:hAnsi="宋体" w:cs="宋体"/>
          <w:szCs w:val="21"/>
          <w:highlight w:val="none"/>
        </w:rPr>
      </w:pPr>
      <w:r>
        <w:rPr>
          <w:rFonts w:hint="eastAsia" w:ascii="宋体" w:hAnsi="宋体" w:cs="宋体"/>
          <w:szCs w:val="21"/>
          <w:highlight w:val="none"/>
        </w:rPr>
        <w:br w:type="page" w:clear="all"/>
      </w:r>
      <w:r/>
    </w:p>
    <w:p>
      <w:pPr>
        <w:ind w:firstLine="560"/>
        <w:jc w:val="left"/>
        <w:spacing w:line="360" w:lineRule="auto"/>
        <w:rPr>
          <w:rFonts w:hint="eastAsia" w:ascii="宋体" w:hAnsi="宋体" w:cs="宋体"/>
          <w:szCs w:val="21"/>
          <w:highlight w:val="none"/>
        </w:rPr>
      </w:pPr>
      <w:r>
        <w:rPr>
          <w:rFonts w:hint="eastAsia" w:ascii="宋体" w:hAnsi="宋体" w:cs="宋体"/>
          <w:szCs w:val="21"/>
          <w:highlight w:val="none"/>
        </w:rPr>
        <w:t xml:space="preserve">附件2：</w:t>
      </w:r>
      <w:r/>
    </w:p>
    <w:tbl>
      <w:tblPr>
        <w:tblStyle w:val="862"/>
        <w:tblW w:w="9360" w:type="dxa"/>
        <w:jc w:val="center"/>
        <w:tblLayout w:type="fixed"/>
        <w:tblCellMar>
          <w:left w:w="108" w:type="dxa"/>
          <w:top w:w="0" w:type="dxa"/>
          <w:right w:w="108" w:type="dxa"/>
          <w:bottom w:w="0" w:type="dxa"/>
        </w:tblCellMar>
        <w:tblLook w:val="04A0" w:firstRow="1" w:lastRow="0" w:firstColumn="1" w:lastColumn="0" w:noHBand="0" w:noVBand="1"/>
      </w:tblPr>
      <w:tblGrid>
        <w:gridCol w:w="2037"/>
        <w:gridCol w:w="2424"/>
        <w:gridCol w:w="2960"/>
        <w:gridCol w:w="1472"/>
        <w:gridCol w:w="467"/>
      </w:tblGrid>
      <w:tr>
        <w:trPr>
          <w:gridAfter w:val="1"/>
          <w:jc w:val="center"/>
          <w:trHeight w:val="600"/>
        </w:trPr>
        <w:tc>
          <w:tcPr>
            <w:gridSpan w:val="4"/>
            <w:tcBorders>
              <w:top w:val="none" w:color="000000" w:sz="4" w:space="0"/>
              <w:left w:val="none" w:color="000000" w:sz="4" w:space="0"/>
              <w:bottom w:val="none" w:color="000000" w:sz="4" w:space="0"/>
              <w:right w:val="none" w:color="000000" w:sz="4" w:space="0"/>
            </w:tcBorders>
            <w:tcW w:w="935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送货单位整改通知单</w:t>
            </w:r>
            <w:r/>
          </w:p>
        </w:tc>
      </w:tr>
      <w:tr>
        <w:trPr>
          <w:gridAfter w:val="1"/>
          <w:jc w:val="center"/>
          <w:trHeight w:val="930"/>
        </w:trPr>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送货单位名称</w:t>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整改通知发出时间</w:t>
            </w:r>
            <w:r/>
          </w:p>
        </w:tc>
        <w:tc>
          <w:tcPr>
            <w:tcBorders>
              <w:top w:val="singl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　</w:t>
            </w:r>
            <w:r/>
          </w:p>
        </w:tc>
      </w:tr>
      <w:tr>
        <w:trPr>
          <w:gridAfter w:val="1"/>
          <w:jc w:val="center"/>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整改事项</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整改期限</w:t>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　</w:t>
            </w:r>
            <w:r/>
          </w:p>
        </w:tc>
      </w:tr>
      <w:tr>
        <w:trPr>
          <w:gridAfter w:val="1"/>
          <w:jc w:val="center"/>
          <w:trHeight w:val="92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违规扣分项</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扣分分值</w:t>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　</w:t>
            </w:r>
            <w:r/>
          </w:p>
        </w:tc>
      </w:tr>
      <w:tr>
        <w:trPr>
          <w:gridAfter w:val="1"/>
          <w:jc w:val="center"/>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通知书发出部门</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发出人</w:t>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　</w:t>
            </w:r>
            <w:r/>
          </w:p>
        </w:tc>
      </w:tr>
      <w:tr>
        <w:trPr>
          <w:gridAfter w:val="1"/>
          <w:jc w:val="cente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整改情况（送货单位填写）</w:t>
            </w:r>
            <w:r/>
          </w:p>
        </w:tc>
      </w:tr>
      <w:tr>
        <w:trPr>
          <w:cantSplit/>
          <w:gridAfter w:val="1"/>
          <w:jc w:val="cente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                                               中标人责任人：</w:t>
            </w:r>
            <w:r/>
          </w:p>
        </w:tc>
      </w:tr>
      <w:tr>
        <w:trPr>
          <w:cantSplit/>
          <w:jc w:val="center"/>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W w:w="480"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W w:w="480"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6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W w:w="480"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结果验证（发出部门填写）</w:t>
            </w:r>
            <w:r/>
          </w:p>
        </w:tc>
        <w:tc>
          <w:tcPr>
            <w:tcW w:w="480"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58"/>
        </w:trPr>
        <w:tc>
          <w:tcPr>
            <w:gridSpan w:val="4"/>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                        确认人：</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480"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W w:w="480"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312"/>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W w:w="480"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bl>
    <w:p>
      <w:pPr>
        <w:rPr>
          <w:rFonts w:hint="eastAsia" w:ascii="宋体" w:hAnsi="宋体" w:cs="宋体"/>
          <w:szCs w:val="21"/>
          <w:highlight w:val="none"/>
        </w:rPr>
      </w:pPr>
      <w:r>
        <w:rPr>
          <w:rFonts w:hint="eastAsia" w:ascii="宋体" w:hAnsi="宋体" w:cs="宋体"/>
          <w:szCs w:val="21"/>
          <w:highlight w:val="none"/>
        </w:rPr>
        <w:br w:type="page" w:clear="all"/>
      </w:r>
      <w:r/>
    </w:p>
    <w:p>
      <w:pPr>
        <w:pStyle w:val="913"/>
        <w:spacing w:line="360" w:lineRule="auto"/>
        <w:rPr>
          <w:rFonts w:hint="eastAsia" w:eastAsia="宋体"/>
          <w:color w:val="auto"/>
          <w:highlight w:val="none"/>
        </w:rPr>
      </w:pPr>
      <w:r>
        <w:rPr>
          <w:rFonts w:hint="eastAsia" w:eastAsia="宋体"/>
          <w:color w:val="auto"/>
          <w:highlight w:val="none"/>
        </w:rPr>
        <w:t xml:space="preserve">附件3：供应商考核评分办法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bookmarkEnd w:id="116"/>
      <w:r/>
      <w:bookmarkEnd w:id="117"/>
      <w:r/>
      <w:bookmarkEnd w:id="123"/>
      <w:r/>
      <w:bookmarkEnd w:id="124"/>
      <w:r/>
      <w:bookmarkEnd w:id="125"/>
      <w:r/>
      <w:bookmarkEnd w:id="126"/>
      <w:r/>
      <w:r/>
    </w:p>
    <w:tbl>
      <w:tblPr>
        <w:tblStyle w:val="862"/>
        <w:tblW w:w="10657" w:type="dxa"/>
        <w:jc w:val="center"/>
        <w:tblLayout w:type="fixed"/>
        <w:tblCellMar>
          <w:left w:w="108" w:type="dxa"/>
          <w:top w:w="0" w:type="dxa"/>
          <w:right w:w="108" w:type="dxa"/>
          <w:bottom w:w="0" w:type="dxa"/>
        </w:tblCellMar>
        <w:tblLook w:val="04A0" w:firstRow="1" w:lastRow="0" w:firstColumn="1" w:lastColumn="0" w:noHBand="0" w:noVBand="1"/>
      </w:tblPr>
      <w:tblGrid>
        <w:gridCol w:w="475"/>
        <w:gridCol w:w="577"/>
        <w:gridCol w:w="809"/>
        <w:gridCol w:w="1042"/>
        <w:gridCol w:w="3125"/>
        <w:gridCol w:w="3613"/>
        <w:gridCol w:w="1016"/>
      </w:tblGrid>
      <w:tr>
        <w:trPr>
          <w:jc w:val="center"/>
          <w:trHeight w:val="1271"/>
          <w:tblHeader/>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auto" w:sz="4" w:space="0"/>
              <w:right w:val="single" w:color="000000" w:sz="4" w:space="0"/>
            </w:tcBorders>
            <w:tcW w:w="577"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考评项目</w:t>
            </w:r>
            <w:r/>
          </w:p>
        </w:tc>
        <w:tc>
          <w:tcPr>
            <w:gridSpan w:val="2"/>
            <w:tcBorders>
              <w:top w:val="single" w:color="000000" w:sz="4" w:space="0"/>
              <w:left w:val="none" w:color="000000" w:sz="4" w:space="0"/>
              <w:bottom w:val="single" w:color="auto" w:sz="4" w:space="0"/>
              <w:right w:val="single" w:color="000000" w:sz="4" w:space="0"/>
            </w:tcBorders>
            <w:tcW w:w="1851"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考评内容及分值</w:t>
            </w:r>
            <w:r/>
          </w:p>
        </w:tc>
        <w:tc>
          <w:tcPr>
            <w:tcBorders>
              <w:top w:val="single" w:color="000000" w:sz="4" w:space="0"/>
              <w:left w:val="none" w:color="000000" w:sz="4" w:space="0"/>
              <w:bottom w:val="single" w:color="auto" w:sz="4" w:space="0"/>
              <w:right w:val="single" w:color="000000" w:sz="4" w:space="0"/>
            </w:tcBorders>
            <w:tcW w:w="3125"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标准流程</w:t>
            </w:r>
            <w:r/>
          </w:p>
        </w:tc>
        <w:tc>
          <w:tcPr>
            <w:tcBorders>
              <w:top w:val="single" w:color="000000" w:sz="4" w:space="0"/>
              <w:left w:val="none" w:color="000000" w:sz="4" w:space="0"/>
              <w:bottom w:val="single" w:color="auto" w:sz="4" w:space="0"/>
              <w:right w:val="single" w:color="000000" w:sz="4" w:space="0"/>
            </w:tcBorders>
            <w:tcW w:w="3613"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具体加/扣分项及分值</w:t>
            </w:r>
            <w:r/>
          </w:p>
        </w:tc>
        <w:tc>
          <w:tcPr>
            <w:tcBorders>
              <w:top w:val="single" w:color="000000" w:sz="4" w:space="0"/>
              <w:left w:val="none" w:color="000000" w:sz="4" w:space="0"/>
              <w:bottom w:val="single" w:color="000000" w:sz="4" w:space="0"/>
              <w:right w:val="single" w:color="000000" w:sz="4" w:space="0"/>
            </w:tcBorders>
            <w:tcW w:w="1016"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cantSplit/>
          <w:jc w:val="center"/>
          <w:trHeight w:val="1060"/>
        </w:trPr>
        <w:tc>
          <w:tcPr>
            <w:tcBorders>
              <w:top w:val="none" w:color="000000" w:sz="4" w:space="0"/>
              <w:left w:val="single" w:color="000000" w:sz="4" w:space="0"/>
              <w:bottom w:val="single" w:color="000000" w:sz="4" w:space="0"/>
              <w:right w:val="single" w:color="auto" w:sz="4" w:space="0"/>
            </w:tcBorders>
            <w:tcW w:w="475"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77"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配送能力评价</w:t>
            </w:r>
            <w:r/>
          </w:p>
        </w:tc>
        <w:tc>
          <w:tcPr>
            <w:tcBorders>
              <w:top w:val="single" w:color="auto" w:sz="4" w:space="0"/>
              <w:left w:val="single" w:color="auto" w:sz="4" w:space="0"/>
              <w:bottom w:val="single" w:color="auto" w:sz="4" w:space="0"/>
              <w:right w:val="single" w:color="auto" w:sz="4" w:space="0"/>
            </w:tcBorders>
            <w:tcW w:w="809"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供货质量</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来料质量验收（20分）</w:t>
            </w:r>
            <w:r/>
          </w:p>
        </w:tc>
        <w:tc>
          <w:tcPr>
            <w:tcBorders>
              <w:top w:val="single" w:color="auto" w:sz="4" w:space="0"/>
              <w:left w:val="single" w:color="auto" w:sz="4" w:space="0"/>
              <w:bottom w:val="single" w:color="auto" w:sz="4" w:space="0"/>
              <w:right w:val="single" w:color="auto" w:sz="4" w:space="0"/>
            </w:tcBorders>
            <w:tcW w:w="3125"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中标人必须严格按照招标要求，提供符合食品安全法、国标及食堂要求的产品。</w:t>
            </w:r>
            <w:r/>
          </w:p>
        </w:tc>
        <w:tc>
          <w:tcPr>
            <w:tcBorders>
              <w:top w:val="single" w:color="auto" w:sz="4" w:space="0"/>
              <w:left w:val="single" w:color="auto" w:sz="4" w:space="0"/>
              <w:bottom w:val="single" w:color="auto" w:sz="4" w:space="0"/>
              <w:right w:val="single" w:color="auto" w:sz="4" w:space="0"/>
            </w:tcBorders>
            <w:tcW w:w="361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Ⅰ不影响食堂使用，及时退、换货，不扣分</w:t>
            </w:r>
            <w:r/>
          </w:p>
        </w:tc>
        <w:tc>
          <w:tcPr>
            <w:tcBorders>
              <w:top w:val="none" w:color="000000" w:sz="4" w:space="0"/>
              <w:left w:val="single" w:color="auto" w:sz="4" w:space="0"/>
              <w:bottom w:val="single" w:color="000000" w:sz="4" w:space="0"/>
              <w:right w:val="single" w:color="000000" w:sz="4" w:space="0"/>
            </w:tcBorders>
            <w:tcW w:w="1016"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1852"/>
        </w:trPr>
        <w:tc>
          <w:tcPr>
            <w:tcBorders>
              <w:top w:val="none" w:color="000000" w:sz="4" w:space="0"/>
              <w:left w:val="single" w:color="000000" w:sz="4" w:space="0"/>
              <w:bottom w:val="single" w:color="000000" w:sz="4" w:space="0"/>
              <w:right w:val="single" w:color="auto" w:sz="4" w:space="0"/>
            </w:tcBorders>
            <w:tcW w:w="475"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77"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3125"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361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Ⅱ 一经发现供应不合格货品，食材发生质量问题，未及时采取有效措施的，影响食堂正常使用，发生一次扣5分</w:t>
            </w:r>
            <w:r/>
          </w:p>
        </w:tc>
        <w:tc>
          <w:tcPr>
            <w:tcBorders>
              <w:top w:val="none" w:color="000000" w:sz="4" w:space="0"/>
              <w:left w:val="single" w:color="auto" w:sz="4" w:space="0"/>
              <w:bottom w:val="single" w:color="000000" w:sz="4" w:space="0"/>
              <w:right w:val="single" w:color="000000" w:sz="4" w:space="0"/>
            </w:tcBorders>
            <w:tcW w:w="1016"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3677"/>
        </w:trPr>
        <w:tc>
          <w:tcPr>
            <w:tcBorders>
              <w:top w:val="none" w:color="000000" w:sz="4" w:space="0"/>
              <w:left w:val="single" w:color="000000" w:sz="4" w:space="0"/>
              <w:bottom w:val="single" w:color="000000" w:sz="4" w:space="0"/>
              <w:right w:val="single" w:color="auto" w:sz="4" w:space="0"/>
            </w:tcBorders>
            <w:tcW w:w="475"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77"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到货情况</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交货及时性（20分）</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中标人在接到采购人送货通知后，须及时送到采购人指定地点并验收完成。</w:t>
            </w:r>
            <w:r/>
          </w:p>
        </w:tc>
        <w:tc>
          <w:tcPr>
            <w:tcBorders>
              <w:top w:val="single" w:color="auto" w:sz="4" w:space="0"/>
              <w:left w:val="single" w:color="auto" w:sz="4" w:space="0"/>
              <w:bottom w:val="single" w:color="auto" w:sz="4" w:space="0"/>
              <w:right w:val="single" w:color="auto" w:sz="4" w:space="0"/>
            </w:tcBorders>
            <w:tcW w:w="361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中标人务必在采购人要求的时间内送货，常规送货每延迟或提前0.5小时（含）扣2.5分，每延迟或提前超过0.5小时（不含）扣5分；零星采购每延迟0.5小时（含）扣2.5分，每延迟超过0.5小时（不含）扣5分；如遇节假日、应急或特殊情况下，中标人未及时响应或响应但未及时到场的扣5分。以此类推，扣完为止</w:t>
            </w:r>
            <w:r/>
          </w:p>
        </w:tc>
        <w:tc>
          <w:tcPr>
            <w:tcBorders>
              <w:top w:val="none" w:color="000000" w:sz="4" w:space="0"/>
              <w:left w:val="single" w:color="auto" w:sz="4" w:space="0"/>
              <w:bottom w:val="single" w:color="000000" w:sz="4" w:space="0"/>
              <w:right w:val="single" w:color="000000" w:sz="4" w:space="0"/>
            </w:tcBorders>
            <w:tcW w:w="1016"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955"/>
        </w:trPr>
        <w:tc>
          <w:tcPr>
            <w:tcBorders>
              <w:top w:val="none" w:color="000000" w:sz="4" w:space="0"/>
              <w:left w:val="single" w:color="000000" w:sz="4" w:space="0"/>
              <w:bottom w:val="single" w:color="000000" w:sz="4" w:space="0"/>
              <w:right w:val="single" w:color="auto" w:sz="4" w:space="0"/>
            </w:tcBorders>
            <w:tcW w:w="475"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000000" w:sz="4" w:space="0"/>
              <w:right w:val="single" w:color="000000" w:sz="4" w:space="0"/>
            </w:tcBorders>
            <w:tcW w:w="577"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000000" w:sz="4" w:space="0"/>
              <w:bottom w:val="single" w:color="000000" w:sz="4" w:space="0"/>
              <w:right w:val="single" w:color="000000" w:sz="4" w:space="0"/>
            </w:tcBorders>
            <w:tcW w:w="1042"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交货数量准确性（20分）</w:t>
            </w:r>
            <w:r/>
          </w:p>
        </w:tc>
        <w:tc>
          <w:tcPr>
            <w:tcBorders>
              <w:top w:val="single" w:color="auto" w:sz="4" w:space="0"/>
              <w:left w:val="single" w:color="000000" w:sz="4" w:space="0"/>
              <w:bottom w:val="single" w:color="000000" w:sz="4" w:space="0"/>
              <w:right w:val="single" w:color="000000" w:sz="4" w:space="0"/>
            </w:tcBorders>
            <w:tcW w:w="3125"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中标人供货必须与订单实际需求量相符。</w:t>
            </w:r>
            <w:r/>
          </w:p>
        </w:tc>
        <w:tc>
          <w:tcPr>
            <w:tcBorders>
              <w:top w:val="single" w:color="auto" w:sz="4" w:space="0"/>
              <w:left w:val="none" w:color="000000" w:sz="4" w:space="0"/>
              <w:bottom w:val="single" w:color="000000" w:sz="4" w:space="0"/>
              <w:right w:val="single" w:color="000000" w:sz="4" w:space="0"/>
            </w:tcBorders>
            <w:tcW w:w="361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Ⅰ人为原因故意多送货物，食堂按照订单量进行计重，多余货物恕不退回，不扣分</w:t>
            </w:r>
            <w:r/>
          </w:p>
        </w:tc>
        <w:tc>
          <w:tcPr>
            <w:tcBorders>
              <w:top w:val="non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1047"/>
        </w:trPr>
        <w:tc>
          <w:tcPr>
            <w:tcBorders>
              <w:top w:val="none" w:color="000000" w:sz="4" w:space="0"/>
              <w:left w:val="single" w:color="000000" w:sz="4" w:space="0"/>
              <w:bottom w:val="single" w:color="000000" w:sz="4" w:space="0"/>
              <w:right w:val="single" w:color="auto" w:sz="4" w:space="0"/>
            </w:tcBorders>
            <w:tcW w:w="475"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single" w:color="auto" w:sz="4" w:space="0"/>
              <w:bottom w:val="single" w:color="000000" w:sz="4" w:space="0"/>
              <w:right w:val="single" w:color="000000" w:sz="4" w:space="0"/>
            </w:tcBorders>
            <w:tcW w:w="577"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3125"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61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Ⅱ人为原因故意缺斤少两，在不影响实际使用的前提下按实物验收或补齐货物，发生一次扣3分</w:t>
            </w:r>
            <w:r/>
          </w:p>
        </w:tc>
        <w:tc>
          <w:tcPr>
            <w:tcBorders>
              <w:top w:val="non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1192"/>
        </w:trPr>
        <w:tc>
          <w:tcPr>
            <w:tcBorders>
              <w:top w:val="none" w:color="000000" w:sz="4" w:space="0"/>
              <w:left w:val="single" w:color="000000" w:sz="4" w:space="0"/>
              <w:bottom w:val="single" w:color="000000" w:sz="4" w:space="0"/>
              <w:right w:val="single" w:color="auto" w:sz="4" w:space="0"/>
            </w:tcBorders>
            <w:tcW w:w="475"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single" w:color="auto" w:sz="4" w:space="0"/>
              <w:bottom w:val="single" w:color="000000" w:sz="4" w:space="0"/>
              <w:right w:val="single" w:color="000000" w:sz="4" w:space="0"/>
            </w:tcBorders>
            <w:tcW w:w="577"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single" w:color="000000" w:sz="4" w:space="0"/>
              <w:bottom w:val="single" w:color="000000" w:sz="4" w:space="0"/>
              <w:right w:val="single" w:color="000000" w:sz="4" w:space="0"/>
            </w:tcBorders>
            <w:tcW w:w="3125"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361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Ⅲ中标人供货缺斤少两，漏货缺货，影响食堂实际使用，按实物验收或补齐货物，发生一次扣5分</w:t>
            </w:r>
            <w:r/>
          </w:p>
        </w:tc>
        <w:tc>
          <w:tcPr>
            <w:tcBorders>
              <w:top w:val="non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1586"/>
        </w:trPr>
        <w:tc>
          <w:tcPr>
            <w:tcBorders>
              <w:top w:val="single" w:color="000000" w:sz="4" w:space="0"/>
              <w:left w:val="single" w:color="000000" w:sz="4" w:space="0"/>
              <w:bottom w:val="single" w:color="000000" w:sz="4" w:space="0"/>
              <w:right w:val="single" w:color="000000" w:sz="4" w:space="0"/>
            </w:tcBorders>
            <w:tcW w:w="475"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服务能力评价</w:t>
            </w:r>
            <w:r/>
          </w:p>
        </w:tc>
        <w:tc>
          <w:tcPr>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配合度</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食材有效期（15分）</w:t>
            </w:r>
            <w:r/>
          </w:p>
        </w:tc>
        <w:tc>
          <w:tcPr>
            <w:tcBorders>
              <w:top w:val="single" w:color="000000" w:sz="4" w:space="0"/>
              <w:left w:val="single" w:color="000000" w:sz="4" w:space="0"/>
              <w:bottom w:val="single" w:color="000000" w:sz="4" w:space="0"/>
              <w:right w:val="single" w:color="000000" w:sz="4" w:space="0"/>
            </w:tcBorders>
            <w:tcW w:w="312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中标人提供的食材剩余保存期不少于原有保质期的三分之二（生鲜除外）。</w:t>
            </w:r>
            <w:r/>
          </w:p>
        </w:tc>
        <w:tc>
          <w:tcPr>
            <w:tcBorders>
              <w:top w:val="single" w:color="000000" w:sz="4" w:space="0"/>
              <w:left w:val="none" w:color="000000" w:sz="4" w:space="0"/>
              <w:bottom w:val="single" w:color="000000" w:sz="4" w:space="0"/>
              <w:right w:val="single" w:color="000000" w:sz="4" w:space="0"/>
            </w:tcBorders>
            <w:tcW w:w="361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中标人提供的食材剩余保存期少于原有保质期的三分之二（生鲜除外），发生一次扣5分</w:t>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　</w:t>
            </w:r>
            <w:r/>
          </w:p>
        </w:tc>
      </w:tr>
      <w:tr>
        <w:trPr>
          <w:cantSplit/>
          <w:jc w:val="center"/>
          <w:trHeight w:val="1586"/>
        </w:trPr>
        <w:tc>
          <w:tcPr>
            <w:tcBorders>
              <w:top w:val="single" w:color="000000" w:sz="4" w:space="0"/>
              <w:left w:val="single" w:color="000000" w:sz="4" w:space="0"/>
              <w:bottom w:val="single" w:color="000000" w:sz="4" w:space="0"/>
              <w:right w:val="single" w:color="000000" w:sz="4" w:space="0"/>
            </w:tcBorders>
            <w:tcW w:w="475"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问题处理及时有效性（10分）</w:t>
            </w:r>
            <w:r/>
          </w:p>
        </w:tc>
        <w:tc>
          <w:tcPr>
            <w:tcBorders>
              <w:top w:val="none" w:color="000000" w:sz="4" w:space="0"/>
              <w:left w:val="none" w:color="000000" w:sz="4" w:space="0"/>
              <w:bottom w:val="single" w:color="000000" w:sz="4" w:space="0"/>
              <w:right w:val="single" w:color="000000" w:sz="4" w:space="0"/>
            </w:tcBorders>
            <w:tcW w:w="312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对采购人验收小组发出的整改通知、意见反馈能够快速反应，对出现的问题能够及时整改到位。</w:t>
            </w:r>
            <w:r/>
          </w:p>
        </w:tc>
        <w:tc>
          <w:tcPr>
            <w:tcBorders>
              <w:top w:val="none" w:color="000000" w:sz="4" w:space="0"/>
              <w:left w:val="none" w:color="000000" w:sz="4" w:space="0"/>
              <w:bottom w:val="single" w:color="000000" w:sz="4" w:space="0"/>
              <w:right w:val="single" w:color="000000" w:sz="4" w:space="0"/>
            </w:tcBorders>
            <w:tcW w:w="361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中标人在接到采购人发出的整改通知、意见反馈、询价调研信息后，当日无反馈，扣2分，对于整改通知相关要求三日内无明显改进扣5分</w:t>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4109"/>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服务能力评价</w:t>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诚信度</w:t>
            </w:r>
            <w:r/>
          </w:p>
        </w:tc>
        <w:tc>
          <w:tcPr>
            <w:tcBorders>
              <w:top w:val="single" w:color="000000" w:sz="4" w:space="0"/>
              <w:left w:val="none" w:color="000000" w:sz="4" w:space="0"/>
              <w:bottom w:val="single" w:color="000000" w:sz="4" w:space="0"/>
              <w:right w:val="single" w:color="000000" w:sz="4" w:space="0"/>
            </w:tcBorders>
            <w:tcW w:w="1042"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品牌配送准确性（15分）</w:t>
            </w:r>
            <w:r/>
          </w:p>
        </w:tc>
        <w:tc>
          <w:tcPr>
            <w:tcBorders>
              <w:top w:val="single" w:color="000000" w:sz="4" w:space="0"/>
              <w:left w:val="none" w:color="000000" w:sz="4" w:space="0"/>
              <w:bottom w:val="single" w:color="000000" w:sz="4" w:space="0"/>
              <w:right w:val="single" w:color="000000" w:sz="4" w:space="0"/>
            </w:tcBorders>
            <w:tcW w:w="312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中标人必须严格按照招标产品明细或者订单要求的品牌、品种供货，在某产品出现市场大面积断货的情况而确实无法供货的，必须在供货前一天（即收到订单当天）向采购人说明断货原因。采购人经市场调查确认该品项市场全面断货，则申请暂时更换品牌、品种；如果是由于中标人备货不足、调拨不及时等原因造成断货，采购人则将该品项改为其他中标人配送。</w:t>
            </w:r>
            <w:r/>
          </w:p>
        </w:tc>
        <w:tc>
          <w:tcPr>
            <w:tcBorders>
              <w:top w:val="single" w:color="000000" w:sz="4" w:space="0"/>
              <w:left w:val="none" w:color="000000" w:sz="4" w:space="0"/>
              <w:bottom w:val="single" w:color="000000" w:sz="4" w:space="0"/>
              <w:right w:val="single" w:color="000000" w:sz="4" w:space="0"/>
            </w:tcBorders>
            <w:tcW w:w="361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中标人在未通知采购人的情况下，擅自更换品种，发现一次扣5分</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　</w:t>
            </w:r>
            <w:r/>
          </w:p>
        </w:tc>
      </w:tr>
      <w:tr>
        <w:trPr>
          <w:cantSplit/>
          <w:jc w:val="center"/>
          <w:trHeight w:val="705"/>
        </w:trPr>
        <w:tc>
          <w:tcPr>
            <w:tcBorders>
              <w:top w:val="none" w:color="000000" w:sz="4" w:space="0"/>
              <w:left w:val="single" w:color="000000" w:sz="4" w:space="0"/>
              <w:bottom w:val="single" w:color="000000" w:sz="4" w:space="0"/>
              <w:right w:val="single" w:color="000000" w:sz="4" w:space="0"/>
            </w:tcBorders>
            <w:tcW w:w="475"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4</w:t>
            </w:r>
            <w:r/>
          </w:p>
        </w:tc>
        <w:tc>
          <w:tcPr>
            <w:tcBorders>
              <w:top w:val="none" w:color="000000" w:sz="4" w:space="0"/>
              <w:left w:val="single" w:color="000000" w:sz="4" w:space="0"/>
              <w:bottom w:val="single" w:color="000000" w:sz="4" w:space="0"/>
              <w:right w:val="single" w:color="000000" w:sz="4" w:space="0"/>
            </w:tcBorders>
            <w:tcW w:w="577"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加分项</w:t>
            </w:r>
            <w:r/>
          </w:p>
        </w:tc>
        <w:tc>
          <w:tcPr>
            <w:gridSpan w:val="2"/>
            <w:tcBorders>
              <w:top w:val="single" w:color="000000" w:sz="4" w:space="0"/>
              <w:left w:val="none" w:color="000000" w:sz="4" w:space="0"/>
              <w:bottom w:val="single" w:color="000000" w:sz="4" w:space="0"/>
              <w:right w:val="single" w:color="000000" w:sz="4" w:space="0"/>
            </w:tcBorders>
            <w:tcW w:w="185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应急响应</w:t>
            </w:r>
            <w:r/>
          </w:p>
        </w:tc>
        <w:tc>
          <w:tcPr>
            <w:tcBorders>
              <w:top w:val="none" w:color="000000" w:sz="4" w:space="0"/>
              <w:left w:val="none" w:color="000000" w:sz="4" w:space="0"/>
              <w:bottom w:val="single" w:color="000000" w:sz="4" w:space="0"/>
              <w:right w:val="single" w:color="000000" w:sz="4" w:space="0"/>
            </w:tcBorders>
            <w:tcW w:w="312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中标人对临时紧急订货，能够积极无条件及时供应。</w:t>
            </w:r>
            <w:r/>
          </w:p>
        </w:tc>
        <w:tc>
          <w:tcPr>
            <w:tcBorders>
              <w:top w:val="none" w:color="000000" w:sz="4" w:space="0"/>
              <w:left w:val="none" w:color="000000" w:sz="4" w:space="0"/>
              <w:bottom w:val="single" w:color="000000" w:sz="4" w:space="0"/>
              <w:right w:val="single" w:color="000000" w:sz="4" w:space="0"/>
            </w:tcBorders>
            <w:tcW w:w="361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中标人应急响应迅速，完成临时紧急性供货，发生一次加2分</w:t>
            </w:r>
            <w:r/>
          </w:p>
        </w:tc>
        <w:tc>
          <w:tcPr>
            <w:tcBorders>
              <w:top w:val="single" w:color="000000" w:sz="4" w:space="0"/>
              <w:left w:val="single" w:color="000000" w:sz="4" w:space="0"/>
              <w:right w:val="single" w:color="000000" w:sz="4" w:space="0"/>
            </w:tcBorders>
            <w:tcW w:w="1016" w:type="dxa"/>
            <w:vAlign w:val="center"/>
            <w:vMerge w:val="restart"/>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1047"/>
        </w:trPr>
        <w:tc>
          <w:tcPr>
            <w:tcBorders>
              <w:top w:val="none" w:color="000000" w:sz="4" w:space="0"/>
              <w:left w:val="single" w:color="000000" w:sz="4" w:space="0"/>
              <w:bottom w:val="none" w:color="000000" w:sz="4" w:space="0"/>
              <w:right w:val="single" w:color="000000" w:sz="4" w:space="0"/>
            </w:tcBorders>
            <w:tcW w:w="475"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single" w:color="000000" w:sz="4" w:space="0"/>
              <w:bottom w:val="none" w:color="000000" w:sz="4" w:space="0"/>
              <w:right w:val="single" w:color="000000" w:sz="4" w:space="0"/>
            </w:tcBorders>
            <w:tcW w:w="577"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851"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订单提醒</w:t>
            </w:r>
            <w:r/>
          </w:p>
        </w:tc>
        <w:tc>
          <w:tcPr>
            <w:tcBorders>
              <w:top w:val="none" w:color="000000" w:sz="4" w:space="0"/>
              <w:left w:val="none" w:color="000000" w:sz="4" w:space="0"/>
              <w:bottom w:val="none" w:color="000000" w:sz="4" w:space="0"/>
              <w:right w:val="single" w:color="000000" w:sz="4" w:space="0"/>
            </w:tcBorders>
            <w:tcW w:w="312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中标人在发现当日订单存在异常情况，主动联系后采购人确认。</w:t>
            </w:r>
            <w:r/>
          </w:p>
        </w:tc>
        <w:tc>
          <w:tcPr>
            <w:tcBorders>
              <w:top w:val="none" w:color="000000" w:sz="4" w:space="0"/>
              <w:left w:val="none" w:color="000000" w:sz="4" w:space="0"/>
              <w:bottom w:val="none" w:color="000000" w:sz="4" w:space="0"/>
              <w:right w:val="single" w:color="000000" w:sz="4" w:space="0"/>
            </w:tcBorders>
            <w:tcW w:w="361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经采购人确认中标人反馈情况属实，及时补充订单，保证食堂供应正常，发生一次加2分</w:t>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1047"/>
        </w:trPr>
        <w:tc>
          <w:tcPr>
            <w:shd w:val="clear" w:color="auto" w:fill="ffffff"/>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5</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555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b/>
                <w:bCs/>
                <w:szCs w:val="21"/>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bl>
    <w:p>
      <w:pPr>
        <w:pStyle w:val="852"/>
        <w:numPr>
          <w:ilvl w:val="0"/>
          <w:numId w:val="0"/>
        </w:numPr>
        <w:ind w:left="567"/>
        <w:rPr>
          <w:rFonts w:hint="eastAsia" w:asciiTheme="minorEastAsia" w:hAnsiTheme="minorEastAsia" w:eastAsiaTheme="minorEastAsia"/>
          <w:highlight w:val="none"/>
        </w:rPr>
      </w:pPr>
      <w:r/>
      <w:bookmarkStart w:id="137" w:name="_Toc6514"/>
      <w:r>
        <w:rPr>
          <w:rFonts w:hint="eastAsia" w:asciiTheme="minorEastAsia" w:hAnsiTheme="minorEastAsia" w:eastAsiaTheme="minorEastAsia"/>
          <w:highlight w:val="none"/>
        </w:rPr>
        <w:t xml:space="preserve">第五章 合同主要条款及格式</w:t>
      </w:r>
      <w:bookmarkEnd w:id="113"/>
      <w:r/>
      <w:bookmarkEnd w:id="114"/>
      <w:r/>
      <w:bookmarkEnd w:id="137"/>
      <w:r/>
      <w:r/>
    </w:p>
    <w:p>
      <w:pPr>
        <w:pStyle w:val="1220"/>
        <w:ind w:firstLine="420"/>
        <w:jc w:val="center"/>
        <w:spacing w:after="0" w:line="360" w:lineRule="auto"/>
        <w:rPr>
          <w:rFonts w:hint="eastAsia" w:asciiTheme="minorEastAsia" w:hAnsiTheme="minorEastAsia" w:eastAsiaTheme="minorEastAsia" w:cstheme="minorEastAsia"/>
          <w:sz w:val="21"/>
          <w:szCs w:val="21"/>
          <w:highlight w:val="none"/>
        </w:rPr>
      </w:pPr>
      <w:r/>
      <w:bookmarkStart w:id="138" w:name="_Toc12929"/>
      <w:r>
        <w:rPr>
          <w:rFonts w:hint="eastAsia" w:asciiTheme="minorEastAsia" w:hAnsiTheme="minorEastAsia" w:eastAsiaTheme="minorEastAsia" w:cstheme="minorEastAsia"/>
          <w:sz w:val="21"/>
          <w:szCs w:val="21"/>
          <w:highlight w:val="none"/>
          <w:lang w:eastAsia="zh-CN"/>
        </w:rPr>
        <w:t xml:space="preserve">南京市公共交通和城市轨道公安局</w:t>
      </w:r>
      <w:r>
        <w:rPr>
          <w:rFonts w:hint="eastAsia" w:asciiTheme="minorEastAsia" w:hAnsiTheme="minorEastAsia" w:eastAsiaTheme="minorEastAsia" w:cstheme="minorEastAsia"/>
          <w:sz w:val="21"/>
          <w:szCs w:val="21"/>
          <w:highlight w:val="none"/>
        </w:rPr>
        <w:t xml:space="preserve">食材供应商采购合同</w:t>
      </w:r>
      <w:r/>
    </w:p>
    <w:p>
      <w:pPr>
        <w:ind w:firstLine="420"/>
        <w:jc w:val="cente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（具体合同条款由采购人和供应商依据招投标文件拟定，本件仅供格式参考）</w:t>
      </w:r>
      <w:r/>
    </w:p>
    <w:p>
      <w:pPr>
        <w:pStyle w:val="1220"/>
        <w:ind w:firstLine="30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30"/>
          <w:position w:val="17"/>
          <w:sz w:val="21"/>
          <w:szCs w:val="21"/>
          <w:highlight w:val="none"/>
        </w:rPr>
        <w:t xml:space="preserve">甲方（需方</w:t>
      </w:r>
      <w:r>
        <w:rPr>
          <w:rFonts w:hint="eastAsia" w:asciiTheme="minorEastAsia" w:hAnsiTheme="minorEastAsia" w:eastAsiaTheme="minorEastAsia" w:cstheme="minorEastAsia"/>
          <w:spacing w:val="-14"/>
          <w:position w:val="17"/>
          <w:sz w:val="21"/>
          <w:szCs w:val="21"/>
          <w:highlight w:val="none"/>
        </w:rPr>
        <w:t xml:space="preserve">）：</w:t>
      </w:r>
      <w:r/>
    </w:p>
    <w:p>
      <w:pPr>
        <w:pStyle w:val="1220"/>
        <w:ind w:firstLine="304"/>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29"/>
          <w:sz w:val="21"/>
          <w:szCs w:val="21"/>
          <w:highlight w:val="none"/>
        </w:rPr>
        <w:t xml:space="preserve">乙方（供方</w:t>
      </w:r>
      <w:r>
        <w:rPr>
          <w:rFonts w:hint="eastAsia" w:asciiTheme="minorEastAsia" w:hAnsiTheme="minorEastAsia" w:eastAsiaTheme="minorEastAsia" w:cstheme="minorEastAsia"/>
          <w:spacing w:val="-13"/>
          <w:sz w:val="21"/>
          <w:szCs w:val="21"/>
          <w:highlight w:val="none"/>
        </w:rPr>
        <w:t xml:space="preserve">）：</w:t>
      </w:r>
      <w:r/>
    </w:p>
    <w:p>
      <w:pPr>
        <w:pStyle w:val="1220"/>
        <w:ind w:firstLine="416"/>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1"/>
          <w:sz w:val="21"/>
          <w:szCs w:val="21"/>
          <w:highlight w:val="none"/>
        </w:rPr>
        <w:t xml:space="preserve">为保护甲乙双方合法权益，根据《中华人民共和国民法典》及相关法律法规，并严</w:t>
      </w:r>
      <w:r>
        <w:rPr>
          <w:rFonts w:hint="eastAsia" w:asciiTheme="minorEastAsia" w:hAnsiTheme="minorEastAsia" w:eastAsiaTheme="minorEastAsia" w:cstheme="minorEastAsia"/>
          <w:spacing w:val="-4"/>
          <w:sz w:val="21"/>
          <w:szCs w:val="21"/>
          <w:highlight w:val="none"/>
        </w:rPr>
        <w:t xml:space="preserve">格遵循甲方《</w:t>
      </w:r>
      <w:r>
        <w:rPr>
          <w:rFonts w:hint="eastAsia" w:asciiTheme="minorEastAsia" w:hAnsiTheme="minorEastAsia" w:eastAsiaTheme="minorEastAsia" w:cstheme="minorEastAsia"/>
          <w:spacing w:val="-4"/>
          <w:sz w:val="21"/>
          <w:szCs w:val="21"/>
          <w:highlight w:val="none"/>
          <w:u w:val="single"/>
        </w:rPr>
        <w:t xml:space="preserve">        （项目名称）（标包名称）       </w:t>
      </w:r>
      <w:r>
        <w:rPr>
          <w:rFonts w:hint="eastAsia" w:asciiTheme="minorEastAsia" w:hAnsiTheme="minorEastAsia" w:eastAsiaTheme="minorEastAsia" w:cstheme="minorEastAsia"/>
          <w:spacing w:val="-10"/>
          <w:sz w:val="21"/>
          <w:szCs w:val="21"/>
          <w:highlight w:val="none"/>
        </w:rPr>
        <w:t xml:space="preserve">招标文件》（标包编号：）、乙方投标文件及</w:t>
      </w:r>
      <w:r>
        <w:rPr>
          <w:rFonts w:hint="eastAsia" w:asciiTheme="minorEastAsia" w:hAnsiTheme="minorEastAsia" w:eastAsiaTheme="minorEastAsia" w:cstheme="minorEastAsia"/>
          <w:spacing w:val="-3"/>
          <w:sz w:val="21"/>
          <w:szCs w:val="21"/>
          <w:highlight w:val="none"/>
        </w:rPr>
        <w:t xml:space="preserve">相关服务承诺，订立本合同，共同遵守。</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一、合同范围</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本合同的范围是指甲方向乙方采购南京市公共交通和城市轨道公安局及下属单位食堂鲜肉类、禽类、水产品、米油调料及副食品类、蔬菜等全品类食材的供货与配送服务。供货地点为南京市公共交通和城市轨道公安局及下属单位食堂，具体以采购人通知为准。</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二、合同供货期限</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合同自采购人书面通知供货之日起生效，至所属采购包预算资金使用完毕或供货满一年时自动终止，二者以先到者为准。</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三、供货品种</w:t>
      </w:r>
      <w:r/>
    </w:p>
    <w:p>
      <w:pPr>
        <w:pStyle w:val="1220"/>
        <w:ind w:firstLine="412"/>
        <w:jc w:val="left"/>
        <w:spacing w:after="0" w:line="360" w:lineRule="auto"/>
        <w:rPr>
          <w:rFonts w:hint="eastAsia" w:asciiTheme="minorEastAsia" w:hAnsiTheme="minorEastAsia" w:eastAsiaTheme="minorEastAsia" w:cstheme="minorEastAsia"/>
          <w:spacing w:val="-2"/>
          <w:sz w:val="21"/>
          <w:szCs w:val="21"/>
          <w:highlight w:val="none"/>
        </w:rPr>
      </w:pPr>
      <w:r>
        <w:rPr>
          <w:rFonts w:hint="eastAsia" w:asciiTheme="minorEastAsia" w:hAnsiTheme="minorEastAsia" w:eastAsiaTheme="minorEastAsia" w:cstheme="minorEastAsia"/>
          <w:spacing w:val="-2"/>
          <w:sz w:val="21"/>
          <w:szCs w:val="21"/>
          <w:highlight w:val="none"/>
        </w:rPr>
        <w:t xml:space="preserve">乙方根据甲方的要求为甲方供应食材。</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四、合同金额及付款方式</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本合同所列采购产品单价包含包装、运输、保险、利润、税金、政策性规费等所有费用。其中运输费用是指送达卸货到甲方指定地点的所有费用，包括但不限于货物成本、利润、税金、运输费、高速通行费、装卸费、保险费等，项目实施过程中不再变更任何费用。</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2.甲乙双方约定的供货优惠率为：</w:t>
      </w:r>
      <w:r>
        <w:rPr>
          <w:rFonts w:hint="eastAsia" w:asciiTheme="minorEastAsia" w:hAnsiTheme="minorEastAsia" w:eastAsiaTheme="minorEastAsia" w:cstheme="minorEastAsia"/>
          <w:spacing w:val="-1"/>
          <w:position w:val="17"/>
          <w:sz w:val="21"/>
          <w:szCs w:val="21"/>
          <w:highlight w:val="none"/>
          <w:u w:val="single"/>
        </w:rPr>
        <w:t xml:space="preserve">      </w:t>
      </w:r>
      <w:r>
        <w:rPr>
          <w:rFonts w:hint="eastAsia" w:asciiTheme="minorEastAsia" w:hAnsiTheme="minorEastAsia" w:eastAsiaTheme="minorEastAsia" w:cstheme="minorEastAsia"/>
          <w:spacing w:val="-1"/>
          <w:position w:val="17"/>
          <w:sz w:val="21"/>
          <w:szCs w:val="21"/>
          <w:highlight w:val="none"/>
        </w:rPr>
        <w:t xml:space="preserve">%。</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3.实际货款按相应产品的甲方实际采购量及该批次产品的当期执行价结算。结算金额＝价格基准×（1－投标优惠率）。以采购人及各采购包中标人双方共同在每供应月中期于科巷菜场询价结果的算术平均数作为价格基准依据；如遇科巷菜场中未售卖的品种食材，双方协商确定相关品种食材的价格基准价，最终实际结算金额＝价格基准价×（1－投标优惠率）。</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4.付款方式：本项目按月结算。当供应月食材供应完毕后十日内，由乙方向甲方提出书面申请，并提供加盖乙方公章的以下资料：经甲方及乙方双方相关人员签字的供货清单（包括但不限于供应的具体食材、数量等信息）及价格依据（包括但不限于经双方核实的基准价、投标优惠率、结算价格等信息）。书面申请及相关材料经甲方核实，并按甲方履约评价结果确认金额后，乙方开具发票，付款资料审核通过后以转账方式向乙方支付相关费用。因乙方书面申请延误提交相关材料的，由乙方自行承担责任。</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5.每供应月中期，经甲方通知，双方共同在科巷菜场对所供应食材进行询价。询价应当选取同类、同等品质规格的食材，询价记录形成书面记录，双方签字留存，作为结算依据。如乙方未按时到达现场，视为默认同意相关询价结果；乙方无正当理由拒不参与现场询价的，甲方可单独组织询价，询价结果对乙方具有约束力。</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6.科巷菜场询价结果需收集标明时间的菜价照片作为存档证据。甲方不定期对乙方提供的市场调查价格进行抽查，对乙方提供的市场调查价格进行复核。</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7.乙方每月结算食材价款时须严格按照优惠后进行计算申报，其提供的所有结算资料均须真实有效、准确详实、有迹可循，不得弄虚作假；如经甲方发现弄虚作假，一经查实，甲方有权终止合同，并依法追究乙方的经济和法律责任。</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五、产品安全质量标准</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1.乙方有义务提供企业的相关资质证明，企业法人的营业执照（三证合一）、经营许可证、法定代表人的身份证及送货人员健康证明资料等原件和复印件给甲方查验，甲方留存复印件。</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2.产品应符合《中华人民共和国食品安全法》《中华人民共和国食品安全法实施条例》《中华人民共和国农产品质量安全法》《中华人民共和国动物防疫法》等相关规定，符合国家及行业现行产品安全质量标准（包括食品安全国家标准、无相应国家标准时的行业标准）或高于国家标准的企业标准，以及国家相应法律法规的要求。涉及的国家食品安全、卫生生产标准均按照最新标准执行，如在合同履行过程中出台了更新标准，则按照最新标准执行。</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3.乙方所供食材应为同类产品中的综合质量优良产品，所有商品必须做到可以溯源。乙方应保证所提供的食材剩余保存期不少于原有保质期的三分之二（生鲜除外），在保质期内经正确和合理食用，不会出现食品安全事故，并对食品安全事故负责。</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4.乙方供应食品时，应根据国家食品索证索票管理规定提供真实有效、齐全的证、票材料，由甲方留存。</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5.严格禁止供应如下食品，一经发现，甲方有权终止合同：</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（1）腐败变质、油脂酸败、霉变、生虫、污秽不洁、混有异物或其他感官性状异常，对人体有害的；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（2）含有毒、有害物质或被有害物质污染，对人体身体健康有害的；含有严重超出标准限量的农药残留、兽药残留、重金属、污染物质以及其他危害人体健康的；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（3）含有致病性寄生虫、微生物或者微生物含量超过国家限定标准的；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（4）未经动物部门检疫、检验或者检疫、检验不合格的肉类及其制品；</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（5）病死、毒死或不明死因的禽、畜、兽、水产动物等及其制品；</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（6）掺假、掺杂、伪造，影响营养、卫生的；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（7）用非食品原料加工的，加入非食品用化学物质或将非食品当作食品的；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（8）超过保质期限的。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6.各类食材验收标准及退货依据：</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叶菜类：必须符合GB23200标准，外形正常，叶梗光滑幼嫩，不干瘪凋萎，无过多黄叶，色泽正常；去除根须，不含土，无虫害；大白菜、卷心菜切开心不变黑，无腐烂情形，无明显浸水现象；农药残留不超标。有味苦、鲜度嫩度明显不佳、含黄叶须根、泥土、虫害严重、萎捏严重、浸水后仍不可恢复、农药残留超标等情形的，予以退货。</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2）根茎类（如香芋、土豆、莴笋等）：必须符合GB23200标准，无虫咬、发芽、发霉现象，新鲜，形态大小与市场常规标准相当，农药残留不超标。有发芽严重、发霉、新鲜度不佳、形态大小与市场常规标准存在较大负偏差、农药残留超标等情形的，予以退货。</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（3）花果类（如西兰花、白菜花）：必须符合GB23200标准，无虫害，成熟度良好，新鲜固有的色泽鲜明，无发霉发黄，农药残留不超标。有不新鲜、发霉、虫害过多、农药残留超标等情形的，予以退货。</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4）瓜果类：必须符合GB23200标准，外表光亮无斑点，有新鲜连接的秧，形状正常、大小均匀，无软塌，成熟度适度，无腐烂，无污染，清洁、新鲜，无异味、无病虫损害，农药残留不超标。有不新鲜、软塌、腐烂、有异味、病虫损害严重、形状不正常、大小不适中、农药残留超标等情形的，予以退货。</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5）肉食类：符合鲜、冻片猪肉国家标准GB2707，冷鲜肉屠宰检验日期48小时内交付，冷冻肉剩余保存期不少于原有保质期的三分之二。猪肉、牛肉、鸡肉、鸭肉等必须具有动物检验检疫合格证明，新鲜无异味，无注水现象，并按食堂要求进行初步加工，如切块、片、段、丝等。</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6）禽蛋类：鲜（冻）鸡鸭、鸡副产品等必须具有动物检验检疫合格证明，符合国家标准GB/T37108，新鲜无异味，无注水现象，并按食堂要求进行初步加工，如切块、段等，鸡鸭类宰杀刨肚等。蛋壳清洁完整，灯光透视时整个蛋呈微红色，蛋黄不见或略有阴影，打开后蛋黄凸起完整并带有韧性，蛋白澄清透明，稀稠分明。</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（7）水产品类：必须符合GB2733标准，外表新鲜无异味，根据甲方要求大小适中及均匀，按照甲方要求进行加工，如活鱼类现场宰杀，刨肚去鳞等。</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8）调味品类：包括但不限于符合白砂糖国家标准GB/T317、食用盐国家标准GB/T5461及卫生标准GB2721、酿造酱油国家标准GB/T18186及卫生标准GB2717、味精卫生标准GB2720、淀粉制品卫生标准GB2713、绵白糖国家标准GB/T1445、食醋国家标准GB/T18187及卫生标准GB2719等，送达时的剩余保存期不少于原有保质期的三分之二。</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（9）米、面、油类：大米粳米一级符合国家标准GB1354；面粉小麦粉特制一等符合国家标准GB/T1355；食用油非转基因，符合国家标准GB1535。送达时的剩余保存期不少于原有保质期的三分之二。</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10）乳制品类：酸奶（小塑杯）必须符合GB19302标准，并拥有“SC”食品质量安全认证；鲜奶类（巴氏奶）必须符合GB19301标准，并拥有“SC”食品质量安全认证；乳制品类送达时的剩余保存期不少于原有保质期的三分之二，冷链运输，安全储存。</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（11）豆制品类：包括但不限于干丝、豆腐、千张等，必须具有“SC”食品质量安全认证。</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（12）水果类：水果必须符合GB23200系列标准，根据甲方要求大小适中及均匀，成熟度适中，品种好、口感好。</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7.乙方应在产品送货、验收、交付使用、售后服务等各个阶段对所供应的产品安全质量负责。</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六、产品交货及验收</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1.甲方批量采购时，乙方应于甲方指定的时间前，保质、按量、按需将采购产品免费配送卸货到甲方指定地点，甲乙双方在甲方现场共同验收；甲方零星临时采购时，应按上述要求执行。</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2.配送人员要求：乙方应固定配送人员，配送人员与驾驶人员可兼任，但不得随意变更，如有变更须经甲方同意。乙方需配备专门负责送货人员不少于2人，必须是乙方正式员工，在合同签订前向甲方提供健康证、劳动合同及社保机构出具的近一个月乙方为其缴纳的社会保险金缴纳清单。</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3.配送车辆要求：乙</w:t>
      </w:r>
      <w:r>
        <w:rPr>
          <w:rFonts w:hint="eastAsia" w:asciiTheme="minorEastAsia" w:hAnsiTheme="minorEastAsia" w:eastAsiaTheme="minorEastAsia" w:cstheme="minorEastAsia"/>
          <w:spacing w:val="-1"/>
          <w:position w:val="17"/>
          <w:sz w:val="21"/>
          <w:szCs w:val="21"/>
          <w:highlight w:val="none"/>
        </w:rPr>
        <w:t xml:space="preserve">方应具有满足项目配送所需的运输配送能力。配送车辆应符合相关卫生要求，做到每日清洗、消毒并做好消毒记录，车厢内无不良气味、异味。配送车辆及运输工具应清洁卫生无污染，食品运输必须采用符合卫生标准的外包装和运载工具，并保持清洁和定期消毒；运输途中严防日晒、雨淋，注意通风散热；货物应小心轻卸，严防机械损伤；食品堆放科学合理，避免造成食品的交叉污染；如对温度有要求的食品应确定食品的温度，记录送货车辆温度，并将记录存档。运输新鲜肉类、冷冻肉类、鲜活水产、冷冻水产等对存储有温度要求的食材时，须保证全程以冷链运输方式送达。</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4.产品验收按相应产品安全质量标准及产品的实际规格、数量等进行验收。乙方需将当日需要的所有食材、商品一次性打包送达，不得将项目转包、分包给其他人，不得将一批食材多次送货（统一配送，分别验收）。当日供货完毕后，双方应各自保存好经双方相关人员签字的供货清单（一式两份）。</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5.甲方应制定出供货计划，一般于每日17:00前通知乙方。乙方在接到甲方送货通知后，必须于次日07:00前送到甲方指定地点并验收完成。零星采购任务在工作时间内60分钟按照甲方要求送达指定位置；甲方临时增补的货物必须在60分钟内送达。否则按照违约责任条款追究责任。</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6.合同履行地点位于，乙方应充分考虑因天气恶劣导致高速公路封闭等原因，合理安排出货时间，确保不影响甲方正常供餐。</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7.所有食材来源均有书面依据，必须可追溯，供甲方随时抽检；如后续无法提供相关凭证材料，甲方有权终止合同。所供食材必须每批都持有相对应的检验检疫证明、产品合格证、生产日期、有效使用期限、包装状态、大小、产地等。</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8.所有产品因验收货物时不能直接判断质量的，在使用过程中发现不合格产品，乙方应作退货处理。物资验收中不合格产品，乙方应按甲方规定时间内调换，以不影响正常工作为准。</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9.验收标准及退货依据：乙方应严格遵守《动物检疫管理办法》《中华人民共和国食品安全法》等相关规定，一经发现供应不合格货品，除全部退货外，乙方承担由此造成的经济责任和法律责任。前两次甲方予以警告并按履约评价标准进行相关扣分，在当期结算时扣2000元/次，第三次甲方有权终止合同。</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10.</w:t>
      </w:r>
      <w:r>
        <w:rPr>
          <w:rFonts w:hint="eastAsia" w:asciiTheme="minorEastAsia" w:hAnsiTheme="minorEastAsia" w:eastAsiaTheme="minorEastAsia" w:cstheme="minorEastAsia"/>
          <w:spacing w:val="-1"/>
          <w:position w:val="17"/>
          <w:sz w:val="21"/>
          <w:szCs w:val="21"/>
          <w:highlight w:val="none"/>
          <w:lang w:eastAsia="zh-CN"/>
        </w:rPr>
        <w:t xml:space="preserve">乙方</w:t>
      </w:r>
      <w:r>
        <w:rPr>
          <w:rFonts w:hint="eastAsia" w:asciiTheme="minorEastAsia" w:hAnsiTheme="minorEastAsia" w:eastAsiaTheme="minorEastAsia" w:cstheme="minorEastAsia"/>
          <w:spacing w:val="-1"/>
          <w:position w:val="17"/>
          <w:sz w:val="21"/>
          <w:szCs w:val="21"/>
          <w:highlight w:val="none"/>
        </w:rPr>
        <w:t xml:space="preserve">供应的食材应为超市、农贸市场等主流流通渠道在售常规品牌；所供品牌市面少见、无法正常询价的，</w:t>
      </w:r>
      <w:r>
        <w:rPr>
          <w:rFonts w:hint="eastAsia" w:asciiTheme="minorEastAsia" w:hAnsiTheme="minorEastAsia" w:eastAsiaTheme="minorEastAsia" w:cstheme="minorEastAsia"/>
          <w:spacing w:val="-1"/>
          <w:position w:val="17"/>
          <w:sz w:val="21"/>
          <w:szCs w:val="21"/>
          <w:highlight w:val="none"/>
          <w:lang w:eastAsia="zh-CN"/>
        </w:rPr>
        <w:t xml:space="preserve">甲方</w:t>
      </w:r>
      <w:r>
        <w:rPr>
          <w:rFonts w:hint="eastAsia" w:asciiTheme="minorEastAsia" w:hAnsiTheme="minorEastAsia" w:eastAsiaTheme="minorEastAsia" w:cstheme="minorEastAsia"/>
          <w:spacing w:val="-1"/>
          <w:position w:val="17"/>
          <w:sz w:val="21"/>
          <w:szCs w:val="21"/>
          <w:highlight w:val="none"/>
        </w:rPr>
        <w:t xml:space="preserve">有权拒收。</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11.凡按重量计量物资，均以物品净重方式计量结算。</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12.乙方必须承诺甲方如遇应急或特殊情况下半小时内响应，1小时内送货到场；如未及时响应或响应但未及时到场，甲方有权依照履约评价细则扣分扣款或终止合同。</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w:t>
      </w:r>
      <w:r>
        <w:rPr>
          <w:rFonts w:hint="eastAsia" w:asciiTheme="minorEastAsia" w:hAnsiTheme="minorEastAsia" w:eastAsiaTheme="minorEastAsia" w:cstheme="minorEastAsia"/>
          <w:spacing w:val="-1"/>
          <w:position w:val="17"/>
          <w:sz w:val="21"/>
          <w:szCs w:val="21"/>
          <w:highlight w:val="none"/>
          <w:lang w:eastAsia="zh-CN"/>
        </w:rPr>
        <w:t xml:space="preserve">3</w:t>
      </w:r>
      <w:r>
        <w:rPr>
          <w:rFonts w:hint="eastAsia" w:asciiTheme="minorEastAsia" w:hAnsiTheme="minorEastAsia" w:eastAsiaTheme="minorEastAsia" w:cstheme="minorEastAsia"/>
          <w:spacing w:val="-1"/>
          <w:position w:val="17"/>
          <w:sz w:val="21"/>
          <w:szCs w:val="21"/>
          <w:highlight w:val="none"/>
        </w:rPr>
        <w:t xml:space="preserve">.甲乙双方均需保留好送货单据并签字确认，乙方须在次月10日前和甲方核对供货记录，开具正规发票并附完整的经甲方签收的送货单。</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七、履约保证金</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1.双方约定履约担保金额为20000元（大写：人民币贰万元整）。</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2.乙方须在合同签订前提交</w:t>
      </w:r>
      <w:r>
        <w:rPr>
          <w:rFonts w:hint="eastAsia" w:asciiTheme="minorEastAsia" w:hAnsiTheme="minorEastAsia" w:eastAsiaTheme="minorEastAsia" w:cstheme="minorEastAsia"/>
          <w:spacing w:val="-1"/>
          <w:position w:val="17"/>
          <w:sz w:val="21"/>
          <w:szCs w:val="21"/>
          <w:highlight w:val="none"/>
          <w:lang w:eastAsia="zh-CN"/>
        </w:rPr>
        <w:t xml:space="preserve">由</w:t>
      </w:r>
      <w:r>
        <w:rPr>
          <w:rFonts w:hint="eastAsia" w:asciiTheme="minorEastAsia" w:hAnsiTheme="minorEastAsia" w:eastAsiaTheme="minorEastAsia" w:cstheme="minorEastAsia"/>
          <w:spacing w:val="-1"/>
          <w:position w:val="17"/>
          <w:sz w:val="21"/>
          <w:szCs w:val="21"/>
          <w:highlight w:val="none"/>
        </w:rPr>
        <w:t xml:space="preserve">银行、保险公司、担保公司等第三方机构出具足额有效的履约保函。</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3.乙方如存在违反本合同约定、供应产品出现安全质量问题、造成采购人经济损失、造成采购人食堂员工和就餐人员人身伤害或财产损失等情形的，采购人有权依据保函约定向担保人索赔，用担保款项先行支付相关费用，并继续追究乙方的违约责任及经济赔偿责任。</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4.如乙方未能履行合同规定义务，采购人有权在履约担保金额范围内，就该项违约对应的损失向担保人索赔。</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5.在合同履行期间，乙方未出现招标文件及合同约定违约情形的，履约保函至有效期届满后自动失效。</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6.失效处理：保函有效期届满，担保人无需再承担担保责任，不存在保证金退还。</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7.履约保函有效期届满且担保人已按约定履行全部担保责任后自动失效。如乙方未按要求履行合同义务，由担保人按照保函（保险）及本合同约定向甲方承担赔偿责任。</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八、违约责任</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除不可抗力（如洪水、地震、火灾、风暴等自然灾害及战争、动乱、政府行为等社会事件）或甲方原因外，乙方出现以下违约情形，第一次给予警告并发送整改通知单要求改进，其后还将视违约情节轻重给予扣除履约保证金100元—1000元的处理：</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乙方供应产品在验收或使用过程中发现一般质量问题（如夹杂异物较多，以次充好，有轻微异味、缺斤少两、蔬菜黄叶或腐烂较多、含水量过高、规格不符等），但能及时退还或补足，未影响甲方食堂正常供应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（2）乙方未能按照甲方要求的规格、数量、时间、地点送货到位（含临时送货要求），但未影响甲方食堂正常供应的；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（3）乙方提供的食品索证材料虚假或不齐全，但事后能及时提供真实有效、齐全的索证材料的。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2.除不可抗力或甲方原因外，乙方出现以下较重违约情形，给予警告并发送整改通知单要求改进，扣除履约保证金500-3000元、承担甲方另行采购所有费用（包括货款、人工、运费等）的处理：</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（1）乙方未及时送货或无故停止送货（含临时送货要求），影响甲方食堂正常供应，迫使甲方另行采购，给甲方造成不良影响和经济损失的；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（2）乙方不能提供真实有效、齐全的食品索证材料，影响甲方食堂正常供应，迫使甲方另行采购的；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（3）乙方在合同供货有效期内违反产品质量和安全保证及售后服务承诺的，应向甲方偿付履约保证金，并赔偿甲方由此造成的一切损失。</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3.乙方供应不合格货品的，前两次甲方予以警告并按履约评价标准进行相关扣分，在当期结算时扣2000元/次，第三次甲方有权终止合同。</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lang w:eastAsia="zh-CN"/>
        </w:rPr>
        <w:t xml:space="preserve">九</w:t>
      </w:r>
      <w:r>
        <w:rPr>
          <w:rFonts w:hint="eastAsia" w:asciiTheme="minorEastAsia" w:hAnsiTheme="minorEastAsia" w:eastAsiaTheme="minorEastAsia" w:cstheme="minorEastAsia"/>
          <w:spacing w:val="-1"/>
          <w:position w:val="17"/>
          <w:sz w:val="21"/>
          <w:szCs w:val="21"/>
          <w:highlight w:val="none"/>
        </w:rPr>
        <w:t xml:space="preserve">、合同终止</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1.因不可抗力原因或因政策调整，致使本合同无法继续履行的，本合同自然终止，双方均不承担违约责任。</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2.如发生下列情况之一，甲方有权立即终止本合同并扣除乙方的全部履约保证金，取消乙方三年内参与甲方所有项目的投标资格：</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（1）乙方擅自终止本合同或无故停止供货的；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（2）月度考核得分低于80分的；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（3）乙方受警告、整改通知超过3次的；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（4）乙方供应的产品经检测不合格的；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（5）乙方供应的产品是《中华人民共和国食品安全法》禁止生产经营的食品的；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（6）乙方供应的食材在使用过程中引发爆炸、火灾、大面积肠道传染病、食物中毒、设备设施损毁、人员受伤等安全质量事故或具有较大影响的行为，给甲方造成不良影响或经济损失的；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（7）乙方擅自使用甲方名义进行营销和宣传等活动的；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（8）乙方未经甲方同意，向第三人转包或分包供货业务的；</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（9）发生其他较大过失，给甲方造成重大不良影响或经济损失。</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十、其他约定事项</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乙方提供的产品的品类、规格应与本合同约定的相一致。如因产品供求状况、市场价格变动等因素，确需调整产品的品类、规格的，需经甲乙双方协商一致后执行。因市场特殊原因，个别食材品种不能及时提供的，乙方应提前与甲方沟通协调，更换品种，满足需要。</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2.甲方有权对乙方提供的产品进行随机抽样，送政府认可的质检部门进行检测，如乙方产品检测不合格，检测费用由乙方承担，并给予终止合同的处理。检测合格的由甲方承担检测费用。</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3.在甲方使用过程中发现产品安全质量问题时，乙方接到甲方通知后应及时进行处理，或派服务人员到现场排除故障、协调处理。</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4.乙方在配送过程中，应严格遵守车辆行驶、货物运输及装卸的安全规定，在甲方单位内部区域按行车规定行驶，注意避让，确保人身财产安全。在生产配送过程中发生安全（含交通）事故，造成车辆损坏、人员伤亡及其他一切安全（含交通）生产事故，责任由乙方全部承担，与甲方无关。</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5.乙方应主动接受政府部门和甲方的监督、检查和指导，及时整改甲方提出的产品质量安全或配送服务中存在的问题。</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6.乙方承诺以最优惠的价格向甲方供应同类其他产品。</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7.乙方应严格遵守和履行《服务承诺书》中的有关要求。</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8.本项目预算中的全年采购金额为预估数，采购人不对全年采购金额做承诺。</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9.乙方为保障食品安全、提升运营效率和确保业务合规，应具有常温仓库、冷冻库、冷藏库。</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10.乙方不得将本项目转包、分包给他人，否则甲方有权单方终止合同，由此产生的一切经济损失由乙方自行承担。</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11.乙方须对全部采购货物进行供应，不可以选择性供应。货品应严格遵守国家及地方相关标准。</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12.包装：如果该项货品有外包装，则包装必须完整，无破损、积压或遭开封现象；商标及生产日期清晰明确，无涂改现象；符合《预包装产品标签通则》的相关规定。</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13.所有食品的来源必须清晰。蔬菜来源应当为受地方政府部门监管的自有基地、商品菜基地或蔬菜专业流通市场，严禁收购散户农民的蔬菜供应。</w:t>
      </w:r>
      <w:r/>
    </w:p>
    <w:p>
      <w:pPr>
        <w:pStyle w:val="1220"/>
        <w:ind w:firstLine="416"/>
        <w:jc w:val="left"/>
        <w:spacing w:after="0" w:line="360" w:lineRule="auto"/>
        <w:rPr>
          <w:rFonts w:hint="eastAsia" w:asciiTheme="minorEastAsia" w:hAnsiTheme="minorEastAsia" w:eastAsiaTheme="minorEastAsia" w:cstheme="minorEastAsia"/>
          <w:spacing w:val="-1"/>
          <w:position w:val="17"/>
          <w:sz w:val="21"/>
          <w:szCs w:val="21"/>
          <w:highlight w:val="none"/>
        </w:rPr>
      </w:pPr>
      <w:r>
        <w:rPr>
          <w:rFonts w:hint="eastAsia" w:asciiTheme="minorEastAsia" w:hAnsiTheme="minorEastAsia" w:eastAsiaTheme="minorEastAsia" w:cstheme="minorEastAsia"/>
          <w:spacing w:val="-1"/>
          <w:position w:val="17"/>
          <w:sz w:val="21"/>
          <w:szCs w:val="21"/>
          <w:highlight w:val="none"/>
        </w:rPr>
        <w:t xml:space="preserve">14.与本合同相关的甲方招标文件、乙方招标文件及本合同执行过程中双方签订的合同变更文件、补充协议、洽谈纪要、品种或价格调整文件等均为本合同的补充件，具有同等法律效力。</w:t>
      </w:r>
      <w:r/>
    </w:p>
    <w:p>
      <w:pPr>
        <w:pStyle w:val="1220"/>
        <w:ind w:firstLine="412"/>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2"/>
          <w:sz w:val="21"/>
          <w:szCs w:val="21"/>
          <w:highlight w:val="none"/>
        </w:rPr>
        <w:t xml:space="preserve">十</w:t>
      </w:r>
      <w:r>
        <w:rPr>
          <w:rFonts w:hint="eastAsia" w:asciiTheme="minorEastAsia" w:hAnsiTheme="minorEastAsia" w:eastAsiaTheme="minorEastAsia" w:cstheme="minorEastAsia"/>
          <w:spacing w:val="-2"/>
          <w:sz w:val="21"/>
          <w:szCs w:val="21"/>
          <w:highlight w:val="none"/>
          <w:lang w:eastAsia="zh-CN"/>
        </w:rPr>
        <w:t xml:space="preserve">一</w:t>
      </w:r>
      <w:r>
        <w:rPr>
          <w:rFonts w:hint="eastAsia" w:asciiTheme="minorEastAsia" w:hAnsiTheme="minorEastAsia" w:eastAsiaTheme="minorEastAsia" w:cstheme="minorEastAsia"/>
          <w:spacing w:val="-2"/>
          <w:sz w:val="21"/>
          <w:szCs w:val="21"/>
          <w:highlight w:val="none"/>
        </w:rPr>
        <w:t xml:space="preserve">、争议处理</w:t>
      </w:r>
      <w:r/>
    </w:p>
    <w:p>
      <w:pPr>
        <w:pStyle w:val="1220"/>
        <w:ind w:firstLine="416"/>
        <w:jc w:val="left"/>
        <w:spacing w:after="0" w:line="360" w:lineRule="auto"/>
        <w:rPr>
          <w:rFonts w:hint="eastAsia" w:asciiTheme="minorEastAsia" w:hAnsiTheme="minorEastAsia" w:eastAsiaTheme="minorEastAsia" w:cstheme="minorEastAsia"/>
          <w:spacing w:val="-1"/>
          <w:sz w:val="21"/>
          <w:szCs w:val="21"/>
          <w:highlight w:val="none"/>
        </w:rPr>
      </w:pPr>
      <w:r>
        <w:rPr>
          <w:rFonts w:hint="eastAsia" w:asciiTheme="minorEastAsia" w:hAnsiTheme="minorEastAsia" w:eastAsiaTheme="minorEastAsia" w:cstheme="minorEastAsia"/>
          <w:spacing w:val="-1"/>
          <w:sz w:val="21"/>
          <w:szCs w:val="21"/>
          <w:highlight w:val="none"/>
        </w:rPr>
        <w:t xml:space="preserve">对合同履行过程中发生的争议，双方应友好协商解决，协商不成可向甲方所在地人民法院起诉。</w:t>
      </w:r>
      <w:r/>
    </w:p>
    <w:p>
      <w:pPr>
        <w:pStyle w:val="1220"/>
        <w:ind w:firstLine="408"/>
        <w:jc w:val="left"/>
        <w:spacing w:after="0" w:line="360" w:lineRule="auto"/>
        <w:rPr>
          <w:rFonts w:hint="eastAsia" w:asciiTheme="minorEastAsia" w:hAnsiTheme="minorEastAsia" w:eastAsiaTheme="minorEastAsia" w:cstheme="minorEastAsia"/>
          <w:spacing w:val="-3"/>
          <w:sz w:val="21"/>
          <w:szCs w:val="21"/>
          <w:highlight w:val="none"/>
        </w:rPr>
      </w:pPr>
      <w:r>
        <w:rPr>
          <w:rFonts w:hint="eastAsia" w:asciiTheme="minorEastAsia" w:hAnsiTheme="minorEastAsia" w:eastAsiaTheme="minorEastAsia" w:cstheme="minorEastAsia"/>
          <w:spacing w:val="-3"/>
          <w:sz w:val="21"/>
          <w:szCs w:val="21"/>
          <w:highlight w:val="none"/>
        </w:rPr>
        <w:t xml:space="preserve">十</w:t>
      </w:r>
      <w:r>
        <w:rPr>
          <w:rFonts w:hint="eastAsia" w:asciiTheme="minorEastAsia" w:hAnsiTheme="minorEastAsia" w:eastAsiaTheme="minorEastAsia" w:cstheme="minorEastAsia"/>
          <w:spacing w:val="-3"/>
          <w:sz w:val="21"/>
          <w:szCs w:val="21"/>
          <w:highlight w:val="none"/>
          <w:lang w:eastAsia="zh-CN"/>
        </w:rPr>
        <w:t xml:space="preserve">二</w:t>
      </w:r>
      <w:r>
        <w:rPr>
          <w:rFonts w:hint="eastAsia" w:asciiTheme="minorEastAsia" w:hAnsiTheme="minorEastAsia" w:eastAsiaTheme="minorEastAsia" w:cstheme="minorEastAsia"/>
          <w:spacing w:val="-3"/>
          <w:sz w:val="21"/>
          <w:szCs w:val="21"/>
          <w:highlight w:val="none"/>
        </w:rPr>
        <w:t xml:space="preserve">、合同生效</w:t>
      </w:r>
      <w:r/>
    </w:p>
    <w:p>
      <w:pPr>
        <w:rPr>
          <w:rFonts w:hint="eastAsia" w:ascii="等线" w:hAnsi="等线" w:eastAsia="等线" w:cs="等线"/>
          <w:spacing w:val="-3"/>
          <w:highlight w:val="none"/>
        </w:rPr>
      </w:pPr>
      <w:r>
        <w:rPr>
          <w:rFonts w:hint="eastAsia" w:ascii="等线" w:hAnsi="等线" w:eastAsia="等线" w:cs="等线"/>
          <w:spacing w:val="-3"/>
          <w:highlight w:val="none"/>
        </w:rPr>
        <w:br w:type="page" w:clear="all"/>
      </w:r>
      <w:r/>
    </w:p>
    <w:p>
      <w:pPr>
        <w:pStyle w:val="1220"/>
        <w:jc w:val="left"/>
        <w:spacing w:after="0" w:line="360" w:lineRule="auto"/>
        <w:rPr>
          <w:rFonts w:hint="eastAsia" w:asciiTheme="minorEastAsia" w:hAnsiTheme="minorEastAsia" w:eastAsiaTheme="minorEastAsia" w:cstheme="minorEastAsia"/>
          <w:spacing w:val="-1"/>
          <w:sz w:val="21"/>
          <w:szCs w:val="21"/>
          <w:highlight w:val="none"/>
        </w:rPr>
      </w:pPr>
      <w:r>
        <w:rPr>
          <w:rFonts w:hint="eastAsia" w:asciiTheme="minorEastAsia" w:hAnsiTheme="minorEastAsia" w:eastAsiaTheme="minorEastAsia" w:cstheme="minorEastAsia"/>
          <w:spacing w:val="-1"/>
          <w:sz w:val="21"/>
          <w:szCs w:val="21"/>
          <w:highlight w:val="none"/>
        </w:rPr>
        <w:t xml:space="preserve">本合同一式份，甲方留存份，乙方留存份，经双方签字盖章后生效。</w:t>
      </w:r>
      <w:r/>
    </w:p>
    <w:p>
      <w:pPr>
        <w:jc w:val="left"/>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bl>
      <w:tblPr>
        <w:tblStyle w:val="8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8"/>
        <w:gridCol w:w="4508"/>
      </w:tblGrid>
      <w:tr>
        <w:trPr/>
        <w:tc>
          <w:tcPr>
            <w:tcBorders>
              <w:top w:val="none" w:color="000000" w:sz="4" w:space="0"/>
              <w:left w:val="none" w:color="000000" w:sz="4" w:space="0"/>
              <w:bottom w:val="none" w:color="000000" w:sz="4" w:space="0"/>
              <w:right w:val="none" w:color="000000" w:sz="4" w:space="0"/>
            </w:tcBorders>
            <w:tcW w:w="4817" w:type="dxa"/>
            <w:textDirection w:val="lrTb"/>
            <w:noWrap w:val="false"/>
          </w:tcPr>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甲方（公章）：</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授权代表：</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签约日期：</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地址：</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电话：</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传真：</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开户行：</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账号：</w:t>
            </w:r>
            <w:r/>
          </w:p>
          <w:p>
            <w:pPr>
              <w:jc w:val="left"/>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税号：</w:t>
            </w:r>
            <w:r/>
          </w:p>
        </w:tc>
        <w:tc>
          <w:tcPr>
            <w:tcBorders>
              <w:top w:val="none" w:color="000000" w:sz="4" w:space="0"/>
              <w:left w:val="none" w:color="000000" w:sz="4" w:space="0"/>
              <w:bottom w:val="none" w:color="000000" w:sz="4" w:space="0"/>
              <w:right w:val="none" w:color="000000" w:sz="4" w:space="0"/>
            </w:tcBorders>
            <w:tcW w:w="4818" w:type="dxa"/>
            <w:textDirection w:val="lrTb"/>
            <w:noWrap w:val="false"/>
          </w:tcPr>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乙方</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公章）：</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授权代表：</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签约日期：</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地址：</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电话：</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传真：</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开户行：</w:t>
            </w:r>
            <w:r/>
          </w:p>
          <w:p>
            <w:pPr>
              <w:pStyle w:val="1220"/>
              <w:jc w:val="left"/>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账号：</w:t>
            </w:r>
            <w:r/>
          </w:p>
          <w:p>
            <w:pPr>
              <w:jc w:val="left"/>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税号：</w:t>
            </w:r>
            <w:r/>
          </w:p>
        </w:tc>
      </w:tr>
    </w:tbl>
    <w:p>
      <w:pPr>
        <w:rPr>
          <w:highlight w:val="none"/>
        </w:rPr>
      </w:pPr>
      <w:r>
        <w:rPr>
          <w:highlight w:val="none"/>
        </w:rPr>
      </w:r>
      <w:r/>
    </w:p>
    <w:p>
      <w:pPr>
        <w:ind w:firstLine="420"/>
        <w:rPr>
          <w:rFonts w:hint="eastAsia" w:asciiTheme="minorEastAsia" w:hAnsiTheme="minorEastAsia" w:eastAsiaTheme="minorEastAsia"/>
          <w:highlight w:val="none"/>
        </w:rPr>
      </w:pPr>
      <w:r>
        <w:rPr>
          <w:rFonts w:hint="eastAsia" w:asciiTheme="minorEastAsia" w:hAnsiTheme="minorEastAsia" w:eastAsiaTheme="minorEastAsia"/>
          <w:szCs w:val="22"/>
          <w:highlight w:val="none"/>
        </w:rPr>
        <w:br w:type="page" w:clear="all"/>
      </w:r>
      <w:r/>
    </w:p>
    <w:p>
      <w:pPr>
        <w:pStyle w:val="852"/>
        <w:numPr>
          <w:ilvl w:val="0"/>
          <w:numId w:val="0"/>
        </w:numPr>
        <w:rPr>
          <w:rFonts w:hint="eastAsia" w:asciiTheme="minorEastAsia" w:hAnsiTheme="minorEastAsia" w:eastAsiaTheme="minorEastAsia"/>
          <w:highlight w:val="none"/>
        </w:rPr>
      </w:pPr>
      <w:r/>
      <w:bookmarkStart w:id="139" w:name="_Toc8775"/>
      <w:r>
        <w:rPr>
          <w:rFonts w:hint="eastAsia" w:asciiTheme="minorEastAsia" w:hAnsiTheme="minorEastAsia" w:eastAsiaTheme="minorEastAsia"/>
          <w:highlight w:val="none"/>
        </w:rPr>
        <w:t xml:space="preserve">第六章 投标文件格式</w:t>
      </w:r>
      <w:bookmarkEnd w:id="138"/>
      <w:r/>
      <w:bookmarkEnd w:id="139"/>
      <w:r/>
      <w:r/>
    </w:p>
    <w:p>
      <w:pPr>
        <w:jc w:val="left"/>
        <w:spacing w:line="240" w:lineRule="atLeast"/>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jc w:val="cente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jc w:val="center"/>
        <w:rPr>
          <w:rFonts w:hint="eastAsia" w:asciiTheme="minorEastAsia" w:hAnsiTheme="minorEastAsia" w:eastAsiaTheme="minorEastAsia"/>
          <w:sz w:val="52"/>
          <w:szCs w:val="52"/>
          <w:highlight w:val="none"/>
        </w:rPr>
      </w:pPr>
      <w:r>
        <w:rPr>
          <w:rFonts w:hint="eastAsia" w:asciiTheme="minorEastAsia" w:hAnsiTheme="minorEastAsia" w:eastAsiaTheme="minorEastAsia"/>
          <w:sz w:val="52"/>
          <w:szCs w:val="52"/>
          <w:highlight w:val="none"/>
        </w:rPr>
        <w:t xml:space="preserve">投标文件</w:t>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spacing w:line="360" w:lineRule="auto"/>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spacing w:line="360" w:lineRule="auto"/>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ind w:firstLine="1084"/>
        <w:spacing w:line="360" w:lineRule="auto"/>
        <w:rPr>
          <w:rFonts w:hint="eastAsia" w:asciiTheme="minorEastAsia" w:hAnsiTheme="minorEastAsia" w:eastAsiaTheme="minorEastAsia"/>
          <w:b/>
          <w:sz w:val="36"/>
          <w:szCs w:val="21"/>
          <w:highlight w:val="none"/>
        </w:rPr>
      </w:pPr>
      <w:r>
        <w:rPr>
          <w:rFonts w:hint="eastAsia" w:asciiTheme="minorEastAsia" w:hAnsiTheme="minorEastAsia" w:eastAsiaTheme="minorEastAsia"/>
          <w:b/>
          <w:sz w:val="36"/>
          <w:szCs w:val="21"/>
          <w:highlight w:val="none"/>
        </w:rPr>
        <w:t xml:space="preserve">项目名称：</w:t>
      </w:r>
      <w:r/>
    </w:p>
    <w:p>
      <w:pPr>
        <w:ind w:firstLine="1084"/>
        <w:spacing w:line="360" w:lineRule="auto"/>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项目编号：</w:t>
      </w:r>
      <w:r/>
    </w:p>
    <w:p>
      <w:pPr>
        <w:ind w:firstLine="1084"/>
        <w:spacing w:line="360" w:lineRule="auto"/>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投标人名称：</w:t>
      </w:r>
      <w:r>
        <w:rPr>
          <w:rFonts w:hint="eastAsia" w:asciiTheme="minorEastAsia" w:hAnsiTheme="minorEastAsia" w:eastAsiaTheme="minorEastAsia"/>
          <w:b/>
          <w:sz w:val="36"/>
          <w:szCs w:val="21"/>
          <w:highlight w:val="none"/>
          <w:u w:val="single"/>
        </w:rPr>
        <w:t xml:space="preserve">（加盖电子公章）</w:t>
      </w:r>
      <w:r/>
    </w:p>
    <w:p>
      <w:pPr>
        <w:ind w:firstLine="1084"/>
        <w:spacing w:line="360" w:lineRule="auto"/>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日    期：</w:t>
      </w:r>
      <w:r/>
    </w:p>
    <w:p>
      <w:pPr>
        <w:jc w:val="center"/>
        <w:rPr>
          <w:rFonts w:hint="eastAsia"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br/>
      </w:r>
      <w:r/>
    </w:p>
    <w:p>
      <w:pPr>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rPr>
          <w:rFonts w:hint="eastAsia" w:asciiTheme="minorEastAsia" w:hAnsiTheme="minorEastAsia" w:eastAsiaTheme="minorEastAsia"/>
          <w:highlight w:val="none"/>
        </w:rPr>
      </w:pPr>
      <w:r>
        <w:rPr>
          <w:highlight w:val="none"/>
        </w:rPr>
        <w:br w:type="page" w:clear="all"/>
      </w:r>
      <w:r/>
    </w:p>
    <w:p>
      <w:pPr>
        <w:pStyle w:val="853"/>
        <w:numPr>
          <w:ilvl w:val="1"/>
          <w:numId w:val="0"/>
        </w:numPr>
        <w:ind w:firstLine="420"/>
        <w:rPr>
          <w:rFonts w:hint="eastAsia" w:asciiTheme="minorEastAsia" w:hAnsiTheme="minorEastAsia" w:eastAsiaTheme="minorEastAsia"/>
          <w:highlight w:val="none"/>
        </w:rPr>
      </w:pPr>
      <w:r/>
      <w:bookmarkStart w:id="140" w:name="_Toc66375424"/>
      <w:r/>
      <w:bookmarkStart w:id="141" w:name="_Toc43917771"/>
      <w:r>
        <w:rPr>
          <w:rFonts w:hint="eastAsia" w:asciiTheme="minorEastAsia" w:hAnsiTheme="minorEastAsia" w:eastAsiaTheme="minorEastAsia"/>
          <w:highlight w:val="none"/>
        </w:rPr>
        <w:t xml:space="preserve">附件一、投标函</w:t>
      </w:r>
      <w:bookmarkEnd w:id="140"/>
      <w:r/>
      <w:bookmarkEnd w:id="141"/>
      <w:r/>
      <w:r/>
    </w:p>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b/>
          <w:sz w:val="32"/>
          <w:szCs w:val="32"/>
          <w:highlight w:val="none"/>
        </w:rPr>
        <w:t xml:space="preserve">投标函</w:t>
      </w:r>
      <w:r/>
    </w:p>
    <w:p>
      <w:pP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致：南京市公共交通和城市轨道公安局</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根据贵方</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bCs/>
          <w:szCs w:val="21"/>
          <w:highlight w:val="none"/>
          <w:u w:val="single"/>
        </w:rPr>
        <w:t xml:space="preserve">（</w:t>
      </w:r>
      <w:r>
        <w:rPr>
          <w:rFonts w:hint="eastAsia" w:asciiTheme="minorEastAsia" w:hAnsiTheme="minorEastAsia" w:eastAsiaTheme="minorEastAsia"/>
          <w:szCs w:val="21"/>
          <w:highlight w:val="none"/>
        </w:rPr>
        <w:t xml:space="preserve">项目名称）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（项目编号）投标邀请，正式授权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(姓名和职务)代表投标人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（投标人名称），提交投标文件。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据此函，我公司兹宣布声明和承诺如下：</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1.我们的资格条件完全符合政府采购法和本次采购要求，我们同意并向贵方提供了与投标有关的所有证据和资料。</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42" w:name="_Hlk44577678"/>
      <w:r>
        <w:rPr>
          <w:rFonts w:hint="eastAsia" w:asciiTheme="minorEastAsia" w:hAnsiTheme="minorEastAsia" w:eastAsiaTheme="minorEastAsia"/>
          <w:szCs w:val="21"/>
          <w:highlight w:val="none"/>
        </w:rPr>
        <w:t xml:space="preserve">2.本项目交付时间为：</w:t>
      </w:r>
      <w:r>
        <w:rPr>
          <w:rFonts w:hint="eastAsia" w:asciiTheme="minorEastAsia" w:hAnsiTheme="minorEastAsia" w:eastAsiaTheme="minorEastAsia"/>
          <w:szCs w:val="21"/>
          <w:highlight w:val="none"/>
          <w:u w:val="single"/>
        </w:rPr>
        <w:t xml:space="preserve">满足采购文件要求</w:t>
      </w:r>
      <w:r>
        <w:rPr>
          <w:rFonts w:hint="eastAsia" w:asciiTheme="minorEastAsia" w:hAnsiTheme="minorEastAsia" w:eastAsiaTheme="minorEastAsia"/>
          <w:szCs w:val="21"/>
          <w:highlight w:val="none"/>
        </w:rPr>
        <w:t xml:space="preserve">。</w:t>
      </w:r>
      <w:bookmarkEnd w:id="142"/>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3.我们已详细阅读全部采购文件及其有效补充文件，我们放弃对采购文件任何误解的权利，提交投标文件后，不对采购文件本身提出质疑。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5.一旦我方中标，我方将根据采购文件的规定严格履行合同，并保证于承诺的时间完成相关服务，交付采购人验收、使用。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地   址：</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电   话：</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传   真：</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开户银行：</w:t>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银行账号：</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8.</w:t>
      </w:r>
      <w:r>
        <w:rPr>
          <w:rFonts w:hint="eastAsia" w:asciiTheme="minorEastAsia" w:hAnsiTheme="minorEastAsia" w:eastAsiaTheme="minorEastAsia"/>
          <w:bCs/>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r>
      <w:r/>
    </w:p>
    <w:p>
      <w:pPr>
        <w:ind w:firstLine="422"/>
        <w:jc w:val="cente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r>
      <w:r/>
    </w:p>
    <w:p>
      <w:pPr>
        <w:ind w:firstLine="422"/>
        <w:jc w:val="cente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r>
      <w:r/>
    </w:p>
    <w:p>
      <w:pPr>
        <w:ind w:firstLine="422"/>
        <w:jc w:val="cente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营业执照扫描件：</w:t>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bookmarkStart w:id="143" w:name="_Hlk176254267"/>
      <w:r>
        <w:rPr>
          <w:rFonts w:hint="eastAsia" w:asciiTheme="minorEastAsia" w:hAnsiTheme="minorEastAsia" w:eastAsiaTheme="minorEastAsia"/>
          <w:szCs w:val="21"/>
          <w:highlight w:val="none"/>
        </w:rPr>
        <w:t xml:space="preserve">加盖电子公章</w:t>
      </w:r>
      <w:bookmarkEnd w:id="143"/>
      <w:r>
        <w:rPr>
          <w:rFonts w:hint="eastAsia"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年</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月</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53"/>
        <w:rPr>
          <w:highlight w:val="none"/>
        </w:rPr>
      </w:pPr>
      <w:r/>
      <w:bookmarkStart w:id="144" w:name="_Toc66375425"/>
      <w:r/>
      <w:bookmarkStart w:id="145" w:name="_Toc43917772"/>
      <w:r>
        <w:rPr>
          <w:rFonts w:hint="eastAsia"/>
          <w:highlight w:val="none"/>
        </w:rPr>
        <w:t xml:space="preserve">附件二、法定代表人授权委托书</w:t>
      </w:r>
      <w:bookmarkEnd w:id="144"/>
      <w:r/>
      <w:bookmarkEnd w:id="145"/>
      <w:r/>
      <w:r/>
    </w:p>
    <w:p>
      <w:pPr>
        <w:ind w:firstLine="720"/>
        <w:jc w:val="center"/>
        <w:spacing w:line="360" w:lineRule="auto"/>
        <w:shd w:val="clear" w:color="auto" w:fill="ffffff"/>
        <w:widowControl/>
        <w:rPr>
          <w:rFonts w:hint="eastAsia" w:asciiTheme="minorEastAsia" w:hAnsiTheme="minorEastAsia" w:eastAsiaTheme="minorEastAsia"/>
          <w:sz w:val="36"/>
          <w:szCs w:val="36"/>
          <w:highlight w:val="none"/>
        </w:rPr>
      </w:pPr>
      <w:r>
        <w:rPr>
          <w:rFonts w:hint="eastAsia" w:asciiTheme="minorEastAsia" w:hAnsiTheme="minorEastAsia" w:eastAsiaTheme="minorEastAsia"/>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致：南京市公共交通和城市轨道公安局</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本授权书声明：注册于</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（投标人住址）的</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（投标人名称）法定代表人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（法定代表人姓名、职务）代表本公司授权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（投标人代表姓名、职务）为本公司的合法代理人，就贵方组织的</w:t>
      </w:r>
      <w:r>
        <w:rPr>
          <w:rFonts w:hint="eastAsia" w:asciiTheme="minorEastAsia" w:hAnsiTheme="minorEastAsia" w:eastAsiaTheme="minorEastAsia"/>
          <w:b/>
          <w:bCs/>
          <w:szCs w:val="21"/>
          <w:highlight w:val="none"/>
          <w:u w:val="single"/>
        </w:rPr>
        <w:t xml:space="preserve">          </w:t>
      </w: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本授权书于    年  月  </w:t>
      </w:r>
      <w:bookmarkStart w:id="146" w:name="_Hlk176528397"/>
      <w:r>
        <w:rPr>
          <w:rFonts w:hint="eastAsia" w:asciiTheme="minorEastAsia" w:hAnsiTheme="minorEastAsia" w:eastAsiaTheme="minorEastAsia"/>
          <w:szCs w:val="21"/>
          <w:highlight w:val="none"/>
        </w:rPr>
        <w:t xml:space="preserve">日加盖电子公章</w:t>
      </w:r>
      <w:bookmarkEnd w:id="146"/>
      <w:r>
        <w:rPr>
          <w:rFonts w:hint="eastAsia" w:asciiTheme="minorEastAsia" w:hAnsiTheme="minorEastAsia" w:eastAsiaTheme="minorEastAsia"/>
          <w:szCs w:val="21"/>
          <w:highlight w:val="none"/>
        </w:rPr>
        <w:t xml:space="preserve">生效，特此声明。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25"/>
        <w:jc w:val="left"/>
        <w:spacing w:line="360" w:lineRule="auto"/>
        <w:shd w:val="clear" w:color="auto" w:fill="ffffff"/>
        <w:widowControl/>
        <w:rPr>
          <w:rFonts w:hint="eastAsia" w:asciiTheme="minorEastAsia" w:hAnsiTheme="minorEastAsia" w:eastAsiaTheme="minorEastAsia"/>
          <w:szCs w:val="21"/>
          <w:highlight w:val="none"/>
        </w:rPr>
      </w:pPr>
      <w:r/>
      <w:bookmarkStart w:id="147" w:name="_Hlk176254280"/>
      <w:r>
        <w:rPr>
          <w:rFonts w:hint="eastAsia" w:asciiTheme="minorEastAsia" w:hAnsiTheme="minorEastAsia" w:eastAsiaTheme="minorEastAsia"/>
          <w:szCs w:val="21"/>
          <w:highlight w:val="none"/>
        </w:rPr>
        <w:t xml:space="preserve">投标人（</w:t>
      </w:r>
      <w:bookmarkStart w:id="148" w:name="OLE_LINK3"/>
      <w:r>
        <w:rPr>
          <w:rFonts w:hint="eastAsia" w:asciiTheme="minorEastAsia" w:hAnsiTheme="minorEastAsia" w:eastAsiaTheme="minorEastAsia"/>
          <w:szCs w:val="21"/>
          <w:highlight w:val="none"/>
        </w:rPr>
        <w:t xml:space="preserve">加盖电子公章</w:t>
      </w:r>
      <w:bookmarkEnd w:id="148"/>
      <w:r>
        <w:rPr>
          <w:rFonts w:hint="eastAsia" w:asciiTheme="minorEastAsia" w:hAnsiTheme="minorEastAsia" w:eastAsiaTheme="minorEastAsia"/>
          <w:szCs w:val="21"/>
          <w:highlight w:val="none"/>
        </w:rPr>
        <w:t xml:space="preserve">）： </w:t>
      </w:r>
      <w:bookmarkEnd w:id="147"/>
      <w:r>
        <w:rPr>
          <w:rFonts w:hint="eastAsia" w:asciiTheme="minorEastAsia" w:hAnsiTheme="minorEastAsia" w:eastAsiaTheme="minorEastAsia"/>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bookmarkStart w:id="149" w:name="_Hlk45291991"/>
      <w:r>
        <w:rPr>
          <w:rFonts w:hint="eastAsia" w:asciiTheme="minorEastAsia" w:hAnsiTheme="minorEastAsia" w:eastAsiaTheme="minorEastAsia"/>
          <w:szCs w:val="21"/>
          <w:highlight w:val="none"/>
        </w:rPr>
        <w:t xml:space="preserve">法定代表人身份证的复印件:</w:t>
      </w:r>
      <w:bookmarkEnd w:id="149"/>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rPr>
          <w:rFonts w:hint="eastAsia" w:asciiTheme="minorEastAsia" w:hAnsiTheme="minorEastAsia" w:eastAsiaTheme="minorEastAsia"/>
          <w:highlight w:val="none"/>
        </w:rPr>
      </w:pPr>
      <w:r>
        <w:rPr>
          <w:highlight w:val="none"/>
        </w:rPr>
        <w:br w:type="page" w:clear="all"/>
      </w:r>
      <w:r/>
    </w:p>
    <w:p>
      <w:pPr>
        <w:pStyle w:val="853"/>
        <w:rPr>
          <w:rFonts w:hint="eastAsia" w:asciiTheme="minorEastAsia" w:hAnsiTheme="minorEastAsia" w:eastAsiaTheme="minorEastAsia"/>
          <w:highlight w:val="none"/>
        </w:rPr>
      </w:pPr>
      <w:r/>
      <w:bookmarkStart w:id="150" w:name="_Toc66375435"/>
      <w:r/>
      <w:bookmarkStart w:id="151" w:name="_Toc43917782"/>
      <w:r>
        <w:rPr>
          <w:rFonts w:hint="eastAsia" w:asciiTheme="minorEastAsia" w:hAnsiTheme="minorEastAsia" w:eastAsiaTheme="minorEastAsia"/>
          <w:highlight w:val="none"/>
        </w:rPr>
        <w:t xml:space="preserve">附件三、资格证明文件</w:t>
      </w:r>
      <w:bookmarkEnd w:id="150"/>
      <w:r/>
      <w:bookmarkEnd w:id="151"/>
      <w:r/>
      <w:r/>
    </w:p>
    <w:p>
      <w:pPr>
        <w:ind w:firstLine="420"/>
        <w:spacing w:line="360" w:lineRule="auto"/>
        <w:rPr>
          <w:rFonts w:hint="eastAsia" w:asciiTheme="minorEastAsia" w:hAnsiTheme="minorEastAsia" w:eastAsiaTheme="minorEastAsia"/>
          <w:bCs/>
          <w:szCs w:val="21"/>
          <w:highlight w:val="none"/>
        </w:rPr>
      </w:pPr>
      <w:r/>
      <w:bookmarkStart w:id="152" w:name="_Hlk168584506"/>
      <w:r>
        <w:rPr>
          <w:rFonts w:hint="eastAsia" w:asciiTheme="minorEastAsia" w:hAnsiTheme="minorEastAsia" w:eastAsiaTheme="minorEastAsia"/>
          <w:bCs/>
          <w:szCs w:val="21"/>
          <w:highlight w:val="none"/>
        </w:rPr>
        <w:t xml:space="preserve">1.第一章采购公告中二、申请人的资格要求（二）落实政府采购政策需满足的资格要求相关材料（如有）；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2.第一章采购公告中二、申请人的资格要求（三）本项目特定资格要求证明文件（如有）；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3.《</w:t>
      </w:r>
      <w:r>
        <w:rPr>
          <w:rFonts w:hint="eastAsia" w:cs="宋体" w:asciiTheme="minorEastAsia" w:hAnsiTheme="minorEastAsia" w:eastAsiaTheme="minorEastAsia"/>
          <w:szCs w:val="21"/>
          <w:highlight w:val="none"/>
        </w:rPr>
        <w:t xml:space="preserve">南京市政府采购供应商信用承诺书</w:t>
      </w:r>
      <w:r>
        <w:rPr>
          <w:rFonts w:hint="eastAsia" w:asciiTheme="minorEastAsia" w:hAnsiTheme="minorEastAsia" w:eastAsiaTheme="minorEastAsia"/>
          <w:bCs/>
          <w:szCs w:val="21"/>
          <w:highlight w:val="none"/>
        </w:rPr>
        <w:t xml:space="preserve">》，需加盖单位公章并由法定代表人签字或盖章</w:t>
      </w:r>
      <w:r>
        <w:rPr>
          <w:rFonts w:hint="eastAsia"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bCs/>
          <w:szCs w:val="21"/>
          <w:highlight w:val="none"/>
        </w:rPr>
      </w:pPr>
      <w:r/>
      <w:bookmarkStart w:id="153" w:name="_Hlk81574079"/>
      <w:r>
        <w:rPr>
          <w:rFonts w:hint="eastAsia" w:asciiTheme="minorEastAsia" w:hAnsiTheme="minorEastAsia" w:eastAsiaTheme="minorEastAsia"/>
          <w:bCs/>
          <w:szCs w:val="21"/>
          <w:highlight w:val="none"/>
        </w:rPr>
        <w:t xml:space="preserve">4.第一章采购公告中二、申请人的资格要求（一）《中华人民共和国政府采购法》2--5条规定的资格证明文件；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w:t>
      </w:r>
      <w:r>
        <w:rPr>
          <w:rFonts w:hint="eastAsia" w:cs="Arial" w:asciiTheme="minorEastAsia" w:hAnsiTheme="minorEastAsia" w:eastAsiaTheme="minorEastAsia"/>
          <w:bCs/>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highlight w:val="none"/>
        </w:rPr>
        <w:t xml:space="preserve">证明文件。</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注：上述“4和5”项，投标人可以在投标文件中一次性提交资格证明材料，也可以在投标文件中提供《南京市政府采购供应商信用承诺书》。</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Cs w:val="21"/>
          <w:highlight w:val="none"/>
        </w:rPr>
        <w:t xml:space="preserve">加盖公章</w:t>
      </w:r>
      <w:r>
        <w:rPr>
          <w:rFonts w:hint="eastAsia" w:asciiTheme="minorEastAsia" w:hAnsiTheme="minorEastAsia" w:eastAsiaTheme="minorEastAsia"/>
          <w:b/>
          <w:szCs w:val="21"/>
          <w:highlight w:val="none"/>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1</w:t>
      </w:r>
      <w:r>
        <w:rPr>
          <w:rFonts w:hint="eastAsia" w:asciiTheme="minorEastAsia" w:hAnsiTheme="minorEastAsia" w:eastAsiaTheme="minorEastAsia"/>
          <w:b/>
          <w:szCs w:val="21"/>
          <w:highlight w:val="none"/>
        </w:rPr>
        <w:t xml:space="preserve">）投标人被列入严重失信主体名单；</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2</w:t>
      </w:r>
      <w:r>
        <w:rPr>
          <w:rFonts w:hint="eastAsia" w:asciiTheme="minorEastAsia" w:hAnsiTheme="minorEastAsia" w:eastAsiaTheme="minorEastAsia"/>
          <w:b/>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3</w:t>
      </w:r>
      <w:r>
        <w:rPr>
          <w:rFonts w:hint="eastAsia" w:asciiTheme="minorEastAsia" w:hAnsiTheme="minorEastAsia" w:eastAsiaTheme="minorEastAsia"/>
          <w:b/>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投标人对信用承诺内容的真实性、合法性、有效性负责。如作出虚假信用承诺，视同为“提供虚假材料谋取中标”的违法行为。</w:t>
      </w:r>
      <w:bookmarkEnd w:id="153"/>
      <w:r/>
      <w:r/>
    </w:p>
    <w:p>
      <w:pP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br w:type="page" w:clear="all"/>
      </w:r>
      <w:r/>
    </w:p>
    <w:p>
      <w:pPr>
        <w:jc w:val="center"/>
        <w:rPr>
          <w:rFonts w:hint="eastAsia" w:ascii="方正小标宋简体" w:hAnsi="方正小标宋简体" w:eastAsia="方正小标宋简体" w:cs="方正小标宋简体"/>
          <w:sz w:val="44"/>
          <w:szCs w:val="52"/>
          <w:highlight w:val="none"/>
        </w:rPr>
      </w:pPr>
      <w:r>
        <w:rPr>
          <w:rFonts w:hint="eastAsia" w:ascii="方正小标宋简体" w:hAnsi="方正小标宋简体" w:eastAsia="方正小标宋简体" w:cs="方正小标宋简体"/>
          <w:sz w:val="44"/>
          <w:szCs w:val="52"/>
          <w:highlight w:val="none"/>
        </w:rPr>
        <w:t xml:space="preserve">南京市政府采购供应商信用承诺书</w:t>
      </w:r>
      <w:r/>
    </w:p>
    <w:p>
      <w:pPr>
        <w:jc w:val="right"/>
        <w:rPr>
          <w:rFonts w:hint="eastAsia" w:ascii="方正小标宋简体" w:hAnsi="方正小标宋简体" w:eastAsia="方正小标宋简体" w:cs="方正小标宋简体"/>
          <w:sz w:val="22"/>
          <w:szCs w:val="28"/>
          <w:highlight w:val="none"/>
        </w:rPr>
      </w:pPr>
      <w:r>
        <w:rPr>
          <w:rFonts w:hint="eastAsia" w:ascii="方正小标宋简体" w:hAnsi="方正小标宋简体" w:eastAsia="方正小标宋简体" w:cs="方正小标宋简体"/>
          <w:sz w:val="22"/>
          <w:szCs w:val="28"/>
          <w:highlight w:val="none"/>
        </w:rPr>
        <w:t xml:space="preserve">XXXX年XX月XX日</w:t>
      </w:r>
      <w:r/>
    </w:p>
    <w:p>
      <w:pPr>
        <w:jc w:val="center"/>
        <w:rPr>
          <w:rFonts w:ascii="Calibri" w:hAnsi="Calibri"/>
          <w:highlight w:val="none"/>
        </w:rPr>
      </w:pPr>
      <w:r>
        <w:rPr>
          <w:rFonts w:ascii="Calibri" w:hAnsi="Calibri"/>
          <w:highlight w:val="none"/>
        </w:rPr>
      </w:r>
      <w:r/>
    </w:p>
    <w:tbl>
      <w:tblPr>
        <w:tblStyle w:val="900"/>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Calibri" w:hAnsi="Calibri" w:eastAsiaTheme="minorEastAsia" w:cstheme="minorBidi"/>
                <w:sz w:val="24"/>
                <w:szCs w:val="32"/>
                <w:highlight w:val="none"/>
              </w:rPr>
            </w:pPr>
            <w:r>
              <w:rPr>
                <w:rFonts w:hint="eastAsia" w:ascii="Calibri" w:hAnsi="Calibri" w:eastAsiaTheme="minorEastAsia" w:cstheme="minorBidi"/>
                <w:sz w:val="24"/>
                <w:szCs w:val="32"/>
                <w:highlight w:val="none"/>
              </w:rPr>
              <w:t xml:space="preserve">   单位名称</w:t>
            </w:r>
            <w:r/>
          </w:p>
        </w:tc>
        <w:tc>
          <w:tcPr>
            <w:tcW w:w="2284" w:type="dxa"/>
            <w:vAlign w:val="center"/>
            <w:textDirection w:val="lrTb"/>
            <w:noWrap w:val="false"/>
          </w:tcPr>
          <w:p>
            <w:pPr>
              <w:jc w:val="center"/>
              <w:rPr>
                <w:rFonts w:ascii="Calibri" w:hAnsi="Calibri" w:eastAsiaTheme="minorEastAsia" w:cstheme="minorBidi"/>
                <w:sz w:val="24"/>
                <w:szCs w:val="32"/>
                <w:highlight w:val="none"/>
              </w:rPr>
            </w:pPr>
            <w:r>
              <w:rPr>
                <w:rFonts w:ascii="Calibri" w:hAnsi="Calibri" w:eastAsiaTheme="minorEastAsia" w:cstheme="minorBidi"/>
                <w:sz w:val="24"/>
                <w:szCs w:val="32"/>
                <w:highlight w:val="none"/>
              </w:rPr>
            </w:r>
            <w:r/>
          </w:p>
        </w:tc>
        <w:tc>
          <w:tcPr>
            <w:tcW w:w="1833" w:type="dxa"/>
            <w:vAlign w:val="center"/>
            <w:textDirection w:val="lrTb"/>
            <w:noWrap w:val="false"/>
          </w:tcPr>
          <w:p>
            <w:pPr>
              <w:jc w:val="center"/>
              <w:rPr>
                <w:rFonts w:ascii="Calibri" w:hAnsi="Calibri" w:eastAsiaTheme="minorEastAsia" w:cstheme="minorBidi"/>
                <w:sz w:val="24"/>
                <w:szCs w:val="32"/>
                <w:highlight w:val="none"/>
              </w:rPr>
            </w:pPr>
            <w:r>
              <w:rPr>
                <w:rFonts w:hint="eastAsia" w:ascii="Calibri" w:hAnsi="Calibri" w:eastAsiaTheme="minorEastAsia" w:cstheme="minorBidi"/>
                <w:sz w:val="24"/>
                <w:szCs w:val="32"/>
                <w:highlight w:val="none"/>
              </w:rPr>
              <w:t xml:space="preserve">统一社会信用代码</w:t>
            </w:r>
            <w:r/>
          </w:p>
        </w:tc>
        <w:tc>
          <w:tcPr>
            <w:tcW w:w="3331" w:type="dxa"/>
            <w:vAlign w:val="center"/>
            <w:textDirection w:val="lrTb"/>
            <w:noWrap w:val="false"/>
          </w:tcPr>
          <w:p>
            <w:pPr>
              <w:ind w:right="-678"/>
              <w:jc w:val="center"/>
              <w:tabs>
                <w:tab w:val="left" w:pos="2320" w:leader="none"/>
              </w:tabs>
              <w:rPr>
                <w:rFonts w:ascii="Calibri" w:hAnsi="Calibri" w:eastAsiaTheme="minorEastAsia" w:cstheme="minorBidi"/>
                <w:highlight w:val="none"/>
              </w:rPr>
            </w:pPr>
            <w:r>
              <w:rPr>
                <w:rFonts w:ascii="Calibri" w:hAnsi="Calibri" w:eastAsiaTheme="minorEastAsia" w:cstheme="minorBidi"/>
                <w:highlight w:val="none"/>
              </w:rPr>
            </w:r>
            <w:r/>
          </w:p>
        </w:tc>
      </w:tr>
      <w:tr>
        <w:trPr>
          <w:trHeight w:val="567"/>
        </w:trPr>
        <w:tc>
          <w:tcPr>
            <w:tcW w:w="2148" w:type="dxa"/>
            <w:vAlign w:val="center"/>
            <w:textDirection w:val="lrTb"/>
            <w:noWrap w:val="false"/>
          </w:tcPr>
          <w:p>
            <w:pPr>
              <w:jc w:val="center"/>
              <w:rPr>
                <w:rFonts w:ascii="Calibri" w:hAnsi="Calibri" w:eastAsiaTheme="minorEastAsia" w:cstheme="minorBidi"/>
                <w:sz w:val="24"/>
                <w:szCs w:val="32"/>
                <w:highlight w:val="none"/>
              </w:rPr>
            </w:pPr>
            <w:r>
              <w:rPr>
                <w:rFonts w:hint="eastAsia" w:ascii="Calibri" w:hAnsi="Calibri" w:eastAsiaTheme="minorEastAsia" w:cstheme="minorBidi"/>
                <w:sz w:val="24"/>
                <w:szCs w:val="32"/>
                <w:highlight w:val="none"/>
              </w:rPr>
              <w:t xml:space="preserve">法定代表人</w:t>
            </w:r>
            <w:r/>
          </w:p>
        </w:tc>
        <w:tc>
          <w:tcPr>
            <w:tcW w:w="2284" w:type="dxa"/>
            <w:vAlign w:val="center"/>
            <w:textDirection w:val="lrTb"/>
            <w:noWrap w:val="false"/>
          </w:tcPr>
          <w:p>
            <w:pPr>
              <w:jc w:val="center"/>
              <w:rPr>
                <w:rFonts w:ascii="Calibri" w:hAnsi="Calibri" w:eastAsiaTheme="minorEastAsia" w:cstheme="minorBidi"/>
                <w:sz w:val="24"/>
                <w:szCs w:val="32"/>
                <w:highlight w:val="none"/>
              </w:rPr>
            </w:pPr>
            <w:r>
              <w:rPr>
                <w:rFonts w:ascii="Calibri" w:hAnsi="Calibri" w:eastAsiaTheme="minorEastAsia" w:cstheme="minorBidi"/>
                <w:sz w:val="24"/>
                <w:szCs w:val="32"/>
                <w:highlight w:val="none"/>
              </w:rPr>
            </w:r>
            <w:r/>
          </w:p>
        </w:tc>
        <w:tc>
          <w:tcPr>
            <w:tcW w:w="1833" w:type="dxa"/>
            <w:vAlign w:val="center"/>
            <w:textDirection w:val="lrTb"/>
            <w:noWrap w:val="false"/>
          </w:tcPr>
          <w:p>
            <w:pPr>
              <w:jc w:val="center"/>
              <w:rPr>
                <w:rFonts w:ascii="Calibri" w:hAnsi="Calibri" w:eastAsiaTheme="minorEastAsia" w:cstheme="minorBidi"/>
                <w:sz w:val="24"/>
                <w:szCs w:val="32"/>
                <w:highlight w:val="none"/>
              </w:rPr>
            </w:pPr>
            <w:r>
              <w:rPr>
                <w:rFonts w:hint="eastAsia" w:ascii="Calibri" w:hAnsi="Calibri" w:eastAsiaTheme="minorEastAsia" w:cstheme="minorBidi"/>
                <w:sz w:val="24"/>
                <w:szCs w:val="32"/>
                <w:highlight w:val="none"/>
              </w:rPr>
              <w:t xml:space="preserve">联系人</w:t>
            </w:r>
            <w:r/>
          </w:p>
        </w:tc>
        <w:tc>
          <w:tcPr>
            <w:tcW w:w="3331" w:type="dxa"/>
            <w:vAlign w:val="center"/>
            <w:textDirection w:val="lrTb"/>
            <w:noWrap w:val="false"/>
          </w:tcPr>
          <w:p>
            <w:pPr>
              <w:jc w:val="center"/>
              <w:rPr>
                <w:rFonts w:ascii="Calibri" w:hAnsi="Calibri" w:eastAsiaTheme="minorEastAsia" w:cstheme="minorBidi"/>
                <w:highlight w:val="none"/>
              </w:rPr>
            </w:pPr>
            <w:r>
              <w:rPr>
                <w:rFonts w:ascii="Calibri" w:hAnsi="Calibri" w:eastAsiaTheme="minorEastAsia" w:cstheme="minorBidi"/>
                <w:highlight w:val="none"/>
              </w:rPr>
            </w:r>
            <w:r/>
          </w:p>
        </w:tc>
      </w:tr>
      <w:tr>
        <w:trPr>
          <w:trHeight w:val="567"/>
        </w:trPr>
        <w:tc>
          <w:tcPr>
            <w:tcW w:w="2148" w:type="dxa"/>
            <w:vAlign w:val="center"/>
            <w:textDirection w:val="lrTb"/>
            <w:noWrap w:val="false"/>
          </w:tcPr>
          <w:p>
            <w:pPr>
              <w:jc w:val="center"/>
              <w:rPr>
                <w:rFonts w:ascii="Calibri" w:hAnsi="Calibri" w:eastAsiaTheme="minorEastAsia" w:cstheme="minorBidi"/>
                <w:sz w:val="24"/>
                <w:szCs w:val="32"/>
                <w:highlight w:val="none"/>
              </w:rPr>
            </w:pPr>
            <w:r>
              <w:rPr>
                <w:rFonts w:hint="eastAsia" w:ascii="Calibri" w:hAnsi="Calibri" w:eastAsiaTheme="minorEastAsia" w:cstheme="minorBidi"/>
                <w:sz w:val="24"/>
                <w:szCs w:val="32"/>
                <w:highlight w:val="none"/>
              </w:rPr>
              <w:t xml:space="preserve">联系地址</w:t>
            </w:r>
            <w:r/>
          </w:p>
        </w:tc>
        <w:tc>
          <w:tcPr>
            <w:tcW w:w="2284" w:type="dxa"/>
            <w:vAlign w:val="center"/>
            <w:textDirection w:val="lrTb"/>
            <w:noWrap w:val="false"/>
          </w:tcPr>
          <w:p>
            <w:pPr>
              <w:jc w:val="center"/>
              <w:rPr>
                <w:rFonts w:ascii="Calibri" w:hAnsi="Calibri" w:eastAsiaTheme="minorEastAsia" w:cstheme="minorBidi"/>
                <w:sz w:val="24"/>
                <w:szCs w:val="32"/>
                <w:highlight w:val="none"/>
              </w:rPr>
            </w:pPr>
            <w:r>
              <w:rPr>
                <w:rFonts w:ascii="Calibri" w:hAnsi="Calibri" w:eastAsiaTheme="minorEastAsia" w:cstheme="minorBidi"/>
                <w:sz w:val="24"/>
                <w:szCs w:val="32"/>
                <w:highlight w:val="none"/>
              </w:rPr>
            </w:r>
            <w:r/>
          </w:p>
        </w:tc>
        <w:tc>
          <w:tcPr>
            <w:tcW w:w="1833" w:type="dxa"/>
            <w:vAlign w:val="center"/>
            <w:textDirection w:val="lrTb"/>
            <w:noWrap w:val="false"/>
          </w:tcPr>
          <w:p>
            <w:pPr>
              <w:jc w:val="center"/>
              <w:rPr>
                <w:rFonts w:ascii="Calibri" w:hAnsi="Calibri" w:eastAsiaTheme="minorEastAsia" w:cstheme="minorBidi"/>
                <w:sz w:val="24"/>
                <w:szCs w:val="32"/>
                <w:highlight w:val="none"/>
              </w:rPr>
            </w:pPr>
            <w:r>
              <w:rPr>
                <w:rFonts w:hint="eastAsia" w:ascii="Calibri" w:hAnsi="Calibri" w:eastAsiaTheme="minorEastAsia" w:cstheme="minorBidi"/>
                <w:sz w:val="24"/>
                <w:szCs w:val="32"/>
                <w:highlight w:val="none"/>
              </w:rPr>
              <w:t xml:space="preserve">联系电话</w:t>
            </w:r>
            <w:r/>
          </w:p>
        </w:tc>
        <w:tc>
          <w:tcPr>
            <w:tcW w:w="3331" w:type="dxa"/>
            <w:vAlign w:val="center"/>
            <w:textDirection w:val="lrTb"/>
            <w:noWrap w:val="false"/>
          </w:tcPr>
          <w:p>
            <w:pPr>
              <w:jc w:val="center"/>
              <w:rPr>
                <w:rFonts w:ascii="Calibri" w:hAnsi="Calibri" w:eastAsiaTheme="minorEastAsia" w:cstheme="minorBidi"/>
                <w:highlight w:val="none"/>
              </w:rPr>
            </w:pPr>
            <w:r>
              <w:rPr>
                <w:rFonts w:ascii="Calibri" w:hAnsi="Calibri" w:eastAsiaTheme="minorEastAsia" w:cstheme="minorBidi"/>
                <w:highlight w:val="none"/>
              </w:rPr>
            </w:r>
            <w:r/>
          </w:p>
        </w:tc>
      </w:tr>
      <w:tr>
        <w:trPr>
          <w:trHeight w:val="5712"/>
        </w:trPr>
        <w:tc>
          <w:tcPr>
            <w:tcW w:w="2148" w:type="dxa"/>
            <w:vAlign w:val="center"/>
            <w:textDirection w:val="lrTb"/>
            <w:noWrap w:val="false"/>
          </w:tcPr>
          <w:p>
            <w:pPr>
              <w:jc w:val="center"/>
              <w:rPr>
                <w:rFonts w:ascii="Calibri" w:hAnsi="Calibri" w:eastAsiaTheme="minorEastAsia" w:cstheme="minorBidi"/>
                <w:sz w:val="24"/>
                <w:szCs w:val="32"/>
                <w:highlight w:val="none"/>
              </w:rPr>
            </w:pPr>
            <w:r>
              <w:rPr>
                <w:rFonts w:hint="eastAsia" w:ascii="Calibri" w:hAnsi="Calibri" w:eastAsiaTheme="minorEastAsia" w:cstheme="minorBidi"/>
                <w:sz w:val="24"/>
                <w:szCs w:val="32"/>
                <w:highlight w:val="none"/>
              </w:rPr>
              <w:t xml:space="preserve">信用承诺</w:t>
            </w:r>
            <w:r/>
          </w:p>
        </w:tc>
        <w:tc>
          <w:tcPr>
            <w:gridSpan w:val="3"/>
            <w:tcW w:w="7448" w:type="dxa"/>
            <w:vAlign w:val="center"/>
            <w:textDirection w:val="lrTb"/>
            <w:noWrap w:val="false"/>
          </w:tcPr>
          <w:p>
            <w:pPr>
              <w:ind w:firstLine="420"/>
              <w:rPr>
                <w:rFonts w:ascii="Calibri" w:hAnsi="Calibri" w:eastAsiaTheme="minorEastAsia" w:cstheme="minorBidi"/>
                <w:highlight w:val="none"/>
              </w:rPr>
            </w:pPr>
            <w:r>
              <w:rPr>
                <w:rFonts w:hint="eastAsia" w:ascii="Calibri" w:hAnsi="Calibri" w:eastAsiaTheme="minorEastAsia" w:cstheme="minorBidi"/>
                <w:highlight w:val="none"/>
              </w:rPr>
              <w:t xml:space="preserve">我公司自愿参加贵中心（公司）组织的本次采购活动，严格遵守《中华人民共和国政府采购法》及相关</w:t>
            </w:r>
            <w:r>
              <w:rPr>
                <w:rFonts w:hint="eastAsia" w:ascii="Calibri" w:hAnsi="Calibri" w:eastAsiaTheme="minorEastAsia" w:cstheme="minorBidi"/>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Calibri" w:hAnsi="Calibri" w:eastAsiaTheme="minorEastAsia" w:cstheme="minorBidi"/>
                <w:highlight w:val="none"/>
              </w:rPr>
            </w:pPr>
            <w:r>
              <w:rPr>
                <w:rFonts w:ascii="Calibri" w:hAnsi="Calibri" w:eastAsiaTheme="minorEastAsia" w:cstheme="minorBidi"/>
                <w:highlight w:val="none"/>
              </w:rPr>
            </w:r>
            <w:r/>
          </w:p>
          <w:p>
            <w:pPr>
              <w:ind w:firstLine="420"/>
              <w:jc w:val="center"/>
              <w:rPr>
                <w:rFonts w:ascii="Calibri" w:hAnsi="Calibri" w:eastAsiaTheme="minorEastAsia" w:cstheme="minorBidi"/>
                <w:highlight w:val="none"/>
              </w:rPr>
            </w:pPr>
            <w:r>
              <w:rPr>
                <w:rFonts w:hint="eastAsia" w:ascii="Calibri" w:hAnsi="Calibri" w:eastAsiaTheme="minorEastAsia" w:cstheme="minorBidi"/>
                <w:highlight w:val="none"/>
              </w:rPr>
              <w:t xml:space="preserve">供应商名称（盖章）：</w:t>
            </w:r>
            <w:r/>
          </w:p>
          <w:p>
            <w:pPr>
              <w:ind w:firstLine="420"/>
              <w:jc w:val="center"/>
              <w:rPr>
                <w:rFonts w:ascii="Calibri" w:hAnsi="Calibri" w:eastAsiaTheme="minorEastAsia" w:cstheme="minorBidi"/>
                <w:highlight w:val="none"/>
              </w:rPr>
            </w:pPr>
            <w:r>
              <w:rPr>
                <w:rFonts w:ascii="Calibri" w:hAnsi="Calibri" w:eastAsiaTheme="minorEastAsia" w:cstheme="minorBidi"/>
                <w:highlight w:val="none"/>
              </w:rPr>
            </w:r>
            <w:r/>
          </w:p>
          <w:p>
            <w:pPr>
              <w:ind w:firstLine="420"/>
              <w:jc w:val="center"/>
              <w:rPr>
                <w:rFonts w:ascii="Calibri" w:hAnsi="Calibri" w:eastAsiaTheme="minorEastAsia" w:cstheme="minorBidi"/>
                <w:highlight w:val="none"/>
              </w:rPr>
            </w:pPr>
            <w:r>
              <w:rPr>
                <w:rFonts w:hint="eastAsia" w:ascii="Calibri" w:hAnsi="Calibri" w:eastAsiaTheme="minorEastAsia" w:cstheme="minorBidi"/>
                <w:highlight w:val="none"/>
              </w:rPr>
              <w:t xml:space="preserve">法定代表人（签字或盖章）：</w:t>
            </w:r>
            <w:r/>
          </w:p>
          <w:p>
            <w:pPr>
              <w:ind w:firstLine="420"/>
              <w:jc w:val="center"/>
              <w:rPr>
                <w:rFonts w:ascii="Calibri" w:hAnsi="Calibri" w:eastAsiaTheme="minorEastAsia" w:cstheme="minorBidi"/>
                <w:highlight w:val="none"/>
              </w:rPr>
            </w:pPr>
            <w:r>
              <w:rPr>
                <w:rFonts w:ascii="Calibri" w:hAnsi="Calibri" w:eastAsiaTheme="minorEastAsia" w:cstheme="minorBidi"/>
                <w:highlight w:val="none"/>
              </w:rPr>
            </w:r>
            <w:r/>
          </w:p>
          <w:p>
            <w:pPr>
              <w:ind w:firstLine="420"/>
              <w:jc w:val="center"/>
              <w:rPr>
                <w:rFonts w:ascii="Calibri" w:hAnsi="Calibri" w:eastAsiaTheme="minorEastAsia" w:cstheme="minorBidi"/>
                <w:highlight w:val="none"/>
              </w:rPr>
            </w:pPr>
            <w:r>
              <w:rPr>
                <w:rFonts w:hint="eastAsia" w:ascii="Calibri" w:hAnsi="Calibri" w:eastAsiaTheme="minorEastAsia" w:cstheme="minorBidi"/>
                <w:highlight w:val="none"/>
              </w:rPr>
              <w:t xml:space="preserve">XXXX年XX月XX日</w:t>
            </w:r>
            <w:r/>
          </w:p>
        </w:tc>
      </w:tr>
    </w:tbl>
    <w:p>
      <w:pPr>
        <w:ind w:firstLine="422"/>
        <w:spacing w:line="360" w:lineRule="auto"/>
        <w:rPr>
          <w:rFonts w:ascii="Calibri" w:hAnsi="Calibri"/>
          <w:highlight w:val="none"/>
        </w:rPr>
      </w:pPr>
      <w:r>
        <w:rPr>
          <w:rFonts w:hint="eastAsia" w:ascii="Calibri" w:hAnsi="Calibri"/>
          <w:b/>
          <w:bCs/>
          <w:highlight w:val="none"/>
        </w:rPr>
        <w:t xml:space="preserve">注：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r/>
    </w:p>
    <w:p>
      <w:pPr>
        <w:pStyle w:val="910"/>
        <w:ind w:firstLine="0"/>
        <w:rPr>
          <w:rFonts w:hint="eastAsia"/>
          <w:highlight w:val="none"/>
        </w:rPr>
      </w:pPr>
      <w:r>
        <w:rPr>
          <w:rFonts w:hint="eastAsia"/>
          <w:highlight w:val="none"/>
        </w:rPr>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bookmarkEnd w:id="152"/>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53"/>
        <w:rPr>
          <w:rFonts w:hint="eastAsia" w:asciiTheme="minorEastAsia" w:hAnsiTheme="minorEastAsia" w:eastAsiaTheme="minorEastAsia"/>
          <w:highlight w:val="none"/>
          <w:lang w:val="zh-CN"/>
        </w:rPr>
      </w:pPr>
      <w:r/>
      <w:bookmarkStart w:id="154" w:name="_Toc26810"/>
      <w:r/>
      <w:bookmarkStart w:id="155" w:name="_Toc66375426"/>
      <w:r/>
      <w:bookmarkStart w:id="156" w:name="_Toc43917773"/>
      <w:r/>
      <w:bookmarkStart w:id="157" w:name="OLE_LINK38"/>
      <w:r>
        <w:rPr>
          <w:rFonts w:hint="eastAsia" w:asciiTheme="minorEastAsia" w:hAnsiTheme="minorEastAsia" w:eastAsiaTheme="minorEastAsia"/>
          <w:highlight w:val="none"/>
          <w:lang w:val="zh-CN"/>
        </w:rPr>
        <w:t xml:space="preserve">附件四、</w:t>
      </w:r>
      <w:bookmarkEnd w:id="154"/>
      <w:r/>
      <w:bookmarkEnd w:id="155"/>
      <w:r/>
      <w:bookmarkEnd w:id="156"/>
      <w:r>
        <w:rPr>
          <w:rFonts w:hint="eastAsia" w:asciiTheme="minorEastAsia" w:hAnsiTheme="minorEastAsia" w:eastAsiaTheme="minorEastAsia"/>
          <w:highlight w:val="none"/>
          <w:lang w:val="zh-CN"/>
        </w:rPr>
        <w:t xml:space="preserve">开标一览表</w:t>
      </w:r>
      <w:bookmarkEnd w:id="157"/>
      <w:r/>
      <w:r/>
    </w:p>
    <w:p>
      <w:pPr>
        <w:jc w:val="center"/>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 xml:space="preserve">开标一览表</w:t>
      </w:r>
      <w:r/>
    </w:p>
    <w:p>
      <w:pPr>
        <w:pStyle w:val="866"/>
        <w:ind w:firstLine="210"/>
        <w:spacing w:line="360" w:lineRule="auto"/>
        <w:rPr>
          <w:rFonts w:hint="eastAsia" w:cs="宋体" w:asciiTheme="minorEastAsia" w:hAnsiTheme="minorEastAsia" w:eastAsiaTheme="minorEastAsia"/>
          <w:b w:val="0"/>
          <w:bCs/>
          <w:sz w:val="21"/>
          <w:szCs w:val="21"/>
          <w:highlight w:val="none"/>
        </w:rPr>
      </w:pPr>
      <w:r>
        <w:rPr>
          <w:rFonts w:hint="eastAsia" w:cs="宋体" w:asciiTheme="minorEastAsia" w:hAnsiTheme="minorEastAsia" w:eastAsiaTheme="minorEastAsia"/>
          <w:b w:val="0"/>
          <w:bCs/>
          <w:sz w:val="21"/>
          <w:szCs w:val="21"/>
          <w:highlight w:val="none"/>
        </w:rPr>
        <w:t xml:space="preserve">项目编号：                                                 采购包：</w:t>
      </w:r>
      <w:r/>
    </w:p>
    <w:tbl>
      <w:tblPr>
        <w:tblStyle w:val="862"/>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1130"/>
        <w:gridCol w:w="1596"/>
        <w:gridCol w:w="4135"/>
      </w:tblGrid>
      <w:tr>
        <w:trPr>
          <w:cantSplit/>
          <w:jc w:val="center"/>
          <w:trHeight w:val="678"/>
        </w:trPr>
        <w:tc>
          <w:tcPr>
            <w:tcW w:w="1192"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项目名称</w:t>
            </w:r>
            <w:r/>
          </w:p>
        </w:tc>
        <w:tc>
          <w:tcPr>
            <w:tcW w:w="627"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项目内容</w:t>
            </w:r>
            <w:r/>
          </w:p>
        </w:tc>
        <w:tc>
          <w:tcPr>
            <w:tcW w:w="886"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szCs w:val="21"/>
                <w:highlight w:val="none"/>
              </w:rPr>
              <w:t xml:space="preserve">优惠率</w:t>
            </w:r>
            <w:r>
              <w:rPr>
                <w:rFonts w:hint="eastAsia" w:ascii="宋体" w:hAnsi="宋体" w:cs="宋体"/>
                <w:bCs/>
                <w:szCs w:val="21"/>
                <w:highlight w:val="none"/>
              </w:rPr>
              <w:t xml:space="preserve">（%）</w:t>
            </w:r>
            <w:r/>
          </w:p>
        </w:tc>
        <w:tc>
          <w:tcPr>
            <w:tcW w:w="2292"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备注</w:t>
            </w:r>
            <w:r/>
          </w:p>
        </w:tc>
      </w:tr>
      <w:tr>
        <w:trPr>
          <w:cantSplit/>
          <w:jc w:val="center"/>
          <w:trHeight w:val="1391"/>
        </w:trPr>
        <w:tc>
          <w:tcPr>
            <w:tcW w:w="1192"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627"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详见投标文件</w:t>
            </w:r>
            <w:r/>
          </w:p>
        </w:tc>
        <w:tc>
          <w:tcPr>
            <w:tcW w:w="886"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2292" w:type="pct"/>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1391"/>
        </w:trPr>
        <w:tc>
          <w:tcPr>
            <w:gridSpan w:val="4"/>
            <w:tcW w:w="5000" w:type="pct"/>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优惠率</w:t>
            </w:r>
            <w:r>
              <w:rPr>
                <w:rFonts w:hint="eastAsia" w:ascii="宋体" w:hAnsi="宋体" w:cs="宋体"/>
                <w:bCs/>
                <w:szCs w:val="21"/>
                <w:highlight w:val="none"/>
              </w:rPr>
              <w:t xml:space="preserve">（%）：</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tc>
      </w:tr>
    </w:tbl>
    <w:p>
      <w:pPr>
        <w:jc w:val="center"/>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bookmarkStart w:id="158" w:name="_Hlk44577819"/>
      <w:r>
        <w:rPr>
          <w:rFonts w:hint="eastAsia" w:asciiTheme="minorEastAsia" w:hAnsiTheme="minorEastAsia" w:eastAsiaTheme="minorEastAsia"/>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2、报价以总价为准，大小写不一致以大写为准。</w:t>
      </w:r>
      <w:bookmarkEnd w:id="158"/>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宋体" w:hAnsi="宋体"/>
          <w:szCs w:val="21"/>
          <w:highlight w:val="none"/>
          <w:u w:val="single"/>
        </w:rPr>
      </w:pPr>
      <w:r/>
      <w:bookmarkStart w:id="159" w:name="_Hlk175836563"/>
      <w:r>
        <w:rPr>
          <w:rFonts w:hint="eastAsia" w:ascii="宋体" w:hAnsi="宋体" w:cs="宋体"/>
          <w:szCs w:val="21"/>
          <w:highlight w:val="none"/>
        </w:rPr>
        <w:t xml:space="preserve">投标人（</w:t>
      </w:r>
      <w:bookmarkStart w:id="160" w:name="_Hlk176254322"/>
      <w:r>
        <w:rPr>
          <w:rFonts w:hint="eastAsia" w:ascii="宋体" w:hAnsi="宋体" w:cs="宋体"/>
          <w:szCs w:val="21"/>
          <w:highlight w:val="none"/>
        </w:rPr>
        <w:t xml:space="preserve">加盖电子公章</w:t>
      </w:r>
      <w:bookmarkEnd w:id="160"/>
      <w:r>
        <w:rPr>
          <w:rFonts w:hint="eastAsia" w:ascii="宋体" w:hAnsi="宋体" w:cs="宋体"/>
          <w:szCs w:val="21"/>
          <w:highlight w:val="none"/>
        </w:rPr>
        <w:t xml:space="preserve">）：</w:t>
      </w:r>
      <w:r>
        <w:rPr>
          <w:rFonts w:ascii="宋体" w:hAnsi="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bookmarkEnd w:id="159"/>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p>
    <w:p>
      <w:pPr>
        <w:pStyle w:val="853"/>
        <w:rPr>
          <w:rFonts w:hint="eastAsia" w:asciiTheme="minorEastAsia" w:hAnsiTheme="minorEastAsia" w:eastAsiaTheme="minorEastAsia"/>
          <w:highlight w:val="none"/>
          <w:lang w:val="zh-CN"/>
        </w:rPr>
        <w:sectPr>
          <w:footerReference w:type="default" r:id="rId14"/>
          <w:footerReference w:type="first" r:id="rId15"/>
          <w:footnotePr/>
          <w:endnotePr/>
          <w:type w:val="nextPage"/>
          <w:pgSz w:w="11906" w:h="16838" w:orient="portrait"/>
          <w:pgMar w:top="1440" w:right="1440" w:bottom="1440" w:left="1440" w:header="850" w:footer="850" w:gutter="0"/>
          <w:pgNumType w:start="1"/>
          <w:cols w:num="1" w:sep="0" w:space="720" w:equalWidth="1"/>
          <w:docGrid w:linePitch="360"/>
        </w:sectPr>
      </w:pPr>
      <w:r>
        <w:rPr>
          <w:rFonts w:asciiTheme="minorEastAsia" w:hAnsiTheme="minorEastAsia" w:eastAsiaTheme="minorEastAsia"/>
          <w:szCs w:val="21"/>
          <w:highlight w:val="none"/>
        </w:rPr>
        <w:br w:type="page" w:clear="all"/>
      </w:r>
      <w:bookmarkStart w:id="161" w:name="_Toc43917775"/>
      <w:r/>
      <w:bookmarkStart w:id="162" w:name="_Toc66375428"/>
      <w:r/>
      <w:r/>
    </w:p>
    <w:p>
      <w:pPr>
        <w:pStyle w:val="853"/>
        <w:rPr>
          <w:rFonts w:hint="eastAsia" w:asciiTheme="minorEastAsia" w:hAnsiTheme="minorEastAsia" w:eastAsiaTheme="minorEastAsia"/>
          <w:highlight w:val="none"/>
          <w:lang w:val="zh-CN"/>
        </w:rPr>
      </w:pPr>
      <w:r>
        <w:rPr>
          <w:rFonts w:hint="eastAsia" w:asciiTheme="minorEastAsia" w:hAnsiTheme="minorEastAsia" w:eastAsiaTheme="minorEastAsia"/>
          <w:highlight w:val="none"/>
          <w:lang w:val="zh-CN"/>
        </w:rPr>
        <w:t xml:space="preserve">附件</w:t>
      </w:r>
      <w:r>
        <w:rPr>
          <w:rFonts w:hint="eastAsia" w:asciiTheme="minorEastAsia" w:hAnsiTheme="minorEastAsia" w:eastAsiaTheme="minorEastAsia"/>
          <w:highlight w:val="none"/>
        </w:rPr>
        <w:t xml:space="preserve">五</w:t>
      </w:r>
      <w:r>
        <w:rPr>
          <w:rFonts w:hint="eastAsia" w:asciiTheme="minorEastAsia" w:hAnsiTheme="minorEastAsia" w:eastAsiaTheme="minorEastAsia"/>
          <w:highlight w:val="none"/>
          <w:lang w:val="zh-CN"/>
        </w:rPr>
        <w:t xml:space="preserve">、</w:t>
      </w:r>
      <w:bookmarkStart w:id="163" w:name="_Hlk176528721"/>
      <w:r>
        <w:rPr>
          <w:rFonts w:hint="eastAsia" w:asciiTheme="minorEastAsia" w:hAnsiTheme="minorEastAsia" w:eastAsiaTheme="minorEastAsia"/>
          <w:highlight w:val="none"/>
          <w:lang w:val="zh-CN"/>
        </w:rPr>
        <w:t xml:space="preserve">技术要求响应及偏离表</w:t>
      </w:r>
      <w:bookmarkEnd w:id="161"/>
      <w:r/>
      <w:bookmarkEnd w:id="162"/>
      <w:r/>
      <w:bookmarkEnd w:id="163"/>
      <w:r/>
      <w:r/>
    </w:p>
    <w:p>
      <w:pPr>
        <w:ind w:left="435"/>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 w:val="24"/>
          <w:highlight w:val="none"/>
        </w:rPr>
        <w:t xml:space="preserve"> </w:t>
      </w:r>
      <w:r/>
    </w:p>
    <w:p>
      <w:pPr>
        <w:jc w:val="center"/>
        <w:spacing w:line="360" w:lineRule="auto"/>
        <w:shd w:val="clear" w:color="auto" w:fill="ffffff"/>
        <w:widowControl/>
        <w:rPr>
          <w:rFonts w:hint="eastAsia" w:ascii="宋体" w:hAnsi="宋体"/>
          <w:szCs w:val="21"/>
          <w:highlight w:val="none"/>
        </w:rPr>
      </w:pPr>
      <w:r/>
      <w:bookmarkStart w:id="164" w:name="_Hlk176528733"/>
      <w:r>
        <w:rPr>
          <w:rFonts w:hint="eastAsia" w:ascii="宋体" w:hAnsi="宋体"/>
          <w:b/>
          <w:sz w:val="32"/>
          <w:szCs w:val="32"/>
          <w:highlight w:val="none"/>
        </w:rPr>
        <w:t xml:space="preserve">技术要求响应及偏离表</w:t>
      </w:r>
      <w:r/>
    </w:p>
    <w:p>
      <w:pPr>
        <w:ind w:firstLine="294"/>
        <w:jc w:val="left"/>
        <w:spacing w:line="360" w:lineRule="auto"/>
        <w:widowControl/>
        <w:tabs>
          <w:tab w:val="left" w:pos="5397" w:leader="none"/>
        </w:tabs>
        <w:rPr>
          <w:rFonts w:hint="eastAsia"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tab/>
      </w:r>
      <w:r>
        <w:rPr>
          <w:rFonts w:hint="eastAsia" w:ascii="宋体" w:hAnsi="宋体"/>
          <w:szCs w:val="21"/>
          <w:highlight w:val="none"/>
        </w:rPr>
        <w:t xml:space="preserve">项目编号：</w:t>
      </w:r>
      <w:r/>
    </w:p>
    <w:tbl>
      <w:tblPr>
        <w:tblStyle w:val="862"/>
        <w:tblW w:w="13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56"/>
        <w:gridCol w:w="9264"/>
        <w:gridCol w:w="2060"/>
        <w:gridCol w:w="1049"/>
      </w:tblGrid>
      <w:tr>
        <w:trPr>
          <w:jc w:val="center"/>
          <w:trHeight w:val="427"/>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b/>
                <w:szCs w:val="21"/>
                <w:highlight w:val="none"/>
              </w:rPr>
            </w:pPr>
            <w:r/>
            <w:bookmarkStart w:id="165" w:name="_Hlk66784099"/>
            <w:r>
              <w:rPr>
                <w:rFonts w:hint="eastAsia" w:ascii="宋体" w:hAnsi="宋体"/>
                <w:b/>
                <w:szCs w:val="21"/>
                <w:highlight w:val="none"/>
              </w:rPr>
              <w:t xml:space="preserve">序号</w:t>
            </w:r>
            <w:r/>
          </w:p>
        </w:tc>
        <w:tc>
          <w:tcPr>
            <w:tcMar>
              <w:left w:w="10" w:type="dxa"/>
              <w:top w:w="0" w:type="dxa"/>
              <w:right w:w="10" w:type="dxa"/>
              <w:bottom w:w="0" w:type="dxa"/>
            </w:tcMar>
            <w:tcW w:w="9264" w:type="dxa"/>
            <w:vAlign w:val="center"/>
            <w:textDirection w:val="lrTb"/>
            <w:noWrap w:val="false"/>
          </w:tcPr>
          <w:p>
            <w:pPr>
              <w:jc w:val="center"/>
              <w:spacing w:line="360" w:lineRule="auto"/>
              <w:widowControl/>
              <w:rPr>
                <w:rFonts w:hint="eastAsia" w:ascii="宋体" w:hAnsi="宋体"/>
                <w:b/>
                <w:szCs w:val="21"/>
                <w:highlight w:val="none"/>
              </w:rPr>
            </w:pPr>
            <w:r>
              <w:rPr>
                <w:rFonts w:hint="eastAsia" w:ascii="宋体" w:hAnsi="宋体"/>
                <w:b/>
                <w:szCs w:val="21"/>
                <w:highlight w:val="none"/>
              </w:rPr>
              <w:t xml:space="preserve">招标文件的技术要求</w:t>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b/>
                <w:szCs w:val="21"/>
                <w:highlight w:val="none"/>
              </w:rPr>
            </w:pPr>
            <w:r>
              <w:rPr>
                <w:rFonts w:hint="eastAsia" w:ascii="宋体" w:hAnsi="宋体"/>
                <w:b/>
                <w:szCs w:val="21"/>
                <w:highlight w:val="none"/>
              </w:rPr>
              <w:t xml:space="preserve">投标响应</w:t>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b/>
                <w:szCs w:val="21"/>
                <w:highlight w:val="none"/>
              </w:rPr>
            </w:pPr>
            <w:r>
              <w:rPr>
                <w:rFonts w:hint="eastAsia" w:ascii="宋体" w:hAnsi="宋体"/>
                <w:b/>
                <w:szCs w:val="21"/>
                <w:highlight w:val="none"/>
              </w:rPr>
              <w:t xml:space="preserve">偏离</w:t>
            </w:r>
            <w:r/>
          </w:p>
        </w:tc>
      </w:tr>
      <w:tr>
        <w:trPr>
          <w:jc w:val="center"/>
          <w:trHeight w:val="3271"/>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1</w:t>
            </w:r>
            <w:r/>
          </w:p>
        </w:tc>
        <w:tc>
          <w:tcPr>
            <w:tcMar>
              <w:left w:w="10" w:type="dxa"/>
              <w:top w:w="0" w:type="dxa"/>
              <w:right w:w="10" w:type="dxa"/>
              <w:bottom w:w="0" w:type="dxa"/>
            </w:tcMar>
            <w:tcW w:w="9264" w:type="dxa"/>
            <w:vAlign w:val="center"/>
            <w:textDirection w:val="lrTb"/>
            <w:noWrap w:val="false"/>
          </w:tcPr>
          <w:p>
            <w:pPr>
              <w:ind w:left="210"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一、项目概况</w:t>
            </w:r>
            <w:r/>
          </w:p>
          <w:p>
            <w:pPr>
              <w:ind w:lef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1.项目名称：公交轨道公安局2026-2027年度食堂食材招标</w:t>
            </w:r>
            <w:r/>
          </w:p>
          <w:p>
            <w:pPr>
              <w:ind w:lef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2.采购预算：</w:t>
            </w:r>
            <w:r>
              <w:rPr>
                <w:rFonts w:hint="eastAsia" w:asciiTheme="minorEastAsia" w:hAnsiTheme="minorEastAsia" w:eastAsiaTheme="minorEastAsia"/>
                <w:bCs/>
                <w:szCs w:val="21"/>
                <w:highlight w:val="none"/>
              </w:rPr>
              <w:t xml:space="preserve">2037</w:t>
            </w:r>
            <w:r>
              <w:rPr>
                <w:rFonts w:hint="eastAsia" w:ascii="宋体" w:hAnsi="宋体" w:cs="宋体"/>
                <w:szCs w:val="21"/>
                <w:highlight w:val="none"/>
              </w:rPr>
              <w:t xml:space="preserve">万元</w:t>
            </w:r>
            <w:r/>
          </w:p>
          <w:p>
            <w:pPr>
              <w:ind w:lef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采购需求：依据南京市公共交通和城市轨道公安局全局食堂地理位置和食堂经费开支大小分布，分为11个采购包进行全品类食材采购，各采购包招1家综合性食材供应商为南京市公共交通和城市轨道公安局及下属单位食堂年度鲜肉类、禽类、水产品、米油调料及副食品类、蔬菜等食材供货与配送服务，以确保食材新鲜性、及时性，同时也便于食堂支出的统一管理。</w:t>
            </w:r>
            <w:r/>
          </w:p>
          <w:p>
            <w:pPr>
              <w:ind w:left="210"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szCs w:val="21"/>
                <w:highlight w:val="none"/>
              </w:rPr>
              <w:t xml:space="preserve">4.供货地点：南京市公共交通和城市轨道公安局等，具体以采购人通知为准。</w:t>
            </w:r>
            <w:r/>
          </w:p>
          <w:p>
            <w:pPr>
              <w:ind w:left="210"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二、采购标的需实现的功能及标准、规范：</w:t>
            </w:r>
            <w:r/>
          </w:p>
          <w:p>
            <w:pPr>
              <w:ind w:lef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1.符合《中华人民共和国食品安全法》、《中华人民共和国食品安全法实施条例》、《中华人民共和国农产品质量安全法》、《中华人民共和国动物防疫法》等相关规定。</w:t>
            </w:r>
            <w:r/>
          </w:p>
          <w:p>
            <w:pPr>
              <w:ind w:left="210"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2.符合国家及行业的相关标准。</w:t>
            </w:r>
            <w:r/>
          </w:p>
          <w:p>
            <w:pPr>
              <w:ind w:left="210"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三、服务基本内容</w:t>
            </w:r>
            <w:r/>
          </w:p>
          <w:tbl>
            <w:tblPr>
              <w:tblStyle w:val="862"/>
              <w:tblW w:w="49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2630"/>
              <w:gridCol w:w="2653"/>
              <w:gridCol w:w="1407"/>
              <w:gridCol w:w="1434"/>
            </w:tblGrid>
            <w:tr>
              <w:trPr>
                <w:trHeight w:val="340"/>
              </w:trPr>
              <w:tc>
                <w:tcPr>
                  <w:tcW w:w="518" w:type="pct"/>
                  <w:vAlign w:val="center"/>
                  <w:textDirection w:val="lrTb"/>
                  <w:noWrap/>
                </w:tcPr>
                <w:p>
                  <w:pPr>
                    <w:jc w:val="center"/>
                    <w:spacing w:line="360" w:lineRule="auto"/>
                    <w:widowControl/>
                    <w:rPr>
                      <w:rFonts w:hint="eastAsia" w:ascii="宋体" w:hAnsi="宋体" w:cs="宋体"/>
                      <w:szCs w:val="21"/>
                      <w:highlight w:val="none"/>
                    </w:rPr>
                  </w:pPr>
                  <w:r>
                    <w:rPr>
                      <w:rFonts w:hint="eastAsia" w:cs="宋体"/>
                      <w:szCs w:val="21"/>
                      <w:highlight w:val="none"/>
                      <w:lang w:bidi="ar"/>
                    </w:rPr>
                    <w:t xml:space="preserve">采购包号</w:t>
                  </w:r>
                  <w:r/>
                </w:p>
              </w:tc>
              <w:tc>
                <w:tcPr>
                  <w:tcW w:w="1450" w:type="pct"/>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食堂名称</w:t>
                  </w:r>
                  <w:r/>
                </w:p>
              </w:tc>
              <w:tc>
                <w:tcPr>
                  <w:tcW w:w="1462" w:type="pct"/>
                  <w:vAlign w:val="center"/>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食材配送地址</w:t>
                  </w:r>
                  <w:r/>
                </w:p>
              </w:tc>
              <w:tc>
                <w:tcPr>
                  <w:tcW w:w="776" w:type="pct"/>
                  <w:vAlign w:val="center"/>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预算金额</w:t>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（万元）</w:t>
                  </w:r>
                  <w:r/>
                </w:p>
              </w:tc>
              <w:tc>
                <w:tcPr>
                  <w:tcW w:w="791" w:type="pct"/>
                  <w:vAlign w:val="center"/>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rPr>
                    <w:t xml:space="preserve">采购需求</w:t>
                  </w:r>
                  <w:r/>
                </w:p>
              </w:tc>
            </w:tr>
            <w:tr>
              <w:trPr>
                <w:trHeight w:val="408"/>
              </w:trPr>
              <w:tc>
                <w:tcPr>
                  <w:tcW w:w="518" w:type="pct"/>
                  <w:vAlign w:val="center"/>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1</w:t>
                  </w:r>
                  <w:r/>
                </w:p>
              </w:tc>
              <w:tc>
                <w:tcPr>
                  <w:tcW w:w="1450" w:type="pct"/>
                  <w:vAlign w:val="center"/>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局机关食堂食材采购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ascii="宋体" w:hAnsi="宋体" w:cs="宋体"/>
                      <w:szCs w:val="21"/>
                      <w:highlight w:val="none"/>
                    </w:rPr>
                    <w:t xml:space="preserve">南京市雨花台区小行路158号</w:t>
                  </w:r>
                  <w:r/>
                </w:p>
              </w:tc>
              <w:tc>
                <w:tcPr>
                  <w:tcW w:w="776" w:type="pct"/>
                  <w:vAlign w:val="center"/>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385.930098</w:t>
                  </w:r>
                  <w:r/>
                </w:p>
              </w:tc>
              <w:tc>
                <w:tcPr>
                  <w:tcW w:w="791" w:type="pct"/>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2</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南京南站所</w:t>
                  </w:r>
                  <w:r>
                    <w:rPr>
                      <w:rFonts w:hint="eastAsia" w:ascii="宋体" w:hAnsi="宋体" w:cs="宋体"/>
                      <w:szCs w:val="21"/>
                      <w:highlight w:val="none"/>
                      <w:lang w:bidi="ar"/>
                    </w:rPr>
                    <w:t xml:space="preserve">-</w:t>
                  </w:r>
                  <w:r>
                    <w:rPr>
                      <w:rFonts w:ascii="宋体" w:hAnsi="宋体" w:cs="宋体"/>
                      <w:szCs w:val="21"/>
                      <w:highlight w:val="none"/>
                      <w:lang w:bidi="ar"/>
                    </w:rPr>
                    <w:t xml:space="preserve">刑警大队</w:t>
                  </w:r>
                  <w:r>
                    <w:rPr>
                      <w:rFonts w:hint="eastAsia" w:ascii="宋体" w:hAnsi="宋体" w:cs="宋体"/>
                      <w:szCs w:val="21"/>
                      <w:highlight w:val="none"/>
                      <w:lang w:bidi="ar"/>
                    </w:rPr>
                    <w:t xml:space="preserve">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南京南站所：南京市雨花台区玉兰路88号</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305</w:t>
                  </w:r>
                  <w:r>
                    <w:rPr>
                      <w:rFonts w:hint="eastAsia" w:ascii="宋体" w:hAnsi="宋体" w:cs="宋体"/>
                      <w:szCs w:val="21"/>
                      <w:highlight w:val="none"/>
                      <w:lang w:bidi="ar"/>
                    </w:rPr>
                    <w:t xml:space="preserve">.</w:t>
                  </w:r>
                  <w:r>
                    <w:rPr>
                      <w:rFonts w:ascii="宋体" w:hAnsi="宋体" w:cs="宋体"/>
                      <w:szCs w:val="21"/>
                      <w:highlight w:val="none"/>
                      <w:lang w:bidi="ar"/>
                    </w:rPr>
                    <w:t xml:space="preserve">483612</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刑警大队：地铁6号线双龙街停车场</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3</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rPr>
                  </w:pPr>
                  <w:r>
                    <w:rPr>
                      <w:rFonts w:ascii="宋体" w:hAnsi="宋体" w:cs="宋体"/>
                      <w:szCs w:val="21"/>
                      <w:highlight w:val="none"/>
                    </w:rPr>
                    <w:t xml:space="preserve">南京站所</w:t>
                  </w:r>
                  <w:r>
                    <w:rPr>
                      <w:rFonts w:hint="eastAsia" w:ascii="宋体" w:hAnsi="宋体" w:cs="宋体"/>
                      <w:szCs w:val="21"/>
                      <w:highlight w:val="none"/>
                    </w:rPr>
                    <w:t xml:space="preserve">-</w:t>
                  </w:r>
                  <w:r>
                    <w:rPr>
                      <w:rFonts w:ascii="宋体" w:hAnsi="宋体" w:cs="宋体"/>
                      <w:szCs w:val="21"/>
                      <w:highlight w:val="none"/>
                    </w:rPr>
                    <w:t xml:space="preserve">长途东站</w:t>
                  </w:r>
                  <w:r>
                    <w:rPr>
                      <w:rFonts w:hint="eastAsia" w:ascii="宋体" w:hAnsi="宋体" w:cs="宋体"/>
                      <w:szCs w:val="21"/>
                      <w:highlight w:val="none"/>
                    </w:rPr>
                    <w:t xml:space="preserve">所</w:t>
                  </w:r>
                  <w:r>
                    <w:rPr>
                      <w:rFonts w:ascii="宋体" w:hAnsi="宋体" w:cs="宋体"/>
                      <w:szCs w:val="21"/>
                      <w:highlight w:val="none"/>
                    </w:rPr>
                    <w:t xml:space="preserve">(6号</w:t>
                  </w:r>
                  <w:r>
                    <w:rPr>
                      <w:rFonts w:hint="eastAsia" w:ascii="宋体" w:hAnsi="宋体" w:cs="宋体"/>
                      <w:szCs w:val="21"/>
                      <w:highlight w:val="none"/>
                    </w:rPr>
                    <w:t xml:space="preserve">线</w:t>
                  </w:r>
                  <w:r>
                    <w:rPr>
                      <w:rFonts w:ascii="宋体" w:hAnsi="宋体" w:cs="宋体"/>
                      <w:szCs w:val="21"/>
                      <w:highlight w:val="none"/>
                    </w:rPr>
                    <w:t xml:space="preserve">)</w:t>
                  </w:r>
                  <w:r>
                    <w:rPr>
                      <w:rFonts w:hint="eastAsia" w:ascii="宋体" w:hAnsi="宋体" w:cs="宋体"/>
                      <w:szCs w:val="21"/>
                      <w:highlight w:val="none"/>
                      <w:lang w:bidi="ar"/>
                    </w:rPr>
                    <w:t xml:space="preserve">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南京站所：玄武区红山南路69号</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240</w:t>
                  </w:r>
                  <w:r>
                    <w:rPr>
                      <w:rFonts w:hint="eastAsia" w:ascii="宋体" w:hAnsi="宋体" w:cs="宋体"/>
                      <w:szCs w:val="21"/>
                      <w:highlight w:val="none"/>
                      <w:lang w:bidi="ar"/>
                    </w:rPr>
                    <w:t xml:space="preserve">.</w:t>
                  </w:r>
                  <w:r>
                    <w:rPr>
                      <w:rFonts w:ascii="宋体" w:hAnsi="宋体" w:cs="宋体"/>
                      <w:szCs w:val="21"/>
                      <w:highlight w:val="none"/>
                      <w:lang w:bidi="ar"/>
                    </w:rPr>
                    <w:t xml:space="preserve">2754</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长途东站所：曹后村地铁车辆基地内</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4</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新街口站所-玄武门站所食堂食材采购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新街口站所：白下路2号3楼</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186</w:t>
                  </w:r>
                  <w:r>
                    <w:rPr>
                      <w:rFonts w:hint="eastAsia" w:ascii="宋体" w:hAnsi="宋体" w:cs="宋体"/>
                      <w:szCs w:val="21"/>
                      <w:highlight w:val="none"/>
                      <w:lang w:bidi="ar"/>
                    </w:rPr>
                    <w:t xml:space="preserve">.</w:t>
                  </w:r>
                  <w:r>
                    <w:rPr>
                      <w:rFonts w:ascii="宋体" w:hAnsi="宋体" w:cs="宋体"/>
                      <w:szCs w:val="21"/>
                      <w:highlight w:val="none"/>
                      <w:lang w:bidi="ar"/>
                    </w:rPr>
                    <w:t xml:space="preserve">6077</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玄武门站所：丹凤街19号4楼</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5</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Segoe UI" w:hAnsi="Segoe UI" w:eastAsia="Segoe UI" w:cs="Segoe UI"/>
                      <w:szCs w:val="21"/>
                      <w:highlight w:val="none"/>
                    </w:rPr>
                    <w:t xml:space="preserve">城西路站所-秣周路站所食堂食材采购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城西里站所：南京市雨花台区雨花南路18号</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166</w:t>
                  </w:r>
                  <w:r>
                    <w:rPr>
                      <w:rFonts w:hint="eastAsia" w:ascii="宋体" w:hAnsi="宋体" w:cs="宋体"/>
                      <w:szCs w:val="21"/>
                      <w:highlight w:val="none"/>
                      <w:lang w:bidi="ar"/>
                    </w:rPr>
                    <w:t xml:space="preserve">.</w:t>
                  </w:r>
                  <w:r>
                    <w:rPr>
                      <w:rFonts w:ascii="宋体" w:hAnsi="宋体" w:cs="宋体"/>
                      <w:szCs w:val="21"/>
                      <w:highlight w:val="none"/>
                      <w:lang w:bidi="ar"/>
                    </w:rPr>
                    <w:t xml:space="preserve">82854</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秣周路站所：南京市雨花台区卡子门大街76号</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6</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Segoe UI" w:hAnsi="Segoe UI" w:eastAsia="Segoe UI" w:cs="Segoe UI"/>
                      <w:szCs w:val="21"/>
                      <w:highlight w:val="none"/>
                      <w:shd w:val="clear" w:color="auto" w:fill="fafafa"/>
                    </w:rPr>
                    <w:t xml:space="preserve">大校场站所-晓庄站所食堂食材采购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大校场站所：南京市鼓楼区三步两桥10号</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146</w:t>
                  </w:r>
                  <w:r>
                    <w:rPr>
                      <w:rFonts w:hint="eastAsia" w:ascii="宋体" w:hAnsi="宋体" w:cs="宋体"/>
                      <w:szCs w:val="21"/>
                      <w:highlight w:val="none"/>
                      <w:lang w:bidi="ar"/>
                    </w:rPr>
                    <w:t xml:space="preserve">.</w:t>
                  </w:r>
                  <w:r>
                    <w:rPr>
                      <w:rFonts w:ascii="宋体" w:hAnsi="宋体" w:cs="宋体"/>
                      <w:szCs w:val="21"/>
                      <w:highlight w:val="none"/>
                      <w:lang w:bidi="ar"/>
                    </w:rPr>
                    <w:t xml:space="preserve">6474</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晓庄站所：南京市鼓楼区古平岗1号</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7</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禄口新城站所-汤山站所食堂食材采购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禄口新城站所：禄口街道飞天大道禄口南地铁基地内</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140</w:t>
                  </w:r>
                  <w:r>
                    <w:rPr>
                      <w:rFonts w:hint="eastAsia" w:ascii="宋体" w:hAnsi="宋体" w:cs="宋体"/>
                      <w:szCs w:val="21"/>
                      <w:highlight w:val="none"/>
                      <w:lang w:bidi="ar"/>
                    </w:rPr>
                    <w:t xml:space="preserve">.</w:t>
                  </w:r>
                  <w:r>
                    <w:rPr>
                      <w:rFonts w:ascii="宋体" w:hAnsi="宋体" w:cs="宋体"/>
                      <w:szCs w:val="21"/>
                      <w:highlight w:val="none"/>
                      <w:lang w:bidi="ar"/>
                    </w:rPr>
                    <w:t xml:space="preserve">418</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汤山站所：地铁江宁区药科大学站车辆基地内</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8</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孝陵卫站所-仙林湖站所食堂食材采购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孝陵卫站所：南京市西岗街道-C地铁青龙山车辆基地边</w:t>
                  </w:r>
                  <w:r/>
                </w:p>
              </w:tc>
              <w:tc>
                <w:tcPr>
                  <w:tcW w:w="776" w:type="pct"/>
                  <w:vAlign w:val="center"/>
                  <w:vMerge w:val="restart"/>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139</w:t>
                  </w:r>
                  <w:r>
                    <w:rPr>
                      <w:rFonts w:hint="eastAsia" w:ascii="宋体" w:hAnsi="宋体" w:cs="宋体"/>
                      <w:szCs w:val="21"/>
                      <w:highlight w:val="none"/>
                      <w:lang w:bidi="ar"/>
                    </w:rPr>
                    <w:t xml:space="preserve">.</w:t>
                  </w:r>
                  <w:r>
                    <w:rPr>
                      <w:rFonts w:ascii="宋体" w:hAnsi="宋体" w:cs="宋体"/>
                      <w:szCs w:val="21"/>
                      <w:highlight w:val="none"/>
                      <w:lang w:bidi="ar"/>
                    </w:rPr>
                    <w:t xml:space="preserve">85171</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rPr>
                      <w:highlight w:val="none"/>
                    </w:rPr>
                  </w:pPr>
                  <w:r>
                    <w:rPr>
                      <w:highlight w:val="none"/>
                    </w:rPr>
                  </w:r>
                  <w:r/>
                </w:p>
              </w:tc>
              <w:tc>
                <w:tcPr>
                  <w:tcW w:w="1450" w:type="pct"/>
                  <w:vAlign w:val="center"/>
                  <w:vMerge w:val="continue"/>
                  <w:textDirection w:val="lrTb"/>
                  <w:noWrap/>
                </w:tcPr>
                <w:p>
                  <w:pPr>
                    <w:jc w:val="center"/>
                    <w:spacing w:line="360" w:lineRule="auto"/>
                    <w:widowControl/>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仙林湖站所：栖霞区仙林大道180-1地铁经天路站桥下</w:t>
                  </w:r>
                  <w:r/>
                </w:p>
              </w:tc>
              <w:tc>
                <w:tcPr>
                  <w:tcW w:w="776"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3"/>
              </w:trPr>
              <w:tc>
                <w:tcPr>
                  <w:tcW w:w="518" w:type="pct"/>
                  <w:vAlign w:val="center"/>
                  <w:vMerge w:val="restart"/>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9</w:t>
                  </w:r>
                  <w:r/>
                </w:p>
              </w:tc>
              <w:tc>
                <w:tcPr>
                  <w:tcW w:w="1450"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天保站所-中和村站所</w:t>
                  </w:r>
                  <w:r>
                    <w:rPr>
                      <w:rFonts w:hint="eastAsia" w:ascii="宋体" w:hAnsi="宋体" w:cs="宋体"/>
                      <w:szCs w:val="21"/>
                      <w:highlight w:val="none"/>
                      <w:lang w:bidi="ar"/>
                    </w:rPr>
                    <w:t xml:space="preserve">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天保站所：南京市雨花台区新湖大道西善桥地铁基地内</w:t>
                  </w:r>
                  <w:r/>
                </w:p>
              </w:tc>
              <w:tc>
                <w:tcPr>
                  <w:tcW w:w="776" w:type="pct"/>
                  <w:vAlign w:val="center"/>
                  <w:vMerge w:val="restart"/>
                  <w:textDirection w:val="lrTb"/>
                  <w:noWrap/>
                </w:tcPr>
                <w:p>
                  <w:pPr>
                    <w:jc w:val="center"/>
                    <w:spacing w:line="360" w:lineRule="auto"/>
                    <w:widowControl/>
                    <w:tabs>
                      <w:tab w:val="left" w:pos="491" w:leader="none"/>
                      <w:tab w:val="center" w:pos="1002" w:leader="none"/>
                    </w:tabs>
                    <w:rPr>
                      <w:rFonts w:hint="eastAsia" w:ascii="宋体" w:hAnsi="宋体" w:cs="宋体"/>
                      <w:szCs w:val="21"/>
                      <w:highlight w:val="none"/>
                      <w:lang w:bidi="ar"/>
                    </w:rPr>
                  </w:pPr>
                  <w:r>
                    <w:rPr>
                      <w:rFonts w:ascii="宋体" w:hAnsi="宋体" w:cs="宋体"/>
                      <w:szCs w:val="21"/>
                      <w:highlight w:val="none"/>
                      <w:lang w:bidi="ar"/>
                    </w:rPr>
                    <w:t xml:space="preserve">136</w:t>
                  </w:r>
                  <w:r>
                    <w:rPr>
                      <w:rFonts w:hint="eastAsia" w:ascii="宋体" w:hAnsi="宋体" w:cs="宋体"/>
                      <w:szCs w:val="21"/>
                      <w:highlight w:val="none"/>
                      <w:lang w:bidi="ar"/>
                    </w:rPr>
                    <w:t xml:space="preserve">.</w:t>
                  </w:r>
                  <w:r>
                    <w:rPr>
                      <w:rFonts w:ascii="宋体" w:hAnsi="宋体" w:cs="宋体"/>
                      <w:szCs w:val="21"/>
                      <w:highlight w:val="none"/>
                      <w:lang w:bidi="ar"/>
                    </w:rPr>
                    <w:t xml:space="preserve">2417</w:t>
                  </w:r>
                  <w:r/>
                </w:p>
              </w:tc>
              <w:tc>
                <w:tcPr>
                  <w:tcW w:w="791" w:type="pct"/>
                  <w:vAlign w:val="center"/>
                  <w:vMerge w:val="restart"/>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r>
              <w:trPr>
                <w:trHeight w:val="403"/>
              </w:trPr>
              <w:tc>
                <w:tcPr>
                  <w:tcW w:w="518" w:type="pct"/>
                  <w:vAlign w:val="center"/>
                  <w:vMerge w:val="continue"/>
                  <w:textDirection w:val="lrTb"/>
                  <w:noWrap/>
                </w:tcPr>
                <w:p>
                  <w:pPr>
                    <w:jc w:val="center"/>
                    <w:spacing w:line="360" w:lineRule="auto"/>
                    <w:widowControl/>
                    <w:tabs>
                      <w:tab w:val="left" w:pos="491" w:leader="none"/>
                      <w:tab w:val="center" w:pos="1002" w:leader="none"/>
                    </w:tabs>
                    <w:rPr>
                      <w:highlight w:val="none"/>
                    </w:rPr>
                  </w:pPr>
                  <w:r>
                    <w:rPr>
                      <w:highlight w:val="none"/>
                    </w:rPr>
                  </w:r>
                  <w:r/>
                </w:p>
              </w:tc>
              <w:tc>
                <w:tcPr>
                  <w:tcW w:w="1450" w:type="pct"/>
                  <w:vAlign w:val="center"/>
                  <w:vMerge w:val="continue"/>
                  <w:textDirection w:val="lrTb"/>
                  <w:noWrap/>
                </w:tcPr>
                <w:p>
                  <w:pPr>
                    <w:jc w:val="center"/>
                    <w:spacing w:line="360" w:lineRule="auto"/>
                    <w:widowControl/>
                    <w:tabs>
                      <w:tab w:val="left" w:pos="491" w:leader="none"/>
                      <w:tab w:val="center" w:pos="1002" w:leader="none"/>
                    </w:tabs>
                    <w:rPr>
                      <w:highlight w:val="none"/>
                    </w:rPr>
                  </w:pPr>
                  <w:r>
                    <w:rPr>
                      <w:highlight w:val="none"/>
                    </w:rPr>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中和村站所：地铁油坊桥车辆基地内</w:t>
                  </w:r>
                  <w:r/>
                </w:p>
              </w:tc>
              <w:tc>
                <w:tcPr>
                  <w:tcW w:w="776" w:type="pct"/>
                  <w:vAlign w:val="center"/>
                  <w:vMerge w:val="continue"/>
                  <w:textDirection w:val="lrTb"/>
                  <w:noWrap/>
                </w:tcPr>
                <w:p>
                  <w:pPr>
                    <w:jc w:val="center"/>
                    <w:spacing w:line="360" w:lineRule="auto"/>
                    <w:widowControl/>
                    <w:tabs>
                      <w:tab w:val="left" w:pos="491" w:leader="none"/>
                      <w:tab w:val="center" w:pos="1002" w:leader="none"/>
                    </w:tabs>
                    <w:rPr>
                      <w:rFonts w:hint="eastAsia" w:ascii="宋体" w:hAnsi="宋体" w:cs="宋体"/>
                      <w:szCs w:val="21"/>
                      <w:highlight w:val="none"/>
                      <w:lang w:bidi="ar"/>
                    </w:rPr>
                  </w:pPr>
                  <w:r>
                    <w:rPr>
                      <w:rFonts w:hint="eastAsia" w:ascii="宋体" w:hAnsi="宋体" w:cs="宋体"/>
                      <w:szCs w:val="21"/>
                      <w:highlight w:val="none"/>
                      <w:lang w:bidi="ar"/>
                    </w:rPr>
                  </w:r>
                  <w:r/>
                </w:p>
              </w:tc>
              <w:tc>
                <w:tcPr>
                  <w:tcW w:w="791" w:type="pct"/>
                  <w:vAlign w:val="center"/>
                  <w:vMerge w:val="continue"/>
                  <w:textDirection w:val="lrTb"/>
                  <w:noWrap/>
                </w:tcPr>
                <w:p>
                  <w:pPr>
                    <w:jc w:val="center"/>
                    <w:spacing w:line="360" w:lineRule="auto"/>
                    <w:widowControl/>
                    <w:tabs>
                      <w:tab w:val="left" w:pos="491" w:leader="none"/>
                      <w:tab w:val="center" w:pos="1002" w:leader="none"/>
                    </w:tabs>
                    <w:rPr>
                      <w:rFonts w:hint="eastAsia" w:ascii="宋体" w:hAnsi="宋体" w:cs="宋体"/>
                      <w:szCs w:val="21"/>
                      <w:highlight w:val="none"/>
                      <w:lang w:bidi="ar"/>
                    </w:rPr>
                  </w:pPr>
                  <w:r>
                    <w:rPr>
                      <w:rFonts w:hint="eastAsia" w:ascii="宋体" w:hAnsi="宋体" w:cs="宋体"/>
                      <w:szCs w:val="21"/>
                      <w:highlight w:val="none"/>
                      <w:lang w:bidi="ar"/>
                    </w:rPr>
                  </w:r>
                  <w:r/>
                </w:p>
              </w:tc>
            </w:tr>
            <w:tr>
              <w:trPr>
                <w:trHeight w:val="408"/>
              </w:trPr>
              <w:tc>
                <w:tcPr>
                  <w:tcW w:w="518" w:type="pct"/>
                  <w:vAlign w:val="center"/>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10</w:t>
                  </w:r>
                  <w:r/>
                </w:p>
              </w:tc>
              <w:tc>
                <w:tcPr>
                  <w:tcW w:w="1450" w:type="pct"/>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巡特警大队食堂食材采购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地铁马群车辆基地内马群神马路19号</w:t>
                  </w:r>
                  <w:r/>
                </w:p>
              </w:tc>
              <w:tc>
                <w:tcPr>
                  <w:tcW w:w="776" w:type="pct"/>
                  <w:vAlign w:val="center"/>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112</w:t>
                  </w:r>
                  <w:r>
                    <w:rPr>
                      <w:rFonts w:hint="eastAsia" w:ascii="宋体" w:hAnsi="宋体" w:cs="宋体"/>
                      <w:szCs w:val="21"/>
                      <w:highlight w:val="none"/>
                      <w:lang w:bidi="ar"/>
                    </w:rPr>
                    <w:t xml:space="preserve">.</w:t>
                  </w:r>
                  <w:r>
                    <w:rPr>
                      <w:rFonts w:ascii="宋体" w:hAnsi="宋体" w:cs="宋体"/>
                      <w:szCs w:val="21"/>
                      <w:highlight w:val="none"/>
                      <w:lang w:bidi="ar"/>
                    </w:rPr>
                    <w:t xml:space="preserve">45204</w:t>
                  </w:r>
                  <w:r/>
                </w:p>
              </w:tc>
              <w:tc>
                <w:tcPr>
                  <w:tcW w:w="791" w:type="pct"/>
                  <w:vAlign w:val="center"/>
                  <w:textDirection w:val="lrTb"/>
                  <w:noWrap/>
                </w:tcPr>
                <w:p>
                  <w:pPr>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全品类食材供应商</w:t>
                  </w:r>
                  <w:r/>
                </w:p>
              </w:tc>
            </w:tr>
            <w:tr>
              <w:trPr>
                <w:trHeight w:val="408"/>
              </w:trPr>
              <w:tc>
                <w:tcPr>
                  <w:tcW w:w="518" w:type="pct"/>
                  <w:vAlign w:val="center"/>
                  <w:textDirection w:val="lrTb"/>
                  <w:noWrap/>
                </w:tcPr>
                <w:p>
                  <w:pPr>
                    <w:jc w:val="center"/>
                    <w:spacing w:line="360" w:lineRule="auto"/>
                    <w:widowControl/>
                    <w:rPr>
                      <w:rFonts w:cs="宋体"/>
                      <w:szCs w:val="21"/>
                      <w:highlight w:val="none"/>
                      <w:lang w:bidi="ar"/>
                    </w:rPr>
                  </w:pPr>
                  <w:r>
                    <w:rPr>
                      <w:rFonts w:hint="eastAsia" w:cs="宋体"/>
                      <w:szCs w:val="21"/>
                      <w:highlight w:val="none"/>
                      <w:lang w:bidi="ar"/>
                    </w:rPr>
                    <w:t xml:space="preserve">11</w:t>
                  </w:r>
                  <w:r/>
                </w:p>
              </w:tc>
              <w:tc>
                <w:tcPr>
                  <w:tcW w:w="1450" w:type="pct"/>
                  <w:vAlign w:val="center"/>
                  <w:textDirection w:val="lrTb"/>
                  <w:noWrap/>
                </w:tcPr>
                <w:p>
                  <w:pPr>
                    <w:jc w:val="center"/>
                    <w:spacing w:line="360" w:lineRule="auto"/>
                    <w:widowControl/>
                    <w:rPr>
                      <w:rFonts w:hint="eastAsia" w:ascii="宋体" w:hAnsi="宋体" w:cs="宋体"/>
                      <w:szCs w:val="21"/>
                      <w:highlight w:val="none"/>
                    </w:rPr>
                  </w:pPr>
                  <w:r>
                    <w:rPr>
                      <w:rFonts w:ascii="宋体" w:hAnsi="宋体" w:cs="宋体"/>
                      <w:szCs w:val="21"/>
                      <w:highlight w:val="none"/>
                    </w:rPr>
                    <w:t xml:space="preserve">大厂东站所食堂食材采购</w:t>
                  </w:r>
                  <w:r/>
                </w:p>
              </w:tc>
              <w:tc>
                <w:tcPr>
                  <w:tcW w:w="1462" w:type="pct"/>
                  <w:vAlign w:val="center"/>
                  <w:textDirection w:val="lrTb"/>
                  <w:noWrap/>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六合区平顶山路和平社区地铁大厂东车辆基地内</w:t>
                  </w:r>
                  <w:r/>
                </w:p>
              </w:tc>
              <w:tc>
                <w:tcPr>
                  <w:tcW w:w="776" w:type="pct"/>
                  <w:vAlign w:val="center"/>
                  <w:textDirection w:val="lrTb"/>
                  <w:noWrap/>
                </w:tcPr>
                <w:p>
                  <w:pPr>
                    <w:jc w:val="center"/>
                    <w:spacing w:line="360" w:lineRule="auto"/>
                    <w:widowControl/>
                    <w:rPr>
                      <w:rFonts w:hint="eastAsia" w:ascii="宋体" w:hAnsi="宋体" w:cs="宋体"/>
                      <w:szCs w:val="21"/>
                      <w:highlight w:val="none"/>
                      <w:lang w:bidi="ar"/>
                    </w:rPr>
                  </w:pPr>
                  <w:r>
                    <w:rPr>
                      <w:rFonts w:ascii="宋体" w:hAnsi="宋体" w:cs="宋体"/>
                      <w:szCs w:val="21"/>
                      <w:highlight w:val="none"/>
                      <w:lang w:bidi="ar"/>
                    </w:rPr>
                    <w:t xml:space="preserve">76</w:t>
                  </w:r>
                  <w:r>
                    <w:rPr>
                      <w:rFonts w:hint="eastAsia" w:ascii="宋体" w:hAnsi="宋体" w:cs="宋体"/>
                      <w:szCs w:val="21"/>
                      <w:highlight w:val="none"/>
                      <w:lang w:bidi="ar"/>
                    </w:rPr>
                    <w:t xml:space="preserve">.</w:t>
                  </w:r>
                  <w:r>
                    <w:rPr>
                      <w:rFonts w:ascii="宋体" w:hAnsi="宋体" w:cs="宋体"/>
                      <w:szCs w:val="21"/>
                      <w:highlight w:val="none"/>
                      <w:lang w:bidi="ar"/>
                    </w:rPr>
                    <w:t xml:space="preserve">2638</w:t>
                  </w:r>
                  <w:r/>
                </w:p>
              </w:tc>
              <w:tc>
                <w:tcPr>
                  <w:tcW w:w="791" w:type="pct"/>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全品类食材供应商</w:t>
                  </w:r>
                  <w:r/>
                </w:p>
              </w:tc>
            </w:tr>
          </w:tbl>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注:以上食材配送地址与就餐人数可能会进行调整，最终以采购人确认的食材配送地址与就餐人数为准。本项目预算中的全年采购金额为预估数，采购人不对全年采购金额做承诺。</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四、配送管理及相关要求</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（一）配送要求</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1.配送人员要求：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1.1投标人需固定配送人员，配送人员与驾驶人员可兼任，但不得随意变更，如有变更须经采购人同意。</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1.2投标人需配备专门负责送货人员不少于2人，必须是投标人的正式员工，在合同签订前向采购人提供健康证、劳动合同及社保机构出具的近一个月投标人为其缴纳的加盖社保中心章或社保中心参保缴费证明电子专用章的社会保险金缴纳清单。（需提供承诺书，格式参考附件十二，加盖公章，未提供或未按要求提供按照无效投标处理）</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2.配送车辆要求：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2.1投标人应具有满足项目配送所需的</w:t>
            </w:r>
            <w:r>
              <w:rPr>
                <w:rFonts w:hint="eastAsia" w:asciiTheme="minorEastAsia" w:hAnsiTheme="minorEastAsia" w:eastAsiaTheme="minorEastAsia" w:cstheme="minorEastAsia"/>
                <w:szCs w:val="21"/>
                <w:highlight w:val="none"/>
                <w:lang w:bidi="ar"/>
              </w:rPr>
              <w:t xml:space="preserve">运输配送能力</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2.2配送车辆应符合相关卫生要求，做到每日清洗、消毒并做好消毒记录，车厢内无不良气味、异味。</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2.3配送车辆及运输工具应清洁卫生无污染，食品运输必须采用符合卫生标准的外包装和运载工具，并且要保持清洁和定期消毒。运输途中严防日晒、雨淋，注意通风散热；货物应小心轻卸，严防机械损伤。食品堆放科学合理，避免造成食品的交叉污染；如对温度有要求的食品应确定食品的温度，记录送货车辆温度，并将记录存档。</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3.其他配送要求：</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3.1投标人必须承诺采购人如遇应急或特殊情况下半小时内响应，1小时内送货到场。（需提供承诺书，格式参考附件十二，加盖公章，未提供或未按要求提供按照无效投标处理）。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3.2人员及车辆遵守采购人要求，在生产配送过程中，发生安全(含交通)事故，造成车辆损坏、人员伤亡及其他一切安全(含交通)生产事故，责任由中标人全部承担，与采购人无关。</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3.3投标人应根据服务地点，充分考虑因天气恶劣导致高速公路封闭等原因，合理安排出货时间，确保不影响采购人正常供餐。</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（二）供货要求：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1.中标人在接到采购人送货通知后，须及时送到采购人指定地点并验收完成。</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2.采购人有权根据中标人实际供货能力调整配送时间段，中标人须无条件按采购人要求执行。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配送及验收：采购人各个项目点的负责人员每天上午对所送货物验收一次，中标人需将当日需要的所有食材、商品一次性打包送达，不得将项目转包、分包给其他人，不得将一批食材多次送货（统一配送，分别验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4.当日供货完毕后，双方应各自保存好经接收食材采购和中标人相关人员供货清单（一式两份，双方签字）。</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食品管控：所有食材来源均有书面依据，必须可追溯，供采购人随时抽检，如后续无法提供相关凭证材料，采购人有权终止合同。所供食材必须每批都持有相对应的检验检疫证明，产品合格证，生产日期，有效使用期限，包装状态、大小，产地等。</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6.因市场特殊原因，个别食材品种不能及时提供，中标人应提前与采购人沟通协调，更换品种，满足需要。</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服务响应：中标人需具备应急服务能力，且有固定联系人员，有一定的处理紧急情况的经验。中标人必须承诺采购人如遇节假日、应急或特殊情况下半小时内响应，1小时内送货到场，如遇未及时响应或响应但未及时到场，采购人有权依照履约评价细则扣分扣款或终止合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8.所有产品因验收货物时不能直接判断质量的，在使用过程中发现不合格产品，中标人应作退货处理。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9.物资验收中不合格产品，中标人应按照采购人规定时间内调换，以不影响正常工作为准。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10.配送人员应具备有效的健康合格证明，配送车辆应符合相关卫生要求，做到每日清洗、消毒并做好消毒记录，配送人员及配送车辆不得随意变更，如有变更须经采购人同意，更换的配送人员及配送车辆的档次、承诺及要求不得低于投标时相关档次、承诺及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11.运输新鲜肉类、冷冻肉类、鲜活水产、冷冻水产等对存储有温度要求的食材时，须保证全程以冷链运输方式送达。</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12.中标人应严格遵守《中华人民共和国食品安全法》等相关规定，严格保证食品质量符合国家相关产品质量标准，符合国家各级强制性规范要求。如因中标人产品质量引起食用者呕吐、腹泻等不良反应或食物中毒现象，经权威部门鉴定，确属产品质量引起的，中标人应负全部责任，赔偿采购人相关损失且采购人有权依照履约评价细则扣分扣款或终止合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13.验收标准及退货依据：中标人应严格遵守《动物检疫管理办法》、《中华人民共和国食品安全法》等相关规定，一经发现供应不合格货品，除全部退货外，中标人承担由此造成的经济责任和法律责任。前两次采购人将予以警告并按履约评价标准进行相关扣分，在当期结算时扣2000元/次，第三次采购人有权终止合同。</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14.中标人供应的食材应为超市、农贸市场等主流流通渠道在售常规品牌；所供品牌市面少见、无法正常询价的，采购人有权拒收。</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15.凡按重量计量物资，均以物品净重方式计量结算。 </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16.供货清单应经采购人及中标人双方相关人员签字（内容包括但不限于供应的具体食材、数量等信息）。每个月汇总交由食堂食材采购负责人核实单价后结算。其提供的所有结算资料均须真实有效、准确详实、有迹可循，不得弄虚作假。</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（三）其他要求</w:t>
            </w:r>
            <w:r/>
          </w:p>
          <w:p>
            <w:pPr>
              <w:ind w:firstLine="420"/>
              <w:jc w:val="left"/>
              <w:spacing w:line="360" w:lineRule="auto"/>
              <w:rPr>
                <w:rFonts w:hint="eastAsia" w:ascii="宋体" w:hAnsi="宋体" w:cs="宋体" w:eastAsiaTheme="minorEastAsia"/>
                <w:b/>
                <w:bCs/>
                <w:szCs w:val="21"/>
                <w:highlight w:val="none"/>
              </w:rPr>
            </w:pPr>
            <w:r>
              <w:rPr>
                <w:rFonts w:hint="eastAsia" w:ascii="宋体" w:hAnsi="宋体" w:cs="宋体"/>
                <w:szCs w:val="21"/>
                <w:highlight w:val="none"/>
              </w:rPr>
              <w:t xml:space="preserve">1.仓储场地要求：为保障食品安全、提升运营效率和确保业务合规，中标人应具有常温仓库、冷冻库</w:t>
            </w:r>
            <w:r>
              <w:rPr>
                <w:rFonts w:hint="eastAsia" w:asciiTheme="minorEastAsia" w:hAnsiTheme="minorEastAsia" w:eastAsiaTheme="minorEastAsia" w:cstheme="minorEastAsia"/>
                <w:szCs w:val="21"/>
                <w:highlight w:val="none"/>
                <w:lang w:bidi="ar"/>
              </w:rPr>
              <w:t xml:space="preserve">、冷藏库。</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2.中标人必须负责货物的运输、质量检测等工作。</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3.中标人不得将本项目转包、分包给他人，否则采购人有权单方终止合同，由此产生的一切经济损失由中标人自行承担。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4.中标人应做好本单位工作人员的教育工作，遵守采购人各项规定。</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5.采购人按合同对商品进行认真验收，对不符合规格要求的商品，无条件退货。采购人发现商品出现损坏（包括表面损坏），或出现串味、受潮等导致货物性质改变的，中标人必须无条件退货或更换商品。</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6.中标人须对全部采购货物进行供应，不可以选择性供应。货品应严格遵守国家及地方相关标准。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7.包装：如果该项货品有外包装，则包装必须完整，无破损、积压或遭开封现象；商标及生产日期清晰明确，无涂改现象；符合《预包装产品标签通则》的相关规定。</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8.运输要求：配送车辆箱体保持清洁，定期消毒。中标人的运输车辆应具备专业保鲜或冷冻条件。食品配送车辆严禁配送有毒有害物品。</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9.“索证索票制”即中标人必须建立并执行进货检查验收制度，审验销售商的经营资格，验明产品合格证明和产品标识，并建立产品进货台账，如实记录产品名称、规格、数量、供货商的联系方式、进货渠道等内容，并且要建立产品销售台账，如实记录批发销售的产品品种、规格、数量、流向等，中标人应当向销售商按照产品生产批次索要符合法定条件的检验报告。</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五、产品质量要求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人应严格遵守《食品安全法》等相关规定，严格保证食品质量，符合国家相关产品质量标准，符合国家各级强制性规范要求。投标人所供食材应为同类产品中的综合质量优良产品，所有商品必须做到可以溯源。投标人应保证所提供的食材剩余保存期不少于原有保质期的三分之二（生鲜除外），在保质期内经正确和合理食用，不会出现食品安全事故，并对食品安全事故负责。</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2.严格禁止供应如下食品，一经发现，采购人有权终止合同：</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2.1腐败变质、油脂酸败、霉变、生虫、污秽不洁、混有异物或其他感官性状异常，对人体有害的；</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2.2含有毒、有害物质或被有害物质污染，对人体身体健康有害的；含有严重超出标准限量的农药残留、兽药残留、重金属、污染物质以及其他危害人体健康的；</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2.3含有致病性寄生虫、微生物或者微生物含量超过国家限定标准的；</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2.4未经动物部门检疫、检验或者检疫、检验不合格的肉类及其制品；</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2.5病死、毒死或不明死因的禽、畜、兽、水产动物等及其制品；</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2.6掺假、掺杂、伪造，影响营养、卫生的；</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2.7用非食品原料加工的，加入非食品用化学物质或将非食品当作食品的；</w:t>
            </w:r>
            <w:r/>
          </w:p>
          <w:p>
            <w:pPr>
              <w:ind w:firstLine="480"/>
              <w:jc w:val="left"/>
              <w:spacing w:line="360" w:lineRule="auto"/>
              <w:rPr>
                <w:highlight w:val="none"/>
              </w:rPr>
            </w:pPr>
            <w:r>
              <w:rPr>
                <w:rFonts w:hint="eastAsia" w:ascii="宋体" w:hAnsi="宋体" w:cs="宋体"/>
                <w:szCs w:val="21"/>
                <w:highlight w:val="none"/>
              </w:rPr>
              <w:t xml:space="preserve">2.8超过保质期限的。</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六、验收标准及退货依据：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验收标准及退货依据如下：</w:t>
            </w:r>
            <w:r/>
          </w:p>
          <w:tbl>
            <w:tblPr>
              <w:tblStyle w:val="86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4672"/>
              <w:gridCol w:w="2996"/>
            </w:tblGrid>
            <w:tr>
              <w:trPr>
                <w:trHeight w:val="451"/>
                <w:tblHeader/>
              </w:trPr>
              <w:tc>
                <w:tcPr>
                  <w:shd w:val="clear" w:color="auto" w:fill="ffffff"/>
                  <w:tcW w:w="847" w:type="pct"/>
                  <w:vAlign w:val="center"/>
                  <w:textDirection w:val="lrTb"/>
                  <w:noWrap w:val="false"/>
                </w:tcPr>
                <w:p>
                  <w:pPr>
                    <w:jc w:val="center"/>
                    <w:spacing w:line="360" w:lineRule="auto"/>
                    <w:rPr>
                      <w:rFonts w:hint="eastAsia" w:ascii="宋体" w:hAnsi="宋体" w:cs="宋体"/>
                      <w:b/>
                      <w:bCs/>
                      <w:szCs w:val="21"/>
                      <w:highlight w:val="none"/>
                      <w:lang w:bidi="zh-CN"/>
                    </w:rPr>
                    <w:outlineLvl w:val="1"/>
                  </w:pPr>
                  <w:r>
                    <w:rPr>
                      <w:rFonts w:hint="eastAsia" w:ascii="宋体" w:hAnsi="宋体" w:cs="宋体"/>
                      <w:b/>
                      <w:bCs/>
                      <w:szCs w:val="21"/>
                      <w:highlight w:val="none"/>
                      <w:lang w:bidi="zh-CN"/>
                    </w:rPr>
                    <w:t xml:space="preserve">种类</w:t>
                  </w:r>
                  <w:r/>
                </w:p>
              </w:tc>
              <w:tc>
                <w:tcPr>
                  <w:shd w:val="clear" w:color="auto" w:fill="ffffff"/>
                  <w:tcW w:w="2530" w:type="pct"/>
                  <w:vAlign w:val="center"/>
                  <w:textDirection w:val="lrTb"/>
                  <w:noWrap w:val="false"/>
                </w:tcPr>
                <w:p>
                  <w:pPr>
                    <w:jc w:val="center"/>
                    <w:spacing w:line="360" w:lineRule="auto"/>
                    <w:rPr>
                      <w:rFonts w:hint="eastAsia" w:ascii="宋体" w:hAnsi="宋体" w:cs="宋体"/>
                      <w:b/>
                      <w:bCs/>
                      <w:szCs w:val="21"/>
                      <w:highlight w:val="none"/>
                      <w:lang w:bidi="zh-CN"/>
                    </w:rPr>
                    <w:outlineLvl w:val="1"/>
                  </w:pPr>
                  <w:r>
                    <w:rPr>
                      <w:rFonts w:hint="eastAsia" w:ascii="宋体" w:hAnsi="宋体" w:cs="宋体"/>
                      <w:b/>
                      <w:bCs/>
                      <w:szCs w:val="21"/>
                      <w:highlight w:val="none"/>
                      <w:lang w:bidi="zh-CN"/>
                    </w:rPr>
                    <w:t xml:space="preserve">验收标准</w:t>
                  </w:r>
                  <w:r/>
                </w:p>
              </w:tc>
              <w:tc>
                <w:tcPr>
                  <w:shd w:val="clear" w:color="auto" w:fill="ffffff"/>
                  <w:tcW w:w="1621" w:type="pct"/>
                  <w:vAlign w:val="center"/>
                  <w:textDirection w:val="lrTb"/>
                  <w:noWrap w:val="false"/>
                </w:tcPr>
                <w:p>
                  <w:pPr>
                    <w:jc w:val="center"/>
                    <w:spacing w:line="360" w:lineRule="auto"/>
                    <w:rPr>
                      <w:rFonts w:hint="eastAsia" w:ascii="宋体" w:hAnsi="宋体" w:cs="宋体"/>
                      <w:b/>
                      <w:bCs/>
                      <w:szCs w:val="21"/>
                      <w:highlight w:val="none"/>
                      <w:lang w:bidi="zh-CN"/>
                    </w:rPr>
                    <w:outlineLvl w:val="1"/>
                  </w:pPr>
                  <w:r>
                    <w:rPr>
                      <w:rFonts w:hint="eastAsia" w:ascii="宋体" w:hAnsi="宋体" w:cs="宋体"/>
                      <w:b/>
                      <w:bCs/>
                      <w:szCs w:val="21"/>
                      <w:highlight w:val="none"/>
                      <w:lang w:bidi="zh-CN"/>
                    </w:rPr>
                    <w:t xml:space="preserve">退货依据</w:t>
                  </w:r>
                  <w:r/>
                </w:p>
              </w:tc>
            </w:tr>
            <w:tr>
              <w:trPr>
                <w:trHeight w:val="349"/>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叶菜类</w:t>
                  </w:r>
                  <w:r/>
                </w:p>
              </w:tc>
              <w:tc>
                <w:tcPr>
                  <w:shd w:val="clear" w:color="auto" w:fill="ffffff"/>
                  <w:tcW w:w="2530"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叶菜必须符合GB23200标准，外形正常，叶梗光滑幼嫩，不干瘪凋萎，无过多黄叶，色泽正常。去除根须，不含土，无虫害，大白菜、卷心菜切开心不变黑，无腐烂情形，无明显浸水现象；农药残留不超标。</w:t>
                  </w:r>
                  <w:r/>
                </w:p>
              </w:tc>
              <w:tc>
                <w:tcPr>
                  <w:shd w:val="clear" w:color="auto" w:fill="ffffff"/>
                  <w:tcW w:w="1621"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味苦，鲜度嫩度明显不佳，含黄叶须根，泥土、虫害严重，萎捏严重，浸水后仍不可恢复；农药残留超标。</w:t>
                  </w:r>
                  <w:r/>
                </w:p>
              </w:tc>
            </w:tr>
            <w:tr>
              <w:trPr>
                <w:trHeight w:val="600"/>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根茎类（如香芋、土豆、莴笋等）</w:t>
                  </w:r>
                  <w:r/>
                </w:p>
              </w:tc>
              <w:tc>
                <w:tcPr>
                  <w:shd w:val="clear" w:color="auto" w:fill="ffffff"/>
                  <w:tcW w:w="2530"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根茎类蔬菜必须符合GB23200标准，无虫咬、发芽、发霉现象，新鲜，形态大小与市场常规标准相当。农药残留不超标。</w:t>
                  </w:r>
                  <w:r/>
                </w:p>
              </w:tc>
              <w:tc>
                <w:tcPr>
                  <w:shd w:val="clear" w:color="auto" w:fill="ffffff"/>
                  <w:tcW w:w="1621"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发芽严重、发霉，新鲜度不佳，形态大小与市场常规标准存在较大负偏差。农药残留超标。</w:t>
                  </w:r>
                  <w:r/>
                </w:p>
              </w:tc>
            </w:tr>
            <w:tr>
              <w:trPr>
                <w:trHeight w:val="90"/>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花果类（如西兰花、白菜花）</w:t>
                  </w:r>
                  <w:r/>
                </w:p>
              </w:tc>
              <w:tc>
                <w:tcPr>
                  <w:shd w:val="clear" w:color="auto" w:fill="ffffff"/>
                  <w:tcW w:w="2530"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花果类蔬菜必须符合GB23200标准，无虫害，成熟度良好，新鲜固有的色泽鲜明，无发霉发黄。农药残留不超标。</w:t>
                  </w:r>
                  <w:r/>
                </w:p>
              </w:tc>
              <w:tc>
                <w:tcPr>
                  <w:shd w:val="clear" w:color="auto" w:fill="ffffff"/>
                  <w:tcW w:w="1621"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不新鲜，发霉，虫害过多。农药残留超标。</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瓜果类</w:t>
                  </w:r>
                  <w:r/>
                </w:p>
              </w:tc>
              <w:tc>
                <w:tcPr>
                  <w:shd w:val="clear" w:color="auto" w:fill="ffffff"/>
                  <w:tcW w:w="2530"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瓜果必须符合GB23200标准，外表光亮无斑点，有新鲜连接的秧，形状正常、大小均匀，无软塌，成熟度适度。无腐烂，无污染，清洁、新鲜，无异味、无病虫损害。农药残留不超标。</w:t>
                  </w:r>
                  <w:r/>
                </w:p>
              </w:tc>
              <w:tc>
                <w:tcPr>
                  <w:shd w:val="clear" w:color="auto" w:fill="ffffff"/>
                  <w:tcW w:w="1621"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不新鲜、软塌、腐烂，有异味。病虫损害严重，形状不太正常，大小不适中。农药残留超标。</w:t>
                  </w:r>
                  <w:r/>
                </w:p>
              </w:tc>
            </w:tr>
            <w:tr>
              <w:trPr>
                <w:trHeight w:val="935"/>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肉食类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符合鲜、冻片猪肉国家标准GB2707，冷鲜肉屠宰检验日期48小时内交付，冷冻肉剩余保存期不少于原有保质期的三分之二。猪肉、牛肉、鸡肉、鸭肉等必须具有动物检验检疫合格证明，新鲜无异味，无注水现象，并按食堂要求需进行初步加工，如切块、片、段、丝等。</w:t>
                  </w:r>
                  <w:r/>
                </w:p>
              </w:tc>
            </w:tr>
            <w:tr>
              <w:trPr>
                <w:trHeight w:val="935"/>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禽蛋类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鲜(冻)鸡鸭、鸡副产品等必须具有动物检验检疫合格证明，符号国家标准GB/T37108，新鲜无异味，无注水现象，并按食堂要求需进行初步加工，如切块、段等，鸡鸭类宰杀刨肚等。蛋壳清洁完整，灯光透视时整个蛋呈微红色，蛋黄不见或略有阴影，打开后蛋黄凸起完整并带有韧性，蛋白澄清透明，稀稠分明。</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水产品类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必须符合GB2733标准；外表新鲜无异味，根据采购人要求大小适中及均匀，按照采购人要求进行加工，如活鱼类现场宰杀，刨肚去鳞等。</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调味品类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包括但不限于符合白砂糖（白砂糖国家标准GB/T317）；食用盐（食用盐国家标准GB/T5461、食用盐卫生标准GB2721）；酱油（酿造酱油国家标准‌GB/T 18186、酱油卫生标准GB2717）；味精（味精卫生标准GB2720）；生粉（淀粉制品卫生标准GB2713）；绵白糖（绵白糖国家标准GB/T1445）；香醋（食醋国家标准GB/T 18187、食醋卫生标准GB2719），送达时的剩余保存期不少于原有保质期的三分之二。</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米、面、油类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大米质量要求：粳米一级国家标准GB1354；</w:t>
                  </w:r>
                  <w:r/>
                </w:p>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面粉质量要求：小麦粉特制一等国家标准GB/T 1355；</w:t>
                  </w:r>
                  <w:r/>
                </w:p>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食用油质量要求：非转基因，国家标准GB1535。</w:t>
                  </w:r>
                  <w:r/>
                </w:p>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送达时的剩余保存期不少于原有保质期的三分之二。</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乳制品类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酸奶（小塑杯）必须符合 GB 19302标准，并拥有“SC”食品质量安全认证；鲜奶类（巴氏奶）：必须符合GB19301标准，并拥有“SC”食品质量安全认证；乳制品类送达时的剩余保存期不少于原有保质期的三分之二，冷链运输，安全储存。</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豆制品类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包括但不限于干丝、豆腐、千张等，必须具有“SC”食品质量安全认证。</w:t>
                  </w:r>
                  <w:r/>
                </w:p>
              </w:tc>
            </w:tr>
            <w:tr>
              <w:trPr>
                <w:trHeight w:val="303"/>
              </w:trPr>
              <w:tc>
                <w:tcPr>
                  <w:shd w:val="clear" w:color="auto" w:fill="ffffff"/>
                  <w:tcW w:w="847" w:type="pct"/>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水果类</w:t>
                  </w:r>
                  <w:r/>
                </w:p>
              </w:tc>
              <w:tc>
                <w:tcPr>
                  <w:gridSpan w:val="2"/>
                  <w:shd w:val="clear" w:color="auto" w:fill="ffffff"/>
                  <w:tcW w:w="4152" w:type="pct"/>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水果必须符合GB23200系列标准，根据采购人要求大小适中及均匀,成熟度适中，品种好、口感好。</w:t>
                  </w:r>
                  <w:r/>
                </w:p>
              </w:tc>
            </w:tr>
          </w:tbl>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以上涉及的国家食品安全、卫生生产标准均按照最新标准执行，如在合同履行过程中出台了更新的标准，则按照最新标准执行。</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七、各类食材要求</w:t>
            </w:r>
            <w:r/>
          </w:p>
          <w:p>
            <w:pPr>
              <w:jc w:val="center"/>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食堂食材采购清单（包括但不限于以下品种）</w:t>
            </w:r>
            <w:r/>
          </w:p>
          <w:tbl>
            <w:tblPr>
              <w:tblStyle w:val="862"/>
              <w:tblW w:w="90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3"/>
              <w:gridCol w:w="972"/>
              <w:gridCol w:w="7416"/>
            </w:tblGrid>
            <w:tr>
              <w:trPr>
                <w:jc w:val="center"/>
                <w:trHeight w:val="46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序号</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品类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供应品名</w:t>
                  </w:r>
                  <w:r/>
                </w:p>
              </w:tc>
            </w:tr>
            <w:tr>
              <w:trPr>
                <w:jc w:val="center"/>
                <w:trHeight w:val="46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冻品类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鸡腿、鸭腿、鸡翅、鸡胸脯肉、猪手、鸡爪、鸭四件、鱼排、松鼠鱼等。</w:t>
                  </w:r>
                  <w:r/>
                </w:p>
              </w:tc>
            </w:tr>
            <w:tr>
              <w:trPr>
                <w:jc w:val="center"/>
                <w:trHeight w:val="1163"/>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干货类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木耳、香菇、腐竹、海带、花生米、油面筋、梅干菜、茶树菇、黄花菜、菜苔、粉丝、粉条、雪菜、酸菜、榨菜丝、皮肚、紫菜、大蒜头、笋丝等</w:t>
                  </w:r>
                  <w:r/>
                </w:p>
              </w:tc>
            </w:tr>
            <w:tr>
              <w:trPr>
                <w:jc w:val="center"/>
                <w:trHeight w:val="1933"/>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调味品类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李锦记生抽、老抽、耗油、白胡椒粉、黑胡椒粉、干辣椒、红辣椒、野山椒、胡椒粉、辣椒粉、黄豆酱、甜面酱、芝麻酱、叉烧酱、番茄酱、沙拉酱、料酒、白糖、淮盐、十三香、花椒、八角、桂皮、香叶、白芷、草果、小茴香、豆蔻、香油、辣油、郫县豆瓣酱、蒸鱼豉油、豆豉、味精、鸡精、生粉、红曲粉、孜然粉、面包糠、黄豆等</w:t>
                  </w:r>
                  <w:r/>
                </w:p>
              </w:tc>
            </w:tr>
            <w:tr>
              <w:trPr>
                <w:jc w:val="center"/>
                <w:trHeight w:val="779"/>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肉类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猪前腿肉、猪五花肉、猪精瘦肉、猪蹄、大排、仔排、猪肝、猪腰子、猪肚子、口条、肥肠、咸肉、香肠、牛前腿肉、牛后腿肉、牛腱子肉、牛肚子、牛里脊、牛腩、羊前腿肉、羊、后腿肉、羊排、猪头肉、烤鸭、盐焗鸭、五香牛肉、卤肥肠等</w:t>
                  </w:r>
                  <w:r/>
                </w:p>
              </w:tc>
            </w:tr>
            <w:tr>
              <w:trPr>
                <w:jc w:val="center"/>
                <w:trHeight w:val="779"/>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家禽</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仔鸡、三黄鸡、老母鸡、麻鸭、盐水鸭、烤鸭、白斩鸡、冷冻鸡腿、冷冻鸡翅、冻鸡脯、冻鸭腿、冻鸭翅根等</w:t>
                  </w:r>
                  <w:r/>
                </w:p>
              </w:tc>
            </w:tr>
            <w:tr>
              <w:trPr>
                <w:jc w:val="center"/>
                <w:trHeight w:val="1163"/>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水产类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对虾、鳝鱼段、鳝鱼片、鲫鱼、鳊鱼、青鱼、黑鱼、龙利鱼、带鱼、小龙虾、鲷鱼片、鱿鱼、鱿鱼片、鱿鱼须、虾仁、鲳鳊鱼、鸦片鱼、墨鱼、泥鳅、黄鳝、河蚌肉、螺蛳肉、牛蛙、青条鱼、花鲢鱼头、扒皮鱼等</w:t>
                  </w:r>
                  <w:r/>
                </w:p>
              </w:tc>
            </w:tr>
            <w:tr>
              <w:trPr>
                <w:jc w:val="center"/>
                <w:trHeight w:val="2702"/>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蔬菜类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青菜、芹菜、生菜、茄子、西葫芦、水芹、苋菜、黄豆芽、绿豆芽、土豆、黄瓜、大白菜、西芹、洋葱、白萝卜、青椒、红椒、小白菜、豇豆、四季豆、刀豆、包菜、花菜、荷兰豆、茼蒿、平菇、西兰花、韭菜、山药、有机花菜、菊花叶、西红柿、冬瓜、空心菜、白芹、彩椒、杭椒、胡萝卜、蘑菇、金针菇、芦笋、秋葵、香菜、芦蒿、毛豆米、板栗米、韭菜苔、韭黄、蒜黄、青蒜、菠菜、木耳菜、油麦菜、青菜苔、冬笋、春笋、茭白、藕、荸荠、青菜秧、丝瓜、姜、蒜子、蚕豆瓣等</w:t>
                  </w:r>
                  <w:r/>
                </w:p>
              </w:tc>
            </w:tr>
            <w:tr>
              <w:trPr>
                <w:jc w:val="center"/>
                <w:trHeight w:val="779"/>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豆制品类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豆腐、素鸡、豆腐果、内酯豆腐、老豆腐、豆腐皮、脆豆腐、百叶、臭豆腐、水面筋、香干、白干、干丝等</w:t>
                  </w:r>
                  <w:r/>
                </w:p>
              </w:tc>
            </w:tr>
            <w:tr>
              <w:trPr>
                <w:jc w:val="center"/>
                <w:trHeight w:val="46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水果类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lang w:eastAsia="en-US"/>
                    </w:rPr>
                  </w:pPr>
                  <w:r>
                    <w:rPr>
                      <w:rFonts w:hint="eastAsia" w:asciiTheme="minorEastAsia" w:hAnsiTheme="minorEastAsia" w:eastAsiaTheme="minorEastAsia" w:cstheme="minorEastAsia"/>
                      <w:spacing w:val="-1"/>
                      <w:position w:val="17"/>
                      <w:szCs w:val="21"/>
                      <w:highlight w:val="none"/>
                      <w:lang w:eastAsia="en-US"/>
                    </w:rPr>
                    <w:t xml:space="preserve">香蕉、桃、苹果、桔子、香梨、西瓜等</w:t>
                  </w:r>
                  <w:r/>
                </w:p>
              </w:tc>
            </w:tr>
            <w:tr>
              <w:trPr>
                <w:jc w:val="center"/>
                <w:trHeight w:val="46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蛋类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鸡蛋、皮蛋、咸鸭蛋等</w:t>
                  </w:r>
                  <w:r/>
                </w:p>
              </w:tc>
            </w:tr>
            <w:tr>
              <w:trPr>
                <w:jc w:val="center"/>
                <w:trHeight w:val="46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奶制品类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lang w:eastAsia="en-US"/>
                    </w:rPr>
                  </w:pPr>
                  <w:r>
                    <w:rPr>
                      <w:rFonts w:hint="eastAsia" w:asciiTheme="minorEastAsia" w:hAnsiTheme="minorEastAsia" w:eastAsiaTheme="minorEastAsia" w:cstheme="minorEastAsia"/>
                      <w:spacing w:val="-1"/>
                      <w:position w:val="17"/>
                      <w:szCs w:val="21"/>
                      <w:highlight w:val="none"/>
                      <w:lang w:eastAsia="en-US"/>
                    </w:rPr>
                    <w:t xml:space="preserve">纯牛奶、酸奶等</w:t>
                  </w:r>
                  <w:r/>
                </w:p>
              </w:tc>
            </w:tr>
            <w:tr>
              <w:trPr>
                <w:jc w:val="center"/>
                <w:trHeight w:val="46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12</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主食类</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rPr>
                  </w:pPr>
                  <w:r>
                    <w:rPr>
                      <w:rFonts w:hint="eastAsia" w:asciiTheme="minorEastAsia" w:hAnsiTheme="minorEastAsia" w:eastAsiaTheme="minorEastAsia" w:cstheme="minorEastAsia"/>
                      <w:spacing w:val="-1"/>
                      <w:position w:val="17"/>
                      <w:szCs w:val="21"/>
                      <w:highlight w:val="none"/>
                    </w:rPr>
                    <w:t xml:space="preserve">大米、面条、面粉、挂面等</w:t>
                  </w:r>
                  <w:r/>
                </w:p>
              </w:tc>
            </w:tr>
            <w:tr>
              <w:trPr>
                <w:jc w:val="center"/>
                <w:trHeight w:val="477"/>
              </w:trPr>
              <w:tc>
                <w:tcPr>
                  <w:tcW w:w="623"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13</w:t>
                  </w:r>
                  <w:r/>
                </w:p>
              </w:tc>
              <w:tc>
                <w:tcPr>
                  <w:tcW w:w="972" w:type="dxa"/>
                  <w:vAlign w:val="center"/>
                  <w:textDirection w:val="lrTb"/>
                  <w:noWrap/>
                </w:tcPr>
                <w:p>
                  <w:pPr>
                    <w:jc w:val="center"/>
                    <w:tabs>
                      <w:tab w:val="left" w:pos="558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油</w:t>
                  </w:r>
                  <w:r/>
                </w:p>
              </w:tc>
              <w:tc>
                <w:tcPr>
                  <w:tcW w:w="7416" w:type="dxa"/>
                  <w:vAlign w:val="center"/>
                  <w:textDirection w:val="lrTb"/>
                  <w:noWrap/>
                </w:tcPr>
                <w:p>
                  <w:pPr>
                    <w:jc w:val="center"/>
                    <w:tabs>
                      <w:tab w:val="left" w:pos="5580" w:leader="none"/>
                    </w:tabs>
                    <w:rPr>
                      <w:rFonts w:hint="eastAsia" w:asciiTheme="minorEastAsia" w:hAnsiTheme="minorEastAsia" w:eastAsiaTheme="minorEastAsia" w:cstheme="minorEastAsia"/>
                      <w:spacing w:val="-1"/>
                      <w:position w:val="17"/>
                      <w:szCs w:val="21"/>
                      <w:highlight w:val="none"/>
                      <w:lang w:eastAsia="en-US"/>
                    </w:rPr>
                  </w:pPr>
                  <w:r>
                    <w:rPr>
                      <w:rFonts w:hint="eastAsia" w:asciiTheme="minorEastAsia" w:hAnsiTheme="minorEastAsia" w:eastAsiaTheme="minorEastAsia" w:cstheme="minorEastAsia"/>
                      <w:spacing w:val="-1"/>
                      <w:position w:val="17"/>
                      <w:szCs w:val="21"/>
                      <w:highlight w:val="none"/>
                    </w:rPr>
                    <w:t xml:space="preserve">非转基因</w:t>
                  </w:r>
                  <w:r>
                    <w:rPr>
                      <w:rFonts w:hint="eastAsia" w:asciiTheme="minorEastAsia" w:hAnsiTheme="minorEastAsia" w:eastAsiaTheme="minorEastAsia" w:cstheme="minorEastAsia"/>
                      <w:spacing w:val="-1"/>
                      <w:position w:val="17"/>
                      <w:szCs w:val="21"/>
                      <w:highlight w:val="none"/>
                      <w:lang w:eastAsia="en-US"/>
                    </w:rPr>
                    <w:t xml:space="preserve">食用油等</w:t>
                  </w:r>
                  <w:r/>
                </w:p>
              </w:tc>
            </w:tr>
          </w:tbl>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（一）蔬菜类、水果类</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1、蔬菜类要求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1.1一般要求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1.1.1属季节问题，若出现品种不能满足采购人需求的情况，可与采购人协商调换相应类别的品种（按叶菜、瓜菜等进行分类）。</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1.1.2蔬菜类应保持较好的色泽和新鲜度，利用率达到95%。严禁采购有害、有毒、腐烂变质、酸败、霉变、生虫、污垢不洁、混有异物或其他感官性状异常的食品。蔬菜应无损伤、腐烂现象，无寄生虫或已受虫害现象。禁止采购超过保质期限的食品。（附《蔬菜感官质量要求》）</w:t>
            </w:r>
            <w:r/>
          </w:p>
          <w:p>
            <w:pPr>
              <w:ind w:firstLine="422"/>
              <w:jc w:val="center"/>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《蔬菜感官质量要求》</w:t>
            </w:r>
            <w:r/>
          </w:p>
          <w:tbl>
            <w:tblPr>
              <w:tblStyle w:val="862"/>
              <w:tblW w:w="9091" w:type="dxa"/>
              <w:tblInd w:w="1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2578"/>
              <w:gridCol w:w="5486"/>
            </w:tblGrid>
            <w:tr>
              <w:trPr>
                <w:trHeight w:val="411"/>
              </w:trPr>
              <w:tc>
                <w:tcPr>
                  <w:tcW w:w="1027" w:type="dxa"/>
                  <w:textDirection w:val="lrTb"/>
                  <w:noWrap w:val="false"/>
                </w:tcPr>
                <w:p>
                  <w:pPr>
                    <w:jc w:val="center"/>
                    <w:spacing w:line="360" w:lineRule="auto"/>
                    <w:rPr>
                      <w:rFonts w:hint="eastAsia" w:ascii="宋体" w:hAnsi="宋体" w:cs="宋体"/>
                      <w:b/>
                      <w:bCs/>
                      <w:szCs w:val="21"/>
                      <w:highlight w:val="none"/>
                      <w:lang w:eastAsia="en-US" w:bidi="zh-CN"/>
                    </w:rPr>
                    <w:outlineLvl w:val="1"/>
                  </w:pPr>
                  <w:r>
                    <w:rPr>
                      <w:rFonts w:hint="eastAsia" w:ascii="宋体" w:hAnsi="宋体" w:cs="宋体"/>
                      <w:b/>
                      <w:bCs/>
                      <w:szCs w:val="21"/>
                      <w:highlight w:val="none"/>
                      <w:lang w:eastAsia="en-US" w:bidi="zh-CN"/>
                    </w:rPr>
                    <w:t xml:space="preserve">类别</w:t>
                  </w:r>
                  <w:r/>
                </w:p>
              </w:tc>
              <w:tc>
                <w:tcPr>
                  <w:tcW w:w="2578" w:type="dxa"/>
                  <w:textDirection w:val="lrTb"/>
                  <w:noWrap w:val="false"/>
                </w:tcPr>
                <w:p>
                  <w:pPr>
                    <w:jc w:val="center"/>
                    <w:spacing w:line="360" w:lineRule="auto"/>
                    <w:rPr>
                      <w:rFonts w:hint="eastAsia" w:ascii="宋体" w:hAnsi="宋体" w:cs="宋体"/>
                      <w:b/>
                      <w:bCs/>
                      <w:szCs w:val="21"/>
                      <w:highlight w:val="none"/>
                      <w:lang w:eastAsia="en-US" w:bidi="zh-CN"/>
                    </w:rPr>
                    <w:outlineLvl w:val="1"/>
                  </w:pPr>
                  <w:r>
                    <w:rPr>
                      <w:rFonts w:hint="eastAsia" w:ascii="宋体" w:hAnsi="宋体" w:cs="宋体"/>
                      <w:b/>
                      <w:bCs/>
                      <w:szCs w:val="21"/>
                      <w:highlight w:val="none"/>
                      <w:lang w:eastAsia="en-US" w:bidi="zh-CN"/>
                    </w:rPr>
                    <w:t xml:space="preserve">包含品种</w:t>
                  </w:r>
                  <w:r/>
                </w:p>
              </w:tc>
              <w:tc>
                <w:tcPr>
                  <w:tcW w:w="5486" w:type="dxa"/>
                  <w:textDirection w:val="lrTb"/>
                  <w:noWrap w:val="false"/>
                </w:tcPr>
                <w:p>
                  <w:pPr>
                    <w:jc w:val="center"/>
                    <w:spacing w:line="360" w:lineRule="auto"/>
                    <w:rPr>
                      <w:rFonts w:hint="eastAsia" w:ascii="宋体" w:hAnsi="宋体" w:cs="宋体"/>
                      <w:b/>
                      <w:bCs/>
                      <w:szCs w:val="21"/>
                      <w:highlight w:val="none"/>
                      <w:lang w:eastAsia="en-US" w:bidi="zh-CN"/>
                    </w:rPr>
                    <w:outlineLvl w:val="1"/>
                  </w:pPr>
                  <w:r>
                    <w:rPr>
                      <w:rFonts w:hint="eastAsia" w:ascii="宋体" w:hAnsi="宋体" w:cs="宋体"/>
                      <w:b/>
                      <w:bCs/>
                      <w:szCs w:val="21"/>
                      <w:highlight w:val="none"/>
                      <w:lang w:eastAsia="en-US" w:bidi="zh-CN"/>
                    </w:rPr>
                    <w:t xml:space="preserve">质量要求</w:t>
                  </w:r>
                  <w:r/>
                </w:p>
              </w:tc>
            </w:tr>
            <w:tr>
              <w:trPr>
                <w:trHeight w:val="2525"/>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叶菜类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白菜类、甘蓝类和绿叶菜类 的各种蔬菜</w:t>
                  </w:r>
                  <w:r/>
                </w:p>
              </w:tc>
              <w:tc>
                <w:tcPr>
                  <w:tcW w:w="5486" w:type="dxa"/>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肉质鲜嫩，形态好，色泽正常；茎基部削平，无枯黄叶、病叶、泥土、明显机械伤和病虫害伤；无胃灼热、焦边、腐烂等现象，无抽薹（菜心除外）；结球的叶菜应结球紧实；菠菜和本地芹菜 可带根。花椰菜、青花菜属于同一品种，形状正常肉质致密、新鲜，不带叶柄，茎基部削平，无腐烂、病虫害机械伤；花椰菜花球洁白，无毛花，青花菜无托叶，可带主茎，花球青绿色，无紫花、无枯蕾现象。</w:t>
                  </w:r>
                  <w:r/>
                </w:p>
              </w:tc>
            </w:tr>
            <w:tr>
              <w:trPr>
                <w:trHeight w:val="761"/>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茄果类</w:t>
                  </w:r>
                  <w:r/>
                </w:p>
              </w:tc>
              <w:tc>
                <w:tcPr>
                  <w:tcW w:w="2578"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番茄、茄子、甜椒、辣椒等</w:t>
                  </w:r>
                  <w:r/>
                </w:p>
              </w:tc>
              <w:tc>
                <w:tcPr>
                  <w:tcW w:w="5486" w:type="dxa"/>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色鲜，果实圆整、光洁，成熟度适中，整齐，无烂果、异味病虫害 和明显机械损伤。</w:t>
                  </w:r>
                  <w:r/>
                </w:p>
              </w:tc>
            </w:tr>
            <w:tr>
              <w:trPr>
                <w:trHeight w:val="1113"/>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瓜类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黄瓜、瓠瓜、越瓜、丝瓜、 苦瓜、冬瓜、毛节瓜、南瓜、佛手瓜等</w:t>
                  </w:r>
                  <w:r/>
                </w:p>
              </w:tc>
              <w:tc>
                <w:tcPr>
                  <w:tcW w:w="5486" w:type="dxa"/>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形状、色泽一致，瓜条均匀，无疤点，无断裂，不带泥土，无畸形瓜、病虫害瓜、烂瓜，无明显机械伤。</w:t>
                  </w:r>
                  <w:r/>
                </w:p>
              </w:tc>
            </w:tr>
            <w:tr>
              <w:trPr>
                <w:trHeight w:val="854"/>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根菜类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萝卜、胡萝卜、大头菜、芜菁甘蓝等</w:t>
                  </w:r>
                  <w:r/>
                </w:p>
              </w:tc>
              <w:tc>
                <w:tcPr>
                  <w:tcW w:w="5486" w:type="dxa"/>
                  <w:vAlign w:val="center"/>
                  <w:textDirection w:val="lrTb"/>
                  <w:noWrap w:val="false"/>
                </w:tcPr>
                <w:p>
                  <w:pP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皮细光滑，色泽良好，大小均匀，肉质脆嫩致密。新鲜，无 畸形、裂痕、糠心、病虫害斑，不带泥沙，不带茎叶、须根。</w:t>
                  </w:r>
                  <w:r/>
                </w:p>
              </w:tc>
            </w:tr>
            <w:tr>
              <w:trPr>
                <w:trHeight w:val="854"/>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薯芋类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马铃薯、薯蓣、芋、姜、豆 薯等</w:t>
                  </w:r>
                  <w:r/>
                </w:p>
              </w:tc>
              <w:tc>
                <w:tcPr>
                  <w:tcW w:w="5486" w:type="dxa"/>
                  <w:vAlign w:val="center"/>
                  <w:textDirection w:val="lrTb"/>
                  <w:noWrap w:val="false"/>
                </w:tcPr>
                <w:p>
                  <w:pPr>
                    <w:pStyle w:val="1216"/>
                    <w:jc w:val="left"/>
                    <w:spacing w:line="360" w:lineRule="auto"/>
                    <w:rPr>
                      <w:rFonts w:hint="eastAsia" w:ascii="宋体" w:hAnsi="宋体" w:cs="宋体"/>
                      <w:sz w:val="21"/>
                      <w:szCs w:val="21"/>
                      <w:highlight w:val="none"/>
                      <w:lang w:eastAsia="zh-CN" w:bidi="zh-CN"/>
                    </w:rPr>
                  </w:pPr>
                  <w:r>
                    <w:rPr>
                      <w:rFonts w:hint="eastAsia" w:ascii="宋体" w:hAnsi="宋体" w:cs="宋体"/>
                      <w:sz w:val="21"/>
                      <w:szCs w:val="21"/>
                      <w:highlight w:val="none"/>
                      <w:lang w:eastAsia="zh-CN" w:bidi="zh-CN"/>
                    </w:rPr>
                    <w:t xml:space="preserve">色泽一致，不带泥沙，不带茎叶、须根，无机械和病虫害斑 无腐烂、干瘪。马铃薯皮不能变绿色。</w:t>
                  </w:r>
                  <w:r/>
                </w:p>
              </w:tc>
            </w:tr>
            <w:tr>
              <w:trPr>
                <w:trHeight w:val="854"/>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葱蒜类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大葱、分葱、四季葱等</w:t>
                  </w:r>
                  <w:r/>
                </w:p>
              </w:tc>
              <w:tc>
                <w:tcPr>
                  <w:tcW w:w="5486" w:type="dxa"/>
                  <w:vAlign w:val="center"/>
                  <w:textDirection w:val="lrTb"/>
                  <w:noWrap w:val="false"/>
                </w:tcPr>
                <w:p>
                  <w:pPr>
                    <w:pStyle w:val="1216"/>
                    <w:jc w:val="left"/>
                    <w:spacing w:line="360" w:lineRule="auto"/>
                    <w:rPr>
                      <w:rFonts w:hint="eastAsia" w:ascii="宋体" w:hAnsi="宋体" w:cs="宋体"/>
                      <w:sz w:val="21"/>
                      <w:szCs w:val="21"/>
                      <w:highlight w:val="none"/>
                      <w:lang w:eastAsia="zh-CN" w:bidi="zh-CN"/>
                    </w:rPr>
                  </w:pPr>
                  <w:r>
                    <w:rPr>
                      <w:rFonts w:hint="eastAsia" w:ascii="宋体" w:hAnsi="宋体" w:cs="宋体"/>
                      <w:sz w:val="21"/>
                      <w:szCs w:val="21"/>
                      <w:highlight w:val="none"/>
                      <w:lang w:eastAsia="zh-CN" w:bidi="zh-CN"/>
                    </w:rPr>
                    <w:t xml:space="preserve">允许葱和大蒜的青蒜保留干净须根，去老叶，韭菜去根去老叶，蒜头、洋葱要去枯叶；可食部分质地细嫩，不带泥沙杂质，无病虫害斑。</w:t>
                  </w:r>
                  <w:r/>
                </w:p>
              </w:tc>
            </w:tr>
            <w:tr>
              <w:trPr>
                <w:trHeight w:val="854"/>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豆类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eastAsia="en-US" w:bidi="zh-CN"/>
                    </w:rPr>
                    <w:t xml:space="preserve">豇豆、菜豆、豌豆、蚕豆、 刀豆、毛豆、扁豆等</w:t>
                  </w:r>
                  <w:r/>
                </w:p>
              </w:tc>
              <w:tc>
                <w:tcPr>
                  <w:tcW w:w="5486" w:type="dxa"/>
                  <w:vAlign w:val="center"/>
                  <w:textDirection w:val="lrTb"/>
                  <w:noWrap w:val="false"/>
                </w:tcPr>
                <w:p>
                  <w:pPr>
                    <w:pStyle w:val="1216"/>
                    <w:jc w:val="left"/>
                    <w:spacing w:line="360" w:lineRule="auto"/>
                    <w:rPr>
                      <w:rFonts w:hint="eastAsia" w:ascii="宋体" w:hAnsi="宋体" w:cs="宋体"/>
                      <w:sz w:val="21"/>
                      <w:szCs w:val="21"/>
                      <w:highlight w:val="none"/>
                      <w:lang w:eastAsia="zh-CN" w:bidi="zh-CN"/>
                    </w:rPr>
                  </w:pPr>
                  <w:r>
                    <w:rPr>
                      <w:rFonts w:hint="eastAsia" w:ascii="宋体" w:hAnsi="宋体" w:cs="宋体"/>
                      <w:sz w:val="21"/>
                      <w:szCs w:val="21"/>
                      <w:highlight w:val="none"/>
                      <w:lang w:eastAsia="zh-CN" w:bidi="zh-CN"/>
                    </w:rPr>
                    <w:t xml:space="preserve">形态完整，成熟度适中，无病虫害斑。食荚类：豆荚新鲜幼嫩，均匀。食豆仁类：籽粒饱满较均匀，无发芽。不带泥土 杂质。</w:t>
                  </w:r>
                  <w:r/>
                </w:p>
              </w:tc>
            </w:tr>
            <w:tr>
              <w:trPr>
                <w:trHeight w:val="854"/>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水生类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茭白、藕、荸荠、慈菇、菱 角等</w:t>
                  </w:r>
                  <w:r/>
                </w:p>
              </w:tc>
              <w:tc>
                <w:tcPr>
                  <w:tcW w:w="5486" w:type="dxa"/>
                  <w:vAlign w:val="center"/>
                  <w:textDirection w:val="lrTb"/>
                  <w:noWrap w:val="false"/>
                </w:tcPr>
                <w:p>
                  <w:pPr>
                    <w:pStyle w:val="1216"/>
                    <w:jc w:val="left"/>
                    <w:spacing w:line="360" w:lineRule="auto"/>
                    <w:rPr>
                      <w:rFonts w:hint="eastAsia" w:ascii="宋体" w:hAnsi="宋体" w:cs="宋体"/>
                      <w:sz w:val="21"/>
                      <w:szCs w:val="21"/>
                      <w:highlight w:val="none"/>
                      <w:lang w:eastAsia="zh-CN" w:bidi="zh-CN"/>
                    </w:rPr>
                  </w:pPr>
                  <w:r>
                    <w:rPr>
                      <w:rFonts w:hint="eastAsia" w:ascii="宋体" w:hAnsi="宋体" w:cs="宋体"/>
                      <w:sz w:val="21"/>
                      <w:szCs w:val="21"/>
                      <w:highlight w:val="none"/>
                      <w:lang w:eastAsia="zh-CN" w:bidi="zh-CN"/>
                    </w:rPr>
                    <w:t xml:space="preserve">属同一品种规格，肉质鲜嫩，成熟度适中，无泥土、杂质、机械伤，不干瘪，不腐烂霉变，茭白不黑心。</w:t>
                  </w:r>
                  <w:r/>
                </w:p>
              </w:tc>
            </w:tr>
            <w:tr>
              <w:trPr>
                <w:trHeight w:val="854"/>
              </w:trPr>
              <w:tc>
                <w:tcPr>
                  <w:tcW w:w="1027" w:type="dxa"/>
                  <w:vAlign w:val="center"/>
                  <w:textDirection w:val="lrTb"/>
                  <w:noWrap w:val="false"/>
                </w:tcPr>
                <w:p>
                  <w:pPr>
                    <w:jc w:val="center"/>
                    <w:spacing w:line="360" w:lineRule="auto"/>
                    <w:rPr>
                      <w:rFonts w:hint="eastAsia" w:ascii="宋体" w:hAnsi="宋体" w:cs="宋体"/>
                      <w:szCs w:val="21"/>
                      <w:highlight w:val="none"/>
                      <w:lang w:eastAsia="en-US" w:bidi="zh-CN"/>
                    </w:rPr>
                    <w:outlineLvl w:val="1"/>
                  </w:pPr>
                  <w:r>
                    <w:rPr>
                      <w:rFonts w:hint="eastAsia" w:ascii="宋体" w:hAnsi="宋体" w:cs="宋体"/>
                      <w:szCs w:val="21"/>
                      <w:highlight w:val="none"/>
                      <w:lang w:eastAsia="en-US" w:bidi="zh-CN"/>
                    </w:rPr>
                    <w:t xml:space="preserve">多年生类</w:t>
                  </w:r>
                  <w:r/>
                </w:p>
              </w:tc>
              <w:tc>
                <w:tcPr>
                  <w:tcW w:w="2578" w:type="dxa"/>
                  <w:vAlign w:val="center"/>
                  <w:textDirection w:val="lrTb"/>
                  <w:noWrap w:val="false"/>
                </w:tcPr>
                <w:p>
                  <w:pPr>
                    <w:jc w:val="center"/>
                    <w:spacing w:line="360" w:lineRule="auto"/>
                    <w:rPr>
                      <w:rFonts w:hint="eastAsia" w:ascii="宋体" w:hAnsi="宋体" w:cs="宋体"/>
                      <w:szCs w:val="21"/>
                      <w:highlight w:val="none"/>
                      <w:lang w:bidi="zh-CN"/>
                    </w:rPr>
                    <w:outlineLvl w:val="1"/>
                  </w:pPr>
                  <w:r>
                    <w:rPr>
                      <w:rFonts w:hint="eastAsia" w:ascii="宋体" w:hAnsi="宋体" w:cs="宋体"/>
                      <w:szCs w:val="21"/>
                      <w:highlight w:val="none"/>
                      <w:lang w:bidi="zh-CN"/>
                    </w:rPr>
                    <w:t xml:space="preserve">竹笋、黄花菜、芦笋等</w:t>
                  </w:r>
                  <w:r/>
                </w:p>
              </w:tc>
              <w:tc>
                <w:tcPr>
                  <w:tcW w:w="5486" w:type="dxa"/>
                  <w:vAlign w:val="center"/>
                  <w:textDirection w:val="lrTb"/>
                  <w:noWrap w:val="false"/>
                </w:tcPr>
                <w:p>
                  <w:pPr>
                    <w:pStyle w:val="1216"/>
                    <w:jc w:val="left"/>
                    <w:spacing w:line="360" w:lineRule="auto"/>
                    <w:rPr>
                      <w:rFonts w:hint="eastAsia" w:ascii="宋体" w:hAnsi="宋体" w:cs="宋体"/>
                      <w:sz w:val="21"/>
                      <w:szCs w:val="21"/>
                      <w:highlight w:val="none"/>
                      <w:lang w:eastAsia="zh-CN" w:bidi="zh-CN"/>
                    </w:rPr>
                  </w:pPr>
                  <w:r>
                    <w:rPr>
                      <w:rFonts w:hint="eastAsia" w:ascii="宋体" w:hAnsi="宋体" w:cs="宋体"/>
                      <w:sz w:val="21"/>
                      <w:szCs w:val="21"/>
                      <w:highlight w:val="none"/>
                      <w:lang w:eastAsia="zh-CN" w:bidi="zh-CN"/>
                    </w:rPr>
                    <w:t xml:space="preserve">属同一品种规格，幼嫩，无病虫害斑，无明显机械伤。</w:t>
                  </w:r>
                  <w:r/>
                </w:p>
              </w:tc>
            </w:tr>
          </w:tbl>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1.2蔬菜包装与标志要求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1.2.1包装：容器（框、箱、袋）要求清洁、干燥、牢固、透气，无污染、无异味、无霉变现象；</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1.2.2标志：每件包装必须按《农产品包装和标识管理办法》贴标签，并标明农产品的品名、生产地、生产者或者销售者名称。</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1.2.3食品供应链要求：所有食品的来源必须清晰。蔬菜来源应当于受到地方政府部门监管的自有基地、商品菜基地或蔬菜专业流通市场，严禁收购散户农民的蔬菜供应。</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1.2.4运输要求：运输工具应清洁卫生无污染，食品运输必须采用符合卫生标准的外包装和运载工具，并且要保持清洁和定期消毒。运输车厢的内舱，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1.2.5蔬菜卫生质量要求：卫生质量指标，应符合卫生指标规定。</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1.2.6投标人所供蔬菜符合上述质量要求及农药残留不超过国家限量标准，若不符合，愿意接受退货处理并承担违约责任。</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2、水果类要求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水果的品种（包括但不仅限于以下品种）：苹果、橙子、柑、石榴、杨桃、香蕉、圣女果、哈密瓜、西瓜、木瓜、提子、水晶梨、香梨、砂糖橘、金桔、沙田柚、奇异果、火龙果等，具体提供的品种顺应季节变化。</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2.2质量要求：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2.2.1水果供应链要求：所有水果的来源必须清晰。</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2.2.2所提供的水果应当色泽光鲜、水润饱满、无腐烂，果品表面清洁新鲜，无病虫害和机械损伤，带有芳香味。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2.2.3中标人所提供的果品应符合国家规定的果品要求。应是优质、洁净，其品质、营养价值和卫生安全指标应严格符合国家的规定及相关食品卫生标准。</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2.2.4投标人所供水果符合质量要求及农药残留不超过国家限量标准，若不符合，愿意接受退货处理并承担违约责任。</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（二）水产、冰鲜鱼类</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1、水产、冰鲜鱼类要求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1.1水产类健康，体态匀称，游动活泼，体色鲜明，体表光滑，眼睛亮丽，鳞片鳍条完好。</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1.2冰鲜鱼类应符合国家相关标准，有鱼类自然的气味，没有异味。</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（三）鲜肉、腊肉、家禽类</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1、鲜肉要求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所供货物应保持较好的外观和质量等级，符合国家标准，保证无异味、无变质，肉类保证来源于正规肉联厂，供货时应提交肉联厂的验收单及当批次有效的动物检疫合格证明，鲜肉确保每日新鲜、无异味。</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2、腊肉、腊肠要求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2.1腊肉：符合国家标准，良质腊肉色泽鲜明，肌肉暗红色，脂肪透明呈乳白色，肉干燥结实，带有特有的蜡式香味；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2.2腊肠：符合国家标准，品质好的腊肠是肠衣干燥，不发霉，无黏液，肠衣与肉馅紧密连在一起，表面紧而有弹性，色泽均匀，肥肉色白，瘦肉色红，无灰色斑点，气味芳香。</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3、家禽要求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新鲜光禽：光禽是指经宰杀去毛以后的鸡、鸭、鹅等禽类，主要根据以下几方面来判别：</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3.1喙有光泽、干燥、无黏液；</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3.2口腔：新鲜的光禽口腔黏膜呈淡玫瑰色，有光泽、洁净、无异味；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3.3新鲜的光禽眼睛明亮，充满整个眼窝；</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3.4皮肤：新鲜的光禽皮肤上毛孔隆起，表面干燥而紧缩，呈乳白色或淡黄色，稍带微红，无异味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3.5脂肪：新鲜的光禽脂肪呈淡黄色或黄色，有光泽，无异味；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3.6肌肉：新鲜光禽肌肉结实，有弹性，有光泽，颈、腿部肌肉呈玫瑰红色变质的光禽肌肉松弛，湿润发黏，色变暗红，有明显腐败气味；</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注：所有新鲜肉类、禽类不得使用冷冻产品。</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（四）粮油、干货副食品和调味品类</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lang w:bidi="zh-CN"/>
              </w:rPr>
              <w:t xml:space="preserve">1、产品要求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所有包装类食品需提供：生产（供应）企业的《营业执照》《食品经营许可证》《食品生产许可证》。</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1.1副食品要求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1.1.1副食品的质量基本标准要求符合国家行业标准，干爽、不霉烂、整齐、均匀、完整、无虫蛀、无杂质，保持应有的色泽。确保产品质量稳定，保证营养丰富、绿色安全、海味浓郁、易存放、食用方便，保质期长。从加工、包装、运输、贮存到销售全部符合国家规定标准。采购人可根据实际情况对需要的副食品进行品质抽检，对质量未达到国家标准的副食品采购人有权拒绝接收。</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1.1.2所有副食品调味料均为正规知名厂家生产，包装完整，标明商品名称、规格、生产商、产地、生产日期、保质期或保存期。</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1.2大米要求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1.2.1米类执行标准：GB/T1354大米，不含添加剂。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1.2.2标明加工厂名称、品名、生产日期、保质期或保存期，供货时的剩余保质期不少于三分之二，质量等级、产品标准号、产品合格证，质量符合米类执行标准。</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1.2.3具有固有色泽和香味，无污染、无虫害，色泽、气味、口味正常，无异味或霉味（霉变），无虫蛀结块挂丝或杂质异常，符合国家粮食卫生标准。</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1.3食用油（不含转基因成分的食用油）</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1.3.1基本要求：外包装完好，标明品名、厂名、重量、生产日期、保质期或保存期、执行标准，具有产品合格证。具有正常植物油的色泽、透明度、气味和滋味，无焦臭、酸败及其他异味；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1.3.2食用油生产企业的资质证明（首次供应时提供）：《营业执照》《食品经营许可证》《全国工业产品生产许可证》；</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1.3.3气味、滋味：具有固有的气味和滋味，无异味；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1.3.4加热试验（280℃）油色不得变深，无析出物；</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1.3.5不得混有其他食用油或非食用油；</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1.3.6卫生标准和动植物检疫项目，按照国家规定执行；</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1.3.7执行标准：油类执行现行国家标准。</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2、货物质量要求</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2.1酱油：不混浊，无正常视力可见外来异物，无霉花浮膜。</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2.2味精：色至白色结晶或粉末，具有特殊的鲜味，无异味，无肉眼可见杂质。</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2.3食醋：有正常食醋的色泽、气味和滋味，不涩，无其他不良气味与异味，无浮物，不浑浊，无沉淀，无异物，无醋鳗、醋虱。</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2.4酱腌菜：有酱腌菜固有的色、香、味，无杂质，无其他不良气味，不得有霉斑白膜。</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2.5酱类食品：有正常酿造酱的色泽、气味和滋味，不涩，无其他不良气味，不得有酸、苦、焦煳及其它异味、异物。</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2.6淀粉制品：有各自品种固有的形态和色泽，不酸、不粘、不发霉，无变质，无异味，无杂质，口尝无砂质。</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2.7食盐：晶体整齐一致，坚硬光滑，呈透明或半透明，不结块，无反卤吸潮现象，无杂质，蘸取少许尝试具有纯正的咸味。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2.8鸡蛋：壳清洁完整，色泽鲜明，无破损、裂纹，无霉斑，灯光透视时，整个蛋呈桔黄色至橙红色，蛋黄不见或略见阴影，没有霉味、酸味，臭味等不良气味，打开后蛋黄凸起、完整、有韧性，蛋白澄清、透明、稀稠分明，无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2.9皮蛋：表泥状包料完整、无霉斑，包料除掉后蛋壳亦完整无损，灯光透照蛋内容物凝固不动，打开观察，整个蛋凝固、不粘壳、清洁而有弹性，呈半透明的棕黄色，闻起来有芳香，无辛辣气。</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2.10咸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2.11面粉：泽呈白色或微黄色，不发暗，无杂质的颜色，呈细粉末状，不含杂质，手指捻捏时无粗粒感，无虫子和结块，置于手中紧捏后放开不成团，具有面粉的正常气味，无其他异味。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2.12豆腐：腐呈均匀的乳白色或淡黄色，稍有光泽，块形完整，软硬适度，富有一定的弹性，质地细嫩，结构均匀，无杂质，具有豆腐特有的香味，取样品尝时口感细腻鲜嫩，味道纯正清香。</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2.13油炸豆卜：金黄色或棕黄色，色彩鲜艳而有光泽，块形整齐，有弹性，皮脆，内质量蜂窝状，不粘不散，无杂质，具有豆腐泡特有的清香风味，无其他任何不良气味，取样品细细咀嚼，外皮酥脆适口，泡内软嫩，咸香适度，具有豆腐泡固有的滋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2.14腐竹：枝条或片叶状，质脆易折，条状折断有空心，无霉斑、杂质、虫蛀。呈淡黄色，有光泽。具有腐竹固有的香味，无其他任何异味，取样品尝其滋味，具有腐竹固有的鲜香滋味。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2.15腐乳：腐乳表面呈红色或枣红色，内部呈杏黄色，色泽鲜艳，有光泽。白腐乳外表呈乳黄色。块形整齐均匀，质地细腻，无霉斑、霉变及杂质。具有各品种的腐乳特有的香味或特征气味，无任何其他异味，滋味鲜美，咸淡适口，无任何其他异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2.16黄豆：豆皮色呈各种大豆固有的颜色，光彩油亮，洁净而有光泽，颗粒饱满，整齐均匀，无虫蛀粒，无杂质，无霉变。</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2.17花生：荚呈土黄色或白色，果仁呈各不同品种所特有的颜色，色泽分布均匀一致，带荚花生和去荚果仁均颗粒饱满、形态完整、大小均匀，叶子肥厚而有光泽，无杂质，具有花生特有的气味、香味，无任何异味，无霉变。</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2.18食糖：糖根据经营习惯分为白糖、红糖、冰糖等。</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2.18.1白糖的感官鉴别：色泽洁白明亮，有光泽，具有白糖的正常气味，无酸味、酒味或其他外来气味。</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2.18.2白砂糖：颗粒大如砂粒，晶粒均匀整齐，晶面明显，无碎末，糖质坚硬。绵白糖：颗粒细小而均匀，质地绵软、潮润。</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2.18.3冰糖：块形完整，颗粒均匀，结晶组织严密，透明或半透明，无破碎。</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注：凡是白糖都应干燥，晶粒松散，不粘手，不结块，无肉眼可见的杂质，白糖的水溶液应清晰透明无杂质。</w:t>
            </w:r>
            <w:r/>
          </w:p>
          <w:p>
            <w:pPr>
              <w:spacing w:line="360" w:lineRule="auto"/>
              <w:widowControl/>
              <w:rPr>
                <w:rFonts w:hint="eastAsia" w:ascii="宋体" w:hAnsi="宋体"/>
                <w:szCs w:val="21"/>
                <w:highlight w:val="none"/>
              </w:rPr>
            </w:pPr>
            <w:r>
              <w:rPr>
                <w:rFonts w:hint="eastAsia" w:ascii="宋体" w:hAnsi="宋体" w:cs="宋体"/>
                <w:szCs w:val="21"/>
                <w:highlight w:val="none"/>
                <w:lang w:bidi="zh-CN"/>
              </w:rPr>
              <w:t xml:space="preserve">2.19辛辣料：辛辣料是采用植物果实和种子粉碎而配制成的天然植物香料，如五香粉、胡椒粉、花椒粉、咖喱粉、芥末粉等，辛辣料的主要原料有八角、花椒、胡椒、桂皮、小茴香、大茴香、辣椒、孜然等。辛辣料呈干燥状，具有该种香料植物所特有的色、香、味，没有不纯正的气味和味道，无发霉味或其他异味。</w:t>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 </w:t>
            </w:r>
            <w:r/>
          </w:p>
        </w:tc>
      </w:tr>
      <w:tr>
        <w:trPr>
          <w:jc w:val="center"/>
          <w:trHeight w:val="427"/>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2</w:t>
            </w:r>
            <w:r/>
          </w:p>
        </w:tc>
        <w:tc>
          <w:tcPr>
            <w:tcMar>
              <w:left w:w="10" w:type="dxa"/>
              <w:top w:w="0" w:type="dxa"/>
              <w:right w:w="10" w:type="dxa"/>
              <w:bottom w:w="0" w:type="dxa"/>
            </w:tcMar>
            <w:tcW w:w="9264"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招标文件中其他技术要求 </w:t>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 </w:t>
            </w:r>
            <w:r/>
          </w:p>
        </w:tc>
      </w:tr>
      <w:tr>
        <w:trPr>
          <w:jc w:val="center"/>
          <w:trHeight w:val="427"/>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p>
        </w:tc>
        <w:tc>
          <w:tcPr>
            <w:tcMar>
              <w:left w:w="10" w:type="dxa"/>
              <w:top w:w="0" w:type="dxa"/>
              <w:right w:w="10" w:type="dxa"/>
              <w:bottom w:w="0" w:type="dxa"/>
            </w:tcMar>
            <w:tcW w:w="9264"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p>
        </w:tc>
      </w:tr>
      <w:tr>
        <w:trPr>
          <w:jc w:val="center"/>
          <w:trHeight w:val="446"/>
        </w:trPr>
        <w:tc>
          <w:tcPr>
            <w:tcMar>
              <w:left w:w="10" w:type="dxa"/>
              <w:top w:w="0" w:type="dxa"/>
              <w:right w:w="10" w:type="dxa"/>
              <w:bottom w:w="0" w:type="dxa"/>
            </w:tcMar>
            <w:tcW w:w="956"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p>
        </w:tc>
        <w:tc>
          <w:tcPr>
            <w:tcMar>
              <w:left w:w="10" w:type="dxa"/>
              <w:top w:w="0" w:type="dxa"/>
              <w:right w:w="10" w:type="dxa"/>
              <w:bottom w:w="0" w:type="dxa"/>
            </w:tcMar>
            <w:tcW w:w="9264"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p>
        </w:tc>
        <w:tc>
          <w:tcPr>
            <w:tcMar>
              <w:left w:w="10" w:type="dxa"/>
              <w:top w:w="0" w:type="dxa"/>
              <w:right w:w="10" w:type="dxa"/>
              <w:bottom w:w="0" w:type="dxa"/>
            </w:tcMar>
            <w:tcW w:w="2060"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p>
        </w:tc>
        <w:tc>
          <w:tcPr>
            <w:tcMar>
              <w:left w:w="10" w:type="dxa"/>
              <w:top w:w="0" w:type="dxa"/>
              <w:right w:w="10" w:type="dxa"/>
              <w:bottom w:w="0" w:type="dxa"/>
            </w:tcMar>
            <w:tcW w:w="1049"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bookmarkEnd w:id="165"/>
            <w:r/>
            <w:r/>
          </w:p>
        </w:tc>
      </w:tr>
    </w:tbl>
    <w:p>
      <w:pPr>
        <w:jc w:val="left"/>
        <w:spacing w:line="360" w:lineRule="auto"/>
        <w:widowControl/>
        <w:tabs>
          <w:tab w:val="left" w:pos="5397" w:leader="none"/>
        </w:tabs>
        <w:rPr>
          <w:rFonts w:hint="eastAsia" w:ascii="宋体" w:hAnsi="宋体"/>
          <w:szCs w:val="21"/>
          <w:highlight w:val="none"/>
        </w:rPr>
      </w:pPr>
      <w:r>
        <w:rPr>
          <w:rFonts w:hint="eastAsia" w:ascii="宋体" w:hAnsi="宋体"/>
          <w:szCs w:val="21"/>
          <w:highlight w:val="none"/>
        </w:rPr>
      </w:r>
      <w:r/>
    </w:p>
    <w:p>
      <w:pPr>
        <w:ind w:firstLine="21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说明：</w:t>
      </w:r>
      <w:r/>
    </w:p>
    <w:p>
      <w:pPr>
        <w:ind w:firstLine="211"/>
        <w:jc w:val="left"/>
        <w:spacing w:line="360" w:lineRule="auto"/>
        <w:shd w:val="clear" w:color="auto" w:fill="ffffff"/>
        <w:widowControl/>
        <w:rPr>
          <w:rFonts w:hint="eastAsia" w:ascii="宋体" w:hAnsi="宋体"/>
          <w:b/>
          <w:bCs/>
          <w:szCs w:val="21"/>
          <w:highlight w:val="none"/>
        </w:rPr>
      </w:pPr>
      <w:r/>
      <w:bookmarkStart w:id="166" w:name="OLE_LINK37"/>
      <w:r>
        <w:rPr>
          <w:rFonts w:hint="eastAsia" w:ascii="宋体" w:hAnsi="宋体"/>
          <w:b/>
          <w:bCs/>
          <w:szCs w:val="21"/>
          <w:highlight w:val="none"/>
        </w:rPr>
        <w:t xml:space="preserve">1.</w:t>
      </w:r>
      <w:bookmarkStart w:id="167" w:name="OLE_LINK41"/>
      <w:r>
        <w:rPr>
          <w:rFonts w:hint="eastAsia" w:ascii="宋体" w:hAnsi="宋体"/>
          <w:b/>
          <w:bCs/>
          <w:highlight w:val="none"/>
        </w:rPr>
        <w:t xml:space="preserve">投标人</w:t>
      </w:r>
      <w:bookmarkEnd w:id="167"/>
      <w:r>
        <w:rPr>
          <w:rFonts w:hint="eastAsia" w:ascii="宋体" w:hAnsi="宋体"/>
          <w:b/>
          <w:bCs/>
          <w:szCs w:val="21"/>
          <w:highlight w:val="none"/>
        </w:rPr>
        <w:t xml:space="preserve">须对招标文件技术要求中的实质性要求（斜体下划线内容或打“★”</w:t>
      </w:r>
      <w:r>
        <w:rPr>
          <w:rFonts w:hint="eastAsia" w:ascii="宋体" w:hAnsi="宋体" w:cs="宋体"/>
          <w:b/>
          <w:bCs/>
          <w:szCs w:val="21"/>
          <w:highlight w:val="none"/>
        </w:rPr>
        <w:t xml:space="preserve">“*”</w:t>
      </w:r>
      <w:r>
        <w:rPr>
          <w:rFonts w:hint="eastAsia" w:ascii="宋体" w:hAnsi="宋体"/>
          <w:b/>
          <w:bCs/>
          <w:szCs w:val="21"/>
          <w:highlight w:val="none"/>
        </w:rPr>
        <w:t xml:space="preserve">内容）做出明确响应，</w:t>
      </w:r>
      <w:r>
        <w:rPr>
          <w:rFonts w:hint="eastAsia" w:ascii="宋体" w:hAnsi="宋体"/>
          <w:b/>
          <w:bCs/>
          <w:highlight w:val="none"/>
        </w:rPr>
        <w:t xml:space="preserve">投标人</w:t>
      </w:r>
      <w:r>
        <w:rPr>
          <w:rFonts w:hint="eastAsia" w:ascii="宋体" w:hAnsi="宋体"/>
          <w:b/>
          <w:bCs/>
          <w:szCs w:val="21"/>
          <w:highlight w:val="none"/>
        </w:rPr>
        <w:t xml:space="preserve">未对实质性要求作出明确响应的，视为无效投标。</w:t>
      </w:r>
      <w:r/>
    </w:p>
    <w:p>
      <w:pPr>
        <w:ind w:firstLine="21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2.行数不够，可自行添加。</w:t>
      </w:r>
      <w:bookmarkEnd w:id="164"/>
      <w:r/>
      <w:bookmarkEnd w:id="166"/>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宋体" w:hAnsi="宋体" w:cs="宋体"/>
          <w:szCs w:val="21"/>
          <w:highlight w:val="none"/>
        </w:rPr>
        <w:t xml:space="preserve">投标人（加盖电子公章）：</w:t>
      </w:r>
      <w:r>
        <w:rPr>
          <w:rFonts w:ascii="宋体" w:hAnsi="宋体"/>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rPr>
          <w:rFonts w:hint="eastAsia" w:asciiTheme="minorEastAsia" w:hAnsiTheme="minorEastAsia" w:eastAsiaTheme="minorEastAsia"/>
          <w:highlight w:val="none"/>
        </w:rPr>
      </w:pPr>
      <w:r>
        <w:rPr>
          <w:highlight w:val="none"/>
        </w:rPr>
        <w:br w:type="page" w:clear="all"/>
      </w:r>
      <w:r/>
    </w:p>
    <w:p>
      <w:pPr>
        <w:pStyle w:val="853"/>
        <w:numPr>
          <w:ilvl w:val="1"/>
          <w:numId w:val="0"/>
        </w:numPr>
        <w:rPr>
          <w:rFonts w:hint="eastAsia" w:asciiTheme="minorEastAsia" w:hAnsiTheme="minorEastAsia" w:eastAsiaTheme="minorEastAsia"/>
          <w:highlight w:val="none"/>
        </w:rPr>
        <w:sectPr>
          <w:footnotePr/>
          <w:endnotePr/>
          <w:type w:val="nextPage"/>
          <w:pgSz w:w="16838" w:h="11906" w:orient="landscape"/>
          <w:pgMar w:top="1440" w:right="1440" w:bottom="1440" w:left="1440" w:header="850" w:footer="850" w:gutter="0"/>
          <w:cols w:num="1" w:sep="0" w:space="720" w:equalWidth="1"/>
          <w:docGrid w:linePitch="360"/>
          <w:titlePg/>
        </w:sectPr>
      </w:pPr>
      <w:r/>
      <w:bookmarkStart w:id="168" w:name="_Toc66375429"/>
      <w:r/>
      <w:bookmarkStart w:id="169" w:name="_Toc43917776"/>
      <w:r/>
      <w:r/>
    </w:p>
    <w:p>
      <w:pPr>
        <w:pStyle w:val="853"/>
        <w:numPr>
          <w:ilvl w:val="1"/>
          <w:numId w:val="0"/>
        </w:numPr>
        <w:rPr>
          <w:rFonts w:hint="eastAsia" w:asciiTheme="minorEastAsia" w:hAnsiTheme="minorEastAsia" w:eastAsiaTheme="minorEastAsia"/>
          <w:szCs w:val="21"/>
          <w:highlight w:val="none"/>
        </w:rPr>
      </w:pPr>
      <w:r>
        <w:rPr>
          <w:rFonts w:hint="eastAsia" w:asciiTheme="minorEastAsia" w:hAnsiTheme="minorEastAsia" w:eastAsiaTheme="minorEastAsia"/>
          <w:highlight w:val="none"/>
        </w:rPr>
        <w:t xml:space="preserve">附件六、</w:t>
      </w:r>
      <w:bookmarkStart w:id="170" w:name="_Hlk176528748"/>
      <w:r>
        <w:rPr>
          <w:rFonts w:hint="eastAsia" w:asciiTheme="minorEastAsia" w:hAnsiTheme="minorEastAsia" w:eastAsiaTheme="minorEastAsia"/>
          <w:highlight w:val="none"/>
        </w:rPr>
        <w:t xml:space="preserve">商务要求响应及偏离表</w:t>
      </w:r>
      <w:bookmarkEnd w:id="168"/>
      <w:r/>
      <w:bookmarkEnd w:id="169"/>
      <w:r/>
      <w:bookmarkEnd w:id="170"/>
      <w:r/>
      <w:bookmarkStart w:id="171" w:name="_Hlk176528759"/>
      <w:r/>
      <w:bookmarkEnd w:id="171"/>
      <w:r/>
      <w:r/>
    </w:p>
    <w:p>
      <w:pPr>
        <w:jc w:val="center"/>
        <w:spacing w:line="360" w:lineRule="auto"/>
        <w:shd w:val="clear" w:color="auto" w:fill="ffffff"/>
        <w:widowControl/>
        <w:rPr>
          <w:rFonts w:hint="eastAsia" w:ascii="宋体" w:hAnsi="宋体"/>
          <w:szCs w:val="21"/>
          <w:highlight w:val="none"/>
        </w:rPr>
      </w:pPr>
      <w:r>
        <w:rPr>
          <w:rFonts w:hint="eastAsia" w:ascii="宋体" w:hAnsi="宋体"/>
          <w:b/>
          <w:sz w:val="32"/>
          <w:szCs w:val="32"/>
          <w:highlight w:val="none"/>
        </w:rPr>
        <w:t xml:space="preserve">商务要求响应及偏离表</w:t>
      </w:r>
      <w:r/>
    </w:p>
    <w:p>
      <w:pPr>
        <w:ind w:firstLine="306"/>
        <w:jc w:val="left"/>
        <w:spacing w:line="360" w:lineRule="auto"/>
        <w:widowControl/>
        <w:tabs>
          <w:tab w:val="left" w:pos="5366" w:leader="none"/>
        </w:tabs>
        <w:rPr>
          <w:rFonts w:hint="eastAsia"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tab/>
      </w:r>
      <w:r>
        <w:rPr>
          <w:rFonts w:hint="eastAsia" w:ascii="宋体" w:hAnsi="宋体"/>
          <w:szCs w:val="21"/>
          <w:highlight w:val="none"/>
        </w:rPr>
        <w:t xml:space="preserve">项目编号：         </w:t>
      </w:r>
      <w:r/>
    </w:p>
    <w:tbl>
      <w:tblPr>
        <w:tblStyle w:val="862"/>
        <w:tblW w:w="13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62"/>
        <w:gridCol w:w="9173"/>
        <w:gridCol w:w="2040"/>
        <w:gridCol w:w="1327"/>
      </w:tblGrid>
      <w:tr>
        <w:trPr>
          <w:jc w:val="center"/>
          <w:trHeight w:val="414"/>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b/>
                <w:szCs w:val="21"/>
                <w:highlight w:val="none"/>
              </w:rPr>
            </w:pPr>
            <w:r/>
            <w:bookmarkStart w:id="172" w:name="_Hlk66784541"/>
            <w:r>
              <w:rPr>
                <w:rFonts w:hint="eastAsia" w:ascii="宋体" w:hAnsi="宋体"/>
                <w:b/>
                <w:szCs w:val="21"/>
                <w:highlight w:val="none"/>
              </w:rPr>
              <w:t xml:space="preserve">序号</w:t>
            </w:r>
            <w:r/>
          </w:p>
        </w:tc>
        <w:tc>
          <w:tcPr>
            <w:tcMar>
              <w:left w:w="10" w:type="dxa"/>
              <w:top w:w="0" w:type="dxa"/>
              <w:right w:w="10" w:type="dxa"/>
              <w:bottom w:w="0" w:type="dxa"/>
            </w:tcMar>
            <w:tcW w:w="9173" w:type="dxa"/>
            <w:vAlign w:val="center"/>
            <w:textDirection w:val="lrTb"/>
            <w:noWrap w:val="false"/>
          </w:tcPr>
          <w:p>
            <w:pPr>
              <w:jc w:val="center"/>
              <w:spacing w:line="360" w:lineRule="auto"/>
              <w:widowControl/>
              <w:rPr>
                <w:rFonts w:hint="eastAsia" w:ascii="宋体" w:hAnsi="宋体"/>
                <w:b/>
                <w:szCs w:val="21"/>
                <w:highlight w:val="none"/>
              </w:rPr>
            </w:pPr>
            <w:r>
              <w:rPr>
                <w:rFonts w:hint="eastAsia" w:ascii="宋体" w:hAnsi="宋体"/>
                <w:b/>
                <w:szCs w:val="21"/>
                <w:highlight w:val="none"/>
              </w:rPr>
              <w:t xml:space="preserve">招标文件的商务要求</w:t>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b/>
                <w:szCs w:val="21"/>
                <w:highlight w:val="none"/>
              </w:rPr>
            </w:pPr>
            <w:r>
              <w:rPr>
                <w:rFonts w:hint="eastAsia" w:ascii="宋体" w:hAnsi="宋体"/>
                <w:b/>
                <w:szCs w:val="21"/>
                <w:highlight w:val="none"/>
              </w:rPr>
              <w:t xml:space="preserve">投标响应</w:t>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b/>
                <w:szCs w:val="21"/>
                <w:highlight w:val="none"/>
              </w:rPr>
            </w:pPr>
            <w:r>
              <w:rPr>
                <w:rFonts w:hint="eastAsia" w:ascii="宋体" w:hAnsi="宋体"/>
                <w:b/>
                <w:szCs w:val="21"/>
                <w:highlight w:val="none"/>
              </w:rPr>
              <w:t xml:space="preserve">偏离</w:t>
            </w:r>
            <w:r/>
          </w:p>
        </w:tc>
      </w:tr>
      <w:tr>
        <w:trPr>
          <w:jc w:val="center"/>
          <w:trHeight w:val="433"/>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1</w:t>
            </w:r>
            <w:r/>
          </w:p>
        </w:tc>
        <w:tc>
          <w:tcPr>
            <w:tcMar>
              <w:left w:w="10" w:type="dxa"/>
              <w:top w:w="0" w:type="dxa"/>
              <w:right w:w="10" w:type="dxa"/>
              <w:bottom w:w="0" w:type="dxa"/>
            </w:tcMar>
            <w:tcW w:w="9173" w:type="dxa"/>
            <w:vAlign w:val="center"/>
            <w:textDirection w:val="lrTb"/>
            <w:noWrap w:val="false"/>
          </w:tcPr>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八、投标报价</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投标报价应包括投标人将货物运送至采购人指定交货地点的所有费用，包括但不限于货物成本、利润、税金、运输费、高速通行费、装卸费、保险费等及相关服务费用。请投标人认真测算，项目实施过程中所需一切费用应在投标报价时一并考虑。项目实施过程中不再变更任何费用。</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2.投标报价要求明折明扣，即各项优惠均应在报价中体现，不接受实物或非实物性的反馈折让。</w:t>
            </w:r>
            <w:r/>
          </w:p>
          <w:p>
            <w:pPr>
              <w:ind w:firstLine="420"/>
              <w:spacing w:line="360" w:lineRule="auto"/>
              <w:rPr>
                <w:rFonts w:hint="eastAsia" w:ascii="宋体" w:hAnsi="宋体" w:cs="宋体"/>
                <w:b/>
                <w:bCs/>
                <w:szCs w:val="21"/>
                <w:highlight w:val="none"/>
                <w:lang w:bidi="zh-CN"/>
              </w:rPr>
            </w:pPr>
            <w:r>
              <w:rPr>
                <w:rFonts w:hint="eastAsia" w:ascii="宋体" w:hAnsi="宋体" w:cs="宋体"/>
                <w:szCs w:val="21"/>
                <w:highlight w:val="none"/>
                <w:lang w:bidi="zh-CN"/>
              </w:rPr>
              <w:t xml:space="preserve">3.投标报价方式：所有食材品类以采购人及各采购包中标人双方共同在每供应月中期在科巷菜场的询价结果的算术平均数作为价格基准依据，进行优惠率报价。</w:t>
            </w:r>
            <w:r>
              <w:rPr>
                <w:rFonts w:hint="eastAsia" w:ascii="宋体" w:hAnsi="宋体" w:cs="宋体"/>
                <w:b/>
                <w:bCs/>
                <w:szCs w:val="21"/>
                <w:highlight w:val="none"/>
                <w:lang w:bidi="zh-CN"/>
              </w:rPr>
              <w:t xml:space="preserve">若投标人填报的投标优惠率为20%，价格基准依据为10元/斤，则中标人结算金额为10×（1-20%）=8元/斤。</w:t>
            </w:r>
            <w:r/>
          </w:p>
          <w:p>
            <w:pPr>
              <w:ind w:firstLine="422"/>
              <w:jc w:val="left"/>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注：本项目投标人最终仅需提交一个报价优惠率，采购需求文件中列明的全部服务内容，均适用该报价优惠率进行结算。</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九、履约保证金</w:t>
            </w:r>
            <w:r/>
          </w:p>
          <w:p>
            <w:pPr>
              <w:ind w:firstLine="420"/>
              <w:jc w:val="left"/>
              <w:spacing w:line="360" w:lineRule="auto"/>
              <w:rPr>
                <w:highlight w:val="none"/>
              </w:rPr>
            </w:pPr>
            <w:r>
              <w:rPr>
                <w:highlight w:val="none"/>
              </w:rPr>
              <w:t xml:space="preserve">双方约定履约保证金金额为20000元（大写：人民币贰万元整），中标人须在签订合同前提交由金融机构、担保机构出具的履约保函。保函有效期至项目服务期满，该履约保函作为中标人严格履行本合同的担保。在规定时间内，中标人无法提交履约保函或履约保函内容不符合招标文件约定的，视为中标人拒绝与采购人签订合同。在合同履行期间，中标人没有出现招标文件及合同规定的违约情形，履约保函至有效期满后自动失效。</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十、付款方式</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lang w:bidi="zh-CN"/>
              </w:rPr>
              <w:t xml:space="preserve">1.付款条件</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1.1本项目按月结算，当供应月食材供应完毕后十日内，由中标人向采购人自行提出书面申请，并提供加盖中标人公章的以下相关资料：中标人每月提供经采购人及中标人双方相关人员签字的供货清单（包括但不限于供应的具体食材、数量等信息）及价格依据（包括但不限于经双方核实的基准价、投标优惠率、结算价格等信息）。</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1.2书面申请及相关材料经采购人核实后，根据采购人履约评价后确认的金额开具发票，付款资料审核通过后，以转账方式向中标人支付相关费用。</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1.3因中标人书面申请延误提交相关材料的，自行承担责任。</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每供应月中期，经采购人通知，采购人及各采购包中标人双方共同在科巷菜场对所供应食材进行询价。如中标人未按时到达现场，视为默认同意相关询价结果。如遇科巷菜场中未售卖的品种食材，各采购包中标人可与采购人协商确定相关品种食材的价格基准价，最终实际结算金额为价格基准价*投标优惠率。</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中标人每月结算食材价款时须严格按照优惠后进行计算申报，其提供的所有结算资料均须真实有效、准确详实、有迹可循，如经采购人发现弄虚作假，一经查实，采购人有权终止合同，并依法追究中标人的经济和法律责任。</w:t>
            </w:r>
            <w:r/>
          </w:p>
          <w:p>
            <w:pPr>
              <w:pStyle w:val="910"/>
              <w:rPr>
                <w:rFonts w:hint="eastAsia" w:cs="宋体"/>
                <w:szCs w:val="21"/>
                <w:highlight w:val="none"/>
                <w:lang w:bidi="zh-CN"/>
              </w:rPr>
            </w:pPr>
            <w:r>
              <w:rPr>
                <w:rFonts w:hint="eastAsia" w:cs="宋体"/>
                <w:szCs w:val="21"/>
                <w:highlight w:val="none"/>
                <w:lang w:bidi="zh-CN"/>
              </w:rPr>
              <w:t xml:space="preserve">4.其他说明</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（1）若中标人无正当理由拒不参与现场询价，采购人可单独组织询价，询价结果对中标人具有约束力；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（2）询价应当选取同类、同等品质规格的食材，询价记录形成书面记录，双方签字留存，作为结算依据；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（3）科巷菜场询价结果需收集标明时间的菜价照片作为存档证据。采购人不定期对中标人提供的市场调查价格进行抽查，对中标人提供的市场调查价格进行复核。</w:t>
            </w:r>
            <w:r/>
          </w:p>
          <w:p>
            <w:pPr>
              <w:ind w:firstLine="422"/>
              <w:jc w:val="left"/>
              <w:spacing w:line="360" w:lineRule="auto"/>
              <w:rPr>
                <w:rFonts w:hint="eastAsia" w:ascii="宋体" w:hAnsi="宋体" w:cs="宋体"/>
                <w:b/>
                <w:bCs/>
                <w:sz w:val="24"/>
                <w:highlight w:val="none"/>
                <w:lang w:bidi="zh-CN"/>
              </w:rPr>
            </w:pPr>
            <w:r>
              <w:rPr>
                <w:rFonts w:hint="eastAsia" w:ascii="宋体" w:hAnsi="宋体" w:cs="宋体"/>
                <w:b/>
                <w:bCs/>
                <w:szCs w:val="21"/>
                <w:highlight w:val="none"/>
              </w:rPr>
              <w:t xml:space="preserve">十一、履约评价</w:t>
            </w:r>
            <w:r>
              <w:rPr>
                <w:rFonts w:hint="eastAsia" w:ascii="宋体" w:hAnsi="宋体" w:cs="宋体"/>
                <w:b/>
                <w:bCs/>
                <w:sz w:val="24"/>
                <w:highlight w:val="none"/>
                <w:lang w:bidi="zh-CN"/>
              </w:rPr>
              <w:br w:type="page" w:clear="all"/>
            </w:r>
            <w:r/>
          </w:p>
          <w:p>
            <w:pPr>
              <w:ind w:firstLine="482"/>
              <w:jc w:val="center"/>
              <w:spacing w:line="360" w:lineRule="auto"/>
              <w:rPr>
                <w:rFonts w:hint="eastAsia" w:ascii="宋体" w:hAnsi="宋体" w:cs="宋体"/>
                <w:b/>
                <w:bCs/>
                <w:sz w:val="24"/>
                <w:highlight w:val="none"/>
                <w:lang w:bidi="zh-CN"/>
              </w:rPr>
            </w:pPr>
            <w:r>
              <w:rPr>
                <w:rFonts w:hint="eastAsia" w:ascii="宋体" w:hAnsi="宋体" w:cs="宋体"/>
                <w:b/>
                <w:bCs/>
                <w:sz w:val="24"/>
                <w:highlight w:val="none"/>
                <w:lang w:bidi="zh-CN"/>
              </w:rPr>
              <w:t xml:space="preserve">南京市公共交通和城市轨道公安局食堂食材采购供应商管理考核办法</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总则：</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为保障食堂食材供给，维护供需双方合法权益，保证供需合同的履行，制定《南京市公共交通和城市轨道公安局机关食堂食材采购供应商管理考核办法》。</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本管理办法适用于南京市公共交通和城市轨道公安局机关食堂食材采购中标人。</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一、供应商的日常管理</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供应商的日常管理由南京市公共交通和城市轨道公安局食堂食材供应商考核管理小组负责日常管理。日常管理的重点内容包括：</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1、配送要求：供应商必须严格按照订单数量和品种进行供货，无特殊情况，必须按约定的时间送达指定的收货地点。</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2、来料验收：验收环节严格执行三方验收制度，即采购方、使用方、供货方三方到场方能进行来料验收。对验收中出现的问题由采购方、使用方人员进行现场考核记录。</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3、价格管理：供应商必须按照招标议定价格进行供货，在未经采购人同意情况下，严禁随意变动中标产品的供货价格。</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4、供应商考核：供应商的日常考核由伙食原料供应商考核管理小组综合考核（内容包括质量、安全、服务等），伙食原料供应商考核管理小组每月填写《供货验收日常追踪考核表》 (见附件)，由采购方、使用方、供货商三方签字，月末采购人汇总考核情况。（供货验收（使用）日常考核表、供应商整改通知单附件附后。）</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二、违约责任</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除不可抗力（如洪水、地震、火灾、风暴等自然灾害及战争、动乱、政府行为等社会事件）或甲方原因外，乙方出现以下违约情形，第一次给予警告并发送整改通知单要求改进，其后还将视违约情节轻重给予扣除履约保证金100元—1000元的处理：</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（1）乙方供应产品在验收或使用过程中发现一般质量问题（如夹杂异物较多，以次 充好，有轻微异味、缺斤少两、蔬菜黄叶或腐烂较多、含水量过高、规格不符等），但能及时退还或补足，未影响甲方食堂正常供应的；</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（2）乙方未能按照甲方要求的规格、数量、时间、地点送货到位（含临时送货要求），但未影响甲方食堂正常供应的；</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（3）乙方提供的食品索证材料虚假或不齐全，但事后能及时提供真实有效、齐全的索证材料的。</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2.除不可抗力或甲方原因外，乙方出现以下较重违约情形，给予警告并发送整改通知单要求改进，扣除履约保证金 500-3000 元、承担甲方另行采购所有费用（包括货款、人工、运费等）的处理：</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（1）乙方未及时送货或无故停止送货（含临时送货要求），影响甲方食堂正常供应，迫使甲方另行采购，给甲方造成不良影响和经济损失的；</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（2）乙方不能提供真实有效、齐全的食品索证材料，影响甲方食堂正常供应，迫使甲方另行采购的；</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（3）乙方在合同供货有效期内违反产品质量和安全保证及售后服务承诺的，应向甲方偿付履约保证金，并赔偿甲方由此造成的一切损失。</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三、考核结果应用</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食堂管理人员根据月度考核结果，对供应商实行相应经济和扣分考核：月度考核90分以上为良好；80分至90分之间甲方将给予警告、整改通知，警告、整改通知累计超过3次以上的甲方有权终止合同。月度考核得分低于80分的供应商，甲方有权终止合同。</w:t>
            </w:r>
            <w:r/>
          </w:p>
          <w:p>
            <w:pPr>
              <w:ind w:firstLine="420"/>
              <w:jc w:val="left"/>
              <w:spacing w:line="360" w:lineRule="auto"/>
              <w:rPr>
                <w:rFonts w:hint="eastAsia" w:ascii="宋体" w:hAnsi="宋体" w:cs="宋体"/>
                <w:szCs w:val="21"/>
                <w:highlight w:val="none"/>
                <w:lang w:bidi="zh-CN"/>
              </w:rPr>
            </w:pPr>
            <w:r>
              <w:rPr>
                <w:rFonts w:hint="eastAsia" w:ascii="宋体" w:hAnsi="宋体" w:cs="宋体"/>
                <w:szCs w:val="21"/>
                <w:highlight w:val="none"/>
                <w:lang w:bidi="zh-CN"/>
              </w:rPr>
            </w:r>
            <w:r/>
          </w:p>
          <w:p>
            <w:pPr>
              <w:ind w:firstLine="420"/>
              <w:jc w:val="righ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南京市公共交通和城市轨道公安局</w:t>
            </w:r>
            <w:r/>
          </w:p>
          <w:p>
            <w:pPr>
              <w:ind w:firstLine="420"/>
              <w:jc w:val="right"/>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  年  月  日</w:t>
            </w:r>
            <w:r/>
          </w:p>
          <w:p>
            <w:pPr>
              <w:ind w:firstLine="422"/>
              <w:spacing w:line="360" w:lineRule="auto"/>
              <w:rPr>
                <w:rFonts w:hint="eastAsia" w:ascii="宋体" w:hAnsi="宋体" w:cs="宋体"/>
                <w:b/>
                <w:bCs/>
                <w:szCs w:val="21"/>
                <w:highlight w:val="none"/>
                <w:lang w:bidi="zh-CN"/>
              </w:rPr>
            </w:pPr>
            <w:r>
              <w:rPr>
                <w:rFonts w:hint="eastAsia" w:ascii="宋体" w:hAnsi="宋体" w:cs="宋体"/>
                <w:b/>
                <w:bCs/>
                <w:szCs w:val="21"/>
                <w:highlight w:val="none"/>
              </w:rPr>
              <w:t xml:space="preserve">十二、</w:t>
            </w:r>
            <w:r>
              <w:rPr>
                <w:rFonts w:hint="eastAsia" w:ascii="宋体" w:hAnsi="宋体" w:cs="宋体"/>
                <w:b/>
                <w:bCs/>
                <w:szCs w:val="21"/>
                <w:highlight w:val="none"/>
                <w:lang w:bidi="zh-CN"/>
              </w:rPr>
              <w:t xml:space="preserve">结算方式</w:t>
            </w:r>
            <w:r/>
          </w:p>
          <w:p>
            <w:pPr>
              <w:ind w:firstLine="420"/>
              <w:spacing w:line="360" w:lineRule="auto"/>
              <w:rPr>
                <w:rFonts w:hint="eastAsia" w:ascii="宋体" w:hAnsi="宋体" w:cs="宋体"/>
                <w:szCs w:val="21"/>
                <w:highlight w:val="none"/>
                <w:lang w:val="zh-CN" w:bidi="zh-CN"/>
              </w:rPr>
            </w:pPr>
            <w:r>
              <w:rPr>
                <w:rFonts w:hint="eastAsia" w:ascii="宋体" w:hAnsi="宋体" w:cs="宋体"/>
                <w:szCs w:val="21"/>
                <w:highlight w:val="none"/>
                <w:lang w:bidi="zh-CN"/>
              </w:rPr>
              <w:t xml:space="preserve">1.</w:t>
            </w:r>
            <w:r>
              <w:rPr>
                <w:rFonts w:hint="eastAsia" w:ascii="宋体" w:hAnsi="宋体" w:cs="宋体"/>
                <w:szCs w:val="21"/>
                <w:highlight w:val="none"/>
                <w:lang w:val="zh-CN" w:bidi="zh-CN"/>
              </w:rPr>
              <w:t xml:space="preserve">各项食材结算数量以</w:t>
            </w:r>
            <w:r>
              <w:rPr>
                <w:rFonts w:hint="eastAsia" w:ascii="宋体" w:hAnsi="宋体" w:cs="宋体"/>
                <w:szCs w:val="21"/>
                <w:highlight w:val="none"/>
                <w:lang w:bidi="zh-CN"/>
              </w:rPr>
              <w:t xml:space="preserve">采购人</w:t>
            </w:r>
            <w:r>
              <w:rPr>
                <w:rFonts w:hint="eastAsia" w:ascii="宋体" w:hAnsi="宋体" w:cs="宋体"/>
                <w:szCs w:val="21"/>
                <w:highlight w:val="none"/>
                <w:lang w:val="zh-CN" w:bidi="zh-CN"/>
              </w:rPr>
              <w:t xml:space="preserve">签收的供货清单为准，供货清单须</w:t>
            </w:r>
            <w:r>
              <w:rPr>
                <w:rFonts w:hint="eastAsia" w:ascii="宋体" w:hAnsi="宋体" w:cs="宋体"/>
                <w:szCs w:val="21"/>
                <w:highlight w:val="none"/>
                <w:lang w:bidi="zh-CN"/>
              </w:rPr>
              <w:t xml:space="preserve">采购人相关部门代表</w:t>
            </w:r>
            <w:r>
              <w:rPr>
                <w:rFonts w:hint="eastAsia" w:ascii="宋体" w:hAnsi="宋体" w:cs="宋体"/>
                <w:szCs w:val="21"/>
                <w:highlight w:val="none"/>
                <w:lang w:val="zh-CN" w:bidi="zh-CN"/>
              </w:rPr>
              <w:t xml:space="preserve">及</w:t>
            </w:r>
            <w:r>
              <w:rPr>
                <w:rFonts w:hint="eastAsia" w:ascii="宋体" w:hAnsi="宋体" w:cs="宋体"/>
                <w:szCs w:val="21"/>
                <w:highlight w:val="none"/>
                <w:lang w:bidi="zh-CN"/>
              </w:rPr>
              <w:t xml:space="preserve">中标人代表</w:t>
            </w:r>
            <w:r>
              <w:rPr>
                <w:rFonts w:hint="eastAsia" w:ascii="宋体" w:hAnsi="宋体" w:cs="宋体"/>
                <w:szCs w:val="21"/>
                <w:highlight w:val="none"/>
                <w:lang w:val="zh-CN" w:bidi="zh-CN"/>
              </w:rPr>
              <w:t xml:space="preserve">双方签字。</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若投标人填报的投标优惠率为20%，价格基准依据为10元/斤，则中标人结算金额为10×（1-20%）=8元/斤。</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2.采购人对全年的合同总额不作保底承诺。</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十三、其他说明</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1.中标人应能够配合采购人及时更新所提供的符合监管部门的有效证明材料。如有效的营业执照、产品合格证等。</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2.中标人在实施货物供货期间，不得将供货的实际数量及供货地点泄露给其他企业或者个人，中标人必须指派相对固定的人员完成货物配送服务，并需将配送人员的详细资料报采购人备案，货物配送人员必须遵纪守法、品行良好，无违法犯罪记录。如需要更换配送人员，必须事先通知采购人并将其个人资料送采购人审批，审批合格者才能更换。</w:t>
            </w:r>
            <w:r/>
          </w:p>
          <w:p>
            <w:pPr>
              <w:ind w:firstLine="42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3.本章“采购项目需求”中所有要求为“食材采购、配送及相关服务项目”项目合同不可分割的一部分，中标人在项目实施过程中应严格按照采购项目需求中各项要求、项目合同各项条款、采购人要求以及投标文件中确定的事项和承诺履行本项目。</w:t>
            </w:r>
            <w:r/>
          </w:p>
          <w:p>
            <w:pPr>
              <w:ind w:firstLine="422"/>
              <w:spacing w:line="360" w:lineRule="auto"/>
              <w:rPr>
                <w:rFonts w:hint="eastAsia" w:ascii="宋体" w:hAnsi="宋体"/>
                <w:szCs w:val="21"/>
                <w:highlight w:val="none"/>
              </w:rPr>
            </w:pPr>
            <w:r>
              <w:rPr>
                <w:rFonts w:hint="eastAsia" w:ascii="宋体" w:hAnsi="宋体" w:cs="宋体"/>
                <w:b/>
                <w:bCs/>
                <w:szCs w:val="21"/>
                <w:highlight w:val="none"/>
              </w:rPr>
              <w:t xml:space="preserve">4.因不可抗力原因或因政策调整，致使服务期内本项目中个别片区不再需要餐饮服务或者需要其他方式进行调整的，中标人应无条件服从采购人安排，双方均不承担违约责任。</w:t>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 </w:t>
            </w:r>
            <w:r/>
          </w:p>
        </w:tc>
      </w:tr>
      <w:tr>
        <w:trPr>
          <w:jc w:val="center"/>
          <w:trHeight w:val="414"/>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2</w:t>
            </w:r>
            <w:r/>
          </w:p>
        </w:tc>
        <w:tc>
          <w:tcPr>
            <w:tcMar>
              <w:left w:w="10" w:type="dxa"/>
              <w:top w:w="0" w:type="dxa"/>
              <w:right w:w="10" w:type="dxa"/>
              <w:bottom w:w="0" w:type="dxa"/>
            </w:tcMar>
            <w:tcW w:w="9173" w:type="dxa"/>
            <w:vAlign w:val="center"/>
            <w:textDirection w:val="lrTb"/>
            <w:noWrap w:val="false"/>
          </w:tcPr>
          <w:p>
            <w:pPr>
              <w:spacing w:line="360" w:lineRule="auto"/>
              <w:widowControl/>
              <w:rPr>
                <w:rFonts w:hint="eastAsia" w:ascii="宋体" w:hAnsi="宋体"/>
                <w:szCs w:val="21"/>
                <w:highlight w:val="none"/>
              </w:rPr>
            </w:pPr>
            <w:r>
              <w:rPr>
                <w:rFonts w:hint="eastAsia" w:ascii="宋体" w:hAnsi="宋体"/>
                <w:szCs w:val="21"/>
                <w:highlight w:val="none"/>
              </w:rPr>
              <w:t xml:space="preserve">招标文件中其他商务要求</w:t>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 </w:t>
            </w:r>
            <w:r/>
          </w:p>
        </w:tc>
      </w:tr>
      <w:tr>
        <w:trPr>
          <w:jc w:val="center"/>
          <w:trHeight w:val="424"/>
        </w:trPr>
        <w:tc>
          <w:tcPr>
            <w:tcMar>
              <w:left w:w="10" w:type="dxa"/>
              <w:top w:w="0" w:type="dxa"/>
              <w:right w:w="10" w:type="dxa"/>
              <w:bottom w:w="0" w:type="dxa"/>
            </w:tcMar>
            <w:tcW w:w="1062"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p>
        </w:tc>
        <w:tc>
          <w:tcPr>
            <w:tcMar>
              <w:left w:w="10" w:type="dxa"/>
              <w:top w:w="0" w:type="dxa"/>
              <w:right w:w="10" w:type="dxa"/>
              <w:bottom w:w="0" w:type="dxa"/>
            </w:tcMar>
            <w:tcW w:w="9173" w:type="dxa"/>
            <w:vAlign w:val="center"/>
            <w:textDirection w:val="lrTb"/>
            <w:noWrap w:val="false"/>
          </w:tcPr>
          <w:p>
            <w:pPr>
              <w:spacing w:line="360" w:lineRule="auto"/>
              <w:widowControl/>
              <w:rPr>
                <w:rFonts w:hint="eastAsia" w:ascii="宋体" w:hAnsi="宋体"/>
                <w:szCs w:val="21"/>
                <w:highlight w:val="none"/>
              </w:rPr>
            </w:pPr>
            <w:r>
              <w:rPr>
                <w:rFonts w:hint="eastAsia" w:ascii="宋体" w:hAnsi="宋体"/>
                <w:szCs w:val="21"/>
                <w:highlight w:val="none"/>
              </w:rPr>
            </w:r>
            <w:r/>
          </w:p>
        </w:tc>
        <w:tc>
          <w:tcPr>
            <w:tcMar>
              <w:left w:w="10" w:type="dxa"/>
              <w:top w:w="0" w:type="dxa"/>
              <w:right w:w="10" w:type="dxa"/>
              <w:bottom w:w="0" w:type="dxa"/>
            </w:tcMar>
            <w:tcW w:w="2040"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p>
        </w:tc>
        <w:tc>
          <w:tcPr>
            <w:tcMar>
              <w:left w:w="10" w:type="dxa"/>
              <w:top w:w="0" w:type="dxa"/>
              <w:right w:w="10" w:type="dxa"/>
              <w:bottom w:w="0" w:type="dxa"/>
            </w:tcMar>
            <w:tcW w:w="1327"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bookmarkEnd w:id="172"/>
            <w:r/>
            <w:r/>
          </w:p>
        </w:tc>
      </w:tr>
    </w:tbl>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ind w:firstLine="48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说明：</w:t>
      </w:r>
      <w:r/>
    </w:p>
    <w:p>
      <w:pPr>
        <w:ind w:firstLine="422"/>
        <w:jc w:val="left"/>
        <w:spacing w:before="100" w:beforeAutospacing="1" w:after="100" w:afterAutospacing="1" w:line="360" w:lineRule="auto"/>
        <w:shd w:val="clear" w:color="auto" w:fill="ffffff"/>
        <w:widowControl/>
        <w:rPr>
          <w:rFonts w:hint="eastAsia" w:ascii="宋体" w:hAnsi="宋体" w:cs="宋体"/>
          <w:b/>
          <w:bCs/>
          <w:sz w:val="24"/>
          <w:szCs w:val="21"/>
          <w:highlight w:val="none"/>
        </w:rPr>
      </w:pPr>
      <w:r>
        <w:rPr>
          <w:rFonts w:ascii="宋体" w:hAnsi="宋体" w:cs="宋体"/>
          <w:b/>
          <w:bCs/>
          <w:szCs w:val="21"/>
          <w:highlight w:val="none"/>
        </w:rPr>
        <w:t xml:space="preserve">1.</w:t>
      </w:r>
      <w:r>
        <w:rPr>
          <w:rFonts w:hint="eastAsia" w:ascii="宋体" w:hAnsi="宋体" w:cs="宋体"/>
          <w:b/>
          <w:bCs/>
          <w:szCs w:val="21"/>
          <w:highlight w:val="none"/>
        </w:rPr>
        <w:t xml:space="preserve">投标人须对招标文件商务要求中的实质性要求（斜体下划线内容或打“★”“*”内容）做出明确响应，投标人未对实质性要求作出明确响应的，视为无效投标。</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2.行数不够，可自行添加。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210"/>
        <w:jc w:val="left"/>
        <w:spacing w:line="360" w:lineRule="auto"/>
        <w:shd w:val="clear" w:color="auto" w:fill="ffffff"/>
        <w:widowControl/>
        <w:rPr>
          <w:rFonts w:hint="eastAsia" w:ascii="宋体" w:hAnsi="宋体"/>
          <w:szCs w:val="21"/>
          <w:highlight w:val="none"/>
        </w:rPr>
      </w:pPr>
      <w:r>
        <w:rPr>
          <w:rFonts w:hint="eastAsia" w:ascii="宋体" w:hAnsi="宋体" w:cs="宋体"/>
          <w:szCs w:val="21"/>
          <w:highlight w:val="none"/>
        </w:rPr>
        <w:t xml:space="preserve">投标人（加盖电子公章）：</w:t>
      </w:r>
      <w:r>
        <w:rPr>
          <w:rFonts w:ascii="宋体" w:hAnsi="宋体"/>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pStyle w:val="853"/>
        <w:rPr>
          <w:rFonts w:hint="eastAsia" w:asciiTheme="minorEastAsia" w:hAnsiTheme="minorEastAsia" w:eastAsiaTheme="minorEastAsia"/>
          <w:highlight w:val="none"/>
        </w:rPr>
        <w:sectPr>
          <w:footnotePr/>
          <w:endnotePr/>
          <w:type w:val="nextPage"/>
          <w:pgSz w:w="16838" w:h="11906" w:orient="landscape"/>
          <w:pgMar w:top="1440" w:right="1440" w:bottom="1440" w:left="1440" w:header="850" w:footer="850" w:gutter="0"/>
          <w:cols w:num="1" w:sep="0" w:space="720" w:equalWidth="1"/>
          <w:docGrid w:linePitch="360"/>
          <w:titlePg/>
        </w:sectPr>
      </w:pPr>
      <w:r/>
      <w:bookmarkStart w:id="173" w:name="_Toc66375431"/>
      <w:r/>
      <w:bookmarkStart w:id="174" w:name="_Toc43917778"/>
      <w:r/>
      <w:r/>
    </w:p>
    <w:p>
      <w:pPr>
        <w:pStyle w:val="853"/>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附件七、拟参与本项目服务人员一览表</w:t>
      </w:r>
      <w:bookmarkEnd w:id="173"/>
      <w:r/>
      <w:bookmarkEnd w:id="174"/>
      <w:r/>
      <w:r/>
    </w:p>
    <w:p>
      <w:pPr>
        <w:spacing w:line="460" w:lineRule="atLeast"/>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ind w:left="420"/>
        <w:jc w:val="center"/>
        <w:spacing w:line="360" w:lineRule="auto"/>
        <w:shd w:val="clear" w:color="auto" w:fill="ffffff"/>
        <w:widowControl/>
        <w:rPr>
          <w:rFonts w:hint="eastAsia" w:ascii="宋体" w:hAnsi="宋体"/>
          <w:b/>
          <w:sz w:val="30"/>
          <w:szCs w:val="30"/>
          <w:highlight w:val="none"/>
        </w:rPr>
      </w:pPr>
      <w:r/>
      <w:bookmarkStart w:id="175" w:name="_Hlk67995747"/>
      <w:r>
        <w:rPr>
          <w:rFonts w:hint="eastAsia" w:ascii="宋体" w:hAnsi="宋体"/>
          <w:b/>
          <w:sz w:val="32"/>
          <w:szCs w:val="32"/>
          <w:highlight w:val="none"/>
        </w:rPr>
        <w:t xml:space="preserve">拟参与本项目服务人员一览表</w:t>
      </w:r>
      <w:bookmarkEnd w:id="175"/>
      <w:r/>
      <w:bookmarkStart w:id="176" w:name="_Hlk66378104"/>
      <w:r/>
      <w:bookmarkEnd w:id="176"/>
      <w:r/>
      <w:r/>
    </w:p>
    <w:p>
      <w:pPr>
        <w:jc w:val="center"/>
        <w:widowControl/>
        <w:rPr>
          <w:rFonts w:hint="eastAsia" w:ascii="宋体" w:hAnsi="宋体"/>
          <w:b/>
          <w:bCs/>
          <w:sz w:val="24"/>
          <w:highlight w:val="none"/>
        </w:rPr>
      </w:pPr>
      <w:r>
        <w:rPr>
          <w:rFonts w:hint="eastAsia" w:ascii="宋体" w:hAnsi="宋体"/>
          <w:b/>
          <w:bCs/>
          <w:sz w:val="24"/>
          <w:highlight w:val="none"/>
        </w:rPr>
      </w:r>
      <w:r/>
    </w:p>
    <w:p>
      <w:pPr>
        <w:widowControl/>
        <w:rPr>
          <w:rFonts w:hint="eastAsia" w:ascii="宋体" w:hAnsi="宋体"/>
          <w:szCs w:val="21"/>
          <w:highlight w:val="none"/>
        </w:rPr>
      </w:pPr>
      <w:r/>
      <w:bookmarkStart w:id="177" w:name="_Hlk66784308"/>
      <w:r>
        <w:rPr>
          <w:rFonts w:hint="eastAsia" w:ascii="宋体" w:hAnsi="宋体"/>
          <w:szCs w:val="21"/>
          <w:highlight w:val="none"/>
        </w:rPr>
        <w:t xml:space="preserve">项目名称：                                 项目编号：</w:t>
      </w:r>
      <w:bookmarkEnd w:id="177"/>
      <w:r/>
      <w:r/>
    </w:p>
    <w:tbl>
      <w:tblPr>
        <w:tblStyle w:val="86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执业</w:t>
            </w:r>
            <w:r/>
          </w:p>
          <w:p>
            <w:pPr>
              <w:jc w:val="center"/>
              <w:widowControl/>
              <w:rPr>
                <w:rFonts w:hint="eastAsia" w:ascii="宋体" w:hAnsi="宋体"/>
                <w:b/>
                <w:bCs/>
                <w:szCs w:val="21"/>
                <w:highlight w:val="none"/>
              </w:rPr>
            </w:pPr>
            <w:r>
              <w:rPr>
                <w:rFonts w:hint="eastAsia" w:ascii="宋体" w:hAnsi="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b/>
                <w:bCs/>
                <w:szCs w:val="21"/>
                <w:highlight w:val="none"/>
              </w:rPr>
            </w:pPr>
            <w:r>
              <w:rPr>
                <w:rFonts w:hint="eastAsia" w:ascii="宋体" w:hAnsi="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szCs w:val="21"/>
                <w:highlight w:val="none"/>
              </w:rPr>
            </w:pPr>
            <w:r>
              <w:rPr>
                <w:rFonts w:hint="eastAsia" w:ascii="宋体" w:hAnsi="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说明：</w:t>
      </w:r>
      <w:r>
        <w:rPr>
          <w:rFonts w:ascii="宋体" w:hAnsi="宋体"/>
          <w:szCs w:val="21"/>
          <w:highlight w:val="none"/>
        </w:rPr>
        <w:t xml:space="preserve">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cs="宋体"/>
          <w:szCs w:val="21"/>
          <w:highlight w:val="none"/>
        </w:rPr>
        <w:t xml:space="preserve">投标人（加盖电子公章）：</w:t>
      </w:r>
      <w:r>
        <w:rPr>
          <w:rFonts w:ascii="宋体" w:hAnsi="宋体"/>
          <w:szCs w:val="21"/>
          <w:highlight w:val="none"/>
          <w:u w:val="single"/>
        </w:rPr>
        <w:t xml:space="preserve">                                       </w:t>
      </w:r>
      <w:r/>
    </w:p>
    <w:p>
      <w:pPr>
        <w:widowControl/>
        <w:rPr>
          <w:rFonts w:hint="eastAsia" w:ascii="宋体" w:hAnsi="宋体"/>
          <w:szCs w:val="21"/>
          <w:highlight w:val="none"/>
        </w:rPr>
      </w:pPr>
      <w:r>
        <w:rPr>
          <w:rFonts w:hint="eastAsia" w:ascii="宋体" w:hAnsi="宋体"/>
          <w:szCs w:val="21"/>
          <w:highlight w:val="none"/>
        </w:rPr>
      </w:r>
      <w:r/>
    </w:p>
    <w:p>
      <w:pPr>
        <w:widowControl/>
        <w:rPr>
          <w:rFonts w:hint="eastAsia" w:ascii="宋体" w:hAnsi="宋体"/>
          <w:b/>
          <w:bCs/>
          <w:szCs w:val="21"/>
          <w:highlight w:val="none"/>
        </w:rPr>
      </w:pPr>
      <w:r>
        <w:rPr>
          <w:rFonts w:ascii="宋体" w:hAnsi="宋体"/>
          <w:b/>
          <w:bCs/>
          <w:szCs w:val="21"/>
          <w:highlight w:val="none"/>
        </w:rPr>
        <w:br w:type="page" w:clear="all"/>
      </w:r>
      <w:r/>
    </w:p>
    <w:p>
      <w:pPr>
        <w:pStyle w:val="853"/>
        <w:rPr>
          <w:rFonts w:hint="eastAsia" w:asciiTheme="minorEastAsia" w:hAnsiTheme="minorEastAsia" w:eastAsiaTheme="minorEastAsia"/>
          <w:highlight w:val="none"/>
        </w:rPr>
      </w:pPr>
      <w:r/>
      <w:bookmarkStart w:id="178" w:name="_Toc66375432"/>
      <w:r/>
      <w:bookmarkStart w:id="179" w:name="_Toc43917779"/>
      <w:r>
        <w:rPr>
          <w:rFonts w:hint="eastAsia" w:asciiTheme="minorEastAsia" w:hAnsiTheme="minorEastAsia" w:eastAsiaTheme="minorEastAsia"/>
          <w:highlight w:val="none"/>
        </w:rPr>
        <w:t xml:space="preserve">附件八、投标人类似业绩情况表</w:t>
      </w:r>
      <w:bookmarkEnd w:id="178"/>
      <w:r/>
      <w:bookmarkEnd w:id="179"/>
      <w:r/>
      <w:r/>
    </w:p>
    <w:p>
      <w:pPr>
        <w:jc w:val="center"/>
        <w:spacing w:line="360" w:lineRule="auto"/>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投标人类似业绩情况表</w:t>
      </w:r>
      <w:r/>
    </w:p>
    <w:p>
      <w:pPr>
        <w:jc w:val="left"/>
        <w:spacing w:line="360" w:lineRule="auto"/>
        <w:rPr>
          <w:rFonts w:hint="eastAsia" w:ascii="宋体" w:hAnsi="宋体"/>
          <w:b/>
          <w:sz w:val="32"/>
          <w:szCs w:val="32"/>
          <w:highlight w:val="none"/>
        </w:rPr>
      </w:pPr>
      <w:r>
        <w:rPr>
          <w:rFonts w:hint="eastAsia" w:ascii="宋体" w:hAnsi="宋体"/>
          <w:szCs w:val="21"/>
          <w:highlight w:val="none"/>
        </w:rPr>
        <w:t xml:space="preserve">项目名称：                            </w:t>
      </w:r>
      <w:r>
        <w:rPr>
          <w:rFonts w:ascii="宋体" w:hAnsi="宋体"/>
          <w:szCs w:val="21"/>
          <w:highlight w:val="none"/>
        </w:rPr>
        <w:t xml:space="preserve">              </w:t>
      </w:r>
      <w:r>
        <w:rPr>
          <w:rFonts w:hint="eastAsia" w:ascii="宋体" w:hAnsi="宋体"/>
          <w:szCs w:val="21"/>
          <w:highlight w:val="none"/>
        </w:rPr>
        <w:t xml:space="preserve">     项目编号：</w:t>
      </w:r>
      <w:r/>
    </w:p>
    <w:tbl>
      <w:tblPr>
        <w:tblStyle w:val="862"/>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序号</w:t>
            </w:r>
            <w:r/>
          </w:p>
        </w:tc>
        <w:tc>
          <w:tcPr>
            <w:tcW w:w="2310" w:type="dxa"/>
            <w:vAlign w:val="center"/>
            <w:textDirection w:val="lrTb"/>
            <w:noWrap w:val="false"/>
          </w:tcPr>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项目名称</w:t>
            </w:r>
            <w:r/>
          </w:p>
        </w:tc>
        <w:tc>
          <w:tcPr>
            <w:tcW w:w="2257" w:type="dxa"/>
            <w:vAlign w:val="center"/>
            <w:textDirection w:val="lrTb"/>
            <w:noWrap w:val="false"/>
          </w:tcPr>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采购单位</w:t>
            </w:r>
            <w:r/>
          </w:p>
        </w:tc>
        <w:tc>
          <w:tcPr>
            <w:tcW w:w="1255" w:type="dxa"/>
            <w:vAlign w:val="center"/>
            <w:textDirection w:val="lrTb"/>
            <w:noWrap w:val="false"/>
          </w:tcPr>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合同金额</w:t>
            </w:r>
            <w:r/>
          </w:p>
        </w:tc>
        <w:tc>
          <w:tcPr>
            <w:tcW w:w="1341" w:type="dxa"/>
            <w:textDirection w:val="lrTb"/>
            <w:noWrap w:val="false"/>
          </w:tcPr>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合同签订</w:t>
            </w:r>
            <w:r/>
          </w:p>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时间</w:t>
            </w:r>
            <w:r/>
          </w:p>
        </w:tc>
        <w:tc>
          <w:tcPr>
            <w:tcW w:w="1211" w:type="dxa"/>
            <w:textDirection w:val="lrTb"/>
            <w:noWrap w:val="false"/>
          </w:tcPr>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联系人及电话</w:t>
            </w:r>
            <w:r/>
          </w:p>
        </w:tc>
        <w:tc>
          <w:tcPr>
            <w:tcW w:w="969" w:type="dxa"/>
            <w:vAlign w:val="center"/>
            <w:textDirection w:val="lrTb"/>
            <w:noWrap w:val="false"/>
          </w:tcPr>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2310"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2257" w:type="dxa"/>
            <w:textDirection w:val="lrTb"/>
            <w:noWrap w:val="false"/>
          </w:tcPr>
          <w:p>
            <w:pPr>
              <w:ind w:firstLine="120"/>
              <w:spacing w:line="360" w:lineRule="auto"/>
              <w:rPr>
                <w:rFonts w:hint="eastAsia" w:ascii="宋体" w:hAnsi="宋体"/>
                <w:sz w:val="24"/>
                <w:highlight w:val="none"/>
              </w:rPr>
            </w:pPr>
            <w:r>
              <w:rPr>
                <w:rFonts w:hint="eastAsia" w:ascii="宋体" w:hAnsi="宋体"/>
                <w:sz w:val="24"/>
                <w:highlight w:val="none"/>
              </w:rPr>
            </w:r>
            <w:r/>
          </w:p>
        </w:tc>
        <w:tc>
          <w:tcPr>
            <w:tcW w:w="1255"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341"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211"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969"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jc w:val="center"/>
        </w:trPr>
        <w:tc>
          <w:tcPr>
            <w:tcW w:w="733"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2310"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2257"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255"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341"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211"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969"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jc w:val="center"/>
        </w:trPr>
        <w:tc>
          <w:tcPr>
            <w:tcW w:w="733"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2310"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2257"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255"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341"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211"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969"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jc w:val="center"/>
        </w:trPr>
        <w:tc>
          <w:tcPr>
            <w:tcW w:w="733"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2310"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2257"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255"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341"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211"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969"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jc w:val="center"/>
        </w:trPr>
        <w:tc>
          <w:tcPr>
            <w:tcW w:w="733"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2310"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2257"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255"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341"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211"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969"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jc w:val="center"/>
        </w:trPr>
        <w:tc>
          <w:tcPr>
            <w:tcW w:w="733"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2310"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2257"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255"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341"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1211"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969"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bl>
    <w:p>
      <w:pPr>
        <w:spacing w:line="360" w:lineRule="auto"/>
        <w:rPr>
          <w:rFonts w:hint="eastAsia" w:ascii="宋体" w:hAnsi="宋体"/>
          <w:b/>
          <w:sz w:val="24"/>
          <w:highlight w:val="none"/>
        </w:rPr>
      </w:pPr>
      <w:r/>
      <w:bookmarkStart w:id="180" w:name="_Hlk66784249"/>
      <w:r/>
      <w:r/>
    </w:p>
    <w:p>
      <w:pPr>
        <w:spacing w:line="360" w:lineRule="auto"/>
        <w:rPr>
          <w:rFonts w:hint="eastAsia" w:ascii="宋体" w:hAnsi="宋体"/>
          <w:b/>
          <w:sz w:val="24"/>
          <w:highlight w:val="none"/>
        </w:rPr>
      </w:pPr>
      <w:r>
        <w:rPr>
          <w:rFonts w:hint="eastAsia" w:ascii="宋体" w:hAnsi="宋体"/>
          <w:b/>
          <w:sz w:val="24"/>
          <w:highlight w:val="none"/>
        </w:rPr>
        <w:t xml:space="preserve">说</w:t>
      </w:r>
      <w:r>
        <w:rPr>
          <w:rFonts w:hint="eastAsia" w:ascii="宋体" w:hAnsi="宋体"/>
          <w:b/>
          <w:szCs w:val="21"/>
          <w:highlight w:val="none"/>
        </w:rPr>
        <w:t xml:space="preserve">明：投标人如实填写业绩情况表，</w:t>
      </w:r>
      <w:bookmarkStart w:id="181" w:name="_Hlk66378132"/>
      <w:r>
        <w:rPr>
          <w:rFonts w:hint="eastAsia" w:ascii="宋体" w:hAnsi="宋体"/>
          <w:b/>
          <w:szCs w:val="21"/>
          <w:highlight w:val="none"/>
        </w:rPr>
        <w:t xml:space="preserve">并根据招标文件要求附业绩证明材料。</w:t>
      </w:r>
      <w:bookmarkEnd w:id="181"/>
      <w:r/>
      <w:bookmarkEnd w:id="180"/>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cs="宋体"/>
          <w:szCs w:val="21"/>
          <w:highlight w:val="none"/>
        </w:rPr>
        <w:t xml:space="preserve">投标人（加盖电子公章）：</w:t>
      </w:r>
      <w:r>
        <w:rPr>
          <w:rFonts w:ascii="宋体" w:hAnsi="宋体"/>
          <w:szCs w:val="21"/>
          <w:highlight w:val="none"/>
          <w:u w:val="single"/>
        </w:rPr>
        <w:t xml:space="preserve">                                      </w:t>
      </w:r>
      <w:r/>
    </w:p>
    <w:p>
      <w:pPr>
        <w:spacing w:line="360" w:lineRule="auto"/>
        <w:widowControl/>
        <w:rPr>
          <w:rFonts w:hint="eastAsia" w:ascii="宋体" w:hAnsi="宋体"/>
          <w:b/>
          <w:bCs/>
          <w:szCs w:val="21"/>
          <w:highlight w:val="none"/>
        </w:rPr>
      </w:pPr>
      <w:r>
        <w:rPr>
          <w:rFonts w:hint="eastAsia" w:ascii="宋体" w:hAnsi="宋体"/>
          <w:b/>
          <w:bCs/>
          <w:szCs w:val="21"/>
          <w:highlight w:val="none"/>
        </w:rPr>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rPr>
          <w:rFonts w:hint="eastAsia" w:asciiTheme="minorEastAsia" w:hAnsiTheme="minorEastAsia" w:eastAsiaTheme="minorEastAsia"/>
          <w:highlight w:val="none"/>
        </w:rPr>
      </w:pPr>
      <w:r>
        <w:rPr>
          <w:rFonts w:asciiTheme="minorEastAsia" w:hAnsiTheme="minorEastAsia" w:eastAsiaTheme="minorEastAsia"/>
          <w:highlight w:val="none"/>
        </w:rPr>
        <w:br w:type="page" w:clear="all"/>
      </w:r>
      <w:r/>
    </w:p>
    <w:p>
      <w:pPr>
        <w:pStyle w:val="853"/>
        <w:rPr>
          <w:rFonts w:hint="eastAsia" w:asciiTheme="minorEastAsia" w:hAnsiTheme="minorEastAsia" w:eastAsiaTheme="minorEastAsia"/>
          <w:highlight w:val="none"/>
        </w:rPr>
      </w:pPr>
      <w:r/>
      <w:bookmarkStart w:id="182" w:name="_Toc66375433"/>
      <w:r/>
      <w:bookmarkStart w:id="183" w:name="_Toc43917780"/>
      <w:r>
        <w:rPr>
          <w:rFonts w:hint="eastAsia" w:asciiTheme="minorEastAsia" w:hAnsiTheme="minorEastAsia" w:eastAsiaTheme="minorEastAsia"/>
          <w:highlight w:val="none"/>
        </w:rPr>
        <w:t xml:space="preserve">附件九、企业声明函</w:t>
      </w:r>
      <w:bookmarkEnd w:id="182"/>
      <w:r/>
      <w:bookmarkEnd w:id="183"/>
      <w:r/>
      <w:r/>
    </w:p>
    <w:p>
      <w:pPr>
        <w:jc w:val="center"/>
        <w:spacing w:line="360" w:lineRule="auto"/>
        <w:rPr>
          <w:rFonts w:hint="eastAsia" w:ascii="宋体" w:hAnsi="宋体" w:cs="Arial"/>
          <w:b/>
          <w:bCs/>
          <w:sz w:val="28"/>
          <w:szCs w:val="28"/>
          <w:highlight w:val="none"/>
        </w:rPr>
      </w:pPr>
      <w:r/>
      <w:bookmarkStart w:id="184" w:name="_Hlk84581158"/>
      <w:r/>
      <w:bookmarkStart w:id="185" w:name="OLE_LINK14"/>
      <w:r/>
      <w:bookmarkStart w:id="186" w:name="OLE_LINK13"/>
      <w:r>
        <w:rPr>
          <w:rFonts w:hint="eastAsia" w:ascii="宋体" w:hAnsi="宋体" w:cs="Arial"/>
          <w:b/>
          <w:bCs/>
          <w:sz w:val="28"/>
          <w:szCs w:val="28"/>
          <w:highlight w:val="none"/>
        </w:rPr>
        <w:t xml:space="preserve">中小企业声明函</w:t>
      </w:r>
      <w:r/>
    </w:p>
    <w:p>
      <w:pPr>
        <w:ind w:firstLine="420"/>
        <w:jc w:val="left"/>
        <w:spacing w:line="440" w:lineRule="exact"/>
        <w:widowControl/>
        <w:rPr>
          <w:rFonts w:hint="eastAsia" w:ascii="宋体" w:hAnsi="宋体" w:cs="Arial"/>
          <w:szCs w:val="21"/>
          <w:highlight w:val="none"/>
        </w:rPr>
      </w:pPr>
      <w:r>
        <w:rPr>
          <w:rFonts w:hint="eastAsia" w:ascii="宋体" w:hAnsi="宋体" w:cs="Arial"/>
          <w:highlight w:val="none"/>
        </w:rPr>
        <w:t xml:space="preserve">本公司（联合体）郑重声明，根据《政府采购促进中小企业发展管理办法》（财库〔2020 ） 46号）的规定，本公司 （联合体）参加</w:t>
      </w:r>
      <w:r>
        <w:rPr>
          <w:rFonts w:hint="eastAsia" w:ascii="宋体" w:hAnsi="宋体" w:cs="Arial"/>
          <w:highlight w:val="none"/>
          <w:u w:val="single"/>
        </w:rPr>
        <w:t xml:space="preserve">（单位名称）</w:t>
      </w:r>
      <w:r>
        <w:rPr>
          <w:rFonts w:hint="eastAsia" w:ascii="宋体" w:hAnsi="宋体" w:cs="Arial"/>
          <w:highlight w:val="none"/>
        </w:rPr>
        <w:t xml:space="preserve">的</w:t>
      </w:r>
      <w:r>
        <w:rPr>
          <w:rFonts w:hint="eastAsia" w:ascii="宋体" w:hAnsi="宋体" w:cs="Arial"/>
          <w:highlight w:val="none"/>
          <w:u w:val="single"/>
        </w:rPr>
        <w:t xml:space="preserve">（项目名称）</w:t>
      </w:r>
      <w:r>
        <w:rPr>
          <w:rFonts w:hint="eastAsia" w:ascii="宋体" w:hAnsi="宋体" w:cs="Arial"/>
          <w:highlight w:val="none"/>
        </w:rPr>
        <w:t xml:space="preserve">采购活动，服务全部由符合政策要求的中小企业承接。相关企业（含联合体中的中小企业、签订分包意向协议的中小企业）的具体情况如下：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1</w:t>
      </w:r>
      <w:r>
        <w:rPr>
          <w:rFonts w:ascii="宋体" w:hAnsi="宋体" w:cs="Arial"/>
          <w:highlight w:val="none"/>
        </w:rPr>
        <w:t xml:space="preserve">.</w:t>
      </w:r>
      <w:r>
        <w:rPr>
          <w:rFonts w:hint="eastAsia" w:ascii="宋体" w:hAnsi="宋体" w:cs="Arial"/>
          <w:highlight w:val="none"/>
          <w:u w:val="single"/>
        </w:rPr>
        <w:t xml:space="preserve">采购包1</w:t>
      </w:r>
      <w:r>
        <w:rPr>
          <w:rFonts w:hint="eastAsia" w:ascii="宋体" w:hAnsi="宋体" w:cs="Arial"/>
          <w:highlight w:val="none"/>
        </w:rPr>
        <w:t xml:space="preserve">,属于</w:t>
      </w:r>
      <w:r>
        <w:rPr>
          <w:rFonts w:hint="eastAsia" w:ascii="宋体" w:hAnsi="宋体" w:cs="Arial"/>
          <w:highlight w:val="none"/>
          <w:u w:val="single"/>
        </w:rPr>
        <w:t xml:space="preserve">批发业</w:t>
      </w:r>
      <w:r>
        <w:rPr>
          <w:rFonts w:hint="eastAsia" w:ascii="宋体" w:hAnsi="宋体" w:cs="Arial"/>
          <w:highlight w:val="none"/>
        </w:rPr>
        <w:t xml:space="preserve">, 承建（承接）企业为</w:t>
      </w:r>
      <w:r>
        <w:rPr>
          <w:rFonts w:hint="eastAsia" w:ascii="宋体" w:hAnsi="宋体" w:cs="Arial"/>
          <w:highlight w:val="none"/>
          <w:u w:val="single"/>
        </w:rPr>
        <w:t xml:space="preserve">（企业名称）</w:t>
      </w:r>
      <w:r>
        <w:rPr>
          <w:rFonts w:hint="eastAsia" w:ascii="宋体" w:hAnsi="宋体" w:cs="Arial"/>
          <w:highlight w:val="none"/>
        </w:rPr>
        <w:t xml:space="preserve">,从业人员</w:t>
      </w:r>
      <w:r>
        <w:rPr>
          <w:rFonts w:hint="eastAsia" w:ascii="宋体" w:hAnsi="宋体"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万元，资产总额为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万元，属于</w:t>
      </w:r>
      <w:r>
        <w:rPr>
          <w:rFonts w:hint="eastAsia" w:ascii="宋体" w:hAnsi="宋体" w:cs="Arial"/>
          <w:highlight w:val="none"/>
          <w:u w:val="single"/>
        </w:rPr>
        <w:t xml:space="preserve">（中型企业、小型企业、微型企业）</w:t>
      </w:r>
      <w:r>
        <w:rPr>
          <w:rFonts w:hint="eastAsia" w:ascii="宋体" w:hAnsi="宋体" w:cs="Arial"/>
          <w:highlight w:val="none"/>
        </w:rPr>
        <w:t xml:space="preserve">；</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2</w:t>
      </w:r>
      <w:r>
        <w:rPr>
          <w:rFonts w:ascii="宋体" w:hAnsi="宋体" w:cs="Arial"/>
          <w:highlight w:val="none"/>
        </w:rPr>
        <w:t xml:space="preserve">.</w:t>
      </w:r>
      <w:r>
        <w:rPr>
          <w:rFonts w:hint="eastAsia" w:ascii="宋体" w:hAnsi="宋体" w:cs="Arial"/>
          <w:highlight w:val="none"/>
          <w:u w:val="single"/>
        </w:rPr>
        <w:t xml:space="preserve">采购包2,</w:t>
      </w:r>
      <w:r>
        <w:rPr>
          <w:rFonts w:hint="eastAsia" w:ascii="宋体" w:hAnsi="宋体" w:cs="Arial"/>
          <w:highlight w:val="none"/>
        </w:rPr>
        <w:t xml:space="preserve">属于</w:t>
      </w:r>
      <w:r>
        <w:rPr>
          <w:rFonts w:hint="eastAsia" w:ascii="宋体" w:hAnsi="宋体" w:cs="Arial"/>
          <w:highlight w:val="none"/>
          <w:u w:val="single"/>
        </w:rPr>
        <w:t xml:space="preserve">批发业</w:t>
      </w:r>
      <w:r>
        <w:rPr>
          <w:rFonts w:hint="eastAsia" w:ascii="宋体" w:hAnsi="宋体" w:cs="Arial"/>
          <w:highlight w:val="none"/>
        </w:rPr>
        <w:t xml:space="preserve">, 承建（承接）企业为</w:t>
      </w:r>
      <w:r>
        <w:rPr>
          <w:rFonts w:hint="eastAsia" w:ascii="宋体" w:hAnsi="宋体" w:cs="Arial"/>
          <w:highlight w:val="none"/>
          <w:u w:val="single"/>
        </w:rPr>
        <w:t xml:space="preserve">（企业名称）</w:t>
      </w:r>
      <w:r>
        <w:rPr>
          <w:rFonts w:hint="eastAsia" w:ascii="宋体" w:hAnsi="宋体" w:cs="Arial"/>
          <w:highlight w:val="none"/>
        </w:rPr>
        <w:t xml:space="preserve">,从业人员</w:t>
      </w:r>
      <w:r>
        <w:rPr>
          <w:rFonts w:hint="eastAsia" w:ascii="宋体" w:hAnsi="宋体"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万元，资产总额为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万元，属于</w:t>
      </w:r>
      <w:r>
        <w:rPr>
          <w:rFonts w:hint="eastAsia" w:ascii="宋体" w:hAnsi="宋体" w:cs="Arial"/>
          <w:highlight w:val="none"/>
          <w:u w:val="single"/>
        </w:rPr>
        <w:t xml:space="preserve">（中型企业、小型企业、微型企业）</w:t>
      </w:r>
      <w:r>
        <w:rPr>
          <w:rFonts w:hint="eastAsia" w:ascii="宋体" w:hAnsi="宋体" w:cs="Arial"/>
          <w:highlight w:val="none"/>
        </w:rPr>
        <w:t xml:space="preserve">；</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3</w:t>
      </w:r>
      <w:r>
        <w:rPr>
          <w:rFonts w:ascii="宋体" w:hAnsi="宋体" w:cs="Arial"/>
          <w:highlight w:val="none"/>
        </w:rPr>
        <w:t xml:space="preserve">.</w:t>
      </w:r>
      <w:r>
        <w:rPr>
          <w:rFonts w:hint="eastAsia" w:ascii="宋体" w:hAnsi="宋体" w:cs="Arial"/>
          <w:highlight w:val="none"/>
          <w:u w:val="single"/>
        </w:rPr>
        <w:t xml:space="preserve">采购包3,</w:t>
      </w:r>
      <w:r>
        <w:rPr>
          <w:rFonts w:hint="eastAsia" w:ascii="宋体" w:hAnsi="宋体" w:cs="Arial"/>
          <w:highlight w:val="none"/>
        </w:rPr>
        <w:t xml:space="preserve">属于</w:t>
      </w:r>
      <w:r>
        <w:rPr>
          <w:rFonts w:hint="eastAsia" w:ascii="宋体" w:hAnsi="宋体" w:cs="Arial"/>
          <w:highlight w:val="none"/>
          <w:u w:val="single"/>
        </w:rPr>
        <w:t xml:space="preserve">批发业</w:t>
      </w:r>
      <w:r>
        <w:rPr>
          <w:rFonts w:hint="eastAsia" w:ascii="宋体" w:hAnsi="宋体" w:cs="Arial"/>
          <w:highlight w:val="none"/>
        </w:rPr>
        <w:t xml:space="preserve">, 承建（承接）企业为</w:t>
      </w:r>
      <w:r>
        <w:rPr>
          <w:rFonts w:hint="eastAsia" w:ascii="宋体" w:hAnsi="宋体" w:cs="Arial"/>
          <w:highlight w:val="none"/>
          <w:u w:val="single"/>
        </w:rPr>
        <w:t xml:space="preserve">（企业名称）</w:t>
      </w:r>
      <w:r>
        <w:rPr>
          <w:rFonts w:hint="eastAsia" w:ascii="宋体" w:hAnsi="宋体" w:cs="Arial"/>
          <w:highlight w:val="none"/>
        </w:rPr>
        <w:t xml:space="preserve">,从业人员</w:t>
      </w:r>
      <w:r>
        <w:rPr>
          <w:rFonts w:hint="eastAsia" w:ascii="宋体" w:hAnsi="宋体"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万元，资产总额为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万元，属于</w:t>
      </w:r>
      <w:r>
        <w:rPr>
          <w:rFonts w:hint="eastAsia" w:ascii="宋体" w:hAnsi="宋体" w:cs="Arial"/>
          <w:highlight w:val="none"/>
          <w:u w:val="single"/>
        </w:rPr>
        <w:t xml:space="preserve">（中型企业、小型企业、微型企业）</w:t>
      </w:r>
      <w:r>
        <w:rPr>
          <w:rFonts w:hint="eastAsia" w:ascii="宋体" w:hAnsi="宋体" w:cs="Arial"/>
          <w:highlight w:val="none"/>
        </w:rPr>
        <w:t xml:space="preserve">；</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4</w:t>
      </w:r>
      <w:r>
        <w:rPr>
          <w:rFonts w:ascii="宋体" w:hAnsi="宋体" w:cs="Arial"/>
          <w:highlight w:val="none"/>
        </w:rPr>
        <w:t xml:space="preserve">.</w:t>
      </w:r>
      <w:r>
        <w:rPr>
          <w:rFonts w:hint="eastAsia" w:ascii="宋体" w:hAnsi="宋体" w:cs="Arial"/>
          <w:highlight w:val="none"/>
          <w:u w:val="single"/>
        </w:rPr>
        <w:t xml:space="preserve">采购包4,</w:t>
      </w:r>
      <w:r>
        <w:rPr>
          <w:rFonts w:hint="eastAsia" w:ascii="宋体" w:hAnsi="宋体" w:cs="Arial"/>
          <w:highlight w:val="none"/>
        </w:rPr>
        <w:t xml:space="preserve">属于</w:t>
      </w:r>
      <w:r>
        <w:rPr>
          <w:rFonts w:hint="eastAsia" w:ascii="宋体" w:hAnsi="宋体" w:cs="Arial"/>
          <w:highlight w:val="none"/>
          <w:u w:val="single"/>
        </w:rPr>
        <w:t xml:space="preserve">批发业</w:t>
      </w:r>
      <w:r>
        <w:rPr>
          <w:rFonts w:hint="eastAsia" w:ascii="宋体" w:hAnsi="宋体" w:cs="Arial"/>
          <w:highlight w:val="none"/>
        </w:rPr>
        <w:t xml:space="preserve">, 承建（承接）企业为</w:t>
      </w:r>
      <w:r>
        <w:rPr>
          <w:rFonts w:hint="eastAsia" w:ascii="宋体" w:hAnsi="宋体" w:cs="Arial"/>
          <w:highlight w:val="none"/>
          <w:u w:val="single"/>
        </w:rPr>
        <w:t xml:space="preserve">（企业名称）</w:t>
      </w:r>
      <w:r>
        <w:rPr>
          <w:rFonts w:hint="eastAsia" w:ascii="宋体" w:hAnsi="宋体" w:cs="Arial"/>
          <w:highlight w:val="none"/>
        </w:rPr>
        <w:t xml:space="preserve">,从业人员</w:t>
      </w:r>
      <w:r>
        <w:rPr>
          <w:rFonts w:hint="eastAsia" w:ascii="宋体" w:hAnsi="宋体"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万元，资产总额为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万元，属于</w:t>
      </w:r>
      <w:r>
        <w:rPr>
          <w:rFonts w:hint="eastAsia" w:ascii="宋体" w:hAnsi="宋体" w:cs="Arial"/>
          <w:highlight w:val="none"/>
          <w:u w:val="single"/>
        </w:rPr>
        <w:t xml:space="preserve">（中型企业、小型企业、微型企业）</w:t>
      </w:r>
      <w:r>
        <w:rPr>
          <w:rFonts w:hint="eastAsia" w:ascii="宋体" w:hAnsi="宋体" w:cs="Arial"/>
          <w:highlight w:val="none"/>
        </w:rPr>
        <w:t xml:space="preserve">；</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5</w:t>
      </w:r>
      <w:r>
        <w:rPr>
          <w:rFonts w:ascii="宋体" w:hAnsi="宋体" w:cs="Arial"/>
          <w:highlight w:val="none"/>
        </w:rPr>
        <w:t xml:space="preserve">.</w:t>
      </w:r>
      <w:r>
        <w:rPr>
          <w:rFonts w:hint="eastAsia" w:ascii="宋体" w:hAnsi="宋体" w:cs="Arial"/>
          <w:highlight w:val="none"/>
          <w:u w:val="single"/>
        </w:rPr>
        <w:t xml:space="preserve">采购包5,</w:t>
      </w:r>
      <w:r>
        <w:rPr>
          <w:rFonts w:hint="eastAsia" w:ascii="宋体" w:hAnsi="宋体" w:cs="Arial"/>
          <w:highlight w:val="none"/>
        </w:rPr>
        <w:t xml:space="preserve">属于</w:t>
      </w:r>
      <w:r>
        <w:rPr>
          <w:rFonts w:hint="eastAsia" w:ascii="宋体" w:hAnsi="宋体" w:cs="Arial"/>
          <w:highlight w:val="none"/>
          <w:u w:val="single"/>
        </w:rPr>
        <w:t xml:space="preserve">批发业</w:t>
      </w:r>
      <w:r>
        <w:rPr>
          <w:rFonts w:hint="eastAsia" w:ascii="宋体" w:hAnsi="宋体" w:cs="Arial"/>
          <w:highlight w:val="none"/>
        </w:rPr>
        <w:t xml:space="preserve">, 承建（承接）企业为</w:t>
      </w:r>
      <w:r>
        <w:rPr>
          <w:rFonts w:hint="eastAsia" w:ascii="宋体" w:hAnsi="宋体" w:cs="Arial"/>
          <w:highlight w:val="none"/>
          <w:u w:val="single"/>
        </w:rPr>
        <w:t xml:space="preserve">（企业名称）</w:t>
      </w:r>
      <w:r>
        <w:rPr>
          <w:rFonts w:hint="eastAsia" w:ascii="宋体" w:hAnsi="宋体" w:cs="Arial"/>
          <w:highlight w:val="none"/>
        </w:rPr>
        <w:t xml:space="preserve">,从业人员</w:t>
      </w:r>
      <w:r>
        <w:rPr>
          <w:rFonts w:hint="eastAsia" w:ascii="宋体" w:hAnsi="宋体"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万元，资产总额为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万元，属于</w:t>
      </w:r>
      <w:r>
        <w:rPr>
          <w:rFonts w:hint="eastAsia" w:ascii="宋体" w:hAnsi="宋体" w:cs="Arial"/>
          <w:highlight w:val="none"/>
          <w:u w:val="single"/>
        </w:rPr>
        <w:t xml:space="preserve">（中型企业、小型企业、微型企业）</w:t>
      </w:r>
      <w:r>
        <w:rPr>
          <w:rFonts w:hint="eastAsia" w:ascii="宋体" w:hAnsi="宋体" w:cs="Arial"/>
          <w:highlight w:val="none"/>
        </w:rPr>
        <w:t xml:space="preserve">；</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6</w:t>
      </w:r>
      <w:r>
        <w:rPr>
          <w:rFonts w:ascii="宋体" w:hAnsi="宋体" w:cs="Arial"/>
          <w:highlight w:val="none"/>
        </w:rPr>
        <w:t xml:space="preserve">.</w:t>
      </w:r>
      <w:r>
        <w:rPr>
          <w:rFonts w:hint="eastAsia" w:ascii="宋体" w:hAnsi="宋体" w:cs="Arial"/>
          <w:highlight w:val="none"/>
          <w:u w:val="single"/>
        </w:rPr>
        <w:t xml:space="preserve">采购包6,</w:t>
      </w:r>
      <w:r>
        <w:rPr>
          <w:rFonts w:hint="eastAsia" w:ascii="宋体" w:hAnsi="宋体" w:cs="Arial"/>
          <w:highlight w:val="none"/>
        </w:rPr>
        <w:t xml:space="preserve">属于</w:t>
      </w:r>
      <w:r>
        <w:rPr>
          <w:rFonts w:hint="eastAsia" w:ascii="宋体" w:hAnsi="宋体" w:cs="Arial"/>
          <w:highlight w:val="none"/>
          <w:u w:val="single"/>
        </w:rPr>
        <w:t xml:space="preserve">批发业</w:t>
      </w:r>
      <w:r>
        <w:rPr>
          <w:rFonts w:hint="eastAsia" w:ascii="宋体" w:hAnsi="宋体" w:cs="Arial"/>
          <w:highlight w:val="none"/>
        </w:rPr>
        <w:t xml:space="preserve">, 承建（承接）企业为</w:t>
      </w:r>
      <w:r>
        <w:rPr>
          <w:rFonts w:hint="eastAsia" w:ascii="宋体" w:hAnsi="宋体" w:cs="Arial"/>
          <w:highlight w:val="none"/>
          <w:u w:val="single"/>
        </w:rPr>
        <w:t xml:space="preserve">（企业名称）</w:t>
      </w:r>
      <w:r>
        <w:rPr>
          <w:rFonts w:hint="eastAsia" w:ascii="宋体" w:hAnsi="宋体" w:cs="Arial"/>
          <w:highlight w:val="none"/>
        </w:rPr>
        <w:t xml:space="preserve">,从业人员</w:t>
      </w:r>
      <w:r>
        <w:rPr>
          <w:rFonts w:hint="eastAsia" w:ascii="宋体" w:hAnsi="宋体"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万元，资产总额为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万元，属于</w:t>
      </w:r>
      <w:r>
        <w:rPr>
          <w:rFonts w:hint="eastAsia" w:ascii="宋体" w:hAnsi="宋体" w:cs="Arial"/>
          <w:highlight w:val="none"/>
          <w:u w:val="single"/>
        </w:rPr>
        <w:t xml:space="preserve">（中型企业、小型企业、微型企业）</w:t>
      </w:r>
      <w:r>
        <w:rPr>
          <w:rFonts w:hint="eastAsia" w:ascii="宋体" w:hAnsi="宋体" w:cs="Arial"/>
          <w:highlight w:val="none"/>
        </w:rPr>
        <w:t xml:space="preserve">；</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7</w:t>
      </w:r>
      <w:r>
        <w:rPr>
          <w:rFonts w:ascii="宋体" w:hAnsi="宋体" w:cs="Arial"/>
          <w:highlight w:val="none"/>
        </w:rPr>
        <w:t xml:space="preserve">.</w:t>
      </w:r>
      <w:r>
        <w:rPr>
          <w:rFonts w:hint="eastAsia" w:ascii="宋体" w:hAnsi="宋体" w:cs="Arial"/>
          <w:highlight w:val="none"/>
          <w:u w:val="single"/>
        </w:rPr>
        <w:t xml:space="preserve">采购包7,</w:t>
      </w:r>
      <w:r>
        <w:rPr>
          <w:rFonts w:hint="eastAsia" w:ascii="宋体" w:hAnsi="宋体" w:cs="Arial"/>
          <w:highlight w:val="none"/>
        </w:rPr>
        <w:t xml:space="preserve">属于</w:t>
      </w:r>
      <w:r>
        <w:rPr>
          <w:rFonts w:hint="eastAsia" w:ascii="宋体" w:hAnsi="宋体" w:cs="Arial"/>
          <w:highlight w:val="none"/>
          <w:u w:val="single"/>
        </w:rPr>
        <w:t xml:space="preserve">批发业</w:t>
      </w:r>
      <w:r>
        <w:rPr>
          <w:rFonts w:hint="eastAsia" w:ascii="宋体" w:hAnsi="宋体" w:cs="Arial"/>
          <w:highlight w:val="none"/>
        </w:rPr>
        <w:t xml:space="preserve">, 承建（承接）企业为</w:t>
      </w:r>
      <w:r>
        <w:rPr>
          <w:rFonts w:hint="eastAsia" w:ascii="宋体" w:hAnsi="宋体" w:cs="Arial"/>
          <w:highlight w:val="none"/>
          <w:u w:val="single"/>
        </w:rPr>
        <w:t xml:space="preserve">（企业名称）</w:t>
      </w:r>
      <w:r>
        <w:rPr>
          <w:rFonts w:hint="eastAsia" w:ascii="宋体" w:hAnsi="宋体" w:cs="Arial"/>
          <w:highlight w:val="none"/>
        </w:rPr>
        <w:t xml:space="preserve">,从业人员</w:t>
      </w:r>
      <w:r>
        <w:rPr>
          <w:rFonts w:hint="eastAsia" w:ascii="宋体" w:hAnsi="宋体"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万元，资产总额为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万元，属于</w:t>
      </w:r>
      <w:r>
        <w:rPr>
          <w:rFonts w:hint="eastAsia" w:ascii="宋体" w:hAnsi="宋体" w:cs="Arial"/>
          <w:highlight w:val="none"/>
          <w:u w:val="single"/>
        </w:rPr>
        <w:t xml:space="preserve">（中型企业、小型企业、微型企业）</w:t>
      </w:r>
      <w:r>
        <w:rPr>
          <w:rFonts w:hint="eastAsia" w:ascii="宋体" w:hAnsi="宋体" w:cs="Arial"/>
          <w:highlight w:val="none"/>
        </w:rPr>
        <w:t xml:space="preserve">；</w:t>
      </w:r>
      <w:r>
        <w:rPr>
          <w:rFonts w:hint="eastAsia" w:ascii="宋体" w:hAnsi="宋体" w:cs="Arial"/>
          <w:highlight w:val="none"/>
        </w:rPr>
        <w:tab/>
      </w:r>
      <w:r/>
    </w:p>
    <w:p>
      <w:pPr>
        <w:ind w:firstLine="420"/>
        <w:jc w:val="left"/>
        <w:spacing w:line="440" w:lineRule="exact"/>
        <w:widowControl/>
        <w:rPr>
          <w:rFonts w:hint="eastAsia" w:ascii="宋体" w:hAnsi="宋体" w:cs="Arial"/>
          <w:highlight w:val="none"/>
        </w:rPr>
      </w:pPr>
      <w:r>
        <w:rPr>
          <w:rFonts w:hint="eastAsia" w:ascii="宋体" w:hAnsi="宋体" w:cs="Arial"/>
          <w:highlight w:val="none"/>
          <w:lang w:val="en-US" w:eastAsia="zh-CN"/>
        </w:rPr>
        <w:t xml:space="preserve">8</w:t>
      </w:r>
      <w:r>
        <w:rPr>
          <w:rFonts w:ascii="宋体" w:hAnsi="宋体" w:cs="Arial"/>
          <w:highlight w:val="none"/>
        </w:rPr>
        <w:t xml:space="preserve">.</w:t>
      </w:r>
      <w:r>
        <w:rPr>
          <w:rFonts w:hint="eastAsia" w:ascii="宋体" w:hAnsi="宋体" w:cs="Arial"/>
          <w:highlight w:val="none"/>
          <w:u w:val="single"/>
        </w:rPr>
        <w:t xml:space="preserve">采购包</w:t>
      </w:r>
      <w:r>
        <w:rPr>
          <w:rFonts w:hint="eastAsia" w:ascii="宋体" w:hAnsi="宋体" w:cs="Arial"/>
          <w:highlight w:val="none"/>
          <w:u w:val="single"/>
          <w:lang w:val="en-US" w:eastAsia="zh-CN"/>
        </w:rPr>
        <w:t xml:space="preserve">8</w:t>
      </w:r>
      <w:r>
        <w:rPr>
          <w:rFonts w:hint="eastAsia" w:ascii="宋体" w:hAnsi="宋体" w:cs="Arial"/>
          <w:highlight w:val="none"/>
          <w:u w:val="single"/>
        </w:rPr>
        <w:t xml:space="preserve">,</w:t>
      </w:r>
      <w:r>
        <w:rPr>
          <w:rFonts w:hint="eastAsia" w:ascii="宋体" w:hAnsi="宋体" w:cs="Arial"/>
          <w:highlight w:val="none"/>
        </w:rPr>
        <w:t xml:space="preserve">属于</w:t>
      </w:r>
      <w:r>
        <w:rPr>
          <w:rFonts w:hint="eastAsia" w:ascii="宋体" w:hAnsi="宋体" w:cs="Arial"/>
          <w:highlight w:val="none"/>
          <w:u w:val="single"/>
        </w:rPr>
        <w:t xml:space="preserve">批发业</w:t>
      </w:r>
      <w:r>
        <w:rPr>
          <w:rFonts w:hint="eastAsia" w:ascii="宋体" w:hAnsi="宋体" w:cs="Arial"/>
          <w:highlight w:val="none"/>
        </w:rPr>
        <w:t xml:space="preserve">, 承建（承接）企业为</w:t>
      </w:r>
      <w:r>
        <w:rPr>
          <w:rFonts w:hint="eastAsia" w:ascii="宋体" w:hAnsi="宋体" w:cs="Arial"/>
          <w:highlight w:val="none"/>
          <w:u w:val="single"/>
        </w:rPr>
        <w:t xml:space="preserve">（企业名称）</w:t>
      </w:r>
      <w:r>
        <w:rPr>
          <w:rFonts w:hint="eastAsia" w:ascii="宋体" w:hAnsi="宋体" w:cs="Arial"/>
          <w:highlight w:val="none"/>
        </w:rPr>
        <w:t xml:space="preserve">,从业人员</w:t>
      </w:r>
      <w:r>
        <w:rPr>
          <w:rFonts w:hint="eastAsia" w:ascii="宋体" w:hAnsi="宋体"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万元，资产总额为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万元，属于</w:t>
      </w:r>
      <w:r>
        <w:rPr>
          <w:rFonts w:hint="eastAsia" w:ascii="宋体" w:hAnsi="宋体" w:cs="Arial"/>
          <w:highlight w:val="none"/>
          <w:u w:val="single"/>
        </w:rPr>
        <w:t xml:space="preserve">（中型企业、小型企业、微型企业）</w:t>
      </w:r>
      <w:r>
        <w:rPr>
          <w:rFonts w:hint="eastAsia" w:ascii="宋体" w:hAnsi="宋体" w:cs="Arial"/>
          <w:highlight w:val="none"/>
        </w:rPr>
        <w:t xml:space="preserve">；</w:t>
      </w:r>
      <w:r>
        <w:rPr>
          <w:rFonts w:hint="eastAsia" w:ascii="宋体" w:hAnsi="宋体" w:cs="Arial"/>
          <w:highlight w:val="none"/>
        </w:rPr>
        <w:tab/>
      </w:r>
      <w:r/>
    </w:p>
    <w:p>
      <w:pPr>
        <w:ind w:firstLine="420"/>
        <w:jc w:val="left"/>
        <w:spacing w:line="440" w:lineRule="exact"/>
        <w:widowControl/>
        <w:rPr>
          <w:rFonts w:hint="eastAsia" w:ascii="宋体" w:hAnsi="宋体" w:cs="Arial"/>
          <w:highlight w:val="none"/>
        </w:rPr>
      </w:pPr>
      <w:r>
        <w:rPr>
          <w:rFonts w:hint="eastAsia" w:ascii="宋体" w:hAnsi="宋体" w:cs="Arial"/>
          <w:highlight w:val="none"/>
          <w:lang w:val="en-US" w:eastAsia="zh-CN"/>
        </w:rPr>
        <w:t xml:space="preserve">9.</w:t>
      </w:r>
      <w:r>
        <w:rPr>
          <w:rFonts w:hint="eastAsia" w:ascii="宋体" w:hAnsi="宋体" w:cs="Arial"/>
          <w:highlight w:val="none"/>
          <w:u w:val="single"/>
        </w:rPr>
        <w:t xml:space="preserve">采购包</w:t>
      </w:r>
      <w:r>
        <w:rPr>
          <w:rFonts w:hint="eastAsia" w:ascii="宋体" w:hAnsi="宋体" w:cs="Arial"/>
          <w:highlight w:val="none"/>
          <w:u w:val="single"/>
          <w:lang w:val="en-US" w:eastAsia="zh-CN"/>
        </w:rPr>
        <w:t xml:space="preserve">9</w:t>
      </w:r>
      <w:r>
        <w:rPr>
          <w:rFonts w:hint="eastAsia" w:ascii="宋体" w:hAnsi="宋体" w:cs="Arial"/>
          <w:highlight w:val="none"/>
          <w:u w:val="single"/>
        </w:rPr>
        <w:t xml:space="preserve">,</w:t>
      </w:r>
      <w:r>
        <w:rPr>
          <w:rFonts w:hint="eastAsia" w:ascii="宋体" w:hAnsi="宋体" w:cs="Arial"/>
          <w:highlight w:val="none"/>
        </w:rPr>
        <w:t xml:space="preserve">属于</w:t>
      </w:r>
      <w:r>
        <w:rPr>
          <w:rFonts w:hint="eastAsia" w:ascii="宋体" w:hAnsi="宋体" w:cs="Arial"/>
          <w:highlight w:val="none"/>
          <w:u w:val="single"/>
        </w:rPr>
        <w:t xml:space="preserve">批发业</w:t>
      </w:r>
      <w:r>
        <w:rPr>
          <w:rFonts w:hint="eastAsia" w:ascii="宋体" w:hAnsi="宋体" w:cs="Arial"/>
          <w:highlight w:val="none"/>
        </w:rPr>
        <w:t xml:space="preserve">, 承建（承接</w:t>
      </w:r>
      <w:bookmarkStart w:id="191" w:name="_GoBack"/>
      <w:r/>
      <w:bookmarkEnd w:id="191"/>
      <w:r>
        <w:rPr>
          <w:rFonts w:hint="eastAsia" w:ascii="宋体" w:hAnsi="宋体" w:cs="Arial"/>
          <w:highlight w:val="none"/>
        </w:rPr>
        <w:t xml:space="preserve">）企业为</w:t>
      </w:r>
      <w:r>
        <w:rPr>
          <w:rFonts w:hint="eastAsia" w:ascii="宋体" w:hAnsi="宋体" w:cs="Arial"/>
          <w:highlight w:val="none"/>
          <w:u w:val="single"/>
        </w:rPr>
        <w:t xml:space="preserve">（企业名称）</w:t>
      </w:r>
      <w:r>
        <w:rPr>
          <w:rFonts w:hint="eastAsia" w:ascii="宋体" w:hAnsi="宋体" w:cs="Arial"/>
          <w:highlight w:val="none"/>
        </w:rPr>
        <w:t xml:space="preserve">,从业人员</w:t>
      </w:r>
      <w:r>
        <w:rPr>
          <w:rFonts w:hint="eastAsia" w:ascii="宋体" w:hAnsi="宋体"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万元，资产总额为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万元，属于</w:t>
      </w:r>
      <w:r>
        <w:rPr>
          <w:rFonts w:hint="eastAsia" w:ascii="宋体" w:hAnsi="宋体" w:cs="Arial"/>
          <w:highlight w:val="none"/>
          <w:u w:val="single"/>
        </w:rPr>
        <w:t xml:space="preserve">（中型企业、小型企业、微型企业）</w:t>
      </w:r>
      <w:r>
        <w:rPr>
          <w:rFonts w:hint="eastAsia" w:ascii="宋体" w:hAnsi="宋体" w:cs="Arial"/>
          <w:highlight w:val="none"/>
        </w:rPr>
        <w:t xml:space="preserve">；</w:t>
      </w:r>
      <w:r>
        <w:rPr>
          <w:rFonts w:hint="eastAsia" w:ascii="宋体" w:hAnsi="宋体" w:cs="Arial"/>
          <w:highlight w:val="none"/>
        </w:rPr>
        <w:tab/>
      </w:r>
      <w:r/>
    </w:p>
    <w:p>
      <w:pPr>
        <w:ind w:firstLine="420"/>
        <w:jc w:val="left"/>
        <w:spacing w:line="440" w:lineRule="exact"/>
        <w:widowControl/>
        <w:rPr>
          <w:rFonts w:hint="eastAsia" w:ascii="宋体" w:hAnsi="宋体" w:cs="Arial"/>
          <w:highlight w:val="none"/>
        </w:rPr>
      </w:pPr>
      <w:r>
        <w:rPr>
          <w:rFonts w:hint="eastAsia" w:ascii="宋体" w:hAnsi="宋体" w:cs="Arial"/>
          <w:highlight w:val="none"/>
          <w:lang w:val="en-US" w:eastAsia="zh-CN"/>
        </w:rPr>
        <w:t xml:space="preserve">10</w:t>
      </w:r>
      <w:r>
        <w:rPr>
          <w:rFonts w:ascii="宋体" w:hAnsi="宋体" w:cs="Arial"/>
          <w:highlight w:val="none"/>
        </w:rPr>
        <w:t xml:space="preserve">.</w:t>
      </w:r>
      <w:r>
        <w:rPr>
          <w:rFonts w:hint="eastAsia" w:ascii="宋体" w:hAnsi="宋体" w:cs="Arial"/>
          <w:highlight w:val="none"/>
          <w:u w:val="single"/>
        </w:rPr>
        <w:t xml:space="preserve">采购包</w:t>
      </w:r>
      <w:r>
        <w:rPr>
          <w:rFonts w:hint="eastAsia" w:ascii="宋体" w:hAnsi="宋体" w:cs="Arial"/>
          <w:highlight w:val="none"/>
          <w:u w:val="single"/>
          <w:lang w:val="en-US" w:eastAsia="zh-CN"/>
        </w:rPr>
        <w:t xml:space="preserve">10</w:t>
      </w:r>
      <w:r>
        <w:rPr>
          <w:rFonts w:hint="eastAsia" w:ascii="宋体" w:hAnsi="宋体" w:cs="Arial"/>
          <w:highlight w:val="none"/>
          <w:u w:val="single"/>
        </w:rPr>
        <w:t xml:space="preserve">,</w:t>
      </w:r>
      <w:r>
        <w:rPr>
          <w:rFonts w:hint="eastAsia" w:ascii="宋体" w:hAnsi="宋体" w:cs="Arial"/>
          <w:highlight w:val="none"/>
        </w:rPr>
        <w:t xml:space="preserve">属于</w:t>
      </w:r>
      <w:r>
        <w:rPr>
          <w:rFonts w:hint="eastAsia" w:ascii="宋体" w:hAnsi="宋体" w:cs="Arial"/>
          <w:highlight w:val="none"/>
          <w:u w:val="single"/>
        </w:rPr>
        <w:t xml:space="preserve">批发业</w:t>
      </w:r>
      <w:r>
        <w:rPr>
          <w:rFonts w:hint="eastAsia" w:ascii="宋体" w:hAnsi="宋体" w:cs="Arial"/>
          <w:highlight w:val="none"/>
        </w:rPr>
        <w:t xml:space="preserve">, 承建（承接）企业为</w:t>
      </w:r>
      <w:r>
        <w:rPr>
          <w:rFonts w:hint="eastAsia" w:ascii="宋体" w:hAnsi="宋体" w:cs="Arial"/>
          <w:highlight w:val="none"/>
          <w:u w:val="single"/>
        </w:rPr>
        <w:t xml:space="preserve">（企业名称）</w:t>
      </w:r>
      <w:r>
        <w:rPr>
          <w:rFonts w:hint="eastAsia" w:ascii="宋体" w:hAnsi="宋体" w:cs="Arial"/>
          <w:highlight w:val="none"/>
        </w:rPr>
        <w:t xml:space="preserve">,从业人员</w:t>
      </w:r>
      <w:r>
        <w:rPr>
          <w:rFonts w:hint="eastAsia" w:ascii="宋体" w:hAnsi="宋体"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万元，资产总额为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万元，属于</w:t>
      </w:r>
      <w:r>
        <w:rPr>
          <w:rFonts w:hint="eastAsia" w:ascii="宋体" w:hAnsi="宋体" w:cs="Arial"/>
          <w:highlight w:val="none"/>
          <w:u w:val="single"/>
        </w:rPr>
        <w:t xml:space="preserve">（中型企业、小型企业、微型企业）</w:t>
      </w:r>
      <w:r>
        <w:rPr>
          <w:rFonts w:hint="eastAsia" w:ascii="宋体" w:hAnsi="宋体" w:cs="Arial"/>
          <w:highlight w:val="none"/>
        </w:rPr>
        <w:t xml:space="preserve">；</w:t>
      </w:r>
      <w:r>
        <w:rPr>
          <w:rFonts w:hint="eastAsia" w:ascii="宋体" w:hAnsi="宋体" w:cs="Arial"/>
          <w:highlight w:val="none"/>
        </w:rPr>
        <w:tab/>
      </w:r>
      <w:r/>
    </w:p>
    <w:p>
      <w:pPr>
        <w:ind w:firstLine="420"/>
        <w:jc w:val="left"/>
        <w:spacing w:line="440" w:lineRule="exact"/>
        <w:widowControl/>
        <w:rPr>
          <w:rFonts w:hint="eastAsia" w:ascii="宋体" w:hAnsi="宋体" w:cs="Arial"/>
          <w:highlight w:val="none"/>
        </w:rPr>
      </w:pPr>
      <w:r>
        <w:rPr>
          <w:rFonts w:hint="eastAsia" w:ascii="宋体" w:hAnsi="宋体" w:cs="Arial"/>
          <w:highlight w:val="none"/>
          <w:lang w:val="en-US" w:eastAsia="zh-CN"/>
        </w:rPr>
        <w:t xml:space="preserve">11</w:t>
      </w:r>
      <w:r>
        <w:rPr>
          <w:rFonts w:ascii="宋体" w:hAnsi="宋体" w:cs="Arial"/>
          <w:highlight w:val="none"/>
        </w:rPr>
        <w:t xml:space="preserve">.</w:t>
      </w:r>
      <w:r>
        <w:rPr>
          <w:rFonts w:hint="eastAsia" w:ascii="宋体" w:hAnsi="宋体" w:cs="Arial"/>
          <w:highlight w:val="none"/>
          <w:u w:val="single"/>
        </w:rPr>
        <w:t xml:space="preserve">采购包</w:t>
      </w:r>
      <w:r>
        <w:rPr>
          <w:rFonts w:hint="eastAsia" w:ascii="宋体" w:hAnsi="宋体" w:cs="Arial"/>
          <w:highlight w:val="none"/>
          <w:u w:val="single"/>
          <w:lang w:val="en-US" w:eastAsia="zh-CN"/>
        </w:rPr>
        <w:t xml:space="preserve">11</w:t>
      </w:r>
      <w:r>
        <w:rPr>
          <w:rFonts w:hint="eastAsia" w:ascii="宋体" w:hAnsi="宋体" w:cs="Arial"/>
          <w:highlight w:val="none"/>
          <w:u w:val="single"/>
        </w:rPr>
        <w:t xml:space="preserve">,</w:t>
      </w:r>
      <w:r>
        <w:rPr>
          <w:rFonts w:hint="eastAsia" w:ascii="宋体" w:hAnsi="宋体" w:cs="Arial"/>
          <w:highlight w:val="none"/>
        </w:rPr>
        <w:t xml:space="preserve">属于</w:t>
      </w:r>
      <w:r>
        <w:rPr>
          <w:rFonts w:hint="eastAsia" w:ascii="宋体" w:hAnsi="宋体" w:cs="Arial"/>
          <w:highlight w:val="none"/>
          <w:u w:val="single"/>
        </w:rPr>
        <w:t xml:space="preserve">批发业</w:t>
      </w:r>
      <w:r>
        <w:rPr>
          <w:rFonts w:hint="eastAsia" w:ascii="宋体" w:hAnsi="宋体" w:cs="Arial"/>
          <w:highlight w:val="none"/>
        </w:rPr>
        <w:t xml:space="preserve">, 承建（承接）企业为</w:t>
      </w:r>
      <w:r>
        <w:rPr>
          <w:rFonts w:hint="eastAsia" w:ascii="宋体" w:hAnsi="宋体" w:cs="Arial"/>
          <w:highlight w:val="none"/>
          <w:u w:val="single"/>
        </w:rPr>
        <w:t xml:space="preserve">（企业名称）</w:t>
      </w:r>
      <w:r>
        <w:rPr>
          <w:rFonts w:hint="eastAsia" w:ascii="宋体" w:hAnsi="宋体" w:cs="Arial"/>
          <w:highlight w:val="none"/>
        </w:rPr>
        <w:t xml:space="preserve">,从业人员</w:t>
      </w:r>
      <w:r>
        <w:rPr>
          <w:rFonts w:hint="eastAsia" w:ascii="宋体" w:hAnsi="宋体"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万元，资产总额为</w:t>
      </w:r>
      <w:r>
        <w:rPr>
          <w:rFonts w:hint="eastAsia" w:ascii="宋体" w:hAnsi="宋体" w:cs="Arial"/>
          <w:highlight w:val="none"/>
          <w:u w:val="single"/>
        </w:rPr>
        <w:tab/>
      </w:r>
      <w:r>
        <w:rPr>
          <w:rFonts w:hint="eastAsia" w:ascii="宋体" w:hAnsi="宋体" w:cs="Arial"/>
          <w:highlight w:val="none"/>
          <w:u w:val="single"/>
        </w:rPr>
        <w:t xml:space="preserve">     </w:t>
      </w:r>
      <w:r>
        <w:rPr>
          <w:rFonts w:hint="eastAsia" w:ascii="宋体" w:hAnsi="宋体" w:cs="Arial"/>
          <w:highlight w:val="none"/>
        </w:rPr>
        <w:t xml:space="preserve">万元，属于</w:t>
      </w:r>
      <w:r>
        <w:rPr>
          <w:rFonts w:hint="eastAsia" w:ascii="宋体" w:hAnsi="宋体" w:cs="Arial"/>
          <w:highlight w:val="none"/>
          <w:u w:val="single"/>
        </w:rPr>
        <w:t xml:space="preserve">（中型企业、小型企业、微型企业）</w:t>
      </w:r>
      <w:r>
        <w:rPr>
          <w:rFonts w:hint="eastAsia" w:ascii="宋体" w:hAnsi="宋体" w:cs="Arial"/>
          <w:highlight w:val="none"/>
        </w:rPr>
        <w:t xml:space="preserve">；</w:t>
      </w:r>
      <w:r>
        <w:rPr>
          <w:rFonts w:hint="eastAsia" w:ascii="宋体" w:hAnsi="宋体" w:cs="Arial"/>
          <w:highlight w:val="none"/>
        </w:rPr>
        <w:tab/>
      </w:r>
      <w:r/>
    </w:p>
    <w:p>
      <w:pPr>
        <w:pStyle w:val="863"/>
        <w:rPr>
          <w:rFonts w:hint="eastAsia"/>
        </w:rPr>
      </w:pPr>
      <w:r>
        <w:rPr>
          <w:rFonts w:hint="eastAsia"/>
        </w:rPr>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本企业对上述声明内容的真实性负责。如有虚假，将依法承担相应责任。</w:t>
      </w:r>
      <w:r/>
    </w:p>
    <w:p>
      <w:pPr>
        <w:ind w:firstLine="420"/>
        <w:jc w:val="right"/>
        <w:spacing w:line="440" w:lineRule="exact"/>
        <w:widowControl/>
        <w:rPr>
          <w:rFonts w:hint="eastAsia" w:ascii="宋体" w:hAnsi="宋体" w:cs="Arial"/>
          <w:highlight w:val="none"/>
        </w:rPr>
      </w:pPr>
      <w:r>
        <w:rPr>
          <w:rFonts w:hint="eastAsia" w:ascii="宋体" w:hAnsi="宋体" w:cs="Arial"/>
          <w:highlight w:val="none"/>
        </w:rPr>
        <w:t xml:space="preserve">企业名称：（加盖电子公章）</w:t>
      </w:r>
      <w:r/>
    </w:p>
    <w:p>
      <w:pPr>
        <w:ind w:right="1890" w:firstLine="420"/>
        <w:jc w:val="right"/>
        <w:spacing w:line="440" w:lineRule="exact"/>
        <w:widowControl/>
        <w:rPr>
          <w:rFonts w:hint="eastAsia" w:ascii="宋体" w:hAnsi="宋体" w:cs="Arial"/>
          <w:highlight w:val="none"/>
        </w:rPr>
      </w:pPr>
      <w:r>
        <w:rPr>
          <w:rFonts w:hint="eastAsia" w:ascii="宋体" w:hAnsi="宋体" w:cs="Arial"/>
          <w:highlight w:val="none"/>
        </w:rPr>
        <w:t xml:space="preserve">日  期：</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备注：</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1.从业人员、营业收入、资产总额填报上一年度数据，无上一年度数据的新成立企业可不填报。</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r>
      <w:bookmarkEnd w:id="184"/>
      <w:r/>
      <w:r/>
    </w:p>
    <w:p>
      <w:pPr>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br w:type="page" w:clear="all"/>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残疾人福利性单位声明函</w:t>
      </w:r>
      <w:bookmarkEnd w:id="185"/>
      <w:r/>
      <w:bookmarkEnd w:id="186"/>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本单位对上述声明的真实性负责。如有虚假，将依法承担相应责任。</w:t>
      </w:r>
      <w:r/>
    </w:p>
    <w:p>
      <w:pPr>
        <w:ind w:firstLine="504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单位名称：（加盖电子公章）</w:t>
      </w:r>
      <w:r/>
    </w:p>
    <w:p>
      <w:pPr>
        <w:ind w:firstLine="504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w:t>
      </w:r>
      <w:r/>
    </w:p>
    <w:p>
      <w:pP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pStyle w:val="894"/>
        <w:ind w:firstLine="480"/>
        <w:jc w:val="both"/>
        <w:spacing w:before="0" w:beforeAutospacing="0" w:after="0" w:afterAutospacing="0" w:line="360" w:lineRule="auto"/>
        <w:widowControl w:val="off"/>
        <w:rPr>
          <w:rFonts w:hint="eastAsia" w:cs="Times New Roman"/>
          <w:b/>
          <w:highlight w:val="none"/>
        </w:rPr>
      </w:pPr>
      <w:r>
        <w:rPr>
          <w:rFonts w:hint="eastAsia" w:cs="Times New Roman"/>
          <w:b/>
          <w:highlight w:val="none"/>
        </w:rPr>
        <w:t xml:space="preserve">备注：</w:t>
      </w:r>
      <w:r/>
    </w:p>
    <w:p>
      <w:pPr>
        <w:pStyle w:val="894"/>
        <w:ind w:firstLine="480"/>
        <w:jc w:val="both"/>
        <w:spacing w:before="0" w:beforeAutospacing="0" w:after="0" w:afterAutospacing="0" w:line="360" w:lineRule="auto"/>
        <w:widowControl w:val="off"/>
        <w:rPr>
          <w:rFonts w:hint="eastAsia" w:cs="Times New Roman"/>
          <w:b/>
          <w:highlight w:val="none"/>
        </w:rPr>
      </w:pPr>
      <w:r>
        <w:rPr>
          <w:rFonts w:hint="eastAsia" w:cs="Times New Roman"/>
          <w:b/>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894"/>
        <w:ind w:firstLine="480"/>
        <w:jc w:val="both"/>
        <w:spacing w:before="0" w:beforeAutospacing="0" w:after="0" w:afterAutospacing="0" w:line="360" w:lineRule="auto"/>
        <w:widowControl w:val="off"/>
        <w:rPr>
          <w:rFonts w:hint="eastAsia" w:cs="Times New Roman"/>
          <w:b/>
          <w:highlight w:val="none"/>
        </w:rPr>
      </w:pPr>
      <w:r>
        <w:rPr>
          <w:rFonts w:hint="eastAsia" w:cs="Times New Roman"/>
          <w:b/>
          <w:highlight w:val="none"/>
        </w:rPr>
        <w:t xml:space="preserve">2. 非专门面向中小微型企业采购的项目，供应商如不提供此声明函，价格将不做相应扣除。</w:t>
      </w:r>
      <w:r/>
    </w:p>
    <w:p>
      <w:pPr>
        <w:pStyle w:val="894"/>
        <w:ind w:firstLine="480"/>
        <w:jc w:val="both"/>
        <w:spacing w:before="0" w:beforeAutospacing="0" w:after="0" w:afterAutospacing="0" w:line="360" w:lineRule="auto"/>
        <w:widowControl w:val="off"/>
        <w:rPr>
          <w:rFonts w:hint="eastAsia" w:cs="Times New Roman"/>
          <w:b/>
          <w:highlight w:val="none"/>
        </w:rPr>
      </w:pPr>
      <w:r>
        <w:rPr>
          <w:rFonts w:hint="eastAsia" w:cs="Times New Roman"/>
          <w:b/>
          <w:highlight w:val="none"/>
        </w:rPr>
        <w:t xml:space="preserve">3.中标/成交供应商为残疾人福利性单位的，此声明函将随中标/成交结果同时公告，接受社会监督。</w:t>
      </w:r>
      <w:r/>
    </w:p>
    <w:p>
      <w:pPr>
        <w:pStyle w:val="910"/>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rPr>
          <w:highlight w:val="none"/>
        </w:rPr>
      </w:pPr>
      <w:r>
        <w:rPr>
          <w:highlight w:val="none"/>
        </w:rPr>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属于监狱企业的证明文件</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w:t>
      </w:r>
      <w:r>
        <w:rPr>
          <w:rFonts w:asciiTheme="minorEastAsia" w:hAnsiTheme="minorEastAsia" w:eastAsiaTheme="minorEastAsia"/>
          <w:highlight w:val="none"/>
        </w:rPr>
        <w:t xml:space="preserve">提供</w:t>
      </w:r>
      <w:r>
        <w:rPr>
          <w:rFonts w:hint="eastAsia" w:asciiTheme="minorEastAsia" w:hAnsiTheme="minorEastAsia" w:eastAsiaTheme="minorEastAsia"/>
          <w:highlight w:val="none"/>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highlight w:val="none"/>
        </w:rPr>
      </w:pPr>
      <w:r>
        <w:rPr>
          <w:rFonts w:asciiTheme="minorEastAsia" w:hAnsiTheme="minorEastAsia" w:eastAsiaTheme="minorEastAsia"/>
          <w:highlight w:val="none"/>
        </w:rPr>
        <w:br w:type="page" w:clear="all"/>
      </w:r>
      <w:r/>
    </w:p>
    <w:p>
      <w:pPr>
        <w:pStyle w:val="853"/>
        <w:rPr>
          <w:rFonts w:hint="eastAsia" w:asciiTheme="minorEastAsia" w:hAnsiTheme="minorEastAsia" w:eastAsiaTheme="minorEastAsia"/>
          <w:highlight w:val="none"/>
        </w:rPr>
      </w:pPr>
      <w:r/>
      <w:bookmarkStart w:id="187" w:name="_Toc66375434"/>
      <w:r/>
      <w:bookmarkStart w:id="188" w:name="_Toc43917781"/>
      <w:r>
        <w:rPr>
          <w:rFonts w:hint="eastAsia" w:asciiTheme="minorEastAsia" w:hAnsiTheme="minorEastAsia" w:eastAsiaTheme="minorEastAsia"/>
          <w:highlight w:val="none"/>
        </w:rPr>
        <w:t xml:space="preserve">附件十、无重大违法记录声明</w:t>
      </w:r>
      <w:bookmarkEnd w:id="187"/>
      <w:r/>
      <w:bookmarkEnd w:id="188"/>
      <w:r/>
      <w:r/>
    </w:p>
    <w:p>
      <w:pPr>
        <w:jc w:val="center"/>
        <w:spacing w:line="240" w:lineRule="atLeast"/>
        <w:rPr>
          <w:rFonts w:hint="eastAsia" w:asciiTheme="minorEastAsia" w:hAnsiTheme="minorEastAsia" w:eastAsiaTheme="minorEastAsia"/>
          <w:sz w:val="28"/>
          <w:szCs w:val="36"/>
          <w:highlight w:val="none"/>
        </w:rPr>
      </w:pPr>
      <w:r>
        <w:rPr>
          <w:rFonts w:hint="eastAsia" w:asciiTheme="minorEastAsia" w:hAnsiTheme="minorEastAsia" w:eastAsiaTheme="minorEastAsia"/>
          <w:sz w:val="28"/>
          <w:szCs w:val="36"/>
          <w:highlight w:val="none"/>
        </w:rPr>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无重大违法记录声明</w:t>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致：南京市公共交通和城市轨道公安局</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我单位（投标人名称）郑重声明：</w:t>
      </w:r>
      <w:r/>
    </w:p>
    <w:p>
      <w:pPr>
        <w:ind w:firstLine="420"/>
        <w:spacing w:line="360" w:lineRule="auto"/>
        <w:rPr>
          <w:rFonts w:hint="eastAsia" w:ascii="宋体" w:hAnsi="宋体"/>
          <w:highlight w:val="none"/>
        </w:rPr>
      </w:pPr>
      <w:r>
        <w:rPr>
          <w:rFonts w:hint="eastAsia" w:ascii="宋体" w:hAnsi="宋体"/>
          <w:highlight w:val="none"/>
        </w:rPr>
        <w:t xml:space="preserve">参加政府采购活动前3年内在经营活动中</w:t>
      </w:r>
      <w:r>
        <w:rPr>
          <w:rFonts w:hint="eastAsia" w:ascii="宋体" w:hAnsi="宋体"/>
          <w:highlight w:val="none"/>
          <w:u w:val="single"/>
        </w:rPr>
        <w:t xml:space="preserve">         </w:t>
      </w:r>
      <w:r>
        <w:rPr>
          <w:rFonts w:hint="eastAsia" w:ascii="宋体" w:hAnsi="宋体"/>
          <w:highlight w:val="none"/>
        </w:rPr>
        <w:t xml:space="preserve"> （在下划线上如实填写：有或没有）重大违法记录。</w:t>
      </w:r>
      <w:r/>
    </w:p>
    <w:p>
      <w:pPr>
        <w:ind w:firstLine="315"/>
        <w:spacing w:line="360" w:lineRule="auto"/>
        <w:rPr>
          <w:rFonts w:hint="eastAsia" w:ascii="宋体" w:hAnsi="宋体"/>
          <w:highlight w:val="none"/>
        </w:rPr>
      </w:pPr>
      <w:r>
        <w:rPr>
          <w:rFonts w:hint="eastAsia" w:ascii="宋体" w:hAnsi="宋体"/>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r>
      <w:r/>
    </w:p>
    <w:p>
      <w:pPr>
        <w:ind w:firstLine="5103"/>
        <w:spacing w:line="360" w:lineRule="auto"/>
        <w:rPr>
          <w:rFonts w:hint="eastAsia" w:ascii="宋体" w:hAnsi="宋体"/>
          <w:highlight w:val="none"/>
        </w:rPr>
      </w:pPr>
      <w:r>
        <w:rPr>
          <w:rFonts w:hint="eastAsia" w:ascii="宋体" w:hAnsi="宋体"/>
          <w:highlight w:val="none"/>
        </w:rPr>
        <w:t xml:space="preserve">声明人： （</w:t>
      </w:r>
      <w:r>
        <w:rPr>
          <w:rFonts w:hint="eastAsia" w:ascii="宋体" w:hAnsi="宋体" w:cs="Arial"/>
          <w:highlight w:val="none"/>
        </w:rPr>
        <w:t xml:space="preserve">加盖电子公章</w:t>
      </w:r>
      <w:r>
        <w:rPr>
          <w:rFonts w:hint="eastAsia" w:ascii="宋体" w:hAnsi="宋体"/>
          <w:highlight w:val="none"/>
        </w:rPr>
        <w:t xml:space="preserve">）</w:t>
      </w:r>
      <w:r/>
    </w:p>
    <w:p>
      <w:pPr>
        <w:ind w:firstLine="5040"/>
        <w:spacing w:line="360" w:lineRule="auto"/>
        <w:rPr>
          <w:rFonts w:hint="eastAsia" w:asciiTheme="minorEastAsia" w:hAnsiTheme="minorEastAsia" w:eastAsiaTheme="minorEastAsia"/>
          <w:szCs w:val="21"/>
          <w:highlight w:val="none"/>
          <w:lang w:val="zh-CN"/>
        </w:rPr>
      </w:pPr>
      <w:r>
        <w:rPr>
          <w:rFonts w:hint="eastAsia" w:ascii="宋体" w:hAnsi="宋体"/>
          <w:szCs w:val="21"/>
          <w:highlight w:val="none"/>
          <w:lang w:val="zh-CN"/>
        </w:rPr>
        <w:t xml:space="preserve">日 </w:t>
      </w:r>
      <w:r>
        <w:rPr>
          <w:rFonts w:ascii="宋体" w:hAnsi="宋体"/>
          <w:szCs w:val="21"/>
          <w:highlight w:val="none"/>
          <w:lang w:val="zh-CN"/>
        </w:rPr>
        <w:t xml:space="preserve">  </w:t>
      </w:r>
      <w:r>
        <w:rPr>
          <w:rFonts w:hint="eastAsia" w:ascii="宋体" w:hAnsi="宋体"/>
          <w:szCs w:val="21"/>
          <w:highlight w:val="none"/>
          <w:lang w:val="zh-CN"/>
        </w:rPr>
        <w:t xml:space="preserve">期： </w:t>
      </w:r>
      <w:r>
        <w:rPr>
          <w:rFonts w:ascii="宋体" w:hAnsi="宋体"/>
          <w:szCs w:val="21"/>
          <w:highlight w:val="none"/>
          <w:lang w:val="zh-CN"/>
        </w:rPr>
        <w:t xml:space="preserve">   </w:t>
      </w:r>
      <w:r>
        <w:rPr>
          <w:rFonts w:hint="eastAsia" w:ascii="宋体" w:hAnsi="宋体"/>
          <w:szCs w:val="21"/>
          <w:highlight w:val="none"/>
          <w:lang w:val="zh-CN"/>
        </w:rPr>
        <w:t xml:space="preserve">年 </w:t>
      </w:r>
      <w:r>
        <w:rPr>
          <w:rFonts w:ascii="宋体" w:hAnsi="宋体"/>
          <w:szCs w:val="21"/>
          <w:highlight w:val="none"/>
          <w:lang w:val="zh-CN"/>
        </w:rPr>
        <w:t xml:space="preserve">  </w:t>
      </w:r>
      <w:r>
        <w:rPr>
          <w:rFonts w:hint="eastAsia" w:ascii="宋体" w:hAnsi="宋体"/>
          <w:szCs w:val="21"/>
          <w:highlight w:val="none"/>
          <w:lang w:val="zh-CN"/>
        </w:rPr>
        <w:t xml:space="preserve">月 </w:t>
      </w:r>
      <w:r>
        <w:rPr>
          <w:rFonts w:ascii="宋体" w:hAnsi="宋体"/>
          <w:szCs w:val="21"/>
          <w:highlight w:val="none"/>
          <w:lang w:val="zh-CN"/>
        </w:rPr>
        <w:t xml:space="preserve"> </w:t>
      </w:r>
      <w:r>
        <w:rPr>
          <w:rFonts w:hint="eastAsia" w:ascii="宋体" w:hAnsi="宋体"/>
          <w:szCs w:val="21"/>
          <w:highlight w:val="none"/>
          <w:lang w:val="zh-CN"/>
        </w:rPr>
        <w:t xml:space="preserve">日</w:t>
      </w:r>
      <w:r>
        <w:rPr>
          <w:rFonts w:asciiTheme="minorEastAsia" w:hAnsiTheme="minorEastAsia" w:eastAsiaTheme="minorEastAsia"/>
          <w:szCs w:val="21"/>
          <w:highlight w:val="none"/>
          <w:lang w:val="zh-CN"/>
        </w:rPr>
        <w:br w:type="page" w:clear="all"/>
      </w:r>
      <w:r/>
    </w:p>
    <w:p>
      <w:pPr>
        <w:pStyle w:val="853"/>
        <w:rPr>
          <w:rFonts w:hint="eastAsia" w:asciiTheme="minorEastAsia" w:hAnsiTheme="minorEastAsia" w:eastAsiaTheme="minorEastAsia"/>
          <w:highlight w:val="none"/>
        </w:rPr>
      </w:pPr>
      <w:r/>
      <w:bookmarkStart w:id="189" w:name="_Toc1487"/>
      <w:r>
        <w:rPr>
          <w:rFonts w:hint="eastAsia" w:asciiTheme="minorEastAsia" w:hAnsiTheme="minorEastAsia" w:eastAsiaTheme="minorEastAsia"/>
          <w:highlight w:val="none"/>
        </w:rPr>
        <w:t xml:space="preserve">附件十一、具有履行合同所必需的设备和专业技术能力的声明</w:t>
      </w:r>
      <w:bookmarkEnd w:id="189"/>
      <w:r/>
      <w:r/>
    </w:p>
    <w:p>
      <w:pPr>
        <w:jc w:val="center"/>
        <w:spacing w:line="240" w:lineRule="atLeast"/>
        <w:rPr>
          <w:rFonts w:hint="eastAsia" w:asciiTheme="minorEastAsia" w:hAnsiTheme="minorEastAsia" w:eastAsiaTheme="minorEastAsia"/>
          <w:b/>
          <w:bCs/>
          <w:sz w:val="32"/>
          <w:szCs w:val="32"/>
          <w:highlight w:val="none"/>
        </w:rPr>
      </w:pPr>
      <w:r/>
      <w:bookmarkStart w:id="190" w:name="_Toc3130"/>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具有履行合同所必需的设备和专业技术能力的声明</w:t>
      </w:r>
      <w:bookmarkEnd w:id="190"/>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致：南京市公共交通和城市轨道公安局</w:t>
      </w:r>
      <w:r/>
    </w:p>
    <w:p>
      <w:pPr>
        <w:ind w:firstLine="420"/>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shd w:val="clear" w:color="auto" w:fill="ffffff"/>
          <w:lang w:val="zh-CN"/>
        </w:rPr>
        <w:t xml:space="preserve">江苏国采工程咨询有限公司</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我单位（投标人名称）郑重声明：</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。（材料附后，如有）</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。（材料附后，如有）</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left="6300"/>
        <w:jc w:val="left"/>
        <w:spacing w:line="360" w:lineRule="auto"/>
        <w:rPr>
          <w:rFonts w:hint="eastAsia" w:ascii="宋体" w:hAnsi="宋体"/>
          <w:szCs w:val="21"/>
          <w:highlight w:val="none"/>
        </w:rPr>
      </w:pPr>
      <w:r>
        <w:rPr>
          <w:rFonts w:hint="eastAsia" w:ascii="宋体" w:hAnsi="宋体"/>
          <w:szCs w:val="21"/>
          <w:highlight w:val="none"/>
        </w:rPr>
        <w:t xml:space="preserve">声明人：（</w:t>
      </w:r>
      <w:r>
        <w:rPr>
          <w:rFonts w:hint="eastAsia" w:ascii="宋体" w:hAnsi="宋体" w:cs="Arial"/>
          <w:highlight w:val="none"/>
        </w:rPr>
        <w:t xml:space="preserve">加盖电子公章</w:t>
      </w:r>
      <w:r>
        <w:rPr>
          <w:rFonts w:hint="eastAsia" w:ascii="宋体" w:hAnsi="宋体"/>
          <w:szCs w:val="21"/>
          <w:highlight w:val="none"/>
        </w:rPr>
        <w:t xml:space="preserve">）</w:t>
      </w:r>
      <w:r/>
    </w:p>
    <w:p>
      <w:pPr>
        <w:ind w:left="6300"/>
        <w:jc w:val="left"/>
        <w:spacing w:line="360" w:lineRule="auto"/>
        <w:rPr>
          <w:rFonts w:hint="eastAsia" w:ascii="宋体" w:hAnsi="宋体"/>
          <w:szCs w:val="21"/>
          <w:highlight w:val="none"/>
        </w:rPr>
      </w:pPr>
      <w:r>
        <w:rPr>
          <w:rFonts w:hint="eastAsia" w:ascii="宋体" w:hAnsi="宋体"/>
          <w:szCs w:val="21"/>
          <w:highlight w:val="none"/>
        </w:rPr>
        <w:t xml:space="preserve">日期：  年  月  日</w:t>
      </w:r>
      <w:r/>
    </w:p>
    <w:p>
      <w:pPr>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rPr>
          <w:rFonts w:hint="eastAsia"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br w:type="page" w:clear="all"/>
      </w:r>
      <w:r/>
    </w:p>
    <w:p>
      <w:pPr>
        <w:pStyle w:val="853"/>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附件十二、承诺书</w:t>
      </w:r>
      <w:r/>
    </w:p>
    <w:p>
      <w:pPr>
        <w:jc w:val="center"/>
        <w:spacing w:line="360" w:lineRule="auto"/>
        <w:tabs>
          <w:tab w:val="left" w:pos="7005" w:leader="none"/>
        </w:tabs>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（一）专门负责送货人员承诺书</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致：南京市公共交通和城市轨道公安局</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shd w:val="clear" w:color="auto" w:fill="ffffff"/>
          <w:lang w:val="zh-CN"/>
        </w:rPr>
        <w:t xml:space="preserve">江苏国采工程咨询有限公司</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我单位（投标人名称）郑重承诺：</w:t>
      </w:r>
      <w:r/>
    </w:p>
    <w:p>
      <w:pPr>
        <w:ind w:firstLine="420"/>
        <w:spacing w:line="360" w:lineRule="auto"/>
        <w:rPr>
          <w:highlight w:val="none"/>
        </w:rPr>
      </w:pPr>
      <w:r>
        <w:rPr>
          <w:rFonts w:hint="eastAsia" w:asciiTheme="minorEastAsia" w:hAnsiTheme="minorEastAsia" w:eastAsiaTheme="minorEastAsia"/>
          <w:szCs w:val="21"/>
          <w:highlight w:val="none"/>
        </w:rPr>
        <w:t xml:space="preserve">我单位已配备专门负责送货人员不少于2人，相关人员均为我单位的正式员工，在合同签订前向采购人提供健康证、劳动合同及社保机构出具的近一个月我单位为其缴纳的加盖社保中心章或社保中心参保缴费证明电子专用章的社会保险金缴纳清单。</w:t>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承诺人：（</w:t>
      </w:r>
      <w:r>
        <w:rPr>
          <w:rFonts w:hint="eastAsia" w:cs="Arial" w:asciiTheme="minorEastAsia" w:hAnsiTheme="minorEastAsia" w:eastAsiaTheme="minorEastAsia"/>
          <w:highlight w:val="none"/>
        </w:rPr>
        <w:t xml:space="preserve">加盖电子公章</w:t>
      </w:r>
      <w:r>
        <w:rPr>
          <w:rFonts w:hint="eastAsia" w:asciiTheme="minorEastAsia" w:hAnsiTheme="minorEastAsia" w:eastAsiaTheme="minorEastAsia"/>
          <w:szCs w:val="21"/>
          <w:highlight w:val="none"/>
        </w:rPr>
        <w:t xml:space="preserve">）</w:t>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日期：年月日</w:t>
      </w:r>
      <w:r/>
    </w:p>
    <w:p>
      <w:pPr>
        <w:rPr>
          <w:rFonts w:hint="eastAsia" w:ascii="宋体" w:hAnsi="宋体" w:cs="宋体"/>
          <w:szCs w:val="21"/>
          <w:highlight w:val="none"/>
        </w:rPr>
      </w:pPr>
      <w:r>
        <w:rPr>
          <w:rFonts w:hint="eastAsia" w:ascii="宋体" w:hAnsi="宋体" w:cs="宋体"/>
          <w:szCs w:val="21"/>
          <w:highlight w:val="none"/>
        </w:rPr>
      </w:r>
      <w:r/>
    </w:p>
    <w:p>
      <w:pPr>
        <w:jc w:val="center"/>
        <w:spacing w:line="360" w:lineRule="auto"/>
        <w:tabs>
          <w:tab w:val="left" w:pos="7005" w:leader="none"/>
        </w:tabs>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p>
    <w:p>
      <w:pPr>
        <w:jc w:val="center"/>
        <w:spacing w:line="360" w:lineRule="auto"/>
        <w:tabs>
          <w:tab w:val="left" w:pos="7005" w:leader="none"/>
        </w:tabs>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p>
    <w:p>
      <w:pPr>
        <w:jc w:val="center"/>
        <w:spacing w:line="360" w:lineRule="auto"/>
        <w:tabs>
          <w:tab w:val="left" w:pos="7005" w:leader="none"/>
        </w:tabs>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p>
    <w:p>
      <w:pPr>
        <w:jc w:val="center"/>
        <w:spacing w:line="360" w:lineRule="auto"/>
        <w:tabs>
          <w:tab w:val="left" w:pos="7005" w:leader="none"/>
        </w:tabs>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p>
    <w:p>
      <w:pPr>
        <w:jc w:val="center"/>
        <w:spacing w:line="360" w:lineRule="auto"/>
        <w:tabs>
          <w:tab w:val="left" w:pos="7005" w:leader="none"/>
        </w:tabs>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（二）应急或特殊情况下响应承诺书</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致：南京市公共交通和城市轨道公安局</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shd w:val="clear" w:color="auto" w:fill="ffffff"/>
          <w:lang w:val="zh-CN"/>
        </w:rPr>
        <w:t xml:space="preserve">江苏国采工程咨询有限公司</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我单位（投标人名称）郑重承诺：</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我单位承诺采购人如遇应急或特殊情况下半小时内响应，1小时内送货到场。</w:t>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承诺人：（</w:t>
      </w:r>
      <w:r>
        <w:rPr>
          <w:rFonts w:hint="eastAsia" w:cs="Arial" w:asciiTheme="minorEastAsia" w:hAnsiTheme="minorEastAsia" w:eastAsiaTheme="minorEastAsia"/>
          <w:highlight w:val="none"/>
        </w:rPr>
        <w:t xml:space="preserve">加盖电子公章</w:t>
      </w:r>
      <w:r>
        <w:rPr>
          <w:rFonts w:hint="eastAsia" w:asciiTheme="minorEastAsia" w:hAnsiTheme="minorEastAsia" w:eastAsiaTheme="minorEastAsia"/>
          <w:szCs w:val="21"/>
          <w:highlight w:val="none"/>
        </w:rPr>
        <w:t xml:space="preserve">）</w:t>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日期：年月日</w:t>
      </w:r>
      <w:r/>
    </w:p>
    <w:p>
      <w:pPr>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sectPr>
      <w:footnotePr/>
      <w:endnotePr/>
      <w:type w:val="nextPage"/>
      <w:pgSz w:w="11906" w:h="16838" w:orient="portrait"/>
      <w:pgMar w:top="1440" w:right="1440" w:bottom="1440" w:left="1440"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Arial Unicode MS">
    <w:panose1 w:val="020B0604020202020204"/>
  </w:font>
  <w:font w:name="KNLe">
    <w:panose1 w:val="020B0503020202020204"/>
  </w:font>
  <w:font w:name="Courier New">
    <w:panose1 w:val="02070309020205020404"/>
  </w:font>
  <w:font w:name="Tahoma">
    <w:panose1 w:val="020B0604030504040204"/>
  </w:font>
  <w:font w:name="Segoe UI">
    <w:panose1 w:val="020B0502040204020203"/>
  </w:font>
  <w:font w:name="华文细黑">
    <w:panose1 w:val="02010600040101010101"/>
  </w:font>
  <w:font w:name="等线">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r/>
  </w:p>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0304"/>
                            <w:rPr/>
                          </w:sdtPr>
                          <w:sdtContent>
                            <w:p>
                              <w:pPr>
                                <w:pStyle w:val="882"/>
                                <w:jc w:val="center"/>
                              </w:pPr>
                              <w:r>
                                <w:fldChar w:fldCharType="begin"/>
                              </w:r>
                              <w:r>
                                <w:instrText xml:space="preserve">PAGE   \* MERGEFORMAT</w:instrText>
                              </w:r>
                              <w:r>
                                <w:fldChar w:fldCharType="separate"/>
                              </w:r>
                              <w:r>
                                <w:rPr>
                                  <w:lang w:val="zh-CN"/>
                                </w:rPr>
                                <w:t xml:space="preserve">28</w:t>
                              </w:r>
                              <w:r>
                                <w:fldChar w:fldCharType="end"/>
                              </w:r>
                              <w:r/>
                            </w:p>
                          </w:sdtContent>
                        </w:sdt>
                        <w:p>
                          <w:pPr>
                            <w:pStyle w:val="910"/>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0304"/>
                      <w:rPr/>
                    </w:sdtPr>
                    <w:sdtContent>
                      <w:p>
                        <w:pPr>
                          <w:pStyle w:val="882"/>
                          <w:jc w:val="center"/>
                        </w:pPr>
                        <w:r>
                          <w:fldChar w:fldCharType="begin"/>
                        </w:r>
                        <w:r>
                          <w:instrText xml:space="preserve">PAGE   \* MERGEFORMAT</w:instrText>
                        </w:r>
                        <w:r>
                          <w:fldChar w:fldCharType="separate"/>
                        </w:r>
                        <w:r>
                          <w:rPr>
                            <w:lang w:val="zh-CN"/>
                          </w:rPr>
                          <w:t xml:space="preserve">28</w:t>
                        </w:r>
                        <w:r>
                          <w:fldChar w:fldCharType="end"/>
                        </w:r>
                        <w:r/>
                      </w:p>
                    </w:sdtContent>
                  </w:sdt>
                  <w:p>
                    <w:pPr>
                      <w:pStyle w:val="910"/>
                      <w:rPr>
                        <w:rFonts w:hint="eastAsia"/>
                      </w:rPr>
                    </w:pPr>
                    <w:r>
                      <w:rPr>
                        <w:rFonts w:hint="eastAsia"/>
                      </w:rPr>
                    </w:r>
                    <w:r/>
                  </w:p>
                </w:txbxContent>
              </v:textbox>
            </v:shape>
          </w:pict>
        </mc:Fallback>
      </mc:AlternateContent>
    </w:r>
    <w:r/>
  </w:p>
  <w:p>
    <w:pPr>
      <w:pStyle w:val="88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8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06"/>
      <w:isLgl/>
      <w:suff w:val="tab"/>
      <w:lvlText w:val="%1.%2"/>
      <w:lvlJc w:val="left"/>
      <w:pPr>
        <w:ind w:left="425" w:hanging="425"/>
      </w:pPr>
      <w:rPr>
        <w:rFonts w:hint="eastAsia" w:ascii="Arial Unicode MS" w:hAnsi="Arial Unicode MS" w:eastAsia="微软雅黑"/>
        <w:b/>
        <w:i w:val="0"/>
      </w:rPr>
    </w:lvl>
    <w:lvl w:ilvl="2">
      <w:start w:val="1"/>
      <w:numFmt w:val="decimal"/>
      <w:pStyle w:val="112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chineseCountingThousand"/>
      <w:pStyle w:val="852"/>
      <w:isLgl w:val="false"/>
      <w:suff w:val="nothing"/>
      <w:lvlText w:val="第%1章"/>
      <w:lvlJc w:val="left"/>
      <w:pPr>
        <w:ind w:left="567" w:firstLine="0"/>
      </w:pPr>
    </w:lvl>
    <w:lvl w:ilvl="1">
      <w:start w:val="1"/>
      <w:numFmt w:val="none"/>
      <w:pStyle w:val="853"/>
      <w:isLgl w:val="false"/>
      <w:suff w:val="nothing"/>
      <w:lvlText w:val=""/>
      <w:lvlJc w:val="left"/>
      <w:pPr>
        <w:ind w:left="0" w:firstLine="0"/>
      </w:pPr>
    </w:lvl>
    <w:lvl w:ilvl="2">
      <w:start w:val="1"/>
      <w:numFmt w:val="none"/>
      <w:pStyle w:val="854"/>
      <w:isLgl w:val="false"/>
      <w:suff w:val="nothing"/>
      <w:lvlText w:val=""/>
      <w:lvlJc w:val="left"/>
      <w:pPr>
        <w:ind w:left="0" w:firstLine="0"/>
      </w:pPr>
    </w:lvl>
    <w:lvl w:ilvl="3">
      <w:start w:val="1"/>
      <w:numFmt w:val="none"/>
      <w:pStyle w:val="855"/>
      <w:isLgl w:val="false"/>
      <w:suff w:val="nothing"/>
      <w:lvlText w:val=""/>
      <w:lvlJc w:val="left"/>
      <w:pPr>
        <w:ind w:left="0" w:firstLine="0"/>
      </w:pPr>
    </w:lvl>
    <w:lvl w:ilvl="4">
      <w:start w:val="1"/>
      <w:numFmt w:val="none"/>
      <w:pStyle w:val="856"/>
      <w:isLgl w:val="false"/>
      <w:suff w:val="nothing"/>
      <w:lvlText w:val=""/>
      <w:lvlJc w:val="left"/>
      <w:pPr>
        <w:ind w:left="0" w:firstLine="0"/>
      </w:pPr>
    </w:lvl>
    <w:lvl w:ilvl="5">
      <w:start w:val="1"/>
      <w:numFmt w:val="none"/>
      <w:pStyle w:val="857"/>
      <w:isLgl w:val="false"/>
      <w:suff w:val="nothing"/>
      <w:lvlText w:val=""/>
      <w:lvlJc w:val="left"/>
      <w:pPr>
        <w:ind w:left="0" w:firstLine="0"/>
      </w:pPr>
    </w:lvl>
    <w:lvl w:ilvl="6">
      <w:start w:val="1"/>
      <w:numFmt w:val="none"/>
      <w:pStyle w:val="858"/>
      <w:isLgl w:val="false"/>
      <w:suff w:val="nothing"/>
      <w:lvlText w:val=""/>
      <w:lvlJc w:val="left"/>
      <w:pPr>
        <w:ind w:left="0" w:firstLine="0"/>
      </w:pPr>
    </w:lvl>
    <w:lvl w:ilvl="7">
      <w:start w:val="1"/>
      <w:numFmt w:val="none"/>
      <w:pStyle w:val="859"/>
      <w:isLgl w:val="false"/>
      <w:suff w:val="nothing"/>
      <w:lvlText w:val=""/>
      <w:lvlJc w:val="left"/>
      <w:pPr>
        <w:ind w:left="0" w:firstLine="0"/>
      </w:pPr>
    </w:lvl>
    <w:lvl w:ilvl="8">
      <w:start w:val="1"/>
      <w:numFmt w:val="none"/>
      <w:pStyle w:val="860"/>
      <w:isLgl w:val="false"/>
      <w:suff w:val="nothing"/>
      <w:lvlText w:val=""/>
      <w:lvlJc w:val="left"/>
      <w:pPr>
        <w:ind w:left="0" w:firstLine="0"/>
      </w:p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09"/>
      <w:isLgl w:val="false"/>
      <w:suff w:val="tab"/>
      <w:lvlText w:val="%6."/>
      <w:lvlJc w:val="left"/>
      <w:pPr>
        <w:ind w:left="4320" w:hanging="360"/>
        <w:tabs>
          <w:tab w:val="left" w:pos="4320" w:leader="none"/>
        </w:tabs>
      </w:pPr>
    </w:lvl>
    <w:lvl w:ilvl="6">
      <w:start w:val="1"/>
      <w:numFmt w:val="decimal"/>
      <w:pStyle w:val="1210"/>
      <w:isLgl w:val="false"/>
      <w:suff w:val="tab"/>
      <w:lvlText w:val="%7."/>
      <w:lvlJc w:val="left"/>
      <w:pPr>
        <w:ind w:left="5040" w:hanging="360"/>
        <w:tabs>
          <w:tab w:val="left" w:pos="5040" w:leader="none"/>
        </w:tabs>
      </w:pPr>
    </w:lvl>
    <w:lvl w:ilvl="7">
      <w:start w:val="1"/>
      <w:numFmt w:val="decimal"/>
      <w:pStyle w:val="1211"/>
      <w:isLgl w:val="false"/>
      <w:suff w:val="tab"/>
      <w:lvlText w:val="%8."/>
      <w:lvlJc w:val="left"/>
      <w:pPr>
        <w:ind w:left="5760" w:hanging="360"/>
        <w:tabs>
          <w:tab w:val="left" w:pos="5760" w:leader="none"/>
        </w:tabs>
      </w:pPr>
    </w:lvl>
    <w:lvl w:ilvl="8">
      <w:start w:val="1"/>
      <w:numFmt w:val="decimal"/>
      <w:pStyle w:val="1212"/>
      <w:isLgl w:val="false"/>
      <w:suff w:val="tab"/>
      <w:lvlText w:val="%9."/>
      <w:lvlJc w:val="left"/>
      <w:pPr>
        <w:ind w:left="6480" w:hanging="360"/>
        <w:tabs>
          <w:tab w:val="left" w:pos="64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1">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0">
    <w:name w:val="TOC Heading"/>
    <w:uiPriority w:val="39"/>
    <w:unhideWhenUsed/>
  </w:style>
  <w:style w:type="paragraph" w:styleId="851" w:default="1">
    <w:name w:val="Normal"/>
    <w:next w:val="863"/>
    <w:uiPriority w:val="0"/>
    <w:qFormat/>
    <w:pPr>
      <w:jc w:val="both"/>
      <w:widowControl w:val="off"/>
    </w:pPr>
    <w:rPr>
      <w:rFonts w:ascii="Times New Roman" w:hAnsi="Times New Roman" w:eastAsia="宋体" w:cs="Times New Roman"/>
      <w:sz w:val="21"/>
      <w:szCs w:val="24"/>
      <w:lang w:val="en-US" w:eastAsia="zh-CN" w:bidi="ar-SA"/>
    </w:rPr>
  </w:style>
  <w:style w:type="paragraph" w:styleId="852">
    <w:name w:val="Heading 1"/>
    <w:basedOn w:val="851"/>
    <w:next w:val="851"/>
    <w:link w:val="1195"/>
    <w:uiPriority w:val="0"/>
    <w:qFormat/>
    <w:pPr>
      <w:numPr>
        <w:ilvl w:val="0"/>
        <w:numId w:val="1"/>
      </w:numPr>
      <w:jc w:val="center"/>
      <w:keepLines/>
      <w:keepNext/>
      <w:spacing w:before="340" w:after="330" w:line="578" w:lineRule="auto"/>
      <w:outlineLvl w:val="0"/>
    </w:pPr>
    <w:rPr>
      <w:b/>
      <w:bCs/>
      <w:sz w:val="32"/>
      <w:szCs w:val="44"/>
    </w:rPr>
  </w:style>
  <w:style w:type="paragraph" w:styleId="853">
    <w:name w:val="Heading 2"/>
    <w:basedOn w:val="851"/>
    <w:next w:val="851"/>
    <w:link w:val="113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54">
    <w:name w:val="Heading 3"/>
    <w:basedOn w:val="851"/>
    <w:next w:val="851"/>
    <w:link w:val="1166"/>
    <w:uiPriority w:val="0"/>
    <w:qFormat/>
    <w:pPr>
      <w:numPr>
        <w:ilvl w:val="2"/>
        <w:numId w:val="1"/>
      </w:numPr>
      <w:keepLines/>
      <w:keepNext/>
      <w:spacing w:before="260" w:after="260" w:line="416" w:lineRule="auto"/>
      <w:outlineLvl w:val="2"/>
    </w:pPr>
    <w:rPr>
      <w:b/>
      <w:bCs/>
      <w:sz w:val="32"/>
      <w:szCs w:val="32"/>
    </w:rPr>
  </w:style>
  <w:style w:type="paragraph" w:styleId="855">
    <w:name w:val="Heading 4"/>
    <w:basedOn w:val="851"/>
    <w:next w:val="851"/>
    <w:link w:val="120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56">
    <w:name w:val="Heading 5"/>
    <w:basedOn w:val="851"/>
    <w:next w:val="851"/>
    <w:link w:val="1156"/>
    <w:uiPriority w:val="0"/>
    <w:qFormat/>
    <w:pPr>
      <w:numPr>
        <w:ilvl w:val="4"/>
        <w:numId w:val="1"/>
      </w:numPr>
      <w:keepLines/>
      <w:keepNext/>
      <w:spacing w:before="280" w:after="290" w:line="376" w:lineRule="auto"/>
      <w:outlineLvl w:val="4"/>
    </w:pPr>
    <w:rPr>
      <w:b/>
      <w:bCs/>
      <w:sz w:val="28"/>
      <w:szCs w:val="28"/>
    </w:rPr>
  </w:style>
  <w:style w:type="paragraph" w:styleId="857">
    <w:name w:val="Heading 6"/>
    <w:basedOn w:val="851"/>
    <w:next w:val="851"/>
    <w:link w:val="1144"/>
    <w:uiPriority w:val="0"/>
    <w:qFormat/>
    <w:pPr>
      <w:numPr>
        <w:ilvl w:val="5"/>
        <w:numId w:val="1"/>
      </w:numPr>
      <w:keepLines/>
      <w:keepNext/>
      <w:spacing w:before="240" w:after="64" w:line="320" w:lineRule="auto"/>
      <w:outlineLvl w:val="5"/>
    </w:pPr>
    <w:rPr>
      <w:rFonts w:ascii="Cambria" w:hAnsi="Cambria"/>
      <w:b/>
      <w:bCs/>
      <w:sz w:val="24"/>
    </w:rPr>
  </w:style>
  <w:style w:type="paragraph" w:styleId="858">
    <w:name w:val="Heading 7"/>
    <w:basedOn w:val="851"/>
    <w:next w:val="851"/>
    <w:link w:val="1194"/>
    <w:uiPriority w:val="0"/>
    <w:qFormat/>
    <w:pPr>
      <w:numPr>
        <w:ilvl w:val="6"/>
        <w:numId w:val="1"/>
      </w:numPr>
      <w:keepLines/>
      <w:keepNext/>
      <w:spacing w:before="240" w:after="64" w:line="320" w:lineRule="auto"/>
      <w:outlineLvl w:val="6"/>
    </w:pPr>
    <w:rPr>
      <w:b/>
      <w:bCs/>
      <w:sz w:val="24"/>
    </w:rPr>
  </w:style>
  <w:style w:type="paragraph" w:styleId="859">
    <w:name w:val="Heading 8"/>
    <w:basedOn w:val="851"/>
    <w:next w:val="851"/>
    <w:link w:val="1180"/>
    <w:uiPriority w:val="0"/>
    <w:qFormat/>
    <w:pPr>
      <w:numPr>
        <w:ilvl w:val="7"/>
        <w:numId w:val="1"/>
      </w:numPr>
      <w:keepLines/>
      <w:keepNext/>
      <w:spacing w:before="240" w:after="64" w:line="320" w:lineRule="auto"/>
      <w:outlineLvl w:val="7"/>
    </w:pPr>
    <w:rPr>
      <w:rFonts w:ascii="Cambria" w:hAnsi="Cambria"/>
      <w:sz w:val="24"/>
    </w:rPr>
  </w:style>
  <w:style w:type="paragraph" w:styleId="860">
    <w:name w:val="Heading 9"/>
    <w:basedOn w:val="851"/>
    <w:next w:val="851"/>
    <w:link w:val="1160"/>
    <w:uiPriority w:val="0"/>
    <w:qFormat/>
    <w:pPr>
      <w:numPr>
        <w:ilvl w:val="8"/>
        <w:numId w:val="1"/>
      </w:numPr>
      <w:keepLines/>
      <w:keepNext/>
      <w:spacing w:before="240" w:after="64" w:line="320" w:lineRule="auto"/>
      <w:outlineLvl w:val="8"/>
    </w:pPr>
    <w:rPr>
      <w:rFonts w:ascii="Cambria" w:hAnsi="Cambria"/>
      <w:szCs w:val="21"/>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customStyle="1">
    <w:name w:val="首行缩进"/>
    <w:basedOn w:val="851"/>
    <w:uiPriority w:val="0"/>
    <w:qFormat/>
    <w:pPr>
      <w:ind w:firstLine="420"/>
      <w:spacing w:line="360" w:lineRule="auto"/>
    </w:pPr>
    <w:rPr>
      <w:sz w:val="20"/>
    </w:rPr>
  </w:style>
  <w:style w:type="paragraph" w:styleId="864">
    <w:name w:val="List 3"/>
    <w:basedOn w:val="851"/>
    <w:uiPriority w:val="99"/>
    <w:unhideWhenUsed/>
    <w:qFormat/>
    <w:pPr>
      <w:ind w:left="1260" w:hanging="420"/>
      <w:spacing w:before="100" w:beforeAutospacing="1" w:after="100" w:afterAutospacing="1"/>
    </w:pPr>
    <w:rPr>
      <w:szCs w:val="21"/>
    </w:rPr>
  </w:style>
  <w:style w:type="paragraph" w:styleId="865">
    <w:name w:val="toc 7"/>
    <w:basedOn w:val="851"/>
    <w:next w:val="851"/>
    <w:uiPriority w:val="39"/>
    <w:unhideWhenUsed/>
    <w:qFormat/>
    <w:pPr>
      <w:ind w:left="2520"/>
    </w:pPr>
    <w:rPr>
      <w:rFonts w:ascii="Calibri" w:hAnsi="Calibri"/>
      <w:szCs w:val="22"/>
    </w:rPr>
  </w:style>
  <w:style w:type="paragraph" w:styleId="866">
    <w:name w:val="Normal Indent"/>
    <w:basedOn w:val="851"/>
    <w:link w:val="1213"/>
    <w:uiPriority w:val="0"/>
    <w:qFormat/>
    <w:pPr>
      <w:ind w:firstLine="420"/>
    </w:pPr>
    <w:rPr>
      <w:b/>
      <w:sz w:val="24"/>
      <w:szCs w:val="20"/>
    </w:rPr>
  </w:style>
  <w:style w:type="paragraph" w:styleId="867">
    <w:name w:val="Caption"/>
    <w:basedOn w:val="851"/>
    <w:next w:val="851"/>
    <w:uiPriority w:val="0"/>
    <w:qFormat/>
    <w:rPr>
      <w:rFonts w:ascii="Cambria" w:hAnsi="Cambria" w:eastAsia="黑体"/>
      <w:sz w:val="20"/>
      <w:szCs w:val="22"/>
    </w:rPr>
  </w:style>
  <w:style w:type="paragraph" w:styleId="868">
    <w:name w:val="Document Map"/>
    <w:basedOn w:val="851"/>
    <w:link w:val="1151"/>
    <w:uiPriority w:val="0"/>
    <w:qFormat/>
    <w:rPr>
      <w:rFonts w:ascii="宋体"/>
      <w:sz w:val="18"/>
      <w:szCs w:val="18"/>
    </w:rPr>
  </w:style>
  <w:style w:type="paragraph" w:styleId="869">
    <w:name w:val="annotation text"/>
    <w:basedOn w:val="851"/>
    <w:link w:val="1172"/>
    <w:uiPriority w:val="99"/>
    <w:qFormat/>
    <w:pPr>
      <w:jc w:val="left"/>
    </w:pPr>
  </w:style>
  <w:style w:type="paragraph" w:styleId="870">
    <w:name w:val="Body Text 3"/>
    <w:basedOn w:val="851"/>
    <w:link w:val="1190"/>
    <w:uiPriority w:val="0"/>
    <w:qFormat/>
    <w:rPr>
      <w:rFonts w:ascii="宋体"/>
      <w:sz w:val="24"/>
      <w:szCs w:val="20"/>
    </w:rPr>
  </w:style>
  <w:style w:type="paragraph" w:styleId="871">
    <w:name w:val="Body Text"/>
    <w:basedOn w:val="851"/>
    <w:link w:val="1179"/>
    <w:uiPriority w:val="0"/>
    <w:qFormat/>
    <w:pPr>
      <w:jc w:val="center"/>
    </w:pPr>
    <w:rPr>
      <w:rFonts w:eastAsia="幼圆"/>
      <w:b/>
      <w:bCs/>
      <w:sz w:val="44"/>
    </w:rPr>
  </w:style>
  <w:style w:type="paragraph" w:styleId="872">
    <w:name w:val="Body Text Indent"/>
    <w:basedOn w:val="851"/>
    <w:link w:val="1140"/>
    <w:uiPriority w:val="0"/>
    <w:qFormat/>
    <w:pPr>
      <w:ind w:left="420"/>
      <w:spacing w:after="120"/>
    </w:pPr>
  </w:style>
  <w:style w:type="paragraph" w:styleId="873">
    <w:name w:val="index 4"/>
    <w:basedOn w:val="851"/>
    <w:next w:val="851"/>
    <w:uiPriority w:val="0"/>
    <w:qFormat/>
    <w:pPr>
      <w:ind w:left="600"/>
    </w:pPr>
    <w:rPr>
      <w:rFonts w:ascii="Calibri" w:hAnsi="Calibri"/>
    </w:rPr>
  </w:style>
  <w:style w:type="paragraph" w:styleId="874">
    <w:name w:val="toc 5"/>
    <w:basedOn w:val="851"/>
    <w:next w:val="851"/>
    <w:uiPriority w:val="39"/>
    <w:unhideWhenUsed/>
    <w:qFormat/>
    <w:pPr>
      <w:ind w:left="1680"/>
    </w:pPr>
    <w:rPr>
      <w:rFonts w:ascii="Calibri" w:hAnsi="Calibri"/>
      <w:szCs w:val="22"/>
    </w:rPr>
  </w:style>
  <w:style w:type="paragraph" w:styleId="875">
    <w:name w:val="toc 3"/>
    <w:basedOn w:val="851"/>
    <w:next w:val="851"/>
    <w:uiPriority w:val="39"/>
    <w:qFormat/>
    <w:pPr>
      <w:ind w:left="840"/>
    </w:pPr>
    <w:rPr>
      <w:rFonts w:ascii="Calibri" w:hAnsi="Calibri"/>
      <w:szCs w:val="22"/>
    </w:rPr>
  </w:style>
  <w:style w:type="paragraph" w:styleId="876">
    <w:name w:val="Plain Text"/>
    <w:basedOn w:val="851"/>
    <w:link w:val="1145"/>
    <w:uiPriority w:val="0"/>
    <w:qFormat/>
    <w:rPr>
      <w:rFonts w:ascii="Ari"/>
      <w:sz w:val="20"/>
      <w:szCs w:val="20"/>
    </w:rPr>
  </w:style>
  <w:style w:type="paragraph" w:styleId="877">
    <w:name w:val="toc 8"/>
    <w:basedOn w:val="851"/>
    <w:next w:val="851"/>
    <w:uiPriority w:val="39"/>
    <w:unhideWhenUsed/>
    <w:qFormat/>
    <w:pPr>
      <w:ind w:left="2940"/>
    </w:pPr>
    <w:rPr>
      <w:rFonts w:ascii="Calibri" w:hAnsi="Calibri"/>
      <w:szCs w:val="22"/>
    </w:rPr>
  </w:style>
  <w:style w:type="paragraph" w:styleId="878">
    <w:name w:val="Date"/>
    <w:basedOn w:val="851"/>
    <w:next w:val="851"/>
    <w:link w:val="1152"/>
    <w:uiPriority w:val="0"/>
    <w:unhideWhenUsed/>
    <w:qFormat/>
  </w:style>
  <w:style w:type="paragraph" w:styleId="879">
    <w:name w:val="Body Text Indent 2"/>
    <w:basedOn w:val="851"/>
    <w:link w:val="1171"/>
    <w:uiPriority w:val="99"/>
    <w:unhideWhenUsed/>
    <w:qFormat/>
    <w:pPr>
      <w:ind w:firstLine="525"/>
      <w:spacing w:line="420" w:lineRule="exact"/>
    </w:pPr>
    <w:rPr>
      <w:rFonts w:ascii="宋体"/>
      <w:sz w:val="20"/>
      <w:szCs w:val="20"/>
    </w:rPr>
  </w:style>
  <w:style w:type="paragraph" w:styleId="880">
    <w:name w:val="endnote text"/>
    <w:basedOn w:val="851"/>
    <w:link w:val="1067"/>
    <w:uiPriority w:val="99"/>
    <w:semiHidden/>
    <w:unhideWhenUsed/>
    <w:qFormat/>
    <w:rPr>
      <w:sz w:val="20"/>
    </w:rPr>
  </w:style>
  <w:style w:type="paragraph" w:styleId="881">
    <w:name w:val="Balloon Text"/>
    <w:basedOn w:val="851"/>
    <w:link w:val="1193"/>
    <w:uiPriority w:val="0"/>
    <w:qFormat/>
    <w:rPr>
      <w:sz w:val="18"/>
      <w:szCs w:val="18"/>
    </w:rPr>
  </w:style>
  <w:style w:type="paragraph" w:styleId="882">
    <w:name w:val="Footer"/>
    <w:basedOn w:val="851"/>
    <w:link w:val="1184"/>
    <w:uiPriority w:val="99"/>
    <w:qFormat/>
    <w:pPr>
      <w:jc w:val="left"/>
      <w:tabs>
        <w:tab w:val="center" w:pos="4153" w:leader="none"/>
        <w:tab w:val="right" w:pos="8306" w:leader="none"/>
      </w:tabs>
    </w:pPr>
    <w:rPr>
      <w:sz w:val="18"/>
      <w:szCs w:val="18"/>
    </w:rPr>
  </w:style>
  <w:style w:type="paragraph" w:styleId="883">
    <w:name w:val="Header"/>
    <w:basedOn w:val="851"/>
    <w:link w:val="1143"/>
    <w:uiPriority w:val="99"/>
    <w:qFormat/>
    <w:pPr>
      <w:jc w:val="center"/>
      <w:tabs>
        <w:tab w:val="center" w:pos="4153" w:leader="none"/>
        <w:tab w:val="right" w:pos="8306" w:leader="none"/>
      </w:tabs>
      <w:pBdr>
        <w:bottom w:val="single" w:color="auto" w:sz="6" w:space="1"/>
      </w:pBdr>
    </w:pPr>
    <w:rPr>
      <w:sz w:val="18"/>
      <w:szCs w:val="18"/>
    </w:rPr>
  </w:style>
  <w:style w:type="paragraph" w:styleId="884">
    <w:name w:val="toc 1"/>
    <w:basedOn w:val="851"/>
    <w:next w:val="851"/>
    <w:uiPriority w:val="39"/>
    <w:qFormat/>
  </w:style>
  <w:style w:type="paragraph" w:styleId="885">
    <w:name w:val="toc 4"/>
    <w:basedOn w:val="851"/>
    <w:next w:val="851"/>
    <w:uiPriority w:val="39"/>
    <w:unhideWhenUsed/>
    <w:qFormat/>
    <w:pPr>
      <w:ind w:left="1260"/>
    </w:pPr>
    <w:rPr>
      <w:rFonts w:ascii="Calibri" w:hAnsi="Calibri"/>
      <w:szCs w:val="22"/>
    </w:rPr>
  </w:style>
  <w:style w:type="paragraph" w:styleId="886">
    <w:name w:val="Subtitle"/>
    <w:basedOn w:val="851"/>
    <w:next w:val="851"/>
    <w:link w:val="1168"/>
    <w:uiPriority w:val="0"/>
    <w:qFormat/>
    <w:pPr>
      <w:jc w:val="center"/>
      <w:spacing w:before="240" w:after="60" w:line="312" w:lineRule="auto"/>
      <w:outlineLvl w:val="1"/>
    </w:pPr>
    <w:rPr>
      <w:rFonts w:ascii="Cambria" w:hAnsi="Cambria"/>
      <w:b/>
      <w:bCs/>
      <w:sz w:val="32"/>
      <w:szCs w:val="32"/>
    </w:rPr>
  </w:style>
  <w:style w:type="paragraph" w:styleId="887">
    <w:name w:val="footnote text"/>
    <w:basedOn w:val="851"/>
    <w:link w:val="1066"/>
    <w:uiPriority w:val="99"/>
    <w:semiHidden/>
    <w:unhideWhenUsed/>
    <w:qFormat/>
    <w:pPr>
      <w:spacing w:after="40"/>
    </w:pPr>
    <w:rPr>
      <w:sz w:val="18"/>
    </w:rPr>
  </w:style>
  <w:style w:type="paragraph" w:styleId="888">
    <w:name w:val="toc 6"/>
    <w:basedOn w:val="851"/>
    <w:next w:val="851"/>
    <w:uiPriority w:val="39"/>
    <w:unhideWhenUsed/>
    <w:qFormat/>
    <w:pPr>
      <w:ind w:left="2100"/>
    </w:pPr>
    <w:rPr>
      <w:rFonts w:ascii="Calibri" w:hAnsi="Calibri"/>
      <w:szCs w:val="22"/>
    </w:rPr>
  </w:style>
  <w:style w:type="paragraph" w:styleId="889">
    <w:name w:val="Body Text Indent 3"/>
    <w:basedOn w:val="851"/>
    <w:link w:val="1191"/>
    <w:uiPriority w:val="0"/>
    <w:qFormat/>
    <w:pPr>
      <w:ind w:left="420"/>
      <w:spacing w:after="120"/>
    </w:pPr>
    <w:rPr>
      <w:sz w:val="16"/>
      <w:szCs w:val="20"/>
    </w:rPr>
  </w:style>
  <w:style w:type="paragraph" w:styleId="890">
    <w:name w:val="table of figures"/>
    <w:basedOn w:val="851"/>
    <w:next w:val="851"/>
    <w:uiPriority w:val="99"/>
    <w:unhideWhenUsed/>
    <w:qFormat/>
  </w:style>
  <w:style w:type="paragraph" w:styleId="891">
    <w:name w:val="toc 2"/>
    <w:basedOn w:val="851"/>
    <w:next w:val="851"/>
    <w:uiPriority w:val="39"/>
    <w:qFormat/>
    <w:pPr>
      <w:ind w:left="420"/>
    </w:pPr>
    <w:rPr>
      <w:rFonts w:ascii="Calibri" w:hAnsi="Calibri"/>
      <w:szCs w:val="22"/>
    </w:rPr>
  </w:style>
  <w:style w:type="paragraph" w:styleId="892">
    <w:name w:val="toc 9"/>
    <w:basedOn w:val="851"/>
    <w:next w:val="851"/>
    <w:uiPriority w:val="39"/>
    <w:unhideWhenUsed/>
    <w:qFormat/>
    <w:pPr>
      <w:ind w:left="3360"/>
    </w:pPr>
    <w:rPr>
      <w:rFonts w:ascii="Calibri" w:hAnsi="Calibri"/>
      <w:szCs w:val="22"/>
    </w:rPr>
  </w:style>
  <w:style w:type="paragraph" w:styleId="893">
    <w:name w:val="HTML Preformatted"/>
    <w:basedOn w:val="85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4">
    <w:name w:val="Normal (Web)"/>
    <w:basedOn w:val="851"/>
    <w:uiPriority w:val="99"/>
    <w:qFormat/>
    <w:pPr>
      <w:jc w:val="left"/>
      <w:spacing w:before="100" w:beforeAutospacing="1" w:after="100" w:afterAutospacing="1"/>
      <w:widowControl/>
    </w:pPr>
    <w:rPr>
      <w:rFonts w:ascii="宋体" w:hAnsi="宋体" w:cs="宋体"/>
      <w:sz w:val="24"/>
    </w:rPr>
  </w:style>
  <w:style w:type="paragraph" w:styleId="895">
    <w:name w:val="index 1"/>
    <w:basedOn w:val="851"/>
    <w:next w:val="851"/>
    <w:uiPriority w:val="0"/>
    <w:qFormat/>
    <w:pPr>
      <w:jc w:val="center"/>
      <w:spacing w:line="220" w:lineRule="exact"/>
    </w:pPr>
    <w:rPr>
      <w:rFonts w:ascii="仿宋_GB2312" w:hAnsi="Calibri" w:eastAsia="仿宋_GB2312"/>
      <w:szCs w:val="22"/>
    </w:rPr>
  </w:style>
  <w:style w:type="paragraph" w:styleId="896">
    <w:name w:val="Title"/>
    <w:basedOn w:val="851"/>
    <w:next w:val="851"/>
    <w:link w:val="1148"/>
    <w:uiPriority w:val="0"/>
    <w:qFormat/>
    <w:pPr>
      <w:jc w:val="center"/>
      <w:spacing w:before="240" w:after="60" w:line="420" w:lineRule="atLeast"/>
      <w:outlineLvl w:val="0"/>
    </w:pPr>
    <w:rPr>
      <w:rFonts w:ascii="Arial" w:hAnsi="Arial"/>
      <w:b/>
      <w:sz w:val="32"/>
      <w:szCs w:val="20"/>
    </w:rPr>
  </w:style>
  <w:style w:type="paragraph" w:styleId="897">
    <w:name w:val="annotation subject"/>
    <w:basedOn w:val="869"/>
    <w:next w:val="869"/>
    <w:link w:val="1182"/>
    <w:uiPriority w:val="0"/>
    <w:qFormat/>
    <w:rPr>
      <w:b/>
      <w:bCs/>
    </w:rPr>
  </w:style>
  <w:style w:type="paragraph" w:styleId="898">
    <w:name w:val="Body Text First Indent"/>
    <w:basedOn w:val="871"/>
    <w:link w:val="1204"/>
    <w:uiPriority w:val="0"/>
    <w:semiHidden/>
    <w:unhideWhenUsed/>
    <w:qFormat/>
    <w:pPr>
      <w:ind w:firstLine="420"/>
      <w:jc w:val="both"/>
      <w:spacing w:after="120"/>
    </w:pPr>
    <w:rPr>
      <w:rFonts w:eastAsia="宋体"/>
      <w:b w:val="0"/>
      <w:bCs w:val="0"/>
      <w:sz w:val="21"/>
    </w:rPr>
  </w:style>
  <w:style w:type="paragraph" w:styleId="899">
    <w:name w:val="Body Text First Indent 2"/>
    <w:uiPriority w:val="0"/>
    <w:qFormat/>
    <w:pPr>
      <w:ind w:left="420" w:firstLine="420"/>
      <w:jc w:val="both"/>
      <w:spacing w:after="120"/>
      <w:widowControl w:val="off"/>
    </w:pPr>
    <w:rPr>
      <w:rFonts w:ascii="等线" w:hAnsi="Times New Roman" w:eastAsia="等线" w:cs="Times New Roman"/>
      <w:sz w:val="21"/>
      <w:szCs w:val="22"/>
      <w:lang w:val="en-US" w:eastAsia="zh-CN" w:bidi="ar-SA"/>
    </w:rPr>
  </w:style>
  <w:style w:type="table" w:styleId="900">
    <w:name w:val="Table Grid"/>
    <w:basedOn w:val="862"/>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1">
    <w:name w:val="Strong"/>
    <w:uiPriority w:val="0"/>
    <w:qFormat/>
    <w:rPr>
      <w:rFonts w:cs="Times New Roman"/>
      <w:b/>
    </w:rPr>
  </w:style>
  <w:style w:type="character" w:styleId="902">
    <w:name w:val="endnote reference"/>
    <w:basedOn w:val="861"/>
    <w:uiPriority w:val="99"/>
    <w:semiHidden/>
    <w:unhideWhenUsed/>
    <w:qFormat/>
    <w:rPr>
      <w:vertAlign w:val="superscript"/>
    </w:rPr>
  </w:style>
  <w:style w:type="character" w:styleId="903">
    <w:name w:val="page number"/>
    <w:uiPriority w:val="0"/>
    <w:qFormat/>
    <w:rPr>
      <w:rFonts w:eastAsia="宋体"/>
      <w:b/>
      <w:spacing w:val="0"/>
      <w:sz w:val="24"/>
      <w:szCs w:val="24"/>
      <w:lang w:val="en-US" w:eastAsia="zh-CN" w:bidi="ar-SA"/>
    </w:rPr>
  </w:style>
  <w:style w:type="character" w:styleId="904">
    <w:name w:val="FollowedHyperlink"/>
    <w:uiPriority w:val="0"/>
    <w:qFormat/>
    <w:rPr>
      <w:color w:val="800080"/>
      <w:u w:val="single"/>
    </w:rPr>
  </w:style>
  <w:style w:type="character" w:styleId="905">
    <w:name w:val="Emphasis"/>
    <w:uiPriority w:val="0"/>
    <w:qFormat/>
    <w:rPr>
      <w:color w:val="cc0000"/>
    </w:rPr>
  </w:style>
  <w:style w:type="character" w:styleId="906">
    <w:name w:val="Hyperlink"/>
    <w:uiPriority w:val="99"/>
    <w:qFormat/>
    <w:rPr>
      <w:color w:val="0000ff"/>
      <w:u w:val="single"/>
    </w:rPr>
  </w:style>
  <w:style w:type="character" w:styleId="907">
    <w:name w:val="annotation reference"/>
    <w:uiPriority w:val="99"/>
    <w:qFormat/>
    <w:rPr>
      <w:sz w:val="21"/>
      <w:szCs w:val="21"/>
    </w:rPr>
  </w:style>
  <w:style w:type="character" w:styleId="908">
    <w:name w:val="HTML Cite"/>
    <w:uiPriority w:val="0"/>
    <w:qFormat/>
    <w:rPr>
      <w:color w:val="008000"/>
    </w:rPr>
  </w:style>
  <w:style w:type="character" w:styleId="909">
    <w:name w:val="footnote reference"/>
    <w:basedOn w:val="861"/>
    <w:uiPriority w:val="99"/>
    <w:unhideWhenUsed/>
    <w:qFormat/>
    <w:rPr>
      <w:vertAlign w:val="superscript"/>
    </w:rPr>
  </w:style>
  <w:style w:type="paragraph" w:styleId="910" w:customStyle="1">
    <w:name w:val="正文首行缩进 21"/>
    <w:next w:val="851"/>
    <w:uiPriority w:val="0"/>
    <w:qFormat/>
    <w:pPr>
      <w:ind w:firstLine="420"/>
      <w:jc w:val="both"/>
      <w:spacing w:line="360" w:lineRule="auto"/>
      <w:widowControl w:val="off"/>
    </w:pPr>
    <w:rPr>
      <w:rFonts w:ascii="宋体" w:hAnsi="宋体" w:eastAsia="宋体" w:cs="Times New Roman"/>
      <w:sz w:val="21"/>
      <w:lang w:val="en-US" w:eastAsia="zh-CN" w:bidi="ar-SA"/>
    </w:rPr>
  </w:style>
  <w:style w:type="paragraph" w:styleId="911" w:customStyle="1">
    <w:name w:val="一级条标题"/>
    <w:basedOn w:val="912"/>
    <w:next w:val="913"/>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12" w:customStyle="1">
    <w:name w:val="章标题"/>
    <w:next w:val="851"/>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913" w:customStyle="1">
    <w:name w:val="段"/>
    <w:next w:val="851"/>
    <w:uiPriority w:val="0"/>
    <w:qFormat/>
    <w:pPr>
      <w:ind w:firstLine="200"/>
      <w:jc w:val="both"/>
      <w:widowControl w:val="off"/>
    </w:pPr>
    <w:rPr>
      <w:rFonts w:ascii="宋体" w:hAnsi="宋体" w:eastAsia="等线" w:cs="宋体"/>
      <w:color w:val="000000"/>
      <w:sz w:val="21"/>
      <w:szCs w:val="21"/>
      <w:lang w:val="en-US" w:eastAsia="zh-CN" w:bidi="ar-SA"/>
    </w:rPr>
  </w:style>
  <w:style w:type="paragraph" w:styleId="914" w:customStyle="1">
    <w:name w:val="索引 41"/>
    <w:basedOn w:val="915"/>
    <w:next w:val="851"/>
    <w:uiPriority w:val="99"/>
    <w:qFormat/>
    <w:pPr>
      <w:ind w:left="600"/>
    </w:pPr>
    <w:rPr>
      <w:rFonts w:ascii="Verdana" w:hAnsi="Verdana"/>
    </w:rPr>
  </w:style>
  <w:style w:type="paragraph" w:styleId="915" w:customStyle="1">
    <w:name w:val="正文1"/>
    <w:next w:val="914"/>
    <w:uiPriority w:val="0"/>
    <w:qFormat/>
    <w:pPr>
      <w:jc w:val="both"/>
      <w:widowControl w:val="off"/>
    </w:pPr>
    <w:rPr>
      <w:rFonts w:ascii="Calibri" w:hAnsi="Calibri" w:eastAsia="宋体" w:cs="Times New Roman"/>
      <w:lang w:val="en-US" w:eastAsia="zh-CN" w:bidi="ar-SA"/>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Footnote Text Char"/>
    <w:uiPriority w:val="99"/>
    <w:qFormat/>
    <w:rPr>
      <w:sz w:val="18"/>
    </w:rPr>
  </w:style>
  <w:style w:type="character" w:styleId="919" w:customStyle="1">
    <w:name w:val="Endnote Text Char"/>
    <w:uiPriority w:val="99"/>
    <w:qFormat/>
    <w:rPr>
      <w:sz w:val="20"/>
    </w:rPr>
  </w:style>
  <w:style w:type="paragraph" w:styleId="920" w:customStyle="1">
    <w:name w:val="列表段落1"/>
    <w:basedOn w:val="851"/>
    <w:uiPriority w:val="99"/>
    <w:qFormat/>
    <w:pPr>
      <w:ind w:firstLine="420"/>
    </w:pPr>
    <w:rPr>
      <w:szCs w:val="20"/>
    </w:rPr>
  </w:style>
  <w:style w:type="paragraph" w:styleId="921">
    <w:name w:val="List Paragraph"/>
    <w:basedOn w:val="851"/>
    <w:uiPriority w:val="34"/>
    <w:qFormat/>
    <w:pPr>
      <w:ind w:firstLine="420"/>
    </w:pPr>
  </w:style>
  <w:style w:type="character" w:styleId="922" w:customStyle="1">
    <w:name w:val="Heading 1 Char"/>
    <w:basedOn w:val="861"/>
    <w:uiPriority w:val="9"/>
    <w:qFormat/>
    <w:rPr>
      <w:rFonts w:ascii="Arial" w:hAnsi="Arial" w:eastAsia="Arial" w:cs="Arial"/>
      <w:sz w:val="40"/>
      <w:szCs w:val="40"/>
    </w:rPr>
  </w:style>
  <w:style w:type="character" w:styleId="923" w:customStyle="1">
    <w:name w:val="Heading 2 Char"/>
    <w:basedOn w:val="861"/>
    <w:uiPriority w:val="9"/>
    <w:qFormat/>
    <w:rPr>
      <w:rFonts w:ascii="Arial" w:hAnsi="Arial" w:eastAsia="Arial" w:cs="Arial"/>
      <w:sz w:val="34"/>
    </w:rPr>
  </w:style>
  <w:style w:type="character" w:styleId="924" w:customStyle="1">
    <w:name w:val="Heading 3 Char"/>
    <w:basedOn w:val="861"/>
    <w:uiPriority w:val="9"/>
    <w:qFormat/>
    <w:rPr>
      <w:rFonts w:ascii="Arial" w:hAnsi="Arial" w:eastAsia="Arial" w:cs="Arial"/>
      <w:sz w:val="30"/>
      <w:szCs w:val="30"/>
    </w:rPr>
  </w:style>
  <w:style w:type="character" w:styleId="925" w:customStyle="1">
    <w:name w:val="Heading 4 Char"/>
    <w:basedOn w:val="861"/>
    <w:uiPriority w:val="9"/>
    <w:qFormat/>
    <w:rPr>
      <w:rFonts w:ascii="Arial" w:hAnsi="Arial" w:eastAsia="Arial" w:cs="Arial"/>
      <w:b/>
      <w:bCs/>
      <w:sz w:val="26"/>
      <w:szCs w:val="26"/>
    </w:rPr>
  </w:style>
  <w:style w:type="character" w:styleId="926" w:customStyle="1">
    <w:name w:val="Heading 5 Char"/>
    <w:basedOn w:val="861"/>
    <w:uiPriority w:val="9"/>
    <w:qFormat/>
    <w:rPr>
      <w:rFonts w:ascii="Arial" w:hAnsi="Arial" w:eastAsia="Arial" w:cs="Arial"/>
      <w:b/>
      <w:bCs/>
      <w:sz w:val="24"/>
      <w:szCs w:val="24"/>
    </w:rPr>
  </w:style>
  <w:style w:type="character" w:styleId="927" w:customStyle="1">
    <w:name w:val="Heading 6 Char"/>
    <w:basedOn w:val="861"/>
    <w:uiPriority w:val="9"/>
    <w:qFormat/>
    <w:rPr>
      <w:rFonts w:ascii="Arial" w:hAnsi="Arial" w:eastAsia="Arial" w:cs="Arial"/>
      <w:b/>
      <w:bCs/>
      <w:sz w:val="22"/>
      <w:szCs w:val="22"/>
    </w:rPr>
  </w:style>
  <w:style w:type="character" w:styleId="928" w:customStyle="1">
    <w:name w:val="Heading 7 Char"/>
    <w:basedOn w:val="861"/>
    <w:uiPriority w:val="9"/>
    <w:qFormat/>
    <w:rPr>
      <w:rFonts w:ascii="Arial" w:hAnsi="Arial" w:eastAsia="Arial" w:cs="Arial"/>
      <w:b/>
      <w:bCs/>
      <w:i/>
      <w:iCs/>
      <w:sz w:val="22"/>
      <w:szCs w:val="22"/>
    </w:rPr>
  </w:style>
  <w:style w:type="character" w:styleId="929" w:customStyle="1">
    <w:name w:val="Heading 8 Char"/>
    <w:basedOn w:val="861"/>
    <w:uiPriority w:val="9"/>
    <w:qFormat/>
    <w:rPr>
      <w:rFonts w:ascii="Arial" w:hAnsi="Arial" w:eastAsia="Arial" w:cs="Arial"/>
      <w:i/>
      <w:iCs/>
      <w:sz w:val="22"/>
      <w:szCs w:val="22"/>
    </w:rPr>
  </w:style>
  <w:style w:type="character" w:styleId="930" w:customStyle="1">
    <w:name w:val="Heading 9 Char"/>
    <w:basedOn w:val="861"/>
    <w:uiPriority w:val="9"/>
    <w:qFormat/>
    <w:rPr>
      <w:rFonts w:ascii="Arial" w:hAnsi="Arial" w:eastAsia="Arial" w:cs="Arial"/>
      <w:i/>
      <w:iCs/>
      <w:sz w:val="21"/>
      <w:szCs w:val="21"/>
    </w:rPr>
  </w:style>
  <w:style w:type="paragraph" w:styleId="931">
    <w:name w:val="No Spacing"/>
    <w:uiPriority w:val="1"/>
    <w:qFormat/>
    <w:rPr>
      <w:rFonts w:ascii="Times New Roman" w:hAnsi="Times New Roman" w:eastAsia="宋体" w:cs="Times New Roman"/>
      <w:lang w:val="en-US" w:eastAsia="zh-CN" w:bidi="ar-SA"/>
    </w:rPr>
  </w:style>
  <w:style w:type="character" w:styleId="932" w:customStyle="1">
    <w:name w:val="Title Char"/>
    <w:basedOn w:val="861"/>
    <w:uiPriority w:val="10"/>
    <w:qFormat/>
    <w:rPr>
      <w:sz w:val="48"/>
      <w:szCs w:val="48"/>
    </w:rPr>
  </w:style>
  <w:style w:type="character" w:styleId="933" w:customStyle="1">
    <w:name w:val="Subtitle Char"/>
    <w:basedOn w:val="861"/>
    <w:uiPriority w:val="11"/>
    <w:qFormat/>
    <w:rPr>
      <w:sz w:val="24"/>
      <w:szCs w:val="24"/>
    </w:rPr>
  </w:style>
  <w:style w:type="paragraph" w:styleId="934">
    <w:name w:val="Quote"/>
    <w:basedOn w:val="851"/>
    <w:next w:val="851"/>
    <w:link w:val="935"/>
    <w:uiPriority w:val="29"/>
    <w:qFormat/>
    <w:pPr>
      <w:ind w:left="720" w:right="720"/>
    </w:pPr>
    <w:rPr>
      <w:i/>
    </w:rPr>
  </w:style>
  <w:style w:type="character" w:styleId="935" w:customStyle="1">
    <w:name w:val="引用 字符"/>
    <w:link w:val="934"/>
    <w:uiPriority w:val="29"/>
    <w:qFormat/>
    <w:rPr>
      <w:i/>
    </w:rPr>
  </w:style>
  <w:style w:type="paragraph" w:styleId="936">
    <w:name w:val="Intense Quote"/>
    <w:basedOn w:val="851"/>
    <w:next w:val="851"/>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明显引用 字符"/>
    <w:link w:val="936"/>
    <w:uiPriority w:val="30"/>
    <w:qFormat/>
    <w:rPr>
      <w:i/>
    </w:rPr>
  </w:style>
  <w:style w:type="character" w:styleId="938" w:customStyle="1">
    <w:name w:val="Header Char"/>
    <w:basedOn w:val="861"/>
    <w:uiPriority w:val="99"/>
    <w:qFormat/>
  </w:style>
  <w:style w:type="character" w:styleId="939" w:customStyle="1">
    <w:name w:val="Footer Char"/>
    <w:basedOn w:val="861"/>
    <w:uiPriority w:val="99"/>
    <w:qFormat/>
  </w:style>
  <w:style w:type="character" w:styleId="940" w:customStyle="1">
    <w:name w:val="Caption Char"/>
    <w:uiPriority w:val="99"/>
    <w:qFormat/>
  </w:style>
  <w:style w:type="table" w:styleId="941" w:customStyle="1">
    <w:name w:val="Table Grid Light"/>
    <w:basedOn w:val="8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2" w:customStyle="1">
    <w:name w:val="无格式表格 11"/>
    <w:basedOn w:val="8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21"/>
    <w:basedOn w:val="8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31"/>
    <w:basedOn w:val="8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无格式表格 41"/>
    <w:basedOn w:val="8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无格式表格 51"/>
    <w:basedOn w:val="8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网格表 1 浅色1"/>
    <w:basedOn w:val="8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1"/>
    <w:basedOn w:val="86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basedOn w:val="86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basedOn w:val="8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basedOn w:val="8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basedOn w:val="86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basedOn w:val="8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4" w:customStyle="1">
    <w:name w:val="网格表 21"/>
    <w:basedOn w:val="8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basedOn w:val="86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basedOn w:val="86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basedOn w:val="86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basedOn w:val="8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basedOn w:val="86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Grid Table 2 - Accent 6"/>
    <w:basedOn w:val="86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网格表 31"/>
    <w:basedOn w:val="8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basedOn w:val="86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basedOn w:val="86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basedOn w:val="86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basedOn w:val="8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basedOn w:val="86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basedOn w:val="86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网格表 41"/>
    <w:basedOn w:val="8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basedOn w:val="86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0" w:customStyle="1">
    <w:name w:val="Grid Table 4 - Accent 2"/>
    <w:basedOn w:val="86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1" w:customStyle="1">
    <w:name w:val="Grid Table 4 - Accent 3"/>
    <w:basedOn w:val="86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2" w:customStyle="1">
    <w:name w:val="Grid Table 4 - Accent 4"/>
    <w:basedOn w:val="86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3" w:customStyle="1">
    <w:name w:val="Grid Table 4 - Accent 5"/>
    <w:basedOn w:val="86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4" w:customStyle="1">
    <w:name w:val="Grid Table 4 - Accent 6"/>
    <w:basedOn w:val="86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5" w:customStyle="1">
    <w:name w:val="网格表 5 深色1"/>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网格表 6 彩色1"/>
    <w:basedOn w:val="8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6 Colorful - Accent 1"/>
    <w:basedOn w:val="86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4" w:customStyle="1">
    <w:name w:val="Grid Table 6 Colorful - Accent 2"/>
    <w:basedOn w:val="86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5" w:customStyle="1">
    <w:name w:val="Grid Table 6 Colorful - Accent 3"/>
    <w:basedOn w:val="86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6" w:customStyle="1">
    <w:name w:val="Grid Table 6 Colorful - Accent 4"/>
    <w:basedOn w:val="8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7" w:customStyle="1">
    <w:name w:val="Grid Table 6 Colorful - Accent 5"/>
    <w:basedOn w:val="86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6 Colorful - Accent 6"/>
    <w:basedOn w:val="86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网格表 7 彩色1"/>
    <w:basedOn w:val="8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basedOn w:val="86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basedOn w:val="86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basedOn w:val="86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basedOn w:val="86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basedOn w:val="86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basedOn w:val="86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清单表 1 浅色1"/>
    <w:basedOn w:val="86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basedOn w:val="86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1 Light - Accent 2"/>
    <w:basedOn w:val="86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9" w:customStyle="1">
    <w:name w:val="List Table 1 Light - Accent 3"/>
    <w:basedOn w:val="86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basedOn w:val="86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basedOn w:val="86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basedOn w:val="86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清单表 21"/>
    <w:basedOn w:val="8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basedOn w:val="86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5" w:customStyle="1">
    <w:name w:val="List Table 2 - Accent 2"/>
    <w:basedOn w:val="86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6" w:customStyle="1">
    <w:name w:val="List Table 2 - Accent 3"/>
    <w:basedOn w:val="86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7" w:customStyle="1">
    <w:name w:val="List Table 2 - Accent 4"/>
    <w:basedOn w:val="86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8" w:customStyle="1">
    <w:name w:val="List Table 2 - Accent 5"/>
    <w:basedOn w:val="86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9" w:customStyle="1">
    <w:name w:val="List Table 2 - Accent 6"/>
    <w:basedOn w:val="86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0" w:customStyle="1">
    <w:name w:val="清单表 31"/>
    <w:basedOn w:val="8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basedOn w:val="86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3 - Accent 2"/>
    <w:basedOn w:val="86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3" w:customStyle="1">
    <w:name w:val="List Table 3 - Accent 3"/>
    <w:basedOn w:val="86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4" w:customStyle="1">
    <w:name w:val="List Table 3 - Accent 4"/>
    <w:basedOn w:val="8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5" w:customStyle="1">
    <w:name w:val="List Table 3 - Accent 5"/>
    <w:basedOn w:val="86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6" w:customStyle="1">
    <w:name w:val="List Table 3 - Accent 6"/>
    <w:basedOn w:val="86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7" w:customStyle="1">
    <w:name w:val="清单表 41"/>
    <w:basedOn w:val="8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basedOn w:val="86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basedOn w:val="86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basedOn w:val="86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basedOn w:val="86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basedOn w:val="86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basedOn w:val="86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清单表 5 深色1"/>
    <w:basedOn w:val="8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1"/>
    <w:basedOn w:val="86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basedOn w:val="86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basedOn w:val="86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basedOn w:val="86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basedOn w:val="86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basedOn w:val="86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清单表 6 彩色1"/>
    <w:basedOn w:val="86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6 Colorful - Accent 1"/>
    <w:basedOn w:val="86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basedOn w:val="86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basedOn w:val="86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basedOn w:val="86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basedOn w:val="86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basedOn w:val="86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清单表 7 彩色1"/>
    <w:basedOn w:val="86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basedOn w:val="86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basedOn w:val="86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basedOn w:val="86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basedOn w:val="86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basedOn w:val="86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basedOn w:val="86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5" w:customStyle="1">
    <w:name w:val="Lined - Accent"/>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Lined - Accent 2"/>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Lined - Accent 3"/>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Lined - Accent 4"/>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Lined - Accent 5"/>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Lined - Accent 6"/>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amp; Lined - Accent"/>
    <w:basedOn w:val="86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basedOn w:val="86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Bordered &amp; Lined - Accent 2"/>
    <w:basedOn w:val="86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Bordered &amp; Lined - Accent 3"/>
    <w:basedOn w:val="86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Bordered &amp; Lined - Accent 4"/>
    <w:basedOn w:val="86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Bordered &amp; Lined - Accent 5"/>
    <w:basedOn w:val="86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Bordered &amp; Lined - Accent 6"/>
    <w:basedOn w:val="86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w:basedOn w:val="86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basedOn w:val="86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1" w:customStyle="1">
    <w:name w:val="Bordered - Accent 2"/>
    <w:basedOn w:val="86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2" w:customStyle="1">
    <w:name w:val="Bordered - Accent 3"/>
    <w:basedOn w:val="8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3" w:customStyle="1">
    <w:name w:val="Bordered - Accent 4"/>
    <w:basedOn w:val="8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4" w:customStyle="1">
    <w:name w:val="Bordered - Accent 5"/>
    <w:basedOn w:val="86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5" w:customStyle="1">
    <w:name w:val="Bordered - Accent 6"/>
    <w:basedOn w:val="8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6" w:customStyle="1">
    <w:name w:val="脚注文本 字符"/>
    <w:link w:val="887"/>
    <w:uiPriority w:val="99"/>
    <w:qFormat/>
    <w:rPr>
      <w:sz w:val="18"/>
    </w:rPr>
  </w:style>
  <w:style w:type="character" w:styleId="1067" w:customStyle="1">
    <w:name w:val="尾注文本 字符"/>
    <w:link w:val="880"/>
    <w:uiPriority w:val="99"/>
    <w:qFormat/>
    <w:rPr>
      <w:sz w:val="20"/>
    </w:rPr>
  </w:style>
  <w:style w:type="paragraph" w:styleId="1068" w:customStyle="1">
    <w:name w:val="TOC 标题1"/>
    <w:uiPriority w:val="39"/>
    <w:unhideWhenUsed/>
    <w:qFormat/>
    <w:rPr>
      <w:rFonts w:ascii="Times New Roman" w:hAnsi="Times New Roman" w:eastAsia="宋体" w:cs="Times New Roman"/>
      <w:lang w:val="en-US" w:eastAsia="zh-CN" w:bidi="ar-SA"/>
    </w:rPr>
  </w:style>
  <w:style w:type="paragraph" w:styleId="1069" w:customStyle="1">
    <w:name w:val="列出段落1"/>
    <w:basedOn w:val="851"/>
    <w:uiPriority w:val="0"/>
    <w:qFormat/>
    <w:pPr>
      <w:ind w:firstLine="420"/>
    </w:pPr>
  </w:style>
  <w:style w:type="paragraph" w:styleId="1070" w:customStyle="1">
    <w:name w:val="标题 3_0"/>
    <w:basedOn w:val="1071"/>
    <w:next w:val="1071"/>
    <w:link w:val="1131"/>
    <w:uiPriority w:val="0"/>
    <w:qFormat/>
    <w:pPr>
      <w:keepLines/>
      <w:keepNext/>
      <w:spacing w:before="260" w:after="260" w:line="416" w:lineRule="auto"/>
      <w:outlineLvl w:val="2"/>
    </w:pPr>
    <w:rPr>
      <w:b/>
      <w:bCs/>
      <w:sz w:val="32"/>
      <w:szCs w:val="32"/>
    </w:rPr>
  </w:style>
  <w:style w:type="paragraph" w:styleId="107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72" w:customStyle="1">
    <w:name w:val="引用1"/>
    <w:basedOn w:val="851"/>
    <w:next w:val="851"/>
    <w:link w:val="1136"/>
    <w:uiPriority w:val="0"/>
    <w:qFormat/>
    <w:rPr>
      <w:i/>
      <w:iCs/>
      <w:color w:val="000000"/>
      <w:sz w:val="20"/>
      <w:szCs w:val="20"/>
    </w:rPr>
  </w:style>
  <w:style w:type="paragraph" w:styleId="1073" w:customStyle="1">
    <w:name w:val="标题 1_0"/>
    <w:basedOn w:val="1071"/>
    <w:next w:val="1071"/>
    <w:link w:val="1137"/>
    <w:uiPriority w:val="0"/>
    <w:qFormat/>
    <w:pPr>
      <w:keepLines/>
      <w:keepNext/>
      <w:spacing w:before="340" w:after="330" w:line="578" w:lineRule="auto"/>
      <w:outlineLvl w:val="0"/>
    </w:pPr>
    <w:rPr>
      <w:b/>
      <w:bCs/>
      <w:sz w:val="44"/>
      <w:szCs w:val="44"/>
    </w:rPr>
  </w:style>
  <w:style w:type="paragraph" w:styleId="1074" w:customStyle="1">
    <w:name w:val="标题 4_0"/>
    <w:basedOn w:val="1071"/>
    <w:next w:val="1071"/>
    <w:link w:val="1142"/>
    <w:uiPriority w:val="0"/>
    <w:qFormat/>
    <w:pPr>
      <w:keepLines/>
      <w:keepNext/>
      <w:spacing w:before="280" w:after="290" w:line="376" w:lineRule="auto"/>
      <w:outlineLvl w:val="3"/>
    </w:pPr>
    <w:rPr>
      <w:rFonts w:ascii="Arial" w:hAnsi="Arial" w:eastAsia="黑体"/>
      <w:b/>
      <w:bCs/>
      <w:sz w:val="28"/>
      <w:szCs w:val="28"/>
    </w:rPr>
  </w:style>
  <w:style w:type="paragraph" w:styleId="1075" w:customStyle="1">
    <w:name w:val="标题5"/>
    <w:basedOn w:val="854"/>
    <w:link w:val="1149"/>
    <w:uiPriority w:val="0"/>
    <w:qFormat/>
    <w:pPr>
      <w:numPr>
        <w:numId w:val="0"/>
      </w:numPr>
      <w:spacing w:line="413" w:lineRule="auto"/>
    </w:pPr>
    <w:rPr>
      <w:rFonts w:ascii="Arial" w:hAnsi="Arial"/>
      <w:sz w:val="24"/>
    </w:rPr>
  </w:style>
  <w:style w:type="paragraph" w:styleId="1076" w:customStyle="1">
    <w:name w:val="明显引用1"/>
    <w:basedOn w:val="851"/>
    <w:next w:val="851"/>
    <w:link w:val="1155"/>
    <w:uiPriority w:val="0"/>
    <w:qFormat/>
    <w:pPr>
      <w:ind w:left="936" w:right="936"/>
      <w:spacing w:before="200" w:after="280"/>
      <w:pBdr>
        <w:bottom w:val="single" w:color="4F81BD" w:sz="4" w:space="4"/>
      </w:pBdr>
    </w:pPr>
    <w:rPr>
      <w:b/>
      <w:bCs/>
      <w:i/>
      <w:iCs/>
      <w:color w:val="4f81bd"/>
      <w:sz w:val="20"/>
      <w:szCs w:val="20"/>
    </w:rPr>
  </w:style>
  <w:style w:type="paragraph" w:styleId="1077" w:customStyle="1">
    <w:name w:val="正文文本_0"/>
    <w:basedOn w:val="1071"/>
    <w:link w:val="1167"/>
    <w:uiPriority w:val="0"/>
    <w:qFormat/>
    <w:pPr>
      <w:spacing w:after="120"/>
    </w:pPr>
    <w:rPr>
      <w:sz w:val="20"/>
    </w:rPr>
  </w:style>
  <w:style w:type="paragraph" w:styleId="1078" w:customStyle="1">
    <w:name w:val="标题 5_0"/>
    <w:basedOn w:val="1071"/>
    <w:next w:val="1071"/>
    <w:link w:val="1170"/>
    <w:uiPriority w:val="0"/>
    <w:qFormat/>
    <w:pPr>
      <w:keepLines/>
      <w:keepNext/>
      <w:spacing w:before="280" w:after="290" w:line="372" w:lineRule="auto"/>
      <w:outlineLvl w:val="4"/>
    </w:pPr>
    <w:rPr>
      <w:rFonts w:ascii="Calibri" w:hAnsi="Calibri"/>
      <w:b/>
      <w:bCs/>
      <w:sz w:val="28"/>
      <w:szCs w:val="28"/>
    </w:rPr>
  </w:style>
  <w:style w:type="paragraph" w:styleId="1079" w:customStyle="1">
    <w:name w:val="标题4"/>
    <w:basedOn w:val="853"/>
    <w:next w:val="873"/>
    <w:link w:val="1185"/>
    <w:uiPriority w:val="0"/>
    <w:qFormat/>
    <w:pPr>
      <w:numPr>
        <w:numId w:val="0"/>
      </w:numPr>
      <w:spacing w:line="413" w:lineRule="auto"/>
    </w:pPr>
    <w:rPr>
      <w:rFonts w:ascii="Arial" w:hAnsi="Arial"/>
      <w:sz w:val="24"/>
    </w:rPr>
  </w:style>
  <w:style w:type="paragraph" w:styleId="1080" w:customStyle="1">
    <w:name w:val="标题 2_0"/>
    <w:basedOn w:val="1071"/>
    <w:next w:val="1071"/>
    <w:link w:val="1197"/>
    <w:uiPriority w:val="0"/>
    <w:unhideWhenUsed/>
    <w:qFormat/>
    <w:pPr>
      <w:keepLines/>
      <w:keepNext/>
      <w:spacing w:before="260" w:after="260" w:line="416" w:lineRule="auto"/>
      <w:outlineLvl w:val="1"/>
    </w:pPr>
    <w:rPr>
      <w:rFonts w:ascii="Cambria" w:hAnsi="Cambria"/>
      <w:b/>
      <w:bCs/>
      <w:sz w:val="32"/>
      <w:szCs w:val="32"/>
    </w:rPr>
  </w:style>
  <w:style w:type="paragraph" w:styleId="1081" w:customStyle="1">
    <w:name w:val="List Paragraph1"/>
    <w:basedOn w:val="851"/>
    <w:link w:val="1201"/>
    <w:uiPriority w:val="99"/>
    <w:qFormat/>
    <w:pPr>
      <w:ind w:firstLine="420"/>
    </w:pPr>
  </w:style>
  <w:style w:type="paragraph" w:styleId="1082" w:customStyle="1">
    <w:name w:val="样式 标题 3 + (中文) 黑体 小四 非加粗 段前: 7.8 磅 段后: 0 磅 行距: 固定值 20 磅"/>
    <w:basedOn w:val="854"/>
    <w:next w:val="851"/>
    <w:uiPriority w:val="0"/>
    <w:qFormat/>
    <w:pPr>
      <w:spacing w:before="0" w:after="0" w:line="400" w:lineRule="exact"/>
    </w:pPr>
    <w:rPr>
      <w:rFonts w:eastAsia="黑体" w:cs="宋体"/>
      <w:b w:val="0"/>
      <w:bCs w:val="0"/>
      <w:sz w:val="24"/>
      <w:szCs w:val="20"/>
    </w:rPr>
  </w:style>
  <w:style w:type="paragraph" w:styleId="1083" w:customStyle="1">
    <w:name w:val="_Style 34"/>
    <w:next w:val="851"/>
    <w:uiPriority w:val="0"/>
    <w:qFormat/>
    <w:pPr>
      <w:jc w:val="both"/>
      <w:widowControl w:val="off"/>
    </w:pPr>
    <w:rPr>
      <w:rFonts w:ascii="Times New Roman" w:hAnsi="Times New Roman" w:eastAsia="宋体" w:cs="Times New Roman"/>
      <w:sz w:val="21"/>
      <w:lang w:val="en-US" w:eastAsia="zh-CN" w:bidi="ar-SA"/>
    </w:rPr>
  </w:style>
  <w:style w:type="paragraph" w:styleId="108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85" w:customStyle="1">
    <w:name w:val="_Style 36"/>
    <w:next w:val="851"/>
    <w:uiPriority w:val="0"/>
    <w:qFormat/>
    <w:pPr>
      <w:jc w:val="both"/>
      <w:widowControl w:val="off"/>
    </w:pPr>
    <w:rPr>
      <w:rFonts w:ascii="Times New Roman" w:hAnsi="Times New Roman" w:eastAsia="宋体" w:cs="Times New Roman"/>
      <w:sz w:val="21"/>
      <w:lang w:val="en-US" w:eastAsia="zh-CN" w:bidi="ar-SA"/>
    </w:rPr>
  </w:style>
  <w:style w:type="paragraph" w:styleId="1086" w:customStyle="1">
    <w:name w:val="空半行"/>
    <w:basedOn w:val="851"/>
    <w:uiPriority w:val="0"/>
    <w:qFormat/>
    <w:pPr>
      <w:spacing w:line="120" w:lineRule="exact"/>
    </w:pPr>
    <w:rPr>
      <w:rFonts w:ascii="Calibri" w:hAnsi="Calibri" w:eastAsia="仿宋_GB2312"/>
      <w:color w:val="ffffff"/>
      <w:sz w:val="30"/>
      <w:szCs w:val="22"/>
    </w:rPr>
  </w:style>
  <w:style w:type="paragraph" w:styleId="1087" w:customStyle="1">
    <w:name w:val="1方案格式1"/>
    <w:basedOn w:val="852"/>
    <w:uiPriority w:val="0"/>
    <w:qFormat/>
    <w:pPr>
      <w:numPr>
        <w:numId w:val="2"/>
      </w:numPr>
      <w:ind w:left="0" w:firstLine="0"/>
      <w:spacing w:line="360" w:lineRule="auto"/>
      <w:tabs>
        <w:tab w:val="left" w:pos="360" w:leader="none"/>
      </w:tabs>
    </w:pPr>
    <w:rPr>
      <w:rFonts w:eastAsia="微软雅黑"/>
      <w:bCs w:val="0"/>
      <w:sz w:val="48"/>
    </w:rPr>
  </w:style>
  <w:style w:type="paragraph" w:styleId="1088" w:customStyle="1">
    <w:name w:val="格式３"/>
    <w:basedOn w:val="851"/>
    <w:uiPriority w:val="0"/>
    <w:qFormat/>
    <w:pPr>
      <w:ind w:left="600" w:hanging="600"/>
      <w:spacing w:line="420" w:lineRule="exact"/>
    </w:pPr>
    <w:rPr>
      <w:rFonts w:ascii="宋体" w:hAnsi="宋体"/>
      <w:color w:val="000000"/>
      <w:sz w:val="24"/>
      <w:szCs w:val="20"/>
    </w:rPr>
  </w:style>
  <w:style w:type="paragraph" w:styleId="1089" w:customStyle="1">
    <w:name w:val="列出段落111"/>
    <w:basedOn w:val="851"/>
    <w:uiPriority w:val="99"/>
    <w:qFormat/>
    <w:pPr>
      <w:contextualSpacing/>
      <w:ind w:left="720"/>
      <w:jc w:val="left"/>
      <w:widowControl/>
    </w:pPr>
    <w:rPr>
      <w:rFonts w:ascii="Arial" w:hAnsi="Arial" w:eastAsia="黑体"/>
      <w:sz w:val="24"/>
      <w:lang w:eastAsia="en-US"/>
    </w:rPr>
  </w:style>
  <w:style w:type="paragraph" w:styleId="1090" w:customStyle="1">
    <w:name w:val="正文空2字"/>
    <w:basedOn w:val="851"/>
    <w:uiPriority w:val="0"/>
    <w:qFormat/>
    <w:pPr>
      <w:ind w:firstLine="200"/>
      <w:spacing w:line="360" w:lineRule="auto"/>
    </w:pPr>
    <w:rPr>
      <w:sz w:val="24"/>
      <w:lang w:bidi="en-US"/>
    </w:rPr>
  </w:style>
  <w:style w:type="paragraph" w:styleId="109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92" w:customStyle="1">
    <w:name w:val="目录 5_0"/>
    <w:basedOn w:val="1071"/>
    <w:next w:val="1071"/>
    <w:uiPriority w:val="39"/>
    <w:qFormat/>
    <w:pPr>
      <w:ind w:left="1680"/>
    </w:pPr>
    <w:rPr>
      <w:rFonts w:ascii="Calibri" w:hAnsi="Calibri"/>
    </w:rPr>
  </w:style>
  <w:style w:type="paragraph" w:styleId="1093" w:customStyle="1">
    <w:name w:val="修订1"/>
    <w:uiPriority w:val="0"/>
    <w:qFormat/>
    <w:rPr>
      <w:rFonts w:ascii="Times New Roman" w:hAnsi="Times New Roman" w:eastAsia="宋体" w:cs="Times New Roman"/>
      <w:sz w:val="21"/>
      <w:szCs w:val="24"/>
      <w:lang w:val="en-US" w:eastAsia="zh-CN" w:bidi="ar-SA"/>
    </w:rPr>
  </w:style>
  <w:style w:type="paragraph" w:styleId="1094" w:customStyle="1">
    <w:name w:val="标题 11"/>
    <w:basedOn w:val="915"/>
    <w:next w:val="91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95" w:customStyle="1">
    <w:name w:val="正文 + 行距: 固定值 20 磅"/>
    <w:basedOn w:val="851"/>
    <w:uiPriority w:val="0"/>
    <w:qFormat/>
    <w:pPr>
      <w:ind w:firstLine="716"/>
      <w:spacing w:line="400" w:lineRule="exact"/>
    </w:pPr>
    <w:rPr>
      <w:rFonts w:ascii="Calibri" w:hAnsi="Calibri"/>
      <w:szCs w:val="22"/>
    </w:rPr>
  </w:style>
  <w:style w:type="paragraph" w:styleId="1096" w:customStyle="1">
    <w:name w:val="TOC 标题11"/>
    <w:basedOn w:val="852"/>
    <w:next w:val="85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97" w:customStyle="1">
    <w:name w:val="表格文字"/>
    <w:basedOn w:val="851"/>
    <w:link w:val="1202"/>
    <w:uiPriority w:val="0"/>
    <w:qFormat/>
    <w:pPr>
      <w:jc w:val="left"/>
      <w:spacing w:line="420" w:lineRule="atLeast"/>
    </w:pPr>
    <w:rPr>
      <w:rFonts w:ascii="Calibri" w:hAnsi="Calibri"/>
      <w:szCs w:val="22"/>
    </w:rPr>
  </w:style>
  <w:style w:type="paragraph" w:styleId="1098" w:customStyle="1">
    <w:name w:val="flNote"/>
    <w:basedOn w:val="851"/>
    <w:uiPriority w:val="0"/>
    <w:qFormat/>
    <w:pPr>
      <w:jc w:val="center"/>
      <w:spacing w:before="320" w:after="160" w:line="360" w:lineRule="atLeast"/>
    </w:pPr>
    <w:rPr>
      <w:rFonts w:ascii="Arial" w:hAnsi="Calibri" w:eastAsia="黑体"/>
      <w:sz w:val="30"/>
      <w:szCs w:val="22"/>
    </w:rPr>
  </w:style>
  <w:style w:type="paragraph" w:styleId="1099" w:customStyle="1">
    <w:name w:val="文章正文"/>
    <w:basedOn w:val="851"/>
    <w:uiPriority w:val="99"/>
    <w:qFormat/>
    <w:pPr>
      <w:ind w:firstLine="480"/>
      <w:spacing w:line="360" w:lineRule="auto"/>
    </w:pPr>
    <w:rPr>
      <w:rFonts w:ascii="仿宋_GB2312" w:hAnsi="宋体" w:eastAsia="仿宋_GB2312"/>
      <w:color w:val="ff0000"/>
      <w:sz w:val="24"/>
    </w:rPr>
  </w:style>
  <w:style w:type="paragraph" w:styleId="1100" w:customStyle="1">
    <w:name w:val="表格"/>
    <w:basedOn w:val="851"/>
    <w:uiPriority w:val="0"/>
    <w:qFormat/>
    <w:pPr>
      <w:jc w:val="center"/>
    </w:pPr>
    <w:rPr>
      <w:rFonts w:ascii="华文细黑" w:hAnsi="华文细黑"/>
      <w:szCs w:val="22"/>
    </w:rPr>
  </w:style>
  <w:style w:type="paragraph" w:styleId="1101" w:customStyle="1">
    <w:name w:val="Char"/>
    <w:basedOn w:val="851"/>
    <w:uiPriority w:val="0"/>
    <w:qFormat/>
    <w:pPr>
      <w:jc w:val="left"/>
      <w:spacing w:after="160" w:line="240" w:lineRule="exact"/>
      <w:widowControl/>
    </w:pPr>
    <w:rPr>
      <w:rFonts w:ascii="Verdana" w:hAnsi="Verdana"/>
      <w:sz w:val="20"/>
      <w:szCs w:val="20"/>
      <w:lang w:eastAsia="en-US"/>
    </w:rPr>
  </w:style>
  <w:style w:type="paragraph" w:styleId="110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3" w:customStyle="1">
    <w:name w:val="列出段落2"/>
    <w:basedOn w:val="851"/>
    <w:uiPriority w:val="99"/>
    <w:qFormat/>
    <w:pPr>
      <w:ind w:firstLine="420"/>
    </w:pPr>
  </w:style>
  <w:style w:type="paragraph" w:styleId="1104" w:customStyle="1">
    <w:name w:val="6'"/>
    <w:basedOn w:val="851"/>
    <w:uiPriority w:val="0"/>
    <w:qFormat/>
    <w:pPr>
      <w:jc w:val="center"/>
      <w:spacing w:line="320" w:lineRule="exact"/>
    </w:pPr>
    <w:rPr>
      <w:rFonts w:ascii="Calibri" w:hAnsi="Calibri"/>
      <w:spacing w:val="20"/>
      <w:szCs w:val="22"/>
    </w:rPr>
  </w:style>
  <w:style w:type="paragraph" w:styleId="1105" w:customStyle="1">
    <w:name w:val="Char Char Char Char Char Char Char"/>
    <w:basedOn w:val="851"/>
    <w:uiPriority w:val="0"/>
    <w:qFormat/>
    <w:pPr>
      <w:spacing w:line="360" w:lineRule="auto"/>
    </w:pPr>
    <w:rPr>
      <w:sz w:val="24"/>
      <w:szCs w:val="20"/>
    </w:rPr>
  </w:style>
  <w:style w:type="paragraph" w:styleId="1106" w:customStyle="1">
    <w:name w:val="2方案格式2"/>
    <w:basedOn w:val="1087"/>
    <w:uiPriority w:val="0"/>
    <w:qFormat/>
    <w:pPr>
      <w:numPr>
        <w:ilvl w:val="1"/>
      </w:numPr>
      <w:spacing w:line="240" w:lineRule="auto"/>
      <w:outlineLvl w:val="1"/>
    </w:pPr>
    <w:rPr>
      <w:sz w:val="44"/>
    </w:rPr>
  </w:style>
  <w:style w:type="paragraph" w:styleId="110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08" w:customStyle="1">
    <w:name w:val="文档正文"/>
    <w:basedOn w:val="851"/>
    <w:uiPriority w:val="0"/>
    <w:qFormat/>
    <w:pPr>
      <w:ind w:firstLine="567"/>
      <w:spacing w:line="480" w:lineRule="atLeast"/>
    </w:pPr>
    <w:rPr>
      <w:rFonts w:ascii="Ari" w:eastAsia="Ari"/>
      <w:sz w:val="28"/>
      <w:szCs w:val="20"/>
    </w:rPr>
  </w:style>
  <w:style w:type="paragraph" w:styleId="1109" w:customStyle="1">
    <w:name w:val="txt"/>
    <w:basedOn w:val="851"/>
    <w:uiPriority w:val="0"/>
    <w:qFormat/>
    <w:pPr>
      <w:jc w:val="left"/>
      <w:spacing w:before="100" w:beforeAutospacing="1" w:after="100" w:afterAutospacing="1"/>
      <w:widowControl/>
    </w:pPr>
    <w:rPr>
      <w:rFonts w:ascii="宋体" w:hAnsi="宋体" w:cs="宋体"/>
      <w:sz w:val="24"/>
    </w:rPr>
  </w:style>
  <w:style w:type="paragraph" w:styleId="1110" w:customStyle="1">
    <w:name w:val="目录 4_0"/>
    <w:basedOn w:val="1071"/>
    <w:next w:val="1071"/>
    <w:uiPriority w:val="39"/>
    <w:qFormat/>
    <w:pPr>
      <w:ind w:left="1260"/>
    </w:pPr>
    <w:rPr>
      <w:rFonts w:ascii="Calibri" w:hAnsi="Calibri"/>
    </w:rPr>
  </w:style>
  <w:style w:type="paragraph" w:styleId="1111" w:customStyle="1">
    <w:name w:val="目录 3_0"/>
    <w:basedOn w:val="1071"/>
    <w:next w:val="1071"/>
    <w:uiPriority w:val="39"/>
    <w:qFormat/>
    <w:pPr>
      <w:ind w:left="840"/>
    </w:pPr>
    <w:rPr>
      <w:rFonts w:ascii="Calibri" w:hAnsi="Calibri"/>
    </w:rPr>
  </w:style>
  <w:style w:type="paragraph" w:styleId="1112" w:customStyle="1">
    <w:name w:val="样式 标题 1 + 黑体 三号 非加粗 居中 段前: 6 磅 段后: 6 磅 行距: 固定值 20 磅"/>
    <w:basedOn w:val="852"/>
    <w:uiPriority w:val="0"/>
    <w:qFormat/>
    <w:pPr>
      <w:numPr>
        <w:numId w:val="0"/>
      </w:numPr>
      <w:spacing w:before="120" w:after="120" w:line="400" w:lineRule="exact"/>
    </w:pPr>
    <w:rPr>
      <w:rFonts w:ascii="黑体" w:hAnsi="黑体" w:eastAsia="黑体"/>
      <w:b w:val="0"/>
      <w:bCs w:val="0"/>
      <w:szCs w:val="20"/>
    </w:rPr>
  </w:style>
  <w:style w:type="paragraph" w:styleId="1113" w:customStyle="1">
    <w:name w:val="1"/>
    <w:basedOn w:val="851"/>
    <w:next w:val="851"/>
    <w:uiPriority w:val="0"/>
    <w:qFormat/>
    <w:rPr>
      <w:rFonts w:ascii="Calibri" w:hAnsi="Calibri"/>
      <w:szCs w:val="22"/>
    </w:rPr>
  </w:style>
  <w:style w:type="paragraph" w:styleId="1114" w:customStyle="1">
    <w:name w:val="Blockquote_0"/>
    <w:basedOn w:val="1071"/>
    <w:uiPriority w:val="0"/>
    <w:qFormat/>
    <w:pPr>
      <w:ind w:left="360" w:right="360"/>
      <w:jc w:val="left"/>
      <w:spacing w:before="100" w:after="100"/>
    </w:pPr>
    <w:rPr>
      <w:rFonts w:ascii="Calibri" w:hAnsi="Calibri" w:eastAsia="Times New Roman"/>
      <w:sz w:val="24"/>
      <w:szCs w:val="20"/>
    </w:rPr>
  </w:style>
  <w:style w:type="paragraph" w:styleId="1115" w:customStyle="1">
    <w:name w:val="列出段落11"/>
    <w:basedOn w:val="851"/>
    <w:uiPriority w:val="0"/>
    <w:qFormat/>
    <w:pPr>
      <w:contextualSpacing/>
      <w:ind w:left="720"/>
      <w:jc w:val="left"/>
      <w:widowControl/>
    </w:pPr>
    <w:rPr>
      <w:rFonts w:ascii="Arial" w:hAnsi="Arial" w:eastAsia="黑体"/>
      <w:sz w:val="24"/>
      <w:lang w:eastAsia="en-US"/>
    </w:rPr>
  </w:style>
  <w:style w:type="paragraph" w:styleId="1116" w:customStyle="1">
    <w:name w:val="样式 标题 2 + Times New Roman 四号 非加粗 段前: 5 磅 段后: 0 磅 行距: 固定值 20..._0"/>
    <w:basedOn w:val="851"/>
    <w:uiPriority w:val="0"/>
    <w:qFormat/>
    <w:pPr>
      <w:keepLines/>
      <w:keepNext/>
      <w:spacing w:before="100" w:line="360" w:lineRule="auto"/>
      <w:outlineLvl w:val="1"/>
    </w:pPr>
    <w:rPr>
      <w:rFonts w:eastAsia="Times New Roman" w:cs="宋体"/>
      <w:sz w:val="28"/>
      <w:szCs w:val="20"/>
    </w:rPr>
  </w:style>
  <w:style w:type="paragraph" w:styleId="1117" w:customStyle="1">
    <w:name w:val="op_mapdots_left"/>
    <w:basedOn w:val="851"/>
    <w:uiPriority w:val="0"/>
    <w:qFormat/>
    <w:pPr>
      <w:jc w:val="left"/>
      <w:spacing w:before="100" w:beforeAutospacing="1" w:after="100" w:afterAutospacing="1"/>
      <w:widowControl/>
    </w:pPr>
    <w:rPr>
      <w:rFonts w:ascii="宋体" w:hAnsi="宋体" w:cs="宋体"/>
      <w:sz w:val="24"/>
    </w:rPr>
  </w:style>
  <w:style w:type="paragraph" w:styleId="1118" w:customStyle="1">
    <w:name w:val="p0"/>
    <w:basedOn w:val="851"/>
    <w:uiPriority w:val="0"/>
    <w:qFormat/>
    <w:pPr>
      <w:widowControl/>
    </w:pPr>
    <w:rPr>
      <w:b/>
      <w:bCs/>
      <w:sz w:val="24"/>
    </w:rPr>
  </w:style>
  <w:style w:type="paragraph" w:styleId="1119" w:customStyle="1">
    <w:name w:val="Blockquote"/>
    <w:basedOn w:val="851"/>
    <w:uiPriority w:val="0"/>
    <w:qFormat/>
    <w:pPr>
      <w:ind w:left="360" w:right="360"/>
      <w:jc w:val="left"/>
      <w:spacing w:before="100" w:after="100"/>
    </w:pPr>
    <w:rPr>
      <w:rFonts w:ascii="Calibri" w:hAnsi="Calibri"/>
      <w:sz w:val="24"/>
      <w:szCs w:val="22"/>
    </w:rPr>
  </w:style>
  <w:style w:type="paragraph" w:styleId="1120" w:customStyle="1">
    <w:name w:val="3方案格式3"/>
    <w:basedOn w:val="1106"/>
    <w:uiPriority w:val="0"/>
    <w:qFormat/>
    <w:pPr>
      <w:numPr>
        <w:ilvl w:val="2"/>
      </w:numPr>
      <w:outlineLvl w:val="2"/>
    </w:pPr>
    <w:rPr>
      <w:sz w:val="32"/>
    </w:rPr>
  </w:style>
  <w:style w:type="paragraph" w:styleId="1121" w:customStyle="1">
    <w:name w:val="样式 标题 2 + Times New Roman 四号 非加粗 段前: 5 磅 段后: 0 磅 行距: 固定值 20..."/>
    <w:basedOn w:val="853"/>
    <w:uiPriority w:val="0"/>
    <w:qFormat/>
    <w:pPr>
      <w:numPr>
        <w:numId w:val="0"/>
      </w:numPr>
      <w:spacing w:before="100" w:after="0" w:line="400" w:lineRule="exact"/>
    </w:pPr>
    <w:rPr>
      <w:rFonts w:ascii="Times New Roman" w:hAnsi="Times New Roman" w:eastAsia="黑体"/>
      <w:b w:val="0"/>
      <w:bCs w:val="0"/>
      <w:sz w:val="28"/>
      <w:szCs w:val="20"/>
    </w:rPr>
  </w:style>
  <w:style w:type="paragraph" w:styleId="1122" w:customStyle="1">
    <w:name w:val="标题2"/>
    <w:basedOn w:val="853"/>
    <w:next w:val="871"/>
    <w:uiPriority w:val="0"/>
    <w:qFormat/>
    <w:pPr>
      <w:spacing w:before="156" w:after="156" w:line="360" w:lineRule="auto"/>
    </w:pPr>
    <w:rPr>
      <w:bCs w:val="0"/>
      <w:sz w:val="24"/>
    </w:rPr>
  </w:style>
  <w:style w:type="paragraph" w:styleId="1123" w:customStyle="1">
    <w:name w:val="普通正文"/>
    <w:basedOn w:val="851"/>
    <w:uiPriority w:val="0"/>
    <w:qFormat/>
    <w:pPr>
      <w:ind w:firstLine="480"/>
      <w:jc w:val="left"/>
      <w:spacing w:before="120" w:after="120" w:line="360" w:lineRule="auto"/>
    </w:pPr>
    <w:rPr>
      <w:rFonts w:ascii="Arial" w:hAnsi="Arial"/>
      <w:sz w:val="24"/>
    </w:rPr>
  </w:style>
  <w:style w:type="paragraph" w:styleId="1124" w:customStyle="1">
    <w:name w:val="正文11"/>
    <w:uiPriority w:val="0"/>
    <w:qFormat/>
    <w:rPr>
      <w:rFonts w:ascii="Calibri" w:hAnsi="Calibri" w:eastAsia="宋体" w:cs="Calibri"/>
      <w:sz w:val="24"/>
      <w:szCs w:val="24"/>
      <w:lang w:val="en-US" w:eastAsia="zh-CN" w:bidi="ar-SA"/>
    </w:rPr>
  </w:style>
  <w:style w:type="paragraph" w:styleId="1125" w:customStyle="1">
    <w:name w:val="正文2"/>
    <w:basedOn w:val="851"/>
    <w:uiPriority w:val="0"/>
    <w:qFormat/>
    <w:rPr>
      <w:rFonts w:eastAsia="微软雅黑"/>
      <w:sz w:val="24"/>
    </w:rPr>
  </w:style>
  <w:style w:type="paragraph" w:styleId="1126" w:customStyle="1">
    <w:name w:val="列出段落3"/>
    <w:basedOn w:val="851"/>
    <w:uiPriority w:val="0"/>
    <w:qFormat/>
    <w:pPr>
      <w:ind w:firstLine="420"/>
      <w:jc w:val="left"/>
      <w:spacing w:after="200"/>
      <w:widowControl/>
    </w:pPr>
    <w:rPr>
      <w:rFonts w:ascii="Tahoma" w:hAnsi="Tahoma" w:eastAsia="微软雅黑"/>
      <w:sz w:val="22"/>
      <w:szCs w:val="22"/>
    </w:rPr>
  </w:style>
  <w:style w:type="paragraph" w:styleId="1127" w:customStyle="1">
    <w:name w:val="纯文本2"/>
    <w:basedOn w:val="851"/>
    <w:uiPriority w:val="0"/>
    <w:qFormat/>
    <w:pPr>
      <w:jc w:val="left"/>
    </w:pPr>
    <w:rPr>
      <w:rFonts w:hint="eastAsia" w:ascii="宋体" w:hAnsi="宋体" w:cs="Courier New"/>
      <w:sz w:val="24"/>
      <w:szCs w:val="20"/>
    </w:rPr>
  </w:style>
  <w:style w:type="paragraph" w:styleId="1128" w:customStyle="1">
    <w:name w:val="trs_editor"/>
    <w:basedOn w:val="851"/>
    <w:uiPriority w:val="0"/>
    <w:qFormat/>
    <w:pPr>
      <w:jc w:val="left"/>
      <w:spacing w:before="100" w:beforeAutospacing="1" w:after="100" w:afterAutospacing="1"/>
      <w:widowControl/>
    </w:pPr>
    <w:rPr>
      <w:rFonts w:ascii="宋体" w:hAnsi="宋体" w:cs="宋体"/>
      <w:sz w:val="24"/>
    </w:rPr>
  </w:style>
  <w:style w:type="character" w:styleId="1129" w:customStyle="1">
    <w:name w:val="明显强调1"/>
    <w:uiPriority w:val="0"/>
    <w:qFormat/>
    <w:rPr>
      <w:b/>
      <w:bCs/>
      <w:i/>
      <w:iCs/>
      <w:color w:val="4f81bd"/>
    </w:rPr>
  </w:style>
  <w:style w:type="character" w:styleId="1130" w:customStyle="1">
    <w:name w:val="批注文字 Char2"/>
    <w:uiPriority w:val="0"/>
    <w:qFormat/>
    <w:rPr>
      <w:sz w:val="21"/>
    </w:rPr>
  </w:style>
  <w:style w:type="character" w:styleId="1131" w:customStyle="1">
    <w:name w:val="标题 3 Char_0"/>
    <w:link w:val="1070"/>
    <w:uiPriority w:val="0"/>
    <w:qFormat/>
    <w:rPr>
      <w:b/>
      <w:bCs/>
      <w:sz w:val="32"/>
      <w:szCs w:val="32"/>
    </w:rPr>
  </w:style>
  <w:style w:type="character" w:styleId="1132" w:customStyle="1">
    <w:name w:val="标题 2 字符"/>
    <w:link w:val="853"/>
    <w:uiPriority w:val="0"/>
    <w:qFormat/>
    <w:rPr>
      <w:rFonts w:ascii="Cambria" w:hAnsi="Cambria"/>
      <w:b/>
      <w:bCs/>
      <w:sz w:val="32"/>
      <w:szCs w:val="32"/>
    </w:rPr>
  </w:style>
  <w:style w:type="character" w:styleId="1133" w:customStyle="1">
    <w:name w:val="正文文本 Char2"/>
    <w:uiPriority w:val="99"/>
    <w:semiHidden/>
    <w:qFormat/>
    <w:rPr>
      <w:rFonts w:ascii="Calibri" w:hAnsi="Calibri" w:eastAsia="宋体" w:cs="Times New Roman"/>
    </w:rPr>
  </w:style>
  <w:style w:type="character" w:styleId="1134" w:customStyle="1">
    <w:name w:val="页脚 Char1"/>
    <w:uiPriority w:val="99"/>
    <w:semiHidden/>
    <w:qFormat/>
    <w:rPr>
      <w:rFonts w:ascii="Calibri" w:hAnsi="Calibri" w:eastAsia="宋体" w:cs="Times New Roman"/>
      <w:sz w:val="18"/>
      <w:szCs w:val="18"/>
    </w:rPr>
  </w:style>
  <w:style w:type="character" w:styleId="1135" w:customStyle="1">
    <w:name w:val="明显引用 Char2"/>
    <w:uiPriority w:val="99"/>
    <w:qFormat/>
    <w:rPr>
      <w:b/>
      <w:bCs/>
      <w:i/>
      <w:iCs/>
      <w:color w:val="4f81bd"/>
      <w:sz w:val="21"/>
      <w:szCs w:val="24"/>
    </w:rPr>
  </w:style>
  <w:style w:type="character" w:styleId="1136" w:customStyle="1">
    <w:name w:val="引用 Char"/>
    <w:link w:val="1072"/>
    <w:uiPriority w:val="0"/>
    <w:qFormat/>
    <w:rPr>
      <w:i/>
      <w:iCs/>
      <w:color w:val="000000"/>
    </w:rPr>
  </w:style>
  <w:style w:type="character" w:styleId="1137" w:customStyle="1">
    <w:name w:val="标题 1 Char_0"/>
    <w:link w:val="1073"/>
    <w:uiPriority w:val="0"/>
    <w:qFormat/>
    <w:rPr>
      <w:b/>
      <w:bCs/>
      <w:sz w:val="44"/>
      <w:szCs w:val="44"/>
    </w:rPr>
  </w:style>
  <w:style w:type="character" w:styleId="1138" w:customStyle="1">
    <w:name w:val="正文文本缩进 3 Char1"/>
    <w:uiPriority w:val="99"/>
    <w:semiHidden/>
    <w:qFormat/>
    <w:rPr>
      <w:sz w:val="16"/>
      <w:szCs w:val="16"/>
    </w:rPr>
  </w:style>
  <w:style w:type="character" w:styleId="1139" w:customStyle="1">
    <w:name w:val="引用 Char1"/>
    <w:uiPriority w:val="29"/>
    <w:qFormat/>
    <w:rPr>
      <w:i/>
      <w:iCs/>
      <w:color w:val="000000"/>
      <w:sz w:val="21"/>
    </w:rPr>
  </w:style>
  <w:style w:type="character" w:styleId="1140" w:customStyle="1">
    <w:name w:val="正文文本缩进 字符"/>
    <w:link w:val="872"/>
    <w:uiPriority w:val="0"/>
    <w:qFormat/>
    <w:rPr>
      <w:sz w:val="21"/>
      <w:szCs w:val="24"/>
    </w:rPr>
  </w:style>
  <w:style w:type="character" w:styleId="1141" w:customStyle="1">
    <w:name w:val="font161"/>
    <w:uiPriority w:val="0"/>
    <w:qFormat/>
    <w:rPr>
      <w:b/>
      <w:sz w:val="32"/>
    </w:rPr>
  </w:style>
  <w:style w:type="character" w:styleId="1142" w:customStyle="1">
    <w:name w:val="标题 4 Char_0"/>
    <w:link w:val="1074"/>
    <w:uiPriority w:val="0"/>
    <w:qFormat/>
    <w:rPr>
      <w:rFonts w:ascii="Arial" w:hAnsi="Arial" w:eastAsia="黑体"/>
      <w:b/>
      <w:bCs/>
      <w:sz w:val="28"/>
      <w:szCs w:val="28"/>
    </w:rPr>
  </w:style>
  <w:style w:type="character" w:styleId="1143" w:customStyle="1">
    <w:name w:val="页眉 字符"/>
    <w:link w:val="883"/>
    <w:uiPriority w:val="99"/>
    <w:qFormat/>
    <w:rPr>
      <w:sz w:val="18"/>
      <w:szCs w:val="18"/>
    </w:rPr>
  </w:style>
  <w:style w:type="character" w:styleId="1144" w:customStyle="1">
    <w:name w:val="标题 6 字符"/>
    <w:link w:val="857"/>
    <w:uiPriority w:val="0"/>
    <w:qFormat/>
    <w:rPr>
      <w:rFonts w:ascii="Cambria" w:hAnsi="Cambria" w:eastAsia="宋体" w:cs="Times New Roman"/>
      <w:b/>
      <w:bCs/>
      <w:sz w:val="24"/>
      <w:szCs w:val="24"/>
    </w:rPr>
  </w:style>
  <w:style w:type="character" w:styleId="1145" w:customStyle="1">
    <w:name w:val="纯文本 字符"/>
    <w:link w:val="876"/>
    <w:uiPriority w:val="0"/>
    <w:qFormat/>
    <w:rPr>
      <w:rFonts w:ascii="Ari"/>
      <w:lang w:val="en-US" w:eastAsia="zh-CN" w:bidi="ar-SA"/>
    </w:rPr>
  </w:style>
  <w:style w:type="character" w:styleId="1146" w:customStyle="1">
    <w:name w:val="引用 Char2"/>
    <w:uiPriority w:val="99"/>
    <w:qFormat/>
    <w:rPr>
      <w:i/>
      <w:iCs/>
      <w:color w:val="000000"/>
      <w:sz w:val="21"/>
      <w:szCs w:val="24"/>
    </w:rPr>
  </w:style>
  <w:style w:type="character" w:styleId="1147" w:customStyle="1">
    <w:name w:val="rvts11"/>
    <w:uiPriority w:val="0"/>
    <w:qFormat/>
    <w:rPr>
      <w:rFonts w:hint="default" w:ascii="KNLe" w:hAnsi="KNLe"/>
      <w:sz w:val="24"/>
      <w:szCs w:val="24"/>
      <w:u w:val="single"/>
    </w:rPr>
  </w:style>
  <w:style w:type="character" w:styleId="1148" w:customStyle="1">
    <w:name w:val="标题 字符"/>
    <w:link w:val="896"/>
    <w:uiPriority w:val="0"/>
    <w:qFormat/>
    <w:rPr>
      <w:rFonts w:ascii="Arial" w:hAnsi="Arial"/>
      <w:b/>
      <w:sz w:val="32"/>
    </w:rPr>
  </w:style>
  <w:style w:type="character" w:styleId="1149" w:customStyle="1">
    <w:name w:val="标题5 Char Char"/>
    <w:link w:val="1075"/>
    <w:uiPriority w:val="0"/>
    <w:qFormat/>
    <w:rPr>
      <w:rFonts w:ascii="Arial" w:hAnsi="Arial"/>
      <w:b/>
      <w:bCs/>
      <w:sz w:val="24"/>
      <w:szCs w:val="32"/>
    </w:rPr>
  </w:style>
  <w:style w:type="character" w:styleId="1150" w:customStyle="1">
    <w:name w:val="副标题 Char2"/>
    <w:uiPriority w:val="11"/>
    <w:qFormat/>
    <w:rPr>
      <w:rFonts w:ascii="Cambria" w:hAnsi="Cambria" w:cs="Times New Roman"/>
      <w:b/>
      <w:bCs/>
      <w:sz w:val="32"/>
      <w:szCs w:val="32"/>
    </w:rPr>
  </w:style>
  <w:style w:type="character" w:styleId="1151" w:customStyle="1">
    <w:name w:val="文档结构图 字符"/>
    <w:link w:val="868"/>
    <w:uiPriority w:val="0"/>
    <w:qFormat/>
    <w:rPr>
      <w:rFonts w:ascii="宋体"/>
      <w:sz w:val="18"/>
      <w:szCs w:val="18"/>
    </w:rPr>
  </w:style>
  <w:style w:type="character" w:styleId="1152" w:customStyle="1">
    <w:name w:val="日期 字符"/>
    <w:link w:val="878"/>
    <w:uiPriority w:val="0"/>
    <w:qFormat/>
    <w:rPr>
      <w:sz w:val="21"/>
      <w:szCs w:val="24"/>
    </w:rPr>
  </w:style>
  <w:style w:type="character" w:styleId="1153" w:customStyle="1">
    <w:name w:val="批注主题 Char1"/>
    <w:uiPriority w:val="0"/>
    <w:qFormat/>
    <w:rPr>
      <w:b/>
      <w:bCs/>
      <w:sz w:val="21"/>
      <w:szCs w:val="22"/>
    </w:rPr>
  </w:style>
  <w:style w:type="character" w:styleId="1154" w:customStyle="1">
    <w:name w:val="font31"/>
    <w:uiPriority w:val="0"/>
    <w:qFormat/>
    <w:rPr>
      <w:rFonts w:hint="eastAsia" w:ascii="宋体" w:hAnsi="宋体" w:eastAsia="宋体" w:cs="宋体"/>
      <w:color w:val="000000"/>
      <w:sz w:val="20"/>
      <w:szCs w:val="20"/>
      <w:u w:val="none"/>
    </w:rPr>
  </w:style>
  <w:style w:type="character" w:styleId="1155" w:customStyle="1">
    <w:name w:val="明显引用 Char"/>
    <w:link w:val="1076"/>
    <w:uiPriority w:val="0"/>
    <w:qFormat/>
    <w:rPr>
      <w:b/>
      <w:bCs/>
      <w:i/>
      <w:iCs/>
      <w:color w:val="4f81bd"/>
    </w:rPr>
  </w:style>
  <w:style w:type="character" w:styleId="1156" w:customStyle="1">
    <w:name w:val="标题 5 字符"/>
    <w:link w:val="856"/>
    <w:uiPriority w:val="0"/>
    <w:qFormat/>
    <w:rPr>
      <w:b/>
      <w:bCs/>
      <w:sz w:val="28"/>
      <w:szCs w:val="28"/>
    </w:rPr>
  </w:style>
  <w:style w:type="character" w:styleId="1157" w:customStyle="1">
    <w:name w:val="日期 Char1"/>
    <w:uiPriority w:val="0"/>
    <w:qFormat/>
    <w:rPr>
      <w:rFonts w:ascii="Calibri" w:hAnsi="Calibri" w:eastAsia="宋体" w:cs="Times New Roman"/>
    </w:rPr>
  </w:style>
  <w:style w:type="character" w:styleId="1158" w:customStyle="1">
    <w:name w:val="批注框文本 Char1"/>
    <w:uiPriority w:val="0"/>
    <w:qFormat/>
    <w:rPr>
      <w:sz w:val="18"/>
      <w:szCs w:val="18"/>
    </w:rPr>
  </w:style>
  <w:style w:type="character" w:styleId="1159" w:customStyle="1">
    <w:name w:val="标题 Char1"/>
    <w:uiPriority w:val="10"/>
    <w:qFormat/>
    <w:rPr>
      <w:rFonts w:ascii="Cambria" w:hAnsi="Cambria" w:eastAsia="宋体" w:cs="Times New Roman"/>
      <w:b/>
      <w:bCs/>
      <w:sz w:val="32"/>
      <w:szCs w:val="32"/>
    </w:rPr>
  </w:style>
  <w:style w:type="character" w:styleId="1160" w:customStyle="1">
    <w:name w:val="标题 9 字符"/>
    <w:link w:val="860"/>
    <w:uiPriority w:val="0"/>
    <w:qFormat/>
    <w:rPr>
      <w:rFonts w:ascii="Cambria" w:hAnsi="Cambria" w:eastAsia="宋体" w:cs="Times New Roman"/>
      <w:sz w:val="21"/>
      <w:szCs w:val="21"/>
    </w:rPr>
  </w:style>
  <w:style w:type="character" w:styleId="1161" w:customStyle="1">
    <w:name w:val="不明显参考1"/>
    <w:uiPriority w:val="0"/>
    <w:qFormat/>
    <w:rPr>
      <w:smallCaps/>
      <w:color w:val="c0504d"/>
      <w:u w:val="single"/>
    </w:rPr>
  </w:style>
  <w:style w:type="character" w:styleId="1162" w:customStyle="1">
    <w:name w:val="批注文字 Char1"/>
    <w:uiPriority w:val="0"/>
    <w:qFormat/>
    <w:rPr>
      <w:rFonts w:ascii="Calibri" w:hAnsi="Calibri" w:eastAsia="宋体" w:cs="Times New Roman"/>
    </w:rPr>
  </w:style>
  <w:style w:type="character" w:styleId="1163" w:customStyle="1">
    <w:name w:val="标题 Char2"/>
    <w:uiPriority w:val="10"/>
    <w:qFormat/>
    <w:rPr>
      <w:rFonts w:ascii="Cambria" w:hAnsi="Cambria" w:cs="Times New Roman"/>
      <w:b/>
      <w:bCs/>
      <w:sz w:val="32"/>
      <w:szCs w:val="32"/>
    </w:rPr>
  </w:style>
  <w:style w:type="character" w:styleId="1164" w:customStyle="1">
    <w:name w:val="正文文本 3 Char1"/>
    <w:uiPriority w:val="99"/>
    <w:semiHidden/>
    <w:qFormat/>
    <w:rPr>
      <w:sz w:val="16"/>
      <w:szCs w:val="16"/>
    </w:rPr>
  </w:style>
  <w:style w:type="character" w:styleId="1165" w:customStyle="1">
    <w:name w:val="批注主题 Char2"/>
    <w:uiPriority w:val="0"/>
    <w:qFormat/>
    <w:rPr>
      <w:b/>
      <w:bCs/>
      <w:sz w:val="21"/>
    </w:rPr>
  </w:style>
  <w:style w:type="character" w:styleId="1166" w:customStyle="1">
    <w:name w:val="标题 3 字符"/>
    <w:link w:val="854"/>
    <w:uiPriority w:val="0"/>
    <w:qFormat/>
    <w:rPr>
      <w:b/>
      <w:bCs/>
      <w:sz w:val="32"/>
      <w:szCs w:val="32"/>
    </w:rPr>
  </w:style>
  <w:style w:type="character" w:styleId="1167" w:customStyle="1">
    <w:name w:val="正文文本 Char_0"/>
    <w:link w:val="1077"/>
    <w:uiPriority w:val="0"/>
    <w:qFormat/>
    <w:rPr>
      <w:szCs w:val="24"/>
    </w:rPr>
  </w:style>
  <w:style w:type="character" w:styleId="1168" w:customStyle="1">
    <w:name w:val="副标题 字符"/>
    <w:link w:val="886"/>
    <w:uiPriority w:val="0"/>
    <w:qFormat/>
    <w:rPr>
      <w:rFonts w:ascii="Cambria" w:hAnsi="Cambria"/>
      <w:b/>
      <w:bCs/>
      <w:sz w:val="32"/>
      <w:szCs w:val="32"/>
    </w:rPr>
  </w:style>
  <w:style w:type="character" w:styleId="1169" w:customStyle="1">
    <w:name w:val="bookmark"/>
    <w:basedOn w:val="861"/>
    <w:uiPriority w:val="0"/>
    <w:qFormat/>
  </w:style>
  <w:style w:type="character" w:styleId="1170" w:customStyle="1">
    <w:name w:val="标题 5 Char_0"/>
    <w:link w:val="1078"/>
    <w:uiPriority w:val="0"/>
    <w:qFormat/>
    <w:rPr>
      <w:rFonts w:ascii="Calibri" w:hAnsi="Calibri"/>
      <w:b/>
      <w:bCs/>
      <w:sz w:val="28"/>
      <w:szCs w:val="28"/>
    </w:rPr>
  </w:style>
  <w:style w:type="character" w:styleId="1171" w:customStyle="1">
    <w:name w:val="正文文本缩进 2 字符"/>
    <w:link w:val="879"/>
    <w:uiPriority w:val="99"/>
    <w:qFormat/>
    <w:rPr>
      <w:rFonts w:ascii="宋体"/>
    </w:rPr>
  </w:style>
  <w:style w:type="character" w:styleId="1172" w:customStyle="1">
    <w:name w:val="批注文字 字符"/>
    <w:link w:val="869"/>
    <w:uiPriority w:val="99"/>
    <w:qFormat/>
    <w:rPr>
      <w:sz w:val="21"/>
      <w:szCs w:val="24"/>
    </w:rPr>
  </w:style>
  <w:style w:type="character" w:styleId="1173" w:customStyle="1">
    <w:name w:val="font11"/>
    <w:uiPriority w:val="0"/>
    <w:qFormat/>
    <w:rPr>
      <w:rFonts w:hint="eastAsia" w:ascii="宋体" w:hAnsi="宋体" w:eastAsia="宋体" w:cs="宋体"/>
      <w:color w:val="000000"/>
      <w:sz w:val="20"/>
      <w:szCs w:val="20"/>
      <w:u w:val="none"/>
    </w:rPr>
  </w:style>
  <w:style w:type="character" w:styleId="1174" w:customStyle="1">
    <w:name w:val="明显参考1"/>
    <w:uiPriority w:val="0"/>
    <w:qFormat/>
    <w:rPr>
      <w:b/>
      <w:bCs/>
      <w:smallCaps/>
      <w:color w:val="c0504d"/>
      <w:spacing w:val="5"/>
      <w:u w:val="single"/>
    </w:rPr>
  </w:style>
  <w:style w:type="character" w:styleId="1175" w:customStyle="1">
    <w:name w:val="超链接_0"/>
    <w:uiPriority w:val="99"/>
    <w:qFormat/>
    <w:rPr>
      <w:rFonts w:ascii="Calibri" w:hAnsi="Calibri"/>
      <w:color w:val="0000ff"/>
      <w:u w:val="single"/>
    </w:rPr>
  </w:style>
  <w:style w:type="character" w:styleId="1176" w:customStyle="1">
    <w:name w:val="文档结构图 Char2"/>
    <w:uiPriority w:val="99"/>
    <w:semiHidden/>
    <w:qFormat/>
    <w:rPr>
      <w:rFonts w:ascii="宋体" w:hAnsi="Calibri" w:eastAsia="宋体" w:cs="Times New Roman"/>
      <w:sz w:val="18"/>
      <w:szCs w:val="18"/>
    </w:rPr>
  </w:style>
  <w:style w:type="character" w:styleId="1177" w:customStyle="1">
    <w:name w:val="textcontents"/>
    <w:uiPriority w:val="0"/>
    <w:qFormat/>
    <w:rPr>
      <w:rFonts w:cs="Times New Roman"/>
    </w:rPr>
  </w:style>
  <w:style w:type="character" w:styleId="1178" w:customStyle="1">
    <w:name w:val="标题 1 Char"/>
    <w:uiPriority w:val="0"/>
    <w:qFormat/>
    <w:rPr>
      <w:b/>
      <w:bCs/>
      <w:sz w:val="32"/>
      <w:szCs w:val="44"/>
    </w:rPr>
  </w:style>
  <w:style w:type="character" w:styleId="1179" w:customStyle="1">
    <w:name w:val="正文文本 字符"/>
    <w:link w:val="871"/>
    <w:uiPriority w:val="0"/>
    <w:qFormat/>
    <w:rPr>
      <w:rFonts w:eastAsia="幼圆"/>
      <w:b/>
      <w:bCs/>
      <w:sz w:val="44"/>
      <w:szCs w:val="24"/>
    </w:rPr>
  </w:style>
  <w:style w:type="character" w:styleId="1180" w:customStyle="1">
    <w:name w:val="标题 8 字符"/>
    <w:link w:val="859"/>
    <w:uiPriority w:val="0"/>
    <w:qFormat/>
    <w:rPr>
      <w:rFonts w:ascii="Cambria" w:hAnsi="Cambria" w:eastAsia="宋体" w:cs="Times New Roman"/>
      <w:sz w:val="24"/>
      <w:szCs w:val="24"/>
    </w:rPr>
  </w:style>
  <w:style w:type="character" w:styleId="1181" w:customStyle="1">
    <w:name w:val="副标题 Char1"/>
    <w:uiPriority w:val="11"/>
    <w:qFormat/>
    <w:rPr>
      <w:rFonts w:ascii="Cambria" w:hAnsi="Cambria" w:cs="Times New Roman"/>
      <w:b/>
      <w:bCs/>
      <w:sz w:val="32"/>
      <w:szCs w:val="32"/>
    </w:rPr>
  </w:style>
  <w:style w:type="character" w:styleId="1182" w:customStyle="1">
    <w:name w:val="批注主题 字符"/>
    <w:link w:val="897"/>
    <w:uiPriority w:val="0"/>
    <w:qFormat/>
    <w:rPr>
      <w:b/>
      <w:bCs/>
      <w:sz w:val="21"/>
      <w:szCs w:val="24"/>
    </w:rPr>
  </w:style>
  <w:style w:type="character" w:styleId="1183" w:customStyle="1">
    <w:name w:val="书籍标题1"/>
    <w:uiPriority w:val="0"/>
    <w:qFormat/>
    <w:rPr>
      <w:b/>
      <w:bCs/>
      <w:smallCaps/>
      <w:spacing w:val="5"/>
    </w:rPr>
  </w:style>
  <w:style w:type="character" w:styleId="1184" w:customStyle="1">
    <w:name w:val="页脚 字符"/>
    <w:link w:val="882"/>
    <w:uiPriority w:val="99"/>
    <w:qFormat/>
    <w:rPr>
      <w:sz w:val="18"/>
      <w:szCs w:val="18"/>
    </w:rPr>
  </w:style>
  <w:style w:type="character" w:styleId="1185" w:customStyle="1">
    <w:name w:val="标题4 Char Char"/>
    <w:link w:val="1079"/>
    <w:uiPriority w:val="0"/>
    <w:qFormat/>
    <w:rPr>
      <w:rFonts w:ascii="Arial" w:hAnsi="Arial"/>
      <w:b/>
      <w:bCs/>
      <w:sz w:val="24"/>
      <w:szCs w:val="32"/>
    </w:rPr>
  </w:style>
  <w:style w:type="character" w:styleId="1186" w:customStyle="1">
    <w:name w:val="正文文本 Char1"/>
    <w:uiPriority w:val="0"/>
    <w:qFormat/>
    <w:rPr>
      <w:rFonts w:ascii="Calibri" w:hAnsi="Calibri" w:eastAsia="宋体" w:cs="Times New Roman"/>
    </w:rPr>
  </w:style>
  <w:style w:type="character" w:styleId="1187" w:customStyle="1">
    <w:name w:val="明显引用 Char1"/>
    <w:uiPriority w:val="30"/>
    <w:qFormat/>
    <w:rPr>
      <w:b/>
      <w:bCs/>
      <w:i/>
      <w:iCs/>
      <w:color w:val="4f81bd"/>
      <w:sz w:val="21"/>
    </w:rPr>
  </w:style>
  <w:style w:type="character" w:styleId="1188" w:customStyle="1">
    <w:name w:val="页眉 Char1"/>
    <w:uiPriority w:val="99"/>
    <w:semiHidden/>
    <w:qFormat/>
    <w:rPr>
      <w:rFonts w:ascii="Calibri" w:hAnsi="Calibri" w:eastAsia="宋体" w:cs="Times New Roman"/>
      <w:sz w:val="18"/>
      <w:szCs w:val="18"/>
    </w:rPr>
  </w:style>
  <w:style w:type="character" w:styleId="1189" w:customStyle="1">
    <w:name w:val="不明显强调1"/>
    <w:uiPriority w:val="0"/>
    <w:qFormat/>
    <w:rPr>
      <w:i/>
      <w:iCs/>
      <w:color w:val="808080"/>
    </w:rPr>
  </w:style>
  <w:style w:type="character" w:styleId="1190" w:customStyle="1">
    <w:name w:val="正文文本 3 字符"/>
    <w:link w:val="870"/>
    <w:uiPriority w:val="0"/>
    <w:qFormat/>
    <w:rPr>
      <w:rFonts w:ascii="宋体"/>
      <w:sz w:val="24"/>
    </w:rPr>
  </w:style>
  <w:style w:type="character" w:styleId="1191" w:customStyle="1">
    <w:name w:val="正文文本缩进 3 字符"/>
    <w:link w:val="889"/>
    <w:uiPriority w:val="0"/>
    <w:qFormat/>
    <w:rPr>
      <w:sz w:val="16"/>
    </w:rPr>
  </w:style>
  <w:style w:type="character" w:styleId="1192" w:customStyle="1">
    <w:name w:val="font21"/>
    <w:uiPriority w:val="0"/>
    <w:qFormat/>
    <w:rPr>
      <w:rFonts w:hint="eastAsia" w:ascii="宋体" w:hAnsi="宋体" w:eastAsia="宋体" w:cs="宋体"/>
      <w:color w:val="000000"/>
      <w:sz w:val="20"/>
      <w:szCs w:val="20"/>
      <w:u w:val="none"/>
    </w:rPr>
  </w:style>
  <w:style w:type="character" w:styleId="1193" w:customStyle="1">
    <w:name w:val="批注框文本 字符"/>
    <w:link w:val="881"/>
    <w:uiPriority w:val="0"/>
    <w:qFormat/>
    <w:rPr>
      <w:sz w:val="18"/>
      <w:szCs w:val="18"/>
    </w:rPr>
  </w:style>
  <w:style w:type="character" w:styleId="1194" w:customStyle="1">
    <w:name w:val="标题 7 字符"/>
    <w:link w:val="858"/>
    <w:uiPriority w:val="0"/>
    <w:qFormat/>
    <w:rPr>
      <w:b/>
      <w:bCs/>
      <w:sz w:val="24"/>
      <w:szCs w:val="24"/>
    </w:rPr>
  </w:style>
  <w:style w:type="character" w:styleId="1195" w:customStyle="1">
    <w:name w:val="标题 1 字符"/>
    <w:link w:val="852"/>
    <w:uiPriority w:val="0"/>
    <w:qFormat/>
    <w:rPr>
      <w:rFonts w:ascii="Times New Roman" w:hAnsi="Times New Roman" w:eastAsia="宋体" w:cs="Times New Roman"/>
      <w:b/>
      <w:bCs/>
      <w:sz w:val="32"/>
      <w:szCs w:val="44"/>
    </w:rPr>
  </w:style>
  <w:style w:type="character" w:styleId="1196" w:customStyle="1">
    <w:name w:val="文档结构图 Char1"/>
    <w:uiPriority w:val="0"/>
    <w:qFormat/>
    <w:rPr>
      <w:rFonts w:ascii="宋体" w:hAnsi="Calibri" w:eastAsia="宋体" w:cs="Times New Roman"/>
      <w:sz w:val="18"/>
      <w:szCs w:val="18"/>
    </w:rPr>
  </w:style>
  <w:style w:type="character" w:styleId="1197" w:customStyle="1">
    <w:name w:val="标题 2 Char_0"/>
    <w:link w:val="1080"/>
    <w:uiPriority w:val="0"/>
    <w:qFormat/>
    <w:rPr>
      <w:rFonts w:ascii="Cambria" w:hAnsi="Cambria"/>
      <w:b/>
      <w:bCs/>
      <w:sz w:val="32"/>
      <w:szCs w:val="32"/>
    </w:rPr>
  </w:style>
  <w:style w:type="character" w:styleId="1198" w:customStyle="1">
    <w:name w:val="日期 Char2"/>
    <w:uiPriority w:val="99"/>
    <w:semiHidden/>
    <w:qFormat/>
    <w:rPr>
      <w:rFonts w:ascii="Calibri" w:hAnsi="Calibri" w:eastAsia="宋体" w:cs="Times New Roman"/>
    </w:rPr>
  </w:style>
  <w:style w:type="character" w:styleId="1199" w:customStyle="1">
    <w:name w:val="批注框文本 Char2"/>
    <w:uiPriority w:val="99"/>
    <w:semiHidden/>
    <w:qFormat/>
    <w:rPr>
      <w:rFonts w:ascii="Calibri" w:hAnsi="Calibri" w:eastAsia="宋体" w:cs="Times New Roman"/>
      <w:sz w:val="18"/>
      <w:szCs w:val="18"/>
    </w:rPr>
  </w:style>
  <w:style w:type="character" w:styleId="1200" w:customStyle="1">
    <w:name w:val="标题 4 字符"/>
    <w:link w:val="855"/>
    <w:uiPriority w:val="0"/>
    <w:qFormat/>
    <w:rPr>
      <w:rFonts w:ascii="Cambria" w:hAnsi="Cambria" w:eastAsia="宋体" w:cs="Times New Roman"/>
      <w:b/>
      <w:bCs/>
      <w:sz w:val="28"/>
      <w:szCs w:val="28"/>
    </w:rPr>
  </w:style>
  <w:style w:type="character" w:styleId="1201" w:customStyle="1">
    <w:name w:val="列出段落 Char"/>
    <w:link w:val="1081"/>
    <w:uiPriority w:val="99"/>
    <w:qFormat/>
    <w:rPr>
      <w:sz w:val="21"/>
      <w:szCs w:val="24"/>
    </w:rPr>
  </w:style>
  <w:style w:type="character" w:styleId="1202" w:customStyle="1">
    <w:name w:val="表格文字 字符"/>
    <w:link w:val="1097"/>
    <w:uiPriority w:val="0"/>
    <w:qFormat/>
    <w:rPr>
      <w:rFonts w:ascii="Calibri" w:hAnsi="Calibri" w:eastAsia="宋体" w:cs="Times New Roman"/>
      <w:sz w:val="21"/>
      <w:szCs w:val="22"/>
    </w:rPr>
  </w:style>
  <w:style w:type="paragraph" w:styleId="1203" w:customStyle="1">
    <w:name w:val="修订2"/>
    <w:hidden/>
    <w:uiPriority w:val="99"/>
    <w:semiHidden/>
    <w:qFormat/>
    <w:rPr>
      <w:rFonts w:ascii="Times New Roman" w:hAnsi="Times New Roman" w:eastAsia="宋体" w:cs="Times New Roman"/>
      <w:sz w:val="21"/>
      <w:szCs w:val="24"/>
      <w:lang w:val="en-US" w:eastAsia="zh-CN" w:bidi="ar-SA"/>
    </w:rPr>
  </w:style>
  <w:style w:type="character" w:styleId="1204" w:customStyle="1">
    <w:name w:val="正文文本首行缩进 字符"/>
    <w:basedOn w:val="1179"/>
    <w:link w:val="898"/>
    <w:uiPriority w:val="0"/>
    <w:semiHidden/>
    <w:qFormat/>
    <w:rPr>
      <w:rFonts w:eastAsia="幼圆"/>
      <w:b w:val="0"/>
      <w:bCs w:val="0"/>
      <w:sz w:val="21"/>
      <w:szCs w:val="24"/>
    </w:rPr>
  </w:style>
  <w:style w:type="character" w:styleId="1205" w:customStyle="1">
    <w:name w:val="未处理的提及1"/>
    <w:basedOn w:val="861"/>
    <w:uiPriority w:val="99"/>
    <w:semiHidden/>
    <w:unhideWhenUsed/>
    <w:qFormat/>
    <w:rPr>
      <w:color w:val="605e5c"/>
      <w:shd w:val="clear" w:color="auto" w:fill="e1dfdd"/>
    </w:rPr>
  </w:style>
  <w:style w:type="paragraph" w:styleId="1206" w:customStyle="1">
    <w:name w:val="TOC 标题2"/>
    <w:basedOn w:val="852"/>
    <w:next w:val="851"/>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character" w:styleId="1207" w:customStyle="1">
    <w:name w:val="未处理的提及2"/>
    <w:basedOn w:val="861"/>
    <w:uiPriority w:val="99"/>
    <w:semiHidden/>
    <w:unhideWhenUsed/>
    <w:qFormat/>
    <w:rPr>
      <w:color w:val="605e5c"/>
      <w:shd w:val="clear" w:color="auto" w:fill="e1dfdd"/>
    </w:rPr>
  </w:style>
  <w:style w:type="paragraph" w:styleId="1208"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209" w:customStyle="1">
    <w:name w:val="标题 61"/>
    <w:basedOn w:val="851"/>
    <w:next w:val="851"/>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210" w:customStyle="1">
    <w:name w:val="标题 71"/>
    <w:basedOn w:val="851"/>
    <w:next w:val="851"/>
    <w:uiPriority w:val="0"/>
    <w:qFormat/>
    <w:pPr>
      <w:numPr>
        <w:ilvl w:val="6"/>
        <w:numId w:val="3"/>
      </w:numPr>
      <w:keepLines/>
      <w:keepNext/>
      <w:spacing w:before="240" w:after="64" w:line="320" w:lineRule="auto"/>
      <w:outlineLvl w:val="6"/>
    </w:pPr>
    <w:rPr>
      <w:b/>
      <w:bCs/>
      <w:sz w:val="24"/>
    </w:rPr>
  </w:style>
  <w:style w:type="paragraph" w:styleId="1211" w:customStyle="1">
    <w:name w:val="标题 81"/>
    <w:basedOn w:val="851"/>
    <w:next w:val="851"/>
    <w:uiPriority w:val="0"/>
    <w:qFormat/>
    <w:pPr>
      <w:numPr>
        <w:ilvl w:val="7"/>
        <w:numId w:val="3"/>
      </w:numPr>
      <w:keepLines/>
      <w:keepNext/>
      <w:spacing w:before="240" w:after="64" w:line="320" w:lineRule="auto"/>
      <w:outlineLvl w:val="7"/>
    </w:pPr>
    <w:rPr>
      <w:rFonts w:ascii="Arial" w:hAnsi="Arial" w:eastAsia="黑体"/>
      <w:sz w:val="24"/>
    </w:rPr>
  </w:style>
  <w:style w:type="paragraph" w:styleId="1212" w:customStyle="1">
    <w:name w:val="标题 91"/>
    <w:basedOn w:val="851"/>
    <w:next w:val="851"/>
    <w:uiPriority w:val="0"/>
    <w:qFormat/>
    <w:pPr>
      <w:numPr>
        <w:ilvl w:val="8"/>
        <w:numId w:val="3"/>
      </w:numPr>
      <w:keepLines/>
      <w:keepNext/>
      <w:spacing w:before="240" w:after="64" w:line="320" w:lineRule="auto"/>
      <w:outlineLvl w:val="8"/>
    </w:pPr>
    <w:rPr>
      <w:rFonts w:ascii="Arial" w:hAnsi="Arial" w:eastAsia="黑体"/>
      <w:szCs w:val="21"/>
    </w:rPr>
  </w:style>
  <w:style w:type="character" w:styleId="1213" w:customStyle="1">
    <w:name w:val="正文缩进 字符"/>
    <w:link w:val="866"/>
    <w:uiPriority w:val="0"/>
    <w:qFormat/>
    <w:rPr>
      <w:b/>
      <w:sz w:val="24"/>
    </w:rPr>
  </w:style>
  <w:style w:type="paragraph" w:styleId="1214"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215" w:customStyle="1">
    <w:name w:val="标题 21"/>
    <w:basedOn w:val="851"/>
    <w:next w:val="851"/>
    <w:uiPriority w:val="0"/>
    <w:qFormat/>
    <w:pPr>
      <w:keepLines/>
      <w:keepNext/>
      <w:spacing w:before="260" w:after="260" w:line="413" w:lineRule="auto"/>
      <w:outlineLvl w:val="1"/>
    </w:pPr>
    <w:rPr>
      <w:rFonts w:ascii="Arial" w:hAnsi="Arial" w:eastAsia="黑体"/>
      <w:b/>
      <w:sz w:val="32"/>
      <w:szCs w:val="20"/>
    </w:rPr>
  </w:style>
  <w:style w:type="paragraph" w:styleId="1216" w:customStyle="1">
    <w:name w:val="Table Text"/>
    <w:uiPriority w:val="0"/>
    <w:qFormat/>
    <w:pPr>
      <w:jc w:val="both"/>
      <w:widowControl w:val="off"/>
    </w:pPr>
    <w:rPr>
      <w:rFonts w:ascii="Times New Roman" w:hAnsi="Times New Roman" w:eastAsia="宋体" w:cs="Times New Roman"/>
      <w:lang w:val="en-US" w:eastAsia="en-US" w:bidi="ar-SA"/>
    </w:rPr>
  </w:style>
  <w:style w:type="table" w:styleId="1217" w:customStyle="1">
    <w:name w:val="Table Normal"/>
    <w:uiPriority w:val="2"/>
    <w:qFormat/>
    <w:tblPr>
      <w:tblCellMar>
        <w:left w:w="0" w:type="dxa"/>
        <w:top w:w="0" w:type="dxa"/>
        <w:right w:w="0" w:type="dxa"/>
        <w:bottom w:w="0" w:type="dxa"/>
      </w:tblCellMar>
    </w:tblPr>
  </w:style>
  <w:style w:type="paragraph" w:styleId="1218" w:customStyle="1">
    <w:name w:val="正文文本缩进11"/>
    <w:next w:val="1219"/>
    <w:uiPriority w:val="0"/>
    <w:unhideWhenUsed/>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1219" w:customStyle="1">
    <w:name w:val="寄信人地址1"/>
    <w:uiPriority w:val="0"/>
    <w:qFormat/>
    <w:pPr>
      <w:jc w:val="both"/>
      <w:widowControl w:val="off"/>
    </w:pPr>
    <w:rPr>
      <w:rFonts w:ascii="Arial" w:hAnsi="Arial" w:eastAsia="宋体" w:cs="宋体"/>
      <w:sz w:val="21"/>
      <w:szCs w:val="22"/>
      <w:lang w:val="en-US" w:eastAsia="zh-CN" w:bidi="ar-SA"/>
    </w:rPr>
  </w:style>
  <w:style w:type="paragraph" w:styleId="1220" w:customStyle="1">
    <w:name w:val="正文文本1"/>
    <w:basedOn w:val="851"/>
    <w:uiPriority w:val="0"/>
    <w:unhideWhenUsed/>
    <w:qFormat/>
    <w:pPr>
      <w:spacing w:after="120"/>
    </w:pPr>
    <w:rPr>
      <w:sz w:val="24"/>
      <w:lang w:eastAsia="en-US"/>
    </w:rPr>
  </w:style>
  <w:style w:type="paragraph" w:styleId="1221" w:customStyle="1">
    <w:name w:val="页脚11"/>
    <w:basedOn w:val="851"/>
    <w:uiPriority w:val="0"/>
    <w:unhideWhenUsed/>
    <w:qFormat/>
    <w:pPr>
      <w:jc w:val="left"/>
      <w:tabs>
        <w:tab w:val="center" w:pos="4153" w:leader="none"/>
        <w:tab w:val="right" w:pos="8306" w:leader="none"/>
      </w:tabs>
    </w:pPr>
    <w:rPr>
      <w:rFonts w:ascii="Calibri" w:hAnsi="Calibri"/>
      <w:sz w:val="18"/>
      <w:szCs w:val="18"/>
      <w:lang w:eastAsia="en-US"/>
    </w:rPr>
  </w:style>
  <w:style w:type="numbering" w:styleId="12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C632E89-3754-44AD-88B4-AA1766128D1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宋玮</cp:lastModifiedBy>
  <cp:revision>11</cp:revision>
  <dcterms:created xsi:type="dcterms:W3CDTF">2025-06-18T09:02:00Z</dcterms:created>
  <dcterms:modified xsi:type="dcterms:W3CDTF">2026-10-23T08:23:11Z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7B56834D3503446D89F5E117DCD7A0CD_13</vt:lpwstr>
  </property>
  <property fmtid="{D5CDD505-2E9C-101B-9397-08002B2CF9AE}" pid="4" name="KSOTemplateDocerSaveRecord">
    <vt:lpwstr>eyJoZGlkIjoiOGQyNzJkODMyMThjODRkMGVlY2RkNmI1OGNhMWE1Y2IiLCJ1c2VySWQiOiI1Mzg2ODMwOTkifQ==</vt:lpwstr>
  </property>
</Properties>
</file>