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right"/>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rPr>
        <w:t xml:space="preserve">编号：</w:t>
      </w:r>
      <w:r>
        <w:rPr>
          <w:rFonts w:hint="eastAsia" w:ascii="宋体" w:hAnsi="宋体" w:cs="宋体"/>
          <w:b/>
          <w:bCs/>
          <w:color w:val="000000"/>
          <w:sz w:val="36"/>
          <w:highlight w:val="none"/>
          <w:lang w:eastAsia="zh-CN"/>
        </w:rPr>
        <w:t xml:space="preserve">JSZC-321000-WCGC-G2026-0032号</w:t>
      </w:r>
      <w:r/>
    </w:p>
    <w:p>
      <w:pPr>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jc w:val="center"/>
        <w:keepLines w:val="0"/>
        <w:keepNext w:val="0"/>
        <w:pageBreakBefore w:val="0"/>
        <w:spacing w:line="360" w:lineRule="auto"/>
        <w:widowControl w:val="off"/>
        <w:rPr>
          <w:rFonts w:hint="eastAsia" w:ascii="宋体" w:hAnsi="宋体" w:cs="宋体"/>
          <w:b/>
          <w:bCs/>
          <w:color w:val="000000"/>
          <w:sz w:val="36"/>
          <w:highlight w:val="none"/>
          <w:lang w:eastAsia="zh-CN"/>
        </w:rPr>
      </w:pPr>
      <w:r>
        <w:rPr>
          <w:rFonts w:hint="eastAsia" w:ascii="宋体" w:hAnsi="宋体" w:cs="宋体"/>
          <w:b/>
          <w:bCs/>
          <w:color w:val="000000"/>
          <w:sz w:val="36"/>
          <w:highlight w:val="none"/>
          <w:lang w:eastAsia="zh-CN"/>
        </w:rPr>
        <w:t xml:space="preserve">扬州市疾病预防控制中心全自动生化分析仪采购</w:t>
      </w:r>
      <w:r/>
    </w:p>
    <w:p>
      <w:pPr>
        <w:jc w:val="center"/>
        <w:keepLines w:val="0"/>
        <w:keepNext w:val="0"/>
        <w:pageBreakBefore w:val="0"/>
        <w:spacing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公开招标文件</w:t>
      </w:r>
      <w:r/>
    </w:p>
    <w:p>
      <w:pPr>
        <w:pStyle w:val="903"/>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49"/>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49"/>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49"/>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rPr>
          <w:rFonts w:hint="eastAsia"/>
          <w:highlight w:val="none"/>
        </w:rPr>
      </w:pPr>
      <w:r>
        <w:rPr>
          <w:rFonts w:hint="eastAsia"/>
          <w:highlight w:val="none"/>
        </w:rPr>
      </w:r>
      <w:r/>
    </w:p>
    <w:p>
      <w:pPr>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908"/>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rPr>
          <w:rFonts w:hint="eastAsia"/>
          <w:highlight w:val="none"/>
        </w:rPr>
      </w:pPr>
      <w:r>
        <w:rPr>
          <w:rFonts w:hint="eastAsia"/>
          <w:highlight w:val="none"/>
        </w:rPr>
      </w:r>
      <w:r/>
    </w:p>
    <w:p>
      <w:pPr>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jc w:val="center"/>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r>
      <w:r/>
    </w:p>
    <w:p>
      <w:pPr>
        <w:jc w:val="both"/>
        <w:spacing w:before="156" w:after="156" w:line="480" w:lineRule="auto"/>
        <w:rPr>
          <w:rFonts w:hint="eastAsia" w:ascii="宋体" w:hAnsi="宋体" w:eastAsia="宋体"/>
          <w:b/>
          <w:bCs/>
          <w:sz w:val="32"/>
          <w:szCs w:val="32"/>
          <w:highlight w:val="none"/>
          <w:lang w:eastAsia="zh-CN"/>
        </w:rPr>
      </w:pPr>
      <w:r>
        <w:rPr>
          <w:rFonts w:hint="eastAsia" w:ascii="宋体" w:hAnsi="宋体"/>
          <w:b/>
          <w:bCs/>
          <w:sz w:val="32"/>
          <w:szCs w:val="32"/>
          <w:highlight w:val="none"/>
        </w:rPr>
        <w:t xml:space="preserve">采购人：</w:t>
      </w:r>
      <w:r>
        <w:rPr>
          <w:rFonts w:hint="eastAsia" w:ascii="宋体" w:hAnsi="宋体"/>
          <w:b/>
          <w:bCs/>
          <w:sz w:val="32"/>
          <w:szCs w:val="32"/>
          <w:highlight w:val="none"/>
          <w:lang w:eastAsia="zh-CN"/>
        </w:rPr>
        <w:t xml:space="preserve">扬州市疾病预防控制中心</w:t>
      </w:r>
      <w:r/>
    </w:p>
    <w:p>
      <w:pPr>
        <w:jc w:val="both"/>
        <w:spacing w:before="156" w:after="156" w:line="480" w:lineRule="auto"/>
        <w:rPr>
          <w:rFonts w:hint="eastAsia" w:eastAsia="宋体"/>
          <w:sz w:val="32"/>
          <w:szCs w:val="32"/>
          <w:highlight w:val="none"/>
          <w:lang w:eastAsia="zh-CN"/>
        </w:rPr>
      </w:pPr>
      <w:r>
        <w:rPr>
          <w:b/>
          <w:bCs/>
          <w:sz w:val="32"/>
          <w:szCs w:val="32"/>
          <w:highlight w:val="none"/>
        </w:rPr>
        <w:t xml:space="preserve">采购代理机构：</w:t>
      </w:r>
      <w:r>
        <w:rPr>
          <w:rFonts w:hint="eastAsia"/>
          <w:b/>
          <w:bCs/>
          <w:sz w:val="32"/>
          <w:szCs w:val="32"/>
          <w:highlight w:val="none"/>
          <w:lang w:eastAsia="zh-CN"/>
        </w:rPr>
        <w:t xml:space="preserve">江苏唯诚建设咨询有限公司</w:t>
      </w:r>
      <w:r/>
    </w:p>
    <w:p>
      <w:pPr>
        <w:jc w:val="center"/>
        <w:spacing w:before="156" w:after="156" w:line="480" w:lineRule="auto"/>
        <w:rPr>
          <w:rFonts w:hint="eastAsia" w:ascii="宋体" w:hAnsi="宋体" w:eastAsia="宋体" w:cs="宋体"/>
          <w:sz w:val="32"/>
          <w:szCs w:val="32"/>
          <w:highlight w:val="none"/>
          <w:lang w:eastAsia="zh-CN"/>
        </w:rPr>
      </w:pPr>
      <w:r>
        <w:rPr>
          <w:rFonts w:hint="eastAsia" w:ascii="宋体" w:hAnsi="宋体" w:cs="宋体"/>
          <w:b/>
          <w:bCs/>
          <w:sz w:val="32"/>
          <w:szCs w:val="32"/>
          <w:highlight w:val="none"/>
          <w:lang w:eastAsia="zh-CN"/>
        </w:rPr>
        <w:t xml:space="preserve">二零二六年十月</w:t>
      </w:r>
      <w:r/>
    </w:p>
    <w:p>
      <w:pPr>
        <w:jc w:val="center"/>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r>
      <w:r/>
    </w:p>
    <w:p>
      <w:pPr>
        <w:jc w:val="center"/>
        <w:rPr>
          <w:rFonts w:hint="eastAsia" w:ascii="宋体" w:hAnsi="宋体" w:eastAsia="宋体" w:cs="宋体"/>
          <w:color w:val="000000"/>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32"/>
          <w:highlight w:val="none"/>
        </w:rPr>
      </w:r>
      <w:r/>
    </w:p>
    <w:p>
      <w:pPr>
        <w:pStyle w:val="914"/>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48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spacing w:line="48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目 录</w:t>
      </w:r>
      <w:r/>
    </w:p>
    <w:p>
      <w:pPr>
        <w:pStyle w:val="908"/>
        <w:rPr>
          <w:rFonts w:hint="eastAsia"/>
          <w:highlight w:val="none"/>
        </w:rPr>
      </w:pPr>
      <w:r>
        <w:rPr>
          <w:rFonts w:hint="eastAsia"/>
          <w:highlight w:val="none"/>
        </w:rPr>
      </w:r>
      <w:r/>
    </w:p>
    <w:p>
      <w:pPr>
        <w:pStyle w:val="727"/>
        <w:ind w:firstLine="420"/>
        <w:jc w:val="left"/>
        <w:keepLines w:val="0"/>
        <w:keepNext w:val="0"/>
        <w:pageBreakBefore w:val="0"/>
        <w:spacing w:before="120" w:after="120" w:line="360" w:lineRule="auto"/>
        <w:widowControl w:val="off"/>
        <w:tabs>
          <w:tab w:val="right" w:pos="8306" w:leader="dot"/>
        </w:tabs>
        <w:rPr>
          <w:color w:val="000000"/>
          <w:sz w:val="24"/>
          <w:szCs w:val="24"/>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TOC \o "1-3" \f </w:instrText>
      </w:r>
      <w:r>
        <w:rPr>
          <w:rFonts w:hint="eastAsia" w:ascii="宋体" w:hAnsi="宋体" w:eastAsia="宋体" w:cs="宋体"/>
          <w:color w:val="000000"/>
          <w:szCs w:val="21"/>
          <w:highlight w:val="none"/>
        </w:rPr>
        <w:fldChar w:fldCharType="separate"/>
      </w:r>
      <w:r>
        <w:rPr>
          <w:rFonts w:hint="eastAsia"/>
          <w:color w:val="000000"/>
          <w:sz w:val="24"/>
          <w:szCs w:val="24"/>
          <w:highlight w:val="none"/>
          <w:lang w:val="en-US" w:eastAsia="zh-CN"/>
        </w:rPr>
        <w:t xml:space="preserve">第一章 采购公告</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_Toc30208 \h </w:instrText>
      </w:r>
      <w:r>
        <w:rPr>
          <w:color w:val="000000"/>
          <w:sz w:val="24"/>
          <w:szCs w:val="24"/>
          <w:highlight w:val="none"/>
        </w:rPr>
        <w:fldChar w:fldCharType="separate"/>
      </w:r>
      <w:r>
        <w:rPr>
          <w:color w:val="000000"/>
          <w:sz w:val="24"/>
          <w:szCs w:val="24"/>
          <w:highlight w:val="none"/>
        </w:rPr>
        <w:t xml:space="preserve">2</w:t>
      </w:r>
      <w:r>
        <w:rPr>
          <w:color w:val="000000"/>
          <w:sz w:val="24"/>
          <w:szCs w:val="24"/>
          <w:highlight w:val="none"/>
        </w:rPr>
        <w:fldChar w:fldCharType="end"/>
      </w:r>
      <w:r/>
    </w:p>
    <w:p>
      <w:pPr>
        <w:pStyle w:val="727"/>
        <w:ind w:firstLine="480"/>
        <w:jc w:val="left"/>
        <w:keepLines w:val="0"/>
        <w:keepNext w:val="0"/>
        <w:pageBreakBefore w:val="0"/>
        <w:spacing w:before="120" w:after="120" w:line="360" w:lineRule="auto"/>
        <w:widowControl w:val="off"/>
        <w:tabs>
          <w:tab w:val="right" w:pos="8306" w:leader="dot"/>
        </w:tabs>
        <w:rPr>
          <w:color w:val="000000"/>
          <w:sz w:val="24"/>
          <w:szCs w:val="24"/>
          <w:highlight w:val="none"/>
        </w:rPr>
      </w:pPr>
      <w:r>
        <w:rPr>
          <w:rFonts w:hint="eastAsia"/>
          <w:color w:val="000000"/>
          <w:sz w:val="24"/>
          <w:szCs w:val="24"/>
          <w:highlight w:val="none"/>
        </w:rPr>
        <w:t xml:space="preserve">第二章 投标人须知</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_Toc10032 \h </w:instrText>
      </w:r>
      <w:r>
        <w:rPr>
          <w:color w:val="000000"/>
          <w:sz w:val="24"/>
          <w:szCs w:val="24"/>
          <w:highlight w:val="none"/>
        </w:rPr>
        <w:fldChar w:fldCharType="separate"/>
      </w:r>
      <w:r>
        <w:rPr>
          <w:color w:val="000000"/>
          <w:sz w:val="24"/>
          <w:szCs w:val="24"/>
          <w:highlight w:val="none"/>
        </w:rPr>
        <w:t xml:space="preserve">7</w:t>
      </w:r>
      <w:r>
        <w:rPr>
          <w:color w:val="000000"/>
          <w:sz w:val="24"/>
          <w:szCs w:val="24"/>
          <w:highlight w:val="none"/>
        </w:rPr>
        <w:fldChar w:fldCharType="end"/>
      </w:r>
      <w:r/>
    </w:p>
    <w:p>
      <w:pPr>
        <w:pStyle w:val="727"/>
        <w:ind w:firstLine="480"/>
        <w:jc w:val="left"/>
        <w:keepLines w:val="0"/>
        <w:keepNext w:val="0"/>
        <w:pageBreakBefore w:val="0"/>
        <w:spacing w:before="120" w:after="120" w:line="360" w:lineRule="auto"/>
        <w:widowControl w:val="off"/>
        <w:tabs>
          <w:tab w:val="right" w:pos="8306" w:leader="dot"/>
        </w:tabs>
        <w:rPr>
          <w:color w:val="000000"/>
          <w:sz w:val="24"/>
          <w:szCs w:val="24"/>
          <w:highlight w:val="none"/>
        </w:rPr>
      </w:pPr>
      <w:r>
        <w:rPr>
          <w:rFonts w:hint="eastAsia"/>
          <w:color w:val="000000"/>
          <w:sz w:val="24"/>
          <w:szCs w:val="24"/>
          <w:highlight w:val="none"/>
        </w:rPr>
        <w:t xml:space="preserve">第三章 合同条款及格式</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_Toc18427 \h </w:instrText>
      </w:r>
      <w:r>
        <w:rPr>
          <w:color w:val="000000"/>
          <w:sz w:val="24"/>
          <w:szCs w:val="24"/>
          <w:highlight w:val="none"/>
        </w:rPr>
        <w:fldChar w:fldCharType="separate"/>
      </w:r>
      <w:r>
        <w:rPr>
          <w:color w:val="000000"/>
          <w:sz w:val="24"/>
          <w:szCs w:val="24"/>
          <w:highlight w:val="none"/>
        </w:rPr>
        <w:t xml:space="preserve">22</w:t>
      </w:r>
      <w:r>
        <w:rPr>
          <w:color w:val="000000"/>
          <w:sz w:val="24"/>
          <w:szCs w:val="24"/>
          <w:highlight w:val="none"/>
        </w:rPr>
        <w:fldChar w:fldCharType="end"/>
      </w:r>
      <w:r/>
    </w:p>
    <w:p>
      <w:pPr>
        <w:pStyle w:val="727"/>
        <w:ind w:firstLine="480"/>
        <w:jc w:val="left"/>
        <w:keepLines w:val="0"/>
        <w:keepNext w:val="0"/>
        <w:pageBreakBefore w:val="0"/>
        <w:spacing w:before="120" w:after="120" w:line="360" w:lineRule="auto"/>
        <w:widowControl w:val="off"/>
        <w:tabs>
          <w:tab w:val="right" w:pos="8306" w:leader="dot"/>
        </w:tabs>
        <w:rPr>
          <w:color w:val="000000"/>
          <w:sz w:val="24"/>
          <w:szCs w:val="24"/>
          <w:highlight w:val="none"/>
        </w:rPr>
      </w:pPr>
      <w:r>
        <w:rPr>
          <w:rFonts w:hint="eastAsia"/>
          <w:color w:val="000000"/>
          <w:sz w:val="24"/>
          <w:szCs w:val="24"/>
          <w:highlight w:val="none"/>
        </w:rPr>
        <w:t xml:space="preserve">第四章 项目需求</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_Toc12506 \h </w:instrText>
      </w:r>
      <w:r>
        <w:rPr>
          <w:color w:val="000000"/>
          <w:sz w:val="24"/>
          <w:szCs w:val="24"/>
          <w:highlight w:val="none"/>
        </w:rPr>
        <w:fldChar w:fldCharType="separate"/>
      </w:r>
      <w:r>
        <w:rPr>
          <w:color w:val="000000"/>
          <w:sz w:val="24"/>
          <w:szCs w:val="24"/>
          <w:highlight w:val="none"/>
        </w:rPr>
        <w:t xml:space="preserve">29</w:t>
      </w:r>
      <w:r>
        <w:rPr>
          <w:color w:val="000000"/>
          <w:sz w:val="24"/>
          <w:szCs w:val="24"/>
          <w:highlight w:val="none"/>
        </w:rPr>
        <w:fldChar w:fldCharType="end"/>
      </w:r>
      <w:r/>
    </w:p>
    <w:p>
      <w:pPr>
        <w:pStyle w:val="727"/>
        <w:ind w:firstLine="480"/>
        <w:jc w:val="left"/>
        <w:keepLines w:val="0"/>
        <w:keepNext w:val="0"/>
        <w:pageBreakBefore w:val="0"/>
        <w:spacing w:before="120" w:after="120" w:line="360" w:lineRule="auto"/>
        <w:widowControl w:val="off"/>
        <w:tabs>
          <w:tab w:val="right" w:pos="8306" w:leader="dot"/>
        </w:tabs>
        <w:rPr>
          <w:color w:val="000000"/>
          <w:sz w:val="24"/>
          <w:szCs w:val="24"/>
          <w:highlight w:val="none"/>
        </w:rPr>
      </w:pPr>
      <w:r>
        <w:rPr>
          <w:rFonts w:hint="eastAsia"/>
          <w:color w:val="000000"/>
          <w:sz w:val="24"/>
          <w:szCs w:val="24"/>
          <w:highlight w:val="none"/>
        </w:rPr>
        <w:t xml:space="preserve">第五章 评标方法及评标标准</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_Toc29995 \h </w:instrText>
      </w:r>
      <w:r>
        <w:rPr>
          <w:color w:val="000000"/>
          <w:sz w:val="24"/>
          <w:szCs w:val="24"/>
          <w:highlight w:val="none"/>
        </w:rPr>
        <w:fldChar w:fldCharType="separate"/>
      </w:r>
      <w:r>
        <w:rPr>
          <w:color w:val="000000"/>
          <w:sz w:val="24"/>
          <w:szCs w:val="24"/>
          <w:highlight w:val="none"/>
        </w:rPr>
        <w:t xml:space="preserve">35</w:t>
      </w:r>
      <w:r>
        <w:rPr>
          <w:color w:val="000000"/>
          <w:sz w:val="24"/>
          <w:szCs w:val="24"/>
          <w:highlight w:val="none"/>
        </w:rPr>
        <w:fldChar w:fldCharType="end"/>
      </w:r>
      <w:r/>
    </w:p>
    <w:p>
      <w:pPr>
        <w:pStyle w:val="727"/>
        <w:ind w:firstLine="480"/>
        <w:jc w:val="left"/>
        <w:keepLines w:val="0"/>
        <w:keepNext w:val="0"/>
        <w:pageBreakBefore w:val="0"/>
        <w:spacing w:before="120" w:after="120" w:line="360" w:lineRule="auto"/>
        <w:widowControl w:val="off"/>
        <w:tabs>
          <w:tab w:val="right" w:pos="8306" w:leader="dot"/>
        </w:tabs>
        <w:rPr>
          <w:color w:val="000000"/>
          <w:highlight w:val="none"/>
        </w:rPr>
      </w:pPr>
      <w:r>
        <w:rPr>
          <w:rFonts w:hint="eastAsia"/>
          <w:color w:val="000000"/>
          <w:sz w:val="24"/>
          <w:szCs w:val="24"/>
          <w:highlight w:val="none"/>
        </w:rPr>
        <w:t xml:space="preserve">第六章 投标文件格式</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_Toc18779 \h </w:instrText>
      </w:r>
      <w:r>
        <w:rPr>
          <w:color w:val="000000"/>
          <w:sz w:val="24"/>
          <w:szCs w:val="24"/>
          <w:highlight w:val="none"/>
        </w:rPr>
        <w:fldChar w:fldCharType="separate"/>
      </w:r>
      <w:r>
        <w:rPr>
          <w:color w:val="000000"/>
          <w:sz w:val="24"/>
          <w:szCs w:val="24"/>
          <w:highlight w:val="none"/>
        </w:rPr>
        <w:t xml:space="preserve">40</w:t>
      </w:r>
      <w:r>
        <w:rPr>
          <w:color w:val="000000"/>
          <w:sz w:val="24"/>
          <w:szCs w:val="24"/>
          <w:highlight w:val="none"/>
        </w:rPr>
        <w:fldChar w:fldCharType="end"/>
      </w:r>
      <w:r/>
    </w:p>
    <w:p>
      <w:pPr>
        <w:pStyle w:val="735"/>
        <w:tabs>
          <w:tab w:val="right" w:pos="8306" w:leader="dot"/>
        </w:tabs>
        <w:rPr>
          <w:color w:val="000000"/>
          <w:highlight w:val="none"/>
        </w:rPr>
      </w:pPr>
      <w:r>
        <w:rPr>
          <w:color w:val="000000"/>
          <w:highlight w:val="none"/>
        </w:rPr>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end"/>
      </w:r>
      <w:r/>
    </w:p>
    <w:p>
      <w:pPr>
        <w:spacing w:line="360" w:lineRule="auto"/>
        <w:rPr>
          <w:rFonts w:hint="eastAsia" w:ascii="宋体" w:hAnsi="宋体" w:eastAsia="宋体" w:cs="宋体"/>
          <w:color w:val="000000"/>
          <w:highlight w:val="none"/>
        </w:rPr>
      </w:pPr>
      <w:r>
        <w:rPr>
          <w:rFonts w:hint="eastAsia" w:ascii="宋体" w:hAnsi="宋体" w:eastAsia="宋体" w:cs="宋体"/>
          <w:color w:val="000000"/>
          <w:sz w:val="28"/>
          <w:highlight w:val="none"/>
        </w:rPr>
        <w:br w:type="page" w:clear="all"/>
      </w:r>
      <w:r/>
    </w:p>
    <w:p>
      <w:pPr>
        <w:pStyle w:val="678"/>
        <w:rPr>
          <w:rFonts w:hint="eastAsia"/>
          <w:color w:val="000000"/>
          <w:highlight w:val="none"/>
          <w:lang w:eastAsia="zh-CN"/>
        </w:rPr>
      </w:pPr>
      <w:r/>
      <w:bookmarkStart w:id="0" w:name="_Toc30208"/>
      <w:r/>
      <w:bookmarkStart w:id="1" w:name="_Toc55204177"/>
      <w:r>
        <w:rPr>
          <w:rFonts w:hint="eastAsia"/>
          <w:color w:val="000000"/>
          <w:highlight w:val="none"/>
          <w:lang w:val="en-US" w:eastAsia="zh-CN"/>
        </w:rPr>
        <w:t xml:space="preserve">第一章 </w:t>
      </w:r>
      <w:bookmarkEnd w:id="0"/>
      <w:r>
        <w:rPr>
          <w:rFonts w:hint="eastAsia"/>
          <w:color w:val="000000"/>
          <w:highlight w:val="none"/>
          <w:lang w:eastAsia="zh-CN"/>
        </w:rPr>
        <w:t xml:space="preserve">扬州市疾病预防控制中心全自动生化分析仪采购项目</w:t>
      </w:r>
      <w:r/>
    </w:p>
    <w:p>
      <w:pPr>
        <w:pStyle w:val="678"/>
        <w:rPr>
          <w:rFonts w:hint="eastAsia"/>
          <w:color w:val="000000"/>
          <w:highlight w:val="none"/>
          <w:lang w:eastAsia="zh-CN"/>
        </w:rPr>
      </w:pPr>
      <w:r/>
      <w:bookmarkStart w:id="2" w:name="_Toc27417"/>
      <w:r>
        <w:rPr>
          <w:rFonts w:hint="eastAsia"/>
          <w:color w:val="000000"/>
          <w:highlight w:val="none"/>
          <w:lang w:eastAsia="zh-CN"/>
        </w:rPr>
        <w:t xml:space="preserve">采购公告</w:t>
      </w:r>
      <w:bookmarkEnd w:id="1"/>
      <w:r/>
      <w:bookmarkEnd w:id="2"/>
      <w:r/>
      <w:r/>
    </w:p>
    <w:p>
      <w:pPr>
        <w:ind w:firstLine="420"/>
        <w:jc w:val="left"/>
        <w:keepLines w:val="0"/>
        <w:keepNext w:val="0"/>
        <w:pageBreakBefore w:val="0"/>
        <w:spacing w:line="360" w:lineRule="auto"/>
        <w:tabs>
          <w:tab w:val="left" w:pos="26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color w:val="000000"/>
          <w:sz w:val="24"/>
          <w:szCs w:val="24"/>
          <w:highlight w:val="none"/>
          <w:u w:val="single"/>
          <w:lang w:eastAsia="zh-CN"/>
        </w:rPr>
        <w:t xml:space="preserve">扬州市疾病预防控制中心</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u w:val="single"/>
          <w:lang w:eastAsia="zh-CN"/>
        </w:rPr>
        <w:t xml:space="preserve">江苏唯诚建设咨询有限公司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szCs w:val="24"/>
          <w:highlight w:val="none"/>
          <w:u w:val="single"/>
          <w:lang w:eastAsia="zh-CN"/>
        </w:rPr>
        <w:t xml:space="preserve">扬州市疾病预防控制中心全自动生化分析仪采购项目</w:t>
      </w:r>
      <w:r>
        <w:rPr>
          <w:rFonts w:hint="eastAsia" w:ascii="宋体" w:hAnsi="宋体" w:cs="宋体"/>
          <w:color w:val="000000"/>
          <w:sz w:val="24"/>
          <w:szCs w:val="24"/>
          <w:highlight w:val="none"/>
          <w:lang w:eastAsia="zh-CN"/>
        </w:rPr>
        <w:t xml:space="preserve">（JSZC-321000-WCGC-G2026-0032号）</w:t>
      </w:r>
      <w:r>
        <w:rPr>
          <w:rFonts w:hint="eastAsia" w:ascii="宋体" w:hAnsi="宋体" w:eastAsia="宋体" w:cs="宋体"/>
          <w:color w:val="000000"/>
          <w:sz w:val="24"/>
          <w:szCs w:val="24"/>
          <w:highlight w:val="none"/>
        </w:rPr>
        <w:t xml:space="preserve">进行公开招标采购，欢迎符合条件的供应商投标。</w:t>
      </w:r>
      <w:r/>
    </w:p>
    <w:p>
      <w:pPr>
        <w:keepLines w:val="0"/>
        <w:keepNext w:val="0"/>
        <w:pageBreakBefore w:val="0"/>
        <w:spacing w:line="360" w:lineRule="auto"/>
        <w:rPr>
          <w:rFonts w:hint="eastAsia" w:ascii="宋体" w:hAnsi="宋体" w:eastAsia="宋体" w:cs="宋体"/>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4"/>
          <w:szCs w:val="24"/>
          <w:highlight w:val="none"/>
        </w:rPr>
        <w:t xml:space="preserve">项目概况</w:t>
      </w:r>
      <w:r/>
    </w:p>
    <w:p>
      <w:pPr>
        <w:ind w:firstLine="420"/>
        <w:keepLines w:val="0"/>
        <w:keepNext w:val="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扬州市疾病预防控制中心全自动生化分析仪采购项目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“扬州市政府采购网</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江苏省政府采购网”和“中国政府采购网”自行免费下载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30</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9:30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ind w:firstLine="422"/>
        <w:keepLines w:val="0"/>
        <w:keepNext w:val="0"/>
        <w:pageBreakBefore w:val="0"/>
        <w:spacing w:line="360" w:lineRule="auto"/>
        <w:tabs>
          <w:tab w:val="left" w:pos="266" w:leader="none"/>
        </w:tabs>
        <w:rPr>
          <w:rFonts w:hint="eastAsia" w:ascii="宋体" w:hAnsi="宋体" w:eastAsia="宋体" w:cs="宋体"/>
          <w:b/>
          <w:bCs/>
          <w:color w:val="000000"/>
          <w:sz w:val="24"/>
          <w:szCs w:val="24"/>
          <w:highlight w:val="none"/>
        </w:rPr>
      </w:pPr>
      <w:r/>
      <w:bookmarkStart w:id="3" w:name="_Toc38985263"/>
      <w:r/>
      <w:bookmarkStart w:id="4" w:name="_Toc28359002"/>
      <w:r/>
      <w:bookmarkStart w:id="5" w:name="_Toc35393621"/>
      <w:r/>
      <w:bookmarkStart w:id="6" w:name="_Toc28359079"/>
      <w:r/>
      <w:bookmarkStart w:id="7" w:name="_Toc35393790"/>
      <w:r/>
      <w:bookmarkStart w:id="8" w:name="_Hlk24379207"/>
      <w:r>
        <w:rPr>
          <w:rFonts w:hint="eastAsia" w:ascii="宋体" w:hAnsi="宋体" w:eastAsia="宋体" w:cs="宋体"/>
          <w:b/>
          <w:bCs/>
          <w:color w:val="000000"/>
          <w:sz w:val="24"/>
          <w:szCs w:val="24"/>
          <w:highlight w:val="none"/>
        </w:rPr>
        <w:t xml:space="preserve">一、项目基本情况</w:t>
      </w:r>
      <w:bookmarkEnd w:id="3"/>
      <w:r/>
      <w:bookmarkEnd w:id="4"/>
      <w:r/>
      <w:bookmarkEnd w:id="5"/>
      <w:r/>
      <w:bookmarkEnd w:id="6"/>
      <w:r/>
      <w:bookmarkEnd w:id="7"/>
      <w:r/>
      <w:r/>
    </w:p>
    <w:p>
      <w:pPr>
        <w:ind w:firstLine="42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JSZC-321000-WCGC-G2026-0032号</w:t>
      </w:r>
      <w:r/>
    </w:p>
    <w:p>
      <w:pPr>
        <w:ind w:firstLine="42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bookmarkEnd w:id="8"/>
      <w:r>
        <w:rPr>
          <w:rFonts w:hint="eastAsia" w:ascii="宋体" w:hAnsi="宋体" w:eastAsia="宋体" w:cs="宋体"/>
          <w:color w:val="000000"/>
          <w:sz w:val="24"/>
          <w:szCs w:val="24"/>
          <w:highlight w:val="none"/>
          <w:lang w:eastAsia="zh-CN"/>
        </w:rPr>
        <w:t xml:space="preserve">扬州市疾病预防控制中心全自动生化分析仪采购项目</w:t>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150万</w:t>
      </w:r>
      <w:r>
        <w:rPr>
          <w:rFonts w:hint="eastAsia" w:ascii="宋体" w:hAnsi="宋体" w:eastAsia="宋体" w:cs="宋体"/>
          <w:color w:val="000000"/>
          <w:sz w:val="24"/>
          <w:szCs w:val="24"/>
          <w:highlight w:val="none"/>
        </w:rPr>
        <w:t xml:space="preserve">元。</w:t>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none"/>
        </w:rPr>
        <w:t xml:space="preserve">设置</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150</w:t>
      </w:r>
      <w:r>
        <w:rPr>
          <w:rFonts w:hint="eastAsia" w:ascii="宋体" w:hAnsi="宋体" w:eastAsia="宋体" w:cs="宋体"/>
          <w:color w:val="000000"/>
          <w:sz w:val="24"/>
          <w:szCs w:val="24"/>
          <w:highlight w:val="none"/>
          <w:lang w:eastAsia="zh-CN"/>
        </w:rPr>
        <w:t xml:space="preserve">万</w:t>
      </w:r>
      <w:r>
        <w:rPr>
          <w:rFonts w:hint="eastAsia" w:ascii="宋体" w:hAnsi="宋体" w:eastAsia="宋体" w:cs="宋体"/>
          <w:color w:val="000000"/>
          <w:sz w:val="24"/>
          <w:szCs w:val="24"/>
          <w:highlight w:val="none"/>
        </w:rPr>
        <w:t xml:space="preserve">元，超过最高限价作无效投标处理。</w:t>
      </w:r>
      <w:r/>
    </w:p>
    <w:p>
      <w:pPr>
        <w:ind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5.采购需求：</w:t>
      </w:r>
      <w:r>
        <w:rPr>
          <w:rFonts w:hint="eastAsia" w:ascii="宋体" w:hAnsi="宋体" w:eastAsia="宋体" w:cs="宋体"/>
          <w:sz w:val="24"/>
          <w:szCs w:val="24"/>
          <w:highlight w:val="none"/>
        </w:rPr>
        <w:t xml:space="preserve">具体详见第四章 项目需求</w:t>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r>
        <w:rPr>
          <w:rStyle w:val="743"/>
          <w:rFonts w:cs="宋体"/>
          <w:b w:val="0"/>
          <w:bCs/>
          <w:color w:val="000000"/>
          <w:sz w:val="24"/>
          <w:szCs w:val="24"/>
          <w:highlight w:val="none"/>
          <w:lang w:bidi="ar"/>
        </w:rPr>
        <w:t xml:space="preserve">合同签订后</w:t>
      </w:r>
      <w:r>
        <w:rPr>
          <w:rStyle w:val="743"/>
          <w:rFonts w:cs="宋体"/>
          <w:b w:val="0"/>
          <w:bCs/>
          <w:sz w:val="24"/>
          <w:szCs w:val="24"/>
          <w:highlight w:val="none"/>
          <w:u w:val="single"/>
          <w:lang w:bidi="ar"/>
        </w:rPr>
        <w:t xml:space="preserve">30</w:t>
      </w:r>
      <w:r>
        <w:rPr>
          <w:rStyle w:val="743"/>
          <w:rFonts w:cs="宋体"/>
          <w:b w:val="0"/>
          <w:bCs/>
          <w:color w:val="000000"/>
          <w:sz w:val="24"/>
          <w:szCs w:val="24"/>
          <w:highlight w:val="none"/>
          <w:lang w:bidi="ar"/>
        </w:rPr>
        <w:t xml:space="preserve">个工作日内到货并完成安装调试</w:t>
      </w:r>
      <w:r>
        <w:rPr>
          <w:rFonts w:hint="eastAsia" w:ascii="宋体" w:hAnsi="宋体" w:eastAsia="宋体" w:cs="宋体"/>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质保期限：不少于</w:t>
      </w:r>
      <w:r>
        <w:rPr>
          <w:rFonts w:hint="eastAsia" w:ascii="宋体" w:hAnsi="宋体" w:eastAsia="宋体" w:cs="宋体"/>
          <w:color w:val="000000"/>
          <w:sz w:val="24"/>
          <w:szCs w:val="24"/>
          <w:highlight w:val="none"/>
          <w:lang w:val="en-US" w:eastAsia="zh-CN"/>
        </w:rPr>
        <w:t xml:space="preserve">3年整机免费质保。</w:t>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i/>
          <w:iCs/>
          <w:color w:val="000000"/>
          <w:sz w:val="24"/>
          <w:szCs w:val="24"/>
          <w:highlight w:val="none"/>
          <w:u w:val="single"/>
        </w:rPr>
        <w:t xml:space="preserve">不接受</w:t>
      </w:r>
      <w:r>
        <w:rPr>
          <w:rFonts w:hint="eastAsia" w:ascii="宋体" w:hAnsi="宋体" w:eastAsia="宋体" w:cs="宋体"/>
          <w:i/>
          <w:i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联合体投标。</w:t>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w:t>
      </w:r>
      <w:r>
        <w:rPr>
          <w:rFonts w:hint="eastAsia" w:ascii="宋体" w:hAnsi="宋体" w:eastAsia="宋体" w:cs="宋体"/>
          <w:i/>
          <w:iCs/>
          <w:color w:val="000000"/>
          <w:sz w:val="24"/>
          <w:szCs w:val="24"/>
          <w:highlight w:val="none"/>
          <w:u w:val="single"/>
          <w:lang w:val="en-US" w:eastAsia="zh-CN"/>
        </w:rPr>
        <w:t xml:space="preserve">不</w:t>
      </w:r>
      <w:r>
        <w:rPr>
          <w:rFonts w:hint="eastAsia" w:ascii="宋体" w:hAnsi="宋体" w:eastAsia="宋体" w:cs="宋体"/>
          <w:i/>
          <w:iCs/>
          <w:color w:val="000000"/>
          <w:sz w:val="24"/>
          <w:szCs w:val="24"/>
          <w:highlight w:val="none"/>
          <w:u w:val="single"/>
        </w:rPr>
        <w:t xml:space="preserve">接受</w:t>
      </w:r>
      <w:r>
        <w:rPr>
          <w:rFonts w:hint="eastAsia" w:ascii="宋体" w:hAnsi="宋体" w:eastAsia="宋体" w:cs="宋体"/>
          <w:b/>
          <w:bCs/>
          <w:i/>
          <w:i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进口产品投标。</w:t>
      </w:r>
      <w:r/>
    </w:p>
    <w:p>
      <w:pPr>
        <w:ind w:firstLine="42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  </w:t>
      </w:r>
      <w:bookmarkStart w:id="9" w:name="_Toc28359080"/>
      <w:r/>
      <w:bookmarkStart w:id="10" w:name="_Toc38985264"/>
      <w:r/>
      <w:bookmarkStart w:id="11" w:name="_Toc35393622"/>
      <w:r/>
      <w:bookmarkStart w:id="12" w:name="_Toc28359003"/>
      <w:r/>
      <w:bookmarkStart w:id="13" w:name="_Toc35393791"/>
      <w:r>
        <w:rPr>
          <w:rFonts w:hint="eastAsia" w:ascii="宋体" w:hAnsi="宋体" w:eastAsia="宋体" w:cs="宋体"/>
          <w:b/>
          <w:bCs/>
          <w:color w:val="000000"/>
          <w:sz w:val="24"/>
          <w:szCs w:val="24"/>
          <w:highlight w:val="none"/>
        </w:rPr>
        <w:t xml:space="preserve">二、申请人的资格要求：</w:t>
      </w:r>
      <w:bookmarkEnd w:id="9"/>
      <w:r/>
      <w:bookmarkEnd w:id="10"/>
      <w:r/>
      <w:bookmarkEnd w:id="11"/>
      <w:r/>
      <w:bookmarkEnd w:id="12"/>
      <w:r/>
      <w:bookmarkEnd w:id="13"/>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14" w:name="_Toc38985265"/>
      <w:r/>
      <w:bookmarkStart w:id="15" w:name="_Toc28359004"/>
      <w:r/>
      <w:bookmarkStart w:id="16" w:name="_Toc28359081"/>
      <w:r/>
      <w:bookmarkStart w:id="17" w:name="_Toc35393792"/>
      <w:r/>
      <w:bookmarkStart w:id="18" w:name="_Toc35393623"/>
      <w:r>
        <w:rPr>
          <w:rFonts w:hint="eastAsia" w:ascii="宋体" w:hAnsi="宋体" w:eastAsia="宋体" w:cs="宋体"/>
          <w:color w:val="000000"/>
          <w:sz w:val="24"/>
          <w:szCs w:val="24"/>
          <w:highlight w:val="none"/>
        </w:rPr>
        <w:t xml:space="preserve">1.满足《中华人民共和国政府采购法》第二十二条规定：</w:t>
      </w:r>
      <w:r/>
    </w:p>
    <w:p>
      <w:pPr>
        <w:ind w:firstLine="480"/>
        <w:jc w:val="left"/>
        <w:keepLines w:val="0"/>
        <w:keepNext w:val="0"/>
        <w:pageBreakBefore w:val="0"/>
        <w:spacing w:line="360" w:lineRule="auto"/>
        <w:widowControl w:val="off"/>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1.1法人或者其他组织的营业执照等证明文件，自然人的身份证明</w:t>
      </w:r>
      <w:r>
        <w:rPr>
          <w:rFonts w:hint="eastAsia" w:ascii="宋体" w:hAnsi="宋体" w:eastAsia="宋体" w:cs="宋体"/>
          <w:i/>
          <w:iCs/>
          <w:color w:val="000000"/>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i/>
          <w:iCs/>
          <w:color w:val="000000"/>
          <w:sz w:val="24"/>
          <w:szCs w:val="24"/>
          <w:highlight w:val="none"/>
          <w:u w:val="single"/>
          <w:lang w:eastAsia="zh-CN"/>
        </w:rPr>
      </w:pPr>
      <w:r>
        <w:rPr>
          <w:rFonts w:hint="eastAsia" w:ascii="宋体" w:hAnsi="宋体" w:eastAsia="宋体" w:cs="宋体"/>
          <w:b w:val="0"/>
          <w:bCs w:val="0"/>
          <w:i/>
          <w:iCs/>
          <w:color w:val="000000"/>
          <w:sz w:val="24"/>
          <w:szCs w:val="24"/>
          <w:highlight w:val="none"/>
          <w:u w:val="single"/>
        </w:rPr>
        <w:t xml:space="preserve">1.2 </w:t>
      </w:r>
      <w:r>
        <w:rPr>
          <w:rFonts w:hint="eastAsia" w:ascii="宋体" w:hAnsi="宋体" w:cs="宋体"/>
          <w:b w:val="0"/>
          <w:bCs w:val="0"/>
          <w:i/>
          <w:iCs/>
          <w:color w:val="000000"/>
          <w:sz w:val="24"/>
          <w:szCs w:val="24"/>
          <w:highlight w:val="none"/>
          <w:u w:val="single"/>
          <w:lang w:val="en-US" w:eastAsia="zh-CN"/>
        </w:rPr>
        <w:t xml:space="preserve">上一年度</w:t>
      </w:r>
      <w:r>
        <w:rPr>
          <w:rFonts w:hint="eastAsia" w:ascii="宋体" w:hAnsi="宋体" w:eastAsia="宋体" w:cs="宋体"/>
          <w:b w:val="0"/>
          <w:bCs w:val="0"/>
          <w:i/>
          <w:iCs/>
          <w:color w:val="000000"/>
          <w:sz w:val="24"/>
          <w:szCs w:val="24"/>
          <w:highlight w:val="none"/>
          <w:u w:val="single"/>
        </w:rPr>
        <w:t xml:space="preserve">的财务报告情况</w:t>
      </w:r>
      <w:r>
        <w:rPr>
          <w:rFonts w:hint="eastAsia" w:ascii="宋体" w:hAnsi="宋体" w:eastAsia="宋体" w:cs="宋体"/>
          <w:b/>
          <w:bCs/>
          <w:i/>
          <w:iCs/>
          <w:color w:val="000000"/>
          <w:sz w:val="24"/>
          <w:szCs w:val="24"/>
          <w:highlight w:val="none"/>
          <w:u w:val="single"/>
        </w:rPr>
        <w:t xml:space="preserve">（成立不满一年无需提供）</w:t>
      </w:r>
      <w:r>
        <w:rPr>
          <w:rFonts w:hint="eastAsia" w:ascii="宋体" w:hAnsi="宋体" w:eastAsia="宋体" w:cs="宋体"/>
          <w:b/>
          <w:bCs/>
          <w:i/>
          <w:iCs/>
          <w:color w:val="000000"/>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color w:val="000000"/>
          <w:sz w:val="24"/>
          <w:szCs w:val="24"/>
          <w:highlight w:val="none"/>
          <w:u w:val="single"/>
        </w:rPr>
        <w:t xml:space="preserve">1.3 依法缴纳税收和社会保障资金的相关材料</w:t>
      </w:r>
      <w:r>
        <w:rPr>
          <w:rFonts w:hint="eastAsia" w:ascii="宋体" w:hAnsi="宋体" w:eastAsia="宋体" w:cs="宋体"/>
          <w:b/>
          <w:bCs/>
          <w:i/>
          <w:iCs/>
          <w:color w:val="000000"/>
          <w:sz w:val="24"/>
          <w:szCs w:val="24"/>
          <w:highlight w:val="none"/>
          <w:u w:val="single"/>
        </w:rPr>
        <w:t xml:space="preserve">（提供提交</w:t>
      </w:r>
      <w:r>
        <w:rPr>
          <w:rFonts w:hint="eastAsia" w:ascii="宋体" w:hAnsi="宋体" w:cs="宋体"/>
          <w:b/>
          <w:bCs/>
          <w:i/>
          <w:iCs/>
          <w:color w:val="000000"/>
          <w:sz w:val="24"/>
          <w:szCs w:val="24"/>
          <w:highlight w:val="none"/>
          <w:u w:val="single"/>
          <w:lang w:eastAsia="zh-CN"/>
        </w:rPr>
        <w:t xml:space="preserve">投标文件</w:t>
      </w:r>
      <w:r>
        <w:rPr>
          <w:rFonts w:hint="eastAsia" w:ascii="宋体" w:hAnsi="宋体" w:eastAsia="宋体" w:cs="宋体"/>
          <w:b/>
          <w:bCs/>
          <w:i/>
          <w:iCs/>
          <w:color w:val="000000"/>
          <w:sz w:val="24"/>
          <w:szCs w:val="24"/>
          <w:highlight w:val="none"/>
          <w:u w:val="single"/>
        </w:rPr>
        <w:t xml:space="preserve">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w:t>
      </w:r>
      <w:r/>
    </w:p>
    <w:p>
      <w:pPr>
        <w:ind w:firstLine="480"/>
        <w:jc w:val="left"/>
        <w:keepLines w:val="0"/>
        <w:keepNext w:val="0"/>
        <w:pageBreakBefore w:val="0"/>
        <w:spacing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 具备履行合同所必需的设备和专业技术能力的书面声明；</w:t>
      </w:r>
      <w:r/>
    </w:p>
    <w:p>
      <w:pPr>
        <w:ind w:firstLine="480"/>
        <w:jc w:val="left"/>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 参加政府采购活动前3年内在经营活动中没有重大违法记录的书面声明；</w:t>
      </w:r>
      <w:r/>
    </w:p>
    <w:p>
      <w:pPr>
        <w:ind w:firstLine="480"/>
        <w:jc w:val="left"/>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 </w:t>
      </w:r>
      <w:r>
        <w:rPr>
          <w:rFonts w:hint="eastAsia" w:ascii="宋体" w:hAnsi="宋体" w:cs="宋体"/>
          <w:i/>
          <w:iCs/>
          <w:color w:val="000000"/>
          <w:sz w:val="24"/>
          <w:szCs w:val="24"/>
          <w:highlight w:val="none"/>
          <w:u w:val="single"/>
          <w:lang w:eastAsia="zh-CN"/>
        </w:rPr>
        <w:t xml:space="preserve">供应商信用承诺书</w:t>
      </w:r>
      <w:r>
        <w:rPr>
          <w:rFonts w:hint="eastAsia" w:ascii="宋体" w:hAnsi="宋体" w:eastAsia="宋体" w:cs="宋体"/>
          <w:i/>
          <w:iCs/>
          <w:color w:val="000000"/>
          <w:sz w:val="24"/>
          <w:szCs w:val="24"/>
          <w:highlight w:val="none"/>
          <w:u w:val="single"/>
        </w:rPr>
        <w:t xml:space="preserve">；</w:t>
      </w:r>
      <w:r/>
    </w:p>
    <w:p>
      <w:pPr>
        <w:ind w:firstLine="480"/>
        <w:jc w:val="left"/>
        <w:keepLines w:val="0"/>
        <w:keepNext w:val="0"/>
        <w:pageBreakBefore w:val="0"/>
        <w:spacing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 未被“信用中国”网站（www.creditchina.gov.cn）、“中国政府采购网"(www.ccgp.gov.cn</w:t>
      </w:r>
      <w:r>
        <w:rPr>
          <w:rFonts w:hint="eastAsia" w:ascii="宋体" w:hAnsi="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列入失信被执行人、重大税收违法案件当事人名单、政府采购严重违法</w:t>
      </w:r>
      <w:r>
        <w:rPr>
          <w:rFonts w:hint="eastAsia" w:ascii="宋体" w:hAnsi="宋体" w:eastAsia="宋体" w:cs="宋体"/>
          <w:b w:val="0"/>
          <w:bCs w:val="0"/>
          <w:i/>
          <w:iCs/>
          <w:color w:val="000000"/>
          <w:sz w:val="24"/>
          <w:szCs w:val="24"/>
          <w:highlight w:val="none"/>
          <w:u w:val="single"/>
        </w:rPr>
        <w:t xml:space="preserve">失信行为记录名单及其他不符合《中华人民共和国政府采购法》第二十二条规定条件的信用记录。（投标文件中无需提供证明材料）</w:t>
      </w:r>
      <w:r/>
    </w:p>
    <w:p>
      <w:pPr>
        <w:ind w:firstLine="422"/>
        <w:spacing w:line="360" w:lineRule="auto"/>
        <w:rPr>
          <w:rFonts w:ascii="宋体" w:hAnsi="宋体" w:cs="宋体"/>
          <w:b/>
          <w:i/>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4"/>
          <w:szCs w:val="24"/>
          <w:highlight w:val="none"/>
          <w:u w:val="single"/>
          <w:lang w:val="en-US" w:eastAsia="zh-CN"/>
        </w:rPr>
        <w:t xml:space="preserve">2.</w:t>
      </w:r>
      <w:r>
        <w:rPr>
          <w:rFonts w:ascii="宋体" w:hAnsi="宋体" w:cs="宋体"/>
          <w:b/>
          <w:i/>
          <w:sz w:val="24"/>
          <w:szCs w:val="24"/>
          <w:highlight w:val="none"/>
          <w:u w:val="single"/>
        </w:rPr>
        <w:t xml:space="preserve">落实政府采购政策需满足的资格要求：</w:t>
      </w:r>
      <w:r/>
    </w:p>
    <w:p>
      <w:pPr>
        <w:ind w:firstLine="422"/>
        <w:spacing w:line="360" w:lineRule="auto"/>
        <w:rPr>
          <w:rFonts w:hint="eastAsia" w:ascii="宋体" w:hAnsi="宋体" w:cs="宋体"/>
          <w:b w:val="0"/>
          <w:bCs w:val="0"/>
          <w:i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val="0"/>
          <w:sz w:val="24"/>
          <w:szCs w:val="24"/>
          <w:highlight w:val="none"/>
          <w:u w:val="none"/>
          <w:lang w:val="en-US" w:eastAsia="zh-CN"/>
        </w:rPr>
        <w:t xml:space="preserve">2.1</w:t>
      </w:r>
      <w:r>
        <w:rPr>
          <w:rFonts w:hint="eastAsia" w:ascii="宋体" w:hAnsi="宋体" w:cs="宋体"/>
          <w:b w:val="0"/>
          <w:bCs w:val="0"/>
          <w:i w:val="0"/>
          <w:iCs w:val="0"/>
          <w:sz w:val="24"/>
          <w:szCs w:val="24"/>
          <w:highlight w:val="none"/>
          <w:u w:val="none"/>
        </w:rPr>
        <w:t xml:space="preserve">本项目为非专门面向中小微企业项目</w:t>
      </w:r>
      <w:r/>
    </w:p>
    <w:p>
      <w:pPr>
        <w:ind w:firstLine="422"/>
        <w:spacing w:line="360" w:lineRule="auto"/>
        <w:rPr>
          <w:b w:val="0"/>
          <w:bCs w:val="0"/>
          <w:i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val="0"/>
          <w:sz w:val="24"/>
          <w:szCs w:val="24"/>
          <w:highlight w:val="none"/>
          <w:u w:val="none"/>
          <w:lang w:val="en-US" w:eastAsia="zh-CN"/>
        </w:rPr>
        <w:t xml:space="preserve">2.2</w:t>
      </w:r>
      <w:r>
        <w:rPr>
          <w:rFonts w:ascii="宋体" w:hAnsi="宋体" w:cs="宋体"/>
          <w:b w:val="0"/>
          <w:bCs w:val="0"/>
          <w:i w:val="0"/>
          <w:iCs w:val="0"/>
          <w:sz w:val="24"/>
          <w:szCs w:val="24"/>
          <w:highlight w:val="none"/>
          <w:u w:val="none"/>
        </w:rPr>
        <w:t xml:space="preserve">本项目属于货物类采购。根据《政府采购促进中小企业发展管理办法》（财库〔2020〕46号）、《关于做好政府采购支持企业发展有关事项的通知》(苏财购(2020)52号)的要求，小型、微型企业</w:t>
      </w:r>
      <w:r>
        <w:rPr>
          <w:rFonts w:hint="eastAsia" w:ascii="宋体" w:hAnsi="宋体" w:cs="宋体"/>
          <w:b w:val="0"/>
          <w:bCs w:val="0"/>
          <w:i w:val="0"/>
          <w:iCs w:val="0"/>
          <w:sz w:val="24"/>
          <w:szCs w:val="24"/>
          <w:highlight w:val="none"/>
          <w:u w:val="none"/>
        </w:rPr>
        <w:t xml:space="preserve">在评标时享受扶持政策。</w:t>
      </w:r>
      <w:r>
        <w:rPr>
          <w:rFonts w:ascii="宋体" w:hAnsi="宋体" w:cs="宋体"/>
          <w:b w:val="0"/>
          <w:bCs w:val="0"/>
          <w:i w:val="0"/>
          <w:iCs w:val="0"/>
          <w:sz w:val="24"/>
          <w:szCs w:val="24"/>
          <w:highlight w:val="none"/>
          <w:u w:val="none"/>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22"/>
        <w:spacing w:line="360" w:lineRule="auto"/>
        <w:rPr>
          <w:rFonts w:ascii="宋体" w:hAnsi="宋体" w:cs="宋体"/>
          <w:b/>
          <w:i/>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4"/>
          <w:szCs w:val="24"/>
          <w:highlight w:val="none"/>
          <w:u w:val="single"/>
        </w:rPr>
        <w:t xml:space="preserve">（三）</w:t>
      </w:r>
      <w:r>
        <w:rPr>
          <w:rFonts w:ascii="宋体" w:hAnsi="宋体" w:cs="宋体"/>
          <w:b/>
          <w:i/>
          <w:sz w:val="24"/>
          <w:szCs w:val="24"/>
          <w:highlight w:val="none"/>
          <w:u w:val="single"/>
        </w:rPr>
        <w:t xml:space="preserve">本项目的特定资格要求：</w:t>
      </w:r>
      <w:r/>
    </w:p>
    <w:p>
      <w:pPr>
        <w:ind w:firstLine="420"/>
        <w:jc w:val="left"/>
        <w:spacing w:line="360" w:lineRule="auto"/>
        <w:tabs>
          <w:tab w:val="left" w:pos="900" w:leader="none"/>
        </w:tabs>
        <w:rPr>
          <w:rFonts w:hint="eastAsia"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1.</w:t>
      </w:r>
      <w:r>
        <w:rPr>
          <w:rFonts w:hint="eastAsia" w:ascii="宋体" w:hAnsi="宋体" w:cs="宋体"/>
          <w:b/>
          <w:bCs/>
          <w:i/>
          <w:iCs/>
          <w:sz w:val="24"/>
          <w:szCs w:val="24"/>
          <w:highlight w:val="none"/>
          <w:u w:val="single"/>
          <w:lang w:eastAsia="zh-CN"/>
        </w:rPr>
        <w:t xml:space="preserve">供应商</w:t>
      </w:r>
      <w:r>
        <w:rPr>
          <w:rFonts w:hint="eastAsia" w:ascii="宋体" w:hAnsi="宋体" w:cs="宋体"/>
          <w:b/>
          <w:bCs/>
          <w:i/>
          <w:iCs/>
          <w:sz w:val="24"/>
          <w:szCs w:val="24"/>
          <w:highlight w:val="none"/>
          <w:u w:val="single"/>
        </w:rPr>
        <w:t xml:space="preserve">须提供投标</w:t>
      </w:r>
      <w:r>
        <w:rPr>
          <w:rFonts w:hint="eastAsia" w:ascii="宋体" w:hAnsi="宋体" w:cs="宋体"/>
          <w:b/>
          <w:bCs/>
          <w:i/>
          <w:iCs/>
          <w:sz w:val="24"/>
          <w:szCs w:val="24"/>
          <w:highlight w:val="none"/>
          <w:u w:val="single"/>
          <w:lang w:eastAsia="zh-CN"/>
        </w:rPr>
        <w:t xml:space="preserve">响应</w:t>
      </w:r>
      <w:r>
        <w:rPr>
          <w:rFonts w:hint="eastAsia" w:ascii="宋体" w:hAnsi="宋体" w:cs="宋体"/>
          <w:b/>
          <w:bCs/>
          <w:i/>
          <w:iCs/>
          <w:sz w:val="24"/>
          <w:szCs w:val="24"/>
          <w:highlight w:val="none"/>
          <w:u w:val="single"/>
        </w:rPr>
        <w:t xml:space="preserve">产品的《</w:t>
      </w:r>
      <w:r>
        <w:rPr>
          <w:rFonts w:hint="eastAsia" w:ascii="宋体" w:hAnsi="宋体" w:eastAsia="宋体" w:cs="宋体"/>
          <w:b/>
          <w:bCs/>
          <w:i/>
          <w:iCs/>
          <w:sz w:val="24"/>
          <w:szCs w:val="24"/>
          <w:highlight w:val="none"/>
          <w:u w:val="single"/>
        </w:rPr>
        <w:t xml:space="preserve">中华人民共和国医疗器械注册证》</w:t>
      </w:r>
      <w:r>
        <w:rPr>
          <w:rFonts w:hint="eastAsia" w:ascii="宋体" w:hAnsi="宋体" w:cs="宋体"/>
          <w:b/>
          <w:bCs/>
          <w:i/>
          <w:iCs/>
          <w:color w:val="000000"/>
          <w:sz w:val="24"/>
          <w:szCs w:val="24"/>
          <w:highlight w:val="none"/>
          <w:u w:val="single"/>
          <w:lang w:eastAsia="zh-CN"/>
        </w:rPr>
        <w:t xml:space="preserve">（原件扫描系统上传）</w:t>
      </w:r>
      <w:r>
        <w:rPr>
          <w:rFonts w:hint="eastAsia" w:ascii="宋体" w:hAnsi="宋体" w:cs="宋体"/>
          <w:b/>
          <w:bCs/>
          <w:i/>
          <w:iCs/>
          <w:sz w:val="24"/>
          <w:szCs w:val="24"/>
          <w:highlight w:val="none"/>
          <w:u w:val="single"/>
        </w:rPr>
        <w:t xml:space="preserve">；</w:t>
      </w:r>
      <w:r/>
    </w:p>
    <w:p>
      <w:pPr>
        <w:ind w:firstLine="420"/>
        <w:jc w:val="left"/>
        <w:spacing w:line="360" w:lineRule="auto"/>
        <w:tabs>
          <w:tab w:val="left" w:pos="900" w:leader="none"/>
        </w:tabs>
        <w:rPr>
          <w:rFonts w:hint="eastAsia" w:ascii="宋体" w:hAnsi="宋体" w:cs="宋体"/>
          <w:b/>
          <w:bCs/>
          <w:i/>
          <w:iCs/>
          <w:sz w:val="24"/>
          <w:szCs w:val="24"/>
          <w:highlight w:val="none"/>
          <w:u w:val="single"/>
        </w:rPr>
      </w:pPr>
      <w:r>
        <w:rPr>
          <w:rFonts w:hint="eastAsia" w:ascii="宋体" w:hAnsi="宋体" w:cs="宋体"/>
          <w:b/>
          <w:bCs/>
          <w:i/>
          <w:iCs/>
          <w:sz w:val="24"/>
          <w:szCs w:val="24"/>
          <w:highlight w:val="none"/>
          <w:u w:val="single"/>
          <w:lang w:val="en-US" w:eastAsia="zh-CN"/>
        </w:rPr>
        <w:t xml:space="preserve">2</w:t>
      </w:r>
      <w:r>
        <w:rPr>
          <w:rFonts w:hint="eastAsia" w:ascii="宋体" w:hAnsi="宋体" w:cs="宋体"/>
          <w:b/>
          <w:bCs/>
          <w:i/>
          <w:iCs/>
          <w:sz w:val="24"/>
          <w:szCs w:val="24"/>
          <w:highlight w:val="none"/>
          <w:u w:val="single"/>
        </w:rPr>
        <w:t xml:space="preserve">.</w:t>
      </w:r>
      <w:r>
        <w:rPr>
          <w:rFonts w:hint="eastAsia" w:ascii="宋体" w:hAnsi="宋体" w:cs="宋体"/>
          <w:b/>
          <w:bCs/>
          <w:i/>
          <w:iCs/>
          <w:sz w:val="24"/>
          <w:szCs w:val="24"/>
          <w:highlight w:val="none"/>
          <w:u w:val="single"/>
          <w:lang w:eastAsia="zh-CN"/>
        </w:rPr>
        <w:t xml:space="preserve">供应商</w:t>
      </w:r>
      <w:r>
        <w:rPr>
          <w:rFonts w:hint="eastAsia" w:ascii="宋体" w:hAnsi="宋体" w:cs="宋体"/>
          <w:b/>
          <w:bCs/>
          <w:i/>
          <w:iCs/>
          <w:sz w:val="24"/>
          <w:szCs w:val="24"/>
          <w:highlight w:val="none"/>
          <w:u w:val="single"/>
        </w:rPr>
        <w:t xml:space="preserve">为医疗器械经营企业的，须提供《医疗器械经营许可证》或者《二类医疗器械经营备案凭证》</w:t>
      </w:r>
      <w:r>
        <w:rPr>
          <w:rFonts w:hint="eastAsia" w:ascii="宋体" w:hAnsi="宋体" w:cs="宋体"/>
          <w:b/>
          <w:bCs/>
          <w:i/>
          <w:iCs/>
          <w:color w:val="000000"/>
          <w:sz w:val="24"/>
          <w:szCs w:val="24"/>
          <w:highlight w:val="none"/>
          <w:u w:val="single"/>
          <w:lang w:eastAsia="zh-CN"/>
        </w:rPr>
        <w:t xml:space="preserve">（原件扫描系统上传）</w:t>
      </w:r>
      <w:r>
        <w:rPr>
          <w:rFonts w:hint="eastAsia" w:ascii="宋体" w:hAnsi="宋体" w:cs="宋体"/>
          <w:b/>
          <w:bCs/>
          <w:i/>
          <w:iCs/>
          <w:sz w:val="24"/>
          <w:szCs w:val="24"/>
          <w:highlight w:val="none"/>
          <w:u w:val="single"/>
        </w:rPr>
        <w:t xml:space="preserve">；</w:t>
      </w:r>
      <w:r/>
    </w:p>
    <w:p>
      <w:pPr>
        <w:ind w:firstLine="420"/>
        <w:jc w:val="left"/>
        <w:spacing w:line="360" w:lineRule="auto"/>
        <w:tabs>
          <w:tab w:val="left" w:pos="900" w:leader="none"/>
        </w:tabs>
        <w:rPr>
          <w:rFonts w:hint="eastAsia" w:ascii="宋体" w:hAnsi="宋体" w:eastAsia="宋体" w:cs="宋体"/>
          <w:b/>
          <w:bCs/>
          <w:i/>
          <w:iCs/>
          <w:color w:val="000000"/>
          <w:sz w:val="24"/>
          <w:szCs w:val="24"/>
          <w:highlight w:val="none"/>
          <w:u w:val="single"/>
          <w:lang w:eastAsia="zh-CN"/>
        </w:rPr>
      </w:pPr>
      <w:r>
        <w:rPr>
          <w:rFonts w:hint="eastAsia" w:ascii="宋体" w:hAnsi="宋体" w:cs="宋体"/>
          <w:b/>
          <w:bCs/>
          <w:i/>
          <w:iCs/>
          <w:sz w:val="24"/>
          <w:szCs w:val="24"/>
          <w:highlight w:val="none"/>
          <w:u w:val="single"/>
          <w:lang w:val="en-US" w:eastAsia="zh-CN"/>
        </w:rPr>
        <w:t xml:space="preserve">3.供应商为医疗器械生产企业的，</w:t>
      </w:r>
      <w:r>
        <w:rPr>
          <w:rFonts w:hint="eastAsia" w:ascii="宋体" w:hAnsi="宋体" w:cs="宋体"/>
          <w:b/>
          <w:bCs/>
          <w:i/>
          <w:iCs/>
          <w:sz w:val="24"/>
          <w:szCs w:val="24"/>
          <w:highlight w:val="none"/>
          <w:u w:val="single"/>
        </w:rPr>
        <w:t xml:space="preserve">须提供《医疗器械生产许可证》</w:t>
      </w:r>
      <w:r>
        <w:rPr>
          <w:rFonts w:hint="eastAsia" w:ascii="宋体" w:hAnsi="宋体" w:cs="宋体"/>
          <w:b/>
          <w:bCs/>
          <w:i/>
          <w:iCs/>
          <w:color w:val="000000"/>
          <w:sz w:val="24"/>
          <w:szCs w:val="24"/>
          <w:highlight w:val="none"/>
          <w:u w:val="single"/>
          <w:lang w:eastAsia="zh-CN"/>
        </w:rPr>
        <w:t xml:space="preserve">（原件扫描系统上传）。</w:t>
      </w:r>
      <w:r/>
    </w:p>
    <w:p>
      <w:pPr>
        <w:ind w:firstLine="422"/>
        <w:keepLines w:val="0"/>
        <w:keepNext w:val="0"/>
        <w:pageBreakBefore w:val="0"/>
        <w:spacing w:line="360" w:lineRule="auto"/>
        <w:tabs>
          <w:tab w:val="left" w:pos="26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bookmarkEnd w:id="14"/>
      <w:r/>
      <w:bookmarkEnd w:id="15"/>
      <w:r/>
      <w:bookmarkEnd w:id="16"/>
      <w:r/>
      <w:bookmarkEnd w:id="17"/>
      <w:r/>
      <w:bookmarkEnd w:id="18"/>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bookmarkStart w:id="19" w:name="_Toc28359082"/>
      <w:r/>
      <w:bookmarkStart w:id="20" w:name="_Toc28359005"/>
      <w:r/>
      <w:bookmarkStart w:id="21" w:name="_Toc38985266"/>
      <w:r/>
      <w:bookmarkStart w:id="22" w:name="_Toc35393624"/>
      <w:r/>
      <w:bookmarkStart w:id="23" w:name="_Toc35393793"/>
      <w:r>
        <w:rPr>
          <w:rFonts w:hint="eastAsia" w:ascii="宋体" w:hAnsi="宋体" w:eastAsia="宋体" w:cs="宋体"/>
          <w:color w:val="000000"/>
          <w:sz w:val="24"/>
          <w:szCs w:val="24"/>
          <w:highlight w:val="none"/>
        </w:rPr>
        <w:t xml:space="preserve">1.时间：自招标文件公告发布之日起5个工作日。5个工作日后仍可下载招标文件，但不作为供应商权益受到损害的证明材料和依据。</w:t>
      </w:r>
      <w:r/>
    </w:p>
    <w:p>
      <w:pPr>
        <w:ind w:firstLine="422"/>
        <w:keepLines w:val="0"/>
        <w:keepNext w:val="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eastAsia="zh-CN"/>
        </w:rPr>
        <w:t xml:space="preserve">地点：</w:t>
      </w:r>
      <w:r>
        <w:rPr>
          <w:rFonts w:hint="eastAsia" w:ascii="宋体" w:hAnsi="宋体" w:cs="宋体"/>
          <w:b w:val="0"/>
          <w:bCs w:val="0"/>
          <w:sz w:val="24"/>
          <w:szCs w:val="24"/>
          <w:highlight w:val="none"/>
        </w:rPr>
        <w:t xml:space="preserve">苏采云系统内免费下载</w:t>
      </w:r>
      <w:r/>
    </w:p>
    <w:p>
      <w:pPr>
        <w:ind w:firstLine="422"/>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获取方式：</w:t>
      </w:r>
      <w:r>
        <w:rPr>
          <w:rFonts w:hint="eastAsia" w:ascii="宋体" w:hAnsi="宋体" w:cs="宋体"/>
          <w:sz w:val="24"/>
          <w:szCs w:val="24"/>
          <w:highlight w:val="none"/>
        </w:rPr>
        <w:t xml:space="preserve">网上注册登记成功后系统内免费下载</w:t>
      </w:r>
      <w:r>
        <w:rPr>
          <w:rFonts w:hint="eastAsia" w:ascii="宋体" w:hAnsi="宋体" w:cs="宋体"/>
          <w:sz w:val="24"/>
          <w:szCs w:val="24"/>
          <w:highlight w:val="none"/>
          <w:lang w:eastAsia="zh-CN"/>
        </w:rPr>
        <w:t xml:space="preserve">。</w:t>
      </w:r>
      <w:r/>
    </w:p>
    <w:p>
      <w:pPr>
        <w:ind w:firstLine="422"/>
        <w:keepLines w:val="0"/>
        <w:keepNext w:val="0"/>
        <w:pageBreakBefore w:val="0"/>
        <w:spacing w:line="360" w:lineRule="auto"/>
        <w:tabs>
          <w:tab w:val="left" w:pos="26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w:t>
      </w:r>
      <w:bookmarkEnd w:id="19"/>
      <w:r/>
      <w:bookmarkEnd w:id="20"/>
      <w:r>
        <w:rPr>
          <w:rFonts w:hint="eastAsia" w:ascii="宋体" w:hAnsi="宋体" w:eastAsia="宋体" w:cs="宋体"/>
          <w:b/>
          <w:bCs/>
          <w:color w:val="000000"/>
          <w:sz w:val="24"/>
          <w:szCs w:val="24"/>
          <w:highlight w:val="none"/>
        </w:rPr>
        <w:t xml:space="preserve">截止时间、开标时间和地点</w:t>
      </w:r>
      <w:bookmarkEnd w:id="21"/>
      <w:r/>
      <w:bookmarkEnd w:id="22"/>
      <w:r/>
      <w:bookmarkEnd w:id="23"/>
      <w:r/>
      <w:r/>
    </w:p>
    <w:p>
      <w:pPr>
        <w:ind w:firstLine="420"/>
        <w:keepLines w:val="0"/>
        <w:keepNext w:val="0"/>
        <w:pageBreakBefore w:val="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1.时间：</w:t>
      </w:r>
      <w:r>
        <w:rPr>
          <w:rFonts w:hint="eastAsia" w:ascii="宋体" w:hAnsi="宋体" w:eastAsia="宋体" w:cs="宋体"/>
          <w:bCs/>
          <w:color w:val="000000"/>
          <w:sz w:val="24"/>
          <w:szCs w:val="24"/>
          <w:highlight w:val="none"/>
          <w:u w:val="none"/>
          <w:lang w:val="en-US" w:eastAsia="zh-CN"/>
        </w:rPr>
        <w:t xml:space="preserve">2026</w:t>
      </w:r>
      <w:r>
        <w:rPr>
          <w:rFonts w:hint="eastAsia" w:ascii="宋体" w:hAnsi="宋体" w:eastAsia="宋体" w:cs="宋体"/>
          <w:bCs/>
          <w:color w:val="000000"/>
          <w:sz w:val="24"/>
          <w:szCs w:val="24"/>
          <w:highlight w:val="none"/>
          <w:u w:val="none"/>
        </w:rPr>
        <w:t xml:space="preserve">年</w:t>
      </w:r>
      <w:r>
        <w:rPr>
          <w:rFonts w:hint="eastAsia" w:ascii="宋体" w:hAnsi="宋体" w:cs="宋体"/>
          <w:bCs/>
          <w:color w:val="000000"/>
          <w:sz w:val="24"/>
          <w:szCs w:val="24"/>
          <w:highlight w:val="none"/>
          <w:u w:val="none"/>
          <w:lang w:val="en-US" w:eastAsia="zh-CN"/>
        </w:rPr>
        <w:t xml:space="preserve">10</w:t>
      </w:r>
      <w:r>
        <w:rPr>
          <w:rFonts w:hint="eastAsia" w:ascii="宋体" w:hAnsi="宋体" w:eastAsia="宋体" w:cs="宋体"/>
          <w:bCs/>
          <w:color w:val="000000"/>
          <w:sz w:val="24"/>
          <w:szCs w:val="24"/>
          <w:highlight w:val="none"/>
          <w:u w:val="none"/>
        </w:rPr>
        <w:t xml:space="preserve">月</w:t>
      </w:r>
      <w:r>
        <w:rPr>
          <w:rFonts w:hint="eastAsia" w:ascii="宋体" w:hAnsi="宋体" w:cs="宋体"/>
          <w:bCs/>
          <w:color w:val="000000"/>
          <w:sz w:val="24"/>
          <w:szCs w:val="24"/>
          <w:highlight w:val="none"/>
          <w:u w:val="none"/>
          <w:lang w:val="en-US" w:eastAsia="zh-CN"/>
        </w:rPr>
        <w:t xml:space="preserve">30</w:t>
      </w:r>
      <w:r>
        <w:rPr>
          <w:rFonts w:hint="eastAsia" w:ascii="宋体" w:hAnsi="宋体" w:eastAsia="宋体" w:cs="宋体"/>
          <w:bCs/>
          <w:color w:val="000000"/>
          <w:sz w:val="24"/>
          <w:szCs w:val="24"/>
          <w:highlight w:val="none"/>
          <w:u w:val="none"/>
        </w:rPr>
        <w:t xml:space="preserve">日</w:t>
      </w:r>
      <w:r>
        <w:rPr>
          <w:rFonts w:hint="eastAsia" w:ascii="宋体" w:hAnsi="宋体" w:cs="宋体"/>
          <w:bCs/>
          <w:color w:val="000000"/>
          <w:sz w:val="24"/>
          <w:szCs w:val="24"/>
          <w:highlight w:val="none"/>
          <w:u w:val="none"/>
          <w:lang w:val="en-US" w:eastAsia="zh-CN"/>
        </w:rPr>
        <w:t xml:space="preserve">9:30</w:t>
      </w:r>
      <w:r>
        <w:rPr>
          <w:rFonts w:hint="eastAsia" w:ascii="宋体" w:hAnsi="宋体" w:eastAsia="宋体" w:cs="宋体"/>
          <w:bCs/>
          <w:color w:val="000000"/>
          <w:sz w:val="24"/>
          <w:szCs w:val="24"/>
          <w:highlight w:val="none"/>
          <w:u w:val="none"/>
        </w:rPr>
        <w:t xml:space="preserve"> </w:t>
      </w:r>
      <w:r>
        <w:rPr>
          <w:rFonts w:hint="eastAsia" w:ascii="宋体" w:hAnsi="宋体" w:eastAsia="宋体" w:cs="宋体"/>
          <w:color w:val="000000"/>
          <w:sz w:val="24"/>
          <w:szCs w:val="24"/>
          <w:highlight w:val="none"/>
        </w:rPr>
        <w:t xml:space="preserve"> （北京时间）</w:t>
      </w:r>
      <w:r/>
    </w:p>
    <w:p>
      <w:pPr>
        <w:ind w:firstLine="42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2.开标地点：</w:t>
      </w:r>
      <w:r>
        <w:rPr>
          <w:rFonts w:hint="eastAsia" w:ascii="宋体" w:hAnsi="宋体"/>
          <w:b w:val="0"/>
          <w:bCs/>
          <w:sz w:val="24"/>
          <w:szCs w:val="24"/>
          <w:highlight w:val="none"/>
        </w:rPr>
        <w:t xml:space="preserve">“苏采云”系统（网址：http://jszfcg.jsczt.cn/）“开标大厅”</w:t>
      </w:r>
      <w:r/>
    </w:p>
    <w:p>
      <w:pPr>
        <w:ind w:firstLine="422"/>
        <w:keepLines w:val="0"/>
        <w:keepNext w:val="0"/>
        <w:pageBreakBefore w:val="0"/>
        <w:spacing w:line="360" w:lineRule="auto"/>
        <w:tabs>
          <w:tab w:val="left" w:pos="266" w:leader="none"/>
        </w:tabs>
        <w:rPr>
          <w:rFonts w:hint="eastAsia" w:ascii="宋体" w:hAnsi="宋体" w:eastAsia="宋体" w:cs="宋体"/>
          <w:b/>
          <w:bCs/>
          <w:color w:val="000000"/>
          <w:sz w:val="24"/>
          <w:szCs w:val="24"/>
          <w:highlight w:val="none"/>
        </w:rPr>
      </w:pPr>
      <w:r/>
      <w:bookmarkStart w:id="24" w:name="_Toc35393794"/>
      <w:r/>
      <w:bookmarkStart w:id="25" w:name="_Toc35393625"/>
      <w:r/>
      <w:bookmarkStart w:id="26" w:name="_Toc38985267"/>
      <w:r/>
      <w:bookmarkStart w:id="27" w:name="_Toc28359007"/>
      <w:r/>
      <w:bookmarkStart w:id="28" w:name="_Toc28359084"/>
      <w:r>
        <w:rPr>
          <w:rFonts w:hint="eastAsia" w:ascii="宋体" w:hAnsi="宋体" w:eastAsia="宋体" w:cs="宋体"/>
          <w:b/>
          <w:bCs/>
          <w:color w:val="000000"/>
          <w:sz w:val="24"/>
          <w:szCs w:val="24"/>
          <w:highlight w:val="none"/>
        </w:rPr>
        <w:t xml:space="preserve">五、公告期限</w:t>
      </w:r>
      <w:bookmarkEnd w:id="24"/>
      <w:r/>
      <w:bookmarkEnd w:id="25"/>
      <w:r/>
      <w:bookmarkEnd w:id="26"/>
      <w:r/>
      <w:bookmarkEnd w:id="27"/>
      <w:r/>
      <w:bookmarkEnd w:id="28"/>
      <w:r/>
      <w:r/>
    </w:p>
    <w:p>
      <w:pPr>
        <w:ind w:firstLine="420"/>
        <w:keepLines w:val="0"/>
        <w:keepNext w:val="0"/>
        <w:pageBreakBefore w:val="0"/>
        <w:spacing w:line="360" w:lineRule="auto"/>
        <w:rPr>
          <w:rFonts w:hint="eastAsia" w:ascii="宋体" w:hAnsi="宋体" w:eastAsia="宋体" w:cs="宋体"/>
          <w:b w:val="0"/>
          <w:bCs w:val="0"/>
          <w:color w:val="000000"/>
          <w:sz w:val="24"/>
          <w:szCs w:val="24"/>
          <w:highlight w:val="none"/>
        </w:rPr>
      </w:pPr>
      <w:r/>
      <w:bookmarkStart w:id="29" w:name="_Toc35393795"/>
      <w:r/>
      <w:bookmarkStart w:id="30" w:name="_Toc38985268"/>
      <w:r/>
      <w:bookmarkStart w:id="31" w:name="_Toc35393626"/>
      <w:r>
        <w:rPr>
          <w:rFonts w:hint="eastAsia" w:ascii="宋体" w:hAnsi="宋体" w:eastAsia="宋体" w:cs="宋体"/>
          <w:b w:val="0"/>
          <w:bCs w:val="0"/>
          <w:color w:val="000000"/>
          <w:sz w:val="24"/>
          <w:szCs w:val="24"/>
          <w:highlight w:val="none"/>
        </w:rPr>
        <w:t xml:space="preserve">自本公告发布之日起5个工作日。</w:t>
      </w:r>
      <w:r/>
    </w:p>
    <w:p>
      <w:pPr>
        <w:ind w:firstLine="422"/>
        <w:keepLines w:val="0"/>
        <w:keepNext w:val="0"/>
        <w:pageBreakBefore w:val="0"/>
        <w:spacing w:line="360" w:lineRule="auto"/>
        <w:tabs>
          <w:tab w:val="left" w:pos="26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六、其他补充事宜</w:t>
      </w:r>
      <w:bookmarkEnd w:id="29"/>
      <w:r/>
      <w:bookmarkEnd w:id="30"/>
      <w:r/>
      <w:bookmarkEnd w:id="31"/>
      <w:r/>
      <w:r/>
    </w:p>
    <w:p>
      <w:pPr>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32" w:name="_Toc35393796"/>
      <w:r/>
      <w:bookmarkStart w:id="33" w:name="_Toc35393627"/>
      <w:r/>
      <w:bookmarkStart w:id="34" w:name="_Toc28359008"/>
      <w:r/>
      <w:bookmarkStart w:id="35" w:name="_Toc38985269"/>
      <w:r/>
      <w:bookmarkStart w:id="36" w:name="_Toc28359085"/>
      <w:r>
        <w:rPr>
          <w:rFonts w:hint="eastAsia" w:ascii="宋体" w:hAnsi="宋体" w:eastAsia="宋体" w:cs="宋体"/>
          <w:b/>
          <w:bCs/>
          <w:color w:val="000000"/>
          <w:sz w:val="24"/>
          <w:szCs w:val="24"/>
          <w:highlight w:val="none"/>
        </w:rPr>
        <w:t xml:space="preserve">1.本次采购采用“政府采购管理交易系统（苏采云）”，招标、投标、评标和中标结果发布全程电子化，开标方式为不见面开标。供应商应当按照《“苏采云”系统供应商操作手册》参加投标活动。</w:t>
      </w:r>
      <w:r/>
    </w:p>
    <w:p>
      <w:pPr>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供应商如确定参加投标，可自行下载采购文件及有关资料，按照《操作手册》进行注册，领取CA和办理电子签章，并按《操作手册》要求制作、上传电子投标文件，技术支持联系方式：13813140731。如供应商未按要求操作，由此所产生的风险由供应商自行承担。</w:t>
      </w:r>
      <w:r/>
    </w:p>
    <w:p>
      <w:pPr>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潜在供应商访问政府采购管理交易系统（苏采云）的网络地址和方法：</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（1）潜在供应商访问政府采购管理交易系统（苏采云）的方法：“苏采云”系统用户注册</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获取“CA数字证书”--CA绑定与登录--网上报名</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下载采购文件（后缀名为“.kedt”）--将后缀名为“.kedt”的采购文件导入政府采购客户端工具--制作投标文件--导出加密的投标文件（后缀名为zip）--通过“苏采云”系统上传投标文件。</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（2）“CA数字证书”的获取：供应商需办理CA锁，“苏采云”系统目前仅支持“苏采云”系统下的政务CA，省内各地区办理的“苏采云”系统下的政务CA全省通用。</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（3）“CA数字证书”的办理材料以及供应商操作手册详见：http://zfcg.yangzhou.gov.cn/xzzx/art/2023/art_4d7de1f7865f4a2894fc22bc452f94d8.html。</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（4）潜在供应商访问“苏采云”系统的网络地址和方法：“苏采云”系统的网址：http</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//jszfcg.jsczt.cn/。</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（5）采购文件（后缀名为“.kedt”）、供应商操作手册及政府采购客户端工具也可通过“苏采云”系统--已报名项目--报名详情页面内相应链接进行下载。</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（6）招标代理机构将数据电文形式的采购文件加载至“苏采云”系统，供潜在供应商下载或者查阅。     </w:t>
      </w:r>
      <w:r/>
    </w:p>
    <w:p>
      <w:pPr>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sz w:val="24"/>
          <w:szCs w:val="24"/>
          <w:highlight w:val="none"/>
        </w:rPr>
        <w:t xml:space="preserve">如潜在供应商未按上述要求操作，将自行承担所产生的风险。</w:t>
      </w:r>
      <w:r/>
    </w:p>
    <w:p>
      <w:pPr>
        <w:ind w:firstLine="42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本次招标</w:t>
      </w:r>
      <w:r>
        <w:rPr>
          <w:rFonts w:hint="eastAsia" w:ascii="宋体" w:hAnsi="宋体" w:eastAsia="宋体" w:cs="宋体"/>
          <w:color w:val="000000"/>
          <w:sz w:val="24"/>
          <w:szCs w:val="24"/>
          <w:highlight w:val="none"/>
          <w:u w:val="single"/>
        </w:rPr>
        <w:t xml:space="preserve">不收取</w:t>
      </w:r>
      <w:r>
        <w:rPr>
          <w:rFonts w:hint="eastAsia" w:ascii="宋体" w:hAnsi="宋体" w:eastAsia="宋体" w:cs="宋体"/>
          <w:color w:val="000000"/>
          <w:sz w:val="24"/>
          <w:szCs w:val="24"/>
          <w:highlight w:val="none"/>
        </w:rPr>
        <w:t xml:space="preserve">投标保证金。</w:t>
      </w:r>
      <w:r/>
    </w:p>
    <w:p>
      <w:pPr>
        <w:ind w:firstLine="42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有关本次招标的事项若存在变动或修改，敬请及时关注“扬州市政府采购网</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江苏省政府采购网”和“中国政府采购网”发布的信息。</w:t>
      </w:r>
      <w:r/>
    </w:p>
    <w:p>
      <w:pPr>
        <w:ind w:firstLine="422"/>
        <w:keepLines w:val="0"/>
        <w:keepNext w:val="0"/>
        <w:pageBreakBefore w:val="0"/>
        <w:spacing w:line="360" w:lineRule="auto"/>
        <w:tabs>
          <w:tab w:val="left" w:pos="266" w:leader="none"/>
        </w:tabs>
        <w:rPr>
          <w:rFonts w:hint="eastAsia" w:ascii="宋体" w:hAnsi="宋体" w:eastAsia="宋体" w:cs="宋体"/>
          <w:b/>
          <w:i/>
          <w:iCs/>
          <w:color w:val="000000"/>
          <w:sz w:val="24"/>
          <w:szCs w:val="24"/>
          <w:highlight w:val="none"/>
          <w:u w:val="single"/>
        </w:rPr>
      </w:pPr>
      <w:r>
        <w:rPr>
          <w:rFonts w:hint="eastAsia" w:ascii="宋体" w:hAnsi="宋体" w:eastAsia="宋体" w:cs="宋体"/>
          <w:b/>
          <w:i/>
          <w:iCs/>
          <w:color w:val="000000"/>
          <w:sz w:val="24"/>
          <w:szCs w:val="24"/>
          <w:highlight w:val="none"/>
          <w:u w:val="single"/>
          <w:lang w:val="en-US" w:eastAsia="zh-CN"/>
        </w:rPr>
        <w:t xml:space="preserve">6</w:t>
      </w:r>
      <w:r>
        <w:rPr>
          <w:rFonts w:hint="eastAsia" w:ascii="宋体" w:hAnsi="宋体" w:eastAsia="宋体" w:cs="宋体"/>
          <w:b/>
          <w:i/>
          <w:iCs/>
          <w:color w:val="000000"/>
          <w:sz w:val="24"/>
          <w:szCs w:val="24"/>
          <w:highlight w:val="none"/>
          <w:u w:val="single"/>
        </w:rPr>
        <w:t xml:space="preserve">.本项目招标文件中所有斜体下划线部分为实质性条款，如不满足，则为无效投标。</w:t>
      </w:r>
      <w:r/>
    </w:p>
    <w:p>
      <w:pPr>
        <w:ind w:firstLine="480"/>
        <w:jc w:val="left"/>
        <w:keepLines w:val="0"/>
        <w:keepNext w:val="0"/>
        <w:pageBreakBefore w:val="0"/>
        <w:spacing w:line="360" w:lineRule="auto"/>
        <w:widowControl w:val="off"/>
        <w:tabs>
          <w:tab w:val="left" w:pos="26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7.为落实好政府采购履约资金扶持政策，中标/成交供应商可凭政府采购合同办理融资贷款，详见江苏政府采购网“政采贷”专栏。</w:t>
      </w:r>
      <w:r/>
    </w:p>
    <w:p>
      <w:pPr>
        <w:ind w:firstLine="480"/>
        <w:jc w:val="left"/>
        <w:keepLines w:val="0"/>
        <w:keepNext w:val="0"/>
        <w:pageBreakBefore w:val="0"/>
        <w:spacing w:line="360" w:lineRule="auto"/>
        <w:widowControl w:val="off"/>
        <w:tabs>
          <w:tab w:val="left" w:pos="26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由国家确定的认证机构出具的、处于有效期之内的节能产品、环境标志产品认证证书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pStyle w:val="908"/>
        <w:ind w:firstLine="480"/>
        <w:jc w:val="left"/>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供应商对于所投产品的包装应按照“财办库〔2020〕123号《关于印发《商品包装政府采购需求标准（试行）》《快递包装政府采购需求标准（试行）》的通知》”执行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cs="宋体"/>
          <w:sz w:val="24"/>
          <w:szCs w:val="24"/>
          <w:highlight w:val="none"/>
        </w:rPr>
        <w:t xml:space="preserve">开标当天各供应商及时登录不见面开标大厅，投标文件递交截止时间后，采购人将在系统内公布供应商名单，然后通</w:t>
      </w:r>
      <w:r>
        <w:rPr>
          <w:rFonts w:hint="eastAsia" w:ascii="宋体" w:hAnsi="宋体" w:cs="宋体"/>
          <w:sz w:val="24"/>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keepLines w:val="0"/>
        <w:keepNext w:val="0"/>
        <w:pageBreakBefore w:val="0"/>
        <w:spacing w:line="360" w:lineRule="auto"/>
        <w:tabs>
          <w:tab w:val="left" w:pos="26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七、本次招标联系方式</w:t>
      </w:r>
      <w:bookmarkEnd w:id="32"/>
      <w:r/>
      <w:bookmarkEnd w:id="33"/>
      <w:r/>
      <w:bookmarkEnd w:id="34"/>
      <w:r/>
      <w:bookmarkEnd w:id="35"/>
      <w:r/>
      <w:bookmarkEnd w:id="36"/>
      <w:r/>
      <w:r/>
    </w:p>
    <w:p>
      <w:pPr>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bookmarkStart w:id="37" w:name="_Toc28359010"/>
      <w:r/>
      <w:bookmarkStart w:id="38" w:name="_Toc28359087"/>
      <w:r>
        <w:rPr>
          <w:rFonts w:hint="eastAsia" w:ascii="宋体" w:hAnsi="宋体" w:eastAsia="宋体" w:cs="宋体"/>
          <w:color w:val="000000"/>
          <w:sz w:val="24"/>
          <w:szCs w:val="24"/>
          <w:highlight w:val="none"/>
        </w:rPr>
        <w:t xml:space="preserve">1.采购人信息</w:t>
      </w:r>
      <w:r/>
    </w:p>
    <w:p>
      <w:pPr>
        <w:ind w:firstLine="420"/>
        <w:spacing w:line="360" w:lineRule="auto"/>
        <w:rPr>
          <w:rFonts w:hint="eastAsia" w:ascii="宋体" w:hAnsi="宋体" w:eastAsia="宋体" w:cs="宋体"/>
          <w:bCs/>
          <w:color w:val="000000"/>
          <w:sz w:val="24"/>
          <w:szCs w:val="24"/>
          <w:highlight w:val="none"/>
        </w:rPr>
      </w:pPr>
      <w:r/>
      <w:bookmarkStart w:id="39" w:name="_Toc28359086"/>
      <w:r/>
      <w:bookmarkStart w:id="40" w:name="_Toc28359009"/>
      <w:r>
        <w:rPr>
          <w:rFonts w:hint="eastAsia" w:ascii="宋体" w:hAnsi="宋体" w:eastAsia="宋体" w:cs="宋体"/>
          <w:bCs/>
          <w:color w:val="000000"/>
          <w:sz w:val="24"/>
          <w:szCs w:val="24"/>
          <w:highlight w:val="none"/>
        </w:rPr>
        <w:t xml:space="preserve">名    称：扬州市疾病预防控制中心</w:t>
      </w:r>
      <w:r/>
    </w:p>
    <w:p>
      <w:pPr>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    址：扬州市上方寺路52号 　　</w:t>
      </w:r>
      <w:r/>
    </w:p>
    <w:p>
      <w:pPr>
        <w:ind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项目联系人：夏主任</w:t>
      </w:r>
      <w:r/>
    </w:p>
    <w:p>
      <w:pPr>
        <w:ind w:firstLine="420"/>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w:t>
      </w:r>
      <w:r>
        <w:rPr>
          <w:rFonts w:hint="eastAsia" w:ascii="宋体" w:hAnsi="宋体"/>
          <w:color w:val="000000"/>
          <w:sz w:val="24"/>
          <w:szCs w:val="24"/>
          <w:highlight w:val="none"/>
        </w:rPr>
        <w:t xml:space="preserve">0514-80828933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p>
      <w:pPr>
        <w:ind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bookmarkEnd w:id="39"/>
      <w:r/>
      <w:bookmarkEnd w:id="40"/>
      <w:r/>
      <w:r/>
    </w:p>
    <w:p>
      <w:pPr>
        <w:ind w:firstLine="42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江苏唯诚建设咨询有限公司</w:t>
      </w:r>
      <w:r/>
    </w:p>
    <w:p>
      <w:pPr>
        <w:ind w:firstLine="42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扬州市维扬路</w:t>
      </w:r>
      <w:r>
        <w:rPr>
          <w:rFonts w:hint="eastAsia" w:ascii="宋体" w:hAnsi="宋体" w:eastAsia="宋体" w:cs="宋体"/>
          <w:color w:val="000000"/>
          <w:sz w:val="24"/>
          <w:szCs w:val="24"/>
          <w:highlight w:val="none"/>
          <w:lang w:val="en-US" w:eastAsia="zh-CN"/>
        </w:rPr>
        <w:t xml:space="preserve">106-1，商城国际大厦1910</w:t>
      </w:r>
      <w:r/>
    </w:p>
    <w:p>
      <w:pPr>
        <w:ind w:firstLine="42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 林祖超</w:t>
      </w:r>
      <w:r/>
    </w:p>
    <w:p>
      <w:pPr>
        <w:ind w:firstLine="420"/>
        <w:keepLines w:val="0"/>
        <w:keepNext w:val="0"/>
        <w:pageBreakBefore w:val="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End w:id="37"/>
      <w:r/>
      <w:bookmarkEnd w:id="38"/>
      <w:r>
        <w:rPr>
          <w:rFonts w:hint="eastAsia" w:ascii="宋体" w:hAnsi="宋体" w:eastAsia="宋体" w:cs="宋体"/>
          <w:color w:val="000000"/>
          <w:sz w:val="24"/>
          <w:szCs w:val="24"/>
          <w:highlight w:val="none"/>
          <w:lang w:eastAsia="zh-CN"/>
        </w:rPr>
        <w:t xml:space="preserve">0514-87880356</w:t>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br w:type="page" w:clear="all"/>
      </w:r>
      <w:r/>
    </w:p>
    <w:p>
      <w:pPr>
        <w:pStyle w:val="678"/>
        <w:rPr>
          <w:rFonts w:hint="eastAsia"/>
          <w:color w:val="000000"/>
          <w:highlight w:val="none"/>
        </w:rPr>
      </w:pPr>
      <w:r/>
      <w:bookmarkStart w:id="41" w:name="_Toc10032"/>
      <w:r>
        <w:rPr>
          <w:rFonts w:hint="eastAsia"/>
          <w:color w:val="000000"/>
          <w:highlight w:val="none"/>
        </w:rPr>
        <w:t xml:space="preserve">第二章 投标人须知</w:t>
      </w:r>
      <w:bookmarkEnd w:id="41"/>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招标方式</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 本次招标采取公开招标方式，本招标文件仅适用于</w:t>
      </w:r>
      <w:r>
        <w:rPr>
          <w:rFonts w:hint="eastAsia" w:ascii="宋体" w:hAnsi="宋体" w:eastAsia="宋体" w:cs="宋体"/>
          <w:bCs/>
          <w:color w:val="000000"/>
          <w:sz w:val="24"/>
          <w:szCs w:val="24"/>
          <w:highlight w:val="none"/>
          <w:lang w:eastAsia="zh-CN"/>
        </w:rPr>
        <w:t xml:space="preserve">JSZC-321000-WCGC-G2026-0032号</w:t>
      </w:r>
      <w:r>
        <w:rPr>
          <w:rFonts w:hint="eastAsia" w:ascii="宋体" w:hAnsi="宋体" w:eastAsia="宋体" w:cs="宋体"/>
          <w:bCs/>
          <w:color w:val="000000"/>
          <w:sz w:val="24"/>
          <w:szCs w:val="24"/>
          <w:highlight w:val="none"/>
        </w:rPr>
        <w:t xml:space="preserve">项目。</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投标人</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 本招标文件中“供应商”，即“投标人”，是指参加投标竞争，并符合招标文件规定资格条件的法人、其他组织或者自然人。</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2.2合格的投标人</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2.2.1 满足招标公告中供应商的资格条件要求的规定。</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2.2.2 满足本文件实质性条款的规定。</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rPr>
        <w:t xml:space="preserve">适用法律</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 本次招标及由此产生的合同受中华人民共和国有关的法律法规制约和保护。</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4.</w:t>
      </w:r>
      <w:r>
        <w:rPr>
          <w:rFonts w:hint="eastAsia" w:ascii="宋体" w:hAnsi="宋体" w:eastAsia="宋体" w:cs="宋体"/>
          <w:b/>
          <w:color w:val="000000"/>
          <w:sz w:val="24"/>
          <w:szCs w:val="24"/>
          <w:highlight w:val="none"/>
        </w:rPr>
        <w:t xml:space="preserve">投标费用</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 投标人应自行承担所有与参加投标有关的费用，无论投标过程中的做法和结果如 何，代理机构在任何情况下均无义务和责任承担这些费用。 </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4.2本次采购由中标供应商支付招标代理费用。中标供应商在领取中标通知书前按《招标代理服务收费管理暂行办法》(计价格〔2002〕1980 号)货物类标准，收费基数为单标段中标金额。代理费计算适用差额累进法，最终招标代理服务费=按前述规定标准计算出招标代理服务费原值后*66%</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（1）代理服务费以人民币支付；</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（2）代理服务费支付方式：一次性以电汇或转账形式支付。</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（3）代理服务费不在报价中单列，包含在总价中，由中标供应商支付给代理机构。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代理服务费开户银行：江苏银行扬州广陵支行</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开户名称：江苏唯诚建设咨询有限公司</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开户帐号：05000140900000685</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4.3专家评审费按</w:t>
      </w:r>
      <w:r>
        <w:rPr>
          <w:rFonts w:hint="eastAsia" w:ascii="宋体" w:hAnsi="宋体" w:eastAsia="宋体" w:cs="宋体"/>
          <w:b/>
          <w:bCs/>
          <w:color w:val="000000"/>
          <w:sz w:val="24"/>
          <w:szCs w:val="24"/>
          <w:highlight w:val="none"/>
          <w:lang w:val="en-US" w:eastAsia="zh-CN"/>
        </w:rPr>
        <w:t xml:space="preserve">照</w:t>
      </w:r>
      <w:r>
        <w:rPr>
          <w:rFonts w:hint="eastAsia" w:ascii="宋体" w:hAnsi="宋体" w:eastAsia="宋体" w:cs="宋体"/>
          <w:b/>
          <w:bCs/>
          <w:color w:val="000000"/>
          <w:sz w:val="24"/>
          <w:szCs w:val="24"/>
          <w:highlight w:val="none"/>
        </w:rPr>
        <w:t xml:space="preserve">《扬州市财政局关于进一步规范扬州市政府采购专家评审费标准的通知》（扬财购〔2020〕40号）执行。</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5.</w:t>
      </w:r>
      <w:r>
        <w:rPr>
          <w:rFonts w:hint="eastAsia" w:ascii="宋体" w:hAnsi="宋体" w:eastAsia="宋体" w:cs="宋体"/>
          <w:b/>
          <w:color w:val="000000"/>
          <w:sz w:val="24"/>
          <w:szCs w:val="24"/>
          <w:highlight w:val="none"/>
        </w:rPr>
        <w:t xml:space="preserve">招标文件的约束力</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5.1 投标人一旦参加本项目采购活动，即被认为接受了本招标文件的规定和约束。</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6.</w:t>
      </w:r>
      <w:r>
        <w:rPr>
          <w:rFonts w:hint="eastAsia" w:ascii="宋体" w:hAnsi="宋体" w:eastAsia="宋体" w:cs="宋体"/>
          <w:b/>
          <w:color w:val="000000"/>
          <w:sz w:val="24"/>
          <w:szCs w:val="24"/>
          <w:highlight w:val="none"/>
        </w:rPr>
        <w:t xml:space="preserve">招标文件构成</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 招标文件</w:t>
      </w:r>
      <w:r>
        <w:rPr>
          <w:rFonts w:hint="eastAsia" w:ascii="宋体" w:hAnsi="宋体" w:eastAsia="宋体" w:cs="宋体"/>
          <w:bCs/>
          <w:color w:val="000000"/>
          <w:sz w:val="24"/>
          <w:szCs w:val="24"/>
          <w:highlight w:val="none"/>
          <w:lang w:eastAsia="zh-CN"/>
        </w:rPr>
        <w:t xml:space="preserve">由以下部分组成</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（1）招标公告</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（2）投标人须知</w:t>
      </w:r>
      <w:r>
        <w:rPr>
          <w:rFonts w:hint="eastAsia" w:ascii="宋体" w:hAnsi="宋体" w:eastAsia="宋体" w:cs="宋体"/>
          <w:bCs/>
          <w:color w:val="000000"/>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（3）合同条款及格式</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（4）项目需求</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（5）评标方法与评标标准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（6）投标文件格式</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请仔细检查招标文件是否齐全，如有缺漏请立即与代理机构联系解决。</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6.3 招标文件如果要求供应商提交备选投标方案的，供应商可以提交备选方案；否则，备选方案将被拒绝。</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7.</w:t>
      </w:r>
      <w:r>
        <w:rPr>
          <w:rFonts w:hint="eastAsia" w:ascii="宋体" w:hAnsi="宋体" w:eastAsia="宋体" w:cs="宋体"/>
          <w:b/>
          <w:color w:val="000000"/>
          <w:sz w:val="24"/>
          <w:szCs w:val="24"/>
          <w:highlight w:val="none"/>
        </w:rPr>
        <w:t xml:space="preserve">招标文件的澄清</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7.1 任何要求对招标文件进行澄清的投标人，应在投标截止日期的十日前按招标公告中的通讯地址，以书面形式通知代理机构。</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8.</w:t>
      </w:r>
      <w:r>
        <w:rPr>
          <w:rFonts w:hint="eastAsia" w:ascii="宋体" w:hAnsi="宋体" w:eastAsia="宋体" w:cs="宋体"/>
          <w:b/>
          <w:color w:val="000000"/>
          <w:sz w:val="24"/>
          <w:szCs w:val="24"/>
          <w:highlight w:val="none"/>
        </w:rPr>
        <w:t xml:space="preserve">招标文件的修改</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 在投标截止时间前，代理机构可以对招标文件进行修改。</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8.2代理机构在招标文件要求提交投标文件截止时间前，有权按照法定要求推迟投标截止时间和开标时间。</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8.3招标文件的修改将在“扬州市政府采购网”、“江苏省政府采购网”和“中国政府采购网”公布，补充文件将作为招标文件的组成部分，并对投标人具有约束力。</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9.</w:t>
      </w:r>
      <w:r>
        <w:rPr>
          <w:rFonts w:hint="eastAsia" w:ascii="宋体" w:hAnsi="宋体" w:eastAsia="宋体" w:cs="宋体"/>
          <w:b/>
          <w:color w:val="000000"/>
          <w:sz w:val="24"/>
          <w:szCs w:val="24"/>
          <w:highlight w:val="none"/>
        </w:rPr>
        <w:t xml:space="preserve">投标文件的语言、度量衡单位、货币</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9.1投标人提交的投标文件以及投标人与代理机构就有关投标的所有来往通知、函件和文件均应使用简体中文。</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9.2 除技术性能另有规定外，投标文件所使用的度量衡单位，均须采用国家法定计量单位。</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9.3投标人应使用人民币报价。</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10.</w:t>
      </w:r>
      <w:r>
        <w:rPr>
          <w:rFonts w:hint="eastAsia" w:ascii="宋体" w:hAnsi="宋体" w:eastAsia="宋体" w:cs="宋体"/>
          <w:b/>
          <w:color w:val="000000"/>
          <w:sz w:val="24"/>
          <w:szCs w:val="24"/>
          <w:highlight w:val="none"/>
        </w:rPr>
        <w:t xml:space="preserve">投标文件构成</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10.1投标文件由以下部分组成</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（1）资格审查响应对照表</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（2）符合性审查响应对照表</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（3）非实质性响应对照表</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（4）开标一览表 </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（5）分项报价表 </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（6）技术参数响应及偏离表 </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（7）商务条款响应及偏离表 </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（8）其他 </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10.2投标人应当根据招标文件要求编制投标文件，投标文件应对招标文件提出的要求和条件作出响应，并在相应的投标文件中逐条标明满足与否。</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11.</w:t>
      </w:r>
      <w:r>
        <w:rPr>
          <w:rFonts w:hint="eastAsia" w:ascii="宋体" w:hAnsi="宋体" w:eastAsia="宋体" w:cs="宋体"/>
          <w:b/>
          <w:color w:val="000000"/>
          <w:sz w:val="24"/>
          <w:szCs w:val="24"/>
          <w:highlight w:val="none"/>
        </w:rPr>
        <w:t xml:space="preserve">证明投标人资格及符合招标文件规定的文件</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11.1投标人应按要求提交资格证明文件及符合招标文件规定的文件。</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11.2投标人应提交证明其有资格参加投标和中标后有能力独立履行合同的文件。</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11.3投标人除必须具有履行合同所需提供的产品或服务的能力外，还必须具备相应的财务、技术方面的能力。</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11.4投标人应提交根据合同要求提供的证明服务质量合格以及符合招标文件规定的证明文件。</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11.5证明投标人所提供服务与招标文件的要求相一致的文件可以是手册、图纸、文字资料和数据。</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12.</w:t>
      </w:r>
      <w:r>
        <w:rPr>
          <w:rFonts w:hint="eastAsia" w:ascii="宋体" w:hAnsi="宋体" w:eastAsia="宋体" w:cs="宋体"/>
          <w:b/>
          <w:color w:val="000000"/>
          <w:sz w:val="24"/>
          <w:szCs w:val="24"/>
          <w:highlight w:val="none"/>
        </w:rPr>
        <w:t xml:space="preserve">投标配置与分项报价表</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如有备选配件，备选配件的报价不属于选择的报价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12.2 标的物</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采购人需求的服务供应、安装，调试及有关技术服务等。</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12.3有关费用处理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12.4其它费用处理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招标文件未列明，而投标人认为必需的费用也需列入报价。</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12.5投标货币</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投标文件中的服务单价和总价无特殊规定的采用人民币报价，以元为单位标注。招标文件中另有规定的按规定执行。</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12.6 投标配置与分项报价表上的价格应按下列方式分开填写：</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项目总价：包括采购人需求的产品价格、质量保证费用、培训费用及售后服务费用，项目在指定地点、环境交付、安装、调试、验收所需费用和所有相关税金费用及为完成整个项目所产生的其他所有费用。</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项目单价按投标配置及分项报价表中要求填报。</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eastAsia="zh-CN"/>
        </w:rPr>
        <w:t xml:space="preserve">13.</w:t>
      </w:r>
      <w:r>
        <w:rPr>
          <w:rFonts w:hint="eastAsia" w:ascii="宋体" w:hAnsi="宋体" w:eastAsia="宋体" w:cs="宋体"/>
          <w:b w:val="0"/>
          <w:bCs/>
          <w:color w:val="000000"/>
          <w:sz w:val="24"/>
          <w:szCs w:val="24"/>
          <w:highlight w:val="none"/>
        </w:rPr>
        <w:t xml:space="preserve">技术参数响应及偏离表、商务条款响应及偏离表及投标货物说明</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13.1 对招标文件中的技术与商务条款要求逐项作出响应或偏离，并说明原因；</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13.2 提供参加本项目类似案例简介；</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13.3 培训计划；</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13.4 详细阐述所投货物的主要组成部分、功能设计、实现思路及关键技术；</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13.5 投标人认为需要的其他技术文件或说明。</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14.</w:t>
      </w:r>
      <w:r>
        <w:rPr>
          <w:rFonts w:hint="eastAsia" w:ascii="宋体" w:hAnsi="宋体" w:eastAsia="宋体" w:cs="宋体"/>
          <w:b/>
          <w:color w:val="000000"/>
          <w:sz w:val="24"/>
          <w:szCs w:val="24"/>
          <w:highlight w:val="none"/>
        </w:rPr>
        <w:t xml:space="preserve">服务承诺及售后服务机构、人员的情况介绍</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14.1投标人的服务承诺应按不低于招标文件中商务要求的标准。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14.2提供投标人有关售后服务的管理制度、售后服务机构的分布情况、售后服务人员的数量、素质、技术水平及售后服务的反应能力。</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15.</w:t>
      </w:r>
      <w:r>
        <w:rPr>
          <w:rFonts w:hint="eastAsia" w:ascii="宋体" w:hAnsi="宋体" w:eastAsia="宋体" w:cs="宋体"/>
          <w:b/>
          <w:color w:val="000000"/>
          <w:sz w:val="24"/>
          <w:szCs w:val="24"/>
          <w:highlight w:val="none"/>
        </w:rPr>
        <w:t xml:space="preserve">投标函和开标一览表</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15.1 投标人应按照招标文件中提供的格式完整、正确填写投标函、开标一览表。</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15.2 开标一览表中的价格应与投标文件中分项报价表中的价格一致，如不一致，不作为无效投标处理，但评标时按开标一览表中价格为准。</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16.</w:t>
      </w:r>
      <w:r>
        <w:rPr>
          <w:rFonts w:hint="eastAsia" w:ascii="宋体" w:hAnsi="宋体" w:eastAsia="宋体" w:cs="宋体"/>
          <w:b/>
          <w:color w:val="000000"/>
          <w:sz w:val="24"/>
          <w:szCs w:val="24"/>
          <w:highlight w:val="none"/>
        </w:rPr>
        <w:t xml:space="preserve">投标有效期</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16.1 投标有效期为开标之日起六十（60）天。投标有效期比规定短的将被视为非响应性投标而予以拒绝。</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42" w:name="_Toc462564084"/>
      <w:r/>
      <w:bookmarkStart w:id="43" w:name="_Toc20823297"/>
      <w:r/>
      <w:bookmarkStart w:id="44" w:name="_Toc16938541"/>
      <w:r/>
      <w:bookmarkStart w:id="45" w:name="_Toc513029225"/>
      <w:r>
        <w:rPr>
          <w:rFonts w:hint="eastAsia" w:ascii="宋体" w:hAnsi="宋体" w:eastAsia="宋体" w:cs="宋体"/>
          <w:b/>
          <w:color w:val="000000"/>
          <w:sz w:val="24"/>
          <w:szCs w:val="24"/>
          <w:highlight w:val="none"/>
          <w:lang w:eastAsia="zh-CN"/>
        </w:rPr>
        <w:t xml:space="preserve">17.</w:t>
      </w:r>
      <w:r>
        <w:rPr>
          <w:rFonts w:hint="eastAsia" w:ascii="宋体" w:hAnsi="宋体" w:eastAsia="宋体" w:cs="宋体"/>
          <w:b/>
          <w:color w:val="000000"/>
          <w:sz w:val="24"/>
          <w:szCs w:val="24"/>
          <w:highlight w:val="none"/>
        </w:rPr>
        <w:t xml:space="preserve">投标文件</w:t>
      </w:r>
      <w:bookmarkEnd w:id="42"/>
      <w:r/>
      <w:bookmarkEnd w:id="43"/>
      <w:r/>
      <w:bookmarkEnd w:id="44"/>
      <w:r/>
      <w:bookmarkEnd w:id="45"/>
      <w:r>
        <w:rPr>
          <w:rFonts w:hint="eastAsia" w:ascii="宋体" w:hAnsi="宋体" w:eastAsia="宋体" w:cs="宋体"/>
          <w:b/>
          <w:color w:val="000000"/>
          <w:sz w:val="24"/>
          <w:szCs w:val="24"/>
          <w:highlight w:val="none"/>
        </w:rPr>
        <w:t xml:space="preserve">的递交</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17.1 电子投标文件的递交投标人应当按照《操作手册》规定，在投标截止时间前制作并上传电子投标文件。</w:t>
      </w:r>
      <w:bookmarkStart w:id="46" w:name="_Toc16938542"/>
      <w:r/>
      <w:bookmarkStart w:id="47" w:name="_Toc20823298"/>
      <w:r/>
      <w:bookmarkStart w:id="48" w:name="_Toc513029226"/>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17.2政府采购管理交易系统（苏采云）相关要求是本招标文件的组成部分。</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17.3投标人应对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17.4投标人应当对招标文件提出的要求和条件作出实质性响应，并在电子投标系统逐条应答。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17.5投标人应对要求提供的资格证明文件（如资质证书、资格证书）、技术资料（如白皮书、彩页、手册、检测报告等）扫描上传至投标系统。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17.6投标人应当在招标文件要求提交投标文件的截止时间前，将投标文件提交至“苏采云”系统，逾期提交的投标文件，“苏采云”系统将自动拒收。</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17.7各投标人应在规定时间内凭CA证书进行网上解密。</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18.</w:t>
      </w:r>
      <w:r>
        <w:rPr>
          <w:rFonts w:hint="eastAsia" w:ascii="宋体" w:hAnsi="宋体" w:eastAsia="宋体" w:cs="宋体"/>
          <w:b/>
          <w:color w:val="000000"/>
          <w:sz w:val="24"/>
          <w:szCs w:val="24"/>
          <w:highlight w:val="none"/>
        </w:rPr>
        <w:t xml:space="preserve">投标截止日期</w:t>
      </w:r>
      <w:bookmarkEnd w:id="46"/>
      <w:r/>
      <w:bookmarkEnd w:id="47"/>
      <w:r/>
      <w:bookmarkEnd w:id="48"/>
      <w:r/>
      <w:r/>
    </w:p>
    <w:p>
      <w:pPr>
        <w:ind w:firstLine="480"/>
        <w:keepLines w:val="0"/>
        <w:keepNext w:val="0"/>
        <w:pageBreakBefore w:val="0"/>
        <w:spacing w:line="360" w:lineRule="auto"/>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18.1 投标人上传电子投标文件的时间不得迟于招标公告中规定的投标截止时间。</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投标人应</w:t>
      </w:r>
      <w:r>
        <w:rPr>
          <w:rFonts w:hint="eastAsia" w:ascii="宋体" w:hAnsi="宋体" w:eastAsia="宋体" w:cs="宋体"/>
          <w:bCs/>
          <w:color w:val="000000"/>
          <w:sz w:val="24"/>
          <w:szCs w:val="24"/>
          <w:highlight w:val="none"/>
          <w:lang w:eastAsia="zh-CN"/>
        </w:rPr>
        <w:t xml:space="preserve">充分考虑</w:t>
      </w:r>
      <w:r>
        <w:rPr>
          <w:rFonts w:hint="eastAsia" w:ascii="宋体" w:hAnsi="宋体" w:eastAsia="宋体" w:cs="宋体"/>
          <w:bCs/>
          <w:color w:val="000000"/>
          <w:sz w:val="24"/>
          <w:szCs w:val="24"/>
          <w:highlight w:val="none"/>
        </w:rPr>
        <w:t xml:space="preserve">网络环境、网络带宽等风险因素，如因投标人自身原因造成的电子投标文件上传不成功由投标人自行承担全部责任。</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49" w:name="_Toc513029227"/>
      <w:r/>
      <w:bookmarkStart w:id="50" w:name="_Toc16938543"/>
      <w:r/>
      <w:bookmarkStart w:id="51" w:name="_Toc20823299"/>
      <w:r>
        <w:rPr>
          <w:rFonts w:hint="eastAsia" w:ascii="宋体" w:hAnsi="宋体" w:eastAsia="宋体" w:cs="宋体"/>
          <w:b/>
          <w:color w:val="000000"/>
          <w:sz w:val="24"/>
          <w:szCs w:val="24"/>
          <w:highlight w:val="none"/>
          <w:lang w:eastAsia="zh-CN"/>
        </w:rPr>
        <w:t xml:space="preserve">19.</w:t>
      </w:r>
      <w:r>
        <w:rPr>
          <w:rFonts w:hint="eastAsia" w:ascii="宋体" w:hAnsi="宋体" w:eastAsia="宋体" w:cs="宋体"/>
          <w:b/>
          <w:color w:val="000000"/>
          <w:sz w:val="24"/>
          <w:szCs w:val="24"/>
          <w:highlight w:val="none"/>
        </w:rPr>
        <w:t xml:space="preserve">投标文件</w:t>
      </w:r>
      <w:bookmarkEnd w:id="49"/>
      <w:r/>
      <w:bookmarkEnd w:id="50"/>
      <w:r/>
      <w:bookmarkEnd w:id="51"/>
      <w:r>
        <w:rPr>
          <w:rFonts w:hint="eastAsia" w:ascii="宋体" w:hAnsi="宋体" w:eastAsia="宋体" w:cs="宋体"/>
          <w:b/>
          <w:color w:val="000000"/>
          <w:sz w:val="24"/>
          <w:szCs w:val="24"/>
          <w:highlight w:val="none"/>
        </w:rPr>
        <w:t xml:space="preserve">的拒收</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19.1代理机构拒绝接收在其规定的投标截止时间后上传的任何投标文件。</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52" w:name="_Toc513029228"/>
      <w:r/>
      <w:bookmarkStart w:id="53" w:name="_Toc20823300"/>
      <w:r/>
      <w:bookmarkStart w:id="54" w:name="_Toc16938544"/>
      <w:r>
        <w:rPr>
          <w:rFonts w:hint="eastAsia" w:ascii="宋体" w:hAnsi="宋体" w:eastAsia="宋体" w:cs="宋体"/>
          <w:b/>
          <w:color w:val="000000"/>
          <w:sz w:val="24"/>
          <w:szCs w:val="24"/>
          <w:highlight w:val="none"/>
          <w:lang w:eastAsia="zh-CN"/>
        </w:rPr>
        <w:t xml:space="preserve">20.</w:t>
      </w:r>
      <w:r>
        <w:rPr>
          <w:rFonts w:hint="eastAsia" w:ascii="宋体" w:hAnsi="宋体" w:eastAsia="宋体" w:cs="宋体"/>
          <w:b/>
          <w:color w:val="000000"/>
          <w:sz w:val="24"/>
          <w:szCs w:val="24"/>
          <w:highlight w:val="none"/>
        </w:rPr>
        <w:t xml:space="preserve">投标文件的撤回和修改</w:t>
      </w:r>
      <w:bookmarkEnd w:id="52"/>
      <w:r/>
      <w:bookmarkEnd w:id="53"/>
      <w:r/>
      <w:bookmarkEnd w:id="54"/>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20.1 投标文件的撤回</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20.1.1 电子投标文件的撤回</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投标人可在投标截止时间前，撤回其电子投标文件，具体操作方法见《操作手册》。</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20.1.2 投标人撤回电子投标文件，则认为其不再参与本项目投标活动。</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20.2 投标文件的修改</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投标人可在投标截止时间前，对其电子投标文件进行修改，具体操作方法见《操作手册》。</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20.3 在投标截止时间之后，投标人不得对其电子投标文件作任何修改。</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20.4 在投标截止时间至招标文件中规定的投标有效期满之间的这段时间内，投标人不得撤回其投标。</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21.</w:t>
      </w:r>
      <w:r>
        <w:rPr>
          <w:rFonts w:hint="eastAsia" w:ascii="宋体" w:hAnsi="宋体" w:eastAsia="宋体" w:cs="宋体"/>
          <w:b/>
          <w:color w:val="000000"/>
          <w:sz w:val="24"/>
          <w:szCs w:val="24"/>
          <w:highlight w:val="none"/>
        </w:rPr>
        <w:t xml:space="preserve">开标</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21.1 代理机构将在招标公告中规定的时间和地点组织公开开标。投标人应当按照《操作手册》规定，参加开标活动。投标人未参加开标的，视同认可开标结果。</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21.2开标仪式由代理机构组织。“政府采购管理交易系统（苏采云）”将自动对项目进行开标，并宣读各投标人的《开标一览表》。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21.3投标人在开标过程中涉及到的投标文件解密、开标结果确认等工作，应按照《操作手册》规定执行。</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22.</w:t>
      </w:r>
      <w:r>
        <w:rPr>
          <w:rFonts w:hint="eastAsia" w:ascii="宋体" w:hAnsi="宋体" w:eastAsia="宋体" w:cs="宋体"/>
          <w:b/>
          <w:color w:val="000000"/>
          <w:sz w:val="24"/>
          <w:szCs w:val="24"/>
          <w:highlight w:val="none"/>
        </w:rPr>
        <w:t xml:space="preserve">评标委员会</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22.1 开标后，代理机构将立即组织评标委员会（以下简称评委会）进行评标。</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22.2 评委会由采购人代表和有关技术、经济等方面的专家组成，且人员构成符合政府采购有关规定。</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22.3评委会独立工作，负责评审所有投标文件并确定中标候选人。</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23.</w:t>
      </w:r>
      <w:r>
        <w:rPr>
          <w:rFonts w:hint="eastAsia" w:ascii="宋体" w:hAnsi="宋体" w:eastAsia="宋体" w:cs="宋体"/>
          <w:b/>
          <w:color w:val="000000"/>
          <w:sz w:val="24"/>
          <w:szCs w:val="24"/>
          <w:highlight w:val="none"/>
        </w:rPr>
        <w:t xml:space="preserve">评标过程的保密与公正</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23.2在评标过程中，投标人不得以任何行为影响评标过程，否则其投标文件将被作为无效投标文件。</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23.3 在评标期间，代理机构</w:t>
      </w:r>
      <w:r>
        <w:rPr>
          <w:rFonts w:hint="eastAsia" w:ascii="宋体" w:hAnsi="宋体" w:eastAsia="宋体" w:cs="宋体"/>
          <w:bCs/>
          <w:color w:val="000000"/>
          <w:sz w:val="24"/>
          <w:szCs w:val="24"/>
          <w:highlight w:val="none"/>
          <w:lang w:eastAsia="zh-CN"/>
        </w:rPr>
        <w:t xml:space="preserve">安排</w:t>
      </w:r>
      <w:r>
        <w:rPr>
          <w:rFonts w:hint="eastAsia" w:ascii="宋体" w:hAnsi="宋体" w:eastAsia="宋体" w:cs="宋体"/>
          <w:bCs/>
          <w:color w:val="000000"/>
          <w:sz w:val="24"/>
          <w:szCs w:val="24"/>
          <w:highlight w:val="none"/>
        </w:rPr>
        <w:t xml:space="preserve">专门工作人员与投标人联系。</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23.4 代理机构不对外公开评标过程细节、其他供应商的商业秘密及评标专家个人评审意见，未中标供应商可在法定时限内，按规定程序查询自身得分及未中标原因。</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23.5 采用综合评分法的项目，未中标的投标人可于中标结果公告期限届满之日起通过“政府采购管理交易系统（苏采云）”查看自己的评审得分及排序情况。</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24.</w:t>
      </w:r>
      <w:r>
        <w:rPr>
          <w:rFonts w:hint="eastAsia" w:ascii="宋体" w:hAnsi="宋体" w:eastAsia="宋体" w:cs="宋体"/>
          <w:b/>
          <w:color w:val="000000"/>
          <w:sz w:val="24"/>
          <w:szCs w:val="24"/>
          <w:highlight w:val="none"/>
        </w:rPr>
        <w:t xml:space="preserve">投标的澄清</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24.1评标期间，为有助于对投标文件的审查、评价和比较，评委会有权以电子函件形式要求投标人对其投标文件进行澄清，但并非对每个投标人都作澄清要求。</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24.3 接到评委会澄清要求的投标人如未按规定</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澄清，其风险由投标人自行承担。</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25.</w:t>
      </w:r>
      <w:r>
        <w:rPr>
          <w:rFonts w:hint="eastAsia" w:ascii="宋体" w:hAnsi="宋体" w:eastAsia="宋体" w:cs="宋体"/>
          <w:b/>
          <w:color w:val="000000"/>
          <w:sz w:val="24"/>
          <w:szCs w:val="24"/>
          <w:highlight w:val="none"/>
        </w:rPr>
        <w:t xml:space="preserve">对投标文件的初审</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25.1投标文件初审分为资格审查和符合性审查。</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25.1.1资格审查：依据法律法规和招标文件的规定，由采购人对投标文件中的资格证明文件进行审查。并将审查结论以书面形式向评委会反馈。</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采购人在进行资格性审查的同时，将在“信用中国”网站（www.creditchina.gov.cn）、“中国政府采购网”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若接受联合体投标的项目，两个以上的自然人、法人或者其他组织组成一个联合体，以一个供应商的身份共同参加政府采购活动的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联合体成员存在不良信用记录的，视同联合体存在不良信用记录。</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bCs/>
          <w:color w:val="000000"/>
          <w:sz w:val="24"/>
          <w:szCs w:val="24"/>
          <w:highlight w:val="none"/>
          <w:lang w:eastAsia="zh-CN"/>
        </w:rPr>
        <w:t xml:space="preserve">不符</w:t>
      </w:r>
      <w:r>
        <w:rPr>
          <w:rFonts w:hint="eastAsia" w:ascii="宋体" w:hAnsi="宋体" w:eastAsia="宋体" w:cs="宋体"/>
          <w:bCs/>
          <w:color w:val="000000"/>
          <w:sz w:val="24"/>
          <w:szCs w:val="24"/>
          <w:highlight w:val="none"/>
        </w:rPr>
        <w:t xml:space="preserve">合要求的偏离或保留而使其投标成为实质性响应的投标。</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25.4评委会将对确定为实质性响应的投标进行进一步审核，看其是否有计算上或累加上的算术错误，修正错误的原则如下：</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（2）大写金额与小写金额不一致的，以大写金额为准。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（4）总价金额与按单价汇总金额不一致的，以单价金额计算结果为准。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同时出现两种以上错误的，按照前款规定的顺序修正。</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25.6评委会将允许修正投标文件中不构成重大偏离的、微小的、非正规的、不一致的或不规则的地方，但这些修改不能影响任何投标人相应的名次排列。</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25.8 投标人在开、评标全过程中应</w:t>
      </w:r>
      <w:r>
        <w:rPr>
          <w:rFonts w:hint="eastAsia" w:ascii="宋体" w:hAnsi="宋体" w:eastAsia="宋体" w:cs="宋体"/>
          <w:bCs/>
          <w:color w:val="000000"/>
          <w:sz w:val="24"/>
          <w:szCs w:val="24"/>
          <w:highlight w:val="none"/>
          <w:lang w:eastAsia="zh-CN"/>
        </w:rPr>
        <w:t xml:space="preserve">保持通信畅通</w:t>
      </w:r>
      <w:r>
        <w:rPr>
          <w:rFonts w:hint="eastAsia" w:ascii="宋体" w:hAnsi="宋体" w:eastAsia="宋体" w:cs="宋体"/>
          <w:bCs/>
          <w:color w:val="000000"/>
          <w:sz w:val="24"/>
          <w:szCs w:val="24"/>
          <w:highlight w:val="none"/>
        </w:rPr>
        <w:t xml:space="preserve">，并安排专人与代理机构及评委会联系。</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26.</w:t>
      </w:r>
      <w:r>
        <w:rPr>
          <w:rFonts w:hint="eastAsia" w:ascii="宋体" w:hAnsi="宋体" w:eastAsia="宋体" w:cs="宋体"/>
          <w:b/>
          <w:color w:val="000000"/>
          <w:sz w:val="24"/>
          <w:szCs w:val="24"/>
          <w:highlight w:val="none"/>
        </w:rPr>
        <w:t xml:space="preserve">无效投标、废标及投标人不足三家的处理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26.1无效投标条款</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 投标人未成功解密电子投标文件的。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26.1.2 投标人未按照招标文件要求上传电子投标文件的。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26.1.3投标人在报价时采用选择性报价的。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26.1.4投标人不具备招标文件中规</w:t>
      </w:r>
      <w:r>
        <w:rPr>
          <w:rFonts w:hint="eastAsia" w:ascii="宋体" w:hAnsi="宋体" w:eastAsia="宋体" w:cs="宋体"/>
          <w:bCs/>
          <w:color w:val="000000"/>
          <w:sz w:val="24"/>
          <w:szCs w:val="24"/>
          <w:highlight w:val="none"/>
          <w:lang w:eastAsia="zh-CN"/>
        </w:rPr>
        <w:t xml:space="preserve">定的</w:t>
      </w:r>
      <w:r>
        <w:rPr>
          <w:rFonts w:hint="eastAsia" w:ascii="宋体" w:hAnsi="宋体" w:eastAsia="宋体" w:cs="宋体"/>
          <w:bCs/>
          <w:color w:val="000000"/>
          <w:sz w:val="24"/>
          <w:szCs w:val="24"/>
          <w:highlight w:val="none"/>
        </w:rPr>
        <w:t xml:space="preserve">资格要求的。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26.1.5投标人的报价超过了采购预算或最高限价的。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26.1.6未通过符合性审查的。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26.1.7不符合招标文件中规定的其他实质性要求和条件的（</w:t>
      </w:r>
      <w:r>
        <w:rPr>
          <w:rFonts w:hint="eastAsia" w:ascii="宋体" w:hAnsi="宋体" w:eastAsia="宋体" w:cs="宋体"/>
          <w:bCs/>
          <w:i/>
          <w:iCs/>
          <w:color w:val="000000"/>
          <w:sz w:val="24"/>
          <w:szCs w:val="24"/>
          <w:highlight w:val="none"/>
          <w:u w:val="single"/>
        </w:rPr>
        <w:t xml:space="preserve">本招标文件中斜体且有下划线部分为实质性要求和条件</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26.1.8 投标人被 “信用中国”网站（www.creditchina.gov.cn）、“中国政府采购网"(www.ccgp.gov.cn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26.1.9  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26.1.11 本项目采购产品被财政部、</w:t>
      </w:r>
      <w:r>
        <w:rPr>
          <w:rFonts w:hint="eastAsia" w:ascii="宋体" w:hAnsi="宋体" w:eastAsia="宋体" w:cs="宋体"/>
          <w:bCs/>
          <w:color w:val="000000"/>
          <w:sz w:val="24"/>
          <w:szCs w:val="24"/>
          <w:highlight w:val="none"/>
          <w:lang w:eastAsia="zh-CN"/>
        </w:rPr>
        <w:t xml:space="preserve">国家发展改革委</w:t>
      </w:r>
      <w:r>
        <w:rPr>
          <w:rFonts w:hint="eastAsia" w:ascii="宋体" w:hAnsi="宋体" w:eastAsia="宋体" w:cs="宋体"/>
          <w:bCs/>
          <w:color w:val="000000"/>
          <w:sz w:val="24"/>
          <w:szCs w:val="24"/>
          <w:highlight w:val="none"/>
        </w:rPr>
        <w:t xml:space="preserve">、生态环境部等列入“节能产品品目清单”、“环境标志产品品目清单”强制采购范围，而投标人所投标产品不在强制采购范围内的。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26.1.12 投标文件未按照招标文件要求加盖电子签章。</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26</w:t>
      </w: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13</w:t>
      </w:r>
      <w:r>
        <w:rPr>
          <w:rFonts w:hint="eastAsia" w:ascii="宋体" w:hAnsi="宋体" w:eastAsia="宋体" w:cs="宋体"/>
          <w:b/>
          <w:bCs w:val="0"/>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 xml:space="preserve">评审过程中出现下列情形之一的，评审委员会应当启动异常低价投标（响应）审查程序：</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（3）投标（响应）报价低于采购项目最高限价50% 的，即投标（响应）报价&lt;采购项目最高限价×50%；</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（4）评审委员会认定的供应商报价过低、有可能影响产品质量或者不能诚信履约的其他情形。</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评审委员会启动异常低价投标（响应）审查后，属于前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30分钟时间。30 分钟为评审系统内线上提交的时限，超时未提交视为无法说明报价合理性 。</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其他法律、法规及本招标文件规定</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color w:val="000000"/>
          <w:sz w:val="24"/>
          <w:szCs w:val="24"/>
          <w:highlight w:val="none"/>
        </w:rPr>
        <w:t xml:space="preserve">无效投标的情形。</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26.2废标条款：</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26.2.1符合专业条件的供应商或者对招标文件作实质响应的供应商不足三家的。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26.2.2出现影响采购公正的违法、违规行为的。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26.2.3因重大变故，采购任务取消的。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26.2.4评委会认定招标文件存在歧义、重大缺陷导致评审工作无法进行。</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 投标截止时间结束后参加投标的供应商不足三家的处理：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26.3.1如出现投标截止时间结束后参加投标的供应商或者在评标期间对招标文件做出实质性响应的供应商不足三家情况，按政府采购相关规定执行。</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27.</w:t>
      </w:r>
      <w:r>
        <w:rPr>
          <w:rFonts w:hint="eastAsia" w:ascii="宋体" w:hAnsi="宋体" w:eastAsia="宋体" w:cs="宋体"/>
          <w:b/>
          <w:color w:val="000000"/>
          <w:sz w:val="24"/>
          <w:szCs w:val="24"/>
          <w:highlight w:val="none"/>
        </w:rPr>
        <w:t xml:space="preserve">确定中标单位</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27.1评委会根据本招标文件规</w:t>
      </w:r>
      <w:r>
        <w:rPr>
          <w:rFonts w:hint="eastAsia" w:ascii="宋体" w:hAnsi="宋体" w:eastAsia="宋体" w:cs="宋体"/>
          <w:bCs/>
          <w:color w:val="000000"/>
          <w:sz w:val="24"/>
          <w:szCs w:val="24"/>
          <w:highlight w:val="none"/>
          <w:lang w:eastAsia="zh-CN"/>
        </w:rPr>
        <w:t xml:space="preserve">定的</w:t>
      </w:r>
      <w:r>
        <w:rPr>
          <w:rFonts w:hint="eastAsia" w:ascii="宋体" w:hAnsi="宋体" w:eastAsia="宋体" w:cs="宋体"/>
          <w:bCs/>
          <w:color w:val="000000"/>
          <w:sz w:val="24"/>
          <w:szCs w:val="24"/>
          <w:highlight w:val="none"/>
        </w:rPr>
        <w:t xml:space="preserve">评标方法与评标标准向采购人推荐出中标候选人。</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27.2 采购人应根据评委会推荐的中标候选人确定中标人。</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27.3代理机构将在“扬州市政府采购网”、“江苏省政府采购网”和“中国政府采购网”发布中标公告，公告期限为1个工作日。</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27.4若有充分证据证明，中标人出现下列情况之一的，一经查实，将被取消中标资格：</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27.4.1提供虚假材料谋取中标的；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27.4.2向采购人、代理机构行贿或者提供其他不正当利益的；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27.4.3恶意竞争，投标总报价明显低于其自身合理成本且又无法提供证明的；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27.4.4属于本文件规定的无效条件，但在评标过程中又未被评委会发现的；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27.4.5与采购人或者其他投标人恶意串通的；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27.4.6采取不正当手段诋毁、排挤其他供应商的；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27.4.7不符合</w:t>
      </w:r>
      <w:r>
        <w:rPr>
          <w:rFonts w:hint="eastAsia" w:ascii="宋体" w:hAnsi="宋体" w:eastAsia="宋体" w:cs="宋体"/>
          <w:bCs/>
          <w:color w:val="000000"/>
          <w:sz w:val="24"/>
          <w:szCs w:val="24"/>
          <w:highlight w:val="none"/>
          <w:lang w:eastAsia="zh-CN"/>
        </w:rPr>
        <w:t xml:space="preserve">法律法规</w:t>
      </w:r>
      <w:r>
        <w:rPr>
          <w:rFonts w:hint="eastAsia" w:ascii="宋体" w:hAnsi="宋体" w:eastAsia="宋体" w:cs="宋体"/>
          <w:bCs/>
          <w:color w:val="000000"/>
          <w:sz w:val="24"/>
          <w:szCs w:val="24"/>
          <w:highlight w:val="none"/>
        </w:rPr>
        <w:t xml:space="preserve">的规定的。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27.5. 有下列情形之一的，视为投标人串通投标，投标无效：</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27.5.1不同投标人的投标文件由同一单位或者个人编制。</w:t>
      </w:r>
      <w:r/>
    </w:p>
    <w:p>
      <w:pPr>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27.5.2不同投标人委托同一单位或者个人办理投标事宜。</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27.5.3 不同投标人的投标文件载明的项目管理成员或者联系人员为同一人。</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27.5.4不同投标人的投标文件异常一致或者投标报价呈规律性差异。</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27.5.5不同投标人的投标文件相互混装。</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28.</w:t>
      </w:r>
      <w:r>
        <w:rPr>
          <w:rFonts w:hint="eastAsia" w:ascii="宋体" w:hAnsi="宋体" w:eastAsia="宋体" w:cs="宋体"/>
          <w:b/>
          <w:color w:val="000000"/>
          <w:sz w:val="24"/>
          <w:szCs w:val="24"/>
          <w:highlight w:val="none"/>
        </w:rPr>
        <w:t xml:space="preserve">质疑处理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对项目需求部分的质疑，潜在供应商应向采购人提出，由采购人负责答复。</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28.2.1对采购文件提出质疑的，应当在获取采购文件之日或者采购文件公告期限届满之日起7个工作日内提出。</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28.2.2对采购过程提出质疑的，为各采购程序环节结束之日起7个工作日内提出。</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28.2.3对中标结果提出质疑的，为中标结果公告期限届满之日起7个工作日内提出。</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28.5 代理机构及采购人只接收以纸质原件形式送达的质疑，同时需与采购代理机构经办人确认是否收到《质疑函》，如供应商未按上述要求去做，将自行承担所产生的风险。</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采购人质疑接收人及联系方式见招标文件第一章。</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28.6代理机构收到质疑申请后，将对质疑的形式和内容进行审查，如质疑内容、格式不符合规定，代理机构将告知质疑人进行补正。</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28.7质疑人应当在法定质疑期限内进行补正并重新提交质疑函。</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28.8 以下情形的质疑不予受理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28.8.1 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28.8.2 超出政府采购法定期限的质疑。</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28.8.3 以传真、电子邮件等方式递交的非原件形式的质疑。</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28.8.4 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28.8.5供应商组成联合体参加投标，联合体中任何一方或多方未按要求签字、盖章、加盖公章的质疑。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28.10代理机构应当在收到供应商的书面质疑后7个工作日内作出答复，并以书面形式通知质疑供应商和其他有关供应商，但答复的内容不得涉及商业秘密。</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29.</w:t>
      </w:r>
      <w:r>
        <w:rPr>
          <w:rFonts w:hint="eastAsia" w:ascii="宋体" w:hAnsi="宋体" w:eastAsia="宋体" w:cs="宋体"/>
          <w:b/>
          <w:color w:val="000000"/>
          <w:sz w:val="24"/>
          <w:szCs w:val="24"/>
          <w:highlight w:val="none"/>
        </w:rPr>
        <w:t xml:space="preserve">中标通知书</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29.l 中标结果确定后，代理机构将向中标人发出中标通知书。</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29.2 中标人可在“政府采购管理交易系统（苏采云）”中标通知书下载模块中自行下载中标通知书。</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30.</w:t>
      </w:r>
      <w:r>
        <w:rPr>
          <w:rFonts w:hint="eastAsia" w:ascii="宋体" w:hAnsi="宋体" w:eastAsia="宋体" w:cs="宋体"/>
          <w:b/>
          <w:color w:val="000000"/>
          <w:sz w:val="24"/>
          <w:szCs w:val="24"/>
          <w:highlight w:val="none"/>
        </w:rPr>
        <w:t xml:space="preserve"> 签订合同</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30.l中标人应在中标通知书发出之日起三十日内，按照招标文件确定的事项与采购人签订政府采购合同。</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30.2 招标文件、中标人的投标文件及招标过程中有关澄清、承诺文件均应作为合同附件。</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30.3 合同在“政府采购管理交易系统（苏采云）”中签订，签订合同后，</w:t>
      </w:r>
      <w:r>
        <w:rPr>
          <w:rFonts w:hint="eastAsia" w:ascii="宋体" w:hAnsi="宋体" w:eastAsia="宋体" w:cs="宋体"/>
          <w:bCs/>
          <w:i/>
          <w:iCs/>
          <w:color w:val="000000"/>
          <w:sz w:val="24"/>
          <w:szCs w:val="24"/>
          <w:highlight w:val="none"/>
          <w:u w:val="single"/>
        </w:rPr>
        <w:t xml:space="preserve">中标人不得将货物或服务及其他服务进行转包</w:t>
      </w:r>
      <w:r>
        <w:rPr>
          <w:rFonts w:hint="eastAsia" w:ascii="宋体" w:hAnsi="宋体" w:eastAsia="宋体" w:cs="宋体"/>
          <w:bCs/>
          <w:color w:val="000000"/>
          <w:sz w:val="24"/>
          <w:szCs w:val="24"/>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31.</w:t>
      </w:r>
      <w:r>
        <w:rPr>
          <w:rFonts w:hint="eastAsia" w:ascii="宋体" w:hAnsi="宋体" w:eastAsia="宋体" w:cs="宋体"/>
          <w:b/>
          <w:color w:val="000000"/>
          <w:sz w:val="24"/>
          <w:szCs w:val="24"/>
          <w:highlight w:val="none"/>
        </w:rPr>
        <w:t xml:space="preserve">电子投标文件要求</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31.1政府采购管理交易系统（苏采云）相关要求是本招标文件的组成部分。</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31.4投标人应对要求提供的资格证明文件（如资质证书、资格证书）、技术资料（如白皮书、彩页、手册、检测报告等）扫描上传至投标系统。</w:t>
      </w:r>
      <w:r/>
    </w:p>
    <w:p>
      <w:pPr>
        <w:numPr>
          <w:ilvl w:val="0"/>
          <w:numId w:val="2"/>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提交投标文件的截止时间（投标截止时间）</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32.1投标人应当在招标文件要求提交投标文件的截止时间前，将投标文件提交至“苏采云”系统，逾期提交的投标文件，“苏采云”系统将自动拒收。</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32.2各投标人应在规定时间内凭CA证书进行网上解密。</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33.</w:t>
      </w:r>
      <w:r>
        <w:rPr>
          <w:rFonts w:hint="eastAsia" w:ascii="宋体" w:hAnsi="宋体" w:eastAsia="宋体" w:cs="宋体"/>
          <w:b/>
          <w:bCs/>
          <w:color w:val="000000"/>
          <w:sz w:val="24"/>
          <w:szCs w:val="24"/>
          <w:highlight w:val="none"/>
        </w:rPr>
        <w:t xml:space="preserve">其他</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33.1 依据《政府采购促进中小企业发展管理办法》</w:t>
      </w:r>
      <w:r>
        <w:rPr>
          <w:rFonts w:hint="eastAsia" w:ascii="宋体" w:hAnsi="宋体" w:eastAsia="宋体" w:cs="宋体"/>
          <w:color w:val="000000"/>
          <w:sz w:val="24"/>
          <w:szCs w:val="24"/>
          <w:highlight w:val="none"/>
          <w:lang w:eastAsia="zh-CN"/>
        </w:rPr>
        <w:t xml:space="preserve">享受</w:t>
      </w:r>
      <w:r>
        <w:rPr>
          <w:rFonts w:hint="eastAsia" w:ascii="宋体" w:hAnsi="宋体" w:eastAsia="宋体" w:cs="宋体"/>
          <w:color w:val="000000"/>
          <w:sz w:val="24"/>
          <w:szCs w:val="24"/>
          <w:highlight w:val="none"/>
        </w:rPr>
        <w:t xml:space="preserve">扶持政策获得政府采购合同的，小微企业不得将合同分包给大中型企业，中型企业不得将合同分包给大型企业。</w:t>
      </w:r>
      <w:r/>
    </w:p>
    <w:p>
      <w:pPr>
        <w:ind w:firstLine="420"/>
        <w:spacing w:line="44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br w:type="page" w:clear="all"/>
      </w:r>
      <w:r/>
    </w:p>
    <w:p>
      <w:pPr>
        <w:pStyle w:val="678"/>
        <w:rPr>
          <w:rFonts w:hint="eastAsia"/>
          <w:color w:val="000000"/>
          <w:highlight w:val="none"/>
        </w:rPr>
      </w:pPr>
      <w:r/>
      <w:bookmarkStart w:id="55" w:name="_Toc18427"/>
      <w:r/>
      <w:bookmarkStart w:id="56" w:name="_Toc55204179"/>
      <w:r/>
      <w:bookmarkStart w:id="57" w:name="_Hlk69392822"/>
      <w:r>
        <w:rPr>
          <w:rFonts w:hint="eastAsia"/>
          <w:color w:val="000000"/>
          <w:highlight w:val="none"/>
        </w:rPr>
        <w:t xml:space="preserve">第三章 合同条款及格式</w:t>
      </w:r>
      <w:bookmarkEnd w:id="55"/>
      <w:r/>
      <w:bookmarkEnd w:id="56"/>
      <w:r/>
      <w:r/>
    </w:p>
    <w:p>
      <w:pPr>
        <w:pStyle w:val="910"/>
        <w:ind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4"/>
          <w:szCs w:val="24"/>
          <w:highlight w:val="none"/>
        </w:rPr>
        <w:t xml:space="preserve">以下为中标后</w:t>
      </w:r>
      <w:r>
        <w:rPr>
          <w:rFonts w:hint="eastAsia" w:hAnsi="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本项目合同的通用条款，中标人不得提出实质性的修改，关于专用条款将由采购人与中标人结合本项目具体情况协商后签订。</w:t>
      </w:r>
      <w:r/>
    </w:p>
    <w:p>
      <w:pPr>
        <w:pStyle w:val="910"/>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10"/>
        <w:ind w:firstLine="562"/>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扬州市政府采购合同（货物</w:t>
      </w:r>
      <w:r>
        <w:rPr>
          <w:rFonts w:hint="eastAsia" w:hAnsi="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（合同编号）</w:t>
      </w:r>
      <w:r/>
    </w:p>
    <w:p>
      <w:pPr>
        <w:pStyle w:val="91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hAnsi="宋体" w:cs="宋体"/>
          <w:color w:val="000000"/>
          <w:sz w:val="24"/>
          <w:szCs w:val="24"/>
          <w:highlight w:val="none"/>
          <w:lang w:eastAsia="zh-CN"/>
        </w:rPr>
        <w:t xml:space="preserve">扬州市疾病预防控制中心全自动生化分析仪采购项目</w:t>
      </w:r>
      <w:r/>
    </w:p>
    <w:p>
      <w:pPr>
        <w:pStyle w:val="91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hAnsi="宋体" w:cs="宋体"/>
          <w:color w:val="000000"/>
          <w:sz w:val="24"/>
          <w:szCs w:val="24"/>
          <w:highlight w:val="none"/>
          <w:lang w:eastAsia="zh-CN"/>
        </w:rPr>
        <w:t xml:space="preserve">JSZC-321000-WCGC-G2026-0032号</w:t>
      </w:r>
      <w:r/>
    </w:p>
    <w:p>
      <w:pPr>
        <w:pStyle w:val="91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甲方（采购人/买方）：</w:t>
      </w:r>
      <w:r>
        <w:rPr>
          <w:rFonts w:hint="eastAsia" w:ascii="宋体" w:hAnsi="宋体" w:eastAsia="宋体" w:cs="宋体"/>
          <w:color w:val="000000"/>
          <w:sz w:val="24"/>
          <w:szCs w:val="24"/>
          <w:highlight w:val="none"/>
          <w:lang w:eastAsia="zh-CN"/>
        </w:rPr>
        <w:t xml:space="preserve">扬州市疾病预防控制中心</w:t>
      </w:r>
      <w:r/>
    </w:p>
    <w:p>
      <w:pPr>
        <w:pStyle w:val="910"/>
        <w:ind w:firstLine="480"/>
        <w:jc w:val="left"/>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乙方（供应商/卖方）：</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       </w:t>
      </w:r>
      <w:r/>
    </w:p>
    <w:p>
      <w:pPr>
        <w:pStyle w:val="91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见证方：</w:t>
      </w:r>
      <w:r>
        <w:rPr>
          <w:rFonts w:hint="eastAsia" w:hAnsi="宋体" w:eastAsia="宋体" w:cs="宋体"/>
          <w:color w:val="000000"/>
          <w:sz w:val="24"/>
          <w:szCs w:val="24"/>
          <w:highlight w:val="none"/>
          <w:lang w:eastAsia="zh-CN"/>
        </w:rPr>
        <w:t xml:space="preserve">江苏唯诚建设咨询有限公司</w:t>
      </w:r>
      <w:r/>
    </w:p>
    <w:p>
      <w:pPr>
        <w:pStyle w:val="91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参照《中华人民共和国民法典》等法律法规的规定，甲、乙双方按照</w:t>
      </w:r>
      <w:r>
        <w:rPr>
          <w:rFonts w:hint="eastAsia" w:hAnsi="宋体" w:eastAsia="宋体" w:cs="宋体"/>
          <w:color w:val="000000"/>
          <w:sz w:val="24"/>
          <w:szCs w:val="24"/>
          <w:highlight w:val="none"/>
          <w:lang w:eastAsia="zh-CN"/>
        </w:rPr>
        <w:t xml:space="preserve">江苏唯诚建设咨询有限公司</w:t>
      </w:r>
      <w:r>
        <w:rPr>
          <w:rFonts w:hint="eastAsia" w:ascii="宋体" w:hAnsi="宋体" w:eastAsia="宋体" w:cs="宋体"/>
          <w:color w:val="000000"/>
          <w:sz w:val="24"/>
          <w:szCs w:val="24"/>
          <w:highlight w:val="none"/>
          <w:lang w:eastAsia="zh-CN"/>
        </w:rPr>
        <w:t xml:space="preserve">关于本项目招标结果签订本合同。</w:t>
      </w:r>
      <w:r/>
    </w:p>
    <w:p>
      <w:pPr>
        <w:pStyle w:val="910"/>
        <w:numPr>
          <w:ilvl w:val="0"/>
          <w:numId w:val="3"/>
        </w:numPr>
        <w:ind w:firstLine="422"/>
        <w:keepLines w:val="0"/>
        <w:keepNext w:val="0"/>
        <w:pageBreakBefore w:val="0"/>
        <w:spacing w:line="360" w:lineRule="auto"/>
        <w:widowControl w:val="off"/>
        <w:rPr>
          <w:rFonts w:hint="eastAsia" w:hAnsi="宋体" w:eastAsia="宋体" w:cs="宋体"/>
          <w:b/>
          <w:bCs/>
          <w:color w:val="000000"/>
          <w:sz w:val="24"/>
          <w:szCs w:val="24"/>
          <w:highlight w:val="none"/>
          <w:lang w:eastAsia="zh-CN"/>
        </w:rPr>
      </w:pPr>
      <w:r>
        <w:rPr>
          <w:rFonts w:hint="eastAsia" w:hAnsi="宋体" w:eastAsia="宋体" w:cs="宋体"/>
          <w:b/>
          <w:bCs/>
          <w:color w:val="000000"/>
          <w:sz w:val="24"/>
          <w:szCs w:val="24"/>
          <w:highlight w:val="none"/>
          <w:lang w:eastAsia="zh-CN"/>
        </w:rPr>
        <w:t xml:space="preserve">合同标的</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乙方根据甲方需求，提供下列货物</w:t>
      </w:r>
      <w:r>
        <w:rPr>
          <w:rFonts w:hint="eastAsia" w:ascii="宋体" w:hAnsi="宋体" w:eastAsia="宋体" w:cs="宋体"/>
          <w:color w:val="000000"/>
          <w:sz w:val="24"/>
          <w:szCs w:val="24"/>
          <w:highlight w:val="none"/>
          <w:lang w:eastAsia="zh-CN"/>
        </w:rPr>
        <w:t xml:space="preserve">：</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货物名称：</w:t>
      </w:r>
      <w:r>
        <w:rPr>
          <w:rFonts w:hint="eastAsia" w:hAnsi="宋体" w:cs="宋体"/>
          <w:color w:val="000000"/>
          <w:sz w:val="24"/>
          <w:szCs w:val="24"/>
          <w:highlight w:val="none"/>
          <w:lang w:eastAsia="zh-CN"/>
        </w:rPr>
        <w:t xml:space="preserve">全自动生化分析仪，</w:t>
      </w:r>
      <w:r>
        <w:rPr>
          <w:rFonts w:hint="eastAsia" w:ascii="宋体" w:hAnsi="宋体" w:eastAsia="宋体" w:cs="宋体"/>
          <w:color w:val="000000"/>
          <w:sz w:val="24"/>
          <w:szCs w:val="24"/>
          <w:highlight w:val="none"/>
          <w:lang w:eastAsia="zh-CN"/>
        </w:rPr>
        <w:t xml:space="preserve">含设备主机、标准配件、专用配套耗材（首次）、配套设备、安装调试、技术培训、售后保障等全部相关服务。</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型号</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规格：</w:t>
      </w:r>
      <w:r/>
    </w:p>
    <w:p>
      <w:pPr>
        <w:pStyle w:val="910"/>
        <w:ind w:firstLine="42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 数量</w:t>
      </w: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1台</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w:t>
      </w:r>
      <w:r>
        <w:rPr>
          <w:rFonts w:hint="eastAsia" w:hAnsi="宋体" w:eastAsia="宋体" w:cs="宋体"/>
          <w:b/>
          <w:bCs/>
          <w:color w:val="000000"/>
          <w:sz w:val="24"/>
          <w:szCs w:val="24"/>
          <w:highlight w:val="none"/>
          <w:lang w:eastAsia="zh-CN"/>
        </w:rPr>
        <w:t xml:space="preserve">总</w:t>
      </w:r>
      <w:r>
        <w:rPr>
          <w:rFonts w:hint="eastAsia" w:ascii="宋体" w:hAnsi="宋体" w:eastAsia="宋体" w:cs="宋体"/>
          <w:b/>
          <w:bCs/>
          <w:color w:val="000000"/>
          <w:sz w:val="24"/>
          <w:szCs w:val="24"/>
          <w:highlight w:val="none"/>
        </w:rPr>
        <w:t xml:space="preserve">金额</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本合同金额为（大写）：_____________</w:t>
      </w:r>
      <w:r>
        <w:rPr>
          <w:rFonts w:hint="eastAsia" w:hAnsi="宋体" w:cs="宋体"/>
          <w:color w:val="000000"/>
          <w:sz w:val="24"/>
          <w:szCs w:val="24"/>
          <w:highlight w:val="none"/>
          <w:lang w:eastAsia="zh-CN"/>
        </w:rPr>
        <w:t xml:space="preserve">元人民币</w:t>
      </w:r>
      <w:r>
        <w:rPr>
          <w:rFonts w:hint="eastAsia" w:ascii="宋体" w:hAnsi="宋体" w:eastAsia="宋体" w:cs="宋体"/>
          <w:color w:val="000000"/>
          <w:sz w:val="24"/>
          <w:szCs w:val="24"/>
          <w:highlight w:val="none"/>
        </w:rPr>
        <w:t xml:space="preserve">（</w:t>
      </w:r>
      <w:r>
        <w:rPr>
          <w:rFonts w:hint="eastAsia" w:hAnsi="宋体"/>
          <w:sz w:val="21"/>
          <w:highlight w:val="none"/>
        </w:rPr>
        <w:t xml:space="preserve">¥</w:t>
      </w:r>
      <w:r>
        <w:rPr>
          <w:rFonts w:hint="eastAsia" w:ascii="宋体" w:hAnsi="宋体" w:eastAsia="宋体" w:cs="宋体"/>
          <w:color w:val="000000"/>
          <w:sz w:val="24"/>
          <w:szCs w:val="24"/>
          <w:highlight w:val="none"/>
        </w:rPr>
        <w:t xml:space="preserve">___</w:t>
      </w:r>
      <w:r>
        <w:rPr>
          <w:rFonts w:hint="eastAsia"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元）。</w:t>
      </w:r>
      <w:r/>
    </w:p>
    <w:p>
      <w:pPr>
        <w:pStyle w:val="910"/>
        <w:ind w:firstLine="420"/>
        <w:spacing w:before="120" w:after="120" w:line="360" w:lineRule="auto"/>
        <w:rPr>
          <w:rFonts w:hint="eastAsia" w:hAnsi="宋体"/>
          <w:sz w:val="24"/>
          <w:szCs w:val="24"/>
          <w:highlight w:val="none"/>
        </w:rPr>
      </w:pPr>
      <w:r>
        <w:rPr>
          <w:rFonts w:hint="eastAsia" w:hAnsi="宋体"/>
          <w:sz w:val="24"/>
          <w:szCs w:val="24"/>
          <w:highlight w:val="none"/>
        </w:rPr>
        <w:t xml:space="preserve">2.2 本合同总金额包括所乙方提供货物的产品费用、安装调试费、测试验收费、培训费、 运行维护费用、税金及其他有关的为完成本项目发生的所有费用，招标文件中另有规定的除外。</w:t>
      </w:r>
      <w:r/>
    </w:p>
    <w:p>
      <w:pPr>
        <w:pStyle w:val="910"/>
        <w:ind w:firstLine="420"/>
        <w:spacing w:before="120" w:after="120" w:line="360" w:lineRule="auto"/>
        <w:rPr>
          <w:rFonts w:hint="eastAsia" w:hAnsi="宋体"/>
          <w:sz w:val="24"/>
          <w:szCs w:val="24"/>
          <w:highlight w:val="none"/>
        </w:rPr>
      </w:pPr>
      <w:r>
        <w:rPr>
          <w:rFonts w:hint="eastAsia" w:hAnsi="宋体"/>
          <w:sz w:val="24"/>
          <w:szCs w:val="24"/>
          <w:highlight w:val="none"/>
        </w:rPr>
        <w:t xml:space="preserve">2.3 在招标文件未列明，而乙方认为履行本合同必需的费用也包含在合同总金额中。</w:t>
      </w:r>
      <w:r/>
    </w:p>
    <w:p>
      <w:pPr>
        <w:pStyle w:val="910"/>
        <w:ind w:firstLine="420"/>
        <w:spacing w:before="120" w:after="120" w:line="360" w:lineRule="auto"/>
        <w:rPr>
          <w:rFonts w:hint="eastAsia" w:hAnsi="宋体"/>
          <w:sz w:val="24"/>
          <w:szCs w:val="24"/>
          <w:highlight w:val="none"/>
        </w:rPr>
      </w:pPr>
      <w:r>
        <w:rPr>
          <w:rFonts w:hint="eastAsia" w:hAnsi="宋体"/>
          <w:sz w:val="24"/>
          <w:szCs w:val="24"/>
          <w:highlight w:val="none"/>
        </w:rPr>
        <w:t xml:space="preserve">2.4 本合同总金额还包含乙方提供的伴随服务/售后服务费用。</w:t>
      </w:r>
      <w:r/>
    </w:p>
    <w:p>
      <w:pPr>
        <w:pStyle w:val="910"/>
        <w:ind w:firstLine="420"/>
        <w:spacing w:before="120" w:after="120" w:line="360" w:lineRule="auto"/>
        <w:rPr>
          <w:rFonts w:hint="eastAsia" w:hAnsi="宋体"/>
          <w:sz w:val="21"/>
          <w:highlight w:val="none"/>
        </w:rPr>
      </w:pPr>
      <w:r>
        <w:rPr>
          <w:rFonts w:hint="eastAsia" w:hAnsi="宋体"/>
          <w:sz w:val="24"/>
          <w:szCs w:val="24"/>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910"/>
        <w:ind w:firstLine="422"/>
        <w:spacing w:before="120" w:after="120" w:line="360" w:lineRule="auto"/>
        <w:rPr>
          <w:rFonts w:hint="eastAsia" w:hAnsi="宋体"/>
          <w:b/>
          <w:bCs/>
          <w:sz w:val="21"/>
          <w:highlight w:val="none"/>
        </w:rPr>
      </w:pPr>
      <w:r>
        <w:rPr>
          <w:rFonts w:hint="eastAsia" w:hAnsi="宋体"/>
          <w:b/>
          <w:bCs/>
          <w:sz w:val="21"/>
          <w:highlight w:val="none"/>
        </w:rPr>
        <w:t xml:space="preserve">3、组成本合同的有关文件</w:t>
      </w:r>
      <w:r/>
    </w:p>
    <w:p>
      <w:pPr>
        <w:pStyle w:val="910"/>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3.1乙方应按招标文件规定的时间向甲方提供使用货物的有关技术资料。</w:t>
      </w:r>
      <w:r/>
    </w:p>
    <w:p>
      <w:pPr>
        <w:pStyle w:val="910"/>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910"/>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3.3 关于本项目采购的招投标文件或与本次采购活动方式相适应的文件及有关附件是本合同不可分割的组成部分，这些文件包括但不限于：</w:t>
      </w:r>
      <w:r/>
    </w:p>
    <w:p>
      <w:pPr>
        <w:pStyle w:val="910"/>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  （1）投标响应文件；              （2）投标产品配置与报价文件；</w:t>
      </w:r>
      <w:r/>
    </w:p>
    <w:p>
      <w:pPr>
        <w:pStyle w:val="910"/>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  （3）供货一览表；                （4）技术参数响应表；</w:t>
      </w:r>
      <w:r/>
    </w:p>
    <w:p>
      <w:pPr>
        <w:pStyle w:val="910"/>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  （5）项目需求、服务承诺；         （6）中标通知书；</w:t>
      </w:r>
      <w:r/>
    </w:p>
    <w:p>
      <w:pPr>
        <w:pStyle w:val="910"/>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  （7）甲乙双方补充协议；         （8）乙方投标时提供的响应文件。</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四、知识产权</w:t>
      </w:r>
      <w:r/>
    </w:p>
    <w:p>
      <w:pPr>
        <w:pStyle w:val="910"/>
        <w:ind w:left="315" w:firstLine="105"/>
        <w:spacing w:before="120" w:after="120"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五、产权担保</w:t>
      </w:r>
      <w:r/>
    </w:p>
    <w:p>
      <w:pPr>
        <w:pStyle w:val="910"/>
        <w:ind w:left="315" w:firstLine="105"/>
        <w:spacing w:before="120" w:after="120"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乙方保证所交付的货物的所有权无任何抵押、查封等权利瑕疵。</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六、履约保证金</w:t>
      </w:r>
      <w:r/>
    </w:p>
    <w:p>
      <w:pPr>
        <w:pStyle w:val="910"/>
        <w:ind w:firstLine="420"/>
        <w:spacing w:before="120" w:after="120" w:line="360" w:lineRule="auto"/>
        <w:rPr>
          <w:rFonts w:hint="eastAsia" w:hAnsi="宋体"/>
          <w:sz w:val="24"/>
          <w:szCs w:val="24"/>
          <w:highlight w:val="none"/>
        </w:rPr>
      </w:pPr>
      <w:r>
        <w:rPr>
          <w:rFonts w:hint="eastAsia" w:hAnsi="宋体"/>
          <w:sz w:val="24"/>
          <w:szCs w:val="24"/>
          <w:highlight w:val="none"/>
        </w:rPr>
        <w:t xml:space="preserve">6.1履约保证金用以约束乙方在合同履行中的行为，以及弥补合同履行中由于乙方自身行为可能给甲方带来的各种损失；若保证金额不足以弥补乙方违约造成甲方损失的，甲方可继续向乙方主张索赔。</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sz w:val="24"/>
          <w:szCs w:val="24"/>
          <w:highlight w:val="none"/>
        </w:rPr>
        <w:t xml:space="preserve">6.2 履约保证金扣除甲方应得的补偿后的余额，在本合同履行结束验收合格后无息退还。</w:t>
      </w:r>
      <w:r>
        <w:rPr>
          <w:rFonts w:hint="eastAsia" w:ascii="宋体" w:hAnsi="宋体" w:eastAsia="宋体" w:cs="宋体"/>
          <w:color w:val="000000"/>
          <w:sz w:val="24"/>
          <w:szCs w:val="24"/>
          <w:highlight w:val="none"/>
        </w:rPr>
        <w:t xml:space="preserve"> </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履约保证金收取：</w:t>
      </w:r>
      <w:r>
        <w:rPr>
          <w:rFonts w:hint="eastAsia" w:ascii="宋体" w:hAnsi="宋体" w:eastAsia="宋体" w:cs="宋体"/>
          <w:color w:val="000000"/>
          <w:sz w:val="24"/>
          <w:szCs w:val="24"/>
          <w:highlight w:val="none"/>
          <w:u w:val="single"/>
        </w:rPr>
        <w:t xml:space="preserve">无</w:t>
      </w:r>
      <w:r>
        <w:rPr>
          <w:rFonts w:hint="eastAsia" w:hAnsi="宋体" w:eastAsia="宋体" w:cs="宋体"/>
          <w:color w:val="000000"/>
          <w:sz w:val="24"/>
          <w:szCs w:val="24"/>
          <w:highlight w:val="none"/>
          <w:u w:val="single"/>
          <w:lang w:eastAsia="zh-CN"/>
        </w:rPr>
        <w:t xml:space="preserve">。</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七、转包或分包</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w:t>
      </w:r>
      <w:r>
        <w:rPr>
          <w:rFonts w:hint="eastAsia" w:hAnsi="宋体"/>
          <w:sz w:val="24"/>
          <w:szCs w:val="24"/>
          <w:highlight w:val="none"/>
        </w:rPr>
        <w:t xml:space="preserve">本合同禁止转包，本合同范围的货物，应由乙方直接供应的，不得转让他人供应</w:t>
      </w:r>
      <w:r>
        <w:rPr>
          <w:rFonts w:hint="eastAsia" w:ascii="宋体" w:hAnsi="宋体" w:eastAsia="宋体" w:cs="宋体"/>
          <w:color w:val="000000"/>
          <w:sz w:val="24"/>
          <w:szCs w:val="24"/>
          <w:highlight w:val="none"/>
        </w:rPr>
        <w:t xml:space="preserve">；</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w:t>
      </w:r>
      <w:r>
        <w:rPr>
          <w:rFonts w:hint="eastAsia" w:hAnsi="宋体"/>
          <w:sz w:val="24"/>
          <w:szCs w:val="24"/>
          <w:highlight w:val="none"/>
        </w:rPr>
        <w:t xml:space="preserve">经甲方同意，乙方可以依法采取分包方式履行合同，但是分包方式履行的，乙方应就采购项目向甲方负全责</w:t>
      </w:r>
      <w:r>
        <w:rPr>
          <w:rFonts w:hint="eastAsia" w:ascii="宋体" w:hAnsi="宋体" w:eastAsia="宋体" w:cs="宋体"/>
          <w:color w:val="000000"/>
          <w:sz w:val="24"/>
          <w:szCs w:val="24"/>
          <w:highlight w:val="none"/>
        </w:rPr>
        <w:t xml:space="preserve">。</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八、质保期</w:t>
      </w:r>
      <w:r/>
    </w:p>
    <w:p>
      <w:pPr>
        <w:pStyle w:val="91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w:t>
      </w:r>
      <w:r>
        <w:rPr>
          <w:rFonts w:hint="eastAsia" w:hAnsi="宋体" w:eastAsia="宋体" w:cs="宋体"/>
          <w:color w:val="000000"/>
          <w:sz w:val="24"/>
          <w:szCs w:val="24"/>
          <w:highlight w:val="none"/>
          <w:lang w:eastAsia="zh-CN"/>
        </w:rPr>
        <w:t xml:space="preserve">整机免费</w:t>
      </w: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年（自验收合格之日起计）。</w:t>
      </w:r>
      <w:r/>
    </w:p>
    <w:p>
      <w:pPr>
        <w:pStyle w:val="910"/>
        <w:ind w:firstLine="42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8.2 所有安全责任与赔偿由乙方负责，甲方不负责。</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九、交付期、交付方式及交付地点</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9.1 交付期</w:t>
      </w:r>
      <w:r>
        <w:rPr>
          <w:rFonts w:hint="eastAsia" w:ascii="宋体" w:hAnsi="宋体" w:eastAsia="宋体" w:cs="宋体"/>
          <w:color w:val="000000"/>
          <w:sz w:val="24"/>
          <w:szCs w:val="24"/>
          <w:highlight w:val="none"/>
          <w:lang w:eastAsia="zh-CN"/>
        </w:rPr>
        <w:t xml:space="preserve">：</w:t>
      </w:r>
      <w:r>
        <w:rPr>
          <w:rStyle w:val="743"/>
          <w:rFonts w:cs="宋体"/>
          <w:b/>
          <w:color w:val="000000"/>
          <w:sz w:val="24"/>
          <w:szCs w:val="24"/>
          <w:highlight w:val="none"/>
          <w:lang w:bidi="ar"/>
        </w:rPr>
        <w:t xml:space="preserve">合同签订后</w:t>
      </w:r>
      <w:r>
        <w:rPr>
          <w:rStyle w:val="743"/>
          <w:rFonts w:cs="宋体"/>
          <w:b w:val="0"/>
          <w:sz w:val="24"/>
          <w:szCs w:val="24"/>
          <w:highlight w:val="none"/>
          <w:u w:val="single"/>
          <w:lang w:bidi="ar"/>
        </w:rPr>
        <w:t xml:space="preserve">30</w:t>
      </w:r>
      <w:r>
        <w:rPr>
          <w:rStyle w:val="743"/>
          <w:rFonts w:cs="宋体"/>
          <w:b/>
          <w:color w:val="000000"/>
          <w:sz w:val="24"/>
          <w:szCs w:val="24"/>
          <w:highlight w:val="none"/>
          <w:lang w:bidi="ar"/>
        </w:rPr>
        <w:t xml:space="preserve">个工作日内到货并完成安装调试</w:t>
      </w:r>
      <w:r>
        <w:rPr>
          <w:rFonts w:hint="eastAsia" w:ascii="宋体" w:hAnsi="宋体" w:eastAsia="宋体" w:cs="宋体"/>
          <w:color w:val="000000"/>
          <w:sz w:val="24"/>
          <w:szCs w:val="24"/>
          <w:highlight w:val="none"/>
          <w:u w:val="none"/>
          <w:lang w:eastAsia="zh-CN"/>
        </w:rPr>
        <w:t xml:space="preserve">。</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9.2 交付方式：</w:t>
      </w:r>
      <w:r>
        <w:rPr>
          <w:rFonts w:hint="eastAsia" w:ascii="宋体" w:hAnsi="宋体" w:eastAsia="宋体" w:cs="宋体"/>
          <w:color w:val="000000"/>
          <w:sz w:val="24"/>
          <w:szCs w:val="24"/>
          <w:highlight w:val="none"/>
          <w:u w:val="single"/>
          <w:lang w:val="en-US" w:eastAsia="zh-CN"/>
        </w:rPr>
        <w:t xml:space="preserve">甲方</w:t>
      </w:r>
      <w:r>
        <w:rPr>
          <w:rFonts w:hint="eastAsia" w:ascii="宋体" w:hAnsi="宋体" w:eastAsia="宋体" w:cs="宋体"/>
          <w:color w:val="000000"/>
          <w:sz w:val="24"/>
          <w:szCs w:val="24"/>
          <w:highlight w:val="none"/>
          <w:u w:val="single"/>
        </w:rPr>
        <w:t xml:space="preserve">指定方式</w:t>
      </w:r>
      <w:r>
        <w:rPr>
          <w:rFonts w:hint="eastAsia" w:hAnsi="宋体" w:eastAsia="宋体" w:cs="宋体"/>
          <w:color w:val="000000"/>
          <w:sz w:val="24"/>
          <w:szCs w:val="24"/>
          <w:highlight w:val="none"/>
          <w:u w:val="single"/>
          <w:lang w:eastAsia="zh-CN"/>
        </w:rPr>
        <w:t xml:space="preserve">。</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9.3 交付地点：</w:t>
      </w:r>
      <w:r>
        <w:rPr>
          <w:rFonts w:hint="eastAsia" w:ascii="宋体" w:hAnsi="宋体" w:eastAsia="宋体" w:cs="宋体"/>
          <w:color w:val="000000"/>
          <w:sz w:val="24"/>
          <w:szCs w:val="24"/>
          <w:highlight w:val="none"/>
          <w:u w:val="single"/>
          <w:lang w:val="en-US" w:eastAsia="zh-CN"/>
        </w:rPr>
        <w:t xml:space="preserve">甲方</w:t>
      </w:r>
      <w:r>
        <w:rPr>
          <w:rFonts w:hint="eastAsia" w:ascii="宋体" w:hAnsi="宋体" w:eastAsia="宋体" w:cs="宋体"/>
          <w:color w:val="000000"/>
          <w:sz w:val="24"/>
          <w:szCs w:val="24"/>
          <w:highlight w:val="none"/>
          <w:u w:val="single"/>
        </w:rPr>
        <w:t xml:space="preserve">指定地点</w:t>
      </w:r>
      <w:r>
        <w:rPr>
          <w:rFonts w:hint="eastAsia" w:hAnsi="宋体" w:eastAsia="宋体" w:cs="宋体"/>
          <w:color w:val="000000"/>
          <w:sz w:val="24"/>
          <w:szCs w:val="24"/>
          <w:highlight w:val="none"/>
          <w:u w:val="single"/>
          <w:lang w:eastAsia="zh-CN"/>
        </w:rPr>
        <w:t xml:space="preserve">。</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甲方付款方式：</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合同签订后，乙方向甲方开具发票，甲方自收到发票之日起</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日内支付合同总价30%的预付款；项目经验收合格后，乙方向甲方开具发票，甲方自收到发票之日起</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日内支付合同总价的70%。</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十一、税费</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11.1本合同执行中相关的一切税费均由乙方负担。</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十二、质量保证及售后服务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宋体"/>
          <w:color w:val="000000"/>
          <w:sz w:val="24"/>
          <w:szCs w:val="24"/>
          <w:highlight w:val="none"/>
        </w:rPr>
        <w:t xml:space="preserve">12.1 </w:t>
      </w:r>
      <w:r>
        <w:rPr>
          <w:rFonts w:hint="eastAsia" w:ascii="宋体" w:hAnsi="宋体"/>
          <w:sz w:val="24"/>
          <w:szCs w:val="24"/>
          <w:highlight w:val="none"/>
        </w:rPr>
        <w:t xml:space="preserve">乙方应按招标文件规定及响应文件承诺的货物性能、技术要求、质量标准向甲方提供未经使用的全新产品；若技术性能无特殊说明，则按国家有关部门最新颁布的标准及规范为准。</w:t>
      </w:r>
      <w:r/>
    </w:p>
    <w:p>
      <w:pPr>
        <w:pStyle w:val="91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w:t>
      </w:r>
      <w:r>
        <w:rPr>
          <w:rFonts w:hint="eastAsia" w:ascii="宋体" w:hAnsi="宋体"/>
          <w:sz w:val="24"/>
          <w:szCs w:val="24"/>
          <w:highlight w:val="none"/>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12.3</w:t>
      </w:r>
      <w:r>
        <w:rPr>
          <w:rFonts w:hint="eastAsia" w:ascii="宋体" w:hAnsi="宋体" w:eastAsia="宋体" w:cs="宋体"/>
          <w:color w:val="000000"/>
          <w:sz w:val="24"/>
          <w:szCs w:val="24"/>
          <w:highlight w:val="none"/>
        </w:rPr>
        <w:t xml:space="preserve">乙方提供的货物及服务在质量期内因服务及产品本身的质量问题发生故障，乙方应负责免费更换。对达不到技术要求者，根据实际情况，经双方协商，可按以下办法处理：</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⑴更换：由乙方承担所发生的全部费用。</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⑵贬值处理：由甲乙双方合议定价。</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⑶退还处理：乙方应退还甲方支付的合同款，同时应承担该货物及服务的直接费用（运输、保险、检验、款项利息及银行手续费等）。</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hAnsi="宋体" w:eastAsia="宋体" w:cs="宋体"/>
          <w:color w:val="000000"/>
          <w:sz w:val="24"/>
          <w:szCs w:val="24"/>
          <w:highlight w:val="none"/>
          <w:lang w:val="en-US" w:eastAsia="zh-CN"/>
        </w:rPr>
        <w:t xml:space="preserve">12.4</w:t>
      </w:r>
      <w:r>
        <w:rPr>
          <w:rFonts w:hint="eastAsia" w:ascii="宋体" w:hAnsi="宋体" w:eastAsia="宋体" w:cs="宋体"/>
          <w:color w:val="000000"/>
          <w:sz w:val="24"/>
          <w:szCs w:val="24"/>
          <w:highlight w:val="none"/>
        </w:rPr>
        <w:t xml:space="preserve">如在使用过程中发生质量问题，乙方在接到甲方通知后在  小时内到达甲方现场</w:t>
      </w:r>
      <w:r>
        <w:rPr>
          <w:rFonts w:hint="eastAsia" w:ascii="宋体" w:hAnsi="宋体" w:eastAsia="宋体" w:cs="宋体"/>
          <w:color w:val="000000"/>
          <w:sz w:val="24"/>
          <w:szCs w:val="24"/>
          <w:highlight w:val="none"/>
          <w:lang w:eastAsia="zh-CN"/>
        </w:rPr>
        <w:t xml:space="preserve">。</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在质保期内，乙方应对货物出现的质量及安全问题负责处理解决并承担一切费用。紧急维修应在24小时内完成。如乙方未能在甲方规定的时间内及时到场完成维修工作，或自接到保修通知之日起3日仍未完成维修，或连续2次维修仍未能修复或消除缺陷的，乙方应无条件予以更换全新设备，由此产生的全部费用均由乙方承担，自收到乙方更换设备验收完毕之日起重新计算质保期。</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sz w:val="24"/>
          <w:szCs w:val="24"/>
          <w:highlight w:val="none"/>
        </w:rPr>
        <w:t xml:space="preserve">12.6上述的货物免费保修期为</w:t>
      </w:r>
      <w:r>
        <w:rPr>
          <w:rFonts w:hint="eastAsia" w:ascii="宋体" w:hAnsi="宋体"/>
          <w:sz w:val="24"/>
          <w:szCs w:val="24"/>
          <w:highlight w:val="none"/>
          <w:u w:val="single"/>
        </w:rPr>
        <w:t xml:space="preserve">   </w:t>
      </w:r>
      <w:r>
        <w:rPr>
          <w:rFonts w:hint="eastAsia" w:ascii="宋体" w:hAnsi="宋体"/>
          <w:sz w:val="24"/>
          <w:szCs w:val="24"/>
          <w:highlight w:val="none"/>
        </w:rPr>
        <w:t xml:space="preserve">年，因人为因素出现的故障不在免费保修范围内。超过保修期的机器设备，终生维修，维修时只收部件成本费</w:t>
      </w:r>
      <w:r>
        <w:rPr>
          <w:rFonts w:hint="eastAsia" w:hAnsi="宋体"/>
          <w:sz w:val="24"/>
          <w:szCs w:val="24"/>
          <w:highlight w:val="none"/>
          <w:lang w:eastAsia="zh-CN"/>
        </w:rPr>
        <w:t xml:space="preserve">。</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十三、调试和验收</w:t>
      </w:r>
      <w:r/>
    </w:p>
    <w:p>
      <w:pPr>
        <w:ind w:firstLine="420"/>
        <w:spacing w:line="360" w:lineRule="auto"/>
        <w:rPr>
          <w:rFonts w:hint="eastAsia" w:ascii="宋体" w:hAnsi="宋体"/>
          <w:sz w:val="24"/>
          <w:szCs w:val="24"/>
          <w:highlight w:val="none"/>
        </w:rPr>
      </w:pPr>
      <w:r>
        <w:rPr>
          <w:rFonts w:ascii="宋体" w:hAnsi="宋体"/>
          <w:sz w:val="24"/>
          <w:szCs w:val="24"/>
          <w:highlight w:val="none"/>
        </w:rPr>
        <w:t xml:space="preserve">13.1</w:t>
      </w:r>
      <w:r>
        <w:rPr>
          <w:rFonts w:hint="eastAsia" w:ascii="宋体" w:hAnsi="宋体"/>
          <w:sz w:val="24"/>
          <w:szCs w:val="24"/>
          <w:highlight w:val="none"/>
        </w:rPr>
        <w:t xml:space="preserve">乙方应当在合同生效后</w:t>
      </w:r>
      <w:r>
        <w:rPr>
          <w:rFonts w:hint="eastAsia" w:ascii="宋体" w:hAnsi="宋体"/>
          <w:sz w:val="24"/>
          <w:szCs w:val="24"/>
          <w:highlight w:val="none"/>
          <w:u w:val="single"/>
        </w:rPr>
        <w:t xml:space="preserve">   </w:t>
      </w:r>
      <w:r>
        <w:rPr>
          <w:rFonts w:hint="eastAsia" w:ascii="宋体" w:hAnsi="宋体"/>
          <w:sz w:val="24"/>
          <w:szCs w:val="24"/>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13.2 货到甲方后，甲乙双方须在</w:t>
      </w:r>
      <w:r>
        <w:rPr>
          <w:rFonts w:hint="eastAsia" w:ascii="宋体" w:hAnsi="宋体"/>
          <w:sz w:val="24"/>
          <w:szCs w:val="24"/>
          <w:highlight w:val="none"/>
          <w:u w:val="single"/>
        </w:rPr>
        <w:t xml:space="preserve">   </w:t>
      </w:r>
      <w:r>
        <w:rPr>
          <w:rFonts w:hint="eastAsia" w:ascii="宋体" w:hAnsi="宋体"/>
          <w:sz w:val="24"/>
          <w:szCs w:val="24"/>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甲方的验收不作为乙方所供产品内在质量合格的依据</w:t>
      </w:r>
      <w:r>
        <w:rPr>
          <w:rFonts w:ascii="宋体" w:hAnsi="宋体"/>
          <w:sz w:val="24"/>
          <w:szCs w:val="24"/>
          <w:highlight w:val="none"/>
        </w:rPr>
        <w:t xml:space="preserve">，</w:t>
      </w:r>
      <w:r>
        <w:rPr>
          <w:rFonts w:hint="eastAsia" w:ascii="宋体" w:hAnsi="宋体"/>
          <w:sz w:val="24"/>
          <w:szCs w:val="24"/>
          <w:highlight w:val="none"/>
        </w:rPr>
        <w:t xml:space="preserve">乙方在质保期内仍需对货物的内在质量承担责任</w:t>
      </w:r>
      <w:r>
        <w:rPr>
          <w:rFonts w:ascii="宋体" w:hAnsi="宋体"/>
          <w:sz w:val="24"/>
          <w:szCs w:val="24"/>
          <w:highlight w:val="none"/>
        </w:rPr>
        <w:t xml:space="preserve">。</w:t>
      </w:r>
      <w:r/>
    </w:p>
    <w:p>
      <w:pPr>
        <w:pStyle w:val="910"/>
        <w:ind w:firstLine="420"/>
        <w:spacing w:before="120" w:after="120" w:line="360" w:lineRule="auto"/>
        <w:rPr>
          <w:rFonts w:hint="eastAsia" w:hAnsi="宋体"/>
          <w:sz w:val="24"/>
          <w:szCs w:val="24"/>
          <w:highlight w:val="none"/>
        </w:rPr>
      </w:pPr>
      <w:r>
        <w:rPr>
          <w:rFonts w:hint="eastAsia" w:hAnsi="宋体"/>
          <w:sz w:val="24"/>
          <w:szCs w:val="24"/>
          <w:highlight w:val="none"/>
        </w:rPr>
        <w:t xml:space="preserve">13.3 乙方按照招标文件要求负责产品安装并培训甲方的使用操作人员，乙方在甲方使用前进行调试，调试直到符合技术要求的甲方才做最终验收。</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乙方承担。</w:t>
      </w:r>
      <w:r/>
    </w:p>
    <w:p>
      <w:pPr>
        <w:ind w:left="420"/>
        <w:spacing w:line="360" w:lineRule="auto"/>
        <w:rPr>
          <w:rFonts w:hint="eastAsia" w:ascii="宋体" w:hAnsi="宋体"/>
          <w:highlight w:val="none"/>
          <w:u w:val="single"/>
        </w:rPr>
      </w:pPr>
      <w:r>
        <w:rPr>
          <w:rFonts w:ascii="宋体" w:hAnsi="宋体"/>
          <w:sz w:val="24"/>
          <w:szCs w:val="24"/>
          <w:highlight w:val="none"/>
        </w:rPr>
        <w:t xml:space="preserve">13.5 </w:t>
      </w:r>
      <w:r>
        <w:rPr>
          <w:rFonts w:hint="eastAsia" w:ascii="宋体" w:hAnsi="宋体"/>
          <w:sz w:val="24"/>
          <w:szCs w:val="24"/>
          <w:highlight w:val="none"/>
        </w:rPr>
        <w:t xml:space="preserve">甲乙双方关于调试和验收的其他约定：</w:t>
      </w:r>
      <w:r>
        <w:rPr>
          <w:rFonts w:ascii="宋体" w:hAnsi="宋体"/>
          <w:sz w:val="24"/>
          <w:szCs w:val="24"/>
          <w:highlight w:val="none"/>
          <w:u w:val="single"/>
        </w:rPr>
        <w:t xml:space="preserve">                 </w:t>
      </w:r>
      <w:r>
        <w:rPr>
          <w:rFonts w:hint="eastAsia" w:ascii="宋体" w:hAnsi="宋体"/>
          <w:sz w:val="24"/>
          <w:szCs w:val="24"/>
          <w:highlight w:val="none"/>
          <w:u w:val="single"/>
        </w:rPr>
        <w:t xml:space="preserve">。</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十四、货物及服务包装、发运及运输</w:t>
      </w:r>
      <w:r/>
    </w:p>
    <w:p>
      <w:pPr>
        <w:pStyle w:val="910"/>
        <w:ind w:firstLine="420"/>
        <w:spacing w:before="120" w:after="120" w:line="360" w:lineRule="auto"/>
        <w:rPr>
          <w:rFonts w:hint="eastAsia" w:hAnsi="宋体"/>
          <w:sz w:val="24"/>
          <w:szCs w:val="24"/>
          <w:highlight w:val="none"/>
        </w:rPr>
      </w:pPr>
      <w:r>
        <w:rPr>
          <w:rFonts w:hint="eastAsia" w:hAnsi="宋体"/>
          <w:sz w:val="24"/>
          <w:szCs w:val="24"/>
          <w:highlight w:val="none"/>
        </w:rPr>
        <w:t xml:space="preserve">14.1 乙方应在货物发运前对其进行满足运输距离、防潮、防震、防锈和防破损装卸等要求包装，以保证货物安全运达甲方指定地点。</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14.2 乙方发货时，产品使用说明书、检验证明书、随配附件和工具以及清单一并附于货物内。</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14.4 货物在交付甲方前发生的风险均由乙方负责。</w:t>
      </w:r>
      <w:r/>
    </w:p>
    <w:p>
      <w:pPr>
        <w:pStyle w:val="910"/>
        <w:ind w:firstLine="420"/>
        <w:spacing w:before="120" w:after="120" w:line="360" w:lineRule="auto"/>
        <w:rPr>
          <w:rFonts w:hint="eastAsia" w:hAnsi="宋体"/>
          <w:sz w:val="24"/>
          <w:szCs w:val="24"/>
          <w:highlight w:val="none"/>
        </w:rPr>
      </w:pPr>
      <w:r>
        <w:rPr>
          <w:rFonts w:hint="eastAsia" w:hAnsi="宋体"/>
          <w:sz w:val="24"/>
          <w:szCs w:val="24"/>
          <w:highlight w:val="none"/>
        </w:rPr>
        <w:t xml:space="preserve">14.5 货物在规定的交付期限内由乙方送达甲方指定的地点，经初步验收即视为货物交付。</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十五、违约责任</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15.1 甲方无故逾期办理货款支付手续的,甲方应按逾期付款金额每日万分之五向乙方支付违约金。</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15.2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15.3乙方因逾期超过十天交货或因其他违约行为，甲方有权解除合同。</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15.4乙方违约，在消除违约情形前，应按货款总额每日万分之五向甲方支付违约金，甲方可以从待付货款中扣除。因乙方违约导致甲方解除合同的，乙方应自合同解除之日起十日内退还预付款并向甲方支付合同总值5%的违约金，如造成甲方损失超过违约金的，超出部分由乙方继续承担赔偿责任。</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sz w:val="24"/>
          <w:szCs w:val="24"/>
          <w:highlight w:val="none"/>
        </w:rPr>
        <w:t xml:space="preserve">15.5 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sz w:val="24"/>
          <w:szCs w:val="24"/>
          <w:highlight w:val="none"/>
          <w:u w:val="single"/>
        </w:rPr>
        <w:t xml:space="preserve">   %</w:t>
      </w:r>
      <w:r>
        <w:rPr>
          <w:rFonts w:hint="eastAsia" w:ascii="宋体" w:hAnsi="宋体"/>
          <w:sz w:val="24"/>
          <w:szCs w:val="24"/>
          <w:highlight w:val="none"/>
        </w:rPr>
        <w:t xml:space="preserve">赔偿金。</w:t>
      </w:r>
      <w:r>
        <w:rPr>
          <w:rFonts w:hint="eastAsia" w:ascii="宋体" w:hAnsi="宋体" w:eastAsia="宋体" w:cs="宋体"/>
          <w:color w:val="000000"/>
          <w:sz w:val="24"/>
          <w:szCs w:val="24"/>
          <w:highlight w:val="none"/>
        </w:rPr>
        <w:t xml:space="preserve">。</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十六、不可抗力事件处理</w:t>
      </w:r>
      <w:r/>
    </w:p>
    <w:p>
      <w:pPr>
        <w:pStyle w:val="910"/>
        <w:ind w:firstLine="420"/>
        <w:spacing w:before="120" w:after="120" w:line="360" w:lineRule="auto"/>
        <w:rPr>
          <w:rFonts w:hint="eastAsia" w:hAnsi="宋体"/>
          <w:sz w:val="24"/>
          <w:szCs w:val="24"/>
          <w:highlight w:val="none"/>
        </w:rPr>
      </w:pPr>
      <w:r>
        <w:rPr>
          <w:rFonts w:hint="eastAsia" w:hAnsi="宋体"/>
          <w:sz w:val="24"/>
          <w:szCs w:val="24"/>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10"/>
        <w:ind w:firstLine="420"/>
        <w:spacing w:before="120" w:after="120" w:line="360" w:lineRule="auto"/>
        <w:rPr>
          <w:rFonts w:hint="eastAsia" w:hAnsi="宋体"/>
          <w:sz w:val="24"/>
          <w:szCs w:val="24"/>
          <w:highlight w:val="none"/>
        </w:rPr>
      </w:pPr>
      <w:r>
        <w:rPr>
          <w:rFonts w:hint="eastAsia" w:hAnsi="宋体"/>
          <w:sz w:val="24"/>
          <w:szCs w:val="24"/>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十七、诉讼</w:t>
      </w:r>
      <w:r/>
    </w:p>
    <w:p>
      <w:pPr>
        <w:pStyle w:val="910"/>
        <w:ind w:firstLine="420"/>
        <w:spacing w:before="120" w:after="120" w:line="360" w:lineRule="auto"/>
        <w:rPr>
          <w:rFonts w:hint="eastAsia" w:hAnsi="宋体"/>
          <w:sz w:val="24"/>
          <w:szCs w:val="24"/>
          <w:highlight w:val="none"/>
        </w:rPr>
      </w:pPr>
      <w:r>
        <w:rPr>
          <w:rFonts w:hint="eastAsia" w:hAnsi="宋体"/>
          <w:sz w:val="24"/>
          <w:szCs w:val="24"/>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910"/>
        <w:ind w:firstLine="420"/>
        <w:spacing w:before="120" w:after="120" w:line="360" w:lineRule="auto"/>
        <w:rPr>
          <w:rFonts w:hint="eastAsia" w:hAnsi="宋体"/>
          <w:sz w:val="24"/>
          <w:szCs w:val="24"/>
          <w:highlight w:val="none"/>
        </w:rPr>
      </w:pPr>
      <w:r>
        <w:rPr>
          <w:rFonts w:hint="eastAsia" w:hAnsi="宋体"/>
          <w:sz w:val="24"/>
          <w:szCs w:val="24"/>
          <w:highlight w:val="none"/>
        </w:rPr>
        <w:t xml:space="preserve">17.2 因履行本合同引起的或与本合同有关的争议，甲、乙双方应首先通过友好协商解决；如果协商不能解决争议，甲乙双方同意采取下列两种方式的第</w:t>
      </w:r>
      <w:r>
        <w:rPr>
          <w:rFonts w:hint="eastAsia" w:hAnsi="宋体"/>
          <w:sz w:val="24"/>
          <w:szCs w:val="24"/>
          <w:highlight w:val="none"/>
          <w:u w:val="single"/>
        </w:rPr>
        <w:t xml:space="preserve">（ 1 ）</w:t>
      </w:r>
      <w:r>
        <w:rPr>
          <w:rFonts w:hint="eastAsia" w:hAnsi="宋体"/>
          <w:sz w:val="24"/>
          <w:szCs w:val="24"/>
          <w:highlight w:val="none"/>
        </w:rPr>
        <w:t xml:space="preserve">种方式解决争议：</w:t>
      </w:r>
      <w:r/>
    </w:p>
    <w:p>
      <w:pPr>
        <w:pStyle w:val="910"/>
        <w:ind w:firstLine="315"/>
        <w:spacing w:before="120" w:after="120" w:line="360" w:lineRule="auto"/>
        <w:rPr>
          <w:rFonts w:hint="eastAsia" w:hAnsi="宋体"/>
          <w:sz w:val="24"/>
          <w:szCs w:val="24"/>
          <w:highlight w:val="none"/>
        </w:rPr>
      </w:pPr>
      <w:r>
        <w:rPr>
          <w:rFonts w:hint="eastAsia" w:hAnsi="宋体"/>
          <w:sz w:val="24"/>
          <w:szCs w:val="24"/>
          <w:highlight w:val="none"/>
        </w:rPr>
        <w:t xml:space="preserve">（1）向甲方所在地有管辖权的人民法院提起诉讼，适用中华人民共和国法律；</w:t>
      </w:r>
      <w:r/>
    </w:p>
    <w:p>
      <w:pPr>
        <w:pStyle w:val="910"/>
        <w:ind w:left="420" w:hanging="105"/>
        <w:spacing w:before="120" w:after="120" w:line="360" w:lineRule="auto"/>
        <w:rPr>
          <w:rFonts w:hint="eastAsia" w:hAnsi="宋体"/>
          <w:sz w:val="24"/>
          <w:szCs w:val="24"/>
          <w:highlight w:val="none"/>
        </w:rPr>
      </w:pPr>
      <w:r>
        <w:rPr>
          <w:rFonts w:hint="eastAsia" w:hAnsi="宋体"/>
          <w:sz w:val="24"/>
          <w:szCs w:val="24"/>
          <w:highlight w:val="none"/>
        </w:rPr>
        <w:t xml:space="preserve">（2）向扬州仲裁委员会按其仲裁规则申请仲裁。</w:t>
      </w:r>
      <w:r/>
    </w:p>
    <w:p>
      <w:pPr>
        <w:pStyle w:val="910"/>
        <w:ind w:firstLine="420"/>
        <w:spacing w:before="120" w:after="120" w:line="360" w:lineRule="auto"/>
        <w:rPr>
          <w:rFonts w:hint="eastAsia" w:hAnsi="宋体"/>
          <w:sz w:val="24"/>
          <w:szCs w:val="24"/>
          <w:highlight w:val="none"/>
        </w:rPr>
      </w:pPr>
      <w:r>
        <w:rPr>
          <w:rFonts w:hint="eastAsia" w:hAnsi="宋体"/>
          <w:sz w:val="24"/>
          <w:szCs w:val="24"/>
          <w:highlight w:val="none"/>
        </w:rPr>
        <w:t xml:space="preserve">17.3 若甲乙双方任何一方都没有选择解除合同的，为避免扩大损失，在诉讼或仲裁期间，双方应继续履行。</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sz w:val="24"/>
          <w:szCs w:val="24"/>
          <w:highlight w:val="none"/>
        </w:rPr>
        <w:t xml:space="preserve">17.4守约方为维护权益所产生的费用由违约方承担，该费用包括但不限于差旅费、律师费、公证费、鉴定费、保全费和诉讼费。</w:t>
      </w:r>
      <w:r/>
    </w:p>
    <w:p>
      <w:pPr>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color w:val="000000"/>
          <w:sz w:val="24"/>
          <w:szCs w:val="24"/>
          <w:highlight w:val="none"/>
        </w:rPr>
        <w:t xml:space="preserve">十八、</w:t>
      </w:r>
      <w:r>
        <w:rPr>
          <w:rFonts w:hint="eastAsia" w:ascii="宋体" w:hAnsi="宋体" w:eastAsia="宋体" w:cs="宋体"/>
          <w:b/>
          <w:bCs w:val="0"/>
          <w:color w:val="000000"/>
          <w:sz w:val="24"/>
          <w:szCs w:val="24"/>
          <w:highlight w:val="none"/>
        </w:rPr>
        <w:t xml:space="preserve">乙方可凭政府采购合同办理融资贷款，详见江苏政府采购网“政采贷”专栏。</w:t>
      </w:r>
      <w:r/>
    </w:p>
    <w:p>
      <w:pPr>
        <w:pStyle w:val="910"/>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十九、合同其它</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w:t>
      </w:r>
      <w:r>
        <w:rPr>
          <w:rFonts w:hint="eastAsia" w:hAnsi="宋体"/>
          <w:sz w:val="21"/>
          <w:highlight w:val="none"/>
        </w:rPr>
        <w:t xml:space="preserve"> </w:t>
      </w:r>
      <w:r>
        <w:rPr>
          <w:rFonts w:hint="eastAsia" w:hAnsi="宋体"/>
          <w:sz w:val="24"/>
          <w:szCs w:val="24"/>
          <w:highlight w:val="none"/>
        </w:rPr>
        <w:t xml:space="preserve">乙方应诚实信用，严格按照招标文件要求和投标承诺履行合同，不向甲方进行商业贿赂或者提供不正当利益</w:t>
      </w:r>
      <w:r>
        <w:rPr>
          <w:rFonts w:hint="eastAsia" w:hAnsi="宋体"/>
          <w:sz w:val="21"/>
          <w:highlight w:val="none"/>
        </w:rPr>
        <w:t xml:space="preserve">。</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19.2</w:t>
      </w:r>
      <w:r>
        <w:rPr>
          <w:rFonts w:hint="eastAsia" w:ascii="宋体" w:hAnsi="宋体" w:eastAsia="宋体" w:cs="宋体"/>
          <w:color w:val="000000"/>
          <w:sz w:val="24"/>
          <w:szCs w:val="24"/>
          <w:highlight w:val="none"/>
        </w:rPr>
        <w:t xml:space="preserve">合同经双方法定代表人或授权代表签章并加盖单位公章，并经</w:t>
      </w:r>
      <w:r>
        <w:rPr>
          <w:rFonts w:hint="eastAsia" w:hAnsi="宋体" w:eastAsia="宋体" w:cs="宋体"/>
          <w:color w:val="000000"/>
          <w:sz w:val="24"/>
          <w:szCs w:val="24"/>
          <w:highlight w:val="none"/>
          <w:lang w:eastAsia="zh-CN"/>
        </w:rPr>
        <w:t xml:space="preserve">江苏唯诚建设咨询有限公司</w:t>
      </w:r>
      <w:r>
        <w:rPr>
          <w:rFonts w:hint="eastAsia" w:ascii="宋体" w:hAnsi="宋体" w:eastAsia="宋体" w:cs="宋体"/>
          <w:color w:val="000000"/>
          <w:sz w:val="24"/>
          <w:szCs w:val="24"/>
          <w:highlight w:val="none"/>
        </w:rPr>
        <w:t xml:space="preserve">见证盖章后生效。</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本合同下款所列双方地址、电话，为本合同项所涉义务（包括但不限于邮寄发票和诉讼等相关法律文书）的送达地址，上述文件送达到上述地址，即视为送达。</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19.4本合同未尽事宜，遵照《中华人民共和国民法典》有关条文执行。</w:t>
      </w:r>
      <w:r/>
    </w:p>
    <w:p>
      <w:pPr>
        <w:pStyle w:val="91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19.5 本合同正本一式</w:t>
      </w:r>
      <w:r>
        <w:rPr>
          <w:rFonts w:hint="eastAsia" w:ascii="宋体" w:hAnsi="宋体" w:eastAsia="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份，具有同等法律效力，甲方执</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乙方执贰份。  </w:t>
      </w:r>
      <w:r/>
    </w:p>
    <w:tbl>
      <w:tblPr>
        <w:tblStyle w:val="688"/>
        <w:tblW w:w="8379" w:type="dxa"/>
        <w:tblInd w:w="-81"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606"/>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甲方：扬州市疾病预防控制中心</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 </w:t>
            </w:r>
            <w:r/>
          </w:p>
        </w:tc>
      </w:tr>
      <w:tr>
        <w:trPr>
          <w:trHeight w:val="581"/>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日期：202</w:t>
            </w:r>
            <w:r>
              <w:rPr>
                <w:rFonts w:hint="eastAsia"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年    月    日  </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日期：202</w:t>
            </w:r>
            <w:r>
              <w:rPr>
                <w:rFonts w:hint="eastAsia"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见证方：</w:t>
            </w:r>
            <w:r>
              <w:rPr>
                <w:rFonts w:hint="eastAsia" w:hAnsi="宋体" w:eastAsia="宋体" w:cs="宋体"/>
                <w:color w:val="000000"/>
                <w:sz w:val="24"/>
                <w:szCs w:val="24"/>
                <w:highlight w:val="none"/>
                <w:lang w:val="en-US" w:eastAsia="zh-CN" w:bidi="ar-SA"/>
              </w:rPr>
              <w:t xml:space="preserve">江苏唯诚建设咨询有限公司</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项目经办人：</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日期：202</w:t>
            </w:r>
            <w:r>
              <w:rPr>
                <w:rFonts w:hint="eastAsia"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年    月    日 </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1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End w:id="57"/>
      <w:r/>
      <w:r/>
    </w:p>
    <w:p>
      <w:pPr>
        <w:pStyle w:val="678"/>
        <w:numPr>
          <w:ilvl w:val="0"/>
          <w:numId w:val="4"/>
        </w:numPr>
        <w:rPr>
          <w:rFonts w:hint="eastAsia"/>
          <w:color w:val="000000"/>
          <w:highlight w:val="none"/>
        </w:rPr>
      </w:pPr>
      <w:r/>
      <w:bookmarkStart w:id="58" w:name="_Toc12506"/>
      <w:r>
        <w:rPr>
          <w:rFonts w:hint="eastAsia"/>
          <w:color w:val="000000"/>
          <w:highlight w:val="none"/>
        </w:rPr>
        <w:t xml:space="preserve">项目需求</w:t>
      </w:r>
      <w:bookmarkEnd w:id="58"/>
      <w:r/>
      <w:r/>
    </w:p>
    <w:p>
      <w:pPr>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59" w:name="_Toc319408306"/>
      <w:r>
        <w:rPr>
          <w:rFonts w:hint="eastAsia" w:ascii="宋体" w:hAnsi="宋体" w:eastAsia="宋体" w:cs="宋体"/>
          <w:b/>
          <w:bCs/>
          <w:color w:val="000000"/>
          <w:sz w:val="24"/>
          <w:szCs w:val="24"/>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420"/>
        <w:keepLines w:val="0"/>
        <w:keepNext w:val="0"/>
        <w:pageBreakBefore w:val="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政府采购中实施本国产品标准及相关政策</w:t>
      </w:r>
      <w:r/>
    </w:p>
    <w:p>
      <w:pPr>
        <w:ind w:firstLine="42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1.本项目对采购本国产品给予政策支持，具体内容见招标文件“第五章 评标方法与评标标准”。</w:t>
      </w:r>
      <w:r/>
    </w:p>
    <w:p>
      <w:pPr>
        <w:ind w:firstLine="42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22"/>
        <w:keepLines w:val="0"/>
        <w:keepNext w:val="0"/>
        <w:pageBreakBefore w:val="0"/>
        <w:spacing w:beforeAutospacing="0" w:afterAutospacing="0" w:line="360" w:lineRule="auto"/>
        <w:widowControl w:val="off"/>
        <w:rPr>
          <w:rFonts w:hint="eastAsia" w:ascii="宋体" w:hAnsi="宋体" w:eastAsia="宋体" w:cs="宋体"/>
          <w:b/>
          <w:i w:val="0"/>
          <w:iCs w:val="0"/>
          <w:color w:val="000000"/>
          <w:sz w:val="24"/>
          <w:szCs w:val="24"/>
          <w:highlight w:val="none"/>
          <w:u w:val="none"/>
          <w:lang w:val="en-US" w:eastAsia="zh-CN"/>
        </w:rPr>
      </w:pPr>
      <w:r>
        <w:rPr>
          <w:rFonts w:hint="eastAsia" w:ascii="宋体" w:hAnsi="宋体" w:eastAsia="宋体" w:cs="宋体"/>
          <w:b/>
          <w:i w:val="0"/>
          <w:iCs w:val="0"/>
          <w:color w:val="000000"/>
          <w:sz w:val="24"/>
          <w:szCs w:val="24"/>
          <w:highlight w:val="none"/>
          <w:u w:val="none"/>
        </w:rPr>
        <w:t xml:space="preserve">项目属性：</w:t>
      </w:r>
      <w:bookmarkEnd w:id="59"/>
      <w:r>
        <w:rPr>
          <w:rFonts w:hint="eastAsia" w:ascii="宋体" w:hAnsi="宋体" w:eastAsia="宋体" w:cs="宋体"/>
          <w:b/>
          <w:i w:val="0"/>
          <w:iCs w:val="0"/>
          <w:color w:val="000000"/>
          <w:sz w:val="24"/>
          <w:szCs w:val="24"/>
          <w:highlight w:val="none"/>
          <w:u w:val="none"/>
          <w:lang w:eastAsia="zh-CN"/>
        </w:rPr>
        <w:t xml:space="preserve">医疗器械类</w:t>
      </w:r>
      <w:r/>
    </w:p>
    <w:p>
      <w:pPr>
        <w:numPr>
          <w:ilvl w:val="0"/>
          <w:numId w:val="5"/>
        </w:numPr>
        <w:keepLines w:val="0"/>
        <w:keepNext w:val="0"/>
        <w:pageBreakBefore w:val="0"/>
        <w:spacing w:before="157"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4"/>
          <w:szCs w:val="24"/>
          <w:highlight w:val="none"/>
        </w:rPr>
        <w:t xml:space="preserve">项目</w:t>
      </w:r>
      <w:r>
        <w:rPr>
          <w:rFonts w:hint="eastAsia" w:ascii="宋体" w:hAnsi="宋体" w:eastAsia="宋体" w:cs="宋体"/>
          <w:b/>
          <w:bCs/>
          <w:sz w:val="24"/>
          <w:szCs w:val="24"/>
          <w:highlight w:val="none"/>
          <w:lang w:val="en-US" w:eastAsia="zh-CN"/>
        </w:rPr>
        <w:t xml:space="preserve">背景</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本次采购1 台高速全自动生化分析仪，单机恒速≥2000 测试/小时，用于稳定开展肝肾功能、血糖血脂、电解质、心肌酶等常规生化项目检测，适配门诊高低峰样本波动场景，提升检验通量、检测精度与自动化水平，满足临床诊疗、健康体检长期业务需求。</w:t>
      </w:r>
      <w:r/>
    </w:p>
    <w:p>
      <w:pPr>
        <w:pStyle w:val="710"/>
        <w:spacing w:beforeAutospacing="0" w:afterAutospacing="0" w:line="360" w:lineRule="atLeast"/>
        <w:widowControl/>
        <w:rPr>
          <w:color w:val="000000"/>
          <w:sz w:val="24"/>
          <w:szCs w:val="24"/>
          <w:highlight w:val="none"/>
        </w:rPr>
      </w:pPr>
      <w:r/>
      <w:bookmarkStart w:id="60" w:name="_Toc55204181"/>
      <w:r>
        <w:rPr>
          <w:color w:val="000000"/>
          <w:sz w:val="24"/>
          <w:szCs w:val="24"/>
          <w:highlight w:val="none"/>
        </w:rPr>
        <w:t xml:space="preserve">二、采购内容及技术需求</w:t>
      </w:r>
      <w:r/>
    </w:p>
    <w:p>
      <w:pPr>
        <w:pStyle w:val="711"/>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（一）核心采购内容</w:t>
      </w:r>
      <w:r/>
    </w:p>
    <w:p>
      <w:pPr>
        <w:pStyle w:val="711"/>
        <w:ind w:firstLine="482"/>
        <w:jc w:val="left"/>
        <w:keepLines w:val="0"/>
        <w:keepNext w:val="0"/>
        <w:pageBreakBefore w:val="0"/>
        <w:spacing w:beforeAutospacing="0" w:afterAutospacing="0" w:line="360" w:lineRule="auto"/>
        <w:widowControl/>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本次采购为 [</w:t>
      </w:r>
      <w:r>
        <w:rPr>
          <w:rFonts w:hint="eastAsia" w:ascii="宋体" w:hAnsi="宋体" w:eastAsia="宋体" w:cs="宋体"/>
          <w:color w:val="000000"/>
          <w:sz w:val="24"/>
          <w:szCs w:val="24"/>
          <w:highlight w:val="none"/>
          <w:lang w:bidi="ar"/>
        </w:rPr>
        <w:t xml:space="preserve">全自动生化分析仪</w:t>
      </w:r>
      <w:r>
        <w:rPr>
          <w:rFonts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u w:val="single"/>
          <w:lang w:bidi="ar"/>
        </w:rPr>
        <w:t xml:space="preserve">1</w:t>
      </w:r>
      <w:r>
        <w:rPr>
          <w:rFonts w:ascii="宋体" w:hAnsi="宋体" w:eastAsia="宋体" w:cs="宋体"/>
          <w:color w:val="000000"/>
          <w:sz w:val="24"/>
          <w:szCs w:val="24"/>
          <w:highlight w:val="none"/>
          <w:lang w:bidi="ar"/>
        </w:rPr>
        <w:t xml:space="preserve">台 ，含设备主机、标准配件、专用配套耗材（首次）</w:t>
      </w:r>
      <w:r>
        <w:rPr>
          <w:rFonts w:ascii="宋体" w:hAnsi="宋体" w:eastAsia="宋体" w:cs="宋体"/>
          <w:sz w:val="24"/>
          <w:szCs w:val="24"/>
          <w:highlight w:val="none"/>
          <w:lang w:bidi="ar"/>
        </w:rPr>
        <w:t xml:space="preserve">、</w:t>
      </w:r>
      <w:r>
        <w:rPr>
          <w:rFonts w:hint="eastAsia" w:ascii="宋体" w:hAnsi="宋体" w:eastAsia="宋体" w:cs="宋体"/>
          <w:sz w:val="24"/>
          <w:szCs w:val="24"/>
          <w:highlight w:val="none"/>
          <w:lang w:bidi="ar"/>
        </w:rPr>
        <w:t xml:space="preserve">配套设备、</w:t>
      </w:r>
      <w:r>
        <w:rPr>
          <w:rFonts w:ascii="宋体" w:hAnsi="宋体" w:eastAsia="宋体" w:cs="宋体"/>
          <w:color w:val="000000"/>
          <w:sz w:val="24"/>
          <w:szCs w:val="24"/>
          <w:highlight w:val="none"/>
          <w:lang w:bidi="ar"/>
        </w:rPr>
        <w:t xml:space="preserve">安装调试、技术培训、售后保障等全部相关服务，为</w:t>
      </w:r>
      <w:r>
        <w:rPr>
          <w:rStyle w:val="743"/>
          <w:rFonts w:ascii="宋体" w:hAnsi="宋体" w:eastAsia="宋体" w:cs="宋体"/>
          <w:b w:val="0"/>
          <w:bCs/>
          <w:color w:val="000000"/>
          <w:sz w:val="24"/>
          <w:szCs w:val="24"/>
          <w:highlight w:val="none"/>
          <w:lang w:bidi="ar"/>
        </w:rPr>
        <w:t xml:space="preserve">交钥匙工程</w:t>
      </w:r>
      <w:r>
        <w:rPr>
          <w:rFonts w:ascii="宋体" w:hAnsi="宋体" w:eastAsia="宋体" w:cs="宋体"/>
          <w:color w:val="000000"/>
          <w:sz w:val="24"/>
          <w:szCs w:val="24"/>
          <w:highlight w:val="none"/>
          <w:lang w:bidi="ar"/>
        </w:rPr>
        <w:t xml:space="preserve">，采购人无需额外支付任何费用。</w:t>
      </w:r>
      <w:r/>
    </w:p>
    <w:p>
      <w:pPr>
        <w:pStyle w:val="711"/>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（二）技术参数要求</w:t>
      </w:r>
      <w:r/>
    </w:p>
    <w:p>
      <w:pPr>
        <w:jc w:val="left"/>
        <w:spacing w:line="360" w:lineRule="atLeast"/>
        <w:widowControl/>
        <w:rPr>
          <w:rFonts w:ascii="宋体" w:hAnsi="宋体" w:eastAsia="宋体" w:cs="宋体"/>
          <w:color w:val="000000"/>
          <w:sz w:val="24"/>
          <w:highlight w:val="none"/>
          <w:lang w:bidi="ar"/>
        </w:rPr>
      </w:pPr>
      <w:r>
        <w:rPr>
          <w:rFonts w:ascii="宋体" w:hAnsi="宋体" w:eastAsia="宋体" w:cs="宋体"/>
          <w:color w:val="000000"/>
          <w:sz w:val="24"/>
          <w:highlight w:val="none"/>
          <w:lang w:bidi="ar"/>
        </w:rPr>
        <w:t xml:space="preserve">本项目设备技术参数分为</w:t>
      </w:r>
      <w:r>
        <w:rPr>
          <w:rStyle w:val="743"/>
          <w:rFonts w:ascii="宋体" w:hAnsi="宋体" w:eastAsia="宋体" w:cs="宋体"/>
          <w:bCs/>
          <w:color w:val="000000"/>
          <w:sz w:val="24"/>
          <w:highlight w:val="none"/>
          <w:lang w:bidi="ar"/>
        </w:rPr>
        <w:t xml:space="preserve">必选参数</w:t>
      </w:r>
      <w:r>
        <w:rPr>
          <w:rFonts w:ascii="宋体" w:hAnsi="宋体" w:eastAsia="宋体" w:cs="宋体"/>
          <w:color w:val="000000"/>
          <w:sz w:val="24"/>
          <w:highlight w:val="none"/>
          <w:lang w:bidi="ar"/>
        </w:rPr>
        <w:t xml:space="preserve">（硬性指标，未满足则作无效响应处理</w:t>
      </w:r>
      <w:r>
        <w:rPr>
          <w:rFonts w:hint="eastAsia" w:ascii="宋体" w:hAnsi="宋体" w:eastAsia="宋体" w:cs="宋体"/>
          <w:color w:val="000000"/>
          <w:sz w:val="24"/>
          <w:highlight w:val="none"/>
          <w:lang w:bidi="ar"/>
        </w:rPr>
        <w:t xml:space="preserve">，标★</w:t>
      </w:r>
      <w:r>
        <w:rPr>
          <w:rFonts w:ascii="宋体" w:hAnsi="宋体" w:eastAsia="宋体" w:cs="宋体"/>
          <w:color w:val="000000"/>
          <w:sz w:val="24"/>
          <w:highlight w:val="none"/>
          <w:lang w:bidi="ar"/>
        </w:rPr>
        <w:t xml:space="preserve">）和</w:t>
      </w:r>
      <w:r>
        <w:rPr>
          <w:rStyle w:val="743"/>
          <w:rFonts w:ascii="宋体" w:hAnsi="宋体" w:eastAsia="宋体" w:cs="宋体"/>
          <w:bCs/>
          <w:color w:val="000000"/>
          <w:sz w:val="24"/>
          <w:highlight w:val="none"/>
          <w:lang w:bidi="ar"/>
        </w:rPr>
        <w:t xml:space="preserve">可选参数</w:t>
      </w:r>
      <w:r>
        <w:rPr>
          <w:rFonts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t xml:space="preserve">标▲</w:t>
      </w:r>
      <w:r>
        <w:rPr>
          <w:rFonts w:hint="eastAsia" w:ascii="宋体" w:hAnsi="宋体" w:eastAsia="宋体" w:cs="宋体"/>
          <w:color w:val="000000"/>
          <w:sz w:val="24"/>
          <w:highlight w:val="none"/>
          <w:lang w:eastAsia="zh-CN" w:bidi="ar"/>
        </w:rPr>
        <w:t xml:space="preserve">项</w:t>
      </w:r>
      <w:r>
        <w:rPr>
          <w:rFonts w:ascii="宋体" w:hAnsi="宋体" w:eastAsia="宋体" w:cs="宋体"/>
          <w:color w:val="000000"/>
          <w:sz w:val="24"/>
          <w:highlight w:val="none"/>
          <w:lang w:bidi="ar"/>
        </w:rPr>
        <w:t xml:space="preserve">），所有参数均需</w:t>
      </w:r>
      <w:r>
        <w:rPr>
          <w:rFonts w:hint="eastAsia" w:ascii="宋体" w:hAnsi="宋体" w:eastAsia="宋体" w:cs="宋体"/>
          <w:color w:val="000000"/>
          <w:sz w:val="24"/>
          <w:highlight w:val="none"/>
          <w:lang w:bidi="ar"/>
        </w:rPr>
        <w:t xml:space="preserve">在备注中注明</w:t>
      </w:r>
      <w:r>
        <w:rPr>
          <w:rFonts w:ascii="宋体" w:hAnsi="宋体" w:eastAsia="宋体" w:cs="宋体"/>
          <w:color w:val="000000"/>
          <w:sz w:val="24"/>
          <w:highlight w:val="none"/>
          <w:lang w:bidi="ar"/>
        </w:rPr>
        <w:t xml:space="preserve">提供可验证的证明材料。</w:t>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1996"/>
        <w:gridCol w:w="2977"/>
        <w:gridCol w:w="2772"/>
      </w:tblGrid>
      <w:tr>
        <w:trPr/>
        <w:tc>
          <w:tcPr>
            <w:tcW w:w="551" w:type="dxa"/>
            <w:vAlign w:val="center"/>
            <w:textDirection w:val="lrTb"/>
            <w:noWrap w:val="false"/>
          </w:tcPr>
          <w:p>
            <w:pPr>
              <w:spacing w:after="0" w:line="360" w:lineRule="atLeast"/>
              <w:widowControl/>
              <w:rPr>
                <w:b/>
                <w:bCs/>
                <w:color w:val="000000"/>
                <w:sz w:val="24"/>
                <w:highlight w:val="none"/>
              </w:rPr>
            </w:pPr>
            <w:r>
              <w:rPr>
                <w:rFonts w:ascii="宋体" w:hAnsi="宋体" w:eastAsia="宋体" w:cs="宋体"/>
                <w:b/>
                <w:bCs/>
                <w:color w:val="000000"/>
                <w:sz w:val="24"/>
                <w:highlight w:val="none"/>
                <w:lang w:bidi="ar"/>
              </w:rPr>
              <w:t xml:space="preserve">序号</w:t>
            </w:r>
            <w:r/>
          </w:p>
        </w:tc>
        <w:tc>
          <w:tcPr>
            <w:tcW w:w="1996" w:type="dxa"/>
            <w:vAlign w:val="center"/>
            <w:textDirection w:val="lrTb"/>
            <w:noWrap w:val="false"/>
          </w:tcPr>
          <w:p>
            <w:pPr>
              <w:jc w:val="center"/>
              <w:spacing w:after="0" w:line="360" w:lineRule="atLeast"/>
              <w:widowControl/>
              <w:rPr>
                <w:b/>
                <w:bCs/>
                <w:color w:val="000000"/>
                <w:sz w:val="24"/>
                <w:highlight w:val="none"/>
              </w:rPr>
            </w:pPr>
            <w:r>
              <w:rPr>
                <w:rFonts w:ascii="宋体" w:hAnsi="宋体" w:eastAsia="宋体" w:cs="宋体"/>
                <w:b/>
                <w:bCs/>
                <w:color w:val="000000"/>
                <w:sz w:val="24"/>
                <w:highlight w:val="none"/>
                <w:lang w:bidi="ar"/>
              </w:rPr>
              <w:t xml:space="preserve">参数类别</w:t>
            </w:r>
            <w:r/>
          </w:p>
        </w:tc>
        <w:tc>
          <w:tcPr>
            <w:tcW w:w="2977" w:type="dxa"/>
            <w:vAlign w:val="center"/>
            <w:textDirection w:val="lrTb"/>
            <w:noWrap w:val="false"/>
          </w:tcPr>
          <w:p>
            <w:pPr>
              <w:jc w:val="center"/>
              <w:spacing w:after="0" w:line="360" w:lineRule="atLeast"/>
              <w:widowControl/>
              <w:rPr>
                <w:b/>
                <w:bCs/>
                <w:color w:val="000000"/>
                <w:sz w:val="24"/>
                <w:highlight w:val="none"/>
              </w:rPr>
            </w:pPr>
            <w:r>
              <w:rPr>
                <w:rFonts w:ascii="宋体" w:hAnsi="宋体" w:eastAsia="宋体" w:cs="宋体"/>
                <w:b/>
                <w:bCs/>
                <w:color w:val="000000"/>
                <w:sz w:val="24"/>
                <w:highlight w:val="none"/>
                <w:lang w:bidi="ar"/>
              </w:rPr>
              <w:t xml:space="preserve">具体技术指标要求</w:t>
            </w:r>
            <w:r/>
          </w:p>
        </w:tc>
        <w:tc>
          <w:tcPr>
            <w:tcW w:w="2772" w:type="dxa"/>
            <w:vAlign w:val="center"/>
            <w:textDirection w:val="lrTb"/>
            <w:noWrap w:val="false"/>
          </w:tcPr>
          <w:p>
            <w:pPr>
              <w:jc w:val="center"/>
              <w:spacing w:after="0" w:line="360" w:lineRule="atLeast"/>
              <w:widowControl/>
              <w:rPr>
                <w:b/>
                <w:bCs/>
                <w:color w:val="000000"/>
                <w:sz w:val="24"/>
                <w:highlight w:val="none"/>
              </w:rPr>
            </w:pPr>
            <w:r>
              <w:rPr>
                <w:rFonts w:ascii="宋体" w:hAnsi="宋体" w:eastAsia="宋体" w:cs="宋体"/>
                <w:b/>
                <w:bCs/>
                <w:color w:val="000000"/>
                <w:sz w:val="24"/>
                <w:highlight w:val="none"/>
                <w:lang w:bidi="ar"/>
              </w:rPr>
              <w:t xml:space="preserve">备注</w:t>
            </w:r>
            <w:r/>
          </w:p>
        </w:tc>
      </w:tr>
      <w:tr>
        <w:trPr/>
        <w:tc>
          <w:tcPr>
            <w:tcW w:w="551" w:type="dxa"/>
            <w:vAlign w:val="center"/>
            <w:textDirection w:val="lrTb"/>
            <w:noWrap w:val="false"/>
          </w:tcPr>
          <w:p>
            <w:pPr>
              <w:jc w:val="center"/>
              <w:spacing w:after="0" w:line="360" w:lineRule="atLeast"/>
              <w:widowControl/>
              <w:rPr>
                <w:rFonts w:ascii="宋体" w:hAnsi="宋体"/>
                <w:sz w:val="24"/>
                <w:highlight w:val="none"/>
              </w:rPr>
            </w:pPr>
            <w:r>
              <w:rPr>
                <w:rFonts w:hint="eastAsia" w:ascii="宋体" w:hAnsi="宋体" w:cs="宋体"/>
                <w:sz w:val="24"/>
                <w:highlight w:val="none"/>
                <w:lang w:bidi="ar"/>
              </w:rPr>
              <w:t xml:space="preserve">1</w:t>
            </w:r>
            <w:r/>
          </w:p>
        </w:tc>
        <w:tc>
          <w:tcPr>
            <w:tcW w:w="1996" w:type="dxa"/>
            <w:vAlign w:val="center"/>
            <w:textDirection w:val="lrTb"/>
            <w:noWrap w:val="false"/>
          </w:tcPr>
          <w:p>
            <w:pPr>
              <w:spacing w:after="0" w:line="360" w:lineRule="atLeast"/>
              <w:widowControl/>
              <w:rPr>
                <w:rFonts w:ascii="宋体" w:hAnsi="宋体"/>
                <w:sz w:val="24"/>
                <w:highlight w:val="none"/>
              </w:rPr>
            </w:pPr>
            <w:r>
              <w:rPr>
                <w:rFonts w:hint="eastAsia" w:ascii="宋体" w:hAnsi="宋体" w:cs="宋体"/>
                <w:sz w:val="24"/>
                <w:highlight w:val="none"/>
                <w:lang w:bidi="ar"/>
              </w:rPr>
              <w:t xml:space="preserve">★分析系统</w:t>
            </w:r>
            <w:r/>
          </w:p>
        </w:tc>
        <w:tc>
          <w:tcPr>
            <w:tcW w:w="2977" w:type="dxa"/>
            <w:vAlign w:val="center"/>
            <w:textDirection w:val="lrTb"/>
            <w:noWrap w:val="false"/>
          </w:tcPr>
          <w:p>
            <w:pPr>
              <w:spacing w:after="0" w:line="360" w:lineRule="atLeast"/>
              <w:widowControl/>
              <w:rPr>
                <w:rFonts w:ascii="宋体" w:hAnsi="宋体"/>
                <w:sz w:val="24"/>
                <w:highlight w:val="none"/>
              </w:rPr>
            </w:pPr>
            <w:r>
              <w:rPr>
                <w:rFonts w:hint="eastAsia" w:ascii="宋体" w:hAnsi="宋体" w:cs="宋体"/>
                <w:sz w:val="24"/>
                <w:highlight w:val="none"/>
              </w:rPr>
              <w:t xml:space="preserve">全自动生化分析仪（生化分析仪单机，不接受一体机等联机组合方式）</w:t>
            </w:r>
            <w:r/>
          </w:p>
        </w:tc>
        <w:tc>
          <w:tcPr>
            <w:tcW w:w="2772" w:type="dxa"/>
            <w:vAlign w:val="center"/>
            <w:textDirection w:val="lrTb"/>
            <w:noWrap w:val="false"/>
          </w:tcPr>
          <w:p>
            <w:pPr>
              <w:spacing w:after="0" w:line="360" w:lineRule="atLeast"/>
              <w:widowControl/>
              <w:rPr>
                <w:rFonts w:ascii="宋体" w:hAnsi="宋体"/>
                <w:sz w:val="24"/>
                <w:highlight w:val="none"/>
              </w:rPr>
            </w:pPr>
            <w:r>
              <w:rPr>
                <w:rFonts w:hint="eastAsia" w:ascii="宋体" w:hAnsi="宋体" w:cs="宋体"/>
                <w:sz w:val="24"/>
                <w:highlight w:val="none"/>
                <w:lang w:bidi="ar"/>
              </w:rPr>
              <w:t xml:space="preserve">提供产品的配置清单或医疗器械注册证等证明材料</w:t>
            </w:r>
            <w:r/>
          </w:p>
        </w:tc>
      </w:tr>
      <w:tr>
        <w:trPr/>
        <w:tc>
          <w:tcPr>
            <w:tcW w:w="551" w:type="dxa"/>
            <w:vAlign w:val="center"/>
            <w:textDirection w:val="lrTb"/>
            <w:noWrap w:val="false"/>
          </w:tcPr>
          <w:p>
            <w:pPr>
              <w:jc w:val="center"/>
              <w:spacing w:after="0" w:line="360" w:lineRule="atLeast"/>
              <w:widowControl/>
              <w:rPr>
                <w:rFonts w:ascii="宋体" w:hAnsi="宋体"/>
                <w:sz w:val="24"/>
                <w:highlight w:val="none"/>
              </w:rPr>
            </w:pPr>
            <w:r>
              <w:rPr>
                <w:rFonts w:hint="eastAsia" w:ascii="宋体" w:hAnsi="宋体"/>
                <w:sz w:val="24"/>
                <w:highlight w:val="none"/>
              </w:rPr>
              <w:t xml:space="preserve">2</w:t>
            </w:r>
            <w:r/>
          </w:p>
        </w:tc>
        <w:tc>
          <w:tcPr>
            <w:tcW w:w="1996" w:type="dxa"/>
            <w:vAlign w:val="center"/>
            <w:textDirection w:val="lrTb"/>
            <w:noWrap w:val="false"/>
          </w:tcPr>
          <w:p>
            <w:pPr>
              <w:spacing w:after="0" w:line="360" w:lineRule="atLeast"/>
              <w:widowControl/>
              <w:rPr>
                <w:rFonts w:ascii="宋体" w:hAnsi="宋体"/>
                <w:sz w:val="24"/>
                <w:highlight w:val="none"/>
              </w:rPr>
            </w:pPr>
            <w:r/>
            <w:bookmarkStart w:id="61" w:name="OLE_LINK4"/>
            <w:r/>
            <w:bookmarkStart w:id="62" w:name="OLE_LINK3"/>
            <w:r>
              <w:rPr>
                <w:rFonts w:hint="eastAsia" w:ascii="宋体" w:hAnsi="宋体" w:cs="宋体"/>
                <w:sz w:val="24"/>
                <w:highlight w:val="none"/>
                <w:lang w:bidi="ar"/>
              </w:rPr>
              <w:t xml:space="preserve">★</w:t>
            </w:r>
            <w:bookmarkEnd w:id="61"/>
            <w:r/>
            <w:bookmarkEnd w:id="62"/>
            <w:r>
              <w:rPr>
                <w:rFonts w:hint="eastAsia" w:ascii="宋体" w:hAnsi="宋体"/>
                <w:sz w:val="24"/>
                <w:highlight w:val="none"/>
              </w:rPr>
              <w:t xml:space="preserve">处理能力</w:t>
            </w:r>
            <w:r/>
          </w:p>
        </w:tc>
        <w:tc>
          <w:tcPr>
            <w:tcW w:w="2977" w:type="dxa"/>
            <w:vAlign w:val="center"/>
            <w:textDirection w:val="lrTb"/>
            <w:noWrap w:val="false"/>
          </w:tcPr>
          <w:p>
            <w:pPr>
              <w:spacing w:after="0" w:line="360" w:lineRule="atLeast"/>
              <w:widowControl/>
              <w:rPr>
                <w:rFonts w:ascii="宋体" w:hAnsi="宋体"/>
                <w:sz w:val="24"/>
                <w:highlight w:val="none"/>
              </w:rPr>
            </w:pPr>
            <w:r>
              <w:rPr>
                <w:rFonts w:hint="eastAsia" w:ascii="宋体" w:hAnsi="宋体" w:cs="宋体"/>
                <w:sz w:val="24"/>
                <w:highlight w:val="none"/>
              </w:rPr>
              <w:t xml:space="preserve">单模块比色速度≥2000测试/小时；单模块电解质检测速度≥700测试/小时；电解质为独立单元模块，具有单独的加样针；</w:t>
            </w:r>
            <w:r/>
          </w:p>
        </w:tc>
        <w:tc>
          <w:tcPr>
            <w:tcW w:w="2772" w:type="dxa"/>
            <w:vAlign w:val="center"/>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center"/>
            <w:textDirection w:val="lrTb"/>
            <w:noWrap w:val="false"/>
          </w:tcPr>
          <w:p>
            <w:pPr>
              <w:jc w:val="center"/>
              <w:spacing w:after="0" w:line="360" w:lineRule="atLeast"/>
              <w:widowControl/>
              <w:rPr>
                <w:rFonts w:ascii="宋体" w:hAnsi="宋体"/>
                <w:sz w:val="24"/>
                <w:highlight w:val="none"/>
              </w:rPr>
            </w:pPr>
            <w:r>
              <w:rPr>
                <w:rFonts w:hint="eastAsia" w:ascii="宋体" w:hAnsi="宋体"/>
                <w:sz w:val="24"/>
                <w:highlight w:val="none"/>
              </w:rPr>
              <w:t xml:space="preserve">3</w:t>
            </w:r>
            <w:r/>
          </w:p>
        </w:tc>
        <w:tc>
          <w:tcPr>
            <w:tcW w:w="1996" w:type="dxa"/>
            <w:vAlign w:val="center"/>
            <w:textDirection w:val="lrTb"/>
            <w:noWrap w:val="false"/>
          </w:tcPr>
          <w:p>
            <w:pPr>
              <w:spacing w:after="0" w:line="360" w:lineRule="atLeast"/>
              <w:widowControl/>
              <w:rPr>
                <w:rFonts w:ascii="宋体" w:hAnsi="宋体" w:cs="宋体"/>
                <w:sz w:val="24"/>
                <w:highlight w:val="none"/>
                <w:lang w:bidi="ar"/>
              </w:rPr>
            </w:pPr>
            <w:r>
              <w:rPr>
                <w:rFonts w:hint="eastAsia" w:ascii="宋体" w:hAnsi="宋体" w:cs="宋体"/>
                <w:sz w:val="24"/>
                <w:highlight w:val="none"/>
                <w:lang w:bidi="ar"/>
              </w:rPr>
              <w:t xml:space="preserve">★耗水量</w:t>
            </w:r>
            <w:r/>
          </w:p>
        </w:tc>
        <w:tc>
          <w:tcPr>
            <w:tcW w:w="2977" w:type="dxa"/>
            <w:vAlign w:val="center"/>
            <w:textDirection w:val="lrTb"/>
            <w:noWrap w:val="false"/>
          </w:tcPr>
          <w:p>
            <w:pPr>
              <w:spacing w:after="0" w:line="360" w:lineRule="atLeast"/>
              <w:widowControl/>
              <w:rPr>
                <w:rFonts w:ascii="宋体" w:hAnsi="宋体" w:cs="宋体"/>
                <w:sz w:val="24"/>
                <w:highlight w:val="none"/>
              </w:rPr>
            </w:pPr>
            <w:r>
              <w:rPr>
                <w:rFonts w:hint="eastAsia" w:ascii="宋体" w:hAnsi="宋体" w:cs="宋体"/>
                <w:sz w:val="24"/>
                <w:highlight w:val="none"/>
              </w:rPr>
              <w:t xml:space="preserve">耗水量≤65L/小时</w:t>
            </w:r>
            <w:r/>
          </w:p>
        </w:tc>
        <w:tc>
          <w:tcPr>
            <w:tcW w:w="2772" w:type="dxa"/>
            <w:vAlign w:val="center"/>
            <w:textDirection w:val="lrTb"/>
            <w:noWrap w:val="false"/>
          </w:tcPr>
          <w:p>
            <w:pPr>
              <w:spacing w:after="0" w:line="360" w:lineRule="atLeast"/>
              <w:widowControl/>
              <w:rPr>
                <w:rFonts w:ascii="宋体" w:hAnsi="宋体" w:cs="宋体"/>
                <w:sz w:val="24"/>
                <w:highlight w:val="none"/>
                <w:lang w:bidi="ar"/>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center"/>
            <w:textDirection w:val="lrTb"/>
            <w:noWrap w:val="false"/>
          </w:tcPr>
          <w:p>
            <w:pPr>
              <w:jc w:val="center"/>
              <w:spacing w:after="0" w:line="360" w:lineRule="atLeast"/>
              <w:widowControl/>
              <w:rPr>
                <w:rFonts w:ascii="宋体" w:hAnsi="宋体"/>
                <w:sz w:val="24"/>
                <w:highlight w:val="none"/>
              </w:rPr>
            </w:pPr>
            <w:r>
              <w:rPr>
                <w:rFonts w:ascii="宋体" w:hAnsi="宋体"/>
                <w:sz w:val="24"/>
                <w:highlight w:val="none"/>
              </w:rPr>
              <w:t xml:space="preserve">4</w:t>
            </w:r>
            <w:r/>
          </w:p>
        </w:tc>
        <w:tc>
          <w:tcPr>
            <w:tcW w:w="1996" w:type="dxa"/>
            <w:vAlign w:val="center"/>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分析方法</w:t>
            </w:r>
            <w:r/>
          </w:p>
        </w:tc>
        <w:tc>
          <w:tcPr>
            <w:tcW w:w="2977" w:type="dxa"/>
            <w:vAlign w:val="center"/>
            <w:textDirection w:val="lrTb"/>
            <w:noWrap w:val="false"/>
          </w:tcPr>
          <w:p>
            <w:pPr>
              <w:spacing w:after="0" w:line="360" w:lineRule="atLeast"/>
              <w:widowControl/>
              <w:rPr>
                <w:rFonts w:ascii="宋体" w:hAnsi="宋体"/>
                <w:sz w:val="24"/>
                <w:highlight w:val="none"/>
              </w:rPr>
            </w:pPr>
            <w:r>
              <w:rPr>
                <w:rFonts w:hint="eastAsia" w:ascii="宋体" w:hAnsi="宋体" w:cs="宋体"/>
                <w:sz w:val="24"/>
                <w:highlight w:val="none"/>
              </w:rPr>
              <w:t xml:space="preserve">终点法和速率法</w:t>
            </w:r>
            <w:r/>
          </w:p>
        </w:tc>
        <w:tc>
          <w:tcPr>
            <w:tcW w:w="2772" w:type="dxa"/>
            <w:vAlign w:val="center"/>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center"/>
            <w:textDirection w:val="lrTb"/>
            <w:noWrap w:val="false"/>
          </w:tcPr>
          <w:p>
            <w:pPr>
              <w:jc w:val="center"/>
              <w:spacing w:after="0" w:line="360" w:lineRule="atLeast"/>
              <w:widowControl/>
              <w:rPr>
                <w:rFonts w:ascii="宋体" w:hAnsi="宋体"/>
                <w:sz w:val="24"/>
                <w:highlight w:val="none"/>
              </w:rPr>
            </w:pPr>
            <w:r>
              <w:rPr>
                <w:rFonts w:ascii="宋体" w:hAnsi="宋体"/>
                <w:sz w:val="24"/>
                <w:highlight w:val="none"/>
              </w:rPr>
              <w:t xml:space="preserve">5</w:t>
            </w:r>
            <w:r/>
          </w:p>
        </w:tc>
        <w:tc>
          <w:tcPr>
            <w:tcW w:w="1996" w:type="dxa"/>
            <w:vAlign w:val="center"/>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同时分析项目数</w:t>
            </w:r>
            <w:r/>
          </w:p>
        </w:tc>
        <w:tc>
          <w:tcPr>
            <w:tcW w:w="2977" w:type="dxa"/>
            <w:vAlign w:val="center"/>
            <w:textDirection w:val="lrTb"/>
            <w:noWrap w:val="false"/>
          </w:tcPr>
          <w:p>
            <w:pPr>
              <w:spacing w:after="0" w:line="360" w:lineRule="atLeast"/>
              <w:widowControl/>
              <w:rPr>
                <w:rFonts w:ascii="宋体" w:hAnsi="宋体"/>
                <w:sz w:val="24"/>
                <w:highlight w:val="none"/>
              </w:rPr>
            </w:pPr>
            <w:r>
              <w:rPr>
                <w:rFonts w:hint="eastAsia" w:ascii="宋体" w:hAnsi="宋体" w:cs="宋体"/>
                <w:sz w:val="24"/>
                <w:highlight w:val="none"/>
              </w:rPr>
              <w:t xml:space="preserve">同时比色分析项目≥</w:t>
            </w:r>
            <w:r>
              <w:rPr>
                <w:rFonts w:ascii="宋体" w:hAnsi="宋体" w:cs="宋体"/>
                <w:sz w:val="24"/>
                <w:highlight w:val="none"/>
              </w:rPr>
              <w:t xml:space="preserve">50</w:t>
            </w:r>
            <w:r>
              <w:rPr>
                <w:rFonts w:hint="eastAsia" w:ascii="宋体" w:hAnsi="宋体" w:cs="宋体"/>
                <w:sz w:val="24"/>
                <w:highlight w:val="none"/>
              </w:rPr>
              <w:t xml:space="preserve">项/单模块</w:t>
            </w:r>
            <w:r/>
          </w:p>
        </w:tc>
        <w:tc>
          <w:tcPr>
            <w:tcW w:w="2772" w:type="dxa"/>
            <w:vAlign w:val="center"/>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center"/>
            <w:textDirection w:val="lrTb"/>
            <w:noWrap w:val="false"/>
          </w:tcPr>
          <w:p>
            <w:pPr>
              <w:jc w:val="center"/>
              <w:spacing w:after="0" w:line="360" w:lineRule="atLeast"/>
              <w:widowControl/>
              <w:rPr>
                <w:rFonts w:ascii="宋体" w:hAnsi="宋体" w:cs="宋体"/>
                <w:sz w:val="24"/>
                <w:highlight w:val="none"/>
                <w:lang w:bidi="ar"/>
              </w:rPr>
            </w:pPr>
            <w:r>
              <w:rPr>
                <w:rFonts w:ascii="宋体" w:hAnsi="宋体"/>
                <w:sz w:val="24"/>
                <w:highlight w:val="none"/>
              </w:rPr>
              <w:t xml:space="preserve">6</w:t>
            </w:r>
            <w:r/>
          </w:p>
        </w:tc>
        <w:tc>
          <w:tcPr>
            <w:tcW w:w="1996" w:type="dxa"/>
            <w:vAlign w:val="center"/>
            <w:textDirection w:val="lrTb"/>
            <w:noWrap w:val="false"/>
          </w:tcPr>
          <w:p>
            <w:pPr>
              <w:spacing w:after="0" w:line="360" w:lineRule="atLeast"/>
              <w:widowControl/>
              <w:rPr>
                <w:rFonts w:ascii="宋体" w:hAnsi="宋体" w:cs="宋体"/>
                <w:sz w:val="24"/>
                <w:highlight w:val="none"/>
                <w:lang w:bidi="ar"/>
              </w:rPr>
            </w:pPr>
            <w:r>
              <w:rPr>
                <w:rFonts w:hint="eastAsia" w:ascii="宋体" w:hAnsi="宋体" w:cs="宋体"/>
                <w:sz w:val="24"/>
                <w:highlight w:val="none"/>
                <w:lang w:bidi="ar"/>
              </w:rPr>
              <w:t xml:space="preserve">进样方式</w:t>
            </w:r>
            <w:r/>
          </w:p>
        </w:tc>
        <w:tc>
          <w:tcPr>
            <w:tcW w:w="2977" w:type="dxa"/>
            <w:vAlign w:val="center"/>
            <w:textDirection w:val="lrTb"/>
            <w:noWrap w:val="false"/>
          </w:tcPr>
          <w:p>
            <w:pPr>
              <w:spacing w:after="0" w:line="360" w:lineRule="atLeast"/>
              <w:widowControl/>
              <w:rPr>
                <w:rFonts w:ascii="宋体" w:hAnsi="宋体" w:cs="宋体"/>
                <w:sz w:val="24"/>
                <w:highlight w:val="none"/>
                <w:lang w:bidi="ar"/>
              </w:rPr>
            </w:pPr>
            <w:r>
              <w:rPr>
                <w:rFonts w:hint="eastAsia" w:ascii="宋体" w:hAnsi="宋体" w:cs="宋体"/>
                <w:sz w:val="24"/>
                <w:highlight w:val="none"/>
              </w:rPr>
              <w:t xml:space="preserve">轨道进样，一次装载样本≥300样本，可持续追加样本</w:t>
            </w:r>
            <w:r/>
          </w:p>
        </w:tc>
        <w:tc>
          <w:tcPr>
            <w:tcW w:w="2772" w:type="dxa"/>
            <w:vAlign w:val="center"/>
            <w:textDirection w:val="lrTb"/>
            <w:noWrap w:val="false"/>
          </w:tcPr>
          <w:p>
            <w:pPr>
              <w:spacing w:after="0" w:line="360" w:lineRule="atLeast"/>
              <w:widowControl/>
              <w:rPr>
                <w:rFonts w:ascii="宋体" w:hAnsi="宋体" w:cs="宋体"/>
                <w:sz w:val="24"/>
                <w:highlight w:val="none"/>
                <w:lang w:bidi="ar"/>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center"/>
            <w:textDirection w:val="lrTb"/>
            <w:noWrap w:val="false"/>
          </w:tcPr>
          <w:p>
            <w:pPr>
              <w:jc w:val="center"/>
              <w:spacing w:after="0" w:line="360" w:lineRule="atLeast"/>
              <w:widowControl/>
              <w:rPr>
                <w:rFonts w:ascii="宋体" w:hAnsi="宋体"/>
                <w:sz w:val="24"/>
                <w:highlight w:val="none"/>
              </w:rPr>
            </w:pPr>
            <w:r>
              <w:rPr>
                <w:rFonts w:ascii="宋体" w:hAnsi="宋体"/>
                <w:sz w:val="24"/>
                <w:highlight w:val="none"/>
              </w:rPr>
              <w:t xml:space="preserve">7</w:t>
            </w:r>
            <w:r/>
          </w:p>
        </w:tc>
        <w:tc>
          <w:tcPr>
            <w:tcW w:w="1996" w:type="dxa"/>
            <w:vAlign w:val="center"/>
            <w:textDirection w:val="lrTb"/>
            <w:noWrap w:val="false"/>
          </w:tcPr>
          <w:p>
            <w:pPr>
              <w:spacing w:after="0" w:line="360" w:lineRule="atLeast"/>
              <w:widowControl/>
              <w:rPr>
                <w:rFonts w:ascii="宋体" w:hAnsi="宋体"/>
                <w:sz w:val="24"/>
                <w:highlight w:val="none"/>
              </w:rPr>
            </w:pPr>
            <w:r/>
            <w:bookmarkStart w:id="63" w:name="OLE_LINK9"/>
            <w:r>
              <w:rPr>
                <w:rFonts w:hint="eastAsia" w:ascii="宋体" w:hAnsi="宋体"/>
                <w:sz w:val="24"/>
                <w:highlight w:val="none"/>
              </w:rPr>
              <w:t xml:space="preserve">▲</w:t>
            </w:r>
            <w:r>
              <w:rPr>
                <w:rFonts w:hint="eastAsia" w:ascii="宋体" w:hAnsi="宋体" w:cs="宋体"/>
                <w:sz w:val="24"/>
                <w:highlight w:val="none"/>
                <w:lang w:bidi="ar"/>
              </w:rPr>
              <w:t xml:space="preserve">最小样本量</w:t>
            </w:r>
            <w:bookmarkEnd w:id="63"/>
            <w:r/>
            <w:r/>
          </w:p>
        </w:tc>
        <w:tc>
          <w:tcPr>
            <w:tcW w:w="2977" w:type="dxa"/>
            <w:vAlign w:val="center"/>
            <w:textDirection w:val="lrTb"/>
            <w:noWrap w:val="false"/>
          </w:tcPr>
          <w:p>
            <w:pPr>
              <w:spacing w:after="0" w:line="360" w:lineRule="atLeast"/>
              <w:widowControl/>
              <w:rPr>
                <w:rFonts w:ascii="宋体" w:hAnsi="宋体"/>
                <w:sz w:val="24"/>
                <w:highlight w:val="none"/>
              </w:rPr>
            </w:pPr>
            <w:r>
              <w:rPr>
                <w:rFonts w:hint="eastAsia" w:ascii="宋体" w:hAnsi="宋体" w:cs="宋体"/>
                <w:sz w:val="24"/>
                <w:highlight w:val="none"/>
              </w:rPr>
              <w:t xml:space="preserve">≤1.2</w:t>
            </w:r>
            <w:r>
              <w:rPr>
                <w:rFonts w:ascii="Times New Roman" w:hAnsi="Times New Roman" w:cs="Times New Roman"/>
                <w:sz w:val="24"/>
                <w:highlight w:val="none"/>
              </w:rPr>
              <w:t xml:space="preserve">μL</w:t>
            </w:r>
            <w:r>
              <w:rPr>
                <w:rFonts w:hint="eastAsia" w:ascii="宋体" w:hAnsi="宋体" w:cs="宋体"/>
                <w:sz w:val="24"/>
                <w:highlight w:val="none"/>
              </w:rPr>
              <w:t xml:space="preserve">/测试（0.1</w:t>
            </w:r>
            <w:r>
              <w:rPr>
                <w:rFonts w:ascii="Times New Roman" w:hAnsi="Times New Roman" w:cs="Times New Roman"/>
                <w:sz w:val="24"/>
                <w:highlight w:val="none"/>
              </w:rPr>
              <w:t xml:space="preserve">μL</w:t>
            </w:r>
            <w:r>
              <w:rPr>
                <w:rFonts w:hint="eastAsia" w:ascii="宋体" w:hAnsi="宋体" w:cs="宋体"/>
                <w:sz w:val="24"/>
                <w:highlight w:val="none"/>
              </w:rPr>
              <w:t xml:space="preserve">步进)</w:t>
            </w:r>
            <w:r/>
          </w:p>
        </w:tc>
        <w:tc>
          <w:tcPr>
            <w:tcW w:w="2772" w:type="dxa"/>
            <w:vAlign w:val="center"/>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top"/>
            <w:textDirection w:val="lrTb"/>
            <w:noWrap w:val="false"/>
          </w:tcPr>
          <w:p>
            <w:pPr>
              <w:jc w:val="center"/>
              <w:spacing w:after="0" w:line="360" w:lineRule="atLeast"/>
              <w:widowControl/>
              <w:rPr>
                <w:rFonts w:ascii="宋体" w:hAnsi="宋体"/>
                <w:highlight w:val="none"/>
              </w:rPr>
            </w:pPr>
            <w:r>
              <w:rPr>
                <w:rFonts w:ascii="宋体" w:hAnsi="宋体"/>
                <w:highlight w:val="none"/>
              </w:rPr>
              <w:t xml:space="preserve">8</w:t>
            </w:r>
            <w:r/>
          </w:p>
        </w:tc>
        <w:tc>
          <w:tcPr>
            <w:tcW w:w="1996"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▲最小反应体积</w:t>
            </w:r>
            <w:r/>
          </w:p>
        </w:tc>
        <w:tc>
          <w:tcPr>
            <w:tcW w:w="2977" w:type="dxa"/>
            <w:vAlign w:val="top"/>
            <w:textDirection w:val="lrTb"/>
            <w:noWrap w:val="false"/>
          </w:tcPr>
          <w:p>
            <w:pPr>
              <w:spacing w:after="0" w:line="360" w:lineRule="atLeast"/>
              <w:widowControl/>
              <w:rPr>
                <w:rFonts w:ascii="宋体" w:hAnsi="宋体"/>
                <w:sz w:val="24"/>
                <w:highlight w:val="none"/>
              </w:rPr>
            </w:pPr>
            <w:r/>
            <w:bookmarkStart w:id="64" w:name="OLE_LINK14"/>
            <w:r>
              <w:rPr>
                <w:rFonts w:hint="eastAsia" w:ascii="宋体" w:hAnsi="宋体"/>
                <w:sz w:val="24"/>
                <w:highlight w:val="none"/>
              </w:rPr>
              <w:t xml:space="preserve">最小总反应体积≤80</w:t>
            </w:r>
            <w:r>
              <w:rPr>
                <w:rFonts w:ascii="Times New Roman" w:hAnsi="Times New Roman" w:cs="Times New Roman"/>
                <w:sz w:val="24"/>
                <w:highlight w:val="none"/>
              </w:rPr>
              <w:t xml:space="preserve">μL</w:t>
            </w:r>
            <w:bookmarkEnd w:id="64"/>
            <w:r/>
            <w:r/>
          </w:p>
        </w:tc>
        <w:tc>
          <w:tcPr>
            <w:tcW w:w="2772" w:type="dxa"/>
            <w:vAlign w:val="top"/>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top"/>
            <w:textDirection w:val="lrTb"/>
            <w:noWrap w:val="false"/>
          </w:tcPr>
          <w:p>
            <w:pPr>
              <w:jc w:val="center"/>
              <w:spacing w:after="0" w:line="360" w:lineRule="atLeast"/>
              <w:widowControl/>
              <w:rPr>
                <w:rFonts w:ascii="宋体" w:hAnsi="宋体"/>
                <w:highlight w:val="none"/>
              </w:rPr>
            </w:pPr>
            <w:r>
              <w:rPr>
                <w:rFonts w:ascii="宋体" w:hAnsi="宋体"/>
                <w:highlight w:val="none"/>
              </w:rPr>
              <w:t xml:space="preserve">9</w:t>
            </w:r>
            <w:r/>
          </w:p>
        </w:tc>
        <w:tc>
          <w:tcPr>
            <w:tcW w:w="1996"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恒温系统</w:t>
            </w:r>
            <w:r/>
          </w:p>
        </w:tc>
        <w:tc>
          <w:tcPr>
            <w:tcW w:w="2977" w:type="dxa"/>
            <w:vAlign w:val="top"/>
            <w:textDirection w:val="lrTb"/>
            <w:noWrap w:val="false"/>
          </w:tcPr>
          <w:p>
            <w:pPr>
              <w:spacing w:after="0" w:line="360" w:lineRule="atLeast"/>
              <w:widowControl/>
              <w:rPr>
                <w:rFonts w:ascii="宋体" w:hAnsi="宋体"/>
                <w:sz w:val="24"/>
                <w:highlight w:val="none"/>
              </w:rPr>
            </w:pPr>
            <w:r/>
            <w:bookmarkStart w:id="65" w:name="OLE_LINK13"/>
            <w:r>
              <w:rPr>
                <w:rFonts w:hint="eastAsia" w:ascii="宋体" w:hAnsi="宋体"/>
                <w:sz w:val="24"/>
                <w:highlight w:val="none"/>
              </w:rPr>
              <w:t xml:space="preserve">循环水浴恒温或干式孵育，控温精度37℃±0.1℃</w:t>
            </w:r>
            <w:bookmarkEnd w:id="65"/>
            <w:r/>
            <w:r/>
          </w:p>
        </w:tc>
        <w:tc>
          <w:tcPr>
            <w:tcW w:w="2772" w:type="dxa"/>
            <w:vAlign w:val="top"/>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top"/>
            <w:textDirection w:val="lrTb"/>
            <w:noWrap w:val="false"/>
          </w:tcPr>
          <w:p>
            <w:pPr>
              <w:jc w:val="center"/>
              <w:spacing w:after="0" w:line="360" w:lineRule="atLeast"/>
              <w:widowControl/>
              <w:rPr>
                <w:rFonts w:ascii="宋体" w:hAnsi="宋体"/>
                <w:highlight w:val="none"/>
              </w:rPr>
            </w:pPr>
            <w:r>
              <w:rPr>
                <w:rFonts w:ascii="宋体" w:hAnsi="宋体"/>
                <w:highlight w:val="none"/>
              </w:rPr>
              <w:t xml:space="preserve">10</w:t>
            </w:r>
            <w:r/>
          </w:p>
        </w:tc>
        <w:tc>
          <w:tcPr>
            <w:tcW w:w="1996"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反应时间</w:t>
            </w:r>
            <w:r/>
          </w:p>
        </w:tc>
        <w:tc>
          <w:tcPr>
            <w:tcW w:w="2977"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≤10分钟</w:t>
            </w:r>
            <w:r/>
          </w:p>
        </w:tc>
        <w:tc>
          <w:tcPr>
            <w:tcW w:w="2772" w:type="dxa"/>
            <w:vAlign w:val="top"/>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top"/>
            <w:textDirection w:val="lrTb"/>
            <w:noWrap w:val="false"/>
          </w:tcPr>
          <w:p>
            <w:pPr>
              <w:jc w:val="center"/>
              <w:spacing w:after="0" w:line="360" w:lineRule="atLeast"/>
              <w:widowControl/>
              <w:rPr>
                <w:rFonts w:ascii="宋体" w:hAnsi="宋体"/>
                <w:highlight w:val="none"/>
              </w:rPr>
            </w:pPr>
            <w:r>
              <w:rPr>
                <w:rFonts w:ascii="宋体" w:hAnsi="宋体"/>
                <w:highlight w:val="none"/>
              </w:rPr>
              <w:t xml:space="preserve">11</w:t>
            </w:r>
            <w:r/>
          </w:p>
        </w:tc>
        <w:tc>
          <w:tcPr>
            <w:tcW w:w="1996"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▲测试波长</w:t>
            </w:r>
            <w:r/>
          </w:p>
        </w:tc>
        <w:tc>
          <w:tcPr>
            <w:tcW w:w="2977"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≥12种波长，可进行单/双波长测试</w:t>
            </w:r>
            <w:r/>
          </w:p>
        </w:tc>
        <w:tc>
          <w:tcPr>
            <w:tcW w:w="2772" w:type="dxa"/>
            <w:vAlign w:val="top"/>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top"/>
            <w:textDirection w:val="lrTb"/>
            <w:noWrap w:val="false"/>
          </w:tcPr>
          <w:p>
            <w:pPr>
              <w:jc w:val="center"/>
              <w:spacing w:after="0" w:line="360" w:lineRule="atLeast"/>
              <w:widowControl/>
              <w:rPr>
                <w:rFonts w:ascii="宋体" w:hAnsi="宋体"/>
                <w:highlight w:val="none"/>
              </w:rPr>
            </w:pPr>
            <w:r>
              <w:rPr>
                <w:rFonts w:ascii="宋体" w:hAnsi="宋体"/>
                <w:highlight w:val="none"/>
              </w:rPr>
              <w:t xml:space="preserve">12</w:t>
            </w:r>
            <w:r/>
          </w:p>
        </w:tc>
        <w:tc>
          <w:tcPr>
            <w:tcW w:w="1996" w:type="dxa"/>
            <w:vAlign w:val="top"/>
            <w:textDirection w:val="lrTb"/>
            <w:noWrap w:val="false"/>
          </w:tcPr>
          <w:p>
            <w:pPr>
              <w:spacing w:after="0" w:line="360" w:lineRule="atLeast"/>
              <w:widowControl/>
              <w:rPr>
                <w:rFonts w:ascii="宋体" w:hAnsi="宋体"/>
                <w:sz w:val="24"/>
                <w:highlight w:val="none"/>
              </w:rPr>
            </w:pPr>
            <w:r/>
            <w:bookmarkStart w:id="66" w:name="OLE_LINK16"/>
            <w:r/>
            <w:bookmarkStart w:id="67" w:name="OLE_LINK15"/>
            <w:r>
              <w:rPr>
                <w:rFonts w:hint="eastAsia" w:ascii="宋体" w:hAnsi="宋体"/>
                <w:sz w:val="24"/>
                <w:highlight w:val="none"/>
              </w:rPr>
              <w:t xml:space="preserve">搅拌方式</w:t>
            </w:r>
            <w:bookmarkEnd w:id="66"/>
            <w:r/>
            <w:bookmarkEnd w:id="67"/>
            <w:r/>
            <w:r/>
          </w:p>
        </w:tc>
        <w:tc>
          <w:tcPr>
            <w:tcW w:w="2977" w:type="dxa"/>
            <w:vAlign w:val="top"/>
            <w:textDirection w:val="lrTb"/>
            <w:noWrap w:val="false"/>
          </w:tcPr>
          <w:p>
            <w:pPr>
              <w:spacing w:after="0" w:line="360" w:lineRule="atLeast"/>
              <w:widowControl/>
              <w:rPr>
                <w:rFonts w:ascii="宋体" w:hAnsi="宋体"/>
                <w:sz w:val="24"/>
                <w:highlight w:val="none"/>
              </w:rPr>
            </w:pPr>
            <w:r/>
            <w:bookmarkStart w:id="68" w:name="OLE_LINK17"/>
            <w:r>
              <w:rPr>
                <w:rFonts w:hint="eastAsia" w:ascii="宋体" w:hAnsi="宋体"/>
                <w:sz w:val="24"/>
                <w:highlight w:val="none"/>
              </w:rPr>
              <w:t xml:space="preserve">非接触式超声波搅拌</w:t>
            </w:r>
            <w:bookmarkEnd w:id="68"/>
            <w:r>
              <w:rPr>
                <w:rFonts w:hint="eastAsia" w:ascii="宋体" w:hAnsi="宋体"/>
                <w:sz w:val="24"/>
                <w:highlight w:val="none"/>
              </w:rPr>
              <w:t xml:space="preserve">或搅拌棒</w:t>
            </w:r>
            <w:r/>
          </w:p>
        </w:tc>
        <w:tc>
          <w:tcPr>
            <w:tcW w:w="2772" w:type="dxa"/>
            <w:vAlign w:val="top"/>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top"/>
            <w:textDirection w:val="lrTb"/>
            <w:noWrap w:val="false"/>
          </w:tcPr>
          <w:p>
            <w:pPr>
              <w:jc w:val="center"/>
              <w:spacing w:after="0" w:line="360" w:lineRule="atLeast"/>
              <w:widowControl/>
              <w:rPr>
                <w:rFonts w:ascii="宋体" w:hAnsi="宋体"/>
                <w:highlight w:val="none"/>
              </w:rPr>
            </w:pPr>
            <w:r>
              <w:rPr>
                <w:rFonts w:ascii="宋体" w:hAnsi="宋体"/>
                <w:highlight w:val="none"/>
              </w:rPr>
              <w:t xml:space="preserve">13</w:t>
            </w:r>
            <w:r/>
          </w:p>
        </w:tc>
        <w:tc>
          <w:tcPr>
            <w:tcW w:w="1996"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反应杯</w:t>
            </w:r>
            <w:r/>
          </w:p>
        </w:tc>
        <w:tc>
          <w:tcPr>
            <w:tcW w:w="2977"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UV塑料杯或石英玻璃反应杯</w:t>
            </w:r>
            <w:r/>
          </w:p>
        </w:tc>
        <w:tc>
          <w:tcPr>
            <w:tcW w:w="2772" w:type="dxa"/>
            <w:vAlign w:val="top"/>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top"/>
            <w:textDirection w:val="lrTb"/>
            <w:noWrap w:val="false"/>
          </w:tcPr>
          <w:p>
            <w:pPr>
              <w:jc w:val="center"/>
              <w:spacing w:after="0" w:line="360" w:lineRule="atLeast"/>
              <w:widowControl/>
              <w:rPr>
                <w:rFonts w:ascii="宋体" w:hAnsi="宋体"/>
                <w:highlight w:val="none"/>
              </w:rPr>
            </w:pPr>
            <w:r>
              <w:rPr>
                <w:rFonts w:ascii="宋体" w:hAnsi="宋体"/>
                <w:highlight w:val="none"/>
              </w:rPr>
              <w:t xml:space="preserve">14</w:t>
            </w:r>
            <w:r/>
          </w:p>
        </w:tc>
        <w:tc>
          <w:tcPr>
            <w:tcW w:w="1996"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▲检堵功能</w:t>
            </w:r>
            <w:r/>
          </w:p>
        </w:tc>
        <w:tc>
          <w:tcPr>
            <w:tcW w:w="2977"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自动检测吸样时的异常并发出警报，全程检测气泡、堵塞、空吸等功能</w:t>
            </w:r>
            <w:r/>
          </w:p>
        </w:tc>
        <w:tc>
          <w:tcPr>
            <w:tcW w:w="2772" w:type="dxa"/>
            <w:vAlign w:val="top"/>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top"/>
            <w:textDirection w:val="lrTb"/>
            <w:noWrap w:val="false"/>
          </w:tcPr>
          <w:p>
            <w:pPr>
              <w:jc w:val="center"/>
              <w:spacing w:after="0" w:line="360" w:lineRule="atLeast"/>
              <w:widowControl/>
              <w:rPr>
                <w:rFonts w:ascii="宋体" w:hAnsi="宋体"/>
                <w:highlight w:val="none"/>
              </w:rPr>
            </w:pPr>
            <w:r>
              <w:rPr>
                <w:rFonts w:ascii="宋体" w:hAnsi="宋体"/>
                <w:highlight w:val="none"/>
              </w:rPr>
              <w:t xml:space="preserve">15</w:t>
            </w:r>
            <w:r/>
          </w:p>
        </w:tc>
        <w:tc>
          <w:tcPr>
            <w:tcW w:w="1996"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▲检测功能</w:t>
            </w:r>
            <w:r/>
          </w:p>
        </w:tc>
        <w:tc>
          <w:tcPr>
            <w:tcW w:w="2977"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全反应过程监测、可同一画面显示多标本反应曲线，便于异常结果分析，校准结果追踪功能</w:t>
            </w:r>
            <w:r/>
          </w:p>
        </w:tc>
        <w:tc>
          <w:tcPr>
            <w:tcW w:w="2772" w:type="dxa"/>
            <w:vAlign w:val="top"/>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top"/>
            <w:textDirection w:val="lrTb"/>
            <w:noWrap w:val="false"/>
          </w:tcPr>
          <w:p>
            <w:pPr>
              <w:jc w:val="center"/>
              <w:spacing w:after="0" w:line="360" w:lineRule="atLeast"/>
              <w:widowControl/>
              <w:rPr>
                <w:rFonts w:ascii="宋体" w:hAnsi="宋体"/>
                <w:highlight w:val="none"/>
              </w:rPr>
            </w:pPr>
            <w:r>
              <w:rPr>
                <w:rFonts w:ascii="宋体" w:hAnsi="宋体"/>
                <w:highlight w:val="none"/>
              </w:rPr>
              <w:t xml:space="preserve">16</w:t>
            </w:r>
            <w:r/>
          </w:p>
        </w:tc>
        <w:tc>
          <w:tcPr>
            <w:tcW w:w="1996"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校准功能</w:t>
            </w:r>
            <w:r/>
          </w:p>
        </w:tc>
        <w:tc>
          <w:tcPr>
            <w:tcW w:w="2977"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线性和多种非线性校准方式可选</w:t>
            </w:r>
            <w:r/>
          </w:p>
        </w:tc>
        <w:tc>
          <w:tcPr>
            <w:tcW w:w="2772" w:type="dxa"/>
            <w:vAlign w:val="top"/>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top"/>
            <w:textDirection w:val="lrTb"/>
            <w:noWrap w:val="false"/>
          </w:tcPr>
          <w:p>
            <w:pPr>
              <w:jc w:val="center"/>
              <w:spacing w:after="0" w:line="360" w:lineRule="atLeast"/>
              <w:widowControl/>
              <w:rPr>
                <w:rFonts w:ascii="宋体" w:hAnsi="宋体"/>
                <w:highlight w:val="none"/>
              </w:rPr>
            </w:pPr>
            <w:r>
              <w:rPr>
                <w:rFonts w:ascii="宋体" w:hAnsi="宋体"/>
                <w:highlight w:val="none"/>
              </w:rPr>
              <w:t xml:space="preserve">17</w:t>
            </w:r>
            <w:r/>
          </w:p>
        </w:tc>
        <w:tc>
          <w:tcPr>
            <w:tcW w:w="1996"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安全保证</w:t>
            </w:r>
            <w:r/>
          </w:p>
        </w:tc>
        <w:tc>
          <w:tcPr>
            <w:tcW w:w="2977"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全过程凝块检测功能，针碰撞保护功能等</w:t>
            </w:r>
            <w:r/>
          </w:p>
        </w:tc>
        <w:tc>
          <w:tcPr>
            <w:tcW w:w="2772" w:type="dxa"/>
            <w:vAlign w:val="top"/>
            <w:textDirection w:val="lrTb"/>
            <w:noWrap w:val="false"/>
          </w:tcPr>
          <w:p>
            <w:pPr>
              <w:spacing w:after="0"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p>
        </w:tc>
      </w:tr>
      <w:tr>
        <w:trPr/>
        <w:tc>
          <w:tcPr>
            <w:tcW w:w="551" w:type="dxa"/>
            <w:vAlign w:val="top"/>
            <w:textDirection w:val="lrTb"/>
            <w:noWrap w:val="false"/>
          </w:tcPr>
          <w:p>
            <w:pPr>
              <w:jc w:val="center"/>
              <w:spacing w:after="0" w:line="360" w:lineRule="atLeast"/>
              <w:widowControl/>
              <w:rPr>
                <w:rFonts w:ascii="宋体" w:hAnsi="宋体"/>
                <w:highlight w:val="none"/>
              </w:rPr>
            </w:pPr>
            <w:r>
              <w:rPr>
                <w:rFonts w:ascii="宋体" w:hAnsi="宋体"/>
                <w:highlight w:val="none"/>
              </w:rPr>
              <w:t xml:space="preserve">18</w:t>
            </w:r>
            <w:r/>
          </w:p>
        </w:tc>
        <w:tc>
          <w:tcPr>
            <w:tcW w:w="1996"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工作条件</w:t>
            </w:r>
            <w:r/>
          </w:p>
        </w:tc>
        <w:tc>
          <w:tcPr>
            <w:tcW w:w="2977" w:type="dxa"/>
            <w:vAlign w:val="top"/>
            <w:textDirection w:val="lrTb"/>
            <w:noWrap w:val="false"/>
          </w:tcPr>
          <w:p>
            <w:pPr>
              <w:spacing w:after="0" w:line="360" w:lineRule="atLeast"/>
              <w:widowControl/>
              <w:rPr>
                <w:rFonts w:ascii="宋体" w:hAnsi="宋体"/>
                <w:color w:val="ff0000"/>
                <w:sz w:val="24"/>
                <w:highlight w:val="none"/>
              </w:rPr>
            </w:pPr>
            <w:r>
              <w:rPr>
                <w:rFonts w:hint="eastAsia" w:ascii="宋体" w:hAnsi="宋体"/>
                <w:sz w:val="24"/>
                <w:highlight w:val="none"/>
              </w:rPr>
              <w:t xml:space="preserve">温度18-32°C，湿度35%-8</w:t>
            </w:r>
            <w:r>
              <w:rPr>
                <w:rFonts w:ascii="宋体" w:hAnsi="宋体"/>
                <w:sz w:val="24"/>
                <w:highlight w:val="none"/>
              </w:rPr>
              <w:t xml:space="preserve">0</w:t>
            </w:r>
            <w:r>
              <w:rPr>
                <w:rFonts w:hint="eastAsia" w:ascii="宋体" w:hAnsi="宋体"/>
                <w:sz w:val="24"/>
                <w:highlight w:val="none"/>
              </w:rPr>
              <w:t xml:space="preserve">%</w:t>
            </w:r>
            <w:r/>
          </w:p>
        </w:tc>
        <w:tc>
          <w:tcPr>
            <w:tcW w:w="2772"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适配中心诊室现有环境</w:t>
            </w:r>
            <w:r/>
          </w:p>
        </w:tc>
      </w:tr>
      <w:tr>
        <w:trPr/>
        <w:tc>
          <w:tcPr>
            <w:tcW w:w="551" w:type="dxa"/>
            <w:vAlign w:val="top"/>
            <w:textDirection w:val="lrTb"/>
            <w:noWrap w:val="false"/>
          </w:tcPr>
          <w:p>
            <w:pPr>
              <w:jc w:val="center"/>
              <w:spacing w:after="0" w:line="360" w:lineRule="atLeast"/>
              <w:widowControl/>
              <w:rPr>
                <w:rFonts w:ascii="宋体" w:hAnsi="宋体"/>
                <w:highlight w:val="none"/>
              </w:rPr>
            </w:pPr>
            <w:r>
              <w:rPr>
                <w:rFonts w:ascii="宋体" w:hAnsi="宋体"/>
                <w:highlight w:val="none"/>
              </w:rPr>
              <w:t xml:space="preserve">19</w:t>
            </w:r>
            <w:r/>
          </w:p>
        </w:tc>
        <w:tc>
          <w:tcPr>
            <w:tcW w:w="1996"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试剂系统</w:t>
            </w:r>
            <w:r/>
          </w:p>
        </w:tc>
        <w:tc>
          <w:tcPr>
            <w:tcW w:w="2977"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试剂支持全开放</w:t>
            </w:r>
            <w:r/>
          </w:p>
        </w:tc>
        <w:tc>
          <w:tcPr>
            <w:tcW w:w="2772" w:type="dxa"/>
            <w:vAlign w:val="top"/>
            <w:textDirection w:val="lrTb"/>
            <w:noWrap w:val="false"/>
          </w:tcPr>
          <w:p>
            <w:pPr>
              <w:spacing w:after="0" w:line="360" w:lineRule="atLeast"/>
              <w:widowControl/>
              <w:rPr>
                <w:rFonts w:ascii="宋体" w:hAnsi="宋体"/>
                <w:sz w:val="24"/>
                <w:highlight w:val="none"/>
              </w:rPr>
            </w:pPr>
            <w:r>
              <w:rPr>
                <w:rFonts w:hint="eastAsia" w:ascii="宋体" w:hAnsi="宋体"/>
                <w:sz w:val="24"/>
                <w:highlight w:val="none"/>
              </w:rPr>
              <w:t xml:space="preserve">提供承诺函</w:t>
            </w:r>
            <w:r/>
          </w:p>
        </w:tc>
      </w:tr>
    </w:tbl>
    <w:p>
      <w:pPr>
        <w:pStyle w:val="711"/>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（三）设备配套要求</w:t>
      </w:r>
      <w:r/>
    </w:p>
    <w:p>
      <w:pPr>
        <w:pStyle w:val="711"/>
        <w:ind w:firstLine="480"/>
        <w:jc w:val="left"/>
        <w:keepLines w:val="0"/>
        <w:keepNext w:val="0"/>
        <w:pageBreakBefore w:val="0"/>
        <w:spacing w:beforeAutospacing="0" w:afterAutospacing="0" w:line="360" w:lineRule="auto"/>
        <w:widowControl/>
        <w:rPr>
          <w:b w:val="0"/>
          <w:sz w:val="24"/>
          <w:szCs w:val="24"/>
          <w:highlight w:val="none"/>
        </w:rPr>
      </w:pPr>
      <w:r>
        <w:rPr>
          <w:b w:val="0"/>
          <w:sz w:val="24"/>
          <w:highlight w:val="none"/>
        </w:rPr>
        <w:t xml:space="preserve">1.标准配件：需随设备提供全套原厂标准配件（</w:t>
      </w:r>
      <w:bookmarkStart w:id="69" w:name="OLE_LINK1"/>
      <w:r>
        <w:rPr>
          <w:b w:val="0"/>
          <w:sz w:val="24"/>
          <w:highlight w:val="none"/>
        </w:rPr>
        <w:t xml:space="preserve">包括但不限于</w:t>
      </w:r>
      <w:bookmarkEnd w:id="69"/>
      <w:r>
        <w:rPr>
          <w:b w:val="0"/>
          <w:sz w:val="24"/>
          <w:highlight w:val="none"/>
        </w:rPr>
        <w:t xml:space="preserve">样本针、试剂针、比色杯、冲洗管路等），配件为全新原厂正品，与主机完全匹配；</w:t>
      </w:r>
      <w:r/>
    </w:p>
    <w:p>
      <w:pPr>
        <w:ind w:firstLine="480"/>
        <w:jc w:val="left"/>
        <w:keepLines w:val="0"/>
        <w:keepNext w:val="0"/>
        <w:pageBreakBefore w:val="0"/>
        <w:spacing w:line="360" w:lineRule="auto"/>
        <w:widowControl/>
        <w:tabs>
          <w:tab w:val="left" w:pos="720" w:leader="none"/>
        </w:tabs>
        <w:rPr>
          <w:sz w:val="24"/>
          <w:highlight w:val="none"/>
        </w:rPr>
      </w:pPr>
      <w:r>
        <w:rPr>
          <w:rFonts w:hint="eastAsia"/>
          <w:sz w:val="24"/>
          <w:highlight w:val="none"/>
        </w:rPr>
        <w:t xml:space="preserve">2</w:t>
      </w:r>
      <w:r>
        <w:rPr>
          <w:sz w:val="24"/>
          <w:highlight w:val="none"/>
        </w:rPr>
        <w:t xml:space="preserve">.首次耗材：免费提供满足设备正常运行 3 个月的专用配套耗材</w:t>
      </w:r>
      <w:r>
        <w:rPr>
          <w:rFonts w:hint="eastAsia"/>
          <w:sz w:val="24"/>
          <w:highlight w:val="none"/>
        </w:rPr>
        <w:t xml:space="preserve">（</w:t>
      </w:r>
      <w:r>
        <w:rPr>
          <w:sz w:val="24"/>
          <w:highlight w:val="none"/>
        </w:rPr>
        <w:t xml:space="preserve">包括但不限于</w:t>
      </w:r>
      <w:r>
        <w:rPr>
          <w:rFonts w:hint="eastAsia"/>
          <w:sz w:val="24"/>
          <w:highlight w:val="none"/>
        </w:rPr>
        <w:t xml:space="preserve">灯泡、比色杯和清洗液等</w:t>
      </w:r>
      <w:r>
        <w:rPr>
          <w:sz w:val="24"/>
          <w:highlight w:val="none"/>
        </w:rPr>
        <w:t xml:space="preserve">），耗材符合国家相关质量标准；</w:t>
      </w:r>
      <w:r/>
    </w:p>
    <w:p>
      <w:pPr>
        <w:ind w:firstLine="480"/>
        <w:jc w:val="left"/>
        <w:keepLines w:val="0"/>
        <w:keepNext w:val="0"/>
        <w:pageBreakBefore w:val="0"/>
        <w:spacing w:line="360" w:lineRule="auto"/>
        <w:widowControl/>
        <w:tabs>
          <w:tab w:val="left" w:pos="720" w:leader="none"/>
        </w:tabs>
        <w:rPr>
          <w:sz w:val="24"/>
          <w:highlight w:val="none"/>
        </w:rPr>
      </w:pPr>
      <w:r>
        <w:rPr>
          <w:rFonts w:hint="eastAsia"/>
          <w:sz w:val="24"/>
          <w:highlight w:val="none"/>
        </w:rPr>
        <w:t xml:space="preserve">3</w:t>
      </w:r>
      <w:r>
        <w:rPr>
          <w:sz w:val="24"/>
          <w:highlight w:val="none"/>
        </w:rPr>
        <w:t xml:space="preserve">.技术资料：每套设备需提供完整的技术资料，包括但不限于：原厂产品说明书、操作手册、维修手册、校准规范、产品合格证、检测报告、保修卡等（纸质版≥</w:t>
      </w:r>
      <w:r>
        <w:rPr>
          <w:rFonts w:hint="eastAsia"/>
          <w:sz w:val="24"/>
          <w:highlight w:val="none"/>
        </w:rPr>
        <w:t xml:space="preserve">1</w:t>
      </w:r>
      <w:r>
        <w:rPr>
          <w:sz w:val="24"/>
          <w:highlight w:val="none"/>
        </w:rPr>
        <w:t xml:space="preserve"> 套，电子版 1 套）。</w:t>
      </w:r>
      <w:r/>
    </w:p>
    <w:p>
      <w:pPr>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sz w:val="24"/>
          <w:highlight w:val="none"/>
        </w:rPr>
        <w:t xml:space="preserve">4</w:t>
      </w:r>
      <w:r>
        <w:rPr>
          <w:sz w:val="24"/>
          <w:highlight w:val="none"/>
        </w:rPr>
        <w:t xml:space="preserve">.</w:t>
      </w:r>
      <w:r>
        <w:rPr>
          <w:rFonts w:hint="eastAsia"/>
          <w:sz w:val="24"/>
          <w:highlight w:val="none"/>
        </w:rPr>
        <w:t xml:space="preserve">配套设备：提供适配单机生化仪器的</w:t>
      </w:r>
      <w:r>
        <w:rPr>
          <w:sz w:val="24"/>
          <w:highlight w:val="none"/>
        </w:rPr>
        <w:t xml:space="preserve">100L</w:t>
      </w:r>
      <w:r>
        <w:rPr>
          <w:rFonts w:hint="eastAsia"/>
          <w:sz w:val="24"/>
          <w:highlight w:val="none"/>
        </w:rPr>
        <w:t xml:space="preserve">纯水机、工频6KV稳压电源（UPS）和中文工作站各一台</w:t>
      </w:r>
      <w:r>
        <w:rPr>
          <w:rFonts w:hint="eastAsia" w:ascii="宋体" w:hAnsi="宋体" w:eastAsia="宋体" w:cs="宋体"/>
          <w:color w:val="000000"/>
          <w:sz w:val="24"/>
          <w:szCs w:val="24"/>
          <w:highlight w:val="none"/>
        </w:rPr>
        <w:t xml:space="preserve">。</w:t>
      </w:r>
      <w:r/>
    </w:p>
    <w:p>
      <w:pPr>
        <w:pStyle w:val="710"/>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三、供货及安装调试要求</w:t>
      </w:r>
      <w:r/>
    </w:p>
    <w:p>
      <w:pPr>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1.供货要求：① 设备为</w:t>
      </w:r>
      <w:r>
        <w:rPr>
          <w:rStyle w:val="743"/>
          <w:rFonts w:hint="eastAsia" w:ascii="宋体" w:hAnsi="宋体" w:eastAsia="宋体" w:cs="宋体"/>
          <w:bCs/>
          <w:color w:val="000000"/>
          <w:sz w:val="24"/>
          <w:szCs w:val="24"/>
          <w:highlight w:val="none"/>
        </w:rPr>
        <w:t xml:space="preserve">全新未拆封原厂正品</w:t>
      </w:r>
      <w:r>
        <w:rPr>
          <w:rFonts w:hint="eastAsia" w:ascii="宋体" w:hAnsi="宋体" w:eastAsia="宋体" w:cs="宋体"/>
          <w:color w:val="000000"/>
          <w:sz w:val="24"/>
          <w:szCs w:val="24"/>
          <w:highlight w:val="none"/>
        </w:rPr>
        <w:t xml:space="preserve">，无翻新、组装、贴牌情况，需提供厂家原厂供货证明及产品合格证；② 供货周期为合同签订后</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个工作日内，送货至采购人指定地点（</w:t>
      </w:r>
      <w:bookmarkStart w:id="70" w:name="OLE_LINK68"/>
      <w:r>
        <w:rPr>
          <w:rFonts w:hint="eastAsia" w:ascii="宋体" w:hAnsi="宋体" w:eastAsia="宋体" w:cs="宋体"/>
          <w:color w:val="000000"/>
          <w:sz w:val="24"/>
          <w:szCs w:val="24"/>
          <w:highlight w:val="none"/>
          <w:u w:val="single"/>
        </w:rPr>
        <w:t xml:space="preserve">预防医学健康服务科</w:t>
      </w:r>
      <w:bookmarkEnd w:id="70"/>
      <w:r>
        <w:rPr>
          <w:rFonts w:hint="eastAsia" w:ascii="宋体" w:hAnsi="宋体" w:eastAsia="宋体" w:cs="宋体"/>
          <w:color w:val="000000"/>
          <w:sz w:val="24"/>
          <w:szCs w:val="24"/>
          <w:highlight w:val="none"/>
        </w:rPr>
        <w:t xml:space="preserve">）；③ 运输过程中需做好防震、防潮、防损防护，若出现设备损坏、配件缺失，由供应商无条件更换并承担全部费用。</w:t>
      </w:r>
      <w:r/>
    </w:p>
    <w:p>
      <w:pPr>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2.安装调试：① 供应商需安排具备相应资质的专业技术人员上门安装调试，在设备到货后_</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rPr>
        <w:t xml:space="preserve">个工作日内完成安装、调试、校准工作，确保设备各项指标达到本需求书约定标准；② 安装调试过程中需遵守采购人实验室管理规定，做好现场防护，避免对现有设备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环境造成损坏；③ 设备安装调试完成后，需向采购人提供安装调试报告，明确设备运行指标及校准结果。</w:t>
      </w:r>
      <w:r/>
    </w:p>
    <w:p>
      <w:pPr>
        <w:pStyle w:val="710"/>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四、技术培训要求</w:t>
      </w:r>
      <w:r/>
    </w:p>
    <w:p>
      <w:pPr>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1.培训目标：确保采购人操作及维护人员能够熟练掌握设备的基本操作、日常维护、数据处理、简单故障排查及应急处理技能，能独立完成设备正常运行及日常管理。</w:t>
      </w:r>
      <w:r/>
    </w:p>
    <w:p>
      <w:pPr>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2.培训安排：① 培训方式：</w:t>
      </w:r>
      <w:r>
        <w:rPr>
          <w:rStyle w:val="743"/>
          <w:rFonts w:hint="eastAsia" w:ascii="宋体" w:hAnsi="宋体" w:eastAsia="宋体" w:cs="宋体"/>
          <w:bCs/>
          <w:color w:val="000000"/>
          <w:sz w:val="24"/>
          <w:szCs w:val="24"/>
          <w:highlight w:val="none"/>
        </w:rPr>
        <w:t xml:space="preserve">现场实操培训</w:t>
      </w:r>
      <w:r>
        <w:rPr>
          <w:rFonts w:hint="eastAsia" w:ascii="宋体" w:hAnsi="宋体" w:eastAsia="宋体" w:cs="宋体"/>
          <w:color w:val="000000"/>
          <w:sz w:val="24"/>
          <w:szCs w:val="24"/>
          <w:highlight w:val="none"/>
        </w:rPr>
        <w:t xml:space="preserve">，结合设备实际操作场景开展，不采用线上远程培训；② 培训人员：供应商需安排原厂资深技术人员担任讲师，具备至少 3 年以上同类设备培训经验；③ 培训对象：采购人指定的</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rPr>
        <w:t xml:space="preserve">名操作人员及</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名维护人员；④ 培训时长：不少于</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个工作日，可根据学员掌握情况适当延长，直至全部学员考核合格；⑤ 培训考核：培训结束后组织现场考核，考核不合格的，供应商需免费提供二次培训，直至考核合格。</w:t>
      </w:r>
      <w:r/>
    </w:p>
    <w:p>
      <w:pPr>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3.培训资料：免费提供培训教材（纸质版≥5套，电子版1套），教材内容需贴合疾控工作实际，包含操作步骤、维护要点、故障排查手册等。</w:t>
      </w:r>
      <w:r/>
    </w:p>
    <w:p>
      <w:pPr>
        <w:pStyle w:val="710"/>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五、售后服务要求</w:t>
      </w:r>
      <w:r/>
    </w:p>
    <w:p>
      <w:pPr>
        <w:pStyle w:val="711"/>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（一）质保服务</w:t>
      </w:r>
      <w:r/>
    </w:p>
    <w:p>
      <w:pPr>
        <w:ind w:firstLine="480"/>
        <w:jc w:val="left"/>
        <w:keepLines w:val="0"/>
        <w:keepNext w:val="0"/>
        <w:pageBreakBefore w:val="0"/>
        <w:spacing w:line="360" w:lineRule="auto"/>
        <w:widowControl/>
        <w:tabs>
          <w:tab w:val="left" w:pos="720" w:leader="none"/>
        </w:tabs>
        <w:rPr>
          <w:color w:val="000000"/>
          <w:sz w:val="24"/>
          <w:highlight w:val="none"/>
        </w:rPr>
      </w:pPr>
      <w:r>
        <w:rPr>
          <w:rFonts w:hint="eastAsia"/>
          <w:color w:val="000000"/>
          <w:sz w:val="24"/>
          <w:highlight w:val="none"/>
        </w:rPr>
        <w:t xml:space="preserve">1</w:t>
      </w:r>
      <w:r>
        <w:rPr>
          <w:color w:val="000000"/>
          <w:sz w:val="24"/>
          <w:highlight w:val="none"/>
        </w:rPr>
        <w:t xml:space="preserve">.质保期限：设备整机免费质保期不少于</w:t>
      </w:r>
      <w:r>
        <w:rPr>
          <w:color w:val="000000"/>
          <w:sz w:val="24"/>
          <w:highlight w:val="none"/>
          <w:u w:val="single"/>
        </w:rPr>
        <w:t xml:space="preserve">3</w:t>
      </w:r>
      <w:r>
        <w:rPr>
          <w:color w:val="000000"/>
          <w:sz w:val="24"/>
          <w:highlight w:val="none"/>
        </w:rPr>
        <w:t xml:space="preserve">年，自设备安装调试完成并验收合格之日起计算；质保期内，所有配件的维修、更换均为免费，无任何隐形收费。</w:t>
      </w:r>
      <w:r/>
    </w:p>
    <w:p>
      <w:pPr>
        <w:ind w:firstLine="480"/>
        <w:keepLines w:val="0"/>
        <w:keepNext w:val="0"/>
        <w:pageBreakBefore w:val="0"/>
        <w:spacing w:line="360" w:lineRule="auto"/>
        <w:widowControl/>
        <w:tabs>
          <w:tab w:val="left" w:pos="720" w:leader="none"/>
        </w:tabs>
        <w:rPr>
          <w:color w:val="000000"/>
          <w:sz w:val="24"/>
          <w:highlight w:val="none"/>
        </w:rPr>
      </w:pPr>
      <w:r>
        <w:rPr>
          <w:rFonts w:hint="eastAsia"/>
          <w:color w:val="000000"/>
          <w:sz w:val="24"/>
          <w:highlight w:val="none"/>
        </w:rPr>
        <w:t xml:space="preserve">2</w:t>
      </w:r>
      <w:r>
        <w:rPr>
          <w:color w:val="000000"/>
          <w:sz w:val="24"/>
          <w:highlight w:val="none"/>
        </w:rPr>
        <w:t xml:space="preserve">.质保范围：涵盖设备主机、标准配件、软件系统的所有质量问题，因供应商设备质量、安装调试不当导致的设备故障，由供应商无条件维修</w:t>
      </w:r>
      <w:r>
        <w:rPr>
          <w:rFonts w:hint="eastAsia"/>
          <w:color w:val="000000"/>
          <w:sz w:val="24"/>
          <w:highlight w:val="none"/>
          <w:lang w:val="en-US" w:eastAsia="zh-CN"/>
        </w:rPr>
        <w:t xml:space="preserve">/</w:t>
      </w:r>
      <w:r>
        <w:rPr>
          <w:color w:val="000000"/>
          <w:sz w:val="24"/>
          <w:highlight w:val="none"/>
        </w:rPr>
        <w:t xml:space="preserve">更换，并承担由此给采购人造成的损失。</w:t>
      </w:r>
      <w:r/>
    </w:p>
    <w:p>
      <w:pPr>
        <w:pStyle w:val="711"/>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（二）售后响应</w:t>
      </w:r>
      <w:r/>
    </w:p>
    <w:p>
      <w:pPr>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1.响应时效：提供 7×24 小时全天候售后服务，接到采购人故障报修后，</w:t>
      </w:r>
      <w:r>
        <w:rPr>
          <w:rStyle w:val="743"/>
          <w:rFonts w:hint="eastAsia" w:ascii="宋体" w:hAnsi="宋体" w:eastAsia="宋体" w:cs="宋体"/>
          <w:bCs/>
          <w:color w:val="000000"/>
          <w:sz w:val="24"/>
          <w:szCs w:val="24"/>
          <w:highlight w:val="none"/>
        </w:rPr>
        <w:t xml:space="preserve">本地供应商</w:t>
      </w:r>
      <w:r>
        <w:rPr>
          <w:rFonts w:hint="eastAsia" w:ascii="宋体" w:hAnsi="宋体" w:eastAsia="宋体" w:cs="宋体"/>
          <w:color w:val="000000"/>
          <w:sz w:val="24"/>
          <w:szCs w:val="24"/>
          <w:highlight w:val="none"/>
        </w:rPr>
        <w:t xml:space="preserve">需在</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小时内到达现场处理；</w:t>
      </w:r>
      <w:r>
        <w:rPr>
          <w:rStyle w:val="743"/>
          <w:rFonts w:hint="eastAsia" w:ascii="宋体" w:hAnsi="宋体" w:eastAsia="宋体" w:cs="宋体"/>
          <w:bCs/>
          <w:color w:val="000000"/>
          <w:sz w:val="24"/>
          <w:szCs w:val="24"/>
          <w:highlight w:val="none"/>
        </w:rPr>
        <w:t xml:space="preserve">异地供应商</w:t>
      </w:r>
      <w:r>
        <w:rPr>
          <w:rFonts w:hint="eastAsia" w:ascii="宋体" w:hAnsi="宋体" w:eastAsia="宋体" w:cs="宋体"/>
          <w:color w:val="000000"/>
          <w:sz w:val="24"/>
          <w:szCs w:val="24"/>
          <w:highlight w:val="none"/>
        </w:rPr>
        <w:t xml:space="preserve">需在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小时内做出响应，</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小时内到达现场处理。</w:t>
      </w:r>
      <w:r/>
    </w:p>
    <w:p>
      <w:pPr>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2.故障处理：一般故障需在</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小时内解决，重大故障需在</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小时内提出解决方案，若设备无法在规定时间内修复，供应商需提供同等规格的备用设备供采购人临时使用，直至故障设备修复完成。</w:t>
      </w:r>
      <w:r/>
    </w:p>
    <w:p>
      <w:pPr>
        <w:pStyle w:val="711"/>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（三）后续服务</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质保期后提供成本价配件与维修；每年至少2次免费上门整机巡检、性能校准、管路深度维护；长期免费技术支持与软件升级，永久提供技术咨询、检测项目优化指导。</w:t>
      </w:r>
      <w:r/>
    </w:p>
    <w:p>
      <w:pPr>
        <w:pStyle w:val="710"/>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六、验收要求</w:t>
      </w:r>
      <w:r/>
    </w:p>
    <w:p>
      <w:pPr>
        <w:pStyle w:val="710"/>
        <w:ind w:firstLine="480"/>
        <w:jc w:val="left"/>
        <w:keepLines w:val="0"/>
        <w:keepNext w:val="0"/>
        <w:pageBreakBefore w:val="0"/>
        <w:spacing w:beforeAutospacing="0" w:afterAutospacing="0" w:line="360"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到货核对设备机身序列号、原厂合格证、配件、耗材、技术资料完整性；安装校准完成后，依据招标文件技术参数逐项检测速度、精度、污染率、线性范围等指标，出具验收记录；全体操作人员考核合格，签署培训验收确认单；终验合格签署验收报告，质保期正式起算，验收不合格供应商限期整改直至达标。</w:t>
      </w:r>
      <w:r/>
    </w:p>
    <w:p>
      <w:pPr>
        <w:pStyle w:val="710"/>
        <w:ind w:firstLine="482"/>
        <w:keepLines w:val="0"/>
        <w:keepNext w:val="0"/>
        <w:pageBreakBefore w:val="0"/>
        <w:spacing w:beforeAutospacing="0" w:afterAutospacing="0" w:line="360" w:lineRule="auto"/>
        <w:widowControl/>
        <w:rPr>
          <w:color w:val="000000"/>
          <w:sz w:val="24"/>
          <w:szCs w:val="24"/>
          <w:highlight w:val="none"/>
        </w:rPr>
      </w:pPr>
      <w:r>
        <w:rPr>
          <w:color w:val="000000"/>
          <w:sz w:val="24"/>
          <w:szCs w:val="24"/>
          <w:highlight w:val="none"/>
        </w:rPr>
        <w:t xml:space="preserve">七、</w:t>
      </w:r>
      <w:r>
        <w:rPr>
          <w:rFonts w:hint="eastAsia"/>
          <w:color w:val="000000"/>
          <w:sz w:val="24"/>
          <w:szCs w:val="24"/>
          <w:highlight w:val="none"/>
          <w:lang w:eastAsia="zh-CN"/>
        </w:rPr>
        <w:t xml:space="preserve">商务</w:t>
      </w:r>
      <w:r>
        <w:rPr>
          <w:color w:val="000000"/>
          <w:sz w:val="24"/>
          <w:szCs w:val="24"/>
          <w:highlight w:val="none"/>
        </w:rPr>
        <w:t xml:space="preserve">要求</w:t>
      </w:r>
      <w:r/>
    </w:p>
    <w:p>
      <w:pPr>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.项目工期：</w:t>
      </w:r>
      <w:r>
        <w:rPr>
          <w:rFonts w:hint="eastAsia" w:ascii="宋体" w:hAnsi="宋体"/>
          <w:color w:val="000000"/>
          <w:sz w:val="24"/>
          <w:szCs w:val="24"/>
          <w:highlight w:val="none"/>
        </w:rPr>
        <w:t xml:space="preserve">合同签订后</w:t>
      </w:r>
      <w:r>
        <w:rPr>
          <w:rFonts w:ascii="宋体" w:hAnsi="宋体"/>
          <w:color w:val="000000"/>
          <w:sz w:val="24"/>
          <w:szCs w:val="24"/>
          <w:highlight w:val="none"/>
        </w:rPr>
        <w:t xml:space="preserve">30</w:t>
      </w:r>
      <w:r>
        <w:rPr>
          <w:rFonts w:hint="eastAsia" w:ascii="宋体" w:hAnsi="宋体"/>
          <w:color w:val="000000"/>
          <w:sz w:val="24"/>
          <w:szCs w:val="24"/>
          <w:highlight w:val="none"/>
          <w:lang w:eastAsia="zh-CN"/>
        </w:rPr>
        <w:t xml:space="preserve">工作日</w:t>
      </w:r>
      <w:r>
        <w:rPr>
          <w:rFonts w:hint="eastAsia" w:ascii="宋体" w:hAnsi="宋体"/>
          <w:color w:val="000000"/>
          <w:sz w:val="24"/>
          <w:szCs w:val="24"/>
          <w:highlight w:val="none"/>
        </w:rPr>
        <w:t xml:space="preserve">内完成供货、安装、培训、全部验收工作。</w:t>
      </w:r>
      <w:r/>
    </w:p>
    <w:p>
      <w:pPr>
        <w:ind w:firstLine="480"/>
        <w:jc w:val="left"/>
        <w:keepLines w:val="0"/>
        <w:keepNext w:val="0"/>
        <w:pageBreakBefore w:val="0"/>
        <w:spacing w:line="360" w:lineRule="auto"/>
        <w:widowControl/>
        <w:tabs>
          <w:tab w:val="left" w:pos="720" w:leader="none"/>
        </w:tabs>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现场管理：</w:t>
      </w:r>
      <w:r>
        <w:rPr>
          <w:rFonts w:hint="eastAsia" w:ascii="宋体" w:hAnsi="宋体"/>
          <w:color w:val="000000"/>
          <w:sz w:val="24"/>
          <w:szCs w:val="24"/>
          <w:highlight w:val="none"/>
        </w:rPr>
        <w:t xml:space="preserve">供应商工作人员进入实验室须遵守院感、生物安全管理制度。</w:t>
      </w:r>
      <w:r/>
    </w:p>
    <w:p>
      <w:pPr>
        <w:ind w:firstLine="480"/>
        <w:jc w:val="left"/>
        <w:keepLines w:val="0"/>
        <w:keepNext w:val="0"/>
        <w:pageBreakBefore w:val="0"/>
        <w:spacing w:line="360" w:lineRule="auto"/>
        <w:widowControl/>
        <w:tabs>
          <w:tab w:val="left" w:pos="720" w:leader="none"/>
        </w:tabs>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.保密要求：</w:t>
      </w:r>
      <w:r>
        <w:rPr>
          <w:rFonts w:hint="eastAsia" w:ascii="宋体" w:hAnsi="宋体"/>
          <w:color w:val="000000"/>
          <w:sz w:val="24"/>
          <w:szCs w:val="24"/>
          <w:highlight w:val="none"/>
        </w:rPr>
        <w:t xml:space="preserve">供应商不得泄露患者检验数据、科室运营相关内部信息。</w:t>
      </w:r>
      <w:r/>
    </w:p>
    <w:p>
      <w:pPr>
        <w:ind w:firstLine="480"/>
        <w:jc w:val="left"/>
        <w:keepLines w:val="0"/>
        <w:keepNext w:val="0"/>
        <w:pageBreakBefore w:val="0"/>
        <w:spacing w:line="360" w:lineRule="auto"/>
        <w:widowControl/>
        <w:rPr>
          <w:rFonts w:ascii="宋体" w:hAnsi="宋体" w:cs="宋体"/>
          <w:color w:val="000000"/>
          <w:sz w:val="21"/>
          <w:szCs w:val="21"/>
          <w:highlight w:val="none"/>
          <w:lang w:bidi="ar"/>
        </w:rPr>
      </w:pPr>
      <w:r>
        <w:rPr>
          <w:rFonts w:hint="eastAsia" w:ascii="宋体" w:hAnsi="宋体" w:cs="宋体"/>
          <w:color w:val="000000"/>
          <w:sz w:val="24"/>
          <w:szCs w:val="24"/>
          <w:highlight w:val="none"/>
          <w:lang w:bidi="ar"/>
        </w:rPr>
        <w:t xml:space="preserve">4</w:t>
      </w:r>
      <w:r>
        <w:rPr>
          <w:rFonts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t xml:space="preserve">付款要求：合同签订后，供应商向采购人开具发票，采购人自收到发票之日起</w:t>
      </w:r>
      <w:r>
        <w:rPr>
          <w:rFonts w:ascii="宋体" w:hAnsi="宋体" w:cs="宋体"/>
          <w:color w:val="000000"/>
          <w:sz w:val="24"/>
          <w:szCs w:val="24"/>
          <w:highlight w:val="none"/>
          <w:lang w:bidi="ar"/>
        </w:rPr>
        <w:t xml:space="preserve">30</w:t>
      </w:r>
      <w:r>
        <w:rPr>
          <w:rFonts w:hint="eastAsia" w:ascii="宋体" w:hAnsi="宋体" w:cs="宋体"/>
          <w:color w:val="000000"/>
          <w:sz w:val="24"/>
          <w:szCs w:val="24"/>
          <w:highlight w:val="none"/>
          <w:lang w:bidi="ar"/>
        </w:rPr>
        <w:t xml:space="preserve">日内支付合同总价30%的预付款；项目经验收合格后，供应商向采购人开具发票，采购人自收到发票之日起</w:t>
      </w:r>
      <w:r>
        <w:rPr>
          <w:rFonts w:ascii="宋体" w:hAnsi="宋体" w:cs="宋体"/>
          <w:color w:val="000000"/>
          <w:sz w:val="24"/>
          <w:szCs w:val="24"/>
          <w:highlight w:val="none"/>
          <w:lang w:bidi="ar"/>
        </w:rPr>
        <w:t xml:space="preserve">30</w:t>
      </w:r>
      <w:r>
        <w:rPr>
          <w:rFonts w:hint="eastAsia" w:ascii="宋体" w:hAnsi="宋体" w:cs="宋体"/>
          <w:color w:val="000000"/>
          <w:sz w:val="24"/>
          <w:szCs w:val="24"/>
          <w:highlight w:val="none"/>
          <w:lang w:bidi="ar"/>
        </w:rPr>
        <w:t xml:space="preserve">日内支付合同总价的70%。</w:t>
      </w:r>
      <w:r/>
    </w:p>
    <w:p>
      <w:pPr>
        <w:rPr>
          <w:rFonts w:hint="eastAsia"/>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highlight w:val="none"/>
        </w:rPr>
      </w:r>
      <w:r/>
    </w:p>
    <w:p>
      <w:pPr>
        <w:pStyle w:val="678"/>
        <w:rPr>
          <w:rFonts w:hint="eastAsia"/>
          <w:color w:val="000000"/>
          <w:highlight w:val="none"/>
        </w:rPr>
      </w:pPr>
      <w:r/>
      <w:bookmarkStart w:id="71" w:name="_Toc29995"/>
      <w:r>
        <w:rPr>
          <w:rFonts w:hint="eastAsia"/>
          <w:color w:val="000000"/>
          <w:highlight w:val="none"/>
        </w:rPr>
        <w:t xml:space="preserve">第五章 评标方法及评标标准</w:t>
      </w:r>
      <w:bookmarkEnd w:id="60"/>
      <w:r/>
      <w:bookmarkEnd w:id="71"/>
      <w:r/>
      <w:r/>
    </w:p>
    <w:p>
      <w:pPr>
        <w:pStyle w:val="941"/>
        <w:ind w:firstLine="422"/>
        <w:keepLines w:val="0"/>
        <w:keepNext w:val="0"/>
        <w:pageBreakBefore w:val="0"/>
        <w:spacing w:before="0" w:after="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一、评标方法</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bookmarkStart w:id="72" w:name="_Toc449017024"/>
      <w:r/>
      <w:bookmarkStart w:id="73" w:name="_Toc449016388"/>
      <w:r>
        <w:rPr>
          <w:rFonts w:hint="eastAsia" w:ascii="宋体" w:hAnsi="宋体" w:eastAsia="宋体" w:cs="宋体"/>
          <w:color w:val="000000"/>
          <w:sz w:val="24"/>
          <w:szCs w:val="24"/>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二、政府采购政策功能落实</w:t>
      </w:r>
      <w:bookmarkEnd w:id="72"/>
      <w:r/>
      <w:bookmarkEnd w:id="73"/>
      <w:r/>
      <w:r/>
    </w:p>
    <w:p>
      <w:pPr>
        <w:ind w:firstLine="42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小微型企业价格扣除</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（1）本项目对小型和微型企业产品给予20%的扣除价格，用扣除后的价格参与评审。</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残疾人福利单位价格扣除</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（1）本项目对残疾人福利性单位视同小型、微型企业，给予20%的价格扣除，用扣除后的价格参与评审。</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监狱和戒毒企业价格扣除</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（1）本项目对监狱和戒毒企业（简称监狱企业）视同小型、微型企业，给予20%的价格扣除，用扣除后的价格参与评审。</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含新疆生产建设兵团</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出具的属于监狱企业的证明文件。供应商如不提供上述证明文件，价格将不做相应扣除。</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残疾人福利单位、监狱企业属于小型、微型企业的，不重复享受政策。</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联合体各方均为小型、微型企业（残疾人福利单位、监狱企业）的，联合体享受20%价格扣除，用扣除后的价格参与评审。</w:t>
      </w:r>
      <w:r/>
    </w:p>
    <w:p>
      <w:pPr>
        <w:pStyle w:val="941"/>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大中型企业向小型、微型企业分包的，分包意向协议约定小型、微型企业合同份额占到合同总金额</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0%以上的，给予6%的价格扣除，用扣除后的价格参与评审。</w:t>
      </w:r>
      <w:r/>
    </w:p>
    <w:p>
      <w:pPr>
        <w:pStyle w:val="941"/>
        <w:ind w:firstLine="420"/>
        <w:spacing w:before="0" w:after="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、采购本国产品的支持政策</w:t>
      </w:r>
      <w:r/>
    </w:p>
    <w:p>
      <w:pPr>
        <w:pStyle w:val="941"/>
        <w:ind w:firstLine="420"/>
        <w:spacing w:before="0" w:after="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本项目政府采购活动中既有本国产品又有非本国产品参与竞争的，依法对本国产品给予价格评审优惠，对本国产品的报价给予 20%的价格扣除，用扣除后的价格参与评审。</w:t>
      </w:r>
      <w:r/>
    </w:p>
    <w:p>
      <w:pPr>
        <w:pStyle w:val="941"/>
        <w:ind w:firstLine="420"/>
        <w:spacing w:before="0" w:after="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41"/>
        <w:ind w:firstLine="420"/>
        <w:spacing w:before="0" w:after="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 供应商需按照招标文件的要求提供《关于符合本国产品标准的声明函》（以下简称《声明函》），如不提供将不享受本国产品价格评审优惠。</w:t>
      </w:r>
      <w:r/>
    </w:p>
    <w:p>
      <w:pPr>
        <w:pStyle w:val="941"/>
        <w:ind w:firstLine="420"/>
        <w:spacing w:before="0" w:after="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41"/>
        <w:ind w:firstLine="420"/>
        <w:spacing w:before="0" w:after="0"/>
        <w:rPr>
          <w:rFonts w:ascii="宋体" w:hAnsi="宋体"/>
          <w:b/>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1"/>
        <w:ind w:firstLine="422"/>
        <w:keepLines w:val="0"/>
        <w:keepNext w:val="0"/>
        <w:pageBreakBefore w:val="0"/>
        <w:spacing w:before="0" w:after="0" w:line="360" w:lineRule="auto"/>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、评标标准</w:t>
      </w:r>
      <w:r/>
    </w:p>
    <w:tbl>
      <w:tblPr>
        <w:tblStyle w:val="742"/>
        <w:tblW w:w="866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7395"/>
      </w:tblGrid>
      <w:tr>
        <w:trPr>
          <w:jc w:val="center"/>
          <w:trHeight w:val="590"/>
        </w:trPr>
        <w:tc>
          <w:tcPr>
            <w:tcW w:w="1267"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评分因素</w:t>
            </w:r>
            <w:r/>
          </w:p>
        </w:tc>
        <w:tc>
          <w:tcPr>
            <w:tcW w:w="7395" w:type="dxa"/>
            <w:vAlign w:val="center"/>
            <w:textDirection w:val="lrTb"/>
            <w:noWrap w:val="false"/>
          </w:tcPr>
          <w:p>
            <w:pPr>
              <w:jc w:val="left"/>
              <w:keepLines w:val="0"/>
              <w:keepNext w:val="0"/>
              <w:pageBreakBefore w:val="0"/>
              <w:spacing w:after="0"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评审标准分值</w:t>
            </w:r>
            <w:r/>
          </w:p>
        </w:tc>
      </w:tr>
      <w:tr>
        <w:trPr>
          <w:jc w:val="center"/>
          <w:trHeight w:val="90"/>
        </w:trPr>
        <w:tc>
          <w:tcPr>
            <w:tcW w:w="1267" w:type="dxa"/>
            <w:vAlign w:val="center"/>
            <w:textDirection w:val="lrTb"/>
            <w:noWrap w:val="false"/>
          </w:tcPr>
          <w:p>
            <w:pPr>
              <w:jc w:val="center"/>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w:t>
            </w:r>
            <w:r/>
          </w:p>
          <w:p>
            <w:pPr>
              <w:jc w:val="center"/>
              <w:keepLines w:val="0"/>
              <w:keepNext w:val="0"/>
              <w:pageBreakBefore w:val="0"/>
              <w:spacing w:after="0"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（30分）</w:t>
            </w:r>
            <w:r/>
          </w:p>
        </w:tc>
        <w:tc>
          <w:tcPr>
            <w:tcW w:w="7395" w:type="dxa"/>
            <w:vAlign w:val="center"/>
            <w:textDirection w:val="lrTb"/>
            <w:noWrap w:val="false"/>
          </w:tcPr>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价格分采用低价优先法计算，</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即满足招标文件要求且报价最低的供应商报价为评标基准价，其价格分为满分30分，其它投标人的价格分统一按照以下公式计算：</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投标报价得分=(最低报价/该投标单位的投标报价)*30</w:t>
            </w:r>
            <w:r>
              <w:rPr>
                <w:rFonts w:hint="eastAsia" w:ascii="宋体" w:hAnsi="宋体" w:eastAsia="宋体" w:cs="宋体"/>
                <w:color w:val="000000"/>
                <w:sz w:val="24"/>
                <w:szCs w:val="24"/>
                <w:highlight w:val="none"/>
                <w:lang w:val="zh-CN" w:eastAsia="zh-CN" w:bidi="ar-SA"/>
              </w:rPr>
              <w:t xml:space="preserve">×100%</w:t>
            </w:r>
            <w:r>
              <w:rPr>
                <w:rFonts w:hint="eastAsia" w:ascii="宋体" w:hAnsi="宋体" w:eastAsia="宋体" w:cs="宋体"/>
                <w:b/>
                <w:bCs/>
                <w:sz w:val="24"/>
                <w:szCs w:val="24"/>
                <w:highlight w:val="none"/>
                <w:lang w:val="en-US" w:eastAsia="zh-CN" w:bidi="ar-SA"/>
              </w:rPr>
              <w:t xml:space="preserve">。</w:t>
            </w:r>
            <w:r/>
          </w:p>
        </w:tc>
      </w:tr>
      <w:tr>
        <w:trPr>
          <w:jc w:val="center"/>
          <w:trHeight w:val="1873"/>
        </w:trPr>
        <w:tc>
          <w:tcPr>
            <w:tcW w:w="1267" w:type="dxa"/>
            <w:vAlign w:val="center"/>
            <w:textDirection w:val="lrTb"/>
            <w:noWrap w:val="false"/>
          </w:tcPr>
          <w:p>
            <w:pPr>
              <w:jc w:val="center"/>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技术指标响应</w:t>
            </w:r>
            <w:r/>
          </w:p>
          <w:p>
            <w:pPr>
              <w:jc w:val="center"/>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（31分）</w:t>
            </w:r>
            <w:r/>
          </w:p>
        </w:tc>
        <w:tc>
          <w:tcPr>
            <w:tcW w:w="7395" w:type="dxa"/>
            <w:vAlign w:val="center"/>
            <w:textDirection w:val="lrTb"/>
            <w:noWrap w:val="false"/>
          </w:tcPr>
          <w:p>
            <w:pPr>
              <w:jc w:val="left"/>
              <w:keepLines w:val="0"/>
              <w:keepNext w:val="0"/>
              <w:pageBreakBefore w:val="0"/>
              <w:spacing w:after="0"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投标人所投产品的技术指标若全部满足采购文件要求的，得31分；</w:t>
            </w:r>
            <w:r/>
          </w:p>
          <w:p>
            <w:pPr>
              <w:jc w:val="left"/>
              <w:keepLines w:val="0"/>
              <w:keepNext w:val="0"/>
              <w:pageBreakBefore w:val="0"/>
              <w:spacing w:after="0" w:line="288" w:lineRule="auto"/>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1、项目需求中标注带“</w:t>
            </w:r>
            <w:r>
              <w:rPr>
                <w:rFonts w:hint="eastAsia" w:ascii="宋体" w:hAnsi="宋体" w:cs="宋体"/>
                <w:sz w:val="24"/>
                <w:highlight w:val="none"/>
                <w:lang w:bidi="ar"/>
              </w:rPr>
              <w:t xml:space="preserve">★</w:t>
            </w:r>
            <w:r>
              <w:rPr>
                <w:rFonts w:hint="eastAsia" w:ascii="宋体" w:hAnsi="宋体" w:eastAsia="宋体" w:cs="宋体"/>
                <w:sz w:val="24"/>
                <w:szCs w:val="24"/>
                <w:highlight w:val="none"/>
                <w:lang w:val="en-US" w:eastAsia="zh-CN" w:bidi="ar-SA"/>
              </w:rPr>
              <w:t xml:space="preserve">”的为关键参数，有一项负偏离即判定为无效投标；</w:t>
            </w:r>
            <w:r/>
          </w:p>
          <w:p>
            <w:pPr>
              <w:jc w:val="left"/>
              <w:keepLines w:val="0"/>
              <w:keepNext w:val="0"/>
              <w:pageBreakBefore w:val="0"/>
              <w:spacing w:after="0"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2、标注带“▲”的为重要参数，每负偏离1项扣4分，扣完为止；</w:t>
            </w:r>
            <w:r/>
          </w:p>
          <w:p>
            <w:pPr>
              <w:jc w:val="left"/>
              <w:keepLines w:val="0"/>
              <w:keepNext w:val="0"/>
              <w:pageBreakBefore w:val="0"/>
              <w:spacing w:after="0"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3、未标注带“</w:t>
            </w:r>
            <w:r>
              <w:rPr>
                <w:rFonts w:hint="eastAsia" w:ascii="宋体" w:hAnsi="宋体" w:cs="宋体"/>
                <w:sz w:val="24"/>
                <w:highlight w:val="none"/>
                <w:lang w:bidi="ar"/>
              </w:rPr>
              <w:t xml:space="preserve">★</w:t>
            </w:r>
            <w:r>
              <w:rPr>
                <w:rFonts w:hint="eastAsia" w:ascii="宋体" w:hAnsi="宋体" w:eastAsia="宋体" w:cs="宋体"/>
                <w:sz w:val="24"/>
                <w:szCs w:val="24"/>
                <w:highlight w:val="none"/>
                <w:lang w:val="en-US" w:eastAsia="zh-CN" w:bidi="ar-SA"/>
              </w:rPr>
              <w:t xml:space="preserve">”和“▲”的为一般参数，每负偏离1项扣1分，扣完为止。</w:t>
            </w:r>
            <w:r/>
          </w:p>
          <w:p>
            <w:pPr>
              <w:jc w:val="left"/>
              <w:keepLines w:val="0"/>
              <w:keepNext w:val="0"/>
              <w:pageBreakBefore w:val="0"/>
              <w:spacing w:after="0" w:line="288"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投标人应根据所投产品技术参数性能对采购文件技术需求进行逐条响应，并按要求提供相关材料，如未作具体要求的参数请提供相关证明材料</w:t>
            </w:r>
            <w:r>
              <w:rPr>
                <w:rFonts w:hint="eastAsia" w:ascii="宋体" w:hAnsi="宋体" w:eastAsia="宋体" w:cs="宋体"/>
                <w:b/>
                <w:bCs/>
                <w:color w:val="000000"/>
                <w:sz w:val="24"/>
                <w:szCs w:val="24"/>
                <w:highlight w:val="none"/>
                <w:lang w:val="en-US" w:eastAsia="zh-CN" w:bidi="ar-SA"/>
              </w:rPr>
              <w:t xml:space="preserve">（相关证明材料可以为明确说明该技术内容的公开发行的宣传材料、官网截图、仪器运行界面截图、有效的相关检测报告等经评议认可的证明材料）</w:t>
            </w:r>
            <w:r/>
          </w:p>
          <w:p>
            <w:pPr>
              <w:jc w:val="left"/>
              <w:keepLines w:val="0"/>
              <w:keepNext w:val="0"/>
              <w:pageBreakBefore w:val="0"/>
              <w:spacing w:after="0" w:line="288"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1）投标人应准确标示所有相关证明材料所在页码，并在相关证明材料上明确标示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p>
            <w:pPr>
              <w:jc w:val="left"/>
              <w:keepLines w:val="0"/>
              <w:keepNext w:val="0"/>
              <w:pageBreakBefore w:val="0"/>
              <w:spacing w:after="0"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（2）若发现提供虚假的证明材料或虚假应答的，视为无效投标，并追究相关责任。</w:t>
            </w:r>
            <w:r/>
          </w:p>
        </w:tc>
      </w:tr>
      <w:tr>
        <w:trPr>
          <w:jc w:val="center"/>
          <w:trHeight w:val="6102"/>
        </w:trPr>
        <w:tc>
          <w:tcPr>
            <w:tcW w:w="1267" w:type="dxa"/>
            <w:vAlign w:val="center"/>
            <w:textDirection w:val="lrTb"/>
            <w:noWrap w:val="false"/>
          </w:tcPr>
          <w:p>
            <w:pPr>
              <w:jc w:val="center"/>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项目实施方案</w:t>
            </w:r>
            <w:r/>
          </w:p>
          <w:p>
            <w:pPr>
              <w:jc w:val="center"/>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（28分）</w:t>
            </w:r>
            <w:r/>
          </w:p>
        </w:tc>
        <w:tc>
          <w:tcPr>
            <w:tcW w:w="7395" w:type="dxa"/>
            <w:vAlign w:val="center"/>
            <w:textDirection w:val="lrTb"/>
            <w:noWrap w:val="false"/>
          </w:tcPr>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1、根据投标人提供的针对本项目安装调试方案进行打分。</w:t>
            </w:r>
            <w:r>
              <w:rPr>
                <w:rFonts w:hint="eastAsia" w:ascii="宋体" w:hAnsi="宋体" w:eastAsia="宋体" w:cs="宋体"/>
                <w:b/>
                <w:bCs/>
                <w:sz w:val="24"/>
                <w:szCs w:val="24"/>
                <w:highlight w:val="none"/>
                <w:lang w:val="en-US" w:eastAsia="zh-CN" w:bidi="zh-CN"/>
              </w:rPr>
              <w:t xml:space="preserve">满分7分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方案科学、严密、合理，描述详细且具有针对性的得7分；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方案较合理、严密、描述较为详细，具有一定的针对性的得4分；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方案具有不合理项、描述略欠缺的得1分；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未提供，其余不得分。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2、根据投标人提供的针对本项目验收方案进行评分。</w:t>
            </w:r>
            <w:r>
              <w:rPr>
                <w:rFonts w:hint="eastAsia" w:ascii="宋体" w:hAnsi="宋体" w:eastAsia="宋体" w:cs="宋体"/>
                <w:b/>
                <w:bCs/>
                <w:sz w:val="24"/>
                <w:szCs w:val="24"/>
                <w:highlight w:val="none"/>
                <w:lang w:val="en-US" w:eastAsia="zh-CN" w:bidi="zh-CN"/>
              </w:rPr>
              <w:t xml:space="preserve">满分7分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方案科学、严密、合理，描述详细且具有针对性的得7分；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方案较合理、严密、描述较为详细，具有一定的针对性的得4分；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方案具有不合理项、描述略欠缺的得1分；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未提供，其余不得分。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3、投标人提供完整的、可行的培训方案（方案内容需包含训目标、培训计划、培训方式、培训课程安排、技术培训等）</w:t>
            </w:r>
            <w:r>
              <w:rPr>
                <w:rFonts w:hint="eastAsia" w:ascii="宋体" w:hAnsi="宋体" w:eastAsia="宋体" w:cs="宋体"/>
                <w:b/>
                <w:bCs/>
                <w:sz w:val="24"/>
                <w:szCs w:val="24"/>
                <w:highlight w:val="none"/>
                <w:lang w:val="en-US" w:eastAsia="zh-CN" w:bidi="zh-CN"/>
              </w:rPr>
              <w:t xml:space="preserve">满分7分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方案科学、严密、合理，描述详细且具有针对性的得7分；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方案较合理、严密、描述较为详细，具有一定的针对性的得4分；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方案具有不合理项、描述略欠缺的得1分；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未提供，其余不得分。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4、投标人针对本项目制定详尽、完善的售后服务承诺，提供完整方案（方案内容需包含故障解决方案、专业技术人员、服务保障等内容）</w:t>
            </w:r>
            <w:r>
              <w:rPr>
                <w:rFonts w:hint="eastAsia" w:ascii="宋体" w:hAnsi="宋体" w:eastAsia="宋体" w:cs="宋体"/>
                <w:b/>
                <w:bCs/>
                <w:sz w:val="24"/>
                <w:szCs w:val="24"/>
                <w:highlight w:val="none"/>
                <w:lang w:val="en-US" w:eastAsia="zh-CN" w:bidi="zh-CN"/>
              </w:rPr>
              <w:t xml:space="preserve">满分7分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方案科学、严密、合理，描述详细且具有针对性的得7分；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方案较合理、严密、描述较为详细，具有一定的针对性的得4分；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方案具有不合理项、描述略欠缺的得1分；</w:t>
            </w:r>
            <w:r/>
          </w:p>
          <w:p>
            <w:pPr>
              <w:jc w:val="left"/>
              <w:keepLines w:val="0"/>
              <w:keepNext w:val="0"/>
              <w:pageBreakBefore w:val="0"/>
              <w:spacing w:after="0" w:line="288" w:lineRule="auto"/>
              <w:widowControl w:val="off"/>
              <w:rPr>
                <w:rFonts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未提供，其余不得分。</w:t>
            </w:r>
            <w:r/>
          </w:p>
        </w:tc>
      </w:tr>
      <w:tr>
        <w:trPr>
          <w:jc w:val="center"/>
          <w:trHeight w:val="2805"/>
        </w:trPr>
        <w:tc>
          <w:tcPr>
            <w:tcW w:w="1267" w:type="dxa"/>
            <w:vAlign w:val="center"/>
            <w:textDirection w:val="lrTb"/>
            <w:noWrap w:val="false"/>
          </w:tcPr>
          <w:p>
            <w:pPr>
              <w:jc w:val="center"/>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备品备件</w:t>
            </w:r>
            <w:r/>
          </w:p>
          <w:p>
            <w:pPr>
              <w:jc w:val="center"/>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（4分）</w:t>
            </w:r>
            <w:r/>
          </w:p>
        </w:tc>
        <w:tc>
          <w:tcPr>
            <w:tcW w:w="7395" w:type="dxa"/>
            <w:vAlign w:val="center"/>
            <w:textDirection w:val="lrTb"/>
            <w:noWrap w:val="false"/>
          </w:tcPr>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根据投标人在质保期内可提供的易损件、备件数量以及质保期外维修性价比进行评审：</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质保期内易损件、备件储备清单完整，保外维修报价明细齐全，性价比高的，得4分；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提供主要易损件、备件清单，保外维修有报价，性价比一般，得2 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仅提供部分易损件、 备件清单，未提供保外维修价格，得 1 分；</w:t>
            </w:r>
            <w:r/>
          </w:p>
          <w:p>
            <w:p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未提供的，不得分。</w:t>
            </w:r>
            <w:r/>
          </w:p>
        </w:tc>
      </w:tr>
      <w:tr>
        <w:trPr>
          <w:jc w:val="center"/>
          <w:trHeight w:val="2034"/>
        </w:trPr>
        <w:tc>
          <w:tcPr>
            <w:tcW w:w="1267" w:type="dxa"/>
            <w:vAlign w:val="center"/>
            <w:textDirection w:val="lrTb"/>
            <w:noWrap w:val="false"/>
          </w:tcPr>
          <w:p>
            <w:pPr>
              <w:jc w:val="center"/>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免费质保</w:t>
            </w:r>
            <w:r/>
          </w:p>
          <w:p>
            <w:pPr>
              <w:jc w:val="center"/>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（5分）</w:t>
            </w:r>
            <w:r/>
          </w:p>
        </w:tc>
        <w:tc>
          <w:tcPr>
            <w:tcW w:w="7395" w:type="dxa"/>
            <w:vAlign w:val="center"/>
            <w:textDirection w:val="lrTb"/>
            <w:noWrap w:val="false"/>
          </w:tcPr>
          <w:p>
            <w:pPr>
              <w:numPr>
                <w:ilvl w:val="0"/>
                <w:numId w:val="6"/>
              </w:numPr>
              <w:jc w:val="left"/>
              <w:keepLines w:val="0"/>
              <w:keepNext w:val="0"/>
              <w:pageBreakBefore w:val="0"/>
              <w:spacing w:after="0"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投标人提供设备制造商出具的原厂质保承诺的，得1分（原件扫描上传系统），无有效证明材料不得分；</w:t>
            </w:r>
            <w:r/>
          </w:p>
          <w:p>
            <w:pPr>
              <w:numPr>
                <w:ilvl w:val="0"/>
                <w:numId w:val="6"/>
              </w:numPr>
              <w:jc w:val="left"/>
              <w:keepLines w:val="0"/>
              <w:keepNext w:val="0"/>
              <w:pageBreakBefore w:val="0"/>
              <w:spacing w:after="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满足招标文件基本质保期要求的，不得分，在3年的基础上每延长一年加2分，最多加至4分（提供承诺函加盖投标人公章，原件扫描上传系统）</w:t>
            </w:r>
            <w:r/>
          </w:p>
        </w:tc>
      </w:tr>
      <w:tr>
        <w:trPr>
          <w:jc w:val="center"/>
          <w:trHeight w:val="1903"/>
        </w:trPr>
        <w:tc>
          <w:tcPr>
            <w:tcW w:w="1267" w:type="dxa"/>
            <w:vAlign w:val="center"/>
            <w:textDirection w:val="lrTb"/>
            <w:noWrap w:val="false"/>
          </w:tcPr>
          <w:p>
            <w:pPr>
              <w:jc w:val="center"/>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业绩</w:t>
            </w:r>
            <w:r/>
          </w:p>
          <w:p>
            <w:pPr>
              <w:jc w:val="center"/>
              <w:keepLines w:val="0"/>
              <w:keepNext w:val="0"/>
              <w:pageBreakBefore w:val="0"/>
              <w:spacing w:after="0"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（2分）</w:t>
            </w:r>
            <w:r/>
          </w:p>
        </w:tc>
        <w:tc>
          <w:tcPr>
            <w:tcW w:w="7395" w:type="dxa"/>
            <w:vAlign w:val="center"/>
            <w:textDirection w:val="lrTb"/>
            <w:noWrap w:val="false"/>
          </w:tcPr>
          <w:p>
            <w:pPr>
              <w:jc w:val="left"/>
              <w:keepLines w:val="0"/>
              <w:keepNext w:val="0"/>
              <w:pageBreakBefore w:val="0"/>
              <w:spacing w:after="0"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自2023年1月1日以来(以合同签订时间为准)，投标人具有类似项目业绩的，每提供1个得1分，最高得2分</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(提供项目合同及合同对应发票原件扫描上传系统，未提供或提供不全不得分)</w:t>
            </w:r>
            <w:bookmarkStart w:id="107" w:name="_GoBack"/>
            <w:r/>
            <w:bookmarkEnd w:id="107"/>
            <w:r/>
            <w:r/>
          </w:p>
        </w:tc>
      </w:tr>
    </w:tbl>
    <w:p>
      <w:pPr>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评审过程中出现下列情形之一的，评审委员会应当启动异常低价投标（响应）审查程序：</w:t>
      </w:r>
      <w:r/>
    </w:p>
    <w:p>
      <w:pPr>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（3）投标（响应）报价低于采购项目最高限价50% 的，即投标（响应）报价&lt;采购项目最高限价×50%；</w:t>
      </w:r>
      <w:r/>
    </w:p>
    <w:p>
      <w:pPr>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评审委员会启动异常低价投标（响应）审查后，属于前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时间提交证明材料。30 分钟为评审系统内线上提交的时限，超时未提交视为无法说明报价合理性 </w:t>
      </w:r>
      <w:r/>
    </w:p>
    <w:p>
      <w:pPr>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22"/>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2"/>
        <w:keepLines w:val="0"/>
        <w:keepNext w:val="0"/>
        <w:pageBreakBefore w:val="0"/>
        <w:spacing w:line="360" w:lineRule="auto"/>
        <w:widowControl w:val="off"/>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p>
    <w:p>
      <w:pPr>
        <w:pStyle w:val="678"/>
        <w:rPr>
          <w:rFonts w:hint="eastAsia"/>
          <w:color w:val="000000"/>
          <w:sz w:val="44"/>
          <w:szCs w:val="44"/>
          <w:highlight w:val="none"/>
        </w:rPr>
      </w:pPr>
      <w:r/>
      <w:bookmarkStart w:id="74" w:name="_Toc18779"/>
      <w:r/>
      <w:r/>
    </w:p>
    <w:p>
      <w:pPr>
        <w:pStyle w:val="678"/>
        <w:rPr>
          <w:rFonts w:hint="eastAsia"/>
          <w:color w:val="000000"/>
          <w:highlight w:val="none"/>
        </w:rPr>
      </w:pPr>
      <w:r>
        <w:rPr>
          <w:rFonts w:hint="eastAsia"/>
          <w:color w:val="000000"/>
          <w:sz w:val="44"/>
          <w:szCs w:val="44"/>
          <w:highlight w:val="none"/>
        </w:rPr>
        <w:t xml:space="preserve">第六章 投标文件格式</w:t>
      </w:r>
      <w:bookmarkEnd w:id="74"/>
      <w:r>
        <w:rPr>
          <w:rFonts w:hint="eastAsia"/>
          <w:color w:val="000000"/>
          <w:highlight w:val="none"/>
        </w:rPr>
        <w:t xml:space="preserve"> </w:t>
      </w:r>
      <w:r/>
    </w:p>
    <w:p>
      <w:pP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19"/>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rPr>
          <w:rFonts w:hint="eastAsia"/>
          <w:color w:val="000000"/>
          <w:highlight w:val="none"/>
        </w:rPr>
      </w:pPr>
      <w:r>
        <w:rPr>
          <w:rFonts w:hint="eastAsia"/>
          <w:color w:val="000000"/>
          <w:highlight w:val="none"/>
        </w:rPr>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p>
    <w:p>
      <w:pPr>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招 标 编 号：</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p>
    <w:p>
      <w:pPr>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投  标  人：（电子签章）</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投标主要文件目录</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一、资格审查响应对照表</w:t>
      </w:r>
      <w:r/>
    </w:p>
    <w:p>
      <w:pPr>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二、符合性审查响应对照表</w:t>
      </w:r>
      <w:r/>
    </w:p>
    <w:p>
      <w:pPr>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三、非实质性响应对照表</w:t>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四</w:t>
      </w:r>
      <w:r>
        <w:rPr>
          <w:rFonts w:hint="eastAsia" w:ascii="宋体" w:hAnsi="宋体" w:eastAsia="宋体" w:cs="宋体"/>
          <w:b/>
          <w:bCs/>
          <w:color w:val="000000"/>
          <w:sz w:val="24"/>
          <w:highlight w:val="none"/>
        </w:rPr>
        <w:t xml:space="preserve">、</w:t>
      </w:r>
      <w:r>
        <w:rPr>
          <w:rFonts w:hint="eastAsia" w:ascii="宋体" w:hAnsi="宋体" w:eastAsia="宋体" w:cs="宋体"/>
          <w:i/>
          <w:color w:val="000000"/>
          <w:sz w:val="24"/>
          <w:highlight w:val="none"/>
          <w:u w:val="single"/>
        </w:rPr>
        <w:t xml:space="preserve">开标一览表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五、投标配置与分项报价表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w:t>
      </w:r>
      <w:r>
        <w:rPr>
          <w:rFonts w:hint="eastAsia" w:ascii="宋体" w:hAnsi="宋体" w:eastAsia="宋体" w:cs="宋体"/>
          <w:color w:val="000000"/>
          <w:sz w:val="24"/>
          <w:szCs w:val="24"/>
          <w:highlight w:val="none"/>
        </w:rPr>
        <w:t xml:space="preserve">、技术参数响应及偏离表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七、商务条款响应及偏离表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八、主要标的信息（中标后将公示）</w:t>
      </w:r>
      <w:r/>
    </w:p>
    <w:p>
      <w:pPr>
        <w:ind w:firstLine="480"/>
        <w:spacing w:line="360" w:lineRule="auto"/>
        <w:rPr>
          <w:rFonts w:hint="eastAsia" w:ascii="宋体" w:hAnsi="宋体" w:eastAsia="宋体" w:cs="宋体"/>
          <w:color w:val="000000"/>
          <w:sz w:val="36"/>
          <w:szCs w:val="36"/>
          <w:highlight w:val="none"/>
        </w:rPr>
      </w:pPr>
      <w:r>
        <w:rPr>
          <w:rFonts w:hint="eastAsia" w:ascii="宋体" w:hAnsi="宋体" w:cs="宋体"/>
          <w:color w:val="000000"/>
          <w:sz w:val="24"/>
          <w:highlight w:val="none"/>
          <w:lang w:val="en-US" w:eastAsia="zh-CN"/>
        </w:rPr>
        <w:t xml:space="preserve">九、</w:t>
      </w:r>
      <w:r>
        <w:rPr>
          <w:rFonts w:hint="eastAsia" w:ascii="宋体" w:hAnsi="宋体" w:eastAsia="宋体" w:cs="宋体"/>
          <w:color w:val="000000"/>
          <w:sz w:val="24"/>
          <w:highlight w:val="none"/>
        </w:rPr>
        <w:t xml:space="preserve">其他 （投标人认为有必要提供的声明和文件，如有自拟并自行添加）</w:t>
      </w:r>
      <w:r/>
    </w:p>
    <w:p>
      <w:pPr>
        <w:contextualSpacing/>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contextualSpacing/>
        <w:jc w:val="center"/>
        <w:spacing w:line="600" w:lineRule="exact"/>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contextualSpacing/>
        <w:jc w:val="center"/>
        <w:spacing w:line="600" w:lineRule="exact"/>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9"/>
        <w:rPr>
          <w:rFonts w:hint="eastAsia" w:ascii="宋体" w:hAnsi="宋体" w:eastAsia="宋体" w:cs="宋体"/>
          <w:b w:val="0"/>
          <w:color w:val="000000"/>
          <w:sz w:val="32"/>
          <w:szCs w:val="32"/>
          <w:highlight w:val="none"/>
        </w:rPr>
      </w:pPr>
      <w:r>
        <w:rPr>
          <w:rFonts w:hint="eastAsia" w:ascii="宋体" w:hAnsi="宋体" w:eastAsia="宋体" w:cs="宋体"/>
          <w:color w:val="000000"/>
          <w:sz w:val="32"/>
          <w:szCs w:val="32"/>
          <w:highlight w:val="none"/>
        </w:rPr>
        <w:br w:type="page" w:clear="all"/>
      </w:r>
      <w:bookmarkStart w:id="75" w:name="_Toc5792"/>
      <w:r/>
      <w:bookmarkStart w:id="76" w:name="_Toc7268"/>
      <w:r/>
      <w:bookmarkStart w:id="77" w:name="_Toc20369"/>
      <w:r>
        <w:rPr>
          <w:rFonts w:hint="eastAsia" w:ascii="宋体" w:hAnsi="宋体" w:eastAsia="宋体" w:cs="宋体"/>
          <w:color w:val="000000"/>
          <w:sz w:val="32"/>
          <w:highlight w:val="none"/>
        </w:rPr>
        <w:t xml:space="preserve">一、资格审查响应对照表</w:t>
      </w:r>
      <w:bookmarkEnd w:id="75"/>
      <w:r/>
      <w:bookmarkEnd w:id="76"/>
      <w:r/>
      <w:bookmarkEnd w:id="77"/>
      <w:r/>
      <w:r/>
    </w:p>
    <w:tbl>
      <w:tblPr>
        <w:tblStyle w:val="688"/>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5801"/>
        <w:gridCol w:w="2030"/>
      </w:tblGrid>
      <w:tr>
        <w:trPr>
          <w:trHeight w:val="647"/>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p>
        </w:tc>
        <w:tc>
          <w:tcPr>
            <w:tcW w:w="580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资格审查响应内容</w:t>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是否响应</w:t>
            </w:r>
            <w:r/>
          </w:p>
          <w:p>
            <w:pPr>
              <w:jc w:val="center"/>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（填是或者否）</w:t>
            </w:r>
            <w:r/>
          </w:p>
        </w:tc>
      </w:tr>
      <w:tr>
        <w:trPr>
          <w:trHeight w:val="524"/>
        </w:trPr>
        <w:tc>
          <w:tcPr>
            <w:gridSpan w:val="3"/>
            <w:tcW w:w="8519"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通用资格条件</w:t>
            </w:r>
            <w:r/>
          </w:p>
        </w:tc>
      </w:tr>
      <w:tr>
        <w:trPr>
          <w:trHeight w:val="761"/>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5801"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法人或者其他组织的营业执照等证明文件，自然人的身份证明</w:t>
            </w:r>
            <w:r/>
          </w:p>
        </w:tc>
        <w:tc>
          <w:tcPr>
            <w:tcW w:w="203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tc>
      </w:tr>
      <w:tr>
        <w:trPr>
          <w:trHeight w:val="585"/>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5801"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上一年度的财务报告情况（成立不满一年无需提供）</w:t>
            </w:r>
            <w:r/>
          </w:p>
        </w:tc>
        <w:tc>
          <w:tcPr>
            <w:tcW w:w="203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85"/>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5801"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03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417"/>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5801"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具备履行合同所必需的设备和专业技术能力的书面声明；</w:t>
            </w:r>
            <w:r/>
          </w:p>
        </w:tc>
        <w:tc>
          <w:tcPr>
            <w:tcW w:w="203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80"/>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W w:w="5801"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参加政府采购活动前3年内在经营活动中没有重大违法记录的书面声明；</w:t>
            </w:r>
            <w:r/>
          </w:p>
        </w:tc>
        <w:tc>
          <w:tcPr>
            <w:tcW w:w="203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80"/>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5801"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供应商信用承诺书；</w:t>
            </w:r>
            <w:r/>
          </w:p>
        </w:tc>
        <w:tc>
          <w:tcPr>
            <w:tcW w:w="203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80"/>
        </w:trPr>
        <w:tc>
          <w:tcPr>
            <w:tcW w:w="6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W w:w="5801"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03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28"/>
        </w:trPr>
        <w:tc>
          <w:tcPr>
            <w:gridSpan w:val="3"/>
            <w:tcW w:w="8519"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落实政府采购政策需满足的资格要求：本项目为非专门面向中小微企业项目</w:t>
            </w:r>
            <w:r/>
          </w:p>
        </w:tc>
      </w:tr>
      <w:tr>
        <w:trPr>
          <w:trHeight w:val="452"/>
        </w:trPr>
        <w:tc>
          <w:tcPr>
            <w:gridSpan w:val="3"/>
            <w:tcW w:w="8519"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本项目的特定资格要求</w:t>
            </w:r>
            <w:r/>
          </w:p>
        </w:tc>
      </w:tr>
      <w:tr>
        <w:trPr>
          <w:trHeight w:val="780"/>
        </w:trPr>
        <w:tc>
          <w:tcPr>
            <w:tcW w:w="688" w:type="dxa"/>
            <w:vAlign w:val="center"/>
            <w:textDirection w:val="lrTb"/>
            <w:noWrap w:val="false"/>
          </w:tcPr>
          <w:p>
            <w:pPr>
              <w:jc w:val="center"/>
              <w:keepLines w:val="0"/>
              <w:keepNext w:val="0"/>
              <w:pageBreakBefore w:val="0"/>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W w:w="5801" w:type="dxa"/>
            <w:vAlign w:val="center"/>
            <w:textDirection w:val="lrTb"/>
            <w:noWrap w:val="false"/>
          </w:tcPr>
          <w:p>
            <w:pPr>
              <w:ind w:firstLine="420"/>
              <w:jc w:val="left"/>
              <w:spacing w:line="360" w:lineRule="auto"/>
              <w:tabs>
                <w:tab w:val="left" w:pos="900" w:leader="none"/>
              </w:tabs>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1.</w:t>
            </w:r>
            <w:r>
              <w:rPr>
                <w:rFonts w:hint="eastAsia" w:ascii="宋体" w:hAnsi="宋体" w:eastAsia="宋体" w:cs="宋体"/>
                <w:b/>
                <w:bCs/>
                <w:i/>
                <w:iCs/>
                <w:sz w:val="21"/>
                <w:szCs w:val="21"/>
                <w:highlight w:val="none"/>
                <w:u w:val="single"/>
                <w:lang w:eastAsia="zh-CN"/>
              </w:rPr>
              <w:t xml:space="preserve">供应商</w:t>
            </w:r>
            <w:r>
              <w:rPr>
                <w:rFonts w:hint="eastAsia" w:ascii="宋体" w:hAnsi="宋体" w:eastAsia="宋体" w:cs="宋体"/>
                <w:b/>
                <w:bCs/>
                <w:i/>
                <w:iCs/>
                <w:sz w:val="21"/>
                <w:szCs w:val="21"/>
                <w:highlight w:val="none"/>
                <w:u w:val="single"/>
              </w:rPr>
              <w:t xml:space="preserve">须提供投标</w:t>
            </w:r>
            <w:r>
              <w:rPr>
                <w:rFonts w:hint="eastAsia" w:ascii="宋体" w:hAnsi="宋体" w:eastAsia="宋体" w:cs="宋体"/>
                <w:b/>
                <w:bCs/>
                <w:i/>
                <w:iCs/>
                <w:sz w:val="21"/>
                <w:szCs w:val="21"/>
                <w:highlight w:val="none"/>
                <w:u w:val="single"/>
                <w:lang w:eastAsia="zh-CN"/>
              </w:rPr>
              <w:t xml:space="preserve">响应</w:t>
            </w:r>
            <w:r>
              <w:rPr>
                <w:rFonts w:hint="eastAsia" w:ascii="宋体" w:hAnsi="宋体" w:eastAsia="宋体" w:cs="宋体"/>
                <w:b/>
                <w:bCs/>
                <w:i/>
                <w:iCs/>
                <w:sz w:val="21"/>
                <w:szCs w:val="21"/>
                <w:highlight w:val="none"/>
                <w:u w:val="single"/>
              </w:rPr>
              <w:t xml:space="preserve">产品的《中华人民共和国医疗器械注册证》</w:t>
            </w:r>
            <w:r>
              <w:rPr>
                <w:rFonts w:hint="eastAsia" w:ascii="宋体" w:hAnsi="宋体" w:eastAsia="宋体" w:cs="宋体"/>
                <w:b/>
                <w:bCs/>
                <w:i/>
                <w:iCs/>
                <w:color w:val="000000"/>
                <w:sz w:val="21"/>
                <w:szCs w:val="21"/>
                <w:highlight w:val="none"/>
                <w:u w:val="single"/>
                <w:lang w:eastAsia="zh-CN"/>
              </w:rPr>
              <w:t xml:space="preserve">（原件扫描系统上传）</w:t>
            </w:r>
            <w:r>
              <w:rPr>
                <w:rFonts w:hint="eastAsia" w:ascii="宋体" w:hAnsi="宋体" w:eastAsia="宋体" w:cs="宋体"/>
                <w:b/>
                <w:bCs/>
                <w:i/>
                <w:iCs/>
                <w:sz w:val="21"/>
                <w:szCs w:val="21"/>
                <w:highlight w:val="none"/>
                <w:u w:val="single"/>
              </w:rPr>
              <w:t xml:space="preserve">；</w:t>
            </w:r>
            <w:r/>
          </w:p>
          <w:p>
            <w:pPr>
              <w:ind w:firstLine="420"/>
              <w:jc w:val="left"/>
              <w:spacing w:line="360" w:lineRule="auto"/>
              <w:tabs>
                <w:tab w:val="left" w:pos="900" w:leader="none"/>
              </w:tabs>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lang w:val="en-US" w:eastAsia="zh-CN"/>
              </w:rPr>
              <w:t xml:space="preserve">2</w:t>
            </w:r>
            <w:r>
              <w:rPr>
                <w:rFonts w:hint="eastAsia" w:ascii="宋体" w:hAnsi="宋体" w:eastAsia="宋体" w:cs="宋体"/>
                <w:b/>
                <w:bCs/>
                <w:i/>
                <w:iCs/>
                <w:sz w:val="21"/>
                <w:szCs w:val="21"/>
                <w:highlight w:val="none"/>
                <w:u w:val="single"/>
              </w:rPr>
              <w:t xml:space="preserve">.</w:t>
            </w:r>
            <w:r>
              <w:rPr>
                <w:rFonts w:hint="eastAsia" w:ascii="宋体" w:hAnsi="宋体" w:eastAsia="宋体" w:cs="宋体"/>
                <w:b/>
                <w:bCs/>
                <w:i/>
                <w:iCs/>
                <w:sz w:val="21"/>
                <w:szCs w:val="21"/>
                <w:highlight w:val="none"/>
                <w:u w:val="single"/>
                <w:lang w:eastAsia="zh-CN"/>
              </w:rPr>
              <w:t xml:space="preserve">供应商</w:t>
            </w:r>
            <w:r>
              <w:rPr>
                <w:rFonts w:hint="eastAsia" w:ascii="宋体" w:hAnsi="宋体" w:eastAsia="宋体" w:cs="宋体"/>
                <w:b/>
                <w:bCs/>
                <w:i/>
                <w:iCs/>
                <w:sz w:val="21"/>
                <w:szCs w:val="21"/>
                <w:highlight w:val="none"/>
                <w:u w:val="single"/>
              </w:rPr>
              <w:t xml:space="preserve">为医疗器械经营企业的，须提供《医疗器械经营许可证》或者《二类医疗器械经营备案凭证》</w:t>
            </w:r>
            <w:r>
              <w:rPr>
                <w:rFonts w:hint="eastAsia" w:ascii="宋体" w:hAnsi="宋体" w:eastAsia="宋体" w:cs="宋体"/>
                <w:b/>
                <w:bCs/>
                <w:i/>
                <w:iCs/>
                <w:color w:val="000000"/>
                <w:sz w:val="21"/>
                <w:szCs w:val="21"/>
                <w:highlight w:val="none"/>
                <w:u w:val="single"/>
                <w:lang w:eastAsia="zh-CN"/>
              </w:rPr>
              <w:t xml:space="preserve">（原件扫描系统上传）</w:t>
            </w:r>
            <w:r>
              <w:rPr>
                <w:rFonts w:hint="eastAsia" w:ascii="宋体" w:hAnsi="宋体" w:eastAsia="宋体" w:cs="宋体"/>
                <w:b/>
                <w:bCs/>
                <w:i/>
                <w:iCs/>
                <w:sz w:val="21"/>
                <w:szCs w:val="21"/>
                <w:highlight w:val="none"/>
                <w:u w:val="single"/>
              </w:rPr>
              <w:t xml:space="preserve">；</w:t>
            </w:r>
            <w:r/>
          </w:p>
          <w:p>
            <w:pPr>
              <w:ind w:firstLine="420"/>
              <w:jc w:val="left"/>
              <w:spacing w:line="360" w:lineRule="auto"/>
              <w:tabs>
                <w:tab w:val="left" w:pos="90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i/>
                <w:iCs/>
                <w:sz w:val="21"/>
                <w:szCs w:val="21"/>
                <w:highlight w:val="none"/>
                <w:u w:val="single"/>
                <w:lang w:val="en-US" w:eastAsia="zh-CN"/>
              </w:rPr>
              <w:t xml:space="preserve">3.供应商为医疗器械生产企业的，</w:t>
            </w:r>
            <w:r>
              <w:rPr>
                <w:rFonts w:hint="eastAsia" w:ascii="宋体" w:hAnsi="宋体" w:eastAsia="宋体" w:cs="宋体"/>
                <w:b/>
                <w:bCs/>
                <w:i/>
                <w:iCs/>
                <w:sz w:val="21"/>
                <w:szCs w:val="21"/>
                <w:highlight w:val="none"/>
                <w:u w:val="single"/>
              </w:rPr>
              <w:t xml:space="preserve">须提供《医疗器械生产许可证》</w:t>
            </w:r>
            <w:r>
              <w:rPr>
                <w:rFonts w:hint="eastAsia" w:ascii="宋体" w:hAnsi="宋体" w:eastAsia="宋体" w:cs="宋体"/>
                <w:b/>
                <w:bCs/>
                <w:i/>
                <w:iCs/>
                <w:color w:val="000000"/>
                <w:sz w:val="21"/>
                <w:szCs w:val="21"/>
                <w:highlight w:val="none"/>
                <w:u w:val="single"/>
                <w:lang w:eastAsia="zh-CN"/>
              </w:rPr>
              <w:t xml:space="preserve">（原件扫描系统上传）。</w:t>
            </w:r>
            <w:r/>
          </w:p>
        </w:tc>
        <w:tc>
          <w:tcPr>
            <w:tcW w:w="203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400"/>
        </w:trPr>
        <w:tc>
          <w:tcPr>
            <w:gridSpan w:val="3"/>
            <w:tcW w:w="8519"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其他资格条件</w:t>
            </w:r>
            <w:r/>
          </w:p>
        </w:tc>
      </w:tr>
      <w:tr>
        <w:trPr>
          <w:trHeight w:val="400"/>
        </w:trPr>
        <w:tc>
          <w:tcPr>
            <w:tcW w:w="688" w:type="dxa"/>
            <w:vAlign w:val="center"/>
            <w:textDirection w:val="lrTb"/>
            <w:noWrap w:val="false"/>
          </w:tcPr>
          <w:p>
            <w:pPr>
              <w:jc w:val="center"/>
              <w:keepLines w:val="0"/>
              <w:keepNext w:val="0"/>
              <w:pageBreakBefore w:val="0"/>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p>
        </w:tc>
        <w:tc>
          <w:tcPr>
            <w:tcW w:w="580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投标函</w:t>
            </w:r>
            <w:r/>
          </w:p>
        </w:tc>
        <w:tc>
          <w:tcPr>
            <w:tcW w:w="203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462"/>
        </w:trPr>
        <w:tc>
          <w:tcPr>
            <w:tcW w:w="688" w:type="dxa"/>
            <w:vAlign w:val="center"/>
            <w:textDirection w:val="lrTb"/>
            <w:noWrap w:val="false"/>
          </w:tcPr>
          <w:p>
            <w:pPr>
              <w:jc w:val="center"/>
              <w:keepLines w:val="0"/>
              <w:keepNext w:val="0"/>
              <w:pageBreakBefore w:val="0"/>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p>
        </w:tc>
        <w:tc>
          <w:tcPr>
            <w:tcW w:w="580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法人授权书</w:t>
            </w:r>
            <w:r/>
          </w:p>
        </w:tc>
        <w:tc>
          <w:tcPr>
            <w:tcW w:w="203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ind w:firstLine="1476"/>
        <w:spacing w:before="156" w:after="156" w:line="360" w:lineRule="auto"/>
        <w:rPr>
          <w:rFonts w:hint="eastAsia" w:ascii="宋体" w:hAnsi="宋体" w:eastAsia="宋体" w:cs="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highlight w:val="none"/>
        </w:rPr>
      </w:r>
      <w:r/>
    </w:p>
    <w:p>
      <w:pPr>
        <w:ind w:firstLine="1476"/>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ind w:firstLine="1476"/>
        <w:spacing w:before="156" w:after="156"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具备履行合同所必需的设备和专业技术能力的书面声明</w:t>
      </w:r>
      <w:r/>
    </w:p>
    <w:p>
      <w:pPr>
        <w:ind w:firstLine="492"/>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60"/>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主要设备有：</w:t>
      </w:r>
      <w:r/>
    </w:p>
    <w:p>
      <w:pPr>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主要专业技术能力有：</w:t>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br w:type="page" w:clear="all"/>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after="312"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声  明</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供应商名称（公章）：</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法定代表人签章：</w:t>
      </w:r>
      <w:r>
        <w:rPr>
          <w:rFonts w:hint="eastAsia" w:ascii="宋体" w:hAnsi="宋体" w:eastAsia="宋体" w:cs="宋体"/>
          <w:bCs/>
          <w:color w:val="000000"/>
          <w:sz w:val="24"/>
          <w:szCs w:val="24"/>
          <w:highlight w:val="none"/>
          <w:u w:val="single"/>
        </w:rPr>
        <w:t xml:space="preserve">_______________________</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  年  月  日</w:t>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500" w:lineRule="exact"/>
        <w:rPr>
          <w:rFonts w:hint="eastAsia" w:ascii="宋体" w:hAnsi="宋体" w:eastAsia="宋体" w:cs="宋体"/>
          <w:b/>
          <w:color w:val="000000"/>
          <w:szCs w:val="21"/>
          <w:highlight w:val="none"/>
        </w:rPr>
      </w:pPr>
      <w:r>
        <w:rPr>
          <w:rFonts w:hint="eastAsia" w:ascii="宋体" w:hAnsi="宋体" w:eastAsia="宋体" w:cs="宋体"/>
          <w:b/>
          <w:bCs/>
          <w:color w:val="000000"/>
          <w:highlight w:val="none"/>
        </w:rPr>
        <w:br w:type="page" w:clear="all"/>
      </w:r>
      <w:r>
        <w:rPr>
          <w:rFonts w:hint="eastAsia" w:ascii="宋体" w:hAnsi="宋体" w:eastAsia="宋体" w:cs="宋体"/>
          <w:b/>
          <w:color w:val="000000"/>
          <w:szCs w:val="21"/>
          <w:highlight w:val="none"/>
        </w:rPr>
        <w:t xml:space="preserve">供应商信用承诺书</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承诺主体名称：</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十、本承诺书自签订之日起生效。</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（注：法定代表人或负责人、主体名称发生变更的应当重新</w:t>
      </w:r>
      <w:r>
        <w:rPr>
          <w:rFonts w:hint="eastAsia" w:ascii="宋体" w:hAnsi="宋体" w:cs="宋体"/>
          <w:color w:val="000000"/>
          <w:szCs w:val="21"/>
          <w:highlight w:val="none"/>
          <w:lang w:eastAsia="zh-CN"/>
        </w:rPr>
        <w:t xml:space="preserve">作出</w:t>
      </w:r>
      <w:r>
        <w:rPr>
          <w:rFonts w:hint="eastAsia" w:ascii="宋体" w:hAnsi="宋体" w:eastAsia="宋体" w:cs="宋体"/>
          <w:color w:val="000000"/>
          <w:szCs w:val="21"/>
          <w:highlight w:val="none"/>
        </w:rPr>
        <w:t xml:space="preserve">承诺。）</w:t>
      </w:r>
      <w:r/>
    </w:p>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承诺单位（签章）：           </w:t>
      </w:r>
      <w:r/>
    </w:p>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法定代表人（负责人）：</w:t>
      </w:r>
      <w:r/>
    </w:p>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年    月    日</w:t>
      </w:r>
      <w:r/>
    </w:p>
    <w:p>
      <w:pPr>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投标函格式</w:t>
      </w:r>
      <w:r/>
    </w:p>
    <w:p>
      <w:pPr>
        <w:pStyle w:val="941"/>
        <w:ind w:firstLine="0"/>
        <w:spacing w:before="0" w:after="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highlight w:val="none"/>
          <w:lang w:eastAsia="zh-CN"/>
        </w:rPr>
        <w:t xml:space="preserve">江苏唯诚建设咨询有限公司</w:t>
      </w:r>
      <w:r/>
    </w:p>
    <w:p>
      <w:pPr>
        <w:pStyle w:val="941"/>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根据贵方的（）号招标文件，正式授权下述签字人_________________</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姓名</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代表我方______________（投标人的名称），全权处理本次项目投标的有关事宜。</w:t>
      </w:r>
      <w:r/>
    </w:p>
    <w:p>
      <w:pPr>
        <w:pStyle w:val="941"/>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据此函，__________签字人（姓名）兹宣布同意如下：</w:t>
      </w:r>
      <w:r/>
    </w:p>
    <w:p>
      <w:pPr>
        <w:pStyle w:val="941"/>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rPr>
        <w:t xml:space="preserve">招标文件规定的各项要求，向买方提供所需货物与服务。</w:t>
      </w:r>
      <w:r/>
    </w:p>
    <w:p>
      <w:pPr>
        <w:pStyle w:val="941"/>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2.我们完全理解贵方不一定将合同授予最低报价的投标人。</w:t>
      </w:r>
      <w:r/>
    </w:p>
    <w:p>
      <w:pPr>
        <w:pStyle w:val="941"/>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3.我们已详细审核全部招标文件及其有效补充文件，我们知道必须放弃提出含糊不清或误解问题的权利。</w:t>
      </w:r>
      <w:r/>
    </w:p>
    <w:p>
      <w:pPr>
        <w:pStyle w:val="941"/>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4.我们同意从规定的开标日期起遵循本投标文件，并在规定的投标有效期期满之前均具有约束力。</w:t>
      </w:r>
      <w:r/>
    </w:p>
    <w:p>
      <w:pPr>
        <w:pStyle w:val="941"/>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5.同意向贵方提供贵方可能另外要求的与投标有关的任何证据或资料，并保证我方已提供和将要提供的文件是真实的、准确的。</w:t>
      </w:r>
      <w:r/>
    </w:p>
    <w:p>
      <w:pPr>
        <w:pStyle w:val="941"/>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6.一旦我方中标</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我方将根据招标文件的规定，严格履行合同的责任和义务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并保证在招标文件规定的时间完成项目，交付买方验收、使用。</w:t>
      </w:r>
      <w:r/>
    </w:p>
    <w:p>
      <w:pPr>
        <w:pStyle w:val="941"/>
        <w:ind w:left="425" w:firstLine="105"/>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7.与本投标有关的正式通讯地址为：</w:t>
      </w:r>
      <w:r/>
    </w:p>
    <w:p>
      <w:pPr>
        <w:pStyle w:val="941"/>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p>
    <w:p>
      <w:pPr>
        <w:pStyle w:val="941"/>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p>
    <w:p>
      <w:pPr>
        <w:pStyle w:val="941"/>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p>
    <w:p>
      <w:pPr>
        <w:pStyle w:val="941"/>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p>
    <w:p>
      <w:pPr>
        <w:pStyle w:val="941"/>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投标人开户行：</w:t>
      </w:r>
      <w:r/>
    </w:p>
    <w:p>
      <w:pPr>
        <w:pStyle w:val="941"/>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户： </w:t>
      </w:r>
      <w:r/>
    </w:p>
    <w:p>
      <w:pPr>
        <w:pStyle w:val="941"/>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 号：</w:t>
      </w:r>
      <w:r/>
    </w:p>
    <w:p>
      <w:pPr>
        <w:pStyle w:val="941"/>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期：________年____月____日</w:t>
      </w:r>
      <w:r/>
    </w:p>
    <w:p>
      <w:pPr>
        <w:contextualSpacing/>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21"/>
          <w:szCs w:val="21"/>
          <w:highlight w:val="none"/>
        </w:rPr>
        <w:t xml:space="preserve">法人授权书</w:t>
      </w:r>
      <w:r/>
    </w:p>
    <w:p>
      <w:pPr>
        <w:pStyle w:val="9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p>
    <w:p>
      <w:pPr>
        <w:pStyle w:val="942"/>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被授权人姓名： </w:t>
      </w:r>
      <w:r/>
    </w:p>
    <w:p>
      <w:pPr>
        <w:pStyle w:val="942"/>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联系电话（手机）：</w:t>
      </w:r>
      <w:r/>
    </w:p>
    <w:p>
      <w:pPr>
        <w:pStyle w:val="9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 </w:t>
      </w:r>
      <w:r/>
    </w:p>
    <w:p>
      <w:pPr>
        <w:pStyle w:val="942"/>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p>
    <w:p>
      <w:pPr>
        <w:pStyle w:val="9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p>
    <w:p>
      <w:pPr>
        <w:spacing w:line="4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20"/>
        <w:spacing w:line="460" w:lineRule="exact"/>
        <w:rPr>
          <w:rFonts w:hint="eastAsia" w:ascii="宋体" w:hAnsi="宋体" w:eastAsia="宋体" w:cs="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highlight w:val="none"/>
          <w:lang w:val="en-US" w:eastAsia="zh-CN"/>
        </w:rPr>
        <w:t xml:space="preserve">法定代表人身份证复印件、</w:t>
      </w:r>
      <w:r>
        <w:rPr>
          <w:rFonts w:hint="eastAsia" w:ascii="宋体" w:hAnsi="宋体" w:eastAsia="宋体" w:cs="宋体"/>
          <w:bCs/>
          <w:color w:val="000000"/>
          <w:highlight w:val="none"/>
        </w:rPr>
        <w:t xml:space="preserve">被授权人身份证复印件</w:t>
      </w:r>
      <w:r/>
    </w:p>
    <w:p>
      <w:pPr>
        <w:pStyle w:val="899"/>
        <w:rPr>
          <w:rFonts w:hint="eastAsia" w:ascii="宋体" w:hAnsi="宋体" w:eastAsia="宋体" w:cs="宋体"/>
          <w:color w:val="000000"/>
          <w:sz w:val="32"/>
          <w:highlight w:val="none"/>
        </w:rPr>
      </w:pPr>
      <w:r/>
      <w:bookmarkStart w:id="78" w:name="_Toc16911"/>
      <w:r/>
      <w:bookmarkStart w:id="79" w:name="_Toc9345"/>
      <w:r/>
      <w:bookmarkStart w:id="80" w:name="_Toc20616"/>
      <w:r>
        <w:rPr>
          <w:rFonts w:hint="eastAsia" w:ascii="宋体" w:hAnsi="宋体" w:eastAsia="宋体" w:cs="宋体"/>
          <w:color w:val="000000"/>
          <w:sz w:val="32"/>
          <w:highlight w:val="none"/>
        </w:rPr>
        <w:t xml:space="preserve">二、符合性审查响应对照表</w:t>
      </w:r>
      <w:bookmarkEnd w:id="78"/>
      <w:r/>
      <w:bookmarkEnd w:id="79"/>
      <w:r/>
      <w:bookmarkEnd w:id="80"/>
      <w:r/>
      <w:r/>
    </w:p>
    <w:tbl>
      <w:tblPr>
        <w:tblStyle w:val="68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5039"/>
        <w:gridCol w:w="1553"/>
        <w:gridCol w:w="1210"/>
      </w:tblGrid>
      <w:tr>
        <w:trPr>
          <w:trHeight w:val="882"/>
        </w:trPr>
        <w:tc>
          <w:tcPr>
            <w:tcW w:w="355" w:type="dxa"/>
            <w:vAlign w:val="center"/>
            <w:textDirection w:val="lrTb"/>
            <w:noWrap w:val="false"/>
          </w:tcPr>
          <w:p>
            <w:pPr>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p>
        </w:tc>
        <w:tc>
          <w:tcPr>
            <w:tcW w:w="2999" w:type="dxa"/>
            <w:vAlign w:val="center"/>
            <w:textDirection w:val="lrTb"/>
            <w:noWrap w:val="false"/>
          </w:tcPr>
          <w:p>
            <w:pPr>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符合性审查响应内容</w:t>
            </w:r>
            <w:r/>
          </w:p>
        </w:tc>
        <w:tc>
          <w:tcPr>
            <w:tcW w:w="924" w:type="dxa"/>
            <w:vAlign w:val="center"/>
            <w:textDirection w:val="lrTb"/>
            <w:noWrap w:val="false"/>
          </w:tcPr>
          <w:p>
            <w:pPr>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是否响应</w:t>
            </w:r>
            <w:r/>
          </w:p>
          <w:p>
            <w:pPr>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（填是或者否）</w:t>
            </w:r>
            <w:r/>
          </w:p>
        </w:tc>
        <w:tc>
          <w:tcPr>
            <w:tcW w:w="720" w:type="dxa"/>
            <w:vAlign w:val="center"/>
            <w:textDirection w:val="lrTb"/>
            <w:noWrap w:val="false"/>
          </w:tcPr>
          <w:p>
            <w:pPr>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响应情况</w:t>
            </w:r>
            <w:r/>
          </w:p>
        </w:tc>
      </w:tr>
      <w:tr>
        <w:trPr>
          <w:trHeight w:val="585"/>
        </w:trPr>
        <w:tc>
          <w:tcPr>
            <w:tcW w:w="355"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r/>
          </w:p>
        </w:tc>
        <w:tc>
          <w:tcPr>
            <w:tcW w:w="2999" w:type="dxa"/>
            <w:vAlign w:val="center"/>
            <w:textDirection w:val="lrTb"/>
            <w:noWrap w:val="false"/>
          </w:tcPr>
          <w:p>
            <w:pPr>
              <w:jc w:val="both"/>
              <w:spacing w:line="0" w:lineRule="atLeast"/>
              <w:widowControl w:val="off"/>
              <w:rPr>
                <w:rFonts w:hint="eastAsia" w:ascii="宋体" w:hAnsi="宋体" w:eastAsia="宋体" w:cs="宋体"/>
                <w:bCs/>
                <w:iCs/>
                <w:color w:val="000000"/>
                <w:sz w:val="21"/>
                <w:szCs w:val="21"/>
                <w:highlight w:val="none"/>
                <w:lang w:val="en-US" w:eastAsia="zh-CN" w:bidi="ar-SA"/>
              </w:rPr>
            </w:pPr>
            <w:r>
              <w:rPr>
                <w:rFonts w:hint="eastAsia" w:ascii="宋体" w:hAnsi="宋体" w:eastAsia="宋体" w:cs="宋体"/>
                <w:bCs/>
                <w:iCs/>
                <w:color w:val="000000"/>
                <w:sz w:val="21"/>
                <w:szCs w:val="21"/>
                <w:highlight w:val="none"/>
                <w:lang w:val="en-US" w:eastAsia="zh-CN" w:bidi="ar-SA"/>
              </w:rPr>
              <w:t xml:space="preserve">采购需求中必须满足的实质性要求（即加斜体下划线内容，每条详细列出）</w:t>
            </w:r>
            <w:r/>
          </w:p>
        </w:tc>
        <w:tc>
          <w:tcPr>
            <w:tcW w:w="924" w:type="dxa"/>
            <w:vAlign w:val="center"/>
            <w:textDirection w:val="lrTb"/>
            <w:noWrap w:val="false"/>
          </w:tcPr>
          <w:p>
            <w:pPr>
              <w:jc w:val="both"/>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tc>
        <w:tc>
          <w:tcPr>
            <w:tcW w:w="720" w:type="dxa"/>
            <w:vAlign w:val="center"/>
            <w:textDirection w:val="lrTb"/>
            <w:noWrap w:val="false"/>
          </w:tcPr>
          <w:p>
            <w:pPr>
              <w:jc w:val="both"/>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tc>
      </w:tr>
      <w:tr>
        <w:trPr>
          <w:trHeight w:val="585"/>
        </w:trPr>
        <w:tc>
          <w:tcPr>
            <w:tcW w:w="355"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2999" w:type="dxa"/>
            <w:vAlign w:val="center"/>
            <w:textDirection w:val="lrTb"/>
            <w:noWrap w:val="false"/>
          </w:tcPr>
          <w:p>
            <w:pPr>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r>
            <w:r/>
          </w:p>
        </w:tc>
        <w:tc>
          <w:tcPr>
            <w:tcW w:w="924"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85"/>
        </w:trPr>
        <w:tc>
          <w:tcPr>
            <w:tcW w:w="355"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2999" w:type="dxa"/>
            <w:vAlign w:val="center"/>
            <w:textDirection w:val="lrTb"/>
            <w:noWrap w:val="false"/>
          </w:tcPr>
          <w:p>
            <w:pPr>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r>
            <w:r/>
          </w:p>
        </w:tc>
        <w:tc>
          <w:tcPr>
            <w:tcW w:w="924"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417"/>
        </w:trPr>
        <w:tc>
          <w:tcPr>
            <w:tcW w:w="355"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2999" w:type="dxa"/>
            <w:vAlign w:val="center"/>
            <w:textDirection w:val="lrTb"/>
            <w:noWrap w:val="false"/>
          </w:tcPr>
          <w:p>
            <w:pPr>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r>
            <w:r/>
          </w:p>
        </w:tc>
        <w:tc>
          <w:tcPr>
            <w:tcW w:w="924"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80"/>
        </w:trPr>
        <w:tc>
          <w:tcPr>
            <w:tcW w:w="355"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W w:w="2999" w:type="dxa"/>
            <w:vAlign w:val="center"/>
            <w:textDirection w:val="lrTb"/>
            <w:noWrap w:val="false"/>
          </w:tcPr>
          <w:p>
            <w:pPr>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w:t>
            </w:r>
            <w:r/>
          </w:p>
        </w:tc>
        <w:tc>
          <w:tcPr>
            <w:tcW w:w="924"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color w:val="000000"/>
          <w:sz w:val="32"/>
          <w:szCs w:val="32"/>
          <w:highlight w:val="none"/>
        </w:rPr>
      </w:pPr>
      <w:r>
        <w:rPr>
          <w:highlight w:val="none"/>
        </w:rPr>
        <w:br w:type="page" w:clear="all"/>
      </w:r>
      <w:r/>
    </w:p>
    <w:p>
      <w:pPr>
        <w:pStyle w:val="899"/>
        <w:rPr>
          <w:highlight w:val="none"/>
        </w:rPr>
      </w:pPr>
      <w:r/>
      <w:bookmarkStart w:id="81" w:name="_Toc29406"/>
      <w:r/>
      <w:bookmarkStart w:id="82" w:name="_Toc23420"/>
      <w:r/>
      <w:bookmarkStart w:id="83" w:name="_Toc23068"/>
      <w:r>
        <w:rPr>
          <w:rFonts w:hint="eastAsia" w:ascii="宋体" w:hAnsi="宋体" w:eastAsia="宋体" w:cs="宋体"/>
          <w:color w:val="000000"/>
          <w:sz w:val="32"/>
          <w:highlight w:val="none"/>
        </w:rPr>
        <w:t xml:space="preserve">三、非实质性响应对照表</w:t>
      </w:r>
      <w:bookmarkEnd w:id="81"/>
      <w:r/>
      <w:bookmarkEnd w:id="82"/>
      <w:r/>
      <w:bookmarkEnd w:id="83"/>
      <w:r/>
      <w:r/>
    </w:p>
    <w:tbl>
      <w:tblPr>
        <w:tblStyle w:val="68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5039"/>
        <w:gridCol w:w="1553"/>
        <w:gridCol w:w="1210"/>
      </w:tblGrid>
      <w:tr>
        <w:trPr>
          <w:trHeight w:val="882"/>
        </w:trPr>
        <w:tc>
          <w:tcPr>
            <w:tcW w:w="355" w:type="dxa"/>
            <w:vAlign w:val="center"/>
            <w:textDirection w:val="lrTb"/>
            <w:noWrap w:val="false"/>
          </w:tcPr>
          <w:p>
            <w:pPr>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p>
        </w:tc>
        <w:tc>
          <w:tcPr>
            <w:tcW w:w="2999" w:type="dxa"/>
            <w:vAlign w:val="center"/>
            <w:textDirection w:val="lrTb"/>
            <w:noWrap w:val="false"/>
          </w:tcPr>
          <w:p>
            <w:pPr>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非实质性响应内容</w:t>
            </w:r>
            <w:r/>
          </w:p>
        </w:tc>
        <w:tc>
          <w:tcPr>
            <w:tcW w:w="924" w:type="dxa"/>
            <w:vAlign w:val="center"/>
            <w:textDirection w:val="lrTb"/>
            <w:noWrap w:val="false"/>
          </w:tcPr>
          <w:p>
            <w:pPr>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是否响应</w:t>
            </w:r>
            <w:r/>
          </w:p>
          <w:p>
            <w:pPr>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（填是或者否）</w:t>
            </w:r>
            <w:r/>
          </w:p>
        </w:tc>
        <w:tc>
          <w:tcPr>
            <w:tcW w:w="720" w:type="dxa"/>
            <w:vAlign w:val="center"/>
            <w:textDirection w:val="lrTb"/>
            <w:noWrap w:val="false"/>
          </w:tcPr>
          <w:p>
            <w:pPr>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响应情况</w:t>
            </w:r>
            <w:r/>
          </w:p>
        </w:tc>
      </w:tr>
      <w:tr>
        <w:trPr>
          <w:trHeight w:val="585"/>
        </w:trPr>
        <w:tc>
          <w:tcPr>
            <w:tcW w:w="355" w:type="dxa"/>
            <w:vAlign w:val="center"/>
            <w:textDirection w:val="lrTb"/>
            <w:noWrap w:val="false"/>
          </w:tcPr>
          <w:p>
            <w:pPr>
              <w:jc w:val="center"/>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2999" w:type="dxa"/>
            <w:vAlign w:val="center"/>
            <w:textDirection w:val="lrTb"/>
            <w:noWrap w:val="false"/>
          </w:tcPr>
          <w:p>
            <w:pPr>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《残疾人福利性单位声明函》</w:t>
            </w:r>
            <w:r/>
          </w:p>
        </w:tc>
        <w:tc>
          <w:tcPr>
            <w:tcW w:w="924" w:type="dxa"/>
            <w:vAlign w:val="center"/>
            <w:textDirection w:val="lrTb"/>
            <w:noWrap w:val="false"/>
          </w:tcPr>
          <w:p>
            <w:pPr>
              <w:jc w:val="both"/>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tc>
        <w:tc>
          <w:tcPr>
            <w:tcW w:w="720" w:type="dxa"/>
            <w:vAlign w:val="center"/>
            <w:textDirection w:val="lrTb"/>
            <w:noWrap w:val="false"/>
          </w:tcPr>
          <w:p>
            <w:pPr>
              <w:jc w:val="both"/>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tc>
      </w:tr>
      <w:tr>
        <w:trPr>
          <w:trHeight w:val="585"/>
        </w:trPr>
        <w:tc>
          <w:tcPr>
            <w:tcW w:w="355"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2999" w:type="dxa"/>
            <w:vAlign w:val="center"/>
            <w:textDirection w:val="lrTb"/>
            <w:noWrap w:val="false"/>
          </w:tcPr>
          <w:p>
            <w:pPr>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b w:val="0"/>
                <w:bCs w:val="0"/>
                <w:color w:val="000000"/>
                <w:sz w:val="21"/>
                <w:szCs w:val="22"/>
                <w:highlight w:val="none"/>
                <w:lang w:val="en-US" w:eastAsia="zh-CN" w:bidi="ar-SA"/>
              </w:rPr>
              <w:t xml:space="preserve">《中小企业声明函（货物）》</w:t>
            </w:r>
            <w:r/>
          </w:p>
        </w:tc>
        <w:tc>
          <w:tcPr>
            <w:tcW w:w="924"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80"/>
        </w:trPr>
        <w:tc>
          <w:tcPr>
            <w:tcW w:w="355"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2999" w:type="dxa"/>
            <w:vAlign w:val="center"/>
            <w:textDirection w:val="lrTb"/>
            <w:noWrap w:val="false"/>
          </w:tcPr>
          <w:p>
            <w:pPr>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w:t>
            </w:r>
            <w:r/>
          </w:p>
        </w:tc>
        <w:tc>
          <w:tcPr>
            <w:tcW w:w="924"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20"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312" w:after="312"/>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中小企业声明函（货物）</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b/>
          <w:bCs/>
          <w:color w:val="000000"/>
          <w:highlight w:val="none"/>
          <w:u w:val="single"/>
        </w:rPr>
        <w:t xml:space="preserve">（</w:t>
      </w:r>
      <w:r>
        <w:rPr>
          <w:rFonts w:hint="eastAsia" w:ascii="宋体" w:hAnsi="宋体" w:cs="宋体"/>
          <w:b/>
          <w:bCs/>
          <w:color w:val="000000"/>
          <w:highlight w:val="none"/>
          <w:u w:val="single"/>
          <w:lang w:eastAsia="zh-CN"/>
        </w:rPr>
        <w:t xml:space="preserve">工业</w:t>
      </w:r>
      <w:r>
        <w:rPr>
          <w:rFonts w:hint="eastAsia" w:ascii="宋体" w:hAnsi="宋体" w:eastAsia="宋体" w:cs="宋体"/>
          <w:b/>
          <w:bCs/>
          <w:color w:val="000000"/>
          <w:highlight w:val="none"/>
          <w:u w:val="single"/>
        </w:rPr>
        <w:t xml:space="preserve">）行业</w:t>
      </w:r>
      <w:r>
        <w:rPr>
          <w:rFonts w:hint="eastAsia" w:ascii="宋体" w:hAnsi="宋体" w:eastAsia="宋体" w:cs="宋体"/>
          <w:color w:val="000000"/>
          <w:highlight w:val="none"/>
          <w:u w:val="single"/>
        </w:rPr>
        <w:t xml:space="preserve">（不得对行业类别修改）</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，从业人员人，营业收入为万元，资产总额为万元</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"br1" </w:instrText>
      </w:r>
      <w:r>
        <w:rPr>
          <w:rFonts w:hint="eastAsia" w:ascii="宋体" w:hAnsi="宋体" w:eastAsia="宋体" w:cs="宋体"/>
          <w:color w:val="000000"/>
          <w:highlight w:val="none"/>
        </w:rPr>
        <w:fldChar w:fldCharType="separate"/>
      </w:r>
      <w:r>
        <w:rPr>
          <w:rFonts w:hint="eastAsia" w:ascii="宋体" w:hAnsi="宋体" w:eastAsia="宋体" w:cs="宋体"/>
          <w:color w:val="000000"/>
          <w:spacing w:val="-1"/>
          <w:highlight w:val="none"/>
          <w:vertAlign w:val="superscript"/>
        </w:rPr>
        <w:t xml:space="preserve">1</w:t>
      </w:r>
      <w:r>
        <w:rPr>
          <w:rFonts w:hint="eastAsia" w:ascii="宋体" w:hAnsi="宋体" w:eastAsia="宋体" w:cs="宋体"/>
          <w:color w:val="000000"/>
          <w:spacing w:val="-1"/>
          <w:highlight w:val="none"/>
          <w:vertAlign w:val="superscript"/>
        </w:rPr>
        <w:fldChar w:fldCharType="end"/>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（中型企业、小型企业、微型企业）；</w:t>
      </w:r>
      <w:r/>
    </w:p>
    <w:p>
      <w:pPr>
        <w:ind w:firstLine="420"/>
        <w:jc w:val="left"/>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b/>
          <w:bCs/>
          <w:color w:val="000000"/>
          <w:highlight w:val="none"/>
          <w:u w:val="single"/>
        </w:rPr>
        <w:t xml:space="preserve">（</w:t>
      </w:r>
      <w:r>
        <w:rPr>
          <w:rFonts w:hint="eastAsia" w:ascii="宋体" w:hAnsi="宋体" w:cs="宋体"/>
          <w:b/>
          <w:bCs/>
          <w:color w:val="000000"/>
          <w:highlight w:val="none"/>
          <w:u w:val="single"/>
          <w:lang w:eastAsia="zh-CN"/>
        </w:rPr>
        <w:t xml:space="preserve">工业</w:t>
      </w:r>
      <w:r>
        <w:rPr>
          <w:rFonts w:hint="eastAsia" w:ascii="宋体" w:hAnsi="宋体" w:eastAsia="宋体" w:cs="宋体"/>
          <w:b/>
          <w:bCs/>
          <w:color w:val="000000"/>
          <w:highlight w:val="none"/>
          <w:u w:val="single"/>
        </w:rPr>
        <w:t xml:space="preserve">）行业</w:t>
      </w:r>
      <w:r>
        <w:rPr>
          <w:rFonts w:hint="eastAsia" w:ascii="宋体" w:hAnsi="宋体" w:eastAsia="宋体" w:cs="宋体"/>
          <w:color w:val="000000"/>
          <w:highlight w:val="none"/>
          <w:u w:val="single"/>
        </w:rPr>
        <w:t xml:space="preserve">（不得对行业类别修改）；</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，从业人员人，营业收入为万元，资产总额为万元，属于</w:t>
      </w:r>
      <w:r>
        <w:rPr>
          <w:rFonts w:hint="eastAsia" w:ascii="宋体" w:hAnsi="宋体" w:eastAsia="宋体" w:cs="宋体"/>
          <w:color w:val="000000"/>
          <w:highlight w:val="none"/>
          <w:u w:val="single"/>
        </w:rPr>
        <w:t xml:space="preserve">（中型企业、小型企业、微型企业）；</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 </w:t>
      </w:r>
      <w:r/>
    </w:p>
    <w:p>
      <w:pPr>
        <w:ind w:firstLine="420"/>
        <w:jc w:val="left"/>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1.</w:t>
      </w:r>
      <w:r>
        <w:rPr>
          <w:rFonts w:hint="eastAsia" w:ascii="宋体" w:hAnsi="宋体" w:eastAsia="宋体" w:cs="宋体"/>
          <w:color w:val="000000"/>
          <w:highlight w:val="none"/>
        </w:rPr>
        <w:t xml:space="preserve">从业人员（不仅指在职职工）、营业收入、资产总额填报上一年度数据，无上一年度数据的新成立企业可不填报。</w:t>
      </w:r>
      <w:r/>
    </w:p>
    <w:p>
      <w:pPr>
        <w:ind w:firstLine="420"/>
        <w:jc w:val="left"/>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2.</w:t>
      </w:r>
      <w:r>
        <w:rPr>
          <w:rFonts w:hint="eastAsia" w:ascii="宋体" w:hAnsi="宋体" w:eastAsia="宋体" w:cs="宋体"/>
          <w:color w:val="000000"/>
          <w:highlight w:val="none"/>
        </w:rPr>
        <w:t xml:space="preserve">《中小企业声明函》不符合要求或未提供的，作如下处理：①如本项目专门面向中小企业采购，则投标（响应）文件无效；②如本项目不专门面向中小企业采购，则价格将不做相应扣除。</w:t>
      </w:r>
      <w:r/>
    </w:p>
    <w:p>
      <w:pPr>
        <w:ind w:firstLine="422"/>
        <w:jc w:val="left"/>
        <w:spacing w:line="360" w:lineRule="auto"/>
        <w:rPr>
          <w:rFonts w:hint="eastAsia" w:ascii="宋体" w:hAnsi="宋体" w:eastAsia="宋体" w:cs="宋体"/>
          <w:b/>
          <w:bCs/>
          <w:color w:val="000000"/>
          <w:highlight w:val="none"/>
        </w:rPr>
      </w:pPr>
      <w:r>
        <w:rPr>
          <w:rFonts w:hint="eastAsia" w:ascii="宋体" w:hAnsi="宋体" w:cs="宋体"/>
          <w:b/>
          <w:bCs/>
          <w:color w:val="000000"/>
          <w:highlight w:val="none"/>
          <w:lang w:eastAsia="zh-CN"/>
        </w:rPr>
        <w:t xml:space="preserve">3.</w:t>
      </w:r>
      <w:r>
        <w:rPr>
          <w:rFonts w:hint="eastAsia" w:ascii="宋体" w:hAnsi="宋体" w:eastAsia="宋体" w:cs="宋体"/>
          <w:b/>
          <w:bCs/>
          <w:color w:val="000000"/>
          <w:highlight w:val="none"/>
        </w:rPr>
        <w:t xml:space="preserve">供应商如不提供此声明函，价格将不做相应扣除。</w:t>
      </w:r>
      <w:r/>
    </w:p>
    <w:p>
      <w:pPr>
        <w:ind w:firstLine="420"/>
        <w:jc w:val="left"/>
        <w:spacing w:line="360" w:lineRule="auto"/>
        <w:rPr>
          <w:rFonts w:hint="eastAsia" w:ascii="宋体" w:hAnsi="宋体" w:eastAsia="宋体" w:cs="宋体"/>
          <w:b/>
          <w:bCs/>
          <w:color w:val="000000"/>
          <w:highlight w:val="none"/>
        </w:rPr>
      </w:pPr>
      <w:r>
        <w:rPr>
          <w:rFonts w:hint="eastAsia" w:ascii="宋体" w:hAnsi="宋体" w:cs="宋体"/>
          <w:b/>
          <w:bCs/>
          <w:color w:val="000000"/>
          <w:highlight w:val="none"/>
          <w:lang w:eastAsia="zh-CN"/>
        </w:rPr>
        <w:t xml:space="preserve">4.</w:t>
      </w:r>
      <w:r>
        <w:rPr>
          <w:rFonts w:hint="eastAsia" w:ascii="宋体" w:hAnsi="宋体" w:eastAsia="宋体" w:cs="宋体"/>
          <w:b/>
          <w:bCs/>
          <w:color w:val="000000"/>
          <w:highlight w:val="none"/>
        </w:rPr>
        <w:t xml:space="preserve">企业声明函请完整填写，中标后将公示。</w:t>
      </w:r>
      <w:r/>
    </w:p>
    <w:p>
      <w:pPr>
        <w:ind w:firstLine="420"/>
        <w:jc w:val="left"/>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5.</w:t>
      </w:r>
      <w:r>
        <w:rPr>
          <w:rFonts w:hint="eastAsia" w:ascii="宋体" w:hAnsi="宋体" w:eastAsia="宋体" w:cs="宋体"/>
          <w:color w:val="000000"/>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6.</w:t>
      </w:r>
      <w:r>
        <w:rPr>
          <w:rFonts w:hint="eastAsia" w:ascii="宋体" w:hAnsi="宋体" w:eastAsia="宋体" w:cs="宋体"/>
          <w:b/>
          <w:bCs/>
          <w:color w:val="000000"/>
          <w:highlight w:val="none"/>
        </w:rPr>
        <w:t xml:space="preserve">声明函请按照第四章项目需求中的采购清单并根据实际情况逐项填写，否则视为不符合要求</w:t>
      </w:r>
      <w:r>
        <w:rPr>
          <w:rFonts w:hint="eastAsia" w:ascii="宋体" w:hAnsi="宋体" w:eastAsia="宋体" w:cs="宋体"/>
          <w:b/>
          <w:bCs/>
          <w:color w:val="000000"/>
          <w:highlight w:val="none"/>
          <w:lang w:eastAsia="zh-CN"/>
        </w:rPr>
        <w:t xml:space="preserve">，</w:t>
      </w:r>
      <w:r>
        <w:rPr>
          <w:rFonts w:ascii="Times New Roman" w:hAnsi="Times New Roman" w:eastAsia="宋体"/>
          <w:b/>
          <w:bCs/>
          <w:color w:val="000000"/>
          <w:highlight w:val="none"/>
        </w:rPr>
        <w:t xml:space="preserve">价格不作扣除</w:t>
      </w:r>
      <w:r>
        <w:rPr>
          <w:rFonts w:hint="eastAsia" w:ascii="宋体" w:hAnsi="宋体" w:eastAsia="宋体" w:cs="宋体"/>
          <w:b/>
          <w:bCs/>
          <w:color w:val="000000"/>
          <w:highlight w:val="none"/>
        </w:rPr>
        <w:t xml:space="preserve">。</w:t>
      </w:r>
      <w:r/>
    </w:p>
    <w:p>
      <w:pPr>
        <w:ind w:firstLine="420"/>
        <w:jc w:val="left"/>
        <w:spacing w:line="360" w:lineRule="auto"/>
        <w:rPr>
          <w:rFonts w:hint="eastAsia" w:ascii="宋体" w:hAnsi="宋体" w:eastAsia="宋体" w:cs="宋体"/>
          <w:color w:val="000000"/>
          <w:szCs w:val="21"/>
          <w:highlight w:val="none"/>
        </w:rPr>
      </w:pPr>
      <w:r>
        <w:rPr>
          <w:rFonts w:hint="eastAsia" w:ascii="宋体" w:hAnsi="宋体" w:cs="宋体"/>
          <w:color w:val="000000"/>
          <w:highlight w:val="none"/>
          <w:lang w:eastAsia="zh-CN"/>
        </w:rPr>
        <w:t xml:space="preserve">7.</w:t>
      </w:r>
      <w:r>
        <w:rPr>
          <w:rFonts w:hint="eastAsia" w:ascii="宋体" w:hAnsi="宋体" w:eastAsia="宋体" w:cs="宋体"/>
          <w:color w:val="000000"/>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8.</w:t>
      </w:r>
      <w:r>
        <w:rPr>
          <w:rFonts w:hint="eastAsia" w:ascii="宋体" w:hAnsi="宋体" w:eastAsia="宋体" w:cs="宋体"/>
          <w:bCs/>
          <w:color w:val="000000"/>
          <w:szCs w:val="21"/>
          <w:highlight w:val="none"/>
          <w:shd w:val="clear" w:color="auto" w:fill="ffffff"/>
        </w:rPr>
        <w:t xml:space="preserve">《</w:t>
      </w:r>
      <w:r>
        <w:rPr>
          <w:rFonts w:hint="eastAsia" w:ascii="宋体" w:hAnsi="宋体" w:cs="宋体"/>
          <w:bCs/>
          <w:color w:val="000000"/>
          <w:szCs w:val="21"/>
          <w:highlight w:val="none"/>
          <w:shd w:val="clear" w:color="auto" w:fill="ffffff"/>
          <w:lang w:eastAsia="zh-CN"/>
        </w:rPr>
        <w:t xml:space="preserve">中华人民共和国政府采购法</w:t>
      </w:r>
      <w:r>
        <w:rPr>
          <w:rFonts w:hint="eastAsia" w:ascii="宋体" w:hAnsi="宋体" w:eastAsia="宋体" w:cs="宋体"/>
          <w:bCs/>
          <w:color w:val="000000"/>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企业名称（盖章）：</w:t>
      </w:r>
      <w:r/>
    </w:p>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w:t>
      </w:r>
      <w:r/>
    </w:p>
    <w:p>
      <w:pPr>
        <w:jc w:val="center"/>
        <w:rPr>
          <w:rStyle w:val="929"/>
          <w:rFonts w:hint="eastAsia" w:ascii="宋体" w:hAnsi="宋体" w:eastAsia="宋体" w:cs="宋体"/>
          <w:color w:val="000000"/>
          <w:szCs w:val="21"/>
          <w:highlight w:val="none"/>
        </w:rPr>
      </w:pPr>
      <w:r>
        <w:rPr>
          <w:rStyle w:val="929"/>
          <w:rFonts w:hint="eastAsia" w:ascii="宋体" w:hAnsi="宋体" w:eastAsia="宋体" w:cs="宋体"/>
          <w:color w:val="000000"/>
          <w:szCs w:val="21"/>
          <w:highlight w:val="none"/>
        </w:rPr>
        <w:t xml:space="preserve">中小微企业划型标准</w:t>
      </w:r>
      <w:r/>
    </w:p>
    <w:p>
      <w:pPr>
        <w:pStyle w:val="924"/>
        <w:ind w:firstLine="42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Style w:val="929"/>
          <w:rFonts w:hint="eastAsia" w:ascii="宋体" w:hAnsi="宋体" w:eastAsia="宋体" w:cs="宋体"/>
          <w:color w:val="000000"/>
          <w:sz w:val="21"/>
          <w:szCs w:val="21"/>
          <w:highlight w:val="none"/>
        </w:rPr>
        <w:t xml:space="preserve">中小微企业划型标准如下：</w:t>
      </w:r>
      <w:r/>
    </w:p>
    <w:tbl>
      <w:tblPr>
        <w:tblStyle w:val="688"/>
        <w:tblW w:w="8988"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24"/>
              <w:jc w:val="both"/>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行业名称</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指标名称</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计量单位</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中型</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小型</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农、林、牧、渔</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500≤Y&lt;20000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50≤Y&lt;500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工业</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2000≤Y&lt;40000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300≤Y&lt;2000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建筑业</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6000≤Y&lt;80000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300≤Y&lt;6000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5000≤Z&lt;80000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300≤Z&lt;5000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批发业</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20≤X&lt;200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5≤X&lt;20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5000≤Y&lt;40000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1000≤Y&lt;5000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零售业</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50≤X&lt;300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10≤X&lt;50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500≤Y&lt;20000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100≤Y&lt;500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交通运输业</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3000≤Y&lt;30000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200≤Y&lt;3000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仓储业</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100≤X&lt;200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20≤X&lt;100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1000≤Y&lt;30000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100≤Y&lt;1000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邮政业</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2000≤Y&lt;30000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住宿业</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924"/>
              <w:ind w:firstLine="42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2000≤Y&lt;10000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餐饮业</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2000≤Y&lt;10000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信息传输业</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100≤X&lt;2000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1000≤Y&lt;100000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100≤Y&lt;1000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1000≤Y&lt;10000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50≤Y&lt;1000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房地产开发经营</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1000≤Y&lt;200000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100≤X&lt;1000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5000≤Z&lt;10000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2000≤Y&lt;5000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物业管理</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100≤X&lt;300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1000≤Y&lt;5000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500≤Y&lt;1000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8000≤Z&lt;120000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100≤Z&lt;8000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其他未列明行业</w:t>
            </w:r>
            <w:r/>
          </w:p>
        </w:tc>
        <w:tc>
          <w:tcPr>
            <w:tcMar>
              <w:left w:w="105" w:type="dxa"/>
              <w:top w:w="0" w:type="dxa"/>
              <w:right w:w="105" w:type="dxa"/>
              <w:bottom w:w="0" w:type="dxa"/>
            </w:tcMar>
            <w:tcW w:w="170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924"/>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29"/>
                <w:rFonts w:hint="eastAsia" w:ascii="宋体" w:hAnsi="宋体" w:eastAsia="宋体" w:cs="宋体"/>
                <w:b/>
                <w:color w:val="000000"/>
                <w:sz w:val="21"/>
                <w:szCs w:val="21"/>
                <w:highlight w:val="none"/>
                <w:lang w:val="en-US" w:eastAsia="zh-CN" w:bidi="ar-SA"/>
              </w:rPr>
              <w:t xml:space="preserve">X&lt;10</w:t>
            </w:r>
            <w:r/>
          </w:p>
        </w:tc>
      </w:tr>
    </w:tbl>
    <w:p>
      <w:pPr>
        <w:pStyle w:val="924"/>
        <w:ind w:firstLine="810"/>
        <w:spacing w:before="300" w:after="452" w:line="360" w:lineRule="auto"/>
        <w:widowControl/>
        <w:rPr>
          <w:rStyle w:val="929"/>
          <w:rFonts w:hint="eastAsia" w:ascii="宋体" w:hAnsi="宋体" w:eastAsia="宋体" w:cs="宋体"/>
          <w:color w:val="000000"/>
          <w:sz w:val="21"/>
          <w:szCs w:val="21"/>
          <w:highlight w:val="none"/>
        </w:rPr>
      </w:pPr>
      <w:r>
        <w:rPr>
          <w:rStyle w:val="929"/>
          <w:rFonts w:hint="eastAsia" w:ascii="宋体" w:hAnsi="宋体" w:eastAsia="宋体" w:cs="宋体"/>
          <w:color w:val="000000"/>
          <w:sz w:val="21"/>
          <w:szCs w:val="21"/>
          <w:highlight w:val="none"/>
        </w:rPr>
        <w:t xml:space="preserve">说明：上述标准参照《关于印发中小企业划型标准规定的通知》（工信部联企业</w:t>
      </w:r>
      <w:r>
        <w:rPr>
          <w:rStyle w:val="929"/>
          <w:rFonts w:hint="eastAsia" w:ascii="宋体" w:hAnsi="宋体" w:cs="宋体"/>
          <w:color w:val="000000"/>
          <w:sz w:val="21"/>
          <w:szCs w:val="21"/>
          <w:highlight w:val="none"/>
          <w:lang w:eastAsia="zh-CN"/>
        </w:rPr>
        <w:t xml:space="preserve">〔2011〕300号</w:t>
      </w:r>
      <w:r>
        <w:rPr>
          <w:rStyle w:val="929"/>
          <w:rFonts w:hint="eastAsia" w:ascii="宋体" w:hAnsi="宋体" w:eastAsia="宋体" w:cs="宋体"/>
          <w:color w:val="000000"/>
          <w:sz w:val="21"/>
          <w:szCs w:val="21"/>
          <w:highlight w:val="none"/>
        </w:rPr>
        <w:t xml:space="preserve">），大型、中型和小型企业须同时满足所列指标的下限，否则下划一档；微型企业只</w:t>
      </w:r>
      <w:r>
        <w:rPr>
          <w:rStyle w:val="929"/>
          <w:rFonts w:hint="eastAsia" w:ascii="宋体" w:hAnsi="宋体" w:cs="宋体"/>
          <w:color w:val="000000"/>
          <w:sz w:val="21"/>
          <w:szCs w:val="21"/>
          <w:highlight w:val="none"/>
          <w:lang w:eastAsia="zh-CN"/>
        </w:rPr>
        <w:t xml:space="preserve">需</w:t>
      </w:r>
      <w:r>
        <w:rPr>
          <w:rStyle w:val="929"/>
          <w:rFonts w:hint="eastAsia" w:ascii="宋体" w:hAnsi="宋体" w:eastAsia="宋体" w:cs="宋体"/>
          <w:color w:val="000000"/>
          <w:sz w:val="21"/>
          <w:szCs w:val="21"/>
          <w:highlight w:val="none"/>
        </w:rPr>
        <w:t xml:space="preserve">满足所列指标中的一项即可。</w:t>
      </w:r>
      <w:r/>
    </w:p>
    <w:p>
      <w:pPr>
        <w:pStyle w:val="900"/>
        <w:rPr>
          <w:rFonts w:hint="eastAsia" w:ascii="宋体" w:hAnsi="宋体" w:eastAsia="宋体" w:cs="宋体"/>
          <w:color w:val="000000"/>
          <w:highlight w:val="none"/>
        </w:rPr>
      </w:pPr>
      <w:r>
        <w:rPr>
          <w:rStyle w:val="929"/>
          <w:rFonts w:hint="eastAsia" w:ascii="宋体" w:hAnsi="宋体" w:eastAsia="宋体" w:cs="宋体"/>
          <w:b w:val="0"/>
          <w:color w:val="000000"/>
          <w:sz w:val="21"/>
          <w:szCs w:val="21"/>
          <w:highlight w:val="none"/>
        </w:rPr>
        <w:br w:type="page" w:clear="all"/>
      </w:r>
      <w:r/>
    </w:p>
    <w:p>
      <w:pPr>
        <w:ind w:firstLine="272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残疾人福利性单位声明函</w:t>
      </w:r>
      <w:r/>
    </w:p>
    <w:p>
      <w:pPr>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w:t>
      </w:r>
      <w:r>
        <w:rPr>
          <w:rFonts w:hint="eastAsia" w:ascii="宋体" w:hAnsi="宋体" w:cs="宋体"/>
          <w:color w:val="000000"/>
          <w:szCs w:val="21"/>
          <w:highlight w:val="none"/>
          <w:lang w:eastAsia="zh-CN"/>
        </w:rPr>
        <w:t xml:space="preserve">元</w:t>
      </w:r>
      <w:r>
        <w:rPr>
          <w:rFonts w:hint="eastAsia" w:ascii="宋体" w:hAnsi="宋体" w:eastAsia="宋体" w:cs="宋体"/>
          <w:color w:val="000000"/>
          <w:szCs w:val="21"/>
          <w:highlight w:val="none"/>
        </w:rPr>
        <w:t xml:space="preserve">整（￥：     ）。</w:t>
      </w:r>
      <w:r/>
    </w:p>
    <w:p>
      <w:pPr>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p>
    <w:p>
      <w:pPr>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ind w:right="1560" w:firstLine="420"/>
        <w:jc w:val="center"/>
        <w:spacing w:line="588" w:lineRule="exact"/>
        <w:tabs>
          <w:tab w:val="left" w:pos="48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供应商全称（盖章）：</w:t>
      </w:r>
      <w:r/>
    </w:p>
    <w:p>
      <w:pPr>
        <w:ind w:right="1560" w:firstLine="420"/>
        <w:jc w:val="center"/>
        <w:spacing w:line="588" w:lineRule="exact"/>
        <w:tabs>
          <w:tab w:val="left" w:pos="48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  期：</w:t>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rPr>
          <w:rFonts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b/>
          <w:color w:val="000000"/>
          <w:sz w:val="24"/>
          <w:szCs w:val="24"/>
          <w:highlight w:val="none"/>
        </w:rPr>
        <w:t xml:space="preserve">关于符合本国产品标准的声明函（采购包号：</w:t>
      </w:r>
      <w:r>
        <w:rPr>
          <w:rFonts w:hint="eastAsia" w:ascii="方正魏碑_GBK" w:hAnsi="方正魏碑_GBK" w:cs="方正魏碑_GBK"/>
          <w:b/>
          <w:color w:val="000000"/>
          <w:sz w:val="24"/>
          <w:szCs w:val="24"/>
          <w:highlight w:val="none"/>
          <w:lang w:val="en-US" w:eastAsia="zh-CN"/>
        </w:rPr>
        <w:t xml:space="preserve">**</w:t>
      </w:r>
      <w:r>
        <w:rPr>
          <w:rFonts w:hint="eastAsia" w:ascii="方正魏碑_GBK" w:hAnsi="方正魏碑_GBK" w:eastAsia="方正魏碑_GBK" w:cs="方正魏碑_GBK"/>
          <w:b/>
          <w:color w:val="000000"/>
          <w:sz w:val="24"/>
          <w:szCs w:val="24"/>
          <w:highlight w:val="none"/>
        </w:rPr>
        <w:t xml:space="preserve">）</w:t>
      </w:r>
      <w:r/>
    </w:p>
    <w:p>
      <w:pPr>
        <w:pStyle w:val="737"/>
        <w:ind w:firstLine="420"/>
        <w:spacing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7"/>
        <w:ind w:firstLine="420"/>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745"/>
          <w:rFonts w:hint="eastAsia" w:ascii="方正魏碑_GBK" w:hAnsi="方正魏碑_GBK" w:eastAsia="方正魏碑_GBK" w:cs="方正魏碑_GBK"/>
          <w:i w:val="0"/>
          <w:color w:val="000000"/>
          <w:highlight w:val="none"/>
          <w:u w:val="single"/>
          <w:shd w:val="clear" w:color="auto" w:fill="ffffff"/>
        </w:rPr>
        <w:t xml:space="preserve">（产品名称1）</w:t>
      </w:r>
      <w:r>
        <w:rPr>
          <w:rStyle w:val="745"/>
          <w:rFonts w:hint="eastAsia" w:ascii="方正魏碑_GBK" w:hAnsi="方正魏碑_GBK" w:eastAsia="方正魏碑_GBK" w:cs="方正魏碑_GBK"/>
          <w:i w:val="0"/>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745"/>
          <w:rFonts w:hint="eastAsia" w:ascii="方正魏碑_GBK" w:hAnsi="方正魏碑_GBK" w:eastAsia="方正魏碑_GBK" w:cs="方正魏碑_GBK"/>
          <w:i w:val="0"/>
          <w:color w:val="000000"/>
          <w:highlight w:val="none"/>
          <w:u w:val="single"/>
          <w:shd w:val="clear" w:color="auto" w:fill="ffffff"/>
        </w:rPr>
        <w:t xml:space="preserve">（厂名）</w:t>
      </w:r>
      <w:r>
        <w:rPr>
          <w:rStyle w:val="745"/>
          <w:rFonts w:hint="eastAsia" w:ascii="方正魏碑_GBK" w:hAnsi="方正魏碑_GBK" w:eastAsia="方正魏碑_GBK" w:cs="方正魏碑_GBK"/>
          <w:i w:val="0"/>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745"/>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745"/>
          <w:rFonts w:hint="eastAsia" w:ascii="方正魏碑_GBK" w:hAnsi="方正魏碑_GBK" w:eastAsia="方正魏碑_GBK" w:cs="方正魏碑_GBK"/>
          <w:i w:val="0"/>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745"/>
          <w:rFonts w:hint="eastAsia" w:ascii="方正魏碑_GBK" w:hAnsi="方正魏碑_GBK" w:eastAsia="方正魏碑_GBK" w:cs="方正魏碑_GBK"/>
          <w:i w:val="0"/>
          <w:color w:val="000000"/>
          <w:highlight w:val="none"/>
          <w:u w:val="single"/>
          <w:shd w:val="clear" w:color="auto" w:fill="ffffff"/>
        </w:rPr>
        <w:t xml:space="preserve">（规定</w:t>
      </w:r>
      <w:r>
        <w:rPr>
          <w:rStyle w:val="745"/>
          <w:rFonts w:ascii="方正魏碑_GBK" w:hAnsi="方正魏碑_GBK" w:eastAsia="方正魏碑_GBK" w:cs="方正魏碑_GBK"/>
          <w:i w:val="0"/>
          <w:color w:val="000000"/>
          <w:highlight w:val="none"/>
          <w:u w:val="single"/>
          <w:shd w:val="clear" w:color="auto" w:fill="ffffff"/>
        </w:rPr>
        <w:t xml:space="preserve">比例</w:t>
      </w:r>
      <w:r>
        <w:rPr>
          <w:rStyle w:val="745"/>
          <w:rFonts w:hint="eastAsia" w:ascii="方正魏碑_GBK" w:hAnsi="方正魏碑_GBK" w:eastAsia="方正魏碑_GBK" w:cs="方正魏碑_GBK"/>
          <w:i w:val="0"/>
          <w:color w:val="000000"/>
          <w:highlight w:val="none"/>
          <w:u w:val="single"/>
          <w:shd w:val="clear" w:color="auto" w:fill="ffffff"/>
        </w:rPr>
        <w:t xml:space="preserve">）</w:t>
      </w:r>
      <w:r>
        <w:rPr>
          <w:rStyle w:val="745"/>
          <w:rFonts w:hint="eastAsia" w:ascii="方正魏碑_GBK" w:hAnsi="方正魏碑_GBK" w:eastAsia="方正魏碑_GBK" w:cs="方正魏碑_GBK"/>
          <w:i w:val="0"/>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745"/>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745"/>
          <w:rFonts w:hint="eastAsia" w:ascii="方正魏碑_GBK" w:hAnsi="方正魏碑_GBK" w:eastAsia="方正魏碑_GBK" w:cs="方正魏碑_GBK"/>
          <w:i w:val="0"/>
          <w:color w:val="000000"/>
          <w:highlight w:val="none"/>
          <w:u w:val="single"/>
          <w:shd w:val="clear" w:color="auto" w:fill="ffffff"/>
        </w:rPr>
        <w:t xml:space="preserve">（关键</w:t>
      </w:r>
      <w:r>
        <w:rPr>
          <w:rStyle w:val="745"/>
          <w:rFonts w:ascii="方正魏碑_GBK" w:hAnsi="方正魏碑_GBK" w:eastAsia="方正魏碑_GBK" w:cs="方正魏碑_GBK"/>
          <w:i w:val="0"/>
          <w:color w:val="000000"/>
          <w:highlight w:val="none"/>
          <w:u w:val="single"/>
          <w:shd w:val="clear" w:color="auto" w:fill="ffffff"/>
        </w:rPr>
        <w:t xml:space="preserve">组件</w:t>
      </w:r>
      <w:r>
        <w:rPr>
          <w:rStyle w:val="745"/>
          <w:rFonts w:hint="eastAsia" w:ascii="方正魏碑_GBK" w:hAnsi="方正魏碑_GBK" w:eastAsia="方正魏碑_GBK" w:cs="方正魏碑_GBK"/>
          <w:i w:val="0"/>
          <w:color w:val="000000"/>
          <w:highlight w:val="none"/>
          <w:u w:val="single"/>
          <w:shd w:val="clear" w:color="auto" w:fill="ffffff"/>
        </w:rPr>
        <w:t xml:space="preserve">）</w:t>
      </w:r>
      <w:r>
        <w:rPr>
          <w:rStyle w:val="745"/>
          <w:rFonts w:hint="eastAsia" w:ascii="方正魏碑_GBK" w:hAnsi="方正魏碑_GBK" w:eastAsia="方正魏碑_GBK" w:cs="方正魏碑_GBK"/>
          <w:i w:val="0"/>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745"/>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745"/>
          <w:rFonts w:hint="eastAsia" w:ascii="方正魏碑_GBK" w:hAnsi="方正魏碑_GBK" w:eastAsia="方正魏碑_GBK" w:cs="方正魏碑_GBK"/>
          <w:i w:val="0"/>
          <w:color w:val="000000"/>
          <w:highlight w:val="none"/>
          <w:u w:val="single"/>
          <w:shd w:val="clear" w:color="auto" w:fill="ffffff"/>
        </w:rPr>
        <w:t xml:space="preserve">（关键工序）</w:t>
      </w:r>
      <w:r>
        <w:rPr>
          <w:rStyle w:val="745"/>
          <w:rFonts w:hint="eastAsia" w:ascii="方正魏碑_GBK" w:hAnsi="方正魏碑_GBK" w:eastAsia="方正魏碑_GBK" w:cs="方正魏碑_GBK"/>
          <w:i w:val="0"/>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p>
    <w:p>
      <w:pPr>
        <w:pStyle w:val="737"/>
        <w:ind w:firstLine="420"/>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745"/>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745"/>
          <w:rFonts w:hint="eastAsia" w:ascii="方正魏碑_GBK" w:hAnsi="方正魏碑_GBK" w:eastAsia="方正魏碑_GBK" w:cs="方正魏碑_GBK"/>
          <w:i w:val="0"/>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745"/>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745"/>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745"/>
          <w:rFonts w:hint="eastAsia" w:ascii="方正魏碑_GBK" w:hAnsi="方正魏碑_GBK" w:eastAsia="方正魏碑_GBK" w:cs="方正魏碑_GBK"/>
          <w:i w:val="0"/>
          <w:color w:val="000000"/>
          <w:highlight w:val="none"/>
          <w:u w:val="single"/>
          <w:shd w:val="clear" w:color="auto" w:fill="ffffff"/>
        </w:rPr>
        <w:t xml:space="preserve">（规定</w:t>
      </w:r>
      <w:r>
        <w:rPr>
          <w:rStyle w:val="745"/>
          <w:rFonts w:ascii="方正魏碑_GBK" w:hAnsi="方正魏碑_GBK" w:eastAsia="方正魏碑_GBK" w:cs="方正魏碑_GBK"/>
          <w:i w:val="0"/>
          <w:color w:val="000000"/>
          <w:highlight w:val="none"/>
          <w:u w:val="single"/>
          <w:shd w:val="clear" w:color="auto" w:fill="ffffff"/>
        </w:rPr>
        <w:t xml:space="preserve">比例</w:t>
      </w:r>
      <w:r>
        <w:rPr>
          <w:rStyle w:val="745"/>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745"/>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745"/>
          <w:rFonts w:hint="eastAsia" w:ascii="方正魏碑_GBK" w:hAnsi="方正魏碑_GBK" w:eastAsia="方正魏碑_GBK" w:cs="方正魏碑_GBK"/>
          <w:i w:val="0"/>
          <w:color w:val="000000"/>
          <w:highlight w:val="none"/>
          <w:u w:val="single"/>
          <w:shd w:val="clear" w:color="auto" w:fill="ffffff"/>
        </w:rPr>
        <w:t xml:space="preserve">（关键</w:t>
      </w:r>
      <w:r>
        <w:rPr>
          <w:rStyle w:val="745"/>
          <w:rFonts w:ascii="方正魏碑_GBK" w:hAnsi="方正魏碑_GBK" w:eastAsia="方正魏碑_GBK" w:cs="方正魏碑_GBK"/>
          <w:i w:val="0"/>
          <w:color w:val="000000"/>
          <w:highlight w:val="none"/>
          <w:u w:val="single"/>
          <w:shd w:val="clear" w:color="auto" w:fill="ffffff"/>
        </w:rPr>
        <w:t xml:space="preserve">组件</w:t>
      </w:r>
      <w:r>
        <w:rPr>
          <w:rStyle w:val="745"/>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745"/>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745"/>
          <w:rFonts w:hint="eastAsia" w:ascii="方正魏碑_GBK" w:hAnsi="方正魏碑_GBK" w:eastAsia="方正魏碑_GBK" w:cs="方正魏碑_GBK"/>
          <w:i w:val="0"/>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p>
    <w:p>
      <w:pPr>
        <w:pStyle w:val="737"/>
        <w:ind w:firstLine="420"/>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p>
    <w:p>
      <w:pPr>
        <w:pStyle w:val="737"/>
        <w:ind w:firstLine="420"/>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p>
    <w:p>
      <w:pPr>
        <w:pStyle w:val="737"/>
        <w:ind w:right="480" w:firstLine="3720"/>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p>
    <w:p>
      <w:pPr>
        <w:pStyle w:val="737"/>
        <w:jc w:val="center"/>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p>
    <w:p>
      <w:pPr>
        <w:pStyle w:val="737"/>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p>
    <w:p>
      <w:pPr>
        <w:pStyle w:val="737"/>
        <w:spacing w:before="30" w:after="30" w:line="0" w:lineRule="atLeast"/>
        <w:rPr>
          <w:rFonts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p>
    <w:p>
      <w:pPr>
        <w:pStyle w:val="737"/>
        <w:spacing w:before="30" w:after="30" w:line="0" w:lineRule="atLeast"/>
        <w:rPr>
          <w:rFonts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p>
    <w:p>
      <w:pPr>
        <w:pStyle w:val="737"/>
        <w:spacing w:before="30" w:after="30" w:line="0" w:lineRule="atLeast"/>
        <w:rPr>
          <w:rFonts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p>
    <w:p>
      <w:pPr>
        <w:pStyle w:val="737"/>
        <w:spacing w:before="30" w:after="30" w:line="0" w:lineRule="atLeast"/>
        <w:rPr>
          <w:rFonts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p>
    <w:p>
      <w:pPr>
        <w:pStyle w:val="737"/>
        <w:spacing w:before="30" w:after="3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p>
    <w:p>
      <w:pPr>
        <w:pStyle w:val="737"/>
        <w:spacing w:before="30" w:after="3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rPr>
          <w:rFonts w:hint="eastAsia" w:ascii="宋体" w:hAnsi="宋体" w:eastAsia="宋体" w:cs="宋体"/>
          <w:color w:val="000000"/>
          <w:sz w:val="32"/>
          <w:highlight w:val="none"/>
        </w:rPr>
      </w:pPr>
      <w:r/>
      <w:bookmarkStart w:id="84" w:name="_Toc25382"/>
      <w:r/>
      <w:bookmarkStart w:id="85" w:name="_Toc19910"/>
      <w:r>
        <w:rPr>
          <w:rFonts w:hint="eastAsia" w:ascii="宋体" w:hAnsi="宋体" w:eastAsia="宋体" w:cs="宋体"/>
          <w:b/>
          <w:bCs/>
          <w:color w:val="000000"/>
          <w:sz w:val="32"/>
          <w:szCs w:val="44"/>
          <w:highlight w:val="none"/>
        </w:rPr>
        <w:t xml:space="preserve">四、开标一览表</w:t>
      </w:r>
      <w:bookmarkEnd w:id="84"/>
      <w:r/>
      <w:bookmarkEnd w:id="85"/>
      <w:r/>
      <w:r/>
    </w:p>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p>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p>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分包号</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如有</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 </w:t>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Style w:val="688"/>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8"/>
        <w:gridCol w:w="6142"/>
      </w:tblGrid>
      <w:tr>
        <w:trPr>
          <w:cantSplit/>
          <w:trHeight w:val="1098"/>
        </w:trPr>
        <w:tc>
          <w:tcPr>
            <w:tcW w:w="1395" w:type="dxa"/>
            <w:vAlign w:val="center"/>
            <w:textDirection w:val="lrTb"/>
            <w:noWrap w:val="false"/>
          </w:tcPr>
          <w:p>
            <w:pPr>
              <w:pStyle w:val="908"/>
              <w:jc w:val="both"/>
              <w:spacing w:line="30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投标货物及服务名称</w:t>
            </w:r>
            <w:r/>
          </w:p>
        </w:tc>
        <w:tc>
          <w:tcPr>
            <w:tcW w:w="3604"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投标总报价</w:t>
            </w:r>
            <w:r/>
          </w:p>
        </w:tc>
      </w:tr>
      <w:tr>
        <w:trPr>
          <w:cantSplit/>
          <w:trHeight w:val="1697"/>
        </w:trPr>
        <w:tc>
          <w:tcPr>
            <w:tcW w:w="1395" w:type="dxa"/>
            <w:vAlign w:val="center"/>
            <w:textDirection w:val="lrTb"/>
            <w:noWrap w:val="false"/>
          </w:tcPr>
          <w:p>
            <w:pPr>
              <w:pStyle w:val="908"/>
              <w:jc w:val="both"/>
              <w:spacing w:line="30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604" w:type="dxa"/>
            <w:vAlign w:val="center"/>
            <w:textDirection w:val="lrTb"/>
            <w:noWrap w:val="false"/>
          </w:tcPr>
          <w:p>
            <w:pPr>
              <w:pStyle w:val="941"/>
              <w:ind w:firstLine="0"/>
              <w:jc w:val="left"/>
              <w:spacing w:before="0" w:after="0" w:line="5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大写：</w:t>
            </w:r>
            <w:r/>
          </w:p>
          <w:p>
            <w:pPr>
              <w:pStyle w:val="941"/>
              <w:ind w:firstLine="0"/>
              <w:jc w:val="left"/>
              <w:spacing w:before="0" w:after="0" w:line="5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小写：                             （人民币：元）</w:t>
            </w:r>
            <w:r/>
          </w:p>
          <w:p>
            <w:pPr>
              <w:pStyle w:val="941"/>
              <w:ind w:firstLine="0"/>
              <w:jc w:val="left"/>
              <w:spacing w:before="0" w:after="0" w:line="5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0"/>
        <w:rPr>
          <w:rFonts w:hint="eastAsia" w:ascii="宋体" w:hAnsi="宋体" w:eastAsia="宋体" w:cs="宋体"/>
          <w:color w:val="000000"/>
          <w:sz w:val="32"/>
          <w:szCs w:val="32"/>
          <w:highlight w:val="none"/>
        </w:rPr>
      </w:pPr>
      <w:r>
        <w:rPr>
          <w:rFonts w:hint="eastAsia" w:ascii="宋体" w:hAnsi="宋体" w:eastAsia="宋体" w:cs="宋体"/>
          <w:color w:val="000000"/>
          <w:szCs w:val="21"/>
          <w:highlight w:val="none"/>
        </w:rPr>
        <w:t xml:space="preserve">                                          </w:t>
      </w:r>
      <w:r/>
    </w:p>
    <w:p>
      <w:pPr>
        <w:pStyle w:val="905"/>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05"/>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rPr>
          <w:rFonts w:hint="eastAsia" w:ascii="宋体" w:hAnsi="宋体" w:eastAsia="宋体" w:cs="宋体"/>
          <w:color w:val="000000"/>
          <w:sz w:val="32"/>
          <w:highlight w:val="none"/>
        </w:rPr>
      </w:pPr>
      <w:r>
        <w:rPr>
          <w:rFonts w:hint="eastAsia" w:ascii="宋体" w:hAnsi="宋体" w:eastAsia="宋体" w:cs="宋体"/>
          <w:color w:val="000000"/>
          <w:sz w:val="32"/>
          <w:szCs w:val="32"/>
          <w:highlight w:val="none"/>
        </w:rPr>
        <w:br w:type="page" w:clear="all"/>
      </w:r>
      <w:bookmarkStart w:id="86" w:name="_Toc20323"/>
      <w:r/>
      <w:bookmarkStart w:id="87" w:name="_Toc17891"/>
      <w:r>
        <w:rPr>
          <w:rFonts w:hint="eastAsia" w:ascii="宋体" w:hAnsi="宋体" w:eastAsia="宋体" w:cs="宋体"/>
          <w:b/>
          <w:bCs/>
          <w:color w:val="000000"/>
          <w:sz w:val="32"/>
          <w:szCs w:val="44"/>
          <w:highlight w:val="none"/>
        </w:rPr>
        <w:t xml:space="preserve">五、投标产品配置及分项报价表</w:t>
      </w:r>
      <w:bookmarkEnd w:id="86"/>
      <w:r/>
      <w:bookmarkEnd w:id="87"/>
      <w:r/>
      <w:r/>
    </w:p>
    <w:tbl>
      <w:tblPr>
        <w:tblStyle w:val="688"/>
        <w:tblW w:w="9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1249"/>
        <w:gridCol w:w="731"/>
        <w:gridCol w:w="1206"/>
        <w:gridCol w:w="1329"/>
        <w:gridCol w:w="997"/>
        <w:gridCol w:w="1463"/>
      </w:tblGrid>
      <w:tr>
        <w:trPr>
          <w:cantSplit/>
          <w:jc w:val="center"/>
          <w:trHeight w:val="538"/>
        </w:trPr>
        <w:tc>
          <w:tcPr>
            <w:tcW w:w="2502"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1249"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73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120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1329"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W w:w="997"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1463"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r>
      <w:tr>
        <w:trPr>
          <w:cantSplit/>
          <w:jc w:val="center"/>
          <w:trHeight w:val="313"/>
        </w:trPr>
        <w:tc>
          <w:tcPr>
            <w:tcW w:w="2502"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产品名称及规格、型号</w:t>
            </w:r>
            <w:r/>
          </w:p>
        </w:tc>
        <w:tc>
          <w:tcPr>
            <w:tcW w:w="1249"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p>
        </w:tc>
        <w:tc>
          <w:tcPr>
            <w:tcW w:w="73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产地</w:t>
            </w:r>
            <w:r/>
          </w:p>
        </w:tc>
        <w:tc>
          <w:tcPr>
            <w:tcW w:w="120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交付期</w:t>
            </w:r>
            <w:r/>
          </w:p>
        </w:tc>
        <w:tc>
          <w:tcPr>
            <w:tcW w:w="1329"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w:t>
            </w:r>
            <w:r/>
          </w:p>
        </w:tc>
        <w:tc>
          <w:tcPr>
            <w:tcW w:w="997"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p>
        </w:tc>
        <w:tc>
          <w:tcPr>
            <w:tcW w:w="1463"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总价</w:t>
            </w:r>
            <w:r/>
          </w:p>
        </w:tc>
      </w:tr>
      <w:tr>
        <w:trPr>
          <w:cantSplit/>
          <w:jc w:val="center"/>
          <w:trHeight w:val="906"/>
        </w:trPr>
        <w:tc>
          <w:tcPr>
            <w:tcW w:w="2502"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49"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31"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6"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9"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7"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63"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jc w:val="center"/>
          <w:trHeight w:val="906"/>
        </w:trPr>
        <w:tc>
          <w:tcPr>
            <w:tcW w:w="2502"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49"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31"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6"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9"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7"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63"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jc w:val="center"/>
          <w:trHeight w:val="906"/>
        </w:trPr>
        <w:tc>
          <w:tcPr>
            <w:tcW w:w="2502"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49"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31"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6"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9"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7"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63"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jc w:val="center"/>
          <w:trHeight w:val="573"/>
        </w:trPr>
        <w:tc>
          <w:tcPr>
            <w:tcW w:w="2502"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49"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31"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6"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9"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7"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63"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jc w:val="center"/>
          <w:trHeight w:val="1019"/>
        </w:trPr>
        <w:tc>
          <w:tcPr>
            <w:tcW w:w="2502"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合计</w:t>
            </w:r>
            <w:r/>
          </w:p>
        </w:tc>
        <w:tc>
          <w:tcPr>
            <w:gridSpan w:val="5"/>
            <w:tcW w:w="5512" w:type="dxa"/>
            <w:vAlign w:val="top"/>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63" w:type="dxa"/>
            <w:vAlign w:val="top"/>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p>
    <w:p>
      <w:pPr>
        <w:pStyle w:val="899"/>
        <w:rPr>
          <w:rFonts w:hint="eastAsia" w:ascii="宋体" w:hAnsi="宋体" w:eastAsia="宋体" w:cs="宋体"/>
          <w:color w:val="000000"/>
          <w:sz w:val="32"/>
          <w:highlight w:val="none"/>
        </w:rPr>
      </w:pPr>
      <w:r/>
      <w:bookmarkStart w:id="88" w:name="_Toc5967"/>
      <w:r/>
      <w:bookmarkStart w:id="89" w:name="_Toc16517"/>
      <w:r/>
      <w:bookmarkStart w:id="90" w:name="_Toc9678"/>
      <w:r>
        <w:rPr>
          <w:rFonts w:hint="eastAsia" w:ascii="宋体" w:hAnsi="宋体" w:eastAsia="宋体" w:cs="宋体"/>
          <w:color w:val="000000"/>
          <w:sz w:val="32"/>
          <w:highlight w:val="none"/>
        </w:rPr>
        <w:t xml:space="preserve">六、技术参数响应及偏离表</w:t>
      </w:r>
      <w:bookmarkEnd w:id="88"/>
      <w:r/>
      <w:bookmarkEnd w:id="89"/>
      <w:r/>
      <w:bookmarkEnd w:id="90"/>
      <w:r/>
      <w:r/>
    </w:p>
    <w:tbl>
      <w:tblPr>
        <w:tblStyle w:val="688"/>
        <w:tblW w:w="890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p>
        </w:tc>
        <w:tc>
          <w:tcPr>
            <w:tcW w:w="255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招标要求</w:t>
            </w:r>
            <w:r/>
          </w:p>
        </w:tc>
        <w:tc>
          <w:tcPr>
            <w:tcW w:w="270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投标响应</w:t>
            </w:r>
            <w:r/>
          </w:p>
        </w:tc>
        <w:tc>
          <w:tcPr>
            <w:tcW w:w="1458"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超出、符合或偏离</w:t>
            </w:r>
            <w:r/>
          </w:p>
        </w:tc>
        <w:tc>
          <w:tcPr>
            <w:tcW w:w="1210"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证明材料</w:t>
            </w:r>
            <w:r/>
          </w:p>
        </w:tc>
      </w:tr>
      <w:tr>
        <w:trPr>
          <w:cantSplit/>
          <w:trHeight w:val="640"/>
        </w:trPr>
        <w:tc>
          <w:tcPr>
            <w:tcW w:w="984"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注：1、按照基本技术要求详细填列。</w:t>
      </w:r>
      <w:r/>
    </w:p>
    <w:p>
      <w:pPr>
        <w:ind w:firstLine="48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行数不够，可自行添加。</w:t>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br w:type="page" w:clear="all"/>
      </w:r>
      <w:bookmarkStart w:id="91" w:name="_Hlt26955054"/>
      <w:r/>
      <w:bookmarkEnd w:id="91"/>
      <w:r/>
      <w:bookmarkStart w:id="92" w:name="_Toc32154"/>
      <w:r/>
      <w:bookmarkStart w:id="93" w:name="_Toc16820"/>
      <w:r>
        <w:rPr>
          <w:rFonts w:hint="eastAsia" w:ascii="宋体" w:hAnsi="宋体" w:eastAsia="宋体" w:cs="宋体"/>
          <w:b/>
          <w:bCs/>
          <w:color w:val="000000"/>
          <w:sz w:val="32"/>
          <w:szCs w:val="44"/>
          <w:highlight w:val="none"/>
        </w:rPr>
        <w:t xml:space="preserve">七、商务条款响应及偏离表</w:t>
      </w:r>
      <w:bookmarkEnd w:id="92"/>
      <w:r/>
      <w:bookmarkEnd w:id="93"/>
      <w:r/>
      <w:r/>
    </w:p>
    <w:tbl>
      <w:tblPr>
        <w:tblStyle w:val="688"/>
        <w:tblW w:w="84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bookmarkStart w:id="94" w:name="_Hlt26782999"/>
            <w:r/>
            <w:bookmarkEnd w:id="94"/>
            <w:r/>
            <w:bookmarkStart w:id="95" w:name="_Hlt26955064"/>
            <w:r/>
            <w:bookmarkEnd w:id="95"/>
            <w:r/>
            <w:bookmarkStart w:id="96" w:name="_Hlt26609391"/>
            <w:r/>
            <w:bookmarkEnd w:id="96"/>
            <w:r/>
            <w:bookmarkStart w:id="97" w:name="_Hlt26955056"/>
            <w:r/>
            <w:bookmarkEnd w:id="97"/>
            <w:r/>
            <w:bookmarkStart w:id="98" w:name="_Hlt24879081"/>
            <w:r/>
            <w:bookmarkEnd w:id="98"/>
            <w:r/>
            <w:bookmarkStart w:id="99" w:name="_Hlt26671343"/>
            <w:r/>
            <w:bookmarkEnd w:id="99"/>
            <w:r/>
            <w:bookmarkStart w:id="100" w:name="_Hlt26671372"/>
            <w:r/>
            <w:bookmarkEnd w:id="100"/>
            <w:r/>
            <w:bookmarkStart w:id="101" w:name="_Hlt26580838"/>
            <w:r/>
            <w:bookmarkEnd w:id="101"/>
            <w:r>
              <w:rPr>
                <w:rFonts w:hint="eastAsia" w:ascii="宋体" w:hAnsi="宋体" w:eastAsia="宋体" w:cs="宋体"/>
                <w:color w:val="000000"/>
                <w:sz w:val="21"/>
                <w:szCs w:val="21"/>
                <w:highlight w:val="none"/>
                <w:lang w:val="en-US" w:eastAsia="zh-CN" w:bidi="ar-SA"/>
              </w:rPr>
              <w:t xml:space="preserve">项目</w:t>
            </w:r>
            <w:r/>
          </w:p>
        </w:tc>
        <w:tc>
          <w:tcPr>
            <w:tcW w:w="2122"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招标文件要求</w:t>
            </w:r>
            <w:r/>
          </w:p>
        </w:tc>
        <w:tc>
          <w:tcPr>
            <w:tcW w:w="1800"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是否响应</w:t>
            </w:r>
            <w:r/>
          </w:p>
        </w:tc>
        <w:tc>
          <w:tcPr>
            <w:tcW w:w="2561"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投标人的承诺或说明</w:t>
            </w:r>
            <w:r/>
          </w:p>
        </w:tc>
      </w:tr>
      <w:tr>
        <w:trPr>
          <w:trHeight w:val="624"/>
        </w:trPr>
        <w:tc>
          <w:tcPr>
            <w:tcW w:w="1935"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质保期</w:t>
            </w:r>
            <w:r/>
          </w:p>
        </w:tc>
        <w:tc>
          <w:tcPr>
            <w:tcW w:w="2122"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00"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61"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950"/>
        </w:trPr>
        <w:tc>
          <w:tcPr>
            <w:tcW w:w="1935"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售后技术服务要求</w:t>
            </w:r>
            <w:r/>
          </w:p>
        </w:tc>
        <w:tc>
          <w:tcPr>
            <w:tcW w:w="2122"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00"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61"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17"/>
        </w:trPr>
        <w:tc>
          <w:tcPr>
            <w:tcW w:w="1935"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交付时间</w:t>
            </w:r>
            <w:r/>
          </w:p>
        </w:tc>
        <w:tc>
          <w:tcPr>
            <w:tcW w:w="2122"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00" w:type="dxa"/>
            <w:vAlign w:val="top"/>
            <w:textDirection w:val="lrTb"/>
            <w:noWrap w:val="false"/>
          </w:tcPr>
          <w:p>
            <w:pPr>
              <w:ind w:left="43"/>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61" w:type="dxa"/>
            <w:vAlign w:val="top"/>
            <w:textDirection w:val="lrTb"/>
            <w:noWrap w:val="false"/>
          </w:tcPr>
          <w:p>
            <w:pPr>
              <w:ind w:left="43"/>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86"/>
        </w:trPr>
        <w:tc>
          <w:tcPr>
            <w:tcW w:w="1935"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交货方式</w:t>
            </w:r>
            <w:r/>
          </w:p>
        </w:tc>
        <w:tc>
          <w:tcPr>
            <w:tcW w:w="2122" w:type="dxa"/>
            <w:vAlign w:val="top"/>
            <w:textDirection w:val="lrTb"/>
            <w:noWrap w:val="false"/>
          </w:tcPr>
          <w:p>
            <w:pPr>
              <w:jc w:val="both"/>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00" w:type="dxa"/>
            <w:vAlign w:val="top"/>
            <w:textDirection w:val="lrTb"/>
            <w:noWrap w:val="false"/>
          </w:tcPr>
          <w:p>
            <w:pPr>
              <w:ind w:left="43"/>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61" w:type="dxa"/>
            <w:vAlign w:val="top"/>
            <w:textDirection w:val="lrTb"/>
            <w:noWrap w:val="false"/>
          </w:tcPr>
          <w:p>
            <w:pPr>
              <w:ind w:left="43"/>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13"/>
        </w:trPr>
        <w:tc>
          <w:tcPr>
            <w:tcW w:w="1935"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交货地点</w:t>
            </w:r>
            <w:r/>
          </w:p>
        </w:tc>
        <w:tc>
          <w:tcPr>
            <w:tcW w:w="2122" w:type="dxa"/>
            <w:vAlign w:val="top"/>
            <w:textDirection w:val="lrTb"/>
            <w:noWrap w:val="false"/>
          </w:tcPr>
          <w:p>
            <w:pPr>
              <w:jc w:val="both"/>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00" w:type="dxa"/>
            <w:vAlign w:val="top"/>
            <w:textDirection w:val="lrTb"/>
            <w:noWrap w:val="false"/>
          </w:tcPr>
          <w:p>
            <w:pPr>
              <w:ind w:left="43"/>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61" w:type="dxa"/>
            <w:vAlign w:val="top"/>
            <w:textDirection w:val="lrTb"/>
            <w:noWrap w:val="false"/>
          </w:tcPr>
          <w:p>
            <w:pPr>
              <w:ind w:left="43"/>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84"/>
        </w:trPr>
        <w:tc>
          <w:tcPr>
            <w:tcW w:w="1935"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付款方式</w:t>
            </w:r>
            <w:r/>
          </w:p>
        </w:tc>
        <w:tc>
          <w:tcPr>
            <w:tcW w:w="2122" w:type="dxa"/>
            <w:vAlign w:val="top"/>
            <w:textDirection w:val="lrTb"/>
            <w:noWrap w:val="false"/>
          </w:tcPr>
          <w:p>
            <w:pPr>
              <w:jc w:val="both"/>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00"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61" w:type="dxa"/>
            <w:vAlign w:val="top"/>
            <w:textDirection w:val="lrTb"/>
            <w:noWrap w:val="false"/>
          </w:tcPr>
          <w:p>
            <w:pPr>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48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905"/>
        <w:ind w:firstLine="480"/>
        <w:rPr>
          <w:rFonts w:hint="eastAsia" w:ascii="宋体" w:hAnsi="宋体" w:eastAsia="宋体" w:cs="宋体"/>
          <w:color w:val="000000"/>
          <w:sz w:val="24"/>
          <w:highlight w:val="none"/>
        </w:rPr>
      </w:pPr>
      <w:r/>
      <w:bookmarkStart w:id="102" w:name="_Hlt26671374"/>
      <w:r/>
      <w:bookmarkEnd w:id="102"/>
      <w:r/>
      <w:bookmarkStart w:id="103" w:name="_Hlt26955066"/>
      <w:r/>
      <w:bookmarkEnd w:id="103"/>
      <w:r/>
      <w:bookmarkStart w:id="104" w:name="_Hlt26609389"/>
      <w:r/>
      <w:bookmarkEnd w:id="104"/>
      <w:r/>
      <w:bookmarkStart w:id="105" w:name="_Toc462564146"/>
      <w:r/>
      <w:r/>
    </w:p>
    <w:p>
      <w:pPr>
        <w:pStyle w:val="90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5"/>
        <w:ind w:firstLine="480"/>
        <w:jc w:val="center"/>
        <w:rPr>
          <w:rFonts w:hint="eastAsia" w:ascii="宋体" w:hAnsi="宋体" w:eastAsia="宋体" w:cs="宋体"/>
          <w:b/>
          <w:color w:val="000000"/>
          <w:highlight w:val="none"/>
        </w:rPr>
      </w:pPr>
      <w:r>
        <w:rPr>
          <w:rFonts w:hint="eastAsia" w:ascii="宋体" w:hAnsi="宋体" w:eastAsia="宋体" w:cs="宋体"/>
          <w:color w:val="000000"/>
          <w:sz w:val="24"/>
          <w:highlight w:val="none"/>
        </w:rPr>
        <w:br w:type="page" w:clear="all"/>
      </w:r>
      <w:bookmarkEnd w:id="105"/>
      <w:r/>
      <w:bookmarkStart w:id="106" w:name="_格式2__法定代表人授权书"/>
      <w:r/>
      <w:bookmarkEnd w:id="106"/>
      <w:r>
        <w:rPr>
          <w:rFonts w:hint="eastAsia" w:ascii="宋体" w:hAnsi="宋体" w:eastAsia="宋体" w:cs="宋体"/>
          <w:b/>
          <w:bCs/>
          <w:color w:val="000000"/>
          <w:sz w:val="32"/>
          <w:szCs w:val="44"/>
          <w:highlight w:val="none"/>
          <w:lang w:val="en-US" w:eastAsia="zh-CN" w:bidi="ar-SA"/>
        </w:rPr>
        <w:t xml:space="preserve">八、主要标的信息（中标后将公示）</w:t>
      </w:r>
      <w:r/>
    </w:p>
    <w:p>
      <w:pPr>
        <w:spacing w:after="312"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after="312"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投标人全称：</w:t>
      </w:r>
      <w:r/>
    </w:p>
    <w:tbl>
      <w:tblPr>
        <w:tblStyle w:val="688"/>
        <w:tblW w:w="76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货物类</w:t>
            </w:r>
            <w:r/>
          </w:p>
        </w:tc>
        <w:tc>
          <w:tcPr>
            <w:tcW w:w="3780" w:type="dxa"/>
            <w:vAlign w:val="top"/>
            <w:textDirection w:val="lrTb"/>
            <w:noWrap w:val="false"/>
          </w:tcPr>
          <w:p>
            <w:pPr>
              <w:jc w:val="center"/>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服务类</w:t>
            </w:r>
            <w:r/>
          </w:p>
        </w:tc>
      </w:tr>
      <w:tr>
        <w:trPr>
          <w:trHeight w:val="3810"/>
        </w:trPr>
        <w:tc>
          <w:tcPr>
            <w:tcW w:w="3901" w:type="dxa"/>
            <w:vAlign w:val="top"/>
            <w:textDirection w:val="lrTb"/>
            <w:noWrap w:val="false"/>
          </w:tcPr>
          <w:p>
            <w:pPr>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名称：</w:t>
            </w:r>
            <w:r/>
          </w:p>
          <w:p>
            <w:pPr>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品牌（如有）：</w:t>
            </w:r>
            <w:r/>
          </w:p>
          <w:p>
            <w:pPr>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规格型号：</w:t>
            </w:r>
            <w:r/>
          </w:p>
          <w:p>
            <w:pPr>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数量：</w:t>
            </w:r>
            <w:r/>
          </w:p>
          <w:p>
            <w:pPr>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单价：</w:t>
            </w:r>
            <w:r/>
          </w:p>
        </w:tc>
        <w:tc>
          <w:tcPr>
            <w:tcW w:w="3780" w:type="dxa"/>
            <w:vAlign w:val="top"/>
            <w:textDirection w:val="lrTb"/>
            <w:noWrap w:val="false"/>
          </w:tcPr>
          <w:p>
            <w:pPr>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名称：</w:t>
            </w:r>
            <w:r/>
          </w:p>
          <w:p>
            <w:pPr>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服务范围：</w:t>
            </w:r>
            <w:r/>
          </w:p>
          <w:p>
            <w:pPr>
              <w:jc w:val="both"/>
              <w:spacing w:line="360"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lang w:val="en-US" w:eastAsia="zh-CN" w:bidi="ar-SA"/>
              </w:rPr>
              <w:t xml:space="preserve">服务要求：</w:t>
            </w:r>
            <w:r/>
          </w:p>
          <w:p>
            <w:pPr>
              <w:jc w:val="both"/>
              <w:spacing w:line="360"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lang w:val="en-US" w:eastAsia="zh-CN" w:bidi="ar-SA"/>
              </w:rPr>
              <w:t xml:space="preserve">服务时间：</w:t>
            </w:r>
            <w:r/>
          </w:p>
          <w:p>
            <w:pPr>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服务标准：</w:t>
            </w:r>
            <w:r/>
          </w:p>
        </w:tc>
      </w:tr>
    </w:tbl>
    <w:p>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rPr>
        <w:rFonts w:hint="eastAsia" w:eastAsia="宋体"/>
        <w:lang w:eastAsia="zh-CN"/>
      </w:rPr>
    </w:pPr>
    <w:r>
      <w:rPr>
        <w:rFonts w:hint="eastAsia"/>
        <w:lang w:eastAsia="zh-CN"/>
      </w:rPr>
      <w:t xml:space="preserve">JSZC-321000-WCGC-G2026-0032号</w:t>
    </w:r>
    <w:r>
      <w:rPr>
        <w:rFonts w:hint="eastAsia"/>
      </w:rPr>
      <w:t xml:space="preserve">                                      </w:t>
    </w:r>
    <w:r>
      <w:rPr>
        <w:rFonts w:hint="eastAsia"/>
        <w:lang w:eastAsia="zh-CN"/>
      </w:rPr>
      <w:t xml:space="preserve">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rPr>
        <w:rFonts w:hint="eastAsia" w:eastAsia="宋体"/>
        <w:lang w:eastAsia="zh-CN"/>
      </w:rPr>
    </w:pPr>
    <w:r>
      <w:rPr>
        <w:rFonts w:hint="eastAsia"/>
        <w:lang w:eastAsia="zh-CN"/>
      </w:rPr>
      <w:t xml:space="preserve">JSZC-321000-WCGC-G2026-0032号</w:t>
    </w:r>
    <w:r>
      <w:tab/>
    </w:r>
    <w:r>
      <w:rPr>
        <w:rFonts w:hint="eastAsia"/>
      </w:rPr>
      <w:t xml:space="preserve">                                    </w:t>
    </w:r>
    <w:r>
      <w:rPr>
        <w:rFonts w:hint="eastAsia"/>
        <w:lang w:eastAsia="zh-CN"/>
      </w:rPr>
      <w:t xml:space="preserve">江苏唯诚建设咨询有限公司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4"/>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link w:val="969"/>
    <w:uiPriority w:val="0"/>
    <w:qFormat/>
    <w:pPr>
      <w:jc w:val="both"/>
      <w:widowControl w:val="off"/>
    </w:pPr>
    <w:rPr>
      <w:rFonts w:hint="default" w:ascii="Calibri" w:hAnsi="Calibri" w:eastAsia="宋体" w:cs="Times New Roman"/>
      <w:sz w:val="21"/>
      <w:szCs w:val="22"/>
      <w:lang w:eastAsia="zh-CN"/>
    </w:rPr>
  </w:style>
  <w:style w:type="paragraph" w:styleId="678">
    <w:name w:val="Heading 1"/>
    <w:basedOn w:val="677"/>
    <w:next w:val="677"/>
    <w:link w:val="750"/>
    <w:uiPriority w:val="9"/>
    <w:qFormat/>
    <w:pPr>
      <w:jc w:val="center"/>
      <w:keepLines/>
      <w:keepNext/>
      <w:spacing w:line="360" w:lineRule="auto"/>
      <w:outlineLvl w:val="0"/>
    </w:pPr>
    <w:rPr>
      <w:rFonts w:ascii="Arial" w:hAnsi="Arial" w:eastAsia="宋体" w:cs="Arial"/>
      <w:b/>
      <w:sz w:val="30"/>
      <w:szCs w:val="40"/>
    </w:rPr>
  </w:style>
  <w:style w:type="paragraph" w:styleId="679">
    <w:name w:val="Heading 2"/>
    <w:basedOn w:val="677"/>
    <w:next w:val="677"/>
    <w:link w:val="751"/>
    <w:uiPriority w:val="9"/>
    <w:unhideWhenUsed/>
    <w:qFormat/>
    <w:pPr>
      <w:keepLines/>
      <w:keepNext/>
      <w:spacing w:before="360" w:after="200"/>
      <w:outlineLvl w:val="1"/>
    </w:pPr>
    <w:rPr>
      <w:rFonts w:ascii="Arial" w:hAnsi="Arial" w:eastAsia="Arial" w:cs="Arial"/>
      <w:sz w:val="34"/>
    </w:rPr>
  </w:style>
  <w:style w:type="paragraph" w:styleId="680">
    <w:name w:val="Heading 3"/>
    <w:basedOn w:val="677"/>
    <w:next w:val="677"/>
    <w:link w:val="752"/>
    <w:uiPriority w:val="9"/>
    <w:unhideWhenUsed/>
    <w:qFormat/>
    <w:pPr>
      <w:keepLines/>
      <w:keepNext/>
      <w:spacing w:before="320" w:after="200"/>
      <w:outlineLvl w:val="2"/>
    </w:pPr>
    <w:rPr>
      <w:rFonts w:ascii="Arial" w:hAnsi="Arial" w:eastAsia="Arial" w:cs="Arial"/>
      <w:sz w:val="30"/>
      <w:szCs w:val="30"/>
    </w:rPr>
  </w:style>
  <w:style w:type="paragraph" w:styleId="681">
    <w:name w:val="Heading 4"/>
    <w:basedOn w:val="677"/>
    <w:next w:val="677"/>
    <w:link w:val="753"/>
    <w:uiPriority w:val="9"/>
    <w:unhideWhenUsed/>
    <w:qFormat/>
    <w:pPr>
      <w:keepLines/>
      <w:keepNext/>
      <w:spacing w:before="320" w:after="200"/>
      <w:outlineLvl w:val="3"/>
    </w:pPr>
    <w:rPr>
      <w:rFonts w:ascii="Arial" w:hAnsi="Arial" w:eastAsia="Arial" w:cs="Arial"/>
      <w:b/>
      <w:bCs/>
      <w:sz w:val="26"/>
      <w:szCs w:val="26"/>
    </w:rPr>
  </w:style>
  <w:style w:type="paragraph" w:styleId="682">
    <w:name w:val="Heading 5"/>
    <w:basedOn w:val="677"/>
    <w:next w:val="677"/>
    <w:link w:val="754"/>
    <w:uiPriority w:val="9"/>
    <w:unhideWhenUsed/>
    <w:qFormat/>
    <w:pPr>
      <w:keepLines/>
      <w:keepNext/>
      <w:spacing w:before="320" w:after="200"/>
      <w:outlineLvl w:val="4"/>
    </w:pPr>
    <w:rPr>
      <w:rFonts w:ascii="Arial" w:hAnsi="Arial" w:eastAsia="Arial" w:cs="Arial"/>
      <w:b/>
      <w:bCs/>
      <w:sz w:val="24"/>
      <w:szCs w:val="24"/>
    </w:rPr>
  </w:style>
  <w:style w:type="paragraph" w:styleId="683">
    <w:name w:val="Heading 6"/>
    <w:basedOn w:val="677"/>
    <w:next w:val="677"/>
    <w:link w:val="755"/>
    <w:uiPriority w:val="9"/>
    <w:unhideWhenUsed/>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757"/>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758"/>
    <w:uiPriority w:val="9"/>
    <w:unhideWhenUsed/>
    <w:qFormat/>
    <w:pPr>
      <w:keepLines/>
      <w:keepNext/>
      <w:spacing w:before="320" w:after="200"/>
      <w:outlineLvl w:val="8"/>
    </w:pPr>
    <w:rPr>
      <w:rFonts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77"/>
    <w:next w:val="677"/>
    <w:uiPriority w:val="39"/>
    <w:unhideWhenUsed/>
    <w:qFormat/>
    <w:pPr>
      <w:ind w:left="1701" w:right="0" w:firstLine="0"/>
      <w:spacing w:after="57"/>
    </w:pPr>
  </w:style>
  <w:style w:type="paragraph" w:styleId="690">
    <w:name w:val="Caption"/>
    <w:basedOn w:val="677"/>
    <w:next w:val="677"/>
    <w:uiPriority w:val="35"/>
    <w:semiHidden/>
    <w:unhideWhenUsed/>
    <w:qFormat/>
    <w:pPr>
      <w:spacing w:line="276" w:lineRule="auto"/>
    </w:pPr>
    <w:rPr>
      <w:b/>
      <w:bCs/>
      <w:color w:val="4f81bd" w:themeColor="accent1"/>
      <w:sz w:val="18"/>
      <w:szCs w:val="18"/>
    </w:rPr>
  </w:style>
  <w:style w:type="paragraph" w:styleId="691">
    <w:name w:val="toc 5"/>
    <w:basedOn w:val="677"/>
    <w:next w:val="677"/>
    <w:uiPriority w:val="39"/>
    <w:unhideWhenUsed/>
    <w:qFormat/>
    <w:pPr>
      <w:ind w:left="1134" w:right="0" w:firstLine="0"/>
      <w:spacing w:after="57"/>
    </w:pPr>
  </w:style>
  <w:style w:type="paragraph" w:styleId="692">
    <w:name w:val="toc 3"/>
    <w:basedOn w:val="677"/>
    <w:next w:val="677"/>
    <w:uiPriority w:val="39"/>
    <w:unhideWhenUsed/>
    <w:qFormat/>
    <w:pPr>
      <w:ind w:left="567" w:right="0" w:firstLine="0"/>
      <w:spacing w:after="57"/>
    </w:pPr>
  </w:style>
  <w:style w:type="paragraph" w:styleId="693">
    <w:name w:val="toc 8"/>
    <w:basedOn w:val="677"/>
    <w:next w:val="677"/>
    <w:uiPriority w:val="39"/>
    <w:unhideWhenUsed/>
    <w:qFormat/>
    <w:pPr>
      <w:ind w:left="1984" w:right="0" w:firstLine="0"/>
      <w:spacing w:after="57"/>
    </w:pPr>
  </w:style>
  <w:style w:type="paragraph" w:styleId="694">
    <w:name w:val="endnote text"/>
    <w:basedOn w:val="677"/>
    <w:uiPriority w:val="99"/>
    <w:semiHidden/>
    <w:unhideWhenUsed/>
    <w:qFormat/>
    <w:pPr>
      <w:spacing w:after="0" w:line="240" w:lineRule="auto"/>
    </w:pPr>
    <w:rPr>
      <w:sz w:val="20"/>
    </w:rPr>
  </w:style>
  <w:style w:type="paragraph" w:styleId="695">
    <w:name w:val="Footer"/>
    <w:basedOn w:val="677"/>
    <w:uiPriority w:val="99"/>
    <w:unhideWhenUsed/>
    <w:pPr>
      <w:spacing w:after="0" w:line="240" w:lineRule="auto"/>
      <w:tabs>
        <w:tab w:val="center" w:pos="7143" w:leader="none"/>
        <w:tab w:val="right" w:pos="14287" w:leader="none"/>
      </w:tabs>
    </w:pPr>
  </w:style>
  <w:style w:type="paragraph" w:styleId="696">
    <w:name w:val="Header"/>
    <w:basedOn w:val="677"/>
    <w:uiPriority w:val="99"/>
    <w:unhideWhenUsed/>
    <w:qFormat/>
    <w:pPr>
      <w:spacing w:after="0" w:line="240" w:lineRule="auto"/>
      <w:tabs>
        <w:tab w:val="center" w:pos="7143" w:leader="none"/>
        <w:tab w:val="right" w:pos="14287" w:leader="none"/>
      </w:tabs>
    </w:pPr>
  </w:style>
  <w:style w:type="paragraph" w:styleId="697">
    <w:name w:val="toc 1"/>
    <w:basedOn w:val="677"/>
    <w:next w:val="677"/>
    <w:uiPriority w:val="39"/>
    <w:unhideWhenUsed/>
    <w:pPr>
      <w:ind w:left="0" w:right="0" w:firstLine="0"/>
      <w:spacing w:after="57"/>
    </w:pPr>
  </w:style>
  <w:style w:type="paragraph" w:styleId="698">
    <w:name w:val="toc 4"/>
    <w:basedOn w:val="677"/>
    <w:next w:val="677"/>
    <w:uiPriority w:val="39"/>
    <w:unhideWhenUsed/>
    <w:qFormat/>
    <w:pPr>
      <w:ind w:left="850" w:right="0" w:firstLine="0"/>
      <w:spacing w:after="57"/>
    </w:pPr>
  </w:style>
  <w:style w:type="paragraph" w:styleId="699">
    <w:name w:val="Subtitle"/>
    <w:basedOn w:val="677"/>
    <w:next w:val="677"/>
    <w:uiPriority w:val="11"/>
    <w:qFormat/>
    <w:pPr>
      <w:spacing w:before="200" w:after="200"/>
    </w:pPr>
    <w:rPr>
      <w:sz w:val="24"/>
      <w:szCs w:val="24"/>
    </w:rPr>
  </w:style>
  <w:style w:type="paragraph" w:styleId="700">
    <w:name w:val="footnote text"/>
    <w:basedOn w:val="677"/>
    <w:uiPriority w:val="99"/>
    <w:semiHidden/>
    <w:unhideWhenUsed/>
    <w:qFormat/>
    <w:pPr>
      <w:spacing w:after="40" w:line="240" w:lineRule="auto"/>
    </w:pPr>
    <w:rPr>
      <w:sz w:val="18"/>
    </w:rPr>
  </w:style>
  <w:style w:type="paragraph" w:styleId="701">
    <w:name w:val="toc 6"/>
    <w:basedOn w:val="677"/>
    <w:next w:val="677"/>
    <w:uiPriority w:val="39"/>
    <w:unhideWhenUsed/>
    <w:qFormat/>
    <w:pPr>
      <w:ind w:left="1417" w:right="0" w:firstLine="0"/>
      <w:spacing w:after="57"/>
    </w:pPr>
  </w:style>
  <w:style w:type="paragraph" w:styleId="702">
    <w:name w:val="table of figures"/>
    <w:basedOn w:val="677"/>
    <w:next w:val="677"/>
    <w:uiPriority w:val="99"/>
    <w:unhideWhenUsed/>
    <w:pPr>
      <w:spacing w:after="0" w:afterAutospacing="0"/>
    </w:pPr>
  </w:style>
  <w:style w:type="paragraph" w:styleId="703">
    <w:name w:val="toc 2"/>
    <w:basedOn w:val="677"/>
    <w:next w:val="677"/>
    <w:uiPriority w:val="39"/>
    <w:unhideWhenUsed/>
    <w:qFormat/>
    <w:pPr>
      <w:ind w:left="283" w:right="0" w:firstLine="0"/>
      <w:spacing w:after="57"/>
    </w:pPr>
  </w:style>
  <w:style w:type="paragraph" w:styleId="704">
    <w:name w:val="toc 9"/>
    <w:basedOn w:val="677"/>
    <w:next w:val="677"/>
    <w:uiPriority w:val="39"/>
    <w:unhideWhenUsed/>
    <w:pPr>
      <w:ind w:left="2268" w:right="0" w:firstLine="0"/>
      <w:spacing w:after="57"/>
    </w:pPr>
  </w:style>
  <w:style w:type="paragraph" w:styleId="705">
    <w:name w:val="Title"/>
    <w:basedOn w:val="677"/>
    <w:next w:val="677"/>
    <w:uiPriority w:val="10"/>
    <w:qFormat/>
    <w:pPr>
      <w:contextualSpacing/>
      <w:spacing w:before="300" w:after="200"/>
    </w:pPr>
    <w:rPr>
      <w:sz w:val="48"/>
      <w:szCs w:val="48"/>
    </w:rPr>
  </w:style>
  <w:style w:type="table" w:styleId="7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uiPriority w:val="99"/>
    <w:semiHidden/>
    <w:unhideWhenUsed/>
    <w:rPr>
      <w:vertAlign w:val="superscript"/>
    </w:rPr>
  </w:style>
  <w:style w:type="character" w:styleId="708">
    <w:name w:val="Hyperlink"/>
    <w:uiPriority w:val="99"/>
    <w:unhideWhenUsed/>
    <w:qFormat/>
    <w:rPr>
      <w:color w:val="0000ff" w:themeColor="hyperlink"/>
      <w:u w:val="single"/>
    </w:rPr>
  </w:style>
  <w:style w:type="character" w:styleId="709">
    <w:name w:val="footnote reference"/>
    <w:uiPriority w:val="99"/>
    <w:unhideWhenUsed/>
    <w:rPr>
      <w:vertAlign w:val="superscript"/>
    </w:rPr>
  </w:style>
  <w:style w:type="paragraph" w:styleId="710" w:customStyle="1">
    <w:name w:val="标题 211"/>
    <w:basedOn w:val="677"/>
    <w:next w:val="677"/>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711" w:customStyle="1">
    <w:name w:val="标题 311"/>
    <w:basedOn w:val="677"/>
    <w:next w:val="677"/>
    <w:uiPriority w:val="0"/>
    <w:unhideWhenUsed/>
    <w:qFormat/>
    <w:pPr>
      <w:jc w:val="left"/>
      <w:spacing w:beforeAutospacing="1" w:afterAutospacing="1"/>
      <w:outlineLvl w:val="2"/>
    </w:pPr>
    <w:rPr>
      <w:rFonts w:hint="eastAsia" w:ascii="宋体" w:hAnsi="宋体" w:eastAsia="宋体" w:cs="Times New Roman"/>
      <w:b/>
      <w:bCs/>
      <w:sz w:val="27"/>
      <w:szCs w:val="27"/>
    </w:rPr>
  </w:style>
  <w:style w:type="character" w:styleId="712" w:customStyle="1">
    <w:name w:val="默认段落字体11"/>
    <w:link w:val="677"/>
    <w:uiPriority w:val="1"/>
    <w:unhideWhenUsed/>
    <w:qFormat/>
  </w:style>
  <w:style w:type="table" w:styleId="713" w:customStyle="1">
    <w:name w:val="普通表格11"/>
    <w:uiPriority w:val="99"/>
    <w:unhideWhenUsed/>
    <w:qFormat/>
    <w:tblPr/>
  </w:style>
  <w:style w:type="paragraph" w:styleId="714" w:customStyle="1">
    <w:name w:val="目录 71"/>
    <w:basedOn w:val="677"/>
    <w:next w:val="677"/>
    <w:uiPriority w:val="39"/>
    <w:unhideWhenUsed/>
    <w:qFormat/>
    <w:pPr>
      <w:ind w:left="1701" w:right="0" w:firstLine="0"/>
      <w:spacing w:after="57"/>
    </w:pPr>
  </w:style>
  <w:style w:type="paragraph" w:styleId="715" w:customStyle="1">
    <w:name w:val="引文目录1"/>
    <w:basedOn w:val="677"/>
    <w:next w:val="677"/>
    <w:uiPriority w:val="0"/>
    <w:qFormat/>
    <w:pPr>
      <w:ind w:left="420"/>
    </w:pPr>
  </w:style>
  <w:style w:type="paragraph" w:styleId="716" w:customStyle="1">
    <w:name w:val="正文缩进11"/>
    <w:basedOn w:val="677"/>
    <w:uiPriority w:val="99"/>
    <w:unhideWhenUsed/>
    <w:qFormat/>
    <w:pPr>
      <w:ind w:firstLine="420"/>
    </w:pPr>
  </w:style>
  <w:style w:type="paragraph" w:styleId="717" w:customStyle="1">
    <w:name w:val="批注文字11"/>
    <w:basedOn w:val="677"/>
    <w:uiPriority w:val="99"/>
    <w:unhideWhenUsed/>
    <w:qFormat/>
    <w:pPr>
      <w:jc w:val="left"/>
    </w:pPr>
  </w:style>
  <w:style w:type="paragraph" w:styleId="718" w:customStyle="1">
    <w:name w:val="正文文本12"/>
    <w:basedOn w:val="677"/>
    <w:uiPriority w:val="0"/>
    <w:qFormat/>
    <w:pPr>
      <w:spacing w:after="120"/>
    </w:pPr>
    <w:rPr>
      <w:szCs w:val="24"/>
    </w:rPr>
  </w:style>
  <w:style w:type="paragraph" w:styleId="719" w:customStyle="1">
    <w:name w:val="正文文本缩进11"/>
    <w:basedOn w:val="677"/>
    <w:uiPriority w:val="0"/>
    <w:qFormat/>
    <w:pPr>
      <w:ind w:left="420"/>
      <w:spacing w:after="120"/>
    </w:pPr>
    <w:rPr>
      <w:rFonts w:ascii="等线" w:hAnsi="等线" w:eastAsia="等线"/>
    </w:rPr>
  </w:style>
  <w:style w:type="paragraph" w:styleId="720" w:customStyle="1">
    <w:name w:val="目录 51"/>
    <w:basedOn w:val="677"/>
    <w:next w:val="677"/>
    <w:uiPriority w:val="39"/>
    <w:unhideWhenUsed/>
    <w:qFormat/>
    <w:pPr>
      <w:ind w:left="1134" w:right="0" w:firstLine="0"/>
      <w:spacing w:after="57"/>
    </w:pPr>
  </w:style>
  <w:style w:type="paragraph" w:styleId="721" w:customStyle="1">
    <w:name w:val="目录 31"/>
    <w:basedOn w:val="677"/>
    <w:next w:val="677"/>
    <w:uiPriority w:val="39"/>
    <w:unhideWhenUsed/>
    <w:qFormat/>
    <w:pPr>
      <w:ind w:left="567" w:right="0" w:firstLine="0"/>
      <w:spacing w:after="57"/>
    </w:pPr>
  </w:style>
  <w:style w:type="paragraph" w:styleId="722" w:customStyle="1">
    <w:name w:val="目录 81"/>
    <w:basedOn w:val="677"/>
    <w:next w:val="677"/>
    <w:uiPriority w:val="39"/>
    <w:unhideWhenUsed/>
    <w:qFormat/>
    <w:pPr>
      <w:ind w:left="1984" w:right="0" w:firstLine="0"/>
      <w:spacing w:after="57"/>
    </w:pPr>
  </w:style>
  <w:style w:type="paragraph" w:styleId="723" w:customStyle="1">
    <w:name w:val="正文文本缩进 211"/>
    <w:basedOn w:val="677"/>
    <w:uiPriority w:val="0"/>
    <w:qFormat/>
    <w:pPr>
      <w:ind w:left="640"/>
      <w:spacing w:after="120" w:line="480" w:lineRule="auto"/>
    </w:pPr>
    <w:rPr>
      <w:rFonts w:eastAsia="仿宋_GB2312"/>
      <w:sz w:val="32"/>
      <w:szCs w:val="28"/>
    </w:rPr>
  </w:style>
  <w:style w:type="paragraph" w:styleId="724" w:customStyle="1">
    <w:name w:val="尾注文本1"/>
    <w:basedOn w:val="677"/>
    <w:link w:val="725"/>
    <w:uiPriority w:val="99"/>
    <w:unhideWhenUsed/>
    <w:qFormat/>
    <w:pPr>
      <w:spacing w:after="0" w:line="240" w:lineRule="auto"/>
    </w:pPr>
    <w:rPr>
      <w:sz w:val="20"/>
    </w:rPr>
  </w:style>
  <w:style w:type="character" w:styleId="725" w:customStyle="1">
    <w:name w:val="Endnote Text Char"/>
    <w:link w:val="724"/>
    <w:uiPriority w:val="99"/>
    <w:qFormat/>
    <w:rPr>
      <w:sz w:val="20"/>
    </w:rPr>
  </w:style>
  <w:style w:type="paragraph" w:styleId="726" w:customStyle="1">
    <w:name w:val="页脚11"/>
    <w:basedOn w:val="677"/>
    <w:uiPriority w:val="99"/>
    <w:unhideWhenUsed/>
    <w:pPr>
      <w:jc w:val="left"/>
      <w:tabs>
        <w:tab w:val="center" w:pos="4153" w:leader="none"/>
        <w:tab w:val="right" w:pos="8306" w:leader="none"/>
      </w:tabs>
    </w:pPr>
    <w:rPr>
      <w:sz w:val="18"/>
    </w:rPr>
  </w:style>
  <w:style w:type="paragraph" w:styleId="727" w:customStyle="1">
    <w:name w:val="目录 111"/>
    <w:basedOn w:val="677"/>
    <w:next w:val="677"/>
    <w:uiPriority w:val="39"/>
    <w:unhideWhenUsed/>
    <w:qFormat/>
    <w:pPr>
      <w:ind w:left="0" w:right="0" w:firstLine="0"/>
      <w:spacing w:after="57"/>
    </w:pPr>
  </w:style>
  <w:style w:type="paragraph" w:styleId="728" w:customStyle="1">
    <w:name w:val="目录 41"/>
    <w:basedOn w:val="677"/>
    <w:next w:val="677"/>
    <w:uiPriority w:val="39"/>
    <w:unhideWhenUsed/>
    <w:qFormat/>
    <w:pPr>
      <w:ind w:left="850" w:right="0" w:firstLine="0"/>
      <w:spacing w:after="57"/>
    </w:pPr>
  </w:style>
  <w:style w:type="paragraph" w:styleId="729" w:customStyle="1">
    <w:name w:val="副标题1"/>
    <w:basedOn w:val="677"/>
    <w:next w:val="677"/>
    <w:link w:val="730"/>
    <w:uiPriority w:val="11"/>
    <w:qFormat/>
    <w:pPr>
      <w:spacing w:before="200" w:after="200"/>
    </w:pPr>
    <w:rPr>
      <w:sz w:val="24"/>
      <w:szCs w:val="24"/>
    </w:rPr>
  </w:style>
  <w:style w:type="character" w:styleId="730" w:customStyle="1">
    <w:name w:val="Subtitle Char"/>
    <w:link w:val="729"/>
    <w:uiPriority w:val="11"/>
    <w:qFormat/>
    <w:rPr>
      <w:sz w:val="24"/>
      <w:szCs w:val="24"/>
    </w:rPr>
  </w:style>
  <w:style w:type="paragraph" w:styleId="731" w:customStyle="1">
    <w:name w:val="脚注文本1"/>
    <w:basedOn w:val="677"/>
    <w:link w:val="732"/>
    <w:uiPriority w:val="99"/>
    <w:unhideWhenUsed/>
    <w:qFormat/>
    <w:pPr>
      <w:spacing w:after="40" w:line="240" w:lineRule="auto"/>
    </w:pPr>
    <w:rPr>
      <w:sz w:val="18"/>
    </w:rPr>
  </w:style>
  <w:style w:type="character" w:styleId="732" w:customStyle="1">
    <w:name w:val="Footnote Text Char"/>
    <w:link w:val="731"/>
    <w:uiPriority w:val="99"/>
    <w:qFormat/>
    <w:rPr>
      <w:sz w:val="18"/>
    </w:rPr>
  </w:style>
  <w:style w:type="paragraph" w:styleId="733" w:customStyle="1">
    <w:name w:val="目录 61"/>
    <w:basedOn w:val="677"/>
    <w:next w:val="677"/>
    <w:uiPriority w:val="39"/>
    <w:unhideWhenUsed/>
    <w:qFormat/>
    <w:pPr>
      <w:ind w:left="1417" w:right="0" w:firstLine="0"/>
      <w:spacing w:after="57"/>
    </w:pPr>
  </w:style>
  <w:style w:type="paragraph" w:styleId="734" w:customStyle="1">
    <w:name w:val="图表目录1"/>
    <w:basedOn w:val="677"/>
    <w:next w:val="677"/>
    <w:uiPriority w:val="99"/>
    <w:unhideWhenUsed/>
    <w:qFormat/>
    <w:pPr>
      <w:spacing w:after="0" w:afterAutospacing="0"/>
    </w:pPr>
  </w:style>
  <w:style w:type="paragraph" w:styleId="735" w:customStyle="1">
    <w:name w:val="目录 211"/>
    <w:basedOn w:val="677"/>
    <w:next w:val="677"/>
    <w:uiPriority w:val="39"/>
    <w:unhideWhenUsed/>
    <w:qFormat/>
    <w:pPr>
      <w:ind w:left="283" w:right="0" w:firstLine="0"/>
      <w:spacing w:after="57"/>
    </w:pPr>
  </w:style>
  <w:style w:type="paragraph" w:styleId="736" w:customStyle="1">
    <w:name w:val="目录 91"/>
    <w:basedOn w:val="677"/>
    <w:next w:val="677"/>
    <w:uiPriority w:val="39"/>
    <w:unhideWhenUsed/>
    <w:qFormat/>
    <w:pPr>
      <w:ind w:left="2268" w:right="0" w:firstLine="0"/>
      <w:spacing w:after="57"/>
    </w:pPr>
  </w:style>
  <w:style w:type="paragraph" w:styleId="737" w:customStyle="1">
    <w:name w:val="普通(网站)11"/>
    <w:basedOn w:val="677"/>
    <w:uiPriority w:val="99"/>
    <w:unhideWhenUsed/>
    <w:qFormat/>
    <w:pPr>
      <w:ind w:left="0" w:right="0"/>
      <w:jc w:val="left"/>
      <w:spacing w:before="100" w:beforeAutospacing="1" w:after="100" w:afterAutospacing="1"/>
    </w:pPr>
    <w:rPr>
      <w:sz w:val="24"/>
      <w:lang w:val="en-US" w:eastAsia="zh-CN" w:bidi="ar"/>
    </w:rPr>
  </w:style>
  <w:style w:type="paragraph" w:styleId="738" w:customStyle="1">
    <w:name w:val="索引 11"/>
    <w:basedOn w:val="677"/>
    <w:next w:val="677"/>
    <w:uiPriority w:val="0"/>
    <w:qFormat/>
    <w:rPr>
      <w:rFonts w:ascii="仿宋_GB2312" w:hAnsi="宋体" w:eastAsia="仿宋_GB2312" w:cs="宋体"/>
      <w:position w:val="0"/>
      <w:sz w:val="30"/>
      <w:szCs w:val="24"/>
      <w:lang w:val="zh-CN"/>
    </w:rPr>
  </w:style>
  <w:style w:type="paragraph" w:styleId="739" w:customStyle="1">
    <w:name w:val="标题11"/>
    <w:basedOn w:val="677"/>
    <w:next w:val="677"/>
    <w:link w:val="740"/>
    <w:uiPriority w:val="10"/>
    <w:qFormat/>
    <w:pPr>
      <w:contextualSpacing/>
      <w:spacing w:before="300" w:after="200"/>
    </w:pPr>
    <w:rPr>
      <w:sz w:val="48"/>
      <w:szCs w:val="48"/>
    </w:rPr>
  </w:style>
  <w:style w:type="character" w:styleId="740" w:customStyle="1">
    <w:name w:val="Title Char"/>
    <w:link w:val="739"/>
    <w:uiPriority w:val="10"/>
    <w:qFormat/>
    <w:rPr>
      <w:sz w:val="48"/>
      <w:szCs w:val="48"/>
    </w:rPr>
  </w:style>
  <w:style w:type="paragraph" w:styleId="741" w:customStyle="1">
    <w:name w:val="正文首行缩进1"/>
    <w:basedOn w:val="718"/>
    <w:uiPriority w:val="99"/>
    <w:unhideWhenUsed/>
    <w:qFormat/>
    <w:pPr>
      <w:ind w:firstLine="426"/>
      <w:spacing w:line="400" w:lineRule="atLeast"/>
    </w:pPr>
    <w:rPr>
      <w:sz w:val="24"/>
      <w:szCs w:val="20"/>
    </w:rPr>
  </w:style>
  <w:style w:type="table" w:styleId="742" w:customStyle="1">
    <w:name w:val="网格型11"/>
    <w:uiPriority w:val="59"/>
    <w:qFormat/>
    <w:pPr>
      <w:spacing w:after="0" w:line="240" w:lineRule="auto"/>
    </w:pPr>
    <w:tblPr/>
  </w:style>
  <w:style w:type="character" w:styleId="743" w:customStyle="1">
    <w:name w:val="要点11"/>
    <w:basedOn w:val="712"/>
    <w:link w:val="677"/>
    <w:uiPriority w:val="0"/>
    <w:qFormat/>
    <w:rPr>
      <w:b/>
    </w:rPr>
  </w:style>
  <w:style w:type="character" w:styleId="744" w:customStyle="1">
    <w:name w:val="尾注引用1"/>
    <w:link w:val="677"/>
    <w:uiPriority w:val="99"/>
    <w:unhideWhenUsed/>
    <w:qFormat/>
    <w:rPr>
      <w:vertAlign w:val="superscript"/>
    </w:rPr>
  </w:style>
  <w:style w:type="character" w:styleId="745" w:customStyle="1">
    <w:name w:val="强调11"/>
    <w:basedOn w:val="712"/>
    <w:link w:val="677"/>
    <w:uiPriority w:val="20"/>
    <w:qFormat/>
    <w:rPr>
      <w:i/>
    </w:rPr>
  </w:style>
  <w:style w:type="character" w:styleId="746" w:customStyle="1">
    <w:name w:val="超链接11"/>
    <w:link w:val="677"/>
    <w:uiPriority w:val="99"/>
    <w:unhideWhenUsed/>
    <w:qFormat/>
    <w:rPr>
      <w:color w:val="0000ff"/>
      <w:u w:val="single"/>
    </w:rPr>
  </w:style>
  <w:style w:type="character" w:styleId="747" w:customStyle="1">
    <w:name w:val="批注引用11"/>
    <w:link w:val="677"/>
    <w:uiPriority w:val="0"/>
    <w:qFormat/>
    <w:rPr>
      <w:sz w:val="21"/>
      <w:szCs w:val="21"/>
    </w:rPr>
  </w:style>
  <w:style w:type="character" w:styleId="748" w:customStyle="1">
    <w:name w:val="脚注引用1"/>
    <w:link w:val="677"/>
    <w:uiPriority w:val="99"/>
    <w:unhideWhenUsed/>
    <w:qFormat/>
    <w:rPr>
      <w:vertAlign w:val="superscript"/>
    </w:rPr>
  </w:style>
  <w:style w:type="paragraph" w:styleId="749" w:customStyle="1">
    <w:name w:val="Default"/>
    <w:next w:val="677"/>
    <w:uiPriority w:val="0"/>
    <w:qFormat/>
    <w:pPr>
      <w:widowControl w:val="off"/>
    </w:pPr>
    <w:rPr>
      <w:rFonts w:hint="default" w:ascii="黑体" w:hAnsi="Times New Roman" w:eastAsia="黑体" w:cs="Times New Roman"/>
      <w:lang w:eastAsia="zh-CN"/>
    </w:rPr>
  </w:style>
  <w:style w:type="character" w:styleId="750" w:customStyle="1">
    <w:name w:val="Heading 1 Char"/>
    <w:link w:val="678"/>
    <w:uiPriority w:val="9"/>
    <w:qFormat/>
    <w:rPr>
      <w:rFonts w:ascii="Arial" w:hAnsi="Arial" w:eastAsia="宋体" w:cs="Arial"/>
      <w:b/>
      <w:sz w:val="30"/>
      <w:szCs w:val="40"/>
    </w:rPr>
  </w:style>
  <w:style w:type="character" w:styleId="751" w:customStyle="1">
    <w:name w:val="Heading 2 Char"/>
    <w:link w:val="679"/>
    <w:uiPriority w:val="9"/>
    <w:qFormat/>
    <w:rPr>
      <w:rFonts w:ascii="Arial" w:hAnsi="Arial" w:eastAsia="Arial" w:cs="Arial"/>
      <w:sz w:val="34"/>
    </w:rPr>
  </w:style>
  <w:style w:type="character" w:styleId="752" w:customStyle="1">
    <w:name w:val="Heading 3 Char"/>
    <w:link w:val="680"/>
    <w:uiPriority w:val="9"/>
    <w:qFormat/>
    <w:rPr>
      <w:rFonts w:ascii="Arial" w:hAnsi="Arial" w:eastAsia="Arial" w:cs="Arial"/>
      <w:sz w:val="30"/>
      <w:szCs w:val="30"/>
    </w:rPr>
  </w:style>
  <w:style w:type="character" w:styleId="753" w:customStyle="1">
    <w:name w:val="Heading 4 Char"/>
    <w:link w:val="681"/>
    <w:uiPriority w:val="9"/>
    <w:qFormat/>
    <w:rPr>
      <w:rFonts w:ascii="Arial" w:hAnsi="Arial" w:eastAsia="Arial" w:cs="Arial"/>
      <w:b/>
      <w:bCs/>
      <w:sz w:val="26"/>
      <w:szCs w:val="26"/>
    </w:rPr>
  </w:style>
  <w:style w:type="character" w:styleId="754" w:customStyle="1">
    <w:name w:val="Heading 5 Char"/>
    <w:link w:val="682"/>
    <w:uiPriority w:val="9"/>
    <w:qFormat/>
    <w:rPr>
      <w:rFonts w:ascii="Arial" w:hAnsi="Arial" w:eastAsia="Arial" w:cs="Arial"/>
      <w:b/>
      <w:bCs/>
      <w:sz w:val="24"/>
      <w:szCs w:val="24"/>
    </w:rPr>
  </w:style>
  <w:style w:type="character" w:styleId="755" w:customStyle="1">
    <w:name w:val="Heading 6 Char"/>
    <w:link w:val="683"/>
    <w:uiPriority w:val="9"/>
    <w:qFormat/>
    <w:rPr>
      <w:rFonts w:ascii="Arial" w:hAnsi="Arial" w:eastAsia="Arial" w:cs="Arial"/>
      <w:b/>
      <w:bCs/>
      <w:sz w:val="22"/>
      <w:szCs w:val="22"/>
    </w:rPr>
  </w:style>
  <w:style w:type="character" w:styleId="756" w:customStyle="1">
    <w:name w:val="Heading 7 Char"/>
    <w:link w:val="684"/>
    <w:uiPriority w:val="9"/>
    <w:qFormat/>
    <w:rPr>
      <w:rFonts w:ascii="Arial" w:hAnsi="Arial" w:eastAsia="Arial" w:cs="Arial"/>
      <w:b/>
      <w:bCs/>
      <w:i/>
      <w:iCs/>
      <w:sz w:val="22"/>
      <w:szCs w:val="22"/>
    </w:rPr>
  </w:style>
  <w:style w:type="character" w:styleId="757" w:customStyle="1">
    <w:name w:val="Heading 8 Char"/>
    <w:link w:val="685"/>
    <w:uiPriority w:val="9"/>
    <w:qFormat/>
    <w:rPr>
      <w:rFonts w:ascii="Arial" w:hAnsi="Arial" w:eastAsia="Arial" w:cs="Arial"/>
      <w:i/>
      <w:iCs/>
      <w:sz w:val="22"/>
      <w:szCs w:val="22"/>
    </w:rPr>
  </w:style>
  <w:style w:type="character" w:styleId="758" w:customStyle="1">
    <w:name w:val="Heading 9 Char"/>
    <w:link w:val="686"/>
    <w:uiPriority w:val="9"/>
    <w:qFormat/>
    <w:rPr>
      <w:rFonts w:ascii="Arial" w:hAnsi="Arial" w:eastAsia="Arial" w:cs="Arial"/>
      <w:i/>
      <w:iCs/>
      <w:sz w:val="21"/>
      <w:szCs w:val="21"/>
    </w:rPr>
  </w:style>
  <w:style w:type="paragraph" w:styleId="759" w:customStyle="1">
    <w:name w:val="Caption1"/>
    <w:basedOn w:val="677"/>
    <w:next w:val="677"/>
    <w:uiPriority w:val="35"/>
    <w:unhideWhenUsed/>
    <w:qFormat/>
    <w:pPr>
      <w:spacing w:line="276" w:lineRule="auto"/>
    </w:pPr>
    <w:rPr>
      <w:b/>
      <w:bCs/>
      <w:color w:val="4f81bd"/>
      <w:sz w:val="18"/>
      <w:szCs w:val="18"/>
    </w:rPr>
  </w:style>
  <w:style w:type="paragraph" w:styleId="760" w:customStyle="1">
    <w:name w:val="Footer1"/>
    <w:basedOn w:val="677"/>
    <w:link w:val="762"/>
    <w:uiPriority w:val="99"/>
    <w:unhideWhenUsed/>
    <w:qFormat/>
    <w:pPr>
      <w:spacing w:after="0" w:line="240" w:lineRule="auto"/>
      <w:tabs>
        <w:tab w:val="center" w:pos="7143" w:leader="none"/>
        <w:tab w:val="right" w:pos="14287" w:leader="none"/>
      </w:tabs>
    </w:pPr>
  </w:style>
  <w:style w:type="character" w:styleId="761" w:customStyle="1">
    <w:name w:val="Caption Char"/>
    <w:link w:val="760"/>
    <w:uiPriority w:val="99"/>
    <w:qFormat/>
  </w:style>
  <w:style w:type="character" w:styleId="762" w:customStyle="1">
    <w:name w:val="Footer Char"/>
    <w:link w:val="760"/>
    <w:uiPriority w:val="99"/>
    <w:qFormat/>
  </w:style>
  <w:style w:type="paragraph" w:styleId="763" w:customStyle="1">
    <w:name w:val="Header1"/>
    <w:basedOn w:val="677"/>
    <w:link w:val="764"/>
    <w:uiPriority w:val="99"/>
    <w:unhideWhenUsed/>
    <w:qFormat/>
    <w:pPr>
      <w:spacing w:after="0" w:line="240" w:lineRule="auto"/>
      <w:tabs>
        <w:tab w:val="center" w:pos="7143" w:leader="none"/>
        <w:tab w:val="right" w:pos="14287" w:leader="none"/>
      </w:tabs>
    </w:pPr>
  </w:style>
  <w:style w:type="character" w:styleId="764" w:customStyle="1">
    <w:name w:val="Header Char"/>
    <w:link w:val="763"/>
    <w:uiPriority w:val="99"/>
    <w:qFormat/>
  </w:style>
  <w:style w:type="paragraph" w:styleId="765" w:customStyle="1">
    <w:name w:val="首行缩进"/>
    <w:basedOn w:val="677"/>
    <w:uiPriority w:val="0"/>
    <w:qFormat/>
    <w:pPr>
      <w:ind w:firstLine="420"/>
      <w:spacing w:line="360" w:lineRule="auto"/>
    </w:pPr>
  </w:style>
  <w:style w:type="paragraph" w:styleId="766">
    <w:name w:val="List Paragraph"/>
    <w:basedOn w:val="677"/>
    <w:uiPriority w:val="34"/>
    <w:qFormat/>
    <w:pPr>
      <w:contextualSpacing/>
      <w:ind w:left="720"/>
    </w:pPr>
  </w:style>
  <w:style w:type="paragraph" w:styleId="767">
    <w:name w:val="No Spacing"/>
    <w:uiPriority w:val="1"/>
    <w:qFormat/>
    <w:pPr>
      <w:spacing w:before="0" w:after="0" w:line="240" w:lineRule="auto"/>
    </w:pPr>
    <w:rPr>
      <w:rFonts w:hint="default" w:ascii="Times New Roman" w:hAnsi="Times New Roman" w:eastAsia="宋体" w:cs="Times New Roman"/>
    </w:rPr>
  </w:style>
  <w:style w:type="paragraph" w:styleId="768">
    <w:name w:val="Quote"/>
    <w:basedOn w:val="677"/>
    <w:next w:val="677"/>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677"/>
    <w:next w:val="677"/>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table" w:styleId="772" w:customStyle="1">
    <w:name w:val="Table Grid Light"/>
    <w:uiPriority w:val="59"/>
    <w:qFormat/>
    <w:pPr>
      <w:spacing w:after="0" w:line="240" w:lineRule="auto"/>
    </w:pPr>
    <w:tblPr/>
  </w:style>
  <w:style w:type="table" w:styleId="773" w:customStyle="1">
    <w:name w:val="Plain Table 1"/>
    <w:uiPriority w:val="59"/>
    <w:qFormat/>
    <w:pPr>
      <w:spacing w:after="0" w:line="240" w:lineRule="auto"/>
    </w:pPr>
    <w:tblPr/>
  </w:style>
  <w:style w:type="table" w:styleId="774" w:customStyle="1">
    <w:name w:val="Plain Table 2"/>
    <w:uiPriority w:val="59"/>
    <w:qFormat/>
    <w:pPr>
      <w:spacing w:after="0" w:line="240" w:lineRule="auto"/>
    </w:pPr>
    <w:tblPr/>
  </w:style>
  <w:style w:type="table" w:styleId="775" w:customStyle="1">
    <w:name w:val="Plain Table 3"/>
    <w:uiPriority w:val="99"/>
    <w:qFormat/>
    <w:pPr>
      <w:spacing w:after="0" w:line="240" w:lineRule="auto"/>
    </w:pPr>
    <w:tblPr/>
  </w:style>
  <w:style w:type="table" w:styleId="776" w:customStyle="1">
    <w:name w:val="Plain Table 4"/>
    <w:uiPriority w:val="99"/>
    <w:qFormat/>
    <w:pPr>
      <w:spacing w:after="0" w:line="240" w:lineRule="auto"/>
    </w:pPr>
    <w:tblPr/>
  </w:style>
  <w:style w:type="table" w:styleId="777" w:customStyle="1">
    <w:name w:val="Plain Table 5"/>
    <w:uiPriority w:val="99"/>
    <w:qFormat/>
    <w:pPr>
      <w:spacing w:after="0" w:line="240" w:lineRule="auto"/>
    </w:pPr>
    <w:tblPr/>
  </w:style>
  <w:style w:type="table" w:styleId="778" w:customStyle="1">
    <w:name w:val="Grid Table 1 Light"/>
    <w:uiPriority w:val="99"/>
    <w:qFormat/>
    <w:pPr>
      <w:spacing w:after="0" w:line="240" w:lineRule="auto"/>
    </w:pPr>
    <w:tblPr/>
  </w:style>
  <w:style w:type="table" w:styleId="779" w:customStyle="1">
    <w:name w:val="Grid Table 1 Light - Accent 1"/>
    <w:uiPriority w:val="99"/>
    <w:qFormat/>
    <w:pPr>
      <w:spacing w:after="0" w:line="240" w:lineRule="auto"/>
    </w:pPr>
    <w:tblPr/>
  </w:style>
  <w:style w:type="table" w:styleId="780" w:customStyle="1">
    <w:name w:val="Grid Table 1 Light - Accent 2"/>
    <w:uiPriority w:val="99"/>
    <w:qFormat/>
    <w:pPr>
      <w:spacing w:after="0" w:line="240" w:lineRule="auto"/>
    </w:pPr>
    <w:tblPr/>
  </w:style>
  <w:style w:type="table" w:styleId="781" w:customStyle="1">
    <w:name w:val="Grid Table 1 Light - Accent 3"/>
    <w:uiPriority w:val="99"/>
    <w:qFormat/>
    <w:pPr>
      <w:spacing w:after="0" w:line="240" w:lineRule="auto"/>
    </w:pPr>
    <w:tblPr/>
  </w:style>
  <w:style w:type="table" w:styleId="782" w:customStyle="1">
    <w:name w:val="Grid Table 1 Light - Accent 4"/>
    <w:uiPriority w:val="99"/>
    <w:qFormat/>
    <w:pPr>
      <w:spacing w:after="0" w:line="240" w:lineRule="auto"/>
    </w:pPr>
    <w:tblPr/>
  </w:style>
  <w:style w:type="table" w:styleId="783" w:customStyle="1">
    <w:name w:val="Grid Table 1 Light - Accent 5"/>
    <w:uiPriority w:val="99"/>
    <w:qFormat/>
    <w:pPr>
      <w:spacing w:after="0" w:line="240" w:lineRule="auto"/>
    </w:pPr>
    <w:tblPr/>
  </w:style>
  <w:style w:type="table" w:styleId="784" w:customStyle="1">
    <w:name w:val="Grid Table 1 Light - Accent 6"/>
    <w:uiPriority w:val="99"/>
    <w:qFormat/>
    <w:pPr>
      <w:spacing w:after="0" w:line="240" w:lineRule="auto"/>
    </w:pPr>
    <w:tblPr/>
  </w:style>
  <w:style w:type="table" w:styleId="785" w:customStyle="1">
    <w:name w:val="Grid Table 2"/>
    <w:uiPriority w:val="99"/>
    <w:qFormat/>
    <w:pPr>
      <w:spacing w:after="0" w:line="240" w:lineRule="auto"/>
    </w:pPr>
    <w:tblPr/>
  </w:style>
  <w:style w:type="table" w:styleId="786" w:customStyle="1">
    <w:name w:val="Grid Table 2 - Accent 1"/>
    <w:uiPriority w:val="99"/>
    <w:qFormat/>
    <w:pPr>
      <w:spacing w:after="0" w:line="240" w:lineRule="auto"/>
    </w:pPr>
    <w:tblPr/>
  </w:style>
  <w:style w:type="table" w:styleId="787" w:customStyle="1">
    <w:name w:val="Grid Table 2 - Accent 2"/>
    <w:uiPriority w:val="99"/>
    <w:qFormat/>
    <w:pPr>
      <w:spacing w:after="0" w:line="240" w:lineRule="auto"/>
    </w:pPr>
    <w:tblPr/>
  </w:style>
  <w:style w:type="table" w:styleId="788" w:customStyle="1">
    <w:name w:val="Grid Table 2 - Accent 3"/>
    <w:uiPriority w:val="99"/>
    <w:qFormat/>
    <w:pPr>
      <w:spacing w:after="0" w:line="240" w:lineRule="auto"/>
    </w:pPr>
    <w:tblPr/>
  </w:style>
  <w:style w:type="table" w:styleId="789" w:customStyle="1">
    <w:name w:val="Grid Table 2 - Accent 4"/>
    <w:uiPriority w:val="99"/>
    <w:qFormat/>
    <w:pPr>
      <w:spacing w:after="0" w:line="240" w:lineRule="auto"/>
    </w:pPr>
    <w:tblPr/>
  </w:style>
  <w:style w:type="table" w:styleId="790" w:customStyle="1">
    <w:name w:val="Grid Table 2 - Accent 5"/>
    <w:uiPriority w:val="99"/>
    <w:qFormat/>
    <w:pPr>
      <w:spacing w:after="0" w:line="240" w:lineRule="auto"/>
    </w:pPr>
    <w:tblPr/>
  </w:style>
  <w:style w:type="table" w:styleId="791" w:customStyle="1">
    <w:name w:val="Grid Table 2 - Accent 6"/>
    <w:uiPriority w:val="99"/>
    <w:qFormat/>
    <w:pPr>
      <w:spacing w:after="0" w:line="240" w:lineRule="auto"/>
    </w:pPr>
    <w:tblPr/>
  </w:style>
  <w:style w:type="table" w:styleId="792" w:customStyle="1">
    <w:name w:val="Grid Table 3"/>
    <w:uiPriority w:val="99"/>
    <w:qFormat/>
    <w:pPr>
      <w:spacing w:after="0" w:line="240" w:lineRule="auto"/>
    </w:pPr>
    <w:tblPr/>
  </w:style>
  <w:style w:type="table" w:styleId="793" w:customStyle="1">
    <w:name w:val="Grid Table 3 - Accent 1"/>
    <w:uiPriority w:val="99"/>
    <w:qFormat/>
    <w:pPr>
      <w:spacing w:after="0" w:line="240" w:lineRule="auto"/>
    </w:pPr>
    <w:tblPr/>
  </w:style>
  <w:style w:type="table" w:styleId="794" w:customStyle="1">
    <w:name w:val="Grid Table 3 - Accent 2"/>
    <w:uiPriority w:val="99"/>
    <w:qFormat/>
    <w:pPr>
      <w:spacing w:after="0" w:line="240" w:lineRule="auto"/>
    </w:pPr>
    <w:tblPr/>
  </w:style>
  <w:style w:type="table" w:styleId="795" w:customStyle="1">
    <w:name w:val="Grid Table 3 - Accent 3"/>
    <w:uiPriority w:val="99"/>
    <w:qFormat/>
    <w:pPr>
      <w:spacing w:after="0" w:line="240" w:lineRule="auto"/>
    </w:pPr>
    <w:tblPr/>
  </w:style>
  <w:style w:type="table" w:styleId="796" w:customStyle="1">
    <w:name w:val="Grid Table 3 - Accent 4"/>
    <w:uiPriority w:val="99"/>
    <w:qFormat/>
    <w:pPr>
      <w:spacing w:after="0" w:line="240" w:lineRule="auto"/>
    </w:pPr>
    <w:tblPr/>
  </w:style>
  <w:style w:type="table" w:styleId="797" w:customStyle="1">
    <w:name w:val="Grid Table 3 - Accent 5"/>
    <w:uiPriority w:val="99"/>
    <w:qFormat/>
    <w:pPr>
      <w:spacing w:after="0" w:line="240" w:lineRule="auto"/>
    </w:pPr>
    <w:tblPr/>
  </w:style>
  <w:style w:type="table" w:styleId="798" w:customStyle="1">
    <w:name w:val="Grid Table 3 - Accent 6"/>
    <w:uiPriority w:val="99"/>
    <w:qFormat/>
    <w:pPr>
      <w:spacing w:after="0" w:line="240" w:lineRule="auto"/>
    </w:pPr>
    <w:tblPr/>
  </w:style>
  <w:style w:type="table" w:styleId="799" w:customStyle="1">
    <w:name w:val="Grid Table 4"/>
    <w:uiPriority w:val="59"/>
    <w:qFormat/>
    <w:pPr>
      <w:spacing w:after="0" w:line="240" w:lineRule="auto"/>
    </w:pPr>
    <w:tblPr/>
  </w:style>
  <w:style w:type="table" w:styleId="800" w:customStyle="1">
    <w:name w:val="Grid Table 4 - Accent 1"/>
    <w:uiPriority w:val="59"/>
    <w:qFormat/>
    <w:pPr>
      <w:spacing w:after="0" w:line="240" w:lineRule="auto"/>
    </w:pPr>
    <w:tblPr/>
  </w:style>
  <w:style w:type="table" w:styleId="801" w:customStyle="1">
    <w:name w:val="Grid Table 4 - Accent 2"/>
    <w:uiPriority w:val="59"/>
    <w:qFormat/>
    <w:pPr>
      <w:spacing w:after="0" w:line="240" w:lineRule="auto"/>
    </w:pPr>
    <w:tblPr/>
  </w:style>
  <w:style w:type="table" w:styleId="802" w:customStyle="1">
    <w:name w:val="Grid Table 4 - Accent 3"/>
    <w:uiPriority w:val="59"/>
    <w:qFormat/>
    <w:pPr>
      <w:spacing w:after="0" w:line="240" w:lineRule="auto"/>
    </w:pPr>
    <w:tblPr/>
  </w:style>
  <w:style w:type="table" w:styleId="803" w:customStyle="1">
    <w:name w:val="Grid Table 4 - Accent 4"/>
    <w:uiPriority w:val="59"/>
    <w:qFormat/>
    <w:pPr>
      <w:spacing w:after="0" w:line="240" w:lineRule="auto"/>
    </w:pPr>
    <w:tblPr/>
  </w:style>
  <w:style w:type="table" w:styleId="804" w:customStyle="1">
    <w:name w:val="Grid Table 4 - Accent 5"/>
    <w:uiPriority w:val="59"/>
    <w:qFormat/>
    <w:pPr>
      <w:spacing w:after="0" w:line="240" w:lineRule="auto"/>
    </w:pPr>
    <w:tblPr/>
  </w:style>
  <w:style w:type="table" w:styleId="805" w:customStyle="1">
    <w:name w:val="Grid Table 4 - Accent 6"/>
    <w:uiPriority w:val="59"/>
    <w:qFormat/>
    <w:pPr>
      <w:spacing w:after="0" w:line="240" w:lineRule="auto"/>
    </w:pPr>
    <w:tblPr/>
  </w:style>
  <w:style w:type="table" w:styleId="806" w:customStyle="1">
    <w:name w:val="Grid Table 5 Dark"/>
    <w:uiPriority w:val="99"/>
    <w:qFormat/>
    <w:pPr>
      <w:spacing w:after="0" w:line="240" w:lineRule="auto"/>
    </w:pPr>
    <w:tblPr/>
  </w:style>
  <w:style w:type="table" w:styleId="807" w:customStyle="1">
    <w:name w:val="Grid Table 5 Dark- Accent 1"/>
    <w:uiPriority w:val="99"/>
    <w:qFormat/>
    <w:pPr>
      <w:spacing w:after="0" w:line="240" w:lineRule="auto"/>
    </w:pPr>
    <w:tblPr/>
  </w:style>
  <w:style w:type="table" w:styleId="808" w:customStyle="1">
    <w:name w:val="Grid Table 5 Dark - Accent 2"/>
    <w:uiPriority w:val="99"/>
    <w:qFormat/>
    <w:pPr>
      <w:spacing w:after="0" w:line="240" w:lineRule="auto"/>
    </w:pPr>
    <w:tblPr/>
  </w:style>
  <w:style w:type="table" w:styleId="809" w:customStyle="1">
    <w:name w:val="Grid Table 5 Dark - Accent 3"/>
    <w:uiPriority w:val="99"/>
    <w:qFormat/>
    <w:pPr>
      <w:spacing w:after="0" w:line="240" w:lineRule="auto"/>
    </w:pPr>
    <w:tblPr/>
  </w:style>
  <w:style w:type="table" w:styleId="810" w:customStyle="1">
    <w:name w:val="Grid Table 5 Dark- Accent 4"/>
    <w:uiPriority w:val="99"/>
    <w:qFormat/>
    <w:pPr>
      <w:spacing w:after="0" w:line="240" w:lineRule="auto"/>
    </w:pPr>
    <w:tblPr/>
  </w:style>
  <w:style w:type="table" w:styleId="811" w:customStyle="1">
    <w:name w:val="Grid Table 5 Dark - Accent 5"/>
    <w:uiPriority w:val="99"/>
    <w:qFormat/>
    <w:pPr>
      <w:spacing w:after="0" w:line="240" w:lineRule="auto"/>
    </w:pPr>
    <w:tblPr/>
  </w:style>
  <w:style w:type="table" w:styleId="812" w:customStyle="1">
    <w:name w:val="Grid Table 5 Dark - Accent 6"/>
    <w:uiPriority w:val="99"/>
    <w:qFormat/>
    <w:pPr>
      <w:spacing w:after="0" w:line="240" w:lineRule="auto"/>
    </w:pPr>
    <w:tblPr/>
  </w:style>
  <w:style w:type="table" w:styleId="813" w:customStyle="1">
    <w:name w:val="Grid Table 6 Colorful"/>
    <w:uiPriority w:val="99"/>
    <w:qFormat/>
    <w:pPr>
      <w:spacing w:after="0" w:line="240" w:lineRule="auto"/>
    </w:pPr>
    <w:tblPr/>
  </w:style>
  <w:style w:type="table" w:styleId="814" w:customStyle="1">
    <w:name w:val="Grid Table 6 Colorful - Accent 1"/>
    <w:uiPriority w:val="99"/>
    <w:qFormat/>
    <w:pPr>
      <w:spacing w:after="0" w:line="240" w:lineRule="auto"/>
    </w:pPr>
    <w:tblPr/>
  </w:style>
  <w:style w:type="table" w:styleId="815" w:customStyle="1">
    <w:name w:val="Grid Table 6 Colorful - Accent 2"/>
    <w:uiPriority w:val="99"/>
    <w:qFormat/>
    <w:pPr>
      <w:spacing w:after="0" w:line="240" w:lineRule="auto"/>
    </w:pPr>
    <w:tblPr/>
  </w:style>
  <w:style w:type="table" w:styleId="816" w:customStyle="1">
    <w:name w:val="Grid Table 6 Colorful - Accent 3"/>
    <w:uiPriority w:val="99"/>
    <w:qFormat/>
    <w:pPr>
      <w:spacing w:after="0" w:line="240" w:lineRule="auto"/>
    </w:pPr>
    <w:tblPr/>
  </w:style>
  <w:style w:type="table" w:styleId="817" w:customStyle="1">
    <w:name w:val="Grid Table 6 Colorful - Accent 4"/>
    <w:uiPriority w:val="99"/>
    <w:qFormat/>
    <w:pPr>
      <w:spacing w:after="0" w:line="240" w:lineRule="auto"/>
    </w:pPr>
    <w:tblPr/>
  </w:style>
  <w:style w:type="table" w:styleId="818" w:customStyle="1">
    <w:name w:val="Grid Table 6 Colorful - Accent 5"/>
    <w:uiPriority w:val="99"/>
    <w:qFormat/>
    <w:pPr>
      <w:spacing w:after="0" w:line="240" w:lineRule="auto"/>
    </w:pPr>
    <w:tblPr/>
  </w:style>
  <w:style w:type="table" w:styleId="819" w:customStyle="1">
    <w:name w:val="Grid Table 6 Colorful - Accent 6"/>
    <w:uiPriority w:val="99"/>
    <w:qFormat/>
    <w:pPr>
      <w:spacing w:after="0" w:line="240" w:lineRule="auto"/>
    </w:pPr>
    <w:tblPr/>
  </w:style>
  <w:style w:type="table" w:styleId="820" w:customStyle="1">
    <w:name w:val="Grid Table 7 Colorful"/>
    <w:uiPriority w:val="99"/>
    <w:qFormat/>
    <w:pPr>
      <w:spacing w:after="0" w:line="240" w:lineRule="auto"/>
    </w:pPr>
    <w:tblPr/>
  </w:style>
  <w:style w:type="table" w:styleId="821" w:customStyle="1">
    <w:name w:val="Grid Table 7 Colorful - Accent 1"/>
    <w:uiPriority w:val="99"/>
    <w:qFormat/>
    <w:pPr>
      <w:spacing w:after="0" w:line="240" w:lineRule="auto"/>
    </w:pPr>
    <w:tblPr/>
  </w:style>
  <w:style w:type="table" w:styleId="822" w:customStyle="1">
    <w:name w:val="Grid Table 7 Colorful - Accent 2"/>
    <w:uiPriority w:val="99"/>
    <w:qFormat/>
    <w:pPr>
      <w:spacing w:after="0" w:line="240" w:lineRule="auto"/>
    </w:pPr>
    <w:tblPr/>
  </w:style>
  <w:style w:type="table" w:styleId="823" w:customStyle="1">
    <w:name w:val="Grid Table 7 Colorful - Accent 3"/>
    <w:uiPriority w:val="99"/>
    <w:qFormat/>
    <w:pPr>
      <w:spacing w:after="0" w:line="240" w:lineRule="auto"/>
    </w:pPr>
    <w:tblPr/>
  </w:style>
  <w:style w:type="table" w:styleId="824" w:customStyle="1">
    <w:name w:val="Grid Table 7 Colorful - Accent 4"/>
    <w:uiPriority w:val="99"/>
    <w:qFormat/>
    <w:pPr>
      <w:spacing w:after="0" w:line="240" w:lineRule="auto"/>
    </w:pPr>
    <w:tblPr/>
  </w:style>
  <w:style w:type="table" w:styleId="825" w:customStyle="1">
    <w:name w:val="Grid Table 7 Colorful - Accent 5"/>
    <w:uiPriority w:val="99"/>
    <w:qFormat/>
    <w:pPr>
      <w:spacing w:after="0" w:line="240" w:lineRule="auto"/>
    </w:pPr>
    <w:tblPr/>
  </w:style>
  <w:style w:type="table" w:styleId="826" w:customStyle="1">
    <w:name w:val="Grid Table 7 Colorful - Accent 6"/>
    <w:uiPriority w:val="99"/>
    <w:qFormat/>
    <w:pPr>
      <w:spacing w:after="0" w:line="240" w:lineRule="auto"/>
    </w:pPr>
    <w:tblPr/>
  </w:style>
  <w:style w:type="table" w:styleId="827" w:customStyle="1">
    <w:name w:val="List Table 1 Light"/>
    <w:uiPriority w:val="99"/>
    <w:qFormat/>
    <w:pPr>
      <w:spacing w:after="0" w:line="240" w:lineRule="auto"/>
    </w:pPr>
    <w:tblPr/>
  </w:style>
  <w:style w:type="table" w:styleId="828" w:customStyle="1">
    <w:name w:val="List Table 1 Light - Accent 1"/>
    <w:uiPriority w:val="99"/>
    <w:qFormat/>
    <w:pPr>
      <w:spacing w:after="0" w:line="240" w:lineRule="auto"/>
    </w:pPr>
    <w:tblPr/>
  </w:style>
  <w:style w:type="table" w:styleId="829" w:customStyle="1">
    <w:name w:val="List Table 1 Light - Accent 2"/>
    <w:uiPriority w:val="99"/>
    <w:qFormat/>
    <w:pPr>
      <w:spacing w:after="0" w:line="240" w:lineRule="auto"/>
    </w:pPr>
    <w:tblPr/>
  </w:style>
  <w:style w:type="table" w:styleId="830" w:customStyle="1">
    <w:name w:val="List Table 1 Light - Accent 3"/>
    <w:uiPriority w:val="99"/>
    <w:qFormat/>
    <w:pPr>
      <w:spacing w:after="0" w:line="240" w:lineRule="auto"/>
    </w:pPr>
    <w:tblPr/>
  </w:style>
  <w:style w:type="table" w:styleId="831" w:customStyle="1">
    <w:name w:val="List Table 1 Light - Accent 4"/>
    <w:uiPriority w:val="99"/>
    <w:qFormat/>
    <w:pPr>
      <w:spacing w:after="0" w:line="240" w:lineRule="auto"/>
    </w:pPr>
    <w:tblPr/>
  </w:style>
  <w:style w:type="table" w:styleId="832" w:customStyle="1">
    <w:name w:val="List Table 1 Light - Accent 5"/>
    <w:uiPriority w:val="99"/>
    <w:qFormat/>
    <w:pPr>
      <w:spacing w:after="0" w:line="240" w:lineRule="auto"/>
    </w:pPr>
    <w:tblPr/>
  </w:style>
  <w:style w:type="table" w:styleId="833" w:customStyle="1">
    <w:name w:val="List Table 1 Light - Accent 6"/>
    <w:uiPriority w:val="99"/>
    <w:qFormat/>
    <w:pPr>
      <w:spacing w:after="0" w:line="240" w:lineRule="auto"/>
    </w:pPr>
    <w:tblPr/>
  </w:style>
  <w:style w:type="table" w:styleId="834" w:customStyle="1">
    <w:name w:val="List Table 2"/>
    <w:uiPriority w:val="99"/>
    <w:qFormat/>
    <w:pPr>
      <w:spacing w:after="0" w:line="240" w:lineRule="auto"/>
    </w:pPr>
    <w:tblPr/>
  </w:style>
  <w:style w:type="table" w:styleId="835" w:customStyle="1">
    <w:name w:val="List Table 2 - Accent 1"/>
    <w:uiPriority w:val="99"/>
    <w:qFormat/>
    <w:pPr>
      <w:spacing w:after="0" w:line="240" w:lineRule="auto"/>
    </w:pPr>
    <w:tblPr/>
  </w:style>
  <w:style w:type="table" w:styleId="836" w:customStyle="1">
    <w:name w:val="List Table 2 - Accent 2"/>
    <w:uiPriority w:val="99"/>
    <w:qFormat/>
    <w:pPr>
      <w:spacing w:after="0" w:line="240" w:lineRule="auto"/>
    </w:pPr>
    <w:tblPr/>
  </w:style>
  <w:style w:type="table" w:styleId="837" w:customStyle="1">
    <w:name w:val="List Table 2 - Accent 3"/>
    <w:uiPriority w:val="99"/>
    <w:qFormat/>
    <w:pPr>
      <w:spacing w:after="0" w:line="240" w:lineRule="auto"/>
    </w:pPr>
    <w:tblPr/>
  </w:style>
  <w:style w:type="table" w:styleId="838" w:customStyle="1">
    <w:name w:val="List Table 2 - Accent 4"/>
    <w:uiPriority w:val="99"/>
    <w:qFormat/>
    <w:pPr>
      <w:spacing w:after="0" w:line="240" w:lineRule="auto"/>
    </w:pPr>
    <w:tblPr/>
  </w:style>
  <w:style w:type="table" w:styleId="839" w:customStyle="1">
    <w:name w:val="List Table 2 - Accent 5"/>
    <w:uiPriority w:val="99"/>
    <w:qFormat/>
    <w:pPr>
      <w:spacing w:after="0" w:line="240" w:lineRule="auto"/>
    </w:pPr>
    <w:tblPr/>
  </w:style>
  <w:style w:type="table" w:styleId="840" w:customStyle="1">
    <w:name w:val="List Table 2 - Accent 6"/>
    <w:uiPriority w:val="99"/>
    <w:qFormat/>
    <w:pPr>
      <w:spacing w:after="0" w:line="240" w:lineRule="auto"/>
    </w:pPr>
    <w:tblPr/>
  </w:style>
  <w:style w:type="table" w:styleId="841" w:customStyle="1">
    <w:name w:val="List Table 3"/>
    <w:uiPriority w:val="99"/>
    <w:qFormat/>
    <w:pPr>
      <w:spacing w:after="0" w:line="240" w:lineRule="auto"/>
    </w:pPr>
    <w:tblPr/>
  </w:style>
  <w:style w:type="table" w:styleId="842" w:customStyle="1">
    <w:name w:val="List Table 3 - Accent 1"/>
    <w:uiPriority w:val="99"/>
    <w:qFormat/>
    <w:pPr>
      <w:spacing w:after="0" w:line="240" w:lineRule="auto"/>
    </w:pPr>
    <w:tblPr/>
  </w:style>
  <w:style w:type="table" w:styleId="843" w:customStyle="1">
    <w:name w:val="List Table 3 - Accent 2"/>
    <w:uiPriority w:val="99"/>
    <w:qFormat/>
    <w:pPr>
      <w:spacing w:after="0" w:line="240" w:lineRule="auto"/>
    </w:pPr>
    <w:tblPr/>
  </w:style>
  <w:style w:type="table" w:styleId="844" w:customStyle="1">
    <w:name w:val="List Table 3 - Accent 3"/>
    <w:uiPriority w:val="99"/>
    <w:qFormat/>
    <w:pPr>
      <w:spacing w:after="0" w:line="240" w:lineRule="auto"/>
    </w:pPr>
    <w:tblPr/>
  </w:style>
  <w:style w:type="table" w:styleId="845" w:customStyle="1">
    <w:name w:val="List Table 3 - Accent 4"/>
    <w:uiPriority w:val="99"/>
    <w:qFormat/>
    <w:pPr>
      <w:spacing w:after="0" w:line="240" w:lineRule="auto"/>
    </w:pPr>
    <w:tblPr/>
  </w:style>
  <w:style w:type="table" w:styleId="846" w:customStyle="1">
    <w:name w:val="List Table 3 - Accent 5"/>
    <w:uiPriority w:val="99"/>
    <w:qFormat/>
    <w:pPr>
      <w:spacing w:after="0" w:line="240" w:lineRule="auto"/>
    </w:pPr>
    <w:tblPr/>
  </w:style>
  <w:style w:type="table" w:styleId="847" w:customStyle="1">
    <w:name w:val="List Table 3 - Accent 6"/>
    <w:uiPriority w:val="99"/>
    <w:qFormat/>
    <w:pPr>
      <w:spacing w:after="0" w:line="240" w:lineRule="auto"/>
    </w:pPr>
    <w:tblPr/>
  </w:style>
  <w:style w:type="table" w:styleId="848" w:customStyle="1">
    <w:name w:val="List Table 4"/>
    <w:uiPriority w:val="99"/>
    <w:qFormat/>
    <w:pPr>
      <w:spacing w:after="0" w:line="240" w:lineRule="auto"/>
    </w:pPr>
    <w:tblPr/>
  </w:style>
  <w:style w:type="table" w:styleId="849" w:customStyle="1">
    <w:name w:val="List Table 4 - Accent 1"/>
    <w:uiPriority w:val="99"/>
    <w:qFormat/>
    <w:pPr>
      <w:spacing w:after="0" w:line="240" w:lineRule="auto"/>
    </w:pPr>
    <w:tblPr/>
  </w:style>
  <w:style w:type="table" w:styleId="850" w:customStyle="1">
    <w:name w:val="List Table 4 - Accent 2"/>
    <w:uiPriority w:val="99"/>
    <w:qFormat/>
    <w:pPr>
      <w:spacing w:after="0" w:line="240" w:lineRule="auto"/>
    </w:pPr>
    <w:tblPr/>
  </w:style>
  <w:style w:type="table" w:styleId="851" w:customStyle="1">
    <w:name w:val="List Table 4 - Accent 3"/>
    <w:uiPriority w:val="99"/>
    <w:qFormat/>
    <w:pPr>
      <w:spacing w:after="0" w:line="240" w:lineRule="auto"/>
    </w:pPr>
    <w:tblPr/>
  </w:style>
  <w:style w:type="table" w:styleId="852" w:customStyle="1">
    <w:name w:val="List Table 4 - Accent 4"/>
    <w:uiPriority w:val="99"/>
    <w:qFormat/>
    <w:pPr>
      <w:spacing w:after="0" w:line="240" w:lineRule="auto"/>
    </w:pPr>
    <w:tblPr/>
  </w:style>
  <w:style w:type="table" w:styleId="853" w:customStyle="1">
    <w:name w:val="List Table 4 - Accent 5"/>
    <w:uiPriority w:val="99"/>
    <w:qFormat/>
    <w:pPr>
      <w:spacing w:after="0" w:line="240" w:lineRule="auto"/>
    </w:pPr>
    <w:tblPr/>
  </w:style>
  <w:style w:type="table" w:styleId="854" w:customStyle="1">
    <w:name w:val="List Table 4 - Accent 6"/>
    <w:uiPriority w:val="99"/>
    <w:qFormat/>
    <w:pPr>
      <w:spacing w:after="0" w:line="240" w:lineRule="auto"/>
    </w:pPr>
    <w:tblPr/>
  </w:style>
  <w:style w:type="table" w:styleId="855" w:customStyle="1">
    <w:name w:val="List Table 5 Dark"/>
    <w:uiPriority w:val="99"/>
    <w:qFormat/>
    <w:pPr>
      <w:spacing w:after="0" w:line="240" w:lineRule="auto"/>
    </w:pPr>
    <w:tblPr/>
  </w:style>
  <w:style w:type="table" w:styleId="856" w:customStyle="1">
    <w:name w:val="List Table 5 Dark - Accent 1"/>
    <w:uiPriority w:val="99"/>
    <w:qFormat/>
    <w:pPr>
      <w:spacing w:after="0" w:line="240" w:lineRule="auto"/>
    </w:pPr>
    <w:tblPr/>
  </w:style>
  <w:style w:type="table" w:styleId="857" w:customStyle="1">
    <w:name w:val="List Table 5 Dark - Accent 2"/>
    <w:uiPriority w:val="99"/>
    <w:qFormat/>
    <w:pPr>
      <w:spacing w:after="0" w:line="240" w:lineRule="auto"/>
    </w:pPr>
    <w:tblPr/>
  </w:style>
  <w:style w:type="table" w:styleId="858" w:customStyle="1">
    <w:name w:val="List Table 5 Dark - Accent 3"/>
    <w:uiPriority w:val="99"/>
    <w:qFormat/>
    <w:pPr>
      <w:spacing w:after="0" w:line="240" w:lineRule="auto"/>
    </w:pPr>
    <w:tblPr/>
  </w:style>
  <w:style w:type="table" w:styleId="859" w:customStyle="1">
    <w:name w:val="List Table 5 Dark - Accent 4"/>
    <w:uiPriority w:val="99"/>
    <w:qFormat/>
    <w:pPr>
      <w:spacing w:after="0" w:line="240" w:lineRule="auto"/>
    </w:pPr>
    <w:tblPr/>
  </w:style>
  <w:style w:type="table" w:styleId="860" w:customStyle="1">
    <w:name w:val="List Table 5 Dark - Accent 5"/>
    <w:uiPriority w:val="99"/>
    <w:qFormat/>
    <w:pPr>
      <w:spacing w:after="0" w:line="240" w:lineRule="auto"/>
    </w:pPr>
    <w:tblPr/>
  </w:style>
  <w:style w:type="table" w:styleId="861" w:customStyle="1">
    <w:name w:val="List Table 5 Dark - Accent 6"/>
    <w:uiPriority w:val="99"/>
    <w:qFormat/>
    <w:pPr>
      <w:spacing w:after="0" w:line="240" w:lineRule="auto"/>
    </w:pPr>
    <w:tblPr/>
  </w:style>
  <w:style w:type="table" w:styleId="862" w:customStyle="1">
    <w:name w:val="List Table 6 Colorful"/>
    <w:uiPriority w:val="99"/>
    <w:qFormat/>
    <w:pPr>
      <w:spacing w:after="0" w:line="240" w:lineRule="auto"/>
    </w:pPr>
    <w:tblPr/>
  </w:style>
  <w:style w:type="table" w:styleId="863" w:customStyle="1">
    <w:name w:val="List Table 6 Colorful - Accent 1"/>
    <w:uiPriority w:val="99"/>
    <w:qFormat/>
    <w:pPr>
      <w:spacing w:after="0" w:line="240" w:lineRule="auto"/>
    </w:pPr>
    <w:tblPr/>
  </w:style>
  <w:style w:type="table" w:styleId="864" w:customStyle="1">
    <w:name w:val="List Table 6 Colorful - Accent 2"/>
    <w:uiPriority w:val="99"/>
    <w:qFormat/>
    <w:pPr>
      <w:spacing w:after="0" w:line="240" w:lineRule="auto"/>
    </w:pPr>
    <w:tblPr/>
  </w:style>
  <w:style w:type="table" w:styleId="865" w:customStyle="1">
    <w:name w:val="List Table 6 Colorful - Accent 3"/>
    <w:uiPriority w:val="99"/>
    <w:qFormat/>
    <w:pPr>
      <w:spacing w:after="0" w:line="240" w:lineRule="auto"/>
    </w:pPr>
    <w:tblPr/>
  </w:style>
  <w:style w:type="table" w:styleId="866" w:customStyle="1">
    <w:name w:val="List Table 6 Colorful - Accent 4"/>
    <w:uiPriority w:val="99"/>
    <w:qFormat/>
    <w:pPr>
      <w:spacing w:after="0" w:line="240" w:lineRule="auto"/>
    </w:pPr>
    <w:tblPr/>
  </w:style>
  <w:style w:type="table" w:styleId="867" w:customStyle="1">
    <w:name w:val="List Table 6 Colorful - Accent 5"/>
    <w:uiPriority w:val="99"/>
    <w:qFormat/>
    <w:pPr>
      <w:spacing w:after="0" w:line="240" w:lineRule="auto"/>
    </w:pPr>
    <w:tblPr/>
  </w:style>
  <w:style w:type="table" w:styleId="868" w:customStyle="1">
    <w:name w:val="List Table 6 Colorful - Accent 6"/>
    <w:uiPriority w:val="99"/>
    <w:qFormat/>
    <w:pPr>
      <w:spacing w:after="0" w:line="240" w:lineRule="auto"/>
    </w:pPr>
    <w:tblPr/>
  </w:style>
  <w:style w:type="table" w:styleId="869" w:customStyle="1">
    <w:name w:val="List Table 7 Colorful"/>
    <w:uiPriority w:val="99"/>
    <w:qFormat/>
    <w:pPr>
      <w:spacing w:after="0" w:line="240" w:lineRule="auto"/>
    </w:pPr>
    <w:tblPr/>
  </w:style>
  <w:style w:type="table" w:styleId="870" w:customStyle="1">
    <w:name w:val="List Table 7 Colorful - Accent 1"/>
    <w:uiPriority w:val="99"/>
    <w:qFormat/>
    <w:pPr>
      <w:spacing w:after="0" w:line="240" w:lineRule="auto"/>
    </w:pPr>
    <w:tblPr/>
  </w:style>
  <w:style w:type="table" w:styleId="871" w:customStyle="1">
    <w:name w:val="List Table 7 Colorful - Accent 2"/>
    <w:uiPriority w:val="99"/>
    <w:qFormat/>
    <w:pPr>
      <w:spacing w:after="0" w:line="240" w:lineRule="auto"/>
    </w:pPr>
    <w:tblPr/>
  </w:style>
  <w:style w:type="table" w:styleId="872" w:customStyle="1">
    <w:name w:val="List Table 7 Colorful - Accent 3"/>
    <w:uiPriority w:val="99"/>
    <w:qFormat/>
    <w:pPr>
      <w:spacing w:after="0" w:line="240" w:lineRule="auto"/>
    </w:pPr>
    <w:tblPr/>
  </w:style>
  <w:style w:type="table" w:styleId="873" w:customStyle="1">
    <w:name w:val="List Table 7 Colorful - Accent 4"/>
    <w:uiPriority w:val="99"/>
    <w:qFormat/>
    <w:pPr>
      <w:spacing w:after="0" w:line="240" w:lineRule="auto"/>
    </w:pPr>
    <w:tblPr/>
  </w:style>
  <w:style w:type="table" w:styleId="874" w:customStyle="1">
    <w:name w:val="List Table 7 Colorful - Accent 5"/>
    <w:uiPriority w:val="99"/>
    <w:qFormat/>
    <w:pPr>
      <w:spacing w:after="0" w:line="240" w:lineRule="auto"/>
    </w:pPr>
    <w:tblPr/>
  </w:style>
  <w:style w:type="table" w:styleId="875" w:customStyle="1">
    <w:name w:val="List Table 7 Colorful - Accent 6"/>
    <w:uiPriority w:val="99"/>
    <w:qFormat/>
    <w:pPr>
      <w:spacing w:after="0" w:line="240" w:lineRule="auto"/>
    </w:pPr>
    <w:tblPr/>
  </w:style>
  <w:style w:type="table" w:styleId="876" w:customStyle="1">
    <w:name w:val="Lined - Accent"/>
    <w:uiPriority w:val="99"/>
    <w:qFormat/>
    <w:pPr>
      <w:spacing w:after="0" w:line="240" w:lineRule="auto"/>
    </w:pPr>
    <w:rPr>
      <w:color w:val="404040"/>
    </w:rPr>
    <w:tblPr/>
  </w:style>
  <w:style w:type="table" w:styleId="877" w:customStyle="1">
    <w:name w:val="Lined - Accent 1"/>
    <w:uiPriority w:val="99"/>
    <w:qFormat/>
    <w:pPr>
      <w:spacing w:after="0" w:line="240" w:lineRule="auto"/>
    </w:pPr>
    <w:rPr>
      <w:color w:val="404040"/>
    </w:rPr>
    <w:tblPr/>
  </w:style>
  <w:style w:type="table" w:styleId="878" w:customStyle="1">
    <w:name w:val="Lined - Accent 2"/>
    <w:uiPriority w:val="99"/>
    <w:qFormat/>
    <w:pPr>
      <w:spacing w:after="0" w:line="240" w:lineRule="auto"/>
    </w:pPr>
    <w:rPr>
      <w:color w:val="404040"/>
    </w:rPr>
    <w:tblPr/>
  </w:style>
  <w:style w:type="table" w:styleId="879" w:customStyle="1">
    <w:name w:val="Lined - Accent 3"/>
    <w:uiPriority w:val="99"/>
    <w:qFormat/>
    <w:pPr>
      <w:spacing w:after="0" w:line="240" w:lineRule="auto"/>
    </w:pPr>
    <w:rPr>
      <w:color w:val="404040"/>
    </w:rPr>
    <w:tblPr/>
  </w:style>
  <w:style w:type="table" w:styleId="880" w:customStyle="1">
    <w:name w:val="Lined - Accent 4"/>
    <w:uiPriority w:val="99"/>
    <w:qFormat/>
    <w:pPr>
      <w:spacing w:after="0" w:line="240" w:lineRule="auto"/>
    </w:pPr>
    <w:rPr>
      <w:color w:val="404040"/>
    </w:rPr>
    <w:tblPr/>
  </w:style>
  <w:style w:type="table" w:styleId="881" w:customStyle="1">
    <w:name w:val="Lined - Accent 5"/>
    <w:uiPriority w:val="99"/>
    <w:qFormat/>
    <w:pPr>
      <w:spacing w:after="0" w:line="240" w:lineRule="auto"/>
    </w:pPr>
    <w:rPr>
      <w:color w:val="404040"/>
    </w:rPr>
    <w:tblPr/>
  </w:style>
  <w:style w:type="table" w:styleId="882" w:customStyle="1">
    <w:name w:val="Lined - Accent 6"/>
    <w:uiPriority w:val="99"/>
    <w:qFormat/>
    <w:pPr>
      <w:spacing w:after="0" w:line="240" w:lineRule="auto"/>
    </w:pPr>
    <w:rPr>
      <w:color w:val="404040"/>
    </w:rPr>
    <w:tblPr/>
  </w:style>
  <w:style w:type="table" w:styleId="883" w:customStyle="1">
    <w:name w:val="Bordered &amp; Lined - Accent"/>
    <w:uiPriority w:val="99"/>
    <w:qFormat/>
    <w:pPr>
      <w:spacing w:after="0" w:line="240" w:lineRule="auto"/>
    </w:pPr>
    <w:rPr>
      <w:color w:val="404040"/>
    </w:rPr>
    <w:tblPr/>
  </w:style>
  <w:style w:type="table" w:styleId="884" w:customStyle="1">
    <w:name w:val="Bordered &amp; Lined - Accent 1"/>
    <w:uiPriority w:val="99"/>
    <w:qFormat/>
    <w:pPr>
      <w:spacing w:after="0" w:line="240" w:lineRule="auto"/>
    </w:pPr>
    <w:rPr>
      <w:color w:val="404040"/>
    </w:rPr>
    <w:tblPr/>
  </w:style>
  <w:style w:type="table" w:styleId="885" w:customStyle="1">
    <w:name w:val="Bordered &amp; Lined - Accent 2"/>
    <w:uiPriority w:val="99"/>
    <w:qFormat/>
    <w:pPr>
      <w:spacing w:after="0" w:line="240" w:lineRule="auto"/>
    </w:pPr>
    <w:rPr>
      <w:color w:val="404040"/>
    </w:rPr>
    <w:tblPr/>
  </w:style>
  <w:style w:type="table" w:styleId="886" w:customStyle="1">
    <w:name w:val="Bordered &amp; Lined - Accent 3"/>
    <w:uiPriority w:val="99"/>
    <w:qFormat/>
    <w:pPr>
      <w:spacing w:after="0" w:line="240" w:lineRule="auto"/>
    </w:pPr>
    <w:rPr>
      <w:color w:val="404040"/>
    </w:rPr>
    <w:tblPr/>
  </w:style>
  <w:style w:type="table" w:styleId="887" w:customStyle="1">
    <w:name w:val="Bordered &amp; Lined - Accent 4"/>
    <w:uiPriority w:val="99"/>
    <w:qFormat/>
    <w:pPr>
      <w:spacing w:after="0" w:line="240" w:lineRule="auto"/>
    </w:pPr>
    <w:rPr>
      <w:color w:val="404040"/>
    </w:rPr>
    <w:tblPr/>
  </w:style>
  <w:style w:type="table" w:styleId="888" w:customStyle="1">
    <w:name w:val="Bordered &amp; Lined - Accent 5"/>
    <w:uiPriority w:val="99"/>
    <w:qFormat/>
    <w:pPr>
      <w:spacing w:after="0" w:line="240" w:lineRule="auto"/>
    </w:pPr>
    <w:rPr>
      <w:color w:val="404040"/>
    </w:rPr>
    <w:tblPr/>
  </w:style>
  <w:style w:type="table" w:styleId="889" w:customStyle="1">
    <w:name w:val="Bordered &amp; Lined - Accent 6"/>
    <w:uiPriority w:val="99"/>
    <w:qFormat/>
    <w:pPr>
      <w:spacing w:after="0" w:line="240" w:lineRule="auto"/>
    </w:pPr>
    <w:rPr>
      <w:color w:val="404040"/>
    </w:rPr>
    <w:tblPr/>
  </w:style>
  <w:style w:type="table" w:styleId="890" w:customStyle="1">
    <w:name w:val="Bordered"/>
    <w:uiPriority w:val="99"/>
    <w:qFormat/>
    <w:pPr>
      <w:spacing w:after="0" w:line="240" w:lineRule="auto"/>
    </w:pPr>
    <w:tblPr/>
  </w:style>
  <w:style w:type="table" w:styleId="891" w:customStyle="1">
    <w:name w:val="Bordered - Accent 1"/>
    <w:uiPriority w:val="99"/>
    <w:qFormat/>
    <w:pPr>
      <w:spacing w:after="0" w:line="240" w:lineRule="auto"/>
    </w:pPr>
    <w:tblPr/>
  </w:style>
  <w:style w:type="table" w:styleId="892" w:customStyle="1">
    <w:name w:val="Bordered - Accent 2"/>
    <w:uiPriority w:val="99"/>
    <w:qFormat/>
    <w:pPr>
      <w:spacing w:after="0" w:line="240" w:lineRule="auto"/>
    </w:pPr>
    <w:tblPr/>
  </w:style>
  <w:style w:type="table" w:styleId="893" w:customStyle="1">
    <w:name w:val="Bordered - Accent 3"/>
    <w:uiPriority w:val="99"/>
    <w:qFormat/>
    <w:pPr>
      <w:spacing w:after="0" w:line="240" w:lineRule="auto"/>
    </w:pPr>
    <w:tblPr/>
  </w:style>
  <w:style w:type="table" w:styleId="894" w:customStyle="1">
    <w:name w:val="Bordered - Accent 4"/>
    <w:uiPriority w:val="99"/>
    <w:qFormat/>
    <w:pPr>
      <w:spacing w:after="0" w:line="240" w:lineRule="auto"/>
    </w:pPr>
    <w:tblPr/>
  </w:style>
  <w:style w:type="table" w:styleId="895" w:customStyle="1">
    <w:name w:val="Bordered - Accent 5"/>
    <w:uiPriority w:val="99"/>
    <w:qFormat/>
    <w:pPr>
      <w:spacing w:after="0" w:line="240" w:lineRule="auto"/>
    </w:pPr>
    <w:tblPr/>
  </w:style>
  <w:style w:type="table" w:styleId="896" w:customStyle="1">
    <w:name w:val="Bordered - Accent 6"/>
    <w:uiPriority w:val="99"/>
    <w:qFormat/>
    <w:pPr>
      <w:spacing w:after="0" w:line="240" w:lineRule="auto"/>
    </w:pPr>
    <w:tbl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标题 11"/>
    <w:basedOn w:val="677"/>
    <w:next w:val="677"/>
    <w:uiPriority w:val="9"/>
    <w:qFormat/>
    <w:pPr>
      <w:keepLines/>
      <w:keepNext/>
      <w:spacing w:before="340" w:after="330" w:line="578" w:lineRule="auto"/>
      <w:outlineLvl w:val="0"/>
    </w:pPr>
    <w:rPr>
      <w:b/>
      <w:bCs/>
      <w:sz w:val="44"/>
      <w:szCs w:val="44"/>
    </w:rPr>
  </w:style>
  <w:style w:type="paragraph" w:styleId="899" w:customStyle="1">
    <w:name w:val="标题 21"/>
    <w:basedOn w:val="677"/>
    <w:next w:val="6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0" w:customStyle="1">
    <w:name w:val="标题 31"/>
    <w:basedOn w:val="677"/>
    <w:next w:val="677"/>
    <w:uiPriority w:val="0"/>
    <w:qFormat/>
    <w:pPr>
      <w:keepLines/>
      <w:keepNext/>
      <w:spacing w:before="260" w:after="260" w:line="416" w:lineRule="auto"/>
      <w:outlineLvl w:val="2"/>
    </w:pPr>
    <w:rPr>
      <w:b/>
      <w:bCs/>
      <w:sz w:val="32"/>
      <w:szCs w:val="32"/>
    </w:rPr>
  </w:style>
  <w:style w:type="character" w:styleId="901" w:customStyle="1">
    <w:name w:val="默认段落字体1"/>
    <w:link w:val="677"/>
    <w:uiPriority w:val="1"/>
    <w:unhideWhenUsed/>
    <w:qFormat/>
  </w:style>
  <w:style w:type="table" w:styleId="902" w:customStyle="1">
    <w:name w:val="普通表格1"/>
    <w:uiPriority w:val="99"/>
    <w:unhideWhenUsed/>
    <w:qFormat/>
    <w:tblPr/>
  </w:style>
  <w:style w:type="paragraph" w:styleId="903" w:customStyle="1">
    <w:name w:val="正文文本缩进1"/>
    <w:basedOn w:val="677"/>
    <w:next w:val="904"/>
    <w:uiPriority w:val="0"/>
    <w:qFormat/>
    <w:pPr>
      <w:ind w:left="420"/>
      <w:spacing w:after="120"/>
    </w:pPr>
    <w:rPr>
      <w:rFonts w:ascii="等线" w:hAnsi="等线" w:eastAsia="等线"/>
    </w:rPr>
  </w:style>
  <w:style w:type="paragraph" w:styleId="904" w:customStyle="1">
    <w:name w:val="寄信人地址1"/>
    <w:basedOn w:val="677"/>
    <w:uiPriority w:val="99"/>
    <w:unhideWhenUsed/>
    <w:qFormat/>
    <w:rPr>
      <w:rFonts w:ascii="Arial" w:hAnsi="Arial"/>
    </w:rPr>
  </w:style>
  <w:style w:type="paragraph" w:styleId="905" w:customStyle="1">
    <w:name w:val="正文缩进1"/>
    <w:basedOn w:val="677"/>
    <w:uiPriority w:val="0"/>
    <w:unhideWhenUsed/>
    <w:qFormat/>
    <w:pPr>
      <w:ind w:firstLine="420"/>
    </w:pPr>
  </w:style>
  <w:style w:type="paragraph" w:styleId="906" w:customStyle="1">
    <w:name w:val="批注文字1"/>
    <w:basedOn w:val="677"/>
    <w:link w:val="907"/>
    <w:uiPriority w:val="0"/>
    <w:qFormat/>
    <w:pPr>
      <w:jc w:val="left"/>
    </w:pPr>
  </w:style>
  <w:style w:type="character" w:styleId="907" w:customStyle="1">
    <w:name w:val="批注文字 Char"/>
    <w:link w:val="906"/>
    <w:uiPriority w:val="0"/>
    <w:qFormat/>
    <w:rPr>
      <w:rFonts w:ascii="Calibri" w:hAnsi="Calibri"/>
      <w:sz w:val="21"/>
      <w:szCs w:val="22"/>
    </w:rPr>
  </w:style>
  <w:style w:type="paragraph" w:styleId="908" w:customStyle="1">
    <w:name w:val="正文文本11"/>
    <w:basedOn w:val="677"/>
    <w:next w:val="677"/>
    <w:uiPriority w:val="0"/>
    <w:qFormat/>
    <w:rPr>
      <w:rFonts w:ascii="楷体_GB2312" w:hAnsi="Arial" w:eastAsia="楷体_GB2312"/>
      <w:sz w:val="28"/>
      <w:szCs w:val="28"/>
    </w:rPr>
  </w:style>
  <w:style w:type="paragraph" w:styleId="909" w:customStyle="1">
    <w:name w:val="标题1"/>
    <w:basedOn w:val="677"/>
    <w:next w:val="677"/>
    <w:uiPriority w:val="0"/>
    <w:qFormat/>
    <w:pPr>
      <w:jc w:val="center"/>
      <w:spacing w:before="240" w:after="60" w:line="360" w:lineRule="auto"/>
      <w:outlineLvl w:val="0"/>
    </w:pPr>
    <w:rPr>
      <w:rFonts w:ascii="宋体" w:hAnsi="宋体"/>
      <w:b/>
      <w:bCs/>
      <w:sz w:val="32"/>
      <w:szCs w:val="32"/>
    </w:rPr>
  </w:style>
  <w:style w:type="paragraph" w:styleId="910" w:customStyle="1">
    <w:name w:val="纯文本1"/>
    <w:basedOn w:val="677"/>
    <w:uiPriority w:val="99"/>
    <w:qFormat/>
    <w:rPr>
      <w:rFonts w:ascii="宋体" w:hAnsi="Courier New"/>
      <w:sz w:val="20"/>
      <w:szCs w:val="21"/>
    </w:rPr>
  </w:style>
  <w:style w:type="paragraph" w:styleId="911" w:customStyle="1">
    <w:name w:val="正文文本缩进 21"/>
    <w:basedOn w:val="677"/>
    <w:uiPriority w:val="0"/>
    <w:qFormat/>
    <w:pPr>
      <w:ind w:left="640"/>
      <w:spacing w:after="120" w:line="480" w:lineRule="auto"/>
    </w:pPr>
    <w:rPr>
      <w:rFonts w:eastAsia="仿宋_GB2312"/>
      <w:sz w:val="32"/>
      <w:szCs w:val="28"/>
    </w:rPr>
  </w:style>
  <w:style w:type="paragraph" w:styleId="912" w:customStyle="1">
    <w:name w:val="批注框文本1"/>
    <w:basedOn w:val="677"/>
    <w:link w:val="913"/>
    <w:uiPriority w:val="0"/>
    <w:qFormat/>
    <w:rPr>
      <w:sz w:val="18"/>
      <w:szCs w:val="18"/>
    </w:rPr>
  </w:style>
  <w:style w:type="character" w:styleId="913" w:customStyle="1">
    <w:name w:val="批注框文本 Char"/>
    <w:link w:val="912"/>
    <w:uiPriority w:val="0"/>
    <w:qFormat/>
    <w:rPr>
      <w:sz w:val="18"/>
      <w:szCs w:val="18"/>
    </w:rPr>
  </w:style>
  <w:style w:type="paragraph" w:styleId="914" w:customStyle="1">
    <w:name w:val="页脚1"/>
    <w:basedOn w:val="677"/>
    <w:uiPriority w:val="99"/>
    <w:unhideWhenUsed/>
    <w:qFormat/>
    <w:pPr>
      <w:jc w:val="left"/>
      <w:tabs>
        <w:tab w:val="center" w:pos="4153" w:leader="none"/>
        <w:tab w:val="right" w:pos="8306" w:leader="none"/>
      </w:tabs>
    </w:pPr>
    <w:rPr>
      <w:sz w:val="18"/>
      <w:szCs w:val="18"/>
    </w:rPr>
  </w:style>
  <w:style w:type="paragraph" w:styleId="915" w:customStyle="1">
    <w:name w:val="页眉1"/>
    <w:basedOn w:val="67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16" w:customStyle="1">
    <w:name w:val="目录 11"/>
    <w:basedOn w:val="677"/>
    <w:next w:val="677"/>
    <w:uiPriority w:val="39"/>
    <w:unhideWhenUsed/>
    <w:qFormat/>
  </w:style>
  <w:style w:type="paragraph" w:styleId="917" w:customStyle="1">
    <w:name w:val="目录 21"/>
    <w:basedOn w:val="677"/>
    <w:next w:val="677"/>
    <w:uiPriority w:val="0"/>
    <w:qFormat/>
    <w:pPr>
      <w:ind w:left="420"/>
    </w:pPr>
  </w:style>
  <w:style w:type="paragraph" w:styleId="918" w:customStyle="1">
    <w:name w:val="正文文本 21"/>
    <w:basedOn w:val="677"/>
    <w:next w:val="919"/>
    <w:uiPriority w:val="0"/>
    <w:qFormat/>
    <w:pPr>
      <w:spacing w:after="120" w:line="480" w:lineRule="auto"/>
    </w:pPr>
  </w:style>
  <w:style w:type="paragraph" w:styleId="919" w:customStyle="1">
    <w:name w:val="默认段落字体 Para Char Char Char Char Char Char Char"/>
    <w:basedOn w:val="677"/>
    <w:next w:val="920"/>
    <w:uiPriority w:val="99"/>
    <w:qFormat/>
    <w:pPr>
      <w:ind w:firstLine="200"/>
    </w:pPr>
    <w:rPr>
      <w:rFonts w:cs="Arial"/>
    </w:rPr>
  </w:style>
  <w:style w:type="paragraph" w:styleId="920" w:customStyle="1">
    <w:name w:val="样式 首行缩进:  2 字符"/>
    <w:basedOn w:val="677"/>
    <w:next w:val="921"/>
    <w:uiPriority w:val="99"/>
    <w:qFormat/>
    <w:pPr>
      <w:ind w:left="480" w:firstLine="5856"/>
      <w:spacing w:line="360" w:lineRule="auto"/>
    </w:pPr>
  </w:style>
  <w:style w:type="paragraph" w:styleId="921" w:customStyle="1">
    <w:name w:val="样式 段后: 0.25 行"/>
    <w:basedOn w:val="677"/>
    <w:next w:val="922"/>
    <w:uiPriority w:val="99"/>
    <w:qFormat/>
    <w:pPr>
      <w:ind w:left="420" w:firstLine="5796"/>
      <w:spacing w:line="300" w:lineRule="auto"/>
      <w:widowControl/>
    </w:pPr>
  </w:style>
  <w:style w:type="paragraph" w:styleId="922" w:customStyle="1">
    <w:name w:val="正文 New New New New New New New New New New New New New New"/>
    <w:next w:val="736"/>
    <w:uiPriority w:val="99"/>
    <w:qFormat/>
    <w:pPr>
      <w:ind w:firstLine="2048"/>
      <w:jc w:val="both"/>
      <w:widowControl w:val="off"/>
    </w:pPr>
    <w:rPr>
      <w:rFonts w:hint="default" w:ascii="Times New Roman" w:hAnsi="Times New Roman" w:eastAsia="宋体" w:cs="Times New Roman"/>
      <w:lang w:eastAsia="zh-CN"/>
    </w:rPr>
  </w:style>
  <w:style w:type="paragraph" w:styleId="923" w:customStyle="1">
    <w:name w:val="信息标题1"/>
    <w:basedOn w:val="67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24" w:customStyle="1">
    <w:name w:val="普通(网站)1"/>
    <w:basedOn w:val="677"/>
    <w:uiPriority w:val="0"/>
    <w:qFormat/>
    <w:rPr>
      <w:rFonts w:ascii="Times New Roman" w:hAnsi="Times New Roman"/>
      <w:sz w:val="24"/>
    </w:rPr>
  </w:style>
  <w:style w:type="paragraph" w:styleId="925" w:customStyle="1">
    <w:name w:val="批注主题1"/>
    <w:basedOn w:val="906"/>
    <w:next w:val="906"/>
    <w:link w:val="926"/>
    <w:uiPriority w:val="0"/>
    <w:qFormat/>
    <w:rPr>
      <w:b/>
      <w:bCs/>
    </w:rPr>
  </w:style>
  <w:style w:type="character" w:styleId="926" w:customStyle="1">
    <w:name w:val="批注主题 Char"/>
    <w:link w:val="925"/>
    <w:uiPriority w:val="0"/>
    <w:qFormat/>
    <w:rPr>
      <w:rFonts w:ascii="Calibri" w:hAnsi="Calibri"/>
      <w:b/>
      <w:bCs/>
      <w:sz w:val="21"/>
      <w:szCs w:val="22"/>
    </w:rPr>
  </w:style>
  <w:style w:type="paragraph" w:styleId="927" w:customStyle="1">
    <w:name w:val="正文首行缩进 21"/>
    <w:basedOn w:val="903"/>
    <w:next w:val="677"/>
    <w:uiPriority w:val="0"/>
    <w:qFormat/>
    <w:pPr>
      <w:ind w:firstLine="420"/>
      <w:spacing w:before="100" w:beforeAutospacing="1"/>
    </w:pPr>
    <w:rPr>
      <w:rFonts w:ascii="Times New Roman" w:hAnsi="Times New Roman" w:eastAsia="宋体"/>
      <w:sz w:val="20"/>
      <w:szCs w:val="21"/>
    </w:rPr>
  </w:style>
  <w:style w:type="table" w:styleId="928" w:customStyle="1">
    <w:name w:val="网格型1"/>
    <w:basedOn w:val="902"/>
    <w:uiPriority w:val="0"/>
    <w:qFormat/>
    <w:pPr>
      <w:jc w:val="both"/>
      <w:widowControl w:val="off"/>
    </w:pPr>
    <w:tblPr/>
  </w:style>
  <w:style w:type="character" w:styleId="929" w:customStyle="1">
    <w:name w:val="要点1"/>
    <w:link w:val="677"/>
    <w:uiPriority w:val="0"/>
    <w:qFormat/>
    <w:rPr>
      <w:b/>
    </w:rPr>
  </w:style>
  <w:style w:type="character" w:styleId="930" w:customStyle="1">
    <w:name w:val="强调1"/>
    <w:link w:val="677"/>
    <w:uiPriority w:val="0"/>
    <w:qFormat/>
    <w:rPr>
      <w:i/>
    </w:rPr>
  </w:style>
  <w:style w:type="character" w:styleId="931" w:customStyle="1">
    <w:name w:val="超链接1"/>
    <w:link w:val="677"/>
    <w:uiPriority w:val="0"/>
    <w:qFormat/>
    <w:rPr>
      <w:color w:val="0000ff"/>
      <w:u w:val="single"/>
    </w:rPr>
  </w:style>
  <w:style w:type="character" w:styleId="932" w:customStyle="1">
    <w:name w:val="批注引用1"/>
    <w:link w:val="677"/>
    <w:uiPriority w:val="0"/>
    <w:qFormat/>
    <w:rPr>
      <w:sz w:val="21"/>
      <w:szCs w:val="21"/>
    </w:rPr>
  </w:style>
  <w:style w:type="paragraph" w:styleId="933" w:customStyle="1">
    <w:name w:val="正文（缩进）"/>
    <w:basedOn w:val="677"/>
    <w:next w:val="934"/>
    <w:uiPriority w:val="0"/>
    <w:qFormat/>
    <w:pPr>
      <w:ind w:firstLine="480"/>
      <w:spacing w:before="156" w:after="156"/>
    </w:pPr>
  </w:style>
  <w:style w:type="paragraph" w:styleId="934" w:customStyle="1">
    <w:name w:val="Char Char Char Char Char Char Char Char Char"/>
    <w:basedOn w:val="677"/>
    <w:next w:val="918"/>
    <w:uiPriority w:val="99"/>
    <w:qFormat/>
    <w:pPr>
      <w:ind w:left="360" w:firstLine="5784"/>
    </w:pPr>
  </w:style>
  <w:style w:type="paragraph" w:styleId="935" w:customStyle="1">
    <w:name w:val="正文1"/>
    <w:basedOn w:val="936"/>
    <w:next w:val="937"/>
    <w:uiPriority w:val="0"/>
    <w:qFormat/>
    <w:pPr>
      <w:jc w:val="left"/>
      <w:spacing w:line="360" w:lineRule="atLeast"/>
    </w:pPr>
    <w:rPr>
      <w:rFonts w:ascii="宋体" w:hAnsi="Calibri" w:eastAsia="宋体" w:cs="Arial"/>
      <w:sz w:val="24"/>
      <w:szCs w:val="20"/>
    </w:rPr>
  </w:style>
  <w:style w:type="paragraph" w:styleId="936" w:customStyle="1">
    <w:name w:val="正文11"/>
    <w:next w:val="93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7" w:customStyle="1">
    <w:name w:val="正文文本1"/>
    <w:basedOn w:val="935"/>
    <w:next w:val="938"/>
    <w:uiPriority w:val="0"/>
    <w:qFormat/>
    <w:pPr>
      <w:spacing w:after="120"/>
    </w:pPr>
    <w:rPr>
      <w:lang w:eastAsia="en-US"/>
    </w:rPr>
  </w:style>
  <w:style w:type="paragraph" w:styleId="938" w:customStyle="1">
    <w:name w:val="一级条标题"/>
    <w:basedOn w:val="939"/>
    <w:next w:val="9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9" w:customStyle="1">
    <w:name w:val="章标题"/>
    <w:next w:val="67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eastAsia="zh-CN"/>
    </w:rPr>
  </w:style>
  <w:style w:type="paragraph" w:styleId="940" w:customStyle="1">
    <w:name w:val="段"/>
    <w:basedOn w:val="935"/>
    <w:next w:val="677"/>
    <w:uiPriority w:val="0"/>
    <w:qFormat/>
    <w:pPr>
      <w:ind w:firstLine="200"/>
      <w:widowControl/>
    </w:pPr>
    <w:rPr>
      <w:sz w:val="20"/>
    </w:rPr>
  </w:style>
  <w:style w:type="paragraph" w:styleId="941" w:customStyle="1">
    <w:name w:val="普通正文"/>
    <w:basedOn w:val="935"/>
    <w:uiPriority w:val="0"/>
    <w:qFormat/>
    <w:pPr>
      <w:ind w:firstLine="480"/>
      <w:jc w:val="left"/>
      <w:spacing w:before="120" w:after="120" w:line="360" w:lineRule="auto"/>
    </w:pPr>
    <w:rPr>
      <w:rFonts w:ascii="Arial" w:hAnsi="Arial"/>
      <w:sz w:val="24"/>
      <w:szCs w:val="24"/>
    </w:rPr>
  </w:style>
  <w:style w:type="paragraph" w:styleId="942" w:customStyle="1">
    <w:name w:val="Char"/>
    <w:basedOn w:val="677"/>
    <w:uiPriority w:val="0"/>
    <w:qFormat/>
    <w:pPr>
      <w:ind w:firstLine="200"/>
      <w:tabs>
        <w:tab w:val="left" w:pos="360" w:leader="none"/>
      </w:tabs>
    </w:pPr>
    <w:rPr>
      <w:rFonts w:ascii="Times New Roman" w:hAnsi="Times New Roman"/>
      <w:sz w:val="28"/>
      <w:szCs w:val="30"/>
    </w:rPr>
  </w:style>
  <w:style w:type="paragraph" w:styleId="943" w:customStyle="1">
    <w:name w:val="Table Paragraph"/>
    <w:basedOn w:val="677"/>
    <w:uiPriority w:val="1"/>
    <w:qFormat/>
    <w:rPr>
      <w:rFonts w:ascii="Noto Sans CJK JP Regular" w:hAnsi="Noto Sans CJK JP Regular" w:eastAsia="Noto Sans CJK JP Regular" w:cs="Noto Sans CJK JP Regular"/>
    </w:rPr>
  </w:style>
  <w:style w:type="paragraph" w:styleId="944" w:customStyle="1">
    <w:name w:val="正文（1）"/>
    <w:basedOn w:val="677"/>
    <w:uiPriority w:val="0"/>
    <w:qFormat/>
    <w:pPr>
      <w:numPr>
        <w:ilvl w:val="0"/>
        <w:numId w:val="1"/>
      </w:numPr>
      <w:ind w:firstLine="200"/>
    </w:pPr>
    <w:rPr>
      <w:szCs w:val="24"/>
    </w:rPr>
  </w:style>
  <w:style w:type="paragraph" w:styleId="945" w:customStyle="1">
    <w:name w:val="朱-正文"/>
    <w:basedOn w:val="677"/>
    <w:uiPriority w:val="0"/>
    <w:qFormat/>
    <w:pPr>
      <w:ind w:firstLine="200"/>
    </w:pPr>
    <w:rPr>
      <w:rFonts w:ascii="Times New Roman"/>
      <w:color w:val="000000"/>
      <w:szCs w:val="24"/>
      <w:lang w:val="en-GB"/>
    </w:rPr>
  </w:style>
  <w:style w:type="paragraph" w:styleId="946" w:customStyle="1">
    <w:name w:val="GP正文(首行缩进)"/>
    <w:basedOn w:val="677"/>
    <w:uiPriority w:val="0"/>
    <w:qFormat/>
    <w:pPr>
      <w:ind w:firstLine="480"/>
      <w:jc w:val="left"/>
    </w:pPr>
    <w:rPr>
      <w:rFonts w:ascii="Times New Roman" w:hAnsi="宋体"/>
      <w:sz w:val="24"/>
      <w:szCs w:val="24"/>
    </w:rPr>
  </w:style>
  <w:style w:type="character" w:styleId="947" w:customStyle="1">
    <w:name w:val="font71"/>
    <w:link w:val="677"/>
    <w:uiPriority w:val="0"/>
    <w:qFormat/>
    <w:rPr>
      <w:rFonts w:hint="eastAsia" w:ascii="宋体" w:hAnsi="宋体" w:eastAsia="宋体" w:cs="宋体"/>
      <w:color w:val="ff0000"/>
      <w:sz w:val="21"/>
      <w:szCs w:val="21"/>
      <w:u w:val="none"/>
    </w:rPr>
  </w:style>
  <w:style w:type="character" w:styleId="948" w:customStyle="1">
    <w:name w:val="font41"/>
    <w:link w:val="677"/>
    <w:uiPriority w:val="0"/>
    <w:qFormat/>
    <w:rPr>
      <w:rFonts w:hint="eastAsia" w:ascii="宋体" w:hAnsi="宋体" w:eastAsia="宋体" w:cs="宋体"/>
      <w:color w:val="000000"/>
      <w:sz w:val="21"/>
      <w:szCs w:val="21"/>
      <w:u w:val="none"/>
    </w:rPr>
  </w:style>
  <w:style w:type="paragraph" w:styleId="949" w:customStyle="1">
    <w:name w:val="列出段落"/>
    <w:basedOn w:val="677"/>
    <w:uiPriority w:val="0"/>
    <w:qFormat/>
    <w:pPr>
      <w:ind w:firstLine="420"/>
    </w:pPr>
  </w:style>
  <w:style w:type="paragraph" w:styleId="950" w:customStyle="1">
    <w:name w:val="列出段落2"/>
    <w:basedOn w:val="677"/>
    <w:uiPriority w:val="34"/>
    <w:qFormat/>
    <w:pPr>
      <w:ind w:firstLine="420"/>
    </w:pPr>
    <w:rPr>
      <w:rFonts w:ascii="宋体"/>
      <w:color w:val="404040"/>
    </w:rPr>
  </w:style>
  <w:style w:type="paragraph" w:styleId="951" w:customStyle="1">
    <w:name w:val="列表段落1"/>
    <w:basedOn w:val="677"/>
    <w:uiPriority w:val="0"/>
    <w:qFormat/>
    <w:pPr>
      <w:ind w:firstLine="200"/>
    </w:pPr>
    <w:rPr>
      <w:rFonts w:cs="宋体"/>
    </w:rPr>
  </w:style>
  <w:style w:type="character" w:styleId="952" w:customStyle="1">
    <w:name w:val="font51"/>
    <w:link w:val="677"/>
    <w:uiPriority w:val="0"/>
    <w:qFormat/>
    <w:rPr>
      <w:rFonts w:hint="eastAsia" w:ascii="宋体" w:hAnsi="宋体" w:eastAsia="宋体" w:cs="宋体"/>
      <w:color w:val="000000"/>
      <w:sz w:val="24"/>
      <w:szCs w:val="24"/>
      <w:u w:val="none"/>
      <w:vertAlign w:val="subscript"/>
    </w:rPr>
  </w:style>
  <w:style w:type="character" w:styleId="953" w:customStyle="1">
    <w:name w:val="font61"/>
    <w:link w:val="677"/>
    <w:uiPriority w:val="0"/>
    <w:qFormat/>
    <w:rPr>
      <w:rFonts w:hint="eastAsia" w:ascii="宋体" w:hAnsi="宋体" w:eastAsia="宋体" w:cs="宋体"/>
      <w:color w:val="000000"/>
      <w:sz w:val="24"/>
      <w:szCs w:val="24"/>
      <w:u w:val="none"/>
    </w:rPr>
  </w:style>
  <w:style w:type="character" w:styleId="954" w:customStyle="1">
    <w:name w:val="font01"/>
    <w:link w:val="677"/>
    <w:uiPriority w:val="0"/>
    <w:qFormat/>
    <w:rPr>
      <w:rFonts w:hint="eastAsia" w:ascii="宋体" w:hAnsi="宋体" w:eastAsia="宋体" w:cs="宋体"/>
      <w:color w:val="000000"/>
      <w:sz w:val="24"/>
      <w:szCs w:val="24"/>
      <w:u w:val="none"/>
    </w:rPr>
  </w:style>
  <w:style w:type="character" w:styleId="955" w:customStyle="1">
    <w:name w:val="font81"/>
    <w:link w:val="677"/>
    <w:uiPriority w:val="0"/>
    <w:qFormat/>
    <w:rPr>
      <w:rFonts w:ascii="微软雅黑" w:hAnsi="微软雅黑" w:eastAsia="微软雅黑" w:cs="微软雅黑"/>
      <w:color w:val="000000"/>
      <w:sz w:val="24"/>
      <w:szCs w:val="24"/>
      <w:u w:val="none"/>
    </w:rPr>
  </w:style>
  <w:style w:type="character" w:styleId="956" w:customStyle="1">
    <w:name w:val="font91"/>
    <w:link w:val="677"/>
    <w:uiPriority w:val="0"/>
    <w:qFormat/>
    <w:rPr>
      <w:rFonts w:ascii="Segoe UI Symbol" w:hAnsi="Segoe UI Symbol" w:eastAsia="Segoe UI Symbol" w:cs="Segoe UI Symbol"/>
      <w:color w:val="000000"/>
      <w:sz w:val="24"/>
      <w:szCs w:val="24"/>
      <w:u w:val="none"/>
    </w:rPr>
  </w:style>
  <w:style w:type="character" w:styleId="957" w:customStyle="1">
    <w:name w:val="font101"/>
    <w:link w:val="677"/>
    <w:uiPriority w:val="0"/>
    <w:qFormat/>
    <w:rPr>
      <w:rFonts w:ascii="Calibri" w:hAnsi="Calibri" w:cs="Calibri"/>
      <w:color w:val="000000"/>
      <w:sz w:val="24"/>
      <w:szCs w:val="24"/>
      <w:u w:val="none"/>
    </w:rPr>
  </w:style>
  <w:style w:type="paragraph" w:styleId="958" w:customStyle="1">
    <w:name w:val="TableItem"/>
    <w:uiPriority w:val="0"/>
    <w:qFormat/>
    <w:rPr>
      <w:rFonts w:hint="default" w:ascii="Verdana" w:hAnsi="Verdana" w:eastAsia="宋体" w:cs="Verdana"/>
      <w:b/>
      <w:bCs/>
      <w:color w:val="538135"/>
      <w:spacing w:val="-10"/>
      <w:sz w:val="16"/>
      <w:szCs w:val="28"/>
      <w:lang w:eastAsia="zh-CN"/>
    </w:rPr>
  </w:style>
  <w:style w:type="paragraph" w:styleId="959" w:customStyle="1">
    <w:name w:val="TableEmphasis"/>
    <w:basedOn w:val="677"/>
    <w:uiPriority w:val="0"/>
    <w:qFormat/>
    <w:rPr>
      <w:rFonts w:ascii="Times New Roman" w:hAnsi="Times New Roman" w:eastAsia="Times New Roman"/>
      <w:b/>
      <w:bCs/>
      <w:color w:val="3333ff"/>
      <w:sz w:val="16"/>
      <w:szCs w:val="18"/>
    </w:rPr>
  </w:style>
  <w:style w:type="paragraph" w:styleId="960" w:customStyle="1">
    <w:name w:val="修订1"/>
    <w:uiPriority w:val="99"/>
    <w:unhideWhenUsed/>
    <w:qFormat/>
    <w:rPr>
      <w:rFonts w:hint="default" w:ascii="Calibri" w:hAnsi="Calibri" w:eastAsia="宋体" w:cs="Times New Roman"/>
      <w:sz w:val="21"/>
      <w:szCs w:val="22"/>
      <w:lang w:eastAsia="zh-CN"/>
    </w:rPr>
  </w:style>
  <w:style w:type="paragraph" w:styleId="961" w:customStyle="1">
    <w:name w:val="修订2"/>
    <w:uiPriority w:val="99"/>
    <w:semiHidden/>
    <w:qFormat/>
    <w:rPr>
      <w:rFonts w:hint="default" w:ascii="Calibri" w:hAnsi="Calibri" w:eastAsia="宋体" w:cs="Times New Roman"/>
      <w:sz w:val="21"/>
      <w:szCs w:val="22"/>
      <w:lang w:eastAsia="zh-CN"/>
    </w:rPr>
  </w:style>
  <w:style w:type="character" w:styleId="962" w:customStyle="1">
    <w:name w:val="font11"/>
    <w:basedOn w:val="712"/>
    <w:link w:val="677"/>
    <w:uiPriority w:val="0"/>
    <w:qFormat/>
    <w:rPr>
      <w:rFonts w:hint="eastAsia" w:ascii="宋体" w:hAnsi="宋体" w:eastAsia="宋体" w:cs="宋体"/>
      <w:color w:val="000000"/>
      <w:sz w:val="24"/>
      <w:szCs w:val="24"/>
      <w:u w:val="none"/>
    </w:rPr>
  </w:style>
  <w:style w:type="character" w:styleId="963" w:customStyle="1">
    <w:name w:val="font21"/>
    <w:link w:val="677"/>
    <w:uiPriority w:val="0"/>
    <w:qFormat/>
    <w:rPr>
      <w:rFonts w:ascii="Segoe UI Symbol" w:hAnsi="Segoe UI Symbol" w:eastAsia="Segoe UI Symbol" w:cs="Segoe UI Symbol"/>
      <w:color w:val="000000"/>
      <w:sz w:val="24"/>
      <w:szCs w:val="24"/>
      <w:u w:val="none"/>
    </w:rPr>
  </w:style>
  <w:style w:type="character" w:styleId="964" w:customStyle="1">
    <w:name w:val="NormalCharacter1"/>
    <w:link w:val="677"/>
    <w:uiPriority w:val="0"/>
    <w:semiHidden/>
    <w:qFormat/>
  </w:style>
  <w:style w:type="character" w:styleId="965" w:customStyle="1">
    <w:name w:val="font31"/>
    <w:link w:val="677"/>
    <w:uiPriority w:val="0"/>
    <w:qFormat/>
    <w:rPr>
      <w:rFonts w:hint="eastAsia" w:ascii="宋体" w:hAnsi="宋体" w:eastAsia="宋体" w:cs="宋体"/>
      <w:color w:val="000000"/>
      <w:sz w:val="21"/>
      <w:szCs w:val="21"/>
      <w:u w:val="none"/>
    </w:rPr>
  </w:style>
  <w:style w:type="paragraph" w:styleId="966" w:customStyle="1">
    <w:name w:val="无间隔"/>
    <w:uiPriority w:val="1"/>
    <w:qFormat/>
    <w:rPr>
      <w:rFonts w:hint="default" w:ascii="Times New Roman" w:hAnsi="Times New Roman" w:eastAsia="宋体" w:cs="Times New Roman"/>
      <w:lang w:eastAsia="zh-CN"/>
    </w:rPr>
  </w:style>
  <w:style w:type="paragraph" w:styleId="967" w:customStyle="1">
    <w:name w:val="索引 41"/>
    <w:basedOn w:val="677"/>
    <w:next w:val="677"/>
    <w:uiPriority w:val="99"/>
    <w:unhideWhenUsed/>
    <w:qFormat/>
    <w:pPr>
      <w:ind w:left="600"/>
    </w:pPr>
    <w:rPr>
      <w:rFonts w:ascii="Verdana" w:hAnsi="Verdana" w:eastAsia="微软雅黑"/>
      <w:szCs w:val="20"/>
    </w:rPr>
  </w:style>
  <w:style w:type="paragraph" w:styleId="968" w:customStyle="1">
    <w:name w:val="样式 宋体 加粗 居中"/>
    <w:basedOn w:val="677"/>
    <w:uiPriority w:val="0"/>
    <w:qFormat/>
    <w:pPr>
      <w:jc w:val="center"/>
    </w:pPr>
    <w:rPr>
      <w:rFonts w:ascii="宋体" w:hAnsi="宋体" w:cs="宋体"/>
      <w:b/>
      <w:bCs/>
      <w:sz w:val="32"/>
      <w:szCs w:val="20"/>
    </w:rPr>
  </w:style>
  <w:style w:type="character" w:styleId="969" w:customStyle="1">
    <w:name w:val="NormalCharacter11"/>
    <w:link w:val="677"/>
    <w:uiPriority w:val="0"/>
    <w:qFormat/>
    <w:rPr>
      <w:sz w:val="21"/>
      <w:szCs w:val="24"/>
      <w:lang w:val="en-US" w:eastAsia="zh-CN" w:bidi="ar-SA"/>
    </w:rPr>
  </w:style>
  <w:style w:type="numbering" w:styleId="10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林祖超</cp:lastModifiedBy>
  <cp:revision>4</cp:revision>
  <dcterms:created xsi:type="dcterms:W3CDTF">2024-08-07T07:47:00Z</dcterms:created>
  <dcterms:modified xsi:type="dcterms:W3CDTF">2026-10-12T06:28:23Z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eyJoZGlkIjoiZTVkNzQ3OWEyMTdhMmNjZTE0YWI3MmE4NDZlMmFlODAiLCJ1c2VySWQiOiI0MTk2MzY1OTUifQ==</vt:lpwstr>
  </property>
  <property fmtid="{D5CDD505-2E9C-101B-9397-08002B2CF9AE}" pid="3" name="KSOProductBuildVer">
    <vt:lpwstr>2052-12.1.0.28505</vt:lpwstr>
  </property>
  <property fmtid="{D5CDD505-2E9C-101B-9397-08002B2CF9AE}" pid="4" name="ICV">
    <vt:lpwstr>B3BD5B565B1449F7A1A6EFA4948F40CD_12</vt:lpwstr>
  </property>
</Properties>
</file>