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hint="eastAsia" w:eastAsia="黑体"/>
          <w:b/>
          <w:bCs/>
          <w:sz w:val="84"/>
        </w:rPr>
      </w:pPr>
      <w:r>
        <w:rPr>
          <w:rFonts w:hint="eastAsia" w:eastAsia="黑体"/>
          <w:b/>
          <w:bCs/>
          <w:sz w:val="84"/>
        </w:rPr>
      </w:r>
      <w:r/>
    </w:p>
    <w:p>
      <w:pPr>
        <w:pStyle w:val="100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1"/>
        <w:ind w:firstLine="2249"/>
        <w:rPr>
          <w:rFonts w:hint="eastAsia"/>
          <w:b/>
          <w:bCs/>
          <w:sz w:val="32"/>
        </w:rPr>
      </w:pPr>
      <w:r>
        <w:rPr>
          <w:rFonts w:hint="eastAsia"/>
          <w:b/>
          <w:bCs/>
          <w:sz w:val="32"/>
        </w:rPr>
        <w:t xml:space="preserve">项目名称：江苏省碳数据计量及追溯平台建设</w:t>
      </w:r>
      <w:r>
        <w:rPr>
          <w:rFonts w:hint="eastAsia"/>
          <w:b/>
          <w:bCs/>
          <w:sz w:val="32"/>
        </w:rPr>
      </w:r>
      <w:r/>
    </w:p>
    <w:p>
      <w:pPr>
        <w:pStyle w:val="905"/>
        <w:ind w:left="2100" w:firstLine="16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SCZX-G2026-0416</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05"/>
        <w:ind w:left="2811" w:hanging="2811"/>
        <w:jc w:val="center"/>
        <w:rPr>
          <w:rFonts w:hint="eastAsia"/>
          <w:b/>
          <w:color w:val="ff0000"/>
          <w:sz w:val="28"/>
          <w:szCs w:val="28"/>
        </w:rPr>
      </w:pPr>
      <w:r>
        <w:rPr>
          <w:rFonts w:hint="eastAsia"/>
          <w:b/>
          <w:color w:val="ff0000"/>
          <w:sz w:val="28"/>
          <w:szCs w:val="28"/>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1"/>
        <w:ind w:firstLine="0"/>
        <w:jc w:val="center"/>
        <w:rPr>
          <w:rFonts w:hint="eastAsia"/>
          <w:b/>
          <w:bCs/>
          <w:sz w:val="32"/>
        </w:rPr>
      </w:pPr>
      <w:r>
        <w:rPr>
          <w:rFonts w:hint="eastAsia"/>
          <w:b/>
          <w:bCs/>
          <w:sz w:val="32"/>
        </w:rPr>
        <w:t xml:space="preserve">2026年9月</w:t>
      </w:r>
      <w:r>
        <w:rPr>
          <w:rFonts w:hint="eastAsia"/>
          <w:b/>
          <w:bCs/>
          <w:sz w:val="32"/>
        </w:rPr>
      </w:r>
      <w:r/>
    </w:p>
    <w:p>
      <w:pPr>
        <w:pStyle w:val="1001"/>
        <w:ind w:firstLine="0"/>
        <w:rPr>
          <w:rFonts w:hint="eastAsia"/>
          <w:u w:val="single"/>
        </w:rPr>
      </w:pPr>
      <w:r>
        <w:rPr>
          <w:rFonts w:hint="eastAsia"/>
        </w:rPr>
        <w:t xml:space="preserve">                        </w:t>
      </w:r>
      <w:r>
        <w:rPr>
          <w:rFonts w:hint="eastAsia"/>
          <w:u w:val="single"/>
        </w:rPr>
      </w:r>
      <w:r/>
    </w:p>
    <w:p>
      <w:pPr>
        <w:pStyle w:val="1001"/>
        <w:ind w:firstLine="0"/>
        <w:jc w:val="center"/>
        <w:rPr>
          <w:rFonts w:hint="eastAsia"/>
        </w:rPr>
      </w:pPr>
      <w:r>
        <w:rPr>
          <w:rFonts w:hint="eastAsia"/>
        </w:rPr>
      </w:r>
      <w:r/>
    </w:p>
    <w:p>
      <w:pPr>
        <w:pStyle w:val="90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5"/>
        <w:spacing w:line="480" w:lineRule="auto"/>
        <w:rPr>
          <w:rFonts w:hint="eastAsia" w:ascii="仿宋_GB2312" w:hAnsi="Arial" w:eastAsia="仿宋_GB2312"/>
          <w:b/>
          <w:sz w:val="28"/>
        </w:rPr>
      </w:pPr>
      <w:r>
        <w:rPr>
          <w:rFonts w:hint="eastAsia" w:ascii="仿宋_GB2312" w:hAnsi="Arial" w:eastAsia="仿宋_GB2312"/>
          <w:b/>
          <w:sz w:val="28"/>
        </w:rPr>
      </w:r>
      <w:r/>
    </w:p>
    <w:p>
      <w:pPr>
        <w:pStyle w:val="90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35</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………………………………43</w:t>
      </w:r>
      <w:r>
        <w:rPr>
          <w:rFonts w:hint="eastAsia" w:ascii="黑体" w:hAnsi="Showcard Gothic" w:eastAsia="黑体"/>
          <w:sz w:val="36"/>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5"/>
        <w:ind w:firstLine="480"/>
        <w:spacing w:line="400" w:lineRule="exact"/>
        <w:rPr>
          <w:rFonts w:ascii="宋体" w:hAnsi="宋体"/>
          <w:sz w:val="24"/>
          <w:szCs w:val="24"/>
        </w:rPr>
      </w:pPr>
      <w:r>
        <w:rPr>
          <w:rFonts w:hint="eastAsia" w:ascii="宋体" w:hAnsi="宋体"/>
          <w:sz w:val="24"/>
          <w:szCs w:val="24"/>
        </w:rPr>
        <w:t xml:space="preserve">受江苏省计量科学研究院（江苏省能源计量数据中心）的委托，江苏省政府采购中心就江苏省碳数据计量及追溯平台建设(JSZC-320000-SCZX-G2026-0416)项目进行公开招标采购，欢迎符合条件的供应商投标。</w:t>
      </w:r>
      <w:r>
        <w:rPr>
          <w:rFonts w:ascii="宋体" w:hAnsi="宋体"/>
          <w:sz w:val="24"/>
          <w:szCs w:val="24"/>
        </w:rPr>
      </w:r>
      <w:r/>
    </w:p>
    <w:p>
      <w:pPr>
        <w:pStyle w:val="90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江苏省碳数据计量及追溯平台建设</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 10 月 9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8"/>
        <w:ind w:firstLine="498"/>
        <w:spacing w:before="145" w:after="145" w:line="400" w:lineRule="exact"/>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05"/>
        <w:ind w:firstLine="480"/>
        <w:spacing w:line="400" w:lineRule="exact"/>
        <w:rPr>
          <w:rFonts w:ascii="宋体" w:hAnsi="宋体"/>
          <w:sz w:val="24"/>
          <w:szCs w:val="24"/>
        </w:rPr>
      </w:pPr>
      <w:r>
        <w:rPr>
          <w:rFonts w:hint="eastAsia" w:ascii="宋体" w:hAnsi="宋体"/>
          <w:sz w:val="24"/>
          <w:szCs w:val="24"/>
        </w:rPr>
        <w:t xml:space="preserve">1.采购编号：JSZC-320000-SCZX-G2026-0416  </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2.项目名称：江苏省碳数据计量及追溯平台建设</w:t>
      </w:r>
      <w:r>
        <w:rPr>
          <w:rFonts w:ascii="宋体" w:hAnsi="宋体"/>
          <w:sz w:val="24"/>
          <w:szCs w:val="24"/>
        </w:rPr>
      </w:r>
      <w:r/>
    </w:p>
    <w:p>
      <w:pPr>
        <w:pStyle w:val="90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0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05"/>
              <w:jc w:val="center"/>
              <w:spacing w:line="400" w:lineRule="exact"/>
              <w:rPr>
                <w:rFonts w:ascii="宋体" w:hAnsi="宋体"/>
              </w:rPr>
            </w:pPr>
            <w:r>
              <w:rPr>
                <w:rFonts w:hint="eastAsia" w:ascii="宋体" w:hAnsi="宋体"/>
              </w:rPr>
              <w:t xml:space="preserve">170</w:t>
            </w:r>
            <w:r>
              <w:rPr>
                <w:rFonts w:ascii="宋体" w:hAnsi="宋体"/>
              </w:rPr>
            </w:r>
            <w:r/>
          </w:p>
        </w:tc>
      </w:tr>
    </w:tbl>
    <w:p>
      <w:pPr>
        <w:pStyle w:val="90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90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90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90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90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170</w:t>
            </w:r>
            <w:r>
              <w:rPr>
                <w:rFonts w:ascii="方正魏碑_GBK" w:hAnsi="方正魏碑_GBK" w:eastAsia="方正魏碑_GBK" w:cs="方正魏碑_GBK"/>
                <w:sz w:val="24"/>
                <w:szCs w:val="24"/>
              </w:rPr>
            </w:r>
            <w:r/>
          </w:p>
        </w:tc>
      </w:tr>
    </w:tbl>
    <w:p>
      <w:pPr>
        <w:pStyle w:val="90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5.采购需求（简介）：聚焦企业碳排放数据的精准计量与全程溯源，重点解决当前企业碳计量数据难以应用于产品碳足迹核算的关键性问题，建立科学、规范、可落地的企业碳计量及溯源技术体系，开发适配企业实际需求的数据计量与溯源管理</w:t>
      </w:r>
      <w:r>
        <w:rPr>
          <w:rFonts w:ascii="宋体" w:hAnsi="宋体"/>
          <w:sz w:val="24"/>
          <w:szCs w:val="24"/>
          <w:highlight w:val="none"/>
        </w:rPr>
        <w:t xml:space="preserve">应用</w:t>
      </w:r>
      <w:r>
        <w:rPr>
          <w:rFonts w:hint="eastAsia" w:ascii="宋体" w:hAnsi="宋体"/>
          <w:sz w:val="24"/>
          <w:szCs w:val="24"/>
          <w:highlight w:val="none"/>
        </w:rPr>
        <w:t xml:space="preserve">系统</w:t>
      </w:r>
      <w:r>
        <w:rPr>
          <w:rFonts w:ascii="宋体" w:hAnsi="宋体"/>
          <w:sz w:val="24"/>
          <w:szCs w:val="24"/>
          <w:highlight w:val="none"/>
        </w:rPr>
        <w:t xml:space="preserve">。</w:t>
      </w:r>
      <w:r>
        <w:rPr>
          <w:rFonts w:hint="eastAsia" w:ascii="宋体" w:hAnsi="宋体" w:cs="宋体"/>
          <w:sz w:val="24"/>
          <w:szCs w:val="24"/>
          <w:highlight w:val="none"/>
        </w:rPr>
        <w:t xml:space="preserve">（详细内容见本招标文件第四章） </w:t>
      </w:r>
      <w:r>
        <w:rPr>
          <w:highlight w:val="none"/>
        </w:rPr>
      </w:r>
      <w:r/>
    </w:p>
    <w:p>
      <w:pPr>
        <w:pStyle w:val="90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6.合同履行期限：自合同签订至项目终验通过后一年质保期满</w:t>
      </w:r>
      <w:r>
        <w:rPr>
          <w:rFonts w:ascii="宋体" w:hAnsi="宋体"/>
          <w:sz w:val="24"/>
          <w:szCs w:val="24"/>
          <w:highlight w:val="none"/>
        </w:rPr>
        <w:t xml:space="preserve">。</w:t>
      </w:r>
      <w:r>
        <w:rPr>
          <w:rFonts w:hint="eastAsia" w:ascii="宋体" w:hAnsi="宋体"/>
          <w:sz w:val="24"/>
          <w:szCs w:val="24"/>
          <w:highlight w:val="none"/>
        </w:rPr>
        <w:t xml:space="preserve"> </w:t>
      </w:r>
      <w:r>
        <w:rPr>
          <w:highlight w:val="none"/>
        </w:rPr>
      </w:r>
      <w:r/>
    </w:p>
    <w:p>
      <w:pPr>
        <w:pStyle w:val="908"/>
        <w:ind w:firstLine="498"/>
        <w:spacing w:before="145" w:after="145" w:line="400" w:lineRule="exact"/>
        <w:rPr>
          <w:highlight w:val="none"/>
        </w:rPr>
      </w:pPr>
      <w:r>
        <w:rPr>
          <w:highlight w:val="none"/>
        </w:rPr>
      </w:r>
      <w:bookmarkStart w:id="12" w:name="_Toc35393622"/>
      <w:r>
        <w:rPr>
          <w:highlight w:val="none"/>
        </w:rPr>
      </w:r>
      <w:bookmarkStart w:id="13" w:name="_Toc28359080"/>
      <w:r>
        <w:rPr>
          <w:highlight w:val="none"/>
        </w:rPr>
      </w:r>
      <w:bookmarkStart w:id="14" w:name="_Toc28359003"/>
      <w:r>
        <w:rPr>
          <w:highlight w:val="none"/>
        </w:rPr>
      </w:r>
      <w:bookmarkStart w:id="15" w:name="_Toc38985264"/>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05"/>
        <w:ind w:firstLine="480"/>
        <w:spacing w:line="400" w:lineRule="exact"/>
        <w:rPr>
          <w:rFonts w:hint="eastAsia" w:ascii="宋体" w:hAnsi="宋体"/>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5"/>
        <w:ind w:firstLine="480"/>
        <w:spacing w:line="400" w:lineRule="exact"/>
        <w:rPr>
          <w:rFonts w:hint="eastAsia" w:ascii="宋体" w:hAnsi="宋体"/>
          <w:sz w:val="24"/>
          <w:szCs w:val="24"/>
          <w:highlight w:val="yellow"/>
        </w:rPr>
      </w:pPr>
      <w:r>
        <w:rPr>
          <w:rFonts w:hint="eastAsia" w:ascii="宋体" w:hAnsi="宋体"/>
          <w:sz w:val="24"/>
          <w:szCs w:val="24"/>
        </w:rPr>
        <w:t xml:space="preserve">3.落实政府采购政策需满足的资格要求：无</w:t>
      </w:r>
      <w:r>
        <w:rPr>
          <w:rFonts w:hint="eastAsia" w:ascii="宋体" w:hAnsi="宋体"/>
          <w:sz w:val="24"/>
          <w:szCs w:val="24"/>
          <w:highlight w:val="yellow"/>
        </w:rPr>
      </w:r>
      <w:r/>
    </w:p>
    <w:p>
      <w:pPr>
        <w:pStyle w:val="90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90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90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0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0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05"/>
              <w:jc w:val="center"/>
              <w:spacing w:line="400" w:lineRule="exact"/>
              <w:rPr>
                <w:rFonts w:ascii="宋体" w:hAnsi="宋体"/>
              </w:rPr>
            </w:pPr>
            <w:r>
              <w:rPr>
                <w:rFonts w:hint="eastAsia" w:ascii="宋体" w:hAnsi="宋体"/>
              </w:rPr>
              <w:t xml:space="preserve">/</w:t>
            </w:r>
            <w:r>
              <w:rPr>
                <w:rFonts w:ascii="宋体" w:hAnsi="宋体"/>
              </w:rPr>
            </w:r>
            <w:r/>
          </w:p>
        </w:tc>
      </w:tr>
    </w:tbl>
    <w:p>
      <w:pPr>
        <w:pStyle w:val="90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0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0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05"/>
        <w:ind w:firstLine="480"/>
        <w:spacing w:line="400" w:lineRule="exact"/>
        <w:rPr>
          <w:rFonts w:ascii="宋体" w:hAnsi="宋体"/>
          <w:bCs/>
          <w:sz w:val="24"/>
          <w:szCs w:val="24"/>
          <w:u w:val="single"/>
        </w:rPr>
      </w:pPr>
      <w:r>
        <w:rPr>
          <w:rFonts w:hint="eastAsia" w:ascii="宋体" w:hAnsi="宋体"/>
          <w:bCs/>
          <w:sz w:val="24"/>
          <w:szCs w:val="24"/>
          <w:u w:val="single"/>
        </w:rPr>
        <w:t xml:space="preserve">1.  2026  年 10 月 9 日  9  点  30  分</w:t>
      </w:r>
      <w:r>
        <w:rPr>
          <w:rFonts w:hint="eastAsia" w:ascii="宋体" w:hAnsi="宋体"/>
          <w:bCs/>
          <w:sz w:val="24"/>
          <w:szCs w:val="24"/>
        </w:rPr>
        <w:t xml:space="preserve">（北京时间）</w:t>
      </w:r>
      <w:r>
        <w:rPr>
          <w:rFonts w:ascii="宋体" w:hAnsi="宋体"/>
          <w:bCs/>
          <w:sz w:val="24"/>
          <w:szCs w:val="24"/>
          <w:u w:val="single"/>
        </w:rPr>
      </w:r>
      <w:r/>
    </w:p>
    <w:p>
      <w:pPr>
        <w:pStyle w:val="90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5"/>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898526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8"/>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pStyle w:val="905"/>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08"/>
        <w:ind w:firstLine="498"/>
        <w:spacing w:before="145" w:after="145" w:line="400" w:lineRule="exact"/>
      </w:pPr>
      <w:r/>
      <w:bookmarkStart w:id="35" w:name="_Toc35393627"/>
      <w:r/>
      <w:bookmarkStart w:id="36" w:name="_Toc28359085"/>
      <w:r/>
      <w:bookmarkStart w:id="37" w:name="_Toc35393796"/>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pStyle w:val="905"/>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90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w:t>
      </w:r>
      <w:r>
        <w:rPr>
          <w:rFonts w:ascii="宋体" w:hAnsi="宋体"/>
          <w:sz w:val="24"/>
          <w:szCs w:val="24"/>
          <w:highlight w:val="none"/>
          <w:u w:val="single"/>
        </w:rPr>
        <w:t xml:space="preserve">江苏省计量科学研究院(江苏省能源计量数据中心)</w:t>
      </w:r>
      <w:r>
        <w:rPr>
          <w:rFonts w:hint="eastAsia" w:ascii="宋体" w:hAnsi="宋体"/>
          <w:sz w:val="24"/>
          <w:szCs w:val="24"/>
          <w:highlight w:val="none"/>
          <w:u w:val="single"/>
        </w:rPr>
        <w:t xml:space="preserve">　　　　　　　　　　　</w:t>
      </w:r>
      <w:r>
        <w:rPr>
          <w:highlight w:val="none"/>
        </w:rPr>
      </w:r>
      <w:r/>
    </w:p>
    <w:p>
      <w:pPr>
        <w:pStyle w:val="90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ascii="宋体" w:hAnsi="宋体"/>
          <w:sz w:val="24"/>
          <w:szCs w:val="24"/>
          <w:highlight w:val="none"/>
          <w:u w:val="single"/>
        </w:rPr>
        <w:t xml:space="preserve">南京市栖霞区文澜路95号</w:t>
      </w:r>
      <w:r>
        <w:rPr>
          <w:rFonts w:hint="eastAsia" w:ascii="宋体" w:hAnsi="宋体"/>
          <w:sz w:val="24"/>
          <w:szCs w:val="24"/>
          <w:highlight w:val="none"/>
          <w:u w:val="single"/>
        </w:rPr>
        <w:t xml:space="preserve">　　　　　　　　　　　</w:t>
      </w:r>
      <w:r>
        <w:rPr>
          <w:highlight w:val="none"/>
        </w:rPr>
      </w:r>
      <w:r/>
    </w:p>
    <w:p>
      <w:pPr>
        <w:pStyle w:val="90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王老师                      </w:t>
      </w:r>
      <w:r>
        <w:rPr>
          <w:highlight w:val="none"/>
        </w:rPr>
      </w:r>
      <w:r/>
    </w:p>
    <w:p>
      <w:pPr>
        <w:pStyle w:val="905"/>
        <w:ind w:left="1079" w:hanging="300"/>
        <w:jc w:val="left"/>
        <w:spacing w:line="400" w:lineRule="exact"/>
        <w:rPr>
          <w:rFonts w:ascii="宋体" w:hAnsi="宋体"/>
          <w:sz w:val="24"/>
          <w:szCs w:val="24"/>
          <w:highlight w:val="yellow"/>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025-86435580　　　</w:t>
      </w:r>
      <w:r>
        <w:rPr>
          <w:rFonts w:hint="eastAsia" w:ascii="宋体" w:hAnsi="宋体"/>
          <w:sz w:val="24"/>
          <w:szCs w:val="24"/>
          <w:highlight w:val="yellow"/>
          <w:u w:val="single"/>
        </w:rPr>
        <w:t xml:space="preserve">　　　　　　　 </w:t>
      </w:r>
      <w:bookmarkStart w:id="40" w:name="_Toc28359009"/>
      <w:r/>
      <w:bookmarkStart w:id="41" w:name="_Toc28359086"/>
      <w:r>
        <w:rPr>
          <w:rFonts w:ascii="宋体" w:hAnsi="宋体"/>
          <w:sz w:val="24"/>
          <w:szCs w:val="24"/>
          <w:highlight w:val="yellow"/>
          <w:u w:val="single"/>
        </w:rPr>
      </w:r>
      <w:r/>
    </w:p>
    <w:p>
      <w:pPr>
        <w:pStyle w:val="90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05"/>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0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0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08"/>
        <w:ind w:firstLine="498"/>
        <w:spacing w:before="145" w:after="145" w:line="400" w:lineRule="exact"/>
      </w:pPr>
      <w:r/>
      <w:bookmarkEnd w:id="42"/>
      <w:r/>
      <w:bookmarkEnd w:id="43"/>
      <w:r>
        <w:rPr>
          <w:rFonts w:hint="eastAsia"/>
        </w:rPr>
        <w:t xml:space="preserve">八、其他</w:t>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0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8"/>
        <w:ind w:firstLine="498"/>
        <w:spacing w:before="145" w:after="145" w:line="400" w:lineRule="exact"/>
        <w:rPr>
          <w:rFonts w:hint="eastAsia"/>
        </w:rPr>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09"/>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09"/>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0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90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0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0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0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0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08"/>
        <w:ind w:firstLine="321"/>
        <w:spacing w:before="145" w:after="145"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0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09"/>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0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08"/>
        <w:ind w:firstLine="482"/>
        <w:spacing w:before="145" w:after="145" w:line="400" w:lineRule="exact"/>
        <w:rPr>
          <w:rFonts w:hint="eastAsia"/>
        </w:rPr>
      </w:pPr>
      <w:r/>
      <w:bookmarkStart w:id="79" w:name="_Toc20823285"/>
      <w:r/>
      <w:bookmarkStart w:id="80" w:name="_Toc462564072"/>
      <w:r/>
      <w:bookmarkStart w:id="81" w:name="_Toc16938529"/>
      <w:r/>
      <w:bookmarkStart w:id="82" w:name="_Toc513029213"/>
      <w:r/>
      <w:bookmarkStart w:id="83" w:name="_Toc120614216"/>
      <w:r>
        <w:rPr>
          <w:rFonts w:hint="eastAsia"/>
        </w:rPr>
        <w:t xml:space="preserve">三、投标文件的编制</w:t>
      </w:r>
      <w:bookmarkEnd w:id="79"/>
      <w:r/>
      <w:bookmarkEnd w:id="80"/>
      <w:r/>
      <w:bookmarkEnd w:id="81"/>
      <w:r/>
      <w:bookmarkEnd w:id="82"/>
      <w:r/>
      <w:bookmarkEnd w:id="83"/>
      <w:r>
        <w:rPr>
          <w:rFonts w:hint="eastAsia"/>
        </w:rPr>
      </w:r>
      <w:r/>
    </w:p>
    <w:p>
      <w:pPr>
        <w:pStyle w:val="909"/>
        <w:ind w:firstLine="560"/>
        <w:spacing w:before="0" w:after="0" w:line="400" w:lineRule="exact"/>
        <w:rPr>
          <w:rFonts w:hint="eastAsia"/>
          <w:bCs w:val="0"/>
        </w:rPr>
      </w:pPr>
      <w:r/>
      <w:bookmarkStart w:id="84" w:name="_Toc513029214"/>
      <w:r/>
      <w:bookmarkStart w:id="85" w:name="_Toc20823286"/>
      <w:r/>
      <w:bookmarkStart w:id="86" w:name="_Toc16938530"/>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0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09"/>
        <w:ind w:firstLine="420"/>
        <w:spacing w:before="0" w:after="0" w:line="400" w:lineRule="exact"/>
        <w:rPr>
          <w:rFonts w:hint="eastAsia"/>
          <w:b w:val="0"/>
          <w:bCs w:val="0"/>
        </w:rPr>
      </w:pPr>
      <w:r/>
      <w:bookmarkStart w:id="88" w:name="_Toc16938531"/>
      <w:r/>
      <w:bookmarkStart w:id="89" w:name="_Toc513029215"/>
      <w:r/>
      <w:bookmarkStart w:id="90" w:name="_Toc20823287"/>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0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0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09"/>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9"/>
      <w:r/>
      <w:bookmarkStart w:id="97" w:name="_Toc14577357"/>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0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0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0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9"/>
        <w:ind w:firstLine="420"/>
        <w:spacing w:before="0" w:after="0" w:line="400" w:lineRule="exact"/>
        <w:rPr>
          <w:rFonts w:hint="eastAsia"/>
          <w:b w:val="0"/>
          <w:bCs w:val="0"/>
        </w:rPr>
      </w:pPr>
      <w:r/>
      <w:bookmarkStart w:id="106" w:name="_Hlt26954848"/>
      <w:r/>
      <w:bookmarkEnd w:id="106"/>
      <w:r/>
      <w:bookmarkStart w:id="107" w:name="_Hlt26954844"/>
      <w:r/>
      <w:bookmarkEnd w:id="107"/>
      <w:r/>
      <w:bookmarkStart w:id="108" w:name="_Hlt26954842"/>
      <w:r/>
      <w:bookmarkEnd w:id="108"/>
      <w:r/>
      <w:bookmarkStart w:id="109" w:name="_Hlt26670482"/>
      <w:r/>
      <w:bookmarkEnd w:id="109"/>
      <w:r/>
      <w:bookmarkStart w:id="110" w:name="_Hlt26670425"/>
      <w:r/>
      <w:bookmarkEnd w:id="110"/>
      <w:r/>
      <w:bookmarkStart w:id="111" w:name="_Hlt26954846"/>
      <w:r/>
      <w:bookmarkEnd w:id="111"/>
      <w:r/>
      <w:bookmarkStart w:id="112" w:name="_Hlt26670403"/>
      <w:r/>
      <w:bookmarkEnd w:id="112"/>
      <w:r/>
      <w:bookmarkStart w:id="113" w:name="_Hlt26670486"/>
      <w:r/>
      <w:bookmarkEnd w:id="113"/>
      <w:r/>
      <w:bookmarkStart w:id="114" w:name="_Hlt26954731"/>
      <w:r/>
      <w:bookmarkEnd w:id="114"/>
      <w:r/>
      <w:bookmarkStart w:id="115" w:name="_Hlt2666898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0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0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0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0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9"/>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0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0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0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08"/>
        <w:ind w:firstLine="482"/>
        <w:spacing w:before="145" w:after="145" w:line="400" w:lineRule="exact"/>
        <w:rPr>
          <w:rFonts w:hint="eastAsia"/>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909"/>
        <w:ind w:firstLine="560"/>
        <w:spacing w:before="0" w:after="0" w:line="400" w:lineRule="exact"/>
        <w:rPr>
          <w:rFonts w:hint="eastAsia" w:ascii="黑体"/>
          <w:b w:val="0"/>
          <w:bCs w:val="0"/>
        </w:rPr>
      </w:pPr>
      <w:r/>
      <w:bookmarkStart w:id="129" w:name="_Toc20823297"/>
      <w:r/>
      <w:bookmarkStart w:id="130" w:name="_Toc513029225"/>
      <w:r/>
      <w:bookmarkStart w:id="131" w:name="_Toc16938541"/>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0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90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0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09"/>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0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09"/>
        <w:ind w:firstLine="420"/>
        <w:spacing w:before="0" w:after="0" w:line="400" w:lineRule="exact"/>
        <w:rPr>
          <w:rFonts w:hint="eastAsia"/>
          <w:b w:val="0"/>
          <w:bCs w:val="0"/>
        </w:rPr>
      </w:pPr>
      <w:r/>
      <w:bookmarkStart w:id="139" w:name="_Toc513029228"/>
      <w:r/>
      <w:bookmarkStart w:id="140" w:name="_Toc20823300"/>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0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0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0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0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08"/>
        <w:ind w:firstLine="482"/>
        <w:spacing w:before="145" w:after="145" w:line="400" w:lineRule="exact"/>
        <w:rPr>
          <w:rFonts w:hint="eastAsia"/>
        </w:rPr>
      </w:pPr>
      <w:r/>
      <w:bookmarkStart w:id="142" w:name="_Toc20823301"/>
      <w:r/>
      <w:bookmarkStart w:id="143" w:name="_Toc120614218"/>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09"/>
        <w:ind w:firstLine="420"/>
        <w:spacing w:before="0" w:after="0" w:line="400" w:lineRule="exact"/>
        <w:rPr>
          <w:rFonts w:hint="eastAsia"/>
          <w:b w:val="0"/>
          <w:bCs w:val="0"/>
        </w:rPr>
      </w:pPr>
      <w:r/>
      <w:bookmarkStart w:id="146" w:name="_Toc20823302"/>
      <w:r/>
      <w:bookmarkStart w:id="147" w:name="_Toc513029230"/>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0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9"/>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0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0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0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0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09"/>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0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09"/>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0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0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0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0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5"/>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65%</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65%</w:t>
      </w:r>
      <w:r>
        <w:rPr>
          <w:rFonts w:hint="eastAsia" w:ascii="方正魏碑_GBK" w:hAnsi="方正魏碑_GBK" w:eastAsia="方正魏碑_GBK" w:cs="方正魏碑_GBK"/>
          <w:color w:val="000000"/>
          <w:sz w:val="24"/>
          <w:highlight w:val="none"/>
        </w:rPr>
        <w:t xml:space="preserve">；</w:t>
      </w:r>
      <w:r>
        <w:rPr>
          <w:highlight w:val="none"/>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65%</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65%</w:t>
      </w:r>
      <w:r>
        <w:rPr>
          <w:rFonts w:hint="eastAsia" w:ascii="方正魏碑_GBK" w:hAnsi="方正魏碑_GBK" w:eastAsia="方正魏碑_GBK" w:cs="方正魏碑_GBK"/>
          <w:color w:val="000000"/>
          <w:sz w:val="24"/>
          <w:highlight w:val="none"/>
        </w:rPr>
        <w:t xml:space="preserve">；</w:t>
      </w:r>
      <w:r>
        <w:rPr>
          <w:highlight w:val="none"/>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90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90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0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0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05"/>
        <w:ind w:left="479"/>
        <w:spacing w:line="4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25.1无效投标条款</w:t>
      </w:r>
      <w:r>
        <w:rPr>
          <w:rFonts w:hint="eastAsia" w:ascii="宋体" w:hAnsi="宋体"/>
          <w:bCs/>
          <w:sz w:val="24"/>
        </w:rPr>
      </w:r>
      <w:r/>
    </w:p>
    <w:p>
      <w:pPr>
        <w:pStyle w:val="90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0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0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0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0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0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0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0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0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0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0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0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0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90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90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90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0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8"/>
        <w:spacing w:before="145" w:after="145" w:line="400" w:lineRule="exact"/>
        <w:rPr>
          <w:rFonts w:hint="eastAsia"/>
        </w:rPr>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Pr>
          <w:rFonts w:hint="eastAsia"/>
        </w:rPr>
      </w:r>
      <w:r/>
    </w:p>
    <w:p>
      <w:pPr>
        <w:pStyle w:val="909"/>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0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0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09"/>
        <w:ind w:firstLine="600"/>
        <w:spacing w:before="0" w:after="0" w:line="400" w:lineRule="exact"/>
        <w:rPr>
          <w:rFonts w:ascii="黑体" w:hAnsi="宋体"/>
          <w:b w:val="0"/>
          <w:sz w:val="30"/>
          <w:szCs w:val="30"/>
        </w:rPr>
      </w:pPr>
      <w:r/>
      <w:bookmarkEnd w:id="173"/>
      <w:r/>
      <w:bookmarkEnd w:id="174"/>
      <w:r/>
      <w:bookmarkEnd w:id="175"/>
      <w:r/>
      <w:bookmarkStart w:id="176" w:name="_Toc20823314"/>
      <w:r/>
      <w:bookmarkStart w:id="177" w:name="_Toc513029242"/>
      <w:r/>
      <w:bookmarkStart w:id="178" w:name="_Toc120614221"/>
      <w:r/>
      <w:bookmarkStart w:id="179" w:name="_Toc479757207"/>
      <w:r/>
      <w:bookmarkStart w:id="180" w:name="_Toc16938558"/>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84"/>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84"/>
        <w:spacing w:line="400" w:lineRule="exact"/>
        <w:rPr>
          <w:rFonts w:hint="eastAsia" w:ascii="宋体" w:hAnsi="宋体"/>
          <w:bCs/>
          <w:sz w:val="24"/>
        </w:rPr>
      </w:pPr>
      <w:r>
        <w:rPr>
          <w:rFonts w:hint="eastAsia" w:ascii="宋体" w:hAnsi="宋体"/>
          <w:bCs/>
          <w:sz w:val="24"/>
        </w:rPr>
      </w:r>
      <w:r/>
    </w:p>
    <w:p>
      <w:pPr>
        <w:pStyle w:val="984"/>
        <w:spacing w:line="400" w:lineRule="exact"/>
        <w:rPr>
          <w:rFonts w:hint="eastAsia" w:ascii="宋体" w:hAnsi="宋体"/>
          <w:bCs/>
          <w:sz w:val="24"/>
        </w:rPr>
      </w:pPr>
      <w:r>
        <w:rPr>
          <w:rFonts w:hint="eastAsia" w:ascii="宋体" w:hAnsi="宋体"/>
          <w:bCs/>
          <w:sz w:val="24"/>
        </w:rPr>
      </w:r>
      <w:r/>
    </w:p>
    <w:p>
      <w:pPr>
        <w:pStyle w:val="984"/>
        <w:spacing w:line="400" w:lineRule="exact"/>
        <w:rPr>
          <w:rFonts w:hint="eastAsia" w:ascii="宋体" w:hAnsi="宋体"/>
          <w:bCs/>
          <w:sz w:val="24"/>
        </w:rPr>
      </w:pPr>
      <w:r>
        <w:rPr>
          <w:rFonts w:hint="eastAsia" w:ascii="宋体" w:hAnsi="宋体"/>
          <w:bCs/>
          <w:sz w:val="24"/>
        </w:rPr>
      </w:r>
      <w:r/>
    </w:p>
    <w:p>
      <w:pPr>
        <w:pStyle w:val="984"/>
        <w:spacing w:line="400" w:lineRule="exact"/>
        <w:rPr>
          <w:rFonts w:hint="eastAsia" w:ascii="宋体" w:hAnsi="宋体"/>
          <w:bCs/>
          <w:sz w:val="24"/>
        </w:rPr>
      </w:pPr>
      <w:r>
        <w:rPr>
          <w:rFonts w:hint="eastAsia" w:ascii="宋体" w:hAnsi="宋体"/>
          <w:bCs/>
          <w:sz w:val="24"/>
        </w:rPr>
      </w:r>
      <w:r/>
    </w:p>
    <w:p>
      <w:pPr>
        <w:pStyle w:val="984"/>
        <w:spacing w:line="400" w:lineRule="exact"/>
        <w:rPr>
          <w:rFonts w:hint="eastAsia" w:ascii="宋体" w:hAnsi="宋体"/>
          <w:bCs/>
          <w:sz w:val="24"/>
        </w:rPr>
      </w:pPr>
      <w:r>
        <w:rPr>
          <w:rFonts w:hint="eastAsia" w:ascii="宋体" w:hAnsi="宋体"/>
          <w:bCs/>
          <w:sz w:val="24"/>
        </w:rPr>
      </w:r>
      <w:r/>
    </w:p>
    <w:p>
      <w:pPr>
        <w:pStyle w:val="90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0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90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0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0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0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8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8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8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8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8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8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8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8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8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8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8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8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8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8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8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8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8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8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8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8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8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8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8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8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8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90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0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0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0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8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8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8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8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8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82"/>
        <w:jc w:val="center"/>
        <w:spacing w:before="120" w:after="120" w:line="0" w:lineRule="atLeast"/>
      </w:pPr>
      <w:r>
        <w:rPr>
          <w:rFonts w:hint="eastAsia"/>
        </w:rPr>
        <w:t xml:space="preserve">                                         </w:t>
      </w:r>
      <w:r/>
    </w:p>
    <w:p>
      <w:pPr>
        <w:pStyle w:val="982"/>
        <w:jc w:val="right"/>
        <w:spacing w:before="120" w:after="120" w:line="0" w:lineRule="atLeast"/>
        <w:rPr>
          <w:sz w:val="24"/>
          <w:szCs w:val="24"/>
        </w:rPr>
      </w:pPr>
      <w:r>
        <w:rPr>
          <w:rFonts w:hint="eastAsia"/>
          <w:sz w:val="24"/>
          <w:szCs w:val="24"/>
        </w:rPr>
        <w:t xml:space="preserve"> </w:t>
      </w:r>
      <w:r>
        <w:rPr>
          <w:sz w:val="24"/>
          <w:szCs w:val="24"/>
        </w:rPr>
      </w:r>
      <w:r/>
    </w:p>
    <w:p>
      <w:pPr>
        <w:pStyle w:val="98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82"/>
        <w:ind w:firstLine="562"/>
        <w:spacing w:before="120" w:after="120" w:line="560" w:lineRule="exact"/>
        <w:rPr>
          <w:rFonts w:hint="eastAsia" w:hAnsi="宋体" w:cs="宋体"/>
          <w:bCs/>
          <w:sz w:val="24"/>
          <w:szCs w:val="24"/>
        </w:rPr>
      </w:pPr>
      <w:r/>
      <w:bookmarkStart w:id="191" w:name="_Toc26554093"/>
      <w:r/>
      <w:bookmarkStart w:id="192" w:name="_Toc49090575"/>
      <w:r>
        <w:rPr>
          <w:rFonts w:hint="eastAsia" w:hAnsi="宋体" w:cs="宋体"/>
          <w:b/>
          <w:sz w:val="28"/>
          <w:szCs w:val="28"/>
        </w:rPr>
        <w:t xml:space="preserve">一、采购标的清单</w:t>
      </w:r>
      <w:r>
        <w:rPr>
          <w:rFonts w:hint="eastAsia"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78"/>
        <w:gridCol w:w="3511"/>
        <w:gridCol w:w="2729"/>
      </w:tblGrid>
      <w:tr>
        <w:trPr>
          <w:cantSplit/>
          <w:trHeight w:val="701"/>
        </w:trPr>
        <w:tc>
          <w:tcPr>
            <w:tcW w:w="79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采购</w:t>
            </w:r>
            <w:r>
              <w:rPr>
                <w:rFonts w:hint="eastAsia" w:ascii="宋体" w:hAnsi="宋体" w:cs="宋体"/>
                <w:sz w:val="24"/>
                <w:szCs w:val="24"/>
              </w:rPr>
            </w:r>
            <w:r/>
          </w:p>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包号</w:t>
            </w:r>
            <w:r>
              <w:rPr>
                <w:rFonts w:hint="eastAsia" w:ascii="宋体" w:hAnsi="宋体" w:cs="宋体"/>
                <w:sz w:val="24"/>
                <w:szCs w:val="24"/>
              </w:rPr>
            </w:r>
            <w:r/>
          </w:p>
        </w:tc>
        <w:tc>
          <w:tcPr>
            <w:tcW w:w="978"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51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729"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291"/>
        </w:trPr>
        <w:tc>
          <w:tcPr>
            <w:tcW w:w="79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W w:w="978"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sz w:val="24"/>
                <w:szCs w:val="24"/>
              </w:rPr>
              <w:t xml:space="preserve">1</w:t>
            </w:r>
            <w:r>
              <w:rPr>
                <w:rFonts w:hint="eastAsia" w:ascii="宋体" w:hAnsi="宋体" w:cs="宋体"/>
                <w:sz w:val="24"/>
                <w:szCs w:val="24"/>
              </w:rPr>
            </w:r>
            <w:r/>
          </w:p>
        </w:tc>
        <w:tc>
          <w:tcPr>
            <w:tcW w:w="3511" w:type="dxa"/>
            <w:vAlign w:val="center"/>
            <w:textDirection w:val="lrTb"/>
            <w:noWrap w:val="false"/>
          </w:tcPr>
          <w:p>
            <w:pPr>
              <w:pStyle w:val="905"/>
              <w:jc w:val="center"/>
              <w:spacing w:line="0" w:lineRule="atLeast"/>
              <w:tabs>
                <w:tab w:val="left" w:pos="2020" w:leader="none"/>
              </w:tabs>
              <w:rPr>
                <w:rFonts w:hint="eastAsia" w:ascii="宋体" w:hAnsi="宋体" w:cs="宋体"/>
                <w:sz w:val="24"/>
                <w:szCs w:val="24"/>
              </w:rPr>
            </w:pPr>
            <w:r>
              <w:rPr>
                <w:rFonts w:hint="eastAsia" w:ascii="宋体" w:hAnsi="宋体" w:cs="宋体"/>
                <w:sz w:val="24"/>
                <w:szCs w:val="24"/>
                <w:lang w:bidi="ar"/>
              </w:rPr>
              <w:t xml:space="preserve">江苏省碳数据计量及追溯平台建设项目</w:t>
            </w:r>
            <w:r>
              <w:rPr>
                <w:rFonts w:hint="eastAsia" w:ascii="宋体" w:hAnsi="宋体" w:cs="宋体"/>
                <w:sz w:val="24"/>
                <w:szCs w:val="24"/>
              </w:rPr>
            </w:r>
            <w:r/>
          </w:p>
        </w:tc>
        <w:tc>
          <w:tcPr>
            <w:tcW w:w="2729" w:type="dxa"/>
            <w:vAlign w:val="center"/>
            <w:textDirection w:val="lrTb"/>
            <w:noWrap w:val="false"/>
          </w:tcPr>
          <w:p>
            <w:pPr>
              <w:pStyle w:val="905"/>
              <w:jc w:val="center"/>
              <w:spacing w:line="0" w:lineRule="atLeast"/>
              <w:rPr>
                <w:rFonts w:hint="eastAsia" w:ascii="宋体" w:hAnsi="宋体" w:cs="宋体"/>
                <w:color w:val="000000"/>
                <w:sz w:val="24"/>
                <w:szCs w:val="24"/>
              </w:rPr>
            </w:pPr>
            <w:r>
              <w:rPr>
                <w:rFonts w:hint="eastAsia" w:ascii="宋体" w:hAnsi="宋体" w:cs="宋体"/>
                <w:sz w:val="24"/>
                <w:szCs w:val="24"/>
                <w:lang w:bidi="ar"/>
              </w:rPr>
              <w:t xml:space="preserve">软件和信息技术服务业</w:t>
            </w:r>
            <w:r>
              <w:rPr>
                <w:rFonts w:hint="eastAsia" w:ascii="宋体" w:hAnsi="宋体" w:cs="宋体"/>
                <w:color w:val="000000"/>
                <w:sz w:val="24"/>
                <w:szCs w:val="24"/>
              </w:rPr>
            </w:r>
            <w:r/>
          </w:p>
        </w:tc>
      </w:tr>
    </w:tbl>
    <w:p>
      <w:pPr>
        <w:pStyle w:val="905"/>
        <w:ind w:firstLine="480"/>
        <w:spacing w:line="560" w:lineRule="exact"/>
        <w:rPr>
          <w:rFonts w:hint="eastAsia" w:ascii="宋体" w:hAnsi="宋体" w:cs="宋体"/>
          <w:sz w:val="24"/>
          <w:szCs w:val="24"/>
          <w:highlight w:val="yellow"/>
        </w:rPr>
      </w:pPr>
      <w:r>
        <w:rPr>
          <w:rFonts w:hint="eastAsia" w:ascii="宋体" w:hAnsi="宋体" w:cs="宋体"/>
          <w:sz w:val="24"/>
          <w:szCs w:val="24"/>
          <w:highlight w:val="yellow"/>
        </w:rPr>
      </w:r>
      <w:r/>
    </w:p>
    <w:p>
      <w:pPr>
        <w:pStyle w:val="90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90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90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90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90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82"/>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90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1009"/>
        <w:rPr>
          <w:b w:val="0"/>
          <w:bCs w:val="0"/>
        </w:rPr>
      </w:pPr>
      <w:r/>
      <w:bookmarkStart w:id="193" w:name="_Toc32306"/>
      <w:r>
        <w:rPr>
          <w:rFonts w:hint="eastAsia"/>
        </w:rPr>
        <w:t xml:space="preserve">（一）能碳数据计量系统</w:t>
      </w:r>
      <w:bookmarkEnd w:id="193"/>
      <w:r>
        <w:rPr>
          <w:b w:val="0"/>
          <w:bCs w:val="0"/>
        </w:rPr>
      </w:r>
      <w:r/>
    </w:p>
    <w:p>
      <w:pPr>
        <w:pStyle w:val="991"/>
      </w:pPr>
      <w:r>
        <w:rPr>
          <w:rFonts w:hint="eastAsia" w:eastAsia="宋体"/>
        </w:rPr>
        <w:t xml:space="preserve">1、</w:t>
      </w:r>
      <w:r>
        <w:rPr>
          <w:rFonts w:hint="eastAsia"/>
        </w:rPr>
        <w:t xml:space="preserve">能源计量管理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（1）能源计量接入。对接全省可接入的各类能源计量设备，实现能源消耗数据的实时采集、自动上传，支持对计量采集设备进行状态监控，对采集信号中断等异常进行报警。</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计量设备管理。建立能源计量设备台账，收集并存储全省接入的各类能源计量设备的信息，为接入的能源计量设备赋予唯一的编码，便于快速定位计量点位及对应的数据表；支持登记设备的计量器具计量评价等类型证书，并与设备绑定，提高计量设备可信度。（本项需提供系统截图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源计量接入设备统计。支持自动统计不同区域、不同行业接入的能源计量设备数量、设备类型分布、运行状态分布、接入率等数据，生成统计报表，支持按时间切换查看，为设备统筹管理及数据分析提供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（4）能源平台对接。对接能源计量平台及其他相关平台，实现能源计量数据接入。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（5）数据治理。支持采集的异常数据进行处理，并对异常值进行剔除；支持空缺数据补全及重复数据去重处理。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（6）能源计量台账管理。对表计接入及系统对接采集的能耗数据进行汇总整理，按不同维度生成能源消耗报表，支持数据查询、导出、分析，实现全省能源数据集中采集及统一管理。</w:t>
      </w:r>
      <w:r/>
    </w:p>
    <w:p>
      <w:pPr>
        <w:pStyle w:val="905"/>
        <w:ind w:firstLine="480"/>
        <w:spacing w:line="360" w:lineRule="auto"/>
        <w:rPr>
          <w:rFonts w:cs="宋体"/>
          <w:sz w:val="24"/>
          <w:szCs w:val="24"/>
          <w:lang w:bidi="ar"/>
        </w:rPr>
      </w:pPr>
      <w:r>
        <w:rPr>
          <w:rFonts w:cs="宋体"/>
          <w:sz w:val="24"/>
          <w:szCs w:val="24"/>
          <w:lang w:bidi="ar"/>
        </w:rPr>
      </w:r>
      <w:r/>
    </w:p>
    <w:p>
      <w:pPr>
        <w:pStyle w:val="991"/>
      </w:pPr>
      <w:r>
        <w:rPr>
          <w:rFonts w:hint="eastAsia" w:eastAsia="宋体"/>
        </w:rPr>
        <w:t xml:space="preserve">2、</w:t>
      </w:r>
      <w:r>
        <w:rPr>
          <w:rFonts w:hint="eastAsia"/>
        </w:rPr>
        <w:t xml:space="preserve">碳计量管理</w:t>
      </w:r>
      <w:r/>
    </w:p>
    <w:p>
      <w:pPr>
        <w:pStyle w:val="905"/>
        <w:ind w:firstLine="480"/>
        <w:spacing w:line="360" w:lineRule="auto"/>
        <w:rPr>
          <w:rFonts w:cs="宋体"/>
          <w:sz w:val="24"/>
          <w:szCs w:val="24"/>
          <w:lang w:bidi="ar"/>
        </w:rPr>
      </w:pPr>
      <w:r>
        <w:rPr>
          <w:rFonts w:hint="eastAsia" w:cs="宋体"/>
          <w:sz w:val="24"/>
          <w:szCs w:val="24"/>
          <w:lang w:bidi="ar"/>
        </w:rPr>
        <w:t xml:space="preserve">（7）碳计量设备接入。根据碳计量监测设备的现场采集条件，支持物联网接入网关、手动录入、批量导入的多种方式，实现全省各类碳计量设备的接入。</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（8）碳计量设备管理。支持为每台接入的碳计量监测设备建立唯一档案，支持对设备档案信息进行编辑、更新、查询及导出，实现设备全生命周期档案管理。</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（9）▲</w:t>
      </w:r>
      <w:r>
        <w:rPr>
          <w:rFonts w:hint="eastAsia" w:cs="宋体"/>
          <w:sz w:val="24"/>
          <w:szCs w:val="24"/>
          <w:vertAlign w:val="superscript"/>
          <w:lang w:bidi="ar"/>
        </w:rPr>
        <w:t xml:space="preserve">[2]</w:t>
      </w:r>
      <w:r>
        <w:rPr>
          <w:rFonts w:hint="eastAsia" w:cs="宋体"/>
          <w:sz w:val="24"/>
          <w:szCs w:val="24"/>
          <w:lang w:bidi="ar"/>
        </w:rPr>
        <w:t xml:space="preserve">碳计量接入设备统计。自动统计全省、各地区、各行业接入的碳计量直接监测设备数量、设备类型分布、运行状态分布、接入率等数据，并生成数据统计报表，为设备统筹管理及数据分析提供数据支撑。（本项需提供系统截图证明）</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10）碳计量校准管理。根据标准化校验流程，开展计量校准的全流程管理和数据留痕，支持上传校验报告维护校验信息，查看校验过程及异常处理措施等相关的材料，对异常预警数据进行修正复核，实现计量数据追溯。</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（11）碳计量台账管理。汇聚计量接入采集的碳排放数据进行统一管理，支持按不同维度生成碳排放监测数据报表，支持数据查询、导出、分析。</w:t>
      </w:r>
      <w:r>
        <w:rPr>
          <w:rFonts w:hint="eastAsia" w:cs="宋体"/>
          <w:sz w:val="24"/>
          <w:szCs w:val="24"/>
          <w:lang w:bidi="ar"/>
        </w:rPr>
      </w:r>
      <w:r/>
    </w:p>
    <w:p>
      <w:pPr>
        <w:pStyle w:val="991"/>
        <w:rPr>
          <w:rFonts w:hint="eastAsia" w:cs="宋体"/>
          <w:sz w:val="24"/>
          <w:szCs w:val="24"/>
          <w:lang w:bidi="ar"/>
        </w:rPr>
      </w:pPr>
      <w:r>
        <w:rPr>
          <w:rFonts w:hint="eastAsia" w:eastAsia="宋体"/>
        </w:rPr>
        <w:t xml:space="preserve">3、</w:t>
      </w:r>
      <w:r>
        <w:rPr>
          <w:rFonts w:hint="eastAsia"/>
        </w:rPr>
        <w:t xml:space="preserve">统一计量台账</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（12）分类台账管理。根据计量数据类型等特征，建立计量类型分类台账、企业分类台账、行业分类台账、区域分类台账、时间分类台账。</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（13）台账数据统计。支持针对各类台账开展多维度统计、自定义统计及统计预警。</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（14）</w:t>
      </w:r>
      <w:bookmarkStart w:id="194" w:name="OLE_LINK8"/>
      <w:r>
        <w:rPr>
          <w:rFonts w:hint="eastAsia" w:cs="宋体"/>
          <w:sz w:val="24"/>
          <w:szCs w:val="24"/>
          <w:lang w:bidi="ar"/>
        </w:rPr>
        <w:t xml:space="preserve">台账数据管理。支持台账数据查询，满足多条件组合查询及关键词快速匹配查询；支持5年内的历史计量数据的留存及数据查询。</w:t>
      </w:r>
      <w:r>
        <w:rPr>
          <w:rFonts w:hint="eastAsia" w:cs="宋体"/>
          <w:sz w:val="24"/>
          <w:szCs w:val="24"/>
          <w:lang w:bidi="ar"/>
        </w:rPr>
      </w:r>
      <w:r/>
    </w:p>
    <w:p>
      <w:pPr>
        <w:pStyle w:val="1009"/>
        <w:rPr>
          <w:rFonts w:hint="eastAsia"/>
        </w:rPr>
      </w:pPr>
      <w:r>
        <w:rPr>
          <w:rFonts w:hint="eastAsia"/>
        </w:rPr>
        <w:t xml:space="preserve">（二）能碳计量溯源系统</w:t>
      </w:r>
      <w:r>
        <w:rPr>
          <w:rFonts w:hint="eastAsia"/>
        </w:rPr>
      </w:r>
      <w:r/>
    </w:p>
    <w:p>
      <w:pPr>
        <w:pStyle w:val="991"/>
        <w:rPr>
          <w:rFonts w:eastAsia="宋体"/>
        </w:rPr>
      </w:pPr>
      <w:r>
        <w:rPr>
          <w:rFonts w:hint="eastAsia" w:eastAsia="宋体"/>
        </w:rPr>
        <w:t xml:space="preserve">1、区块链溯源应用</w:t>
      </w:r>
      <w:r>
        <w:rPr>
          <w:rFonts w:eastAsia="宋体"/>
        </w:rPr>
      </w:r>
      <w:r/>
    </w:p>
    <w:p>
      <w:pPr>
        <w:pStyle w:val="980"/>
      </w:pPr>
      <w:r/>
      <w:r/>
    </w:p>
    <w:p>
      <w:pPr>
        <w:pStyle w:val="905"/>
        <w:ind w:firstLine="420"/>
        <w:spacing w:line="360" w:lineRule="auto"/>
        <w:rPr>
          <w:rFonts w:cs="宋体"/>
          <w:sz w:val="24"/>
          <w:szCs w:val="24"/>
          <w:lang w:bidi="ar"/>
        </w:rPr>
      </w:pPr>
      <w:r>
        <w:rPr>
          <w:rFonts w:hint="eastAsia" w:cs="宋体"/>
          <w:sz w:val="24"/>
          <w:szCs w:val="24"/>
          <w:lang w:bidi="ar"/>
        </w:rPr>
        <w:t xml:space="preserve">（15）区块链存证上链。采用区块链技术，支持将系统生成的报告及关键核算数据上链存证，支持数据格式校验和逻辑校验的双重验证。</w:t>
      </w:r>
      <w:r>
        <w:rPr>
          <w:rFonts w:cs="宋体"/>
          <w:sz w:val="24"/>
          <w:szCs w:val="24"/>
          <w:lang w:bidi="ar"/>
        </w:rPr>
      </w:r>
      <w:r/>
    </w:p>
    <w:p>
      <w:pPr>
        <w:pStyle w:val="905"/>
        <w:ind w:firstLine="420"/>
        <w:spacing w:line="360" w:lineRule="auto"/>
        <w:rPr>
          <w:rFonts w:hint="eastAsia" w:cs="宋体"/>
          <w:sz w:val="24"/>
          <w:szCs w:val="24"/>
          <w:lang w:bidi="ar"/>
        </w:rPr>
      </w:pPr>
      <w:r>
        <w:rPr>
          <w:rFonts w:hint="eastAsia" w:cs="宋体"/>
          <w:sz w:val="24"/>
          <w:szCs w:val="24"/>
          <w:lang w:bidi="ar"/>
        </w:rPr>
        <w:t xml:space="preserve">（16）▲</w:t>
      </w:r>
      <w:r>
        <w:rPr>
          <w:rFonts w:hint="eastAsia" w:cs="宋体"/>
          <w:sz w:val="24"/>
          <w:szCs w:val="24"/>
          <w:vertAlign w:val="superscript"/>
          <w:lang w:bidi="ar"/>
        </w:rPr>
        <w:t xml:space="preserve">[3]</w:t>
      </w:r>
      <w:r>
        <w:rPr>
          <w:rFonts w:hint="eastAsia" w:cs="宋体"/>
          <w:sz w:val="24"/>
          <w:szCs w:val="24"/>
          <w:lang w:bidi="ar"/>
        </w:rPr>
        <w:t xml:space="preserve">存证信息查询。存证完成后，平台向用户返回存证凭证，作为数据存证的证明，支持通过报告名称、上链时间等条件对存证信息进行检索查询。（本项需提供系统截图证明）</w:t>
      </w:r>
      <w:r>
        <w:rPr>
          <w:rFonts w:hint="eastAsia" w:cs="宋体"/>
          <w:sz w:val="24"/>
          <w:szCs w:val="24"/>
          <w:lang w:bidi="ar"/>
        </w:rPr>
      </w:r>
      <w:r/>
    </w:p>
    <w:p>
      <w:pPr>
        <w:pStyle w:val="991"/>
        <w:rPr>
          <w:rFonts w:cs="宋体"/>
          <w:sz w:val="24"/>
          <w:szCs w:val="24"/>
          <w:lang w:bidi="ar"/>
        </w:rPr>
      </w:pPr>
      <w:r>
        <w:rPr>
          <w:rFonts w:hint="eastAsia" w:eastAsia="宋体"/>
        </w:rPr>
        <w:t xml:space="preserve">2、能源计量审查应用</w:t>
      </w:r>
      <w:r>
        <w:rPr>
          <w:rFonts w:cs="宋体"/>
          <w:sz w:val="24"/>
          <w:szCs w:val="24"/>
          <w:lang w:bidi="ar"/>
        </w:rPr>
      </w:r>
      <w:r/>
    </w:p>
    <w:p>
      <w:pPr>
        <w:pStyle w:val="905"/>
        <w:ind w:firstLine="480"/>
        <w:spacing w:line="360" w:lineRule="auto"/>
        <w:rPr>
          <w:rFonts w:cs="宋体"/>
          <w:sz w:val="24"/>
          <w:szCs w:val="24"/>
          <w:lang w:bidi="ar"/>
        </w:rPr>
      </w:pPr>
      <w:r/>
      <w:bookmarkEnd w:id="194"/>
      <w:r>
        <w:rPr>
          <w:rFonts w:hint="eastAsia" w:cs="宋体"/>
          <w:sz w:val="24"/>
          <w:szCs w:val="24"/>
          <w:lang w:bidi="ar"/>
        </w:rPr>
        <w:t xml:space="preserve">（17）企业信息管理。支持企业在线维护自身的基础信息，包含企业基本信息、行业类型、年度综合能耗等信息，支持修改及信息更新。</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（18）能源计量管理。支持企业在线维护能源计量相关的管理制度体系，便于了解能源计量管理目标。</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（19）能源计量审查边界确定。支持在线选定企业的审查边界，配置审查年份及计量设备等信息，建立满足审查要求的边界配置</w:t>
      </w:r>
      <w:r>
        <w:rPr>
          <w:rFonts w:cs="宋体"/>
          <w:sz w:val="24"/>
          <w:szCs w:val="24"/>
          <w:lang w:bidi="ar"/>
        </w:rPr>
        <w:t xml:space="preserve">。</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（20）审查内容台账建立。建立能源计量器具配备、能源计量器具管理、能源计量数据、能源计量人员等台账，支持手动补录并查询下载，以满足审查资料支撑要求。</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（21）▲</w:t>
      </w:r>
      <w:r>
        <w:rPr>
          <w:rFonts w:hint="eastAsia" w:cs="宋体"/>
          <w:sz w:val="24"/>
          <w:szCs w:val="24"/>
          <w:vertAlign w:val="superscript"/>
          <w:lang w:bidi="ar"/>
        </w:rPr>
        <w:t xml:space="preserve">[4]</w:t>
      </w:r>
      <w:r>
        <w:rPr>
          <w:rFonts w:hint="eastAsia" w:cs="宋体"/>
          <w:sz w:val="24"/>
          <w:szCs w:val="24"/>
          <w:lang w:bidi="ar"/>
        </w:rPr>
        <w:t xml:space="preserve">企业自查管理。基于审核规范要求，支持企业开展自查评定（符合、不符合、不适用），并根据自查情况进行整改，上传凭证资料维护整改内容。</w:t>
      </w:r>
      <w:r>
        <w:rPr>
          <w:rFonts w:ascii="宋体" w:hAnsi="宋体" w:cs="宋体"/>
          <w:sz w:val="24"/>
          <w:szCs w:val="24"/>
        </w:rPr>
        <w:t xml:space="preserve">（本项需提供系统截图证明）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（22）自查报告管理。内置自查报告模板，基于企业自查内容和整改情况，自动生成自查报告，支持在线预览及下载。</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（23）审查申请与进度跟踪。支持企业一键发送审查申请给到审核人员，动态跟踪计量审查进度，同步最终审查报告，支持报告预览及下载。</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（24）审查任务管理。为审核人员提供审查任务创建、审查任务分配、审查进度跟着、审查资料管理等功能。</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（25）审查资料管理。提供对线上审核、线下审查所产生的审查及整改资料的统一维护、上传、查看及下载功能。</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（26）现场审查管理。支持审查人员在开展线下审查前，上传具体的审查计划已通知企业，支持对现场审查的资料、照片等材料的上传。</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（27）报告生成与管理。内置计量审查报告模板，依据JJF1356的报告要求，生成初版的能源计量审查报告，支持合规审查报告的回传。</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（28）能源计量审查统计分析。基于能源计量审查结果开展审查完成结论、不符合项分类、分行业合规等维度的数据统计分析。</w:t>
      </w:r>
      <w:r>
        <w:rPr>
          <w:rFonts w:hint="eastAsia" w:cs="宋体"/>
          <w:sz w:val="24"/>
          <w:szCs w:val="24"/>
          <w:lang w:bidi="ar"/>
        </w:rPr>
      </w:r>
      <w:r/>
    </w:p>
    <w:p>
      <w:pPr>
        <w:pStyle w:val="991"/>
        <w:rPr>
          <w:rFonts w:hint="eastAsia"/>
        </w:rPr>
      </w:pPr>
      <w:r>
        <w:rPr>
          <w:rFonts w:hint="eastAsia" w:eastAsia="宋体"/>
        </w:rPr>
        <w:t xml:space="preserve">3、</w:t>
      </w:r>
      <w:r>
        <w:rPr>
          <w:rFonts w:hint="eastAsia"/>
        </w:rPr>
        <w:t xml:space="preserve">碳计量审查应用</w:t>
      </w:r>
      <w:r>
        <w:rPr>
          <w:rFonts w:hint="eastAsia"/>
        </w:rPr>
      </w:r>
      <w:r/>
    </w:p>
    <w:p>
      <w:pPr>
        <w:pStyle w:val="905"/>
        <w:ind w:firstLine="480"/>
        <w:spacing w:line="360" w:lineRule="auto"/>
        <w:rPr>
          <w:rFonts w:cs="宋体"/>
          <w:sz w:val="24"/>
          <w:szCs w:val="24"/>
          <w:lang w:bidi="ar"/>
        </w:rPr>
      </w:pPr>
      <w:r>
        <w:rPr>
          <w:rFonts w:hint="eastAsia" w:cs="宋体"/>
          <w:sz w:val="24"/>
          <w:szCs w:val="24"/>
          <w:lang w:bidi="ar"/>
        </w:rPr>
        <w:t xml:space="preserve">（29）碳计量管理。支持企业在线维护碳计量相关的管理制度体系，便于了解碳计量管理目标等。</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（30）▲</w:t>
      </w:r>
      <w:r>
        <w:rPr>
          <w:rFonts w:hint="eastAsia" w:cs="宋体"/>
          <w:sz w:val="24"/>
          <w:szCs w:val="24"/>
          <w:vertAlign w:val="superscript"/>
          <w:lang w:bidi="ar"/>
        </w:rPr>
        <w:t xml:space="preserve">[5]</w:t>
      </w:r>
      <w:r>
        <w:rPr>
          <w:rFonts w:hint="eastAsia" w:cs="宋体"/>
          <w:sz w:val="24"/>
          <w:szCs w:val="24"/>
          <w:lang w:bidi="ar"/>
        </w:rPr>
        <w:t xml:space="preserve">碳计量审查边界确定。内置审查边界范围，支持对企业的碳计量审查边界审查年份等信息进行维护，从而建立企业的碳计量审核边界。</w:t>
      </w:r>
      <w:r>
        <w:rPr>
          <w:rFonts w:ascii="宋体" w:hAnsi="宋体" w:cs="宋体"/>
          <w:sz w:val="24"/>
          <w:szCs w:val="24"/>
        </w:rPr>
        <w:t xml:space="preserve">（本项需提供系统截图证明）</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（31）碳计量审查内容台账。提供碳计量器具配备、碳计量器具管理、碳排放计量数据管理制度台账、计量人员台账等信息的统一管理。</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（32）线上辅助自查。内置审查记录表格式，支持企业调用审查内容台账展自查评定。</w:t>
      </w:r>
      <w:r>
        <w:rPr>
          <w:rFonts w:hint="eastAsia"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（3</w:t>
      </w:r>
      <w:r>
        <w:rPr>
          <w:rFonts w:hint="eastAsia" w:cs="宋体"/>
          <w:sz w:val="24"/>
          <w:szCs w:val="24"/>
          <w:lang w:bidi="ar"/>
        </w:rPr>
        <w:t xml:space="preserve">3</w:t>
      </w:r>
      <w:r>
        <w:rPr>
          <w:rFonts w:cs="宋体"/>
          <w:sz w:val="24"/>
          <w:szCs w:val="24"/>
          <w:lang w:bidi="ar"/>
        </w:rPr>
        <w:t xml:space="preserve">）自查整改管理</w:t>
      </w:r>
      <w:r>
        <w:rPr>
          <w:rFonts w:hint="eastAsia" w:cs="宋体"/>
          <w:sz w:val="24"/>
          <w:szCs w:val="24"/>
          <w:lang w:bidi="ar"/>
        </w:rPr>
        <w:t xml:space="preserve">。支持跟踪企业自查过程，不满足项支持线下整改后，手动调整相关自查信息并上传整改凭证资料，便于直接跟踪整改过程。</w:t>
      </w:r>
      <w:r>
        <w:rPr>
          <w:rFonts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（3</w:t>
      </w:r>
      <w:r>
        <w:rPr>
          <w:rFonts w:hint="eastAsia" w:cs="宋体"/>
          <w:sz w:val="24"/>
          <w:szCs w:val="24"/>
          <w:lang w:bidi="ar"/>
        </w:rPr>
        <w:t xml:space="preserve">4</w:t>
      </w:r>
      <w:r>
        <w:rPr>
          <w:rFonts w:cs="宋体"/>
          <w:sz w:val="24"/>
          <w:szCs w:val="24"/>
          <w:lang w:bidi="ar"/>
        </w:rPr>
        <w:t xml:space="preserve">）</w:t>
      </w:r>
      <w:r>
        <w:rPr>
          <w:rFonts w:hint="eastAsia" w:cs="宋体"/>
          <w:sz w:val="24"/>
          <w:szCs w:val="24"/>
          <w:lang w:bidi="ar"/>
        </w:rPr>
        <w:t xml:space="preserve">▲</w:t>
      </w:r>
      <w:r>
        <w:rPr>
          <w:rFonts w:hint="eastAsia" w:cs="宋体"/>
          <w:sz w:val="24"/>
          <w:szCs w:val="24"/>
          <w:vertAlign w:val="superscript"/>
          <w:lang w:bidi="ar"/>
        </w:rPr>
        <w:t xml:space="preserve">[6]</w:t>
      </w:r>
      <w:r>
        <w:rPr>
          <w:rFonts w:hint="eastAsia" w:cs="宋体"/>
          <w:sz w:val="24"/>
          <w:szCs w:val="24"/>
          <w:lang w:bidi="ar"/>
        </w:rPr>
        <w:t xml:space="preserve">自查报告出具。内置碳计量自查报告模板，支持依据自查情况及整改情况，生成自查报告。支持报告的在线预览及导出。</w:t>
      </w:r>
      <w:r>
        <w:rPr>
          <w:rFonts w:ascii="宋体" w:hAnsi="宋体" w:cs="宋体"/>
          <w:sz w:val="24"/>
          <w:szCs w:val="24"/>
        </w:rPr>
        <w:t xml:space="preserve">（本项需提供系统截图证明）</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（35）碳计量</w:t>
      </w:r>
      <w:r>
        <w:rPr>
          <w:rFonts w:cs="宋体"/>
          <w:sz w:val="24"/>
          <w:szCs w:val="24"/>
          <w:lang w:bidi="ar"/>
        </w:rPr>
        <w:t xml:space="preserve">审查申请</w:t>
      </w:r>
      <w:r>
        <w:rPr>
          <w:rFonts w:hint="eastAsia" w:cs="宋体"/>
          <w:sz w:val="24"/>
          <w:szCs w:val="24"/>
          <w:lang w:bidi="ar"/>
        </w:rPr>
        <w:t xml:space="preserve">。支持在线提交碳计量审查申请并同步至审核用户，支持审核端查看对应的自查报告、审查内容台账、自查表等内容，确定是否受理审核。</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（36）审查</w:t>
      </w:r>
      <w:r>
        <w:rPr>
          <w:rFonts w:cs="宋体"/>
          <w:sz w:val="24"/>
          <w:szCs w:val="24"/>
          <w:lang w:bidi="ar"/>
        </w:rPr>
        <w:t xml:space="preserve">进度跟踪</w:t>
      </w:r>
      <w:r>
        <w:rPr>
          <w:rFonts w:hint="eastAsia" w:cs="宋体"/>
          <w:sz w:val="24"/>
          <w:szCs w:val="24"/>
          <w:lang w:bidi="ar"/>
        </w:rPr>
        <w:t xml:space="preserve">：实现碳计量审查进度的动态跟踪，以及最终完成的审查报告内容的同步推送。</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（37）审查任务管理。提供碳计量审核任务受理、审核任务分配、审核资料审查等功能，实现碳计量审查信息的全流程管理。</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（38）审查整改管理。支持审查资料同步、整改意见受理、整改资料更新等功能，实现企业审查整改工作的全流程管理。</w:t>
      </w:r>
      <w:r>
        <w:rPr>
          <w:rFonts w:hint="eastAsia"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w:t>
      </w:r>
      <w:r>
        <w:rPr>
          <w:rFonts w:hint="eastAsia" w:cs="宋体"/>
          <w:sz w:val="24"/>
          <w:szCs w:val="24"/>
          <w:lang w:bidi="ar"/>
        </w:rPr>
        <w:t xml:space="preserve">39</w:t>
      </w:r>
      <w:r>
        <w:rPr>
          <w:rFonts w:cs="宋体"/>
          <w:sz w:val="24"/>
          <w:szCs w:val="24"/>
          <w:lang w:bidi="ar"/>
        </w:rPr>
        <w:t xml:space="preserve">）现场审查</w:t>
      </w:r>
      <w:r>
        <w:rPr>
          <w:rFonts w:hint="eastAsia" w:cs="宋体"/>
          <w:sz w:val="24"/>
          <w:szCs w:val="24"/>
          <w:lang w:bidi="ar"/>
        </w:rPr>
        <w:t xml:space="preserve">管理。支持审查人员上传碳计量审查计划、提交现场审核材料、同步审查整改意见、跟着整改完成情况。</w:t>
      </w:r>
      <w:r>
        <w:rPr>
          <w:rFonts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（4</w:t>
      </w:r>
      <w:r>
        <w:rPr>
          <w:rFonts w:hint="eastAsia" w:cs="宋体"/>
          <w:sz w:val="24"/>
          <w:szCs w:val="24"/>
          <w:lang w:bidi="ar"/>
        </w:rPr>
        <w:t xml:space="preserve">0</w:t>
      </w:r>
      <w:r>
        <w:rPr>
          <w:rFonts w:cs="宋体"/>
          <w:sz w:val="24"/>
          <w:szCs w:val="24"/>
          <w:lang w:bidi="ar"/>
        </w:rPr>
        <w:t xml:space="preserve">）</w:t>
      </w:r>
      <w:r>
        <w:rPr>
          <w:rFonts w:hint="eastAsia" w:cs="宋体"/>
          <w:sz w:val="24"/>
          <w:szCs w:val="24"/>
          <w:lang w:bidi="ar"/>
        </w:rPr>
        <w:t xml:space="preserve">碳计量</w:t>
      </w:r>
      <w:r>
        <w:rPr>
          <w:rFonts w:cs="宋体"/>
          <w:sz w:val="24"/>
          <w:szCs w:val="24"/>
          <w:lang w:bidi="ar"/>
        </w:rPr>
        <w:t xml:space="preserve">报告生成与管理</w:t>
      </w:r>
      <w:r>
        <w:rPr>
          <w:rFonts w:hint="eastAsia" w:cs="宋体"/>
          <w:sz w:val="24"/>
          <w:szCs w:val="24"/>
          <w:lang w:bidi="ar"/>
        </w:rPr>
        <w:t xml:space="preserve">。支持线上依据JJF 2309的报告要求，生成初版的碳计量审查报告；报告支持下载、修订盖章后，重新上传合规的审查报告。</w:t>
      </w:r>
      <w:r>
        <w:rPr>
          <w:rFonts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（4</w:t>
      </w:r>
      <w:r>
        <w:rPr>
          <w:rFonts w:hint="eastAsia" w:cs="宋体"/>
          <w:sz w:val="24"/>
          <w:szCs w:val="24"/>
          <w:lang w:bidi="ar"/>
        </w:rPr>
        <w:t xml:space="preserve">1</w:t>
      </w:r>
      <w:r>
        <w:rPr>
          <w:rFonts w:cs="宋体"/>
          <w:sz w:val="24"/>
          <w:szCs w:val="24"/>
          <w:lang w:bidi="ar"/>
        </w:rPr>
        <w:t xml:space="preserve">）碳计量审查统计分析</w:t>
      </w:r>
      <w:r>
        <w:rPr>
          <w:rFonts w:hint="eastAsia" w:cs="宋体"/>
          <w:sz w:val="24"/>
          <w:szCs w:val="24"/>
          <w:lang w:bidi="ar"/>
        </w:rPr>
        <w:t xml:space="preserve">。支持基于碳计量审查结果开展审查完成情况、不符合项分类、分行业碳计量审查合规等维度的数据统计分析。</w:t>
      </w:r>
      <w:r>
        <w:rPr>
          <w:rFonts w:cs="宋体"/>
          <w:sz w:val="24"/>
          <w:szCs w:val="24"/>
          <w:lang w:bidi="ar"/>
        </w:rPr>
      </w:r>
      <w:r/>
    </w:p>
    <w:p>
      <w:pPr>
        <w:pStyle w:val="1009"/>
        <w:rPr>
          <w:b w:val="0"/>
          <w:bCs w:val="0"/>
        </w:rPr>
      </w:pPr>
      <w:r/>
      <w:bookmarkStart w:id="195" w:name="_Toc23970"/>
      <w:r>
        <w:rPr>
          <w:rFonts w:hint="eastAsia" w:ascii="宋体" w:hAnsi="宋体" w:cs="宋体"/>
        </w:rPr>
        <w:t xml:space="preserve">（三）</w:t>
      </w:r>
      <w:r>
        <w:rPr>
          <w:rFonts w:ascii="宋体" w:hAnsi="宋体" w:cs="宋体"/>
        </w:rPr>
        <w:t xml:space="preserve">企业</w:t>
      </w:r>
      <w:r>
        <w:rPr>
          <w:rFonts w:hint="eastAsia" w:ascii="宋体" w:hAnsi="宋体" w:cs="宋体"/>
        </w:rPr>
        <w:t xml:space="preserve">计量数据应用系统</w:t>
      </w:r>
      <w:bookmarkEnd w:id="195"/>
      <w:r>
        <w:rPr>
          <w:b w:val="0"/>
          <w:bCs w:val="0"/>
        </w:rPr>
      </w:r>
      <w:r/>
    </w:p>
    <w:p>
      <w:pPr>
        <w:pStyle w:val="991"/>
      </w:pPr>
      <w:r>
        <w:rPr>
          <w:rFonts w:hint="eastAsia" w:eastAsia="宋体"/>
        </w:rPr>
        <w:t xml:space="preserve">1、</w:t>
      </w:r>
      <w:r>
        <w:rPr>
          <w:rFonts w:hint="eastAsia"/>
        </w:rPr>
        <w:t xml:space="preserve">产品碳足迹应用</w:t>
      </w:r>
      <w:r/>
    </w:p>
    <w:p>
      <w:pPr>
        <w:pStyle w:val="905"/>
        <w:ind w:firstLine="480"/>
        <w:spacing w:line="360" w:lineRule="auto"/>
        <w:rPr>
          <w:rFonts w:hint="eastAsia" w:cs="宋体"/>
          <w:sz w:val="24"/>
          <w:szCs w:val="24"/>
          <w:lang w:bidi="ar"/>
        </w:rPr>
      </w:pPr>
      <w:r>
        <w:rPr>
          <w:rFonts w:hint="eastAsia" w:cs="宋体"/>
          <w:sz w:val="24"/>
          <w:szCs w:val="24"/>
          <w:lang w:bidi="ar"/>
        </w:rPr>
        <w:t xml:space="preserve">（42）产品模型管理。创建产品计量模型清单，维护产品计量模型的产品相关信息，可对已创建的模型进行详情查看，支持对模型进行启用、停用或删除操作。</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（43）▲</w:t>
      </w:r>
      <w:r>
        <w:rPr>
          <w:rFonts w:hint="eastAsia" w:cs="宋体"/>
          <w:sz w:val="24"/>
          <w:szCs w:val="24"/>
          <w:vertAlign w:val="superscript"/>
          <w:lang w:bidi="ar"/>
        </w:rPr>
        <w:t xml:space="preserve">[7]</w:t>
      </w:r>
      <w:r>
        <w:rPr>
          <w:rFonts w:hint="eastAsia" w:cs="宋体"/>
          <w:sz w:val="24"/>
          <w:szCs w:val="24"/>
          <w:lang w:bidi="ar"/>
        </w:rPr>
        <w:t xml:space="preserve">产品模型配置。基于LCA建模的要求，定义产品碳足迹计量目标与范围，选择内置的碳足迹标准，分阶段完成输入、输出表单配置，创建碳足迹计量模型生命周期阶段及过程。</w:t>
      </w:r>
      <w:r>
        <w:rPr>
          <w:rFonts w:ascii="宋体" w:hAnsi="宋体" w:cs="宋体"/>
          <w:sz w:val="24"/>
          <w:szCs w:val="24"/>
        </w:rPr>
        <w:t xml:space="preserve">（本项需提供系统截图证明）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（44）▲</w:t>
      </w:r>
      <w:r>
        <w:rPr>
          <w:rFonts w:hint="eastAsia" w:cs="宋体"/>
          <w:sz w:val="24"/>
          <w:szCs w:val="24"/>
          <w:vertAlign w:val="superscript"/>
          <w:lang w:bidi="ar"/>
        </w:rPr>
        <w:t xml:space="preserve">[8]</w:t>
      </w:r>
      <w:r>
        <w:rPr>
          <w:rFonts w:cs="宋体"/>
          <w:sz w:val="24"/>
          <w:szCs w:val="24"/>
          <w:lang w:bidi="ar"/>
        </w:rPr>
        <w:t xml:space="preserve">核算工具互认性。</w:t>
      </w:r>
      <w:r>
        <w:rPr>
          <w:rFonts w:hint="eastAsia" w:cs="宋体"/>
          <w:sz w:val="24"/>
          <w:szCs w:val="24"/>
          <w:lang w:bidi="ar"/>
        </w:rPr>
        <w:t xml:space="preserve">工具应与国际主流</w:t>
      </w:r>
      <w:r>
        <w:rPr>
          <w:rFonts w:cs="宋体"/>
          <w:sz w:val="24"/>
          <w:szCs w:val="24"/>
          <w:lang w:bidi="ar"/>
        </w:rPr>
        <w:t xml:space="preserve">LCA</w:t>
      </w:r>
      <w:r>
        <w:rPr>
          <w:rFonts w:hint="eastAsia" w:cs="宋体"/>
          <w:sz w:val="24"/>
          <w:szCs w:val="24"/>
          <w:lang w:bidi="ar"/>
        </w:rPr>
        <w:t xml:space="preserve">工具实现互认</w:t>
      </w:r>
      <w:r>
        <w:rPr>
          <w:rFonts w:cs="宋体"/>
          <w:sz w:val="24"/>
          <w:szCs w:val="24"/>
          <w:lang w:bidi="ar"/>
        </w:rPr>
        <w:t xml:space="preserve">，具备主流LCA工具的官方授权或合作资质，能够提供LCA领域的专业技术咨询与支持服务</w:t>
      </w:r>
      <w:r>
        <w:rPr>
          <w:rFonts w:hint="eastAsia" w:cs="宋体"/>
          <w:sz w:val="24"/>
          <w:szCs w:val="24"/>
          <w:lang w:bidi="ar"/>
        </w:rPr>
        <w:t xml:space="preserve">。（本项须提供</w:t>
      </w:r>
      <w:r>
        <w:rPr>
          <w:rFonts w:cs="宋体"/>
          <w:sz w:val="24"/>
          <w:szCs w:val="24"/>
          <w:lang w:bidi="ar"/>
        </w:rPr>
        <w:t xml:space="preserve">书面承诺书，</w:t>
      </w:r>
      <w:r>
        <w:rPr>
          <w:rFonts w:hint="eastAsia" w:cs="宋体"/>
          <w:sz w:val="24"/>
          <w:szCs w:val="24"/>
          <w:lang w:bidi="ar"/>
        </w:rPr>
        <w:t xml:space="preserve">并加盖投标人单位公章）</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（45）数据采集配置。基于产品碳足迹模型，开展企业排放源及数据采集规则配置，如支持数据导入、实时计量采集、手动数据填报等。</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（46）计量拆分规则匹配。基于各排放源的计量设备采集现状，结合当前企业的生产规律，为各计量设备在当前计量模型中的计量数据拆分规则进行配置。系统内置常用拆分规则模板，支持企业选用。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47）计量关联规则管理。提供计量关联规则配置、关联规则数据校验、关联规则版本管理功能，支持为生产过程的各排放源配置基础采集关联规则，通过设定产品--生产过程排放源--作业车间ID--重点设备ID--生产系统数据项ID等的关联关系，实现采集模型及采集规则点位设置及有效性校验。</w:t>
      </w:r>
      <w:r>
        <w:rPr>
          <w:rFonts w:hint="eastAsia"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（4</w:t>
      </w:r>
      <w:r>
        <w:rPr>
          <w:rFonts w:hint="eastAsia" w:cs="宋体"/>
          <w:sz w:val="24"/>
          <w:szCs w:val="24"/>
          <w:lang w:bidi="ar"/>
        </w:rPr>
        <w:t xml:space="preserve">8</w:t>
      </w:r>
      <w:r>
        <w:rPr>
          <w:rFonts w:cs="宋体"/>
          <w:sz w:val="24"/>
          <w:szCs w:val="24"/>
          <w:lang w:bidi="ar"/>
        </w:rPr>
        <w:t xml:space="preserve">）产品订单碳足迹档案</w:t>
      </w:r>
      <w:r>
        <w:rPr>
          <w:rFonts w:hint="eastAsia" w:cs="宋体"/>
          <w:sz w:val="24"/>
          <w:szCs w:val="24"/>
          <w:lang w:bidi="ar"/>
        </w:rPr>
        <w:t xml:space="preserve">。</w:t>
      </w:r>
      <w:r>
        <w:rPr>
          <w:rFonts w:cs="宋体"/>
          <w:sz w:val="24"/>
          <w:szCs w:val="24"/>
          <w:lang w:bidi="ar"/>
        </w:rPr>
        <w:t xml:space="preserve">对接企业生产系统</w:t>
      </w:r>
      <w:r>
        <w:rPr>
          <w:rFonts w:hint="eastAsia" w:cs="宋体"/>
          <w:sz w:val="24"/>
          <w:szCs w:val="24"/>
          <w:lang w:bidi="ar"/>
        </w:rPr>
        <w:t xml:space="preserve">获取</w:t>
      </w:r>
      <w:r>
        <w:rPr>
          <w:rFonts w:cs="宋体"/>
          <w:sz w:val="24"/>
          <w:szCs w:val="24"/>
          <w:lang w:bidi="ar"/>
        </w:rPr>
        <w:t xml:space="preserve">产品订单</w:t>
      </w:r>
      <w:r>
        <w:rPr>
          <w:rFonts w:hint="eastAsia" w:cs="宋体"/>
          <w:sz w:val="24"/>
          <w:szCs w:val="24"/>
          <w:lang w:bidi="ar"/>
        </w:rPr>
        <w:t xml:space="preserve">信息，创建订单</w:t>
      </w:r>
      <w:r>
        <w:rPr>
          <w:rFonts w:cs="宋体"/>
          <w:sz w:val="24"/>
          <w:szCs w:val="24"/>
          <w:lang w:bidi="ar"/>
        </w:rPr>
        <w:t xml:space="preserve">碳足迹档案</w:t>
      </w:r>
      <w:r>
        <w:rPr>
          <w:rFonts w:hint="eastAsia" w:cs="宋体"/>
          <w:sz w:val="24"/>
          <w:szCs w:val="24"/>
          <w:lang w:bidi="ar"/>
        </w:rPr>
        <w:t xml:space="preserve">及ID</w:t>
      </w:r>
      <w:r>
        <w:rPr>
          <w:rFonts w:cs="宋体"/>
          <w:sz w:val="24"/>
          <w:szCs w:val="24"/>
          <w:lang w:bidi="ar"/>
        </w:rPr>
        <w:t xml:space="preserve">，基于计量关联规则</w:t>
      </w:r>
      <w:r>
        <w:rPr>
          <w:rFonts w:hint="eastAsia" w:cs="宋体"/>
          <w:sz w:val="24"/>
          <w:szCs w:val="24"/>
          <w:lang w:bidi="ar"/>
        </w:rPr>
        <w:t xml:space="preserve">获取</w:t>
      </w:r>
      <w:r>
        <w:rPr>
          <w:rFonts w:cs="宋体"/>
          <w:sz w:val="24"/>
          <w:szCs w:val="24"/>
          <w:lang w:bidi="ar"/>
        </w:rPr>
        <w:t xml:space="preserve">订单产品的生产数据，实现订单ID与生产流程中各环节数据的精准绑定。</w:t>
      </w:r>
      <w:r>
        <w:rPr>
          <w:rFonts w:hint="eastAsia" w:cs="宋体"/>
          <w:sz w:val="24"/>
          <w:szCs w:val="24"/>
          <w:lang w:bidi="ar"/>
        </w:rPr>
        <w:t xml:space="preserve">支持数据手动管理补充。</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（49）▲</w:t>
      </w:r>
      <w:r>
        <w:rPr>
          <w:rFonts w:hint="eastAsia" w:cs="宋体"/>
          <w:sz w:val="24"/>
          <w:szCs w:val="24"/>
          <w:vertAlign w:val="superscript"/>
          <w:lang w:bidi="ar"/>
        </w:rPr>
        <w:t xml:space="preserve">[9]</w:t>
      </w:r>
      <w:r>
        <w:rPr>
          <w:rFonts w:hint="eastAsia" w:cs="宋体"/>
          <w:sz w:val="24"/>
          <w:szCs w:val="24"/>
          <w:lang w:bidi="ar"/>
        </w:rPr>
        <w:t xml:space="preserve">碳足迹</w:t>
      </w:r>
      <w:r>
        <w:rPr>
          <w:rFonts w:cs="宋体"/>
          <w:sz w:val="24"/>
          <w:szCs w:val="24"/>
          <w:lang w:bidi="ar"/>
        </w:rPr>
        <w:t xml:space="preserve">数据</w:t>
      </w:r>
      <w:r>
        <w:rPr>
          <w:rFonts w:hint="eastAsia" w:cs="宋体"/>
          <w:sz w:val="24"/>
          <w:szCs w:val="24"/>
          <w:lang w:bidi="ar"/>
        </w:rPr>
        <w:t xml:space="preserve">链采集。根据订单-作业流程-计量设备的动态关联，实时采集该订单在生产过程中各环节的实际能耗数据、物料消耗数据、废气排放数据等，并将这些动态数据与订单碳足迹档案进行绑定，形成完整的订单级碳足迹数据链条。</w:t>
      </w:r>
      <w:r>
        <w:rPr>
          <w:rFonts w:ascii="宋体" w:hAnsi="宋体" w:cs="宋体"/>
          <w:sz w:val="24"/>
          <w:szCs w:val="24"/>
        </w:rPr>
        <w:t xml:space="preserve">（本项需提供系统截图证明）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（50）计量数据台账</w:t>
      </w:r>
      <w:r>
        <w:rPr>
          <w:rFonts w:cs="宋体"/>
          <w:sz w:val="24"/>
          <w:szCs w:val="24"/>
          <w:lang w:bidi="ar"/>
        </w:rPr>
        <w:t xml:space="preserve">管理</w:t>
      </w:r>
      <w:r>
        <w:rPr>
          <w:rFonts w:hint="eastAsia" w:cs="宋体"/>
          <w:sz w:val="24"/>
          <w:szCs w:val="24"/>
          <w:lang w:bidi="ar"/>
        </w:rPr>
        <w:t xml:space="preserve">：基于订单级计量碳足迹数据链的构建，建立基于产品的计量数据台账管理，支持按照不同产品、不同订单等条件搜索并查询台账信息。</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（51）产品碳数据留痕与溯源。企业产生的所有产品核算数据、核算过程、修正记录均同步上传至区块链存证，生成唯一溯源编码，支持按核算周期、企业、核算环节查询溯源信息。</w:t>
      </w:r>
      <w:r>
        <w:rPr>
          <w:rFonts w:hint="eastAsia" w:cs="宋体"/>
          <w:sz w:val="24"/>
          <w:szCs w:val="24"/>
          <w:lang w:bidi="ar"/>
        </w:rPr>
      </w:r>
      <w:r/>
    </w:p>
    <w:p>
      <w:pPr>
        <w:pStyle w:val="905"/>
        <w:ind w:firstLine="480"/>
        <w:spacing w:line="360" w:lineRule="auto"/>
        <w:rPr>
          <w:rFonts w:cs="宋体"/>
          <w:sz w:val="24"/>
          <w:szCs w:val="24"/>
          <w:lang w:bidi="ar"/>
        </w:rPr>
      </w:pPr>
      <w:r>
        <w:rPr>
          <w:rFonts w:cs="宋体"/>
          <w:sz w:val="24"/>
          <w:szCs w:val="24"/>
          <w:lang w:bidi="ar"/>
        </w:rPr>
        <w:t xml:space="preserve">（5</w:t>
      </w:r>
      <w:r>
        <w:rPr>
          <w:rFonts w:hint="eastAsia" w:cs="宋体"/>
          <w:sz w:val="24"/>
          <w:szCs w:val="24"/>
          <w:lang w:bidi="ar"/>
        </w:rPr>
        <w:t xml:space="preserve">2</w:t>
      </w:r>
      <w:r>
        <w:rPr>
          <w:rFonts w:cs="宋体"/>
          <w:sz w:val="24"/>
          <w:szCs w:val="24"/>
          <w:lang w:bidi="ar"/>
        </w:rPr>
        <w:t xml:space="preserve">）</w:t>
      </w:r>
      <w:r>
        <w:rPr>
          <w:rFonts w:hint="eastAsia" w:cs="宋体"/>
          <w:sz w:val="24"/>
          <w:szCs w:val="24"/>
          <w:lang w:bidi="ar"/>
        </w:rPr>
        <w:t xml:space="preserve">▲</w:t>
      </w:r>
      <w:r>
        <w:rPr>
          <w:rFonts w:hint="eastAsia" w:cs="宋体"/>
          <w:sz w:val="24"/>
          <w:szCs w:val="24"/>
          <w:vertAlign w:val="superscript"/>
          <w:lang w:bidi="ar"/>
        </w:rPr>
        <w:t xml:space="preserve">[10]</w:t>
      </w:r>
      <w:r>
        <w:rPr>
          <w:rFonts w:hint="eastAsia" w:cs="宋体"/>
          <w:sz w:val="24"/>
          <w:szCs w:val="24"/>
          <w:lang w:bidi="ar"/>
        </w:rPr>
        <w:t xml:space="preserve">产品碳足迹核算。基于碳计量采集数据，系统支持选择不同的影响评价方法如IPCC 2021、EF 3.1，自动计算出产品的碳足迹结果数据。</w:t>
      </w:r>
      <w:r>
        <w:rPr>
          <w:rFonts w:ascii="宋体" w:hAnsi="宋体" w:cs="宋体"/>
          <w:sz w:val="24"/>
          <w:szCs w:val="24"/>
        </w:rPr>
        <w:t xml:space="preserve">（本项需提供系统截图证明）</w:t>
      </w:r>
      <w:r>
        <w:rPr>
          <w:rFonts w:cs="宋体"/>
          <w:sz w:val="24"/>
          <w:szCs w:val="24"/>
          <w:lang w:bidi="ar"/>
        </w:rPr>
      </w:r>
      <w:r/>
    </w:p>
    <w:p>
      <w:pPr>
        <w:pStyle w:val="991"/>
        <w:ind w:firstLine="281"/>
        <w:rPr>
          <w:rFonts w:hint="eastAsia"/>
        </w:rPr>
      </w:pPr>
      <w:r>
        <w:rPr>
          <w:rFonts w:hint="eastAsia" w:eastAsia="宋体"/>
        </w:rPr>
        <w:t xml:space="preserve">2、企业碳核算应用</w:t>
      </w:r>
      <w:r>
        <w:rPr>
          <w:rFonts w:hint="eastAsia"/>
        </w:rPr>
      </w:r>
      <w:r/>
    </w:p>
    <w:p>
      <w:pPr>
        <w:pStyle w:val="905"/>
        <w:ind w:firstLine="480"/>
        <w:spacing w:line="360" w:lineRule="auto"/>
        <w:rPr>
          <w:rFonts w:cs="宋体"/>
          <w:sz w:val="24"/>
          <w:szCs w:val="24"/>
          <w:lang w:bidi="ar"/>
        </w:rPr>
      </w:pPr>
      <w:r>
        <w:rPr>
          <w:rFonts w:cs="宋体"/>
          <w:sz w:val="24"/>
          <w:szCs w:val="24"/>
          <w:lang w:bidi="ar"/>
        </w:rPr>
        <w:t xml:space="preserve">（5</w:t>
      </w:r>
      <w:r>
        <w:rPr>
          <w:rFonts w:hint="eastAsia" w:cs="宋体"/>
          <w:sz w:val="24"/>
          <w:szCs w:val="24"/>
          <w:lang w:bidi="ar"/>
        </w:rPr>
        <w:t xml:space="preserve">3</w:t>
      </w:r>
      <w:r>
        <w:rPr>
          <w:rFonts w:cs="宋体"/>
          <w:sz w:val="24"/>
          <w:szCs w:val="24"/>
          <w:lang w:bidi="ar"/>
        </w:rPr>
        <w:t xml:space="preserve">）</w:t>
      </w:r>
      <w:r>
        <w:rPr>
          <w:rFonts w:hint="eastAsia" w:cs="宋体"/>
          <w:sz w:val="24"/>
          <w:szCs w:val="24"/>
          <w:lang w:bidi="ar"/>
        </w:rPr>
        <w:t xml:space="preserve">基本信息管理。支持企业在线开展组织碳盘查相关的基本信息、管理结构的统一配置及维护。</w:t>
      </w:r>
      <w:r>
        <w:rPr>
          <w:rFonts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（54）▲</w:t>
      </w:r>
      <w:r>
        <w:rPr>
          <w:rFonts w:hint="eastAsia" w:cs="宋体"/>
          <w:sz w:val="24"/>
          <w:szCs w:val="24"/>
          <w:vertAlign w:val="superscript"/>
          <w:lang w:bidi="ar"/>
        </w:rPr>
        <w:t xml:space="preserve">[11]</w:t>
      </w:r>
      <w:r>
        <w:rPr>
          <w:rFonts w:hint="eastAsia" w:cs="宋体"/>
          <w:sz w:val="24"/>
          <w:szCs w:val="24"/>
          <w:lang w:bidi="ar"/>
        </w:rPr>
        <w:t xml:space="preserve">盘查边界管理。适配GHG Protocol、ISO14064、GB系列标准，提供创建盘查周期、配置核算标准、识别重点排放源、选择盘查边界、配置排放源、核算边界校验、匹配排放因子等功能，实现企业碳核算的盘查边界配置及维护。</w:t>
      </w:r>
      <w:r>
        <w:rPr>
          <w:rFonts w:ascii="宋体" w:hAnsi="宋体" w:cs="宋体"/>
          <w:sz w:val="24"/>
          <w:szCs w:val="24"/>
        </w:rPr>
        <w:t xml:space="preserve">（本项需提供系统截图证明）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（55）▲</w:t>
      </w:r>
      <w:r>
        <w:rPr>
          <w:rFonts w:hint="eastAsia" w:cs="宋体"/>
          <w:sz w:val="24"/>
          <w:szCs w:val="24"/>
          <w:vertAlign w:val="superscript"/>
          <w:lang w:bidi="ar"/>
        </w:rPr>
        <w:t xml:space="preserve">[12]</w:t>
      </w:r>
      <w:r>
        <w:rPr>
          <w:rFonts w:hint="eastAsia" w:cs="宋体"/>
          <w:sz w:val="24"/>
          <w:szCs w:val="24"/>
          <w:lang w:bidi="ar"/>
        </w:rPr>
        <w:t xml:space="preserve">数据计量管理。支持用户定义活动水平数据的采集方式、采集频率，并将实测计量数据与活动数据项进行绑定，建立一对一或一对多的采集绑定关系，实现计量分项台账数据的接入，同时支持数据补充填报已实现数据采集的全面性。</w:t>
      </w:r>
      <w:r>
        <w:rPr>
          <w:rFonts w:ascii="宋体" w:hAnsi="宋体" w:cs="宋体"/>
          <w:sz w:val="24"/>
          <w:szCs w:val="24"/>
        </w:rPr>
        <w:t xml:space="preserve">（本项需提供系统截图证明）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（56）碳排放核算。基于系统采集的活动水平数据，开展企业的碳排放数据核算。支持自动生成对应盘查任务的核算过程日志，支持查看历史核算记录及对应数据修改内容。</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（57）盘查报告评价。内置符合国际、国内标准的盘查报告模板，支持根据核算结果及碳盘查相关信息生成盘查及清册报告，提供历史盘查任务的报告评价清单管理。</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（58）企业碳数据留痕与溯源。企业产生的所有核算数据、核算过程、修正记录均同步上传至区块链存证，生成唯一溯源编码，支持按核算周期、企业、核算环节查询溯源信息。</w:t>
      </w:r>
      <w:r>
        <w:rPr>
          <w:rFonts w:hint="eastAsia" w:cs="宋体"/>
          <w:sz w:val="24"/>
          <w:szCs w:val="24"/>
          <w:lang w:bidi="ar"/>
        </w:rPr>
      </w:r>
      <w:r/>
    </w:p>
    <w:p>
      <w:pPr>
        <w:pStyle w:val="1009"/>
        <w:rPr>
          <w:rFonts w:hint="eastAsia" w:ascii="宋体" w:hAnsi="宋体" w:cs="宋体"/>
        </w:rPr>
      </w:pPr>
      <w:r>
        <w:rPr>
          <w:rFonts w:ascii="宋体" w:hAnsi="宋体" w:cs="宋体"/>
        </w:rPr>
        <w:t xml:space="preserve">（四）区域</w:t>
      </w:r>
      <w:r>
        <w:rPr>
          <w:rFonts w:hint="eastAsia" w:ascii="宋体" w:hAnsi="宋体" w:cs="宋体"/>
        </w:rPr>
        <w:t xml:space="preserve">计量数据应用系统</w:t>
      </w:r>
      <w:r>
        <w:rPr>
          <w:rFonts w:hint="eastAsia" w:ascii="宋体" w:hAnsi="宋体" w:cs="宋体"/>
        </w:rPr>
      </w:r>
      <w:r/>
    </w:p>
    <w:p>
      <w:pPr>
        <w:pStyle w:val="991"/>
        <w:rPr>
          <w:rFonts w:hint="eastAsia" w:eastAsia="宋体"/>
        </w:rPr>
      </w:pPr>
      <w:r>
        <w:rPr>
          <w:rFonts w:eastAsia="宋体"/>
        </w:rPr>
        <w:t xml:space="preserve">1</w:t>
      </w:r>
      <w:r>
        <w:rPr>
          <w:rFonts w:hint="eastAsia" w:eastAsia="宋体"/>
        </w:rPr>
        <w:t xml:space="preserve">、零碳园区碳计量</w:t>
      </w:r>
      <w:r>
        <w:rPr>
          <w:rFonts w:hint="eastAsia" w:eastAsia="宋体"/>
        </w:rPr>
      </w:r>
      <w:r/>
    </w:p>
    <w:p>
      <w:pPr>
        <w:pStyle w:val="905"/>
        <w:ind w:firstLine="480"/>
        <w:spacing w:line="360" w:lineRule="auto"/>
        <w:rPr>
          <w:rFonts w:hint="eastAsia" w:cs="宋体"/>
          <w:sz w:val="24"/>
          <w:szCs w:val="24"/>
          <w:lang w:bidi="ar"/>
        </w:rPr>
      </w:pPr>
      <w:r>
        <w:rPr>
          <w:rFonts w:hint="eastAsia" w:cs="宋体"/>
          <w:sz w:val="24"/>
          <w:szCs w:val="24"/>
          <w:lang w:bidi="ar"/>
        </w:rPr>
        <w:t xml:space="preserve">（59）园区采集数据台账。通过API接口对接园区能碳平台，自动获取园区相关活动数据，按日进行数据同步更新，自动生成园区能碳计量数据台账。</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（60）▲</w:t>
      </w:r>
      <w:r>
        <w:rPr>
          <w:rFonts w:hint="eastAsia" w:cs="宋体"/>
          <w:sz w:val="24"/>
          <w:szCs w:val="24"/>
          <w:vertAlign w:val="superscript"/>
          <w:lang w:bidi="ar"/>
        </w:rPr>
        <w:t xml:space="preserve">[13]</w:t>
      </w:r>
      <w:r>
        <w:rPr>
          <w:rFonts w:hint="eastAsia" w:cs="宋体"/>
          <w:sz w:val="24"/>
          <w:szCs w:val="24"/>
          <w:lang w:bidi="ar"/>
        </w:rPr>
        <w:t xml:space="preserve">园区核算模型配置。内置零碳园区碳排放核算模型，支持对园区的排放源、核算方法和排放因子进行自定义配置，并对各排放源所需关联的计量数据进行配置，并生成对应的数据采集表单。（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（61）园区活动数据采集。支持按照确定的采集周期，调用园区采集数据台账的相关计量数据进行活动数据采集，对于无法采集的数据可进行手动补充填报。</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（62）园区碳排放核算。支持基于园区的核算模型及采集的活动数据，实现对园区各分项碳排放及总碳排放量的核算。核算中所产生的所有核算数据、核算过程、修正记录信息均同步上传至区块链存证。</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（63）园区能碳监测分析。基于园区碳排放核算结果，实现对园区关键指标核算、能源消费量统计和能碳多维度数据分析，全面体现园区的能碳监测现状情况。</w:t>
      </w:r>
      <w:r>
        <w:rPr>
          <w:rFonts w:hint="eastAsia" w:cs="宋体"/>
          <w:sz w:val="24"/>
          <w:szCs w:val="24"/>
          <w:lang w:bidi="ar"/>
        </w:rPr>
      </w:r>
      <w:r/>
    </w:p>
    <w:p>
      <w:pPr>
        <w:pStyle w:val="991"/>
        <w:rPr>
          <w:rFonts w:hint="eastAsia" w:eastAsia="宋体"/>
        </w:rPr>
      </w:pPr>
      <w:r>
        <w:rPr>
          <w:rFonts w:hint="eastAsia" w:eastAsia="宋体"/>
        </w:rPr>
        <w:t xml:space="preserve">2</w:t>
      </w:r>
      <w:r>
        <w:rPr>
          <w:rFonts w:eastAsia="宋体"/>
        </w:rPr>
        <w:t xml:space="preserve">、</w:t>
      </w:r>
      <w:r>
        <w:rPr>
          <w:rFonts w:hint="eastAsia" w:eastAsia="宋体"/>
        </w:rPr>
        <w:t xml:space="preserve">区域碳考核计量</w:t>
      </w:r>
      <w:r>
        <w:rPr>
          <w:rFonts w:hint="eastAsia" w:eastAsia="宋体"/>
        </w:rPr>
      </w:r>
      <w:r/>
    </w:p>
    <w:p>
      <w:pPr>
        <w:pStyle w:val="905"/>
        <w:ind w:firstLine="480"/>
        <w:spacing w:line="360" w:lineRule="auto"/>
        <w:rPr>
          <w:rFonts w:hint="eastAsia" w:cs="宋体"/>
          <w:sz w:val="24"/>
          <w:szCs w:val="24"/>
          <w:lang w:bidi="ar"/>
        </w:rPr>
      </w:pPr>
      <w:r>
        <w:rPr>
          <w:rFonts w:hint="eastAsia" w:cs="宋体"/>
          <w:sz w:val="24"/>
          <w:szCs w:val="24"/>
          <w:lang w:bidi="ar"/>
        </w:rPr>
        <w:t xml:space="preserve">（64）▲</w:t>
      </w:r>
      <w:r>
        <w:rPr>
          <w:rFonts w:hint="eastAsia" w:cs="宋体"/>
          <w:sz w:val="24"/>
          <w:szCs w:val="24"/>
          <w:vertAlign w:val="superscript"/>
          <w:lang w:bidi="ar"/>
        </w:rPr>
        <w:t xml:space="preserve">[14]</w:t>
      </w:r>
      <w:r>
        <w:rPr>
          <w:rFonts w:hint="eastAsia" w:cs="宋体"/>
          <w:sz w:val="24"/>
          <w:szCs w:val="24"/>
          <w:lang w:bidi="ar"/>
        </w:rPr>
        <w:t xml:space="preserve">考核指标体系。支持创建区域碳排放双控考核体系及对应的考核指标，对各指标的年度目标进行设定。（本项需提供系统截图证明）</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（65）目标分解下发。支持对区域的考核目标进行分解，选择对应的年份及考核企业，基于内置分解规则将区域考核指标分解及下发至各企业（66）账户，并与统一台账中的企业计量数据进行关联。</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（66）企业计量跟踪。支持基于企业的计量及核算结果数据导入指标数据核对填报页面，经企业确认后提交给主管部门。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（67）考核结果评估。支持对各考核企业的考核结果进行评估，展示各企业的分项指标完成情况及完成率，对各指标的实际值及目标值进行对标分析。</w:t>
      </w:r>
      <w:r>
        <w:rPr>
          <w:rFonts w:hint="eastAsia" w:cs="宋体"/>
          <w:sz w:val="24"/>
          <w:szCs w:val="24"/>
          <w:lang w:bidi="ar"/>
        </w:rPr>
      </w:r>
      <w:r/>
    </w:p>
    <w:p>
      <w:pPr>
        <w:pStyle w:val="991"/>
        <w:rPr>
          <w:rFonts w:eastAsia="宋体"/>
        </w:rPr>
      </w:pPr>
      <w:r>
        <w:rPr>
          <w:rFonts w:eastAsia="宋体"/>
        </w:rPr>
        <w:t xml:space="preserve">3、碳计量数据驾驶舱</w:t>
      </w:r>
      <w:r>
        <w:rPr>
          <w:rFonts w:eastAsia="宋体"/>
        </w:rPr>
      </w:r>
      <w:r/>
    </w:p>
    <w:p>
      <w:pPr>
        <w:pStyle w:val="905"/>
        <w:ind w:firstLine="480"/>
        <w:spacing w:line="360" w:lineRule="auto"/>
        <w:rPr>
          <w:rFonts w:hint="eastAsia" w:cs="宋体"/>
          <w:sz w:val="24"/>
          <w:szCs w:val="24"/>
          <w:lang w:bidi="ar"/>
        </w:rPr>
      </w:pPr>
      <w:r>
        <w:rPr>
          <w:rFonts w:hint="eastAsia" w:cs="宋体"/>
          <w:sz w:val="24"/>
          <w:szCs w:val="24"/>
          <w:lang w:bidi="ar"/>
        </w:rPr>
        <w:t xml:space="preserve">（68）数据展示支撑处理。具备与平台各核心模块的数据联动，支持通过内部API接口，深度联动各业务系统并获取核心展示数据。支持权限分级管控，实现“分级展示、精准授权”。</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69）全省计量数据可视化。构建全省碳计量工作一张图，展示全省能碳计量工作开展成效，展示计量台账核心数据、碳计量直接监测设备接入情况、计量审查进度等核心指标及区块链节点运行状态、溯源数据存证总量、溯源查询次数。</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（70）试点示范数据可视化。构建能碳计量试点示范一张图，展示计量数据应用场景成效及试点案例展示。</w:t>
      </w:r>
      <w:r>
        <w:rPr>
          <w:rFonts w:hint="eastAsia" w:cs="宋体"/>
          <w:sz w:val="24"/>
          <w:szCs w:val="24"/>
          <w:lang w:bidi="ar"/>
        </w:rPr>
      </w:r>
      <w:r/>
    </w:p>
    <w:p>
      <w:pPr>
        <w:pStyle w:val="968"/>
        <w:numPr>
          <w:ilvl w:val="0"/>
          <w:numId w:val="6"/>
        </w:numPr>
        <w:jc w:val="left"/>
        <w:widowControl/>
        <w:tabs>
          <w:tab w:val="left" w:pos="420" w:leader="none"/>
        </w:tabs>
        <w:rPr>
          <w:rFonts w:hint="eastAsia" w:ascii="等线 Light" w:hAnsi="等线 Light" w:eastAsia="宋体" w:cs="宋体"/>
          <w:sz w:val="36"/>
          <w:szCs w:val="36"/>
        </w:rPr>
      </w:pPr>
      <w:r>
        <w:rPr>
          <w:rFonts w:hint="eastAsia" w:ascii="等线 Light" w:hAnsi="等线 Light" w:eastAsia="宋体" w:cs="宋体"/>
          <w:sz w:val="36"/>
          <w:szCs w:val="36"/>
        </w:rPr>
        <w:t xml:space="preserve">技术方案要求</w:t>
      </w:r>
      <w:r>
        <w:rPr>
          <w:rFonts w:hint="eastAsia" w:ascii="等线 Light" w:hAnsi="等线 Light" w:eastAsia="宋体" w:cs="宋体"/>
          <w:sz w:val="36"/>
          <w:szCs w:val="36"/>
        </w:rPr>
      </w:r>
      <w:r/>
    </w:p>
    <w:p>
      <w:pPr>
        <w:pStyle w:val="1009"/>
        <w:rPr>
          <w:rFonts w:ascii="宋体" w:hAnsi="宋体" w:cs="宋体"/>
        </w:rPr>
      </w:pPr>
      <w:r>
        <w:rPr>
          <w:rFonts w:hint="eastAsia" w:ascii="宋体" w:hAnsi="宋体" w:cs="宋体"/>
        </w:rPr>
        <w:t xml:space="preserve">（一）需求分析方案要求</w:t>
      </w:r>
      <w:r>
        <w:rPr>
          <w:rFonts w:ascii="宋体" w:hAnsi="宋体" w:cs="宋体"/>
        </w:rPr>
      </w:r>
      <w:r/>
    </w:p>
    <w:p>
      <w:pPr>
        <w:pStyle w:val="905"/>
        <w:ind w:firstLine="480"/>
        <w:spacing w:line="360" w:lineRule="auto"/>
        <w:tabs>
          <w:tab w:val="left" w:pos="420" w:leader="none"/>
        </w:tabs>
        <w:rPr>
          <w:sz w:val="24"/>
        </w:rPr>
      </w:pPr>
      <w:r>
        <w:rPr>
          <w:rFonts w:hint="eastAsia"/>
          <w:sz w:val="24"/>
        </w:rPr>
        <w:t xml:space="preserve">供应商应充分理解项目建设背景，制作项目需求分析方案，对项目建设背景及项目建设必要性有深入的了解，对本项目需求、现状及存在的问题进行深入地分析，至少包括项目建设背景、项目建设必要性、项目重难点分析、项目需求理解等内容。</w:t>
      </w:r>
      <w:r>
        <w:rPr>
          <w:sz w:val="24"/>
        </w:rPr>
      </w:r>
      <w:r/>
    </w:p>
    <w:p>
      <w:pPr>
        <w:pStyle w:val="905"/>
        <w:numPr>
          <w:ilvl w:val="0"/>
          <w:numId w:val="7"/>
        </w:numPr>
        <w:ind w:firstLine="480"/>
        <w:spacing w:line="360" w:lineRule="auto"/>
        <w:tabs>
          <w:tab w:val="left" w:pos="420" w:leader="none"/>
        </w:tabs>
        <w:rPr>
          <w:rFonts w:hint="eastAsia"/>
          <w:sz w:val="24"/>
        </w:rPr>
      </w:pPr>
      <w:r>
        <w:rPr>
          <w:rFonts w:hint="eastAsia"/>
          <w:sz w:val="24"/>
        </w:rPr>
        <w:t xml:space="preserve">项目建设背景：对碳计量行业发展现状、本项目建设背景进行分析，明确项目建设的政策要求与发展方向，说明本项目在推动地方碳计量体系完善、助力双碳目标落地层面的意义。</w:t>
      </w:r>
      <w:r>
        <w:rPr>
          <w:rFonts w:hint="eastAsia"/>
          <w:sz w:val="24"/>
        </w:rPr>
      </w:r>
      <w:r/>
    </w:p>
    <w:p>
      <w:pPr>
        <w:pStyle w:val="905"/>
        <w:numPr>
          <w:ilvl w:val="0"/>
          <w:numId w:val="7"/>
        </w:numPr>
        <w:ind w:firstLine="480"/>
        <w:spacing w:line="360" w:lineRule="auto"/>
        <w:tabs>
          <w:tab w:val="left" w:pos="420" w:leader="none"/>
        </w:tabs>
        <w:rPr>
          <w:rFonts w:hint="eastAsia"/>
          <w:sz w:val="24"/>
        </w:rPr>
      </w:pPr>
      <w:r>
        <w:rPr>
          <w:rFonts w:hint="eastAsia"/>
          <w:sz w:val="24"/>
        </w:rPr>
        <w:t xml:space="preserve">项目建设必要性：结合区域内碳计量工作的现有基础与发展需求，分析项目建成后对全省碳计量工作及场景应用的推动作用。</w:t>
      </w:r>
      <w:r>
        <w:rPr>
          <w:rFonts w:hint="eastAsia"/>
          <w:sz w:val="24"/>
        </w:rPr>
      </w:r>
      <w:r/>
    </w:p>
    <w:p>
      <w:pPr>
        <w:pStyle w:val="905"/>
        <w:numPr>
          <w:ilvl w:val="0"/>
          <w:numId w:val="7"/>
        </w:numPr>
        <w:ind w:firstLine="480"/>
        <w:spacing w:line="360" w:lineRule="auto"/>
        <w:tabs>
          <w:tab w:val="left" w:pos="420" w:leader="none"/>
        </w:tabs>
        <w:rPr>
          <w:rFonts w:hint="eastAsia"/>
          <w:sz w:val="24"/>
        </w:rPr>
      </w:pPr>
      <w:r>
        <w:rPr>
          <w:rFonts w:hint="eastAsia"/>
          <w:sz w:val="24"/>
        </w:rPr>
        <w:t xml:space="preserve">项目重难点分析：结合本项目建设内容，梳理项目实施过程中需要突破的重点与难点问题，提出改进方向。</w:t>
      </w:r>
      <w:r>
        <w:rPr>
          <w:rFonts w:hint="eastAsia"/>
          <w:sz w:val="24"/>
        </w:rPr>
      </w:r>
      <w:r/>
    </w:p>
    <w:p>
      <w:pPr>
        <w:pStyle w:val="905"/>
        <w:numPr>
          <w:ilvl w:val="0"/>
          <w:numId w:val="7"/>
        </w:numPr>
        <w:ind w:firstLine="480"/>
        <w:spacing w:line="360" w:lineRule="auto"/>
        <w:tabs>
          <w:tab w:val="left" w:pos="420" w:leader="none"/>
        </w:tabs>
        <w:rPr>
          <w:rFonts w:hint="eastAsia"/>
          <w:sz w:val="24"/>
        </w:rPr>
      </w:pPr>
      <w:r>
        <w:rPr>
          <w:rFonts w:hint="eastAsia"/>
          <w:sz w:val="24"/>
        </w:rPr>
        <w:t xml:space="preserve">项目需求理解：对照本项目提出的各模块建设内容，阐述对平台性能需求、安全需求等内容的理解，明确本项目的核心建设方向。</w:t>
      </w:r>
      <w:r>
        <w:rPr>
          <w:rFonts w:hint="eastAsia"/>
          <w:sz w:val="24"/>
        </w:rPr>
      </w:r>
      <w:r/>
    </w:p>
    <w:p>
      <w:pPr>
        <w:pStyle w:val="1009"/>
        <w:rPr>
          <w:rFonts w:ascii="宋体" w:hAnsi="宋体" w:cs="宋体"/>
        </w:rPr>
      </w:pPr>
      <w:r>
        <w:rPr>
          <w:rFonts w:hint="eastAsia" w:ascii="宋体" w:hAnsi="宋体" w:cs="宋体"/>
        </w:rPr>
        <w:t xml:space="preserve">（二）总体设计方案要求</w:t>
      </w:r>
      <w:r>
        <w:rPr>
          <w:rFonts w:ascii="宋体" w:hAnsi="宋体" w:cs="宋体"/>
        </w:rPr>
      </w:r>
      <w:r/>
    </w:p>
    <w:p>
      <w:pPr>
        <w:pStyle w:val="905"/>
        <w:ind w:firstLine="480"/>
        <w:spacing w:line="360" w:lineRule="auto"/>
        <w:tabs>
          <w:tab w:val="left" w:pos="420" w:leader="none"/>
        </w:tabs>
        <w:rPr>
          <w:rFonts w:hint="eastAsia"/>
          <w:sz w:val="24"/>
        </w:rPr>
      </w:pPr>
      <w:r>
        <w:rPr>
          <w:rFonts w:hint="eastAsia"/>
          <w:sz w:val="24"/>
        </w:rPr>
        <w:t xml:space="preserve">供应商应针对本项目技术方案要求提供平台总体设计方案，至少包括建设思路、总体架构、技术路线、性能设计等内容。具体要求如下：</w:t>
      </w:r>
      <w:r>
        <w:rPr>
          <w:rFonts w:hint="eastAsia"/>
          <w:sz w:val="24"/>
        </w:rPr>
      </w:r>
      <w:r/>
    </w:p>
    <w:p>
      <w:pPr>
        <w:pStyle w:val="905"/>
        <w:ind w:firstLine="480"/>
        <w:jc w:val="left"/>
        <w:spacing w:line="360" w:lineRule="auto"/>
        <w:widowControl/>
        <w:tabs>
          <w:tab w:val="left" w:pos="420" w:leader="none"/>
        </w:tabs>
        <w:rPr>
          <w:sz w:val="24"/>
        </w:rPr>
      </w:pPr>
      <w:r>
        <w:rPr>
          <w:rFonts w:hint="eastAsia"/>
          <w:sz w:val="24"/>
        </w:rPr>
        <w:t xml:space="preserve">1、建设思路：从设计原则、建设目标、建设思路等方面阐述对平台建设的总体规划，说明平台设计的核心理念、各系统之间的协同关系。</w:t>
      </w:r>
      <w:r>
        <w:rPr>
          <w:sz w:val="24"/>
        </w:rPr>
      </w:r>
      <w:r/>
    </w:p>
    <w:p>
      <w:pPr>
        <w:pStyle w:val="905"/>
        <w:ind w:firstLine="480"/>
        <w:spacing w:line="360" w:lineRule="auto"/>
        <w:tabs>
          <w:tab w:val="left" w:pos="420" w:leader="none"/>
        </w:tabs>
        <w:rPr>
          <w:rFonts w:hint="eastAsia"/>
          <w:sz w:val="24"/>
        </w:rPr>
      </w:pPr>
      <w:r>
        <w:rPr>
          <w:rFonts w:hint="eastAsia"/>
          <w:sz w:val="24"/>
        </w:rPr>
        <w:t xml:space="preserve">2、架构设计：提供平台架构设计方案，至少包括总体架构、技术架构内容，分别说明平台整体分层结构、各层技术实现方式及选型依据，并提供对应的架构图。</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3、技术路线：阐述平台建设采用的主要技术路线，至少包括开发架构与框架选型、微服务与容器化部署方案、区块链存证技术路线、物联网设备接入与数据采集方案等内容。</w:t>
      </w:r>
      <w:r>
        <w:rPr>
          <w:rFonts w:hint="eastAsia"/>
          <w:sz w:val="24"/>
        </w:rPr>
      </w:r>
      <w:r/>
    </w:p>
    <w:p>
      <w:pPr>
        <w:pStyle w:val="905"/>
        <w:ind w:firstLine="480"/>
        <w:spacing w:line="360" w:lineRule="auto"/>
        <w:tabs>
          <w:tab w:val="left" w:pos="420" w:leader="none"/>
        </w:tabs>
        <w:rPr>
          <w:sz w:val="24"/>
        </w:rPr>
      </w:pPr>
      <w:r>
        <w:rPr>
          <w:rFonts w:hint="eastAsia"/>
          <w:sz w:val="24"/>
        </w:rPr>
        <w:t xml:space="preserve">4、性能设计：提供平台性能设计方案，包括：</w:t>
      </w:r>
      <w:r>
        <w:rPr>
          <w:sz w:val="24"/>
        </w:rPr>
      </w:r>
      <w:r/>
    </w:p>
    <w:p>
      <w:pPr>
        <w:pStyle w:val="905"/>
        <w:ind w:firstLine="480"/>
        <w:spacing w:line="360" w:lineRule="auto"/>
        <w:tabs>
          <w:tab w:val="left" w:pos="420" w:leader="none"/>
        </w:tabs>
        <w:rPr>
          <w:sz w:val="24"/>
        </w:rPr>
      </w:pPr>
      <w:r>
        <w:rPr>
          <w:rFonts w:hint="eastAsia"/>
          <w:sz w:val="24"/>
        </w:rPr>
        <w:t xml:space="preserve">（1）系统运行指标要求：</w:t>
      </w:r>
      <w:r>
        <w:rPr>
          <w:sz w:val="24"/>
        </w:rPr>
      </w:r>
      <w:r/>
    </w:p>
    <w:p>
      <w:pPr>
        <w:pStyle w:val="905"/>
        <w:ind w:firstLine="480"/>
        <w:spacing w:line="360" w:lineRule="auto"/>
        <w:tabs>
          <w:tab w:val="left" w:pos="420" w:leader="none"/>
        </w:tabs>
        <w:rPr>
          <w:rFonts w:hint="eastAsia"/>
          <w:sz w:val="24"/>
        </w:rPr>
      </w:pPr>
      <w:r>
        <w:rPr>
          <w:rFonts w:hint="eastAsia"/>
          <w:sz w:val="24"/>
        </w:rPr>
        <w:t xml:space="preserve">1）系统需支持最大同时在线用户：≥100；</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2）核心业务模块支持最大并发量：不低于20；</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3）系统单表查询类页面响应时间：不超过1秒；</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4）统计页面加载响应时间：不超过3秒。</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（2）灵活性需求：</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系统须具有快速适应业务变化的能力，应采用灵活的架构和技术手段，如扩大对不同数据格式的支持等。系统应具有良好的可扩展性，支持功能模块及处理能力的有效扩展和整合集成。</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1）基于SOA理念架构建设，采用构件化、面向对象思想设计；</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2）采用三层或多层架构的体系结构，充分考虑到平台纵向、横向的平滑扩展能力；</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3）系统设计具有良好的可扩充性和可移植性。</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（3）可靠性需求：</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应充分考虑软件的可靠性，并合理利用支撑平台的可靠性，避免由于模块故障或系统的升级而影响整个系统的正常运行。</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1）提供7×24小时的连续运行；</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2）安全性好，按各用户的实际需求设定其严格安全等级来保证系统的可靠性；</w:t>
      </w:r>
      <w:r>
        <w:rPr>
          <w:rFonts w:hint="eastAsia"/>
          <w:sz w:val="24"/>
        </w:rPr>
      </w:r>
      <w:r/>
    </w:p>
    <w:p>
      <w:pPr>
        <w:pStyle w:val="905"/>
        <w:ind w:firstLine="480"/>
        <w:spacing w:line="360" w:lineRule="auto"/>
        <w:tabs>
          <w:tab w:val="left" w:pos="420" w:leader="none"/>
        </w:tabs>
        <w:rPr>
          <w:rFonts w:hint="eastAsia"/>
          <w:sz w:val="24"/>
        </w:rPr>
      </w:pPr>
      <w:r>
        <w:rPr>
          <w:rFonts w:hint="eastAsia"/>
          <w:sz w:val="24"/>
        </w:rPr>
        <w:t xml:space="preserve">3）具有较强的系统安全性和灾难恢复能力。</w:t>
      </w:r>
      <w:r>
        <w:rPr>
          <w:rFonts w:hint="eastAsia"/>
          <w:sz w:val="24"/>
        </w:rPr>
      </w:r>
      <w:r/>
    </w:p>
    <w:p>
      <w:pPr>
        <w:pStyle w:val="968"/>
        <w:numPr>
          <w:ilvl w:val="0"/>
          <w:numId w:val="8"/>
        </w:numPr>
        <w:jc w:val="left"/>
        <w:widowControl/>
        <w:tabs>
          <w:tab w:val="left" w:pos="420" w:leader="none"/>
        </w:tabs>
        <w:rPr>
          <w:rFonts w:ascii="等线 Light" w:hAnsi="等线 Light" w:eastAsia="宋体" w:cs="宋体"/>
          <w:sz w:val="36"/>
          <w:szCs w:val="36"/>
        </w:rPr>
      </w:pPr>
      <w:r>
        <w:rPr>
          <w:rFonts w:hint="eastAsia" w:ascii="等线 Light" w:hAnsi="等线 Light" w:eastAsia="宋体" w:cs="宋体"/>
          <w:sz w:val="36"/>
          <w:szCs w:val="36"/>
        </w:rPr>
        <w:t xml:space="preserve">项目管理要求</w:t>
      </w:r>
      <w:r>
        <w:rPr>
          <w:rFonts w:ascii="等线 Light" w:hAnsi="等线 Light" w:eastAsia="宋体" w:cs="宋体"/>
          <w:sz w:val="36"/>
          <w:szCs w:val="36"/>
        </w:rPr>
      </w:r>
      <w:r/>
    </w:p>
    <w:p>
      <w:pPr>
        <w:pStyle w:val="905"/>
        <w:ind w:firstLine="480"/>
        <w:spacing w:line="480" w:lineRule="atLeast"/>
        <w:rPr>
          <w:rFonts w:ascii="宋体" w:hAnsi="宋体"/>
          <w:sz w:val="24"/>
          <w:szCs w:val="24"/>
        </w:rPr>
      </w:pPr>
      <w:r>
        <w:rPr>
          <w:rFonts w:hint="eastAsia" w:ascii="宋体" w:hAnsi="宋体"/>
          <w:sz w:val="24"/>
          <w:szCs w:val="24"/>
        </w:rPr>
        <w:t xml:space="preserve">供应商应具有健全的项目管理制度和流程，对项目进行全过程质量管理，确保项目实施的顺利。</w:t>
      </w:r>
      <w:r>
        <w:rPr>
          <w:rFonts w:ascii="宋体" w:hAnsi="宋体"/>
          <w:sz w:val="24"/>
          <w:szCs w:val="24"/>
        </w:rPr>
      </w:r>
      <w:r/>
    </w:p>
    <w:p>
      <w:pPr>
        <w:pStyle w:val="1009"/>
        <w:widowControl/>
        <w:tabs>
          <w:tab w:val="left" w:pos="0" w:leader="none"/>
        </w:tabs>
      </w:pPr>
      <w:r/>
      <w:bookmarkStart w:id="196" w:name="_Toc13915"/>
      <w:r/>
      <w:bookmarkStart w:id="197" w:name="_Toc174553777"/>
      <w:r>
        <w:rPr>
          <w:rFonts w:hint="eastAsia" w:ascii="等线 Light" w:hAnsi="等线 Light" w:cs="宋体"/>
        </w:rPr>
        <w:t xml:space="preserve">（一）项目管理方案要求</w:t>
      </w:r>
      <w:bookmarkEnd w:id="196"/>
      <w:r/>
      <w:bookmarkEnd w:id="197"/>
      <w:r/>
      <w:r/>
    </w:p>
    <w:p>
      <w:pPr>
        <w:pStyle w:val="905"/>
        <w:ind w:firstLine="480"/>
        <w:spacing w:line="480" w:lineRule="atLeast"/>
        <w:rPr>
          <w:rFonts w:hint="eastAsia" w:ascii="宋体" w:hAnsi="宋体"/>
          <w:sz w:val="24"/>
          <w:szCs w:val="24"/>
        </w:rPr>
      </w:pPr>
      <w:r>
        <w:rPr>
          <w:rFonts w:hint="eastAsia" w:ascii="宋体" w:hAnsi="宋体"/>
          <w:sz w:val="24"/>
          <w:szCs w:val="24"/>
        </w:rPr>
        <w:t xml:space="preserve">供应商应制定完整的项目实施方案，方案应至少包含项目建设的实施方案与计划、组织与</w:t>
      </w:r>
      <w:r>
        <w:rPr>
          <w:rFonts w:ascii="宋体" w:hAnsi="宋体"/>
          <w:sz w:val="24"/>
          <w:szCs w:val="24"/>
        </w:rPr>
        <w:t xml:space="preserve">质量</w:t>
      </w:r>
      <w:r>
        <w:rPr>
          <w:rFonts w:hint="eastAsia" w:ascii="宋体" w:hAnsi="宋体"/>
          <w:sz w:val="24"/>
          <w:szCs w:val="24"/>
        </w:rPr>
        <w:t xml:space="preserve">保障、风险与应急措施、测试与验收方案等。</w:t>
      </w:r>
      <w:r>
        <w:rPr>
          <w:rFonts w:hint="eastAsia" w:ascii="宋体" w:hAnsi="宋体"/>
          <w:sz w:val="24"/>
          <w:szCs w:val="24"/>
        </w:rPr>
      </w:r>
      <w:r/>
    </w:p>
    <w:p>
      <w:pPr>
        <w:pStyle w:val="905"/>
        <w:numPr>
          <w:ilvl w:val="0"/>
          <w:numId w:val="9"/>
        </w:numPr>
        <w:ind w:firstLine="480"/>
        <w:spacing w:line="480" w:lineRule="atLeast"/>
        <w:rPr>
          <w:rFonts w:hint="eastAsia" w:ascii="宋体" w:hAnsi="宋体"/>
          <w:sz w:val="24"/>
          <w:szCs w:val="24"/>
        </w:rPr>
      </w:pPr>
      <w:r>
        <w:rPr>
          <w:rFonts w:hint="eastAsia" w:ascii="宋体" w:hAnsi="宋体"/>
          <w:sz w:val="24"/>
          <w:szCs w:val="24"/>
        </w:rPr>
        <w:t xml:space="preserve">实施方案与计划：制定完整的项目实施方案，明确项目建设各阶段的工作任务与交付要求。包括项目进度计划、进度管理方法、项目实施计划、项目建设管理制度等。</w:t>
      </w:r>
      <w:r>
        <w:rPr>
          <w:rFonts w:hint="eastAsia" w:ascii="宋体" w:hAnsi="宋体"/>
          <w:sz w:val="24"/>
          <w:szCs w:val="24"/>
        </w:rPr>
      </w:r>
      <w:r/>
    </w:p>
    <w:p>
      <w:pPr>
        <w:pStyle w:val="905"/>
        <w:numPr>
          <w:ilvl w:val="0"/>
          <w:numId w:val="9"/>
        </w:numPr>
        <w:ind w:firstLine="480"/>
        <w:spacing w:line="480" w:lineRule="atLeast"/>
        <w:rPr>
          <w:rFonts w:ascii="宋体" w:hAnsi="宋体"/>
          <w:sz w:val="24"/>
          <w:szCs w:val="24"/>
        </w:rPr>
      </w:pPr>
      <w:r>
        <w:rPr>
          <w:rFonts w:hint="eastAsia" w:ascii="宋体" w:hAnsi="宋体"/>
          <w:sz w:val="24"/>
          <w:szCs w:val="24"/>
        </w:rPr>
        <w:t xml:space="preserve">组织与质量保障：</w:t>
      </w:r>
      <w:r>
        <w:rPr>
          <w:rFonts w:ascii="宋体" w:hAnsi="宋体"/>
          <w:sz w:val="24"/>
          <w:szCs w:val="24"/>
        </w:rPr>
        <w:t xml:space="preserve">建立高效的项目组织架构与团队协作机制，制定贯穿项目全过程的质量管控体系。包括项目组织架构、项目团队人员配置、质量保障措施等。</w:t>
      </w:r>
      <w:r>
        <w:rPr>
          <w:rFonts w:ascii="宋体" w:hAnsi="宋体"/>
          <w:sz w:val="24"/>
          <w:szCs w:val="24"/>
        </w:rPr>
      </w:r>
      <w:r/>
    </w:p>
    <w:p>
      <w:pPr>
        <w:pStyle w:val="905"/>
        <w:numPr>
          <w:ilvl w:val="0"/>
          <w:numId w:val="9"/>
        </w:numPr>
        <w:ind w:firstLine="480"/>
        <w:spacing w:line="480" w:lineRule="atLeast"/>
        <w:rPr>
          <w:rFonts w:ascii="宋体" w:hAnsi="宋体"/>
          <w:sz w:val="24"/>
          <w:szCs w:val="24"/>
        </w:rPr>
      </w:pPr>
      <w:r>
        <w:rPr>
          <w:rFonts w:hint="eastAsia" w:ascii="宋体" w:hAnsi="宋体"/>
          <w:sz w:val="24"/>
          <w:szCs w:val="24"/>
        </w:rPr>
        <w:t xml:space="preserve">风险与应急措施：对项目全周期可能面临的各类风险进行识别评估并制定应对策略，建立完善的应急响应机制。包括项目风险评估与应对策略、应急管理方案与处置流程等。</w:t>
      </w:r>
      <w:r>
        <w:rPr>
          <w:rFonts w:ascii="宋体" w:hAnsi="宋体"/>
          <w:sz w:val="24"/>
          <w:szCs w:val="24"/>
        </w:rPr>
      </w:r>
      <w:r/>
    </w:p>
    <w:p>
      <w:pPr>
        <w:pStyle w:val="905"/>
        <w:numPr>
          <w:ilvl w:val="0"/>
          <w:numId w:val="9"/>
        </w:numPr>
        <w:ind w:firstLine="480"/>
        <w:spacing w:line="480" w:lineRule="atLeast"/>
        <w:rPr>
          <w:rFonts w:ascii="宋体" w:hAnsi="宋体"/>
          <w:sz w:val="24"/>
          <w:szCs w:val="24"/>
        </w:rPr>
      </w:pPr>
      <w:r>
        <w:rPr>
          <w:rFonts w:hint="eastAsia" w:ascii="宋体" w:hAnsi="宋体"/>
          <w:sz w:val="24"/>
          <w:szCs w:val="24"/>
        </w:rPr>
        <w:t xml:space="preserve">测试与验收方案：制定覆盖系统建设各阶段的测试计划与项目验收方案，确保系统质量与交付成果符合合同要求。包括系统测试方案、项目验收方案等</w:t>
      </w:r>
      <w:r>
        <w:rPr>
          <w:rFonts w:ascii="宋体" w:hAnsi="宋体"/>
          <w:sz w:val="24"/>
          <w:szCs w:val="24"/>
        </w:rPr>
      </w:r>
      <w:r/>
    </w:p>
    <w:p>
      <w:pPr>
        <w:pStyle w:val="1009"/>
        <w:rPr>
          <w:lang w:bidi="ar"/>
        </w:rPr>
      </w:pPr>
      <w:r>
        <w:rPr>
          <w:rFonts w:hint="eastAsia" w:ascii="宋体" w:hAnsi="宋体" w:cs="宋体"/>
          <w:lang w:bidi="ar"/>
        </w:rPr>
        <w:t xml:space="preserve">（二）项目培训方案要求</w:t>
      </w:r>
      <w:r>
        <w:rPr>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供应商需详细阐述项目培训管理的具体要求，包括培训内容与实施、培训方式与教材、培训效果评估等方面。</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（1）培训内容与实施：针对采购人主要技术人员和骨干用户提供系统使用及维护培训，以及应用系统平台的二次开发培训。培训工作内容与课程安排需紧密结合本项目实际业务场景。</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培训方式与教材：明确培训方式、课程安排、培训时间、培训地点及所需培训环境，提供培训所需的资料、文档。在采购人现场的培训须无偿提供培训资料、讲稿的电子稿、培训用文字资料和讲义等相关用品，所有资料须为中文书写，同时允许采购人在单位内部使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（3）培训效果评估：培训工作应贯穿于项目的整个过程，所有的培训需提前制定培训计划。建立培训考核机制，对培训效果进行跟踪评估，确保采购人用户具备独立操作和日常维护系统的能力。</w:t>
      </w:r>
      <w:r>
        <w:rPr>
          <w:rFonts w:hint="eastAsia" w:cs="宋体"/>
          <w:sz w:val="24"/>
          <w:szCs w:val="24"/>
          <w:lang w:bidi="ar"/>
        </w:rPr>
      </w:r>
      <w:r/>
    </w:p>
    <w:p>
      <w:pPr>
        <w:pStyle w:val="1009"/>
        <w:rPr>
          <w:lang w:bidi="ar"/>
        </w:rPr>
      </w:pPr>
      <w:r>
        <w:rPr>
          <w:rFonts w:hint="eastAsia" w:ascii="宋体" w:hAnsi="宋体" w:cs="宋体"/>
          <w:lang w:bidi="ar"/>
        </w:rPr>
        <w:t xml:space="preserve">（三）项目安全保密管理方案要求</w:t>
      </w:r>
      <w:r>
        <w:rPr>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供应商需结合采购文件提供安全保密管理方案，内容应包括人员安全管理、文档安全管理、开发过程安全管理、安全保密教育、安全保密承诺等。</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（1）人员安全管理：对项目涉及的所有人员进行安全管理，包括人身安全、财产安全、操作安全、安全保密意识教育、安全保密责任落实等。</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（2）文档安全管理：整个项目建设过程及后期运维过程中产生的文档、技术资料等均应按时按要求移交招标人，投标人不得擅自修改、使用和转让。</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（3）开发过程安全管理：整个开发过程中均应做好安全保密工作，包括但不限于源代码、技术文档、进度计划等。</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（4）安全保密教育：对项目涉及的所有人员进行安全保密教育，应制定安全保密教育计划和教育内容，对相关人员进行全方位的安全保密培训。</w:t>
      </w:r>
      <w:r>
        <w:rPr>
          <w:rFonts w:hint="eastAsia" w:cs="宋体"/>
          <w:sz w:val="24"/>
          <w:szCs w:val="24"/>
          <w:lang w:bidi="ar"/>
        </w:rPr>
      </w:r>
      <w:r/>
    </w:p>
    <w:p>
      <w:pPr>
        <w:pStyle w:val="1009"/>
        <w:rPr>
          <w:lang w:bidi="ar"/>
        </w:rPr>
      </w:pPr>
      <w:r>
        <w:rPr>
          <w:rFonts w:hint="eastAsia" w:ascii="宋体" w:hAnsi="宋体" w:cs="宋体"/>
          <w:lang w:bidi="ar"/>
        </w:rPr>
        <w:t xml:space="preserve">（四）项目售后方案要求</w:t>
      </w:r>
      <w:r>
        <w:rPr>
          <w:lang w:bidi="ar"/>
        </w:rPr>
      </w:r>
      <w:r/>
    </w:p>
    <w:p>
      <w:pPr>
        <w:pStyle w:val="905"/>
        <w:ind w:firstLine="480"/>
        <w:spacing w:line="360" w:lineRule="auto"/>
        <w:rPr>
          <w:rFonts w:cs="宋体"/>
          <w:sz w:val="24"/>
          <w:szCs w:val="24"/>
          <w:lang w:bidi="ar"/>
        </w:rPr>
      </w:pPr>
      <w:r>
        <w:rPr>
          <w:rFonts w:hint="eastAsia" w:cs="宋体"/>
          <w:sz w:val="24"/>
          <w:szCs w:val="24"/>
          <w:lang w:bidi="ar"/>
        </w:rPr>
        <w:t xml:space="preserve">供应商需详细阐述项目售后管理方案，包括售后内容、售后时间、售后要求以及售后人员等。</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（1）售后时间：自交货验收完毕之日算起，所有产品免费维保1年。</w:t>
      </w:r>
      <w:r>
        <w:rPr>
          <w:rFonts w:cs="宋体"/>
          <w:sz w:val="24"/>
          <w:szCs w:val="24"/>
          <w:lang w:bidi="ar"/>
        </w:rPr>
      </w:r>
      <w:r/>
    </w:p>
    <w:p>
      <w:pPr>
        <w:pStyle w:val="905"/>
        <w:ind w:firstLine="480"/>
        <w:spacing w:line="360" w:lineRule="auto"/>
        <w:rPr>
          <w:rFonts w:ascii="宋体" w:hAnsi="宋体"/>
          <w:sz w:val="24"/>
          <w:szCs w:val="24"/>
        </w:rPr>
      </w:pPr>
      <w:r>
        <w:rPr>
          <w:rFonts w:hint="eastAsia" w:cs="宋体"/>
          <w:sz w:val="24"/>
          <w:szCs w:val="24"/>
          <w:lang w:bidi="ar"/>
        </w:rPr>
        <w:t xml:space="preserve">（2）售后要求：</w:t>
      </w:r>
      <w:r>
        <w:rPr>
          <w:rFonts w:hint="eastAsia" w:ascii="宋体" w:hAnsi="宋体"/>
          <w:sz w:val="24"/>
          <w:szCs w:val="24"/>
        </w:rPr>
        <w:t xml:space="preserve">供应商须承诺，故障发生时7*24小时立即响应，4小时内到现场，12小时内解决。</w:t>
      </w:r>
      <w:r>
        <w:rPr>
          <w:rFonts w:ascii="宋体" w:hAnsi="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（3）售后内容：包括故障修复，修补安全漏洞，必要的系统扩展、功能完善、系统升级，数据处理、迁移方面等服务，以及用户帮助与培训。</w:t>
      </w:r>
      <w:r>
        <w:rPr>
          <w:rFonts w:ascii="宋体" w:hAnsi="宋体"/>
          <w:sz w:val="24"/>
          <w:szCs w:val="24"/>
        </w:rPr>
      </w:r>
      <w:r/>
    </w:p>
    <w:p>
      <w:pPr>
        <w:pStyle w:val="905"/>
        <w:ind w:firstLine="480"/>
        <w:spacing w:line="500" w:lineRule="exact"/>
        <w:rPr>
          <w:rFonts w:cs="宋体"/>
          <w:iCs/>
          <w:sz w:val="24"/>
          <w:szCs w:val="24"/>
          <w:lang w:bidi="ar"/>
        </w:rPr>
      </w:pPr>
      <w:r>
        <w:rPr>
          <w:rFonts w:hint="eastAsia" w:cs="宋体"/>
          <w:sz w:val="24"/>
          <w:szCs w:val="24"/>
          <w:lang w:bidi="ar"/>
        </w:rPr>
        <w:t xml:space="preserve">（4）售后人员：</w:t>
      </w:r>
      <w:r>
        <w:rPr>
          <w:rFonts w:hint="eastAsia" w:cs="宋体"/>
          <w:iCs/>
          <w:sz w:val="24"/>
          <w:szCs w:val="24"/>
          <w:lang w:bidi="ar"/>
        </w:rPr>
        <w:t xml:space="preserve">供应商应提供质保期内售后技术服务，</w:t>
      </w:r>
      <w:r>
        <w:rPr>
          <w:rFonts w:hint="eastAsia" w:cs="宋体"/>
          <w:sz w:val="24"/>
          <w:szCs w:val="24"/>
          <w:lang w:bidi="ar"/>
        </w:rPr>
        <w:t xml:space="preserve">应设置值班应急人员，值班期间保持通信畅通</w:t>
      </w:r>
      <w:r>
        <w:rPr>
          <w:rFonts w:hint="eastAsia" w:cs="宋体"/>
          <w:iCs/>
          <w:sz w:val="24"/>
          <w:szCs w:val="24"/>
          <w:lang w:bidi="ar"/>
        </w:rPr>
        <w:t xml:space="preserve">，与采购人工作作息保持同步，及时响应紧急事件运维要求。</w:t>
      </w:r>
      <w:r>
        <w:rPr>
          <w:rFonts w:cs="宋体"/>
          <w:iCs/>
          <w:sz w:val="24"/>
          <w:szCs w:val="24"/>
          <w:lang w:bidi="ar"/>
        </w:rPr>
      </w:r>
      <w:r/>
    </w:p>
    <w:p>
      <w:pPr>
        <w:pStyle w:val="1008"/>
        <w:rPr>
          <w:rFonts w:hint="eastAsia"/>
        </w:rPr>
      </w:pPr>
      <w:r>
        <w:rPr>
          <w:rFonts w:hint="eastAsia"/>
        </w:rPr>
      </w:r>
      <w:r/>
    </w:p>
    <w:p>
      <w:pPr>
        <w:pStyle w:val="982"/>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90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905"/>
        <w:spacing w:line="0" w:lineRule="atLeast"/>
        <w:rPr>
          <w:rFonts w:hint="eastAsia" w:ascii="宋体" w:hAnsi="宋体" w:cs="宋体"/>
          <w:b/>
          <w:bCs/>
          <w:sz w:val="24"/>
          <w:szCs w:val="24"/>
        </w:rPr>
      </w:pPr>
      <w:r>
        <w:rPr>
          <w:rFonts w:hint="eastAsia" w:ascii="宋体" w:hAnsi="宋体" w:cs="宋体"/>
          <w:b/>
          <w:bCs/>
          <w:sz w:val="24"/>
          <w:szCs w:val="24"/>
        </w:rPr>
      </w:r>
      <w:r/>
    </w:p>
    <w:p>
      <w:pPr>
        <w:pStyle w:val="1009"/>
      </w:pPr>
      <w:r>
        <w:rPr>
          <w:rFonts w:hint="eastAsia" w:ascii="宋体" w:hAnsi="宋体" w:cs="宋体"/>
        </w:rPr>
        <w:t xml:space="preserve">（一）供应商服务能力要求</w:t>
      </w:r>
      <w:r/>
    </w:p>
    <w:p>
      <w:pPr>
        <w:pStyle w:val="905"/>
        <w:ind w:firstLine="480"/>
        <w:spacing w:line="360" w:lineRule="auto"/>
        <w:rPr>
          <w:rFonts w:hint="eastAsia" w:ascii="宋体" w:hAnsi="宋体"/>
          <w:sz w:val="24"/>
          <w:szCs w:val="24"/>
        </w:rPr>
      </w:pPr>
      <w:r>
        <w:rPr>
          <w:rFonts w:hint="eastAsia" w:ascii="宋体" w:hAnsi="宋体"/>
          <w:sz w:val="24"/>
          <w:szCs w:val="24"/>
        </w:rPr>
        <w:t xml:space="preserve">1、中标人应成立针对本项目的项目工作组：</w:t>
      </w:r>
      <w:r>
        <w:rPr>
          <w:rFonts w:hint="eastAsia" w:ascii="宋体" w:hAnsi="宋体"/>
          <w:sz w:val="24"/>
          <w:szCs w:val="24"/>
        </w:rPr>
      </w:r>
      <w:r/>
    </w:p>
    <w:p>
      <w:pPr>
        <w:pStyle w:val="905"/>
        <w:ind w:firstLine="482"/>
        <w:spacing w:line="500" w:lineRule="exact"/>
        <w:rPr>
          <w:rFonts w:cs="宋体"/>
          <w:sz w:val="24"/>
          <w:szCs w:val="24"/>
          <w:lang w:bidi="ar"/>
        </w:rPr>
      </w:pPr>
      <w:r>
        <w:rPr>
          <w:rFonts w:hint="eastAsia" w:cs="宋体"/>
          <w:sz w:val="24"/>
          <w:szCs w:val="24"/>
          <w:lang w:bidi="ar"/>
        </w:rPr>
        <w:t xml:space="preserve">项目负责人及项目实施人员对本项目碳计量、碳足迹信息化平台开发具有一定的知识储备，具有相关领域专业技术职称。</w:t>
      </w:r>
      <w:r>
        <w:rPr>
          <w:rFonts w:cs="宋体"/>
          <w:sz w:val="24"/>
          <w:szCs w:val="24"/>
          <w:lang w:bidi="ar"/>
        </w:rPr>
      </w:r>
      <w:r/>
    </w:p>
    <w:p>
      <w:pPr>
        <w:pStyle w:val="905"/>
        <w:ind w:firstLine="480"/>
        <w:spacing w:line="500" w:lineRule="exact"/>
        <w:rPr>
          <w:rFonts w:ascii="宋体" w:hAnsi="宋体"/>
          <w:sz w:val="24"/>
          <w:szCs w:val="24"/>
        </w:rPr>
      </w:pPr>
      <w:r>
        <w:rPr>
          <w:rFonts w:hint="eastAsia" w:ascii="宋体" w:hAnsi="宋体"/>
          <w:sz w:val="24"/>
          <w:szCs w:val="24"/>
        </w:rPr>
        <w:t xml:space="preserve">1）项目负责人：应有类似项目经验且</w:t>
      </w:r>
      <w:r>
        <w:rPr>
          <w:rFonts w:hint="eastAsia" w:ascii="宋体" w:hAnsi="宋体" w:cs="宋体"/>
          <w:sz w:val="24"/>
          <w:szCs w:val="24"/>
        </w:rPr>
        <w:t xml:space="preserve">具备电子信息类高级工程师证书、信息系统项目管理师证书</w:t>
      </w:r>
      <w:r>
        <w:rPr>
          <w:rFonts w:ascii="宋体" w:hAnsi="宋体" w:cs="宋体"/>
          <w:sz w:val="24"/>
          <w:szCs w:val="24"/>
        </w:rPr>
        <w:t xml:space="preserve">、</w:t>
      </w:r>
      <w:r>
        <w:rPr>
          <w:rFonts w:ascii="宋体" w:hAnsi="宋体"/>
          <w:sz w:val="24"/>
          <w:szCs w:val="24"/>
        </w:rPr>
        <w:t xml:space="preserve">人社部门碳管理类培训</w:t>
      </w:r>
      <w:r>
        <w:rPr>
          <w:rFonts w:ascii="宋体" w:hAnsi="宋体" w:cs="宋体"/>
          <w:sz w:val="24"/>
          <w:szCs w:val="24"/>
        </w:rPr>
        <w:t xml:space="preserve">证书；</w:t>
      </w:r>
      <w:r>
        <w:rPr>
          <w:rFonts w:ascii="宋体" w:hAnsi="宋体"/>
          <w:sz w:val="24"/>
          <w:szCs w:val="24"/>
        </w:rPr>
      </w:r>
      <w:r/>
    </w:p>
    <w:p>
      <w:pPr>
        <w:pStyle w:val="905"/>
        <w:ind w:firstLine="480"/>
        <w:spacing w:line="500" w:lineRule="exact"/>
        <w:rPr>
          <w:rFonts w:ascii="宋体" w:hAnsi="宋体" w:cs="宋体"/>
          <w:color w:val="000000"/>
          <w:sz w:val="24"/>
          <w:szCs w:val="24"/>
        </w:rPr>
      </w:pPr>
      <w:r>
        <w:rPr>
          <w:rFonts w:hint="eastAsia" w:ascii="宋体" w:hAnsi="宋体"/>
          <w:sz w:val="24"/>
          <w:szCs w:val="24"/>
        </w:rPr>
        <w:t xml:space="preserve">2）项目实施人员：应</w:t>
      </w:r>
      <w:r>
        <w:rPr>
          <w:rFonts w:hint="eastAsia" w:ascii="宋体" w:hAnsi="宋体" w:cs="宋体"/>
          <w:color w:val="000000"/>
          <w:sz w:val="24"/>
          <w:szCs w:val="24"/>
        </w:rPr>
        <w:t xml:space="preserve">具备高级工程师、信息系统项目管理师、高级软件工程</w:t>
      </w:r>
      <w:r>
        <w:rPr>
          <w:rFonts w:ascii="宋体" w:hAnsi="宋体" w:cs="宋体"/>
          <w:color w:val="000000"/>
          <w:sz w:val="24"/>
          <w:szCs w:val="24"/>
        </w:rPr>
        <w:t xml:space="preserve">师、</w:t>
      </w:r>
      <w:r>
        <w:rPr>
          <w:rFonts w:hint="eastAsia" w:ascii="宋体" w:hAnsi="宋体" w:cs="宋体"/>
          <w:color w:val="000000"/>
          <w:sz w:val="24"/>
          <w:szCs w:val="24"/>
        </w:rPr>
        <w:t xml:space="preserve">能源管理</w:t>
      </w:r>
      <w:r>
        <w:rPr>
          <w:rFonts w:ascii="宋体" w:hAnsi="宋体" w:cs="宋体"/>
          <w:color w:val="000000"/>
          <w:sz w:val="24"/>
          <w:szCs w:val="24"/>
        </w:rPr>
        <w:t xml:space="preserve">及</w:t>
      </w:r>
      <w:r>
        <w:rPr>
          <w:rFonts w:hint="eastAsia" w:ascii="宋体" w:hAnsi="宋体" w:cs="宋体"/>
          <w:color w:val="000000"/>
          <w:sz w:val="24"/>
          <w:szCs w:val="24"/>
        </w:rPr>
        <w:t xml:space="preserve">碳管理类培训</w:t>
      </w:r>
      <w:r>
        <w:rPr>
          <w:rFonts w:ascii="宋体" w:hAnsi="宋体" w:cs="宋体"/>
          <w:color w:val="000000"/>
          <w:sz w:val="24"/>
          <w:szCs w:val="24"/>
        </w:rPr>
        <w:t xml:space="preserve">证书</w:t>
      </w:r>
      <w:r>
        <w:rPr>
          <w:rFonts w:hint="eastAsia" w:ascii="宋体" w:hAnsi="宋体" w:cs="宋体"/>
          <w:sz w:val="24"/>
          <w:szCs w:val="24"/>
        </w:rPr>
        <w:t xml:space="preserve">。</w:t>
      </w:r>
      <w:r>
        <w:rPr>
          <w:rFonts w:ascii="宋体" w:hAnsi="宋体" w:cs="宋体"/>
          <w:color w:val="000000"/>
          <w:sz w:val="24"/>
          <w:szCs w:val="24"/>
        </w:rPr>
      </w:r>
      <w:r/>
    </w:p>
    <w:p>
      <w:pPr>
        <w:pStyle w:val="905"/>
        <w:ind w:firstLine="480"/>
        <w:spacing w:line="560" w:lineRule="exact"/>
        <w:rPr>
          <w:rFonts w:hint="eastAsia" w:ascii="宋体" w:hAnsi="宋体" w:cs="宋体"/>
          <w:color w:val="ff0000"/>
          <w:sz w:val="24"/>
          <w:szCs w:val="24"/>
          <w:highlight w:val="yellow"/>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业绩要求：</w:t>
      </w:r>
      <w:r>
        <w:rPr>
          <w:rFonts w:ascii="宋体" w:hAnsi="宋体"/>
          <w:sz w:val="24"/>
          <w:szCs w:val="24"/>
        </w:rPr>
        <w:t xml:space="preserve">供应商具</w:t>
      </w:r>
      <w:r>
        <w:rPr>
          <w:rFonts w:hint="eastAsia" w:ascii="宋体" w:hAnsi="宋体"/>
          <w:sz w:val="24"/>
          <w:szCs w:val="24"/>
        </w:rPr>
        <w:t xml:space="preserve">具备</w:t>
      </w:r>
      <w:r>
        <w:rPr>
          <w:rFonts w:hint="eastAsia" w:ascii="宋体" w:hAnsi="宋体" w:cs="宋体"/>
          <w:color w:val="000000"/>
          <w:sz w:val="24"/>
          <w:szCs w:val="24"/>
        </w:rPr>
        <w:t xml:space="preserve">2024年1月1日以来碳计量、能碳管理、产品碳足迹、碳排放因子、碳数据质量管理、零碳园区碳管理类平台业绩</w:t>
      </w:r>
      <w:r>
        <w:rPr>
          <w:rFonts w:hint="eastAsia" w:ascii="宋体" w:hAnsi="宋体"/>
          <w:sz w:val="24"/>
          <w:szCs w:val="24"/>
        </w:rPr>
        <w:t xml:space="preserve">。</w:t>
      </w:r>
      <w:r>
        <w:rPr>
          <w:rFonts w:hint="eastAsia" w:ascii="宋体" w:hAnsi="宋体" w:cs="宋体"/>
          <w:color w:val="ff0000"/>
          <w:sz w:val="24"/>
          <w:szCs w:val="24"/>
          <w:highlight w:val="yellow"/>
        </w:rPr>
      </w:r>
      <w:r/>
    </w:p>
    <w:p>
      <w:pPr>
        <w:pStyle w:val="1009"/>
        <w:rPr>
          <w:rFonts w:hint="eastAsia"/>
          <w:lang w:bidi="ar"/>
        </w:rPr>
      </w:pPr>
      <w:r>
        <w:rPr>
          <w:rFonts w:hint="eastAsia" w:ascii="宋体" w:hAnsi="宋体" w:cs="宋体"/>
          <w:lang w:bidi="ar"/>
        </w:rPr>
        <w:t xml:space="preserve">（二）交付要求</w:t>
      </w:r>
      <w:bookmarkStart w:id="198" w:name="OLE_LINK2"/>
      <w:r/>
      <w:bookmarkStart w:id="199" w:name="OLE_LINK1"/>
      <w:r>
        <w:rPr>
          <w:rFonts w:hint="eastAsia"/>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1、交付期：自合同签订之日起，6个月内完成所有合同标的开发、部署安装、集成及调试工作，并进入试运行阶段。试运行90天后进行项目终验。</w:t>
      </w:r>
      <w:bookmarkEnd w:id="198"/>
      <w:r/>
      <w:bookmarkEnd w:id="199"/>
      <w:r>
        <w:rPr>
          <w:rFonts w:hint="eastAsia" w:cs="宋体"/>
          <w:sz w:val="24"/>
          <w:szCs w:val="24"/>
          <w:lang w:bidi="ar"/>
        </w:rPr>
        <w:t xml:space="preserve">自合同签订至项目终验通过后1年质保。</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2、交付方式：现场交付并提交相关交付物。</w:t>
      </w:r>
      <w:r>
        <w:rPr>
          <w:rFonts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3、交付成果要求：</w:t>
      </w:r>
      <w:r>
        <w:rPr>
          <w:rFonts w:cs="宋体"/>
          <w:sz w:val="24"/>
          <w:szCs w:val="24"/>
          <w:lang w:bidi="ar"/>
        </w:rPr>
      </w:r>
      <w:r/>
    </w:p>
    <w:p>
      <w:pPr>
        <w:pStyle w:val="905"/>
        <w:ind w:firstLine="480"/>
        <w:spacing w:line="360" w:lineRule="auto"/>
      </w:pPr>
      <w:r>
        <w:rPr>
          <w:rFonts w:hint="eastAsia" w:cs="宋体"/>
          <w:sz w:val="24"/>
          <w:szCs w:val="24"/>
          <w:lang w:bidi="ar"/>
        </w:rPr>
        <w:t xml:space="preserve">供应商应按照文件所约定的内容和时间进行交付；按照计算机软件工程规范国家标准《计算机软件文档编制规范》（GB8567-2006）的要求分阶段交付应用系统的文档，所交付的文档与文件应该是电子版式及纸质形式。交付的文档包括但不限于以下内容：</w:t>
      </w:r>
      <w:r/>
    </w:p>
    <w:p>
      <w:pPr>
        <w:pStyle w:val="1017"/>
        <w:numPr>
          <w:ilvl w:val="0"/>
          <w:numId w:val="10"/>
        </w:numPr>
        <w:jc w:val="both"/>
        <w:spacing w:line="360" w:lineRule="auto"/>
        <w:widowControl w:val="off"/>
        <w:rPr>
          <w:rFonts w:ascii="Times New Roman" w:hAnsi="Times New Roman" w:cs="宋体"/>
          <w:lang w:eastAsia="zh-CN" w:bidi="ar"/>
        </w:rPr>
      </w:pPr>
      <w:r>
        <w:rPr>
          <w:rFonts w:hint="eastAsia" w:ascii="Times New Roman" w:hAnsi="Times New Roman" w:cs="宋体"/>
          <w:lang w:eastAsia="zh-CN" w:bidi="ar"/>
        </w:rPr>
        <w:t xml:space="preserve">《</w:t>
      </w:r>
      <w:r>
        <w:rPr>
          <w:rFonts w:hint="eastAsia" w:ascii="宋体" w:hAnsi="宋体" w:cs="宋体"/>
          <w:lang w:eastAsia="zh-CN"/>
        </w:rPr>
        <w:t xml:space="preserve">软件需求分析说明书</w:t>
      </w:r>
      <w:r>
        <w:rPr>
          <w:rFonts w:hint="eastAsia" w:ascii="Times New Roman" w:hAnsi="Times New Roman" w:cs="宋体"/>
          <w:lang w:eastAsia="zh-CN" w:bidi="ar"/>
        </w:rPr>
        <w:t xml:space="preserve">》</w:t>
      </w:r>
      <w:r>
        <w:rPr>
          <w:rFonts w:ascii="Times New Roman" w:hAnsi="Times New Roman" w:cs="宋体"/>
          <w:lang w:eastAsia="zh-CN" w:bidi="ar"/>
        </w:rPr>
      </w:r>
      <w:r/>
    </w:p>
    <w:p>
      <w:pPr>
        <w:pStyle w:val="1017"/>
        <w:numPr>
          <w:ilvl w:val="0"/>
          <w:numId w:val="10"/>
        </w:numPr>
        <w:jc w:val="both"/>
        <w:spacing w:line="360" w:lineRule="auto"/>
        <w:widowControl w:val="off"/>
      </w:pPr>
      <w:r>
        <w:rPr>
          <w:rFonts w:hint="eastAsia" w:ascii="Times New Roman" w:hAnsi="Times New Roman" w:cs="宋体"/>
          <w:lang w:bidi="ar"/>
        </w:rPr>
        <w:t xml:space="preserve">《调研报告》</w:t>
      </w:r>
      <w:r/>
    </w:p>
    <w:p>
      <w:pPr>
        <w:pStyle w:val="1017"/>
        <w:numPr>
          <w:ilvl w:val="0"/>
          <w:numId w:val="10"/>
        </w:numPr>
        <w:jc w:val="both"/>
        <w:spacing w:line="360" w:lineRule="auto"/>
        <w:widowControl w:val="off"/>
      </w:pPr>
      <w:r>
        <w:rPr>
          <w:rFonts w:hint="eastAsia" w:ascii="Times New Roman" w:hAnsi="Times New Roman" w:cs="宋体"/>
          <w:lang w:bidi="ar"/>
        </w:rPr>
        <w:t xml:space="preserve">《概要设计文档》</w:t>
      </w:r>
      <w:r/>
    </w:p>
    <w:p>
      <w:pPr>
        <w:pStyle w:val="1017"/>
        <w:numPr>
          <w:ilvl w:val="0"/>
          <w:numId w:val="10"/>
        </w:numPr>
        <w:jc w:val="both"/>
        <w:spacing w:line="360" w:lineRule="auto"/>
        <w:widowControl w:val="off"/>
      </w:pPr>
      <w:r>
        <w:rPr>
          <w:rFonts w:hint="eastAsia" w:ascii="Times New Roman" w:hAnsi="Times New Roman" w:cs="宋体"/>
          <w:lang w:bidi="ar"/>
        </w:rPr>
        <w:t xml:space="preserve">《详细设计文档》</w:t>
      </w:r>
      <w:r/>
    </w:p>
    <w:p>
      <w:pPr>
        <w:pStyle w:val="1017"/>
        <w:numPr>
          <w:ilvl w:val="0"/>
          <w:numId w:val="10"/>
        </w:numPr>
        <w:jc w:val="both"/>
        <w:spacing w:line="360" w:lineRule="auto"/>
        <w:widowControl w:val="off"/>
      </w:pPr>
      <w:r>
        <w:rPr>
          <w:rFonts w:hint="eastAsia" w:ascii="Times New Roman" w:hAnsi="Times New Roman" w:cs="宋体"/>
          <w:lang w:bidi="ar"/>
        </w:rPr>
        <w:t xml:space="preserve">《数据库设计文档》</w:t>
      </w:r>
      <w:r/>
    </w:p>
    <w:p>
      <w:pPr>
        <w:pStyle w:val="1017"/>
        <w:numPr>
          <w:ilvl w:val="0"/>
          <w:numId w:val="10"/>
        </w:numPr>
        <w:jc w:val="both"/>
        <w:spacing w:line="360" w:lineRule="auto"/>
        <w:widowControl w:val="off"/>
      </w:pPr>
      <w:r>
        <w:rPr>
          <w:rFonts w:hint="eastAsia" w:ascii="Times New Roman" w:hAnsi="Times New Roman" w:cs="宋体"/>
          <w:lang w:bidi="ar"/>
        </w:rPr>
        <w:t xml:space="preserve">《产品测试报告》</w:t>
      </w:r>
      <w:r/>
    </w:p>
    <w:p>
      <w:pPr>
        <w:pStyle w:val="1017"/>
        <w:numPr>
          <w:ilvl w:val="0"/>
          <w:numId w:val="10"/>
        </w:numPr>
        <w:jc w:val="both"/>
        <w:spacing w:line="360" w:lineRule="auto"/>
        <w:widowControl w:val="off"/>
      </w:pPr>
      <w:r>
        <w:rPr>
          <w:rFonts w:hint="eastAsia" w:ascii="Times New Roman" w:hAnsi="Times New Roman" w:cs="宋体"/>
          <w:lang w:bidi="ar"/>
        </w:rPr>
        <w:t xml:space="preserve">《测试用例》</w:t>
      </w:r>
      <w:r/>
    </w:p>
    <w:p>
      <w:pPr>
        <w:pStyle w:val="1017"/>
        <w:numPr>
          <w:ilvl w:val="0"/>
          <w:numId w:val="10"/>
        </w:numPr>
        <w:jc w:val="both"/>
        <w:spacing w:line="360" w:lineRule="auto"/>
        <w:widowControl w:val="off"/>
      </w:pPr>
      <w:r>
        <w:rPr>
          <w:rFonts w:hint="eastAsia" w:ascii="Times New Roman" w:hAnsi="Times New Roman" w:cs="宋体"/>
          <w:lang w:bidi="ar"/>
        </w:rPr>
        <w:t xml:space="preserve">《实施培训方案》</w:t>
      </w:r>
      <w:r/>
    </w:p>
    <w:p>
      <w:pPr>
        <w:pStyle w:val="1017"/>
        <w:numPr>
          <w:ilvl w:val="0"/>
          <w:numId w:val="10"/>
        </w:numPr>
        <w:jc w:val="both"/>
        <w:spacing w:line="360" w:lineRule="auto"/>
        <w:widowControl w:val="off"/>
      </w:pPr>
      <w:r>
        <w:rPr>
          <w:rFonts w:hint="eastAsia" w:ascii="Times New Roman" w:hAnsi="Times New Roman" w:cs="宋体"/>
          <w:lang w:bidi="ar"/>
        </w:rPr>
        <w:t xml:space="preserve">《产品安装部署文档》</w:t>
      </w:r>
      <w:r/>
    </w:p>
    <w:p>
      <w:pPr>
        <w:pStyle w:val="1017"/>
        <w:numPr>
          <w:ilvl w:val="0"/>
          <w:numId w:val="10"/>
        </w:numPr>
        <w:jc w:val="both"/>
        <w:spacing w:line="360" w:lineRule="auto"/>
        <w:widowControl w:val="off"/>
        <w:rPr>
          <w:rFonts w:ascii="Times New Roman" w:hAnsi="Times New Roman" w:cs="宋体"/>
          <w:lang w:bidi="ar"/>
        </w:rPr>
      </w:pPr>
      <w:r>
        <w:rPr>
          <w:rFonts w:hint="eastAsia" w:ascii="Times New Roman" w:hAnsi="Times New Roman" w:cs="宋体"/>
          <w:lang w:bidi="ar"/>
        </w:rPr>
        <w:t xml:space="preserve">《用户操作手册》</w:t>
      </w:r>
      <w:r>
        <w:rPr>
          <w:rFonts w:ascii="Times New Roman" w:hAnsi="Times New Roman" w:cs="宋体"/>
          <w:lang w:bidi="ar"/>
        </w:rPr>
      </w:r>
      <w:r/>
    </w:p>
    <w:p>
      <w:pPr>
        <w:pStyle w:val="1017"/>
        <w:numPr>
          <w:ilvl w:val="0"/>
          <w:numId w:val="10"/>
        </w:numPr>
        <w:jc w:val="both"/>
        <w:spacing w:line="360" w:lineRule="auto"/>
        <w:widowControl w:val="off"/>
        <w:rPr>
          <w:lang w:eastAsia="zh-CN"/>
        </w:rPr>
      </w:pPr>
      <w:r>
        <w:rPr>
          <w:rFonts w:hint="eastAsia" w:ascii="Times New Roman" w:hAnsi="Times New Roman" w:cs="宋体"/>
          <w:lang w:bidi="ar"/>
        </w:rPr>
        <w:t xml:space="preserve">《系统安装维护手册》</w:t>
      </w:r>
      <w:r>
        <w:rPr>
          <w:lang w:eastAsia="zh-CN"/>
        </w:rPr>
      </w:r>
      <w:r/>
    </w:p>
    <w:p>
      <w:pPr>
        <w:pStyle w:val="1017"/>
        <w:numPr>
          <w:ilvl w:val="0"/>
          <w:numId w:val="10"/>
        </w:numPr>
        <w:jc w:val="both"/>
        <w:spacing w:line="360" w:lineRule="auto"/>
        <w:widowControl w:val="off"/>
        <w:rPr>
          <w:lang w:eastAsia="zh-CN"/>
        </w:rPr>
      </w:pPr>
      <w:r>
        <w:rPr>
          <w:rFonts w:hint="eastAsia"/>
          <w:lang w:eastAsia="zh-CN"/>
        </w:rPr>
        <w:t xml:space="preserve">《漏洞扫描与渗透测试报告》</w:t>
      </w:r>
      <w:r>
        <w:rPr>
          <w:lang w:eastAsia="zh-CN"/>
        </w:rPr>
      </w:r>
      <w:r/>
    </w:p>
    <w:p>
      <w:pPr>
        <w:pStyle w:val="905"/>
        <w:ind w:firstLine="480"/>
        <w:spacing w:line="360" w:lineRule="auto"/>
        <w:rPr>
          <w:rFonts w:hint="eastAsia" w:cs="宋体"/>
          <w:sz w:val="24"/>
          <w:szCs w:val="24"/>
          <w:lang w:bidi="ar"/>
        </w:rPr>
      </w:pPr>
      <w:r>
        <w:rPr>
          <w:rFonts w:hint="eastAsia" w:cs="宋体"/>
          <w:sz w:val="24"/>
          <w:szCs w:val="24"/>
          <w:lang w:bidi="ar"/>
        </w:rPr>
      </w:r>
      <w:r/>
    </w:p>
    <w:p>
      <w:pPr>
        <w:pStyle w:val="905"/>
        <w:ind w:firstLine="480"/>
        <w:spacing w:line="360" w:lineRule="auto"/>
      </w:pPr>
      <w:r>
        <w:rPr>
          <w:rFonts w:hint="eastAsia" w:cs="宋体"/>
          <w:sz w:val="24"/>
          <w:szCs w:val="24"/>
          <w:lang w:bidi="ar"/>
        </w:rPr>
        <w:t xml:space="preserve">4、交付地点：采购人办公地点。</w:t>
      </w:r>
      <w:r/>
    </w:p>
    <w:p>
      <w:pPr>
        <w:pStyle w:val="1009"/>
        <w:rPr>
          <w:rFonts w:ascii="宋体" w:hAnsi="宋体" w:cs="宋体"/>
        </w:rPr>
      </w:pPr>
      <w:r/>
      <w:bookmarkStart w:id="200" w:name="_Toc174553789"/>
      <w:r/>
      <w:bookmarkStart w:id="201" w:name="_Toc20511"/>
      <w:r>
        <w:rPr>
          <w:rFonts w:hint="eastAsia" w:ascii="宋体" w:hAnsi="宋体" w:cs="宋体"/>
        </w:rPr>
        <w:t xml:space="preserve">（三）付款方式</w:t>
      </w:r>
      <w:r>
        <w:rPr>
          <w:rFonts w:ascii="宋体" w:hAnsi="宋体" w:cs="宋体"/>
        </w:rPr>
      </w:r>
      <w:r/>
    </w:p>
    <w:p>
      <w:pPr>
        <w:pStyle w:val="905"/>
        <w:ind w:firstLine="480"/>
        <w:spacing w:line="360" w:lineRule="auto"/>
        <w:rPr>
          <w:rFonts w:cs="宋体"/>
          <w:sz w:val="24"/>
          <w:szCs w:val="24"/>
          <w:lang w:bidi="ar"/>
        </w:rPr>
      </w:pPr>
      <w:r>
        <w:rPr>
          <w:rFonts w:hint="eastAsia" w:cs="宋体"/>
          <w:sz w:val="24"/>
          <w:szCs w:val="24"/>
          <w:lang w:bidi="ar"/>
        </w:rPr>
        <w:t xml:space="preserve">合同签订生效后，甲方向乙方支付合同总价的30%；乙方在按照合同规定的期限内系统上线并调试，初步验收合格后，甲方向乙方支付合同总价的60%；系统试运行期结束并终验通过，甲方收到乙方提供的履约保函后，向乙方支付合同总价的10%。</w:t>
      </w:r>
      <w:r>
        <w:rPr>
          <w:rFonts w:cs="宋体"/>
          <w:sz w:val="24"/>
          <w:szCs w:val="24"/>
          <w:lang w:bidi="ar"/>
        </w:rPr>
      </w:r>
      <w:r/>
    </w:p>
    <w:p>
      <w:pPr>
        <w:pStyle w:val="1009"/>
      </w:pPr>
      <w:r>
        <w:rPr>
          <w:rFonts w:hint="eastAsia" w:ascii="宋体" w:hAnsi="宋体" w:cs="宋体"/>
        </w:rPr>
        <w:t xml:space="preserve">（四）知识产权要求</w:t>
      </w:r>
      <w:bookmarkEnd w:id="200"/>
      <w:r/>
      <w:bookmarkEnd w:id="201"/>
      <w:r/>
      <w:r/>
    </w:p>
    <w:p>
      <w:pPr>
        <w:pStyle w:val="905"/>
        <w:ind w:firstLine="480"/>
        <w:spacing w:line="360" w:lineRule="auto"/>
        <w:rPr>
          <w:rFonts w:hint="eastAsia" w:cs="宋体"/>
          <w:i/>
          <w:iCs/>
          <w:sz w:val="24"/>
          <w:szCs w:val="24"/>
          <w:u w:val="single"/>
          <w:lang w:bidi="ar"/>
        </w:rPr>
      </w:pPr>
      <w:r>
        <w:rPr>
          <w:rFonts w:hint="eastAsia" w:cs="宋体"/>
          <w:i/>
          <w:iCs/>
          <w:sz w:val="24"/>
          <w:szCs w:val="24"/>
          <w:u w:val="single"/>
          <w:lang w:bidi="ar"/>
        </w:rPr>
        <w:t xml:space="preserve">1、投标人承诺采购人在使用、接受本项目服务（包含与服务相关的产品）或其任何一部分时不受第三方提出侵犯其专利权、版权、商标权和工业设计权等知识产权的起诉。</w:t>
      </w:r>
      <w:r>
        <w:rPr>
          <w:rFonts w:hint="eastAsia" w:cs="宋体"/>
          <w:i/>
          <w:iCs/>
          <w:sz w:val="24"/>
          <w:szCs w:val="24"/>
          <w:u w:val="single"/>
          <w:lang w:bidi="ar"/>
        </w:rPr>
      </w:r>
      <w:r/>
    </w:p>
    <w:p>
      <w:pPr>
        <w:pStyle w:val="905"/>
        <w:ind w:firstLine="480"/>
        <w:spacing w:line="360" w:lineRule="auto"/>
        <w:rPr>
          <w:rFonts w:hint="eastAsia" w:cs="宋体"/>
          <w:i/>
          <w:iCs/>
          <w:sz w:val="24"/>
          <w:szCs w:val="24"/>
          <w:u w:val="single"/>
          <w:lang w:bidi="ar"/>
        </w:rPr>
      </w:pPr>
      <w:r>
        <w:rPr>
          <w:rFonts w:hint="eastAsia" w:cs="宋体"/>
          <w:i/>
          <w:iCs/>
          <w:sz w:val="24"/>
          <w:szCs w:val="24"/>
          <w:u w:val="single"/>
          <w:lang w:bidi="ar"/>
        </w:rPr>
        <w:t xml:space="preserve">2、系统验收后，为便于甲方日常对系统软件的维护及更新，供应商应向采购人移交针对本项目定制开发部分的全部源代码，甲方享用永久、免费的使用权。 </w:t>
      </w:r>
      <w:r>
        <w:rPr>
          <w:rFonts w:hint="eastAsia" w:cs="宋体"/>
          <w:i/>
          <w:iCs/>
          <w:sz w:val="24"/>
          <w:szCs w:val="24"/>
          <w:u w:val="single"/>
          <w:lang w:bidi="ar"/>
        </w:rPr>
      </w:r>
      <w:r/>
    </w:p>
    <w:p>
      <w:pPr>
        <w:pStyle w:val="905"/>
        <w:ind w:firstLine="480"/>
        <w:spacing w:line="360" w:lineRule="auto"/>
        <w:rPr>
          <w:rFonts w:hint="eastAsia" w:cs="宋体"/>
          <w:i/>
          <w:iCs/>
          <w:sz w:val="24"/>
          <w:szCs w:val="24"/>
          <w:u w:val="single"/>
          <w:lang w:bidi="ar"/>
        </w:rPr>
      </w:pPr>
      <w:r>
        <w:rPr>
          <w:rFonts w:hint="eastAsia" w:cs="宋体"/>
          <w:i/>
          <w:iCs/>
          <w:sz w:val="24"/>
          <w:szCs w:val="24"/>
          <w:u w:val="single"/>
          <w:lang w:bidi="ar"/>
        </w:rPr>
        <w:t xml:space="preserve">3、投标人承诺中标后可配合提供申请软件著作权的相关材料，辅助采购人申请3项软件著作权。</w:t>
      </w:r>
      <w:r>
        <w:rPr>
          <w:rFonts w:hint="eastAsia" w:cs="宋体"/>
          <w:i/>
          <w:iCs/>
          <w:sz w:val="24"/>
          <w:szCs w:val="24"/>
          <w:u w:val="single"/>
          <w:lang w:bidi="ar"/>
        </w:rPr>
      </w:r>
      <w:r/>
    </w:p>
    <w:p>
      <w:pPr>
        <w:pStyle w:val="982"/>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90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905"/>
        <w:ind w:firstLine="480"/>
        <w:spacing w:line="560" w:lineRule="exact"/>
        <w:rPr>
          <w:rFonts w:hint="eastAsia" w:ascii="宋体" w:hAnsi="宋体" w:cs="宋体"/>
          <w:bCs/>
          <w:sz w:val="24"/>
          <w:szCs w:val="24"/>
        </w:rPr>
      </w:pPr>
      <w:r>
        <w:rPr>
          <w:rFonts w:hint="eastAsia" w:ascii="宋体" w:hAnsi="宋体" w:cs="宋体"/>
          <w:bCs/>
          <w:sz w:val="24"/>
          <w:szCs w:val="24"/>
        </w:rPr>
        <w:t xml:space="preserve">2.演示要求</w:t>
      </w:r>
      <w:r>
        <w:rPr>
          <w:rFonts w:hint="eastAsia" w:ascii="宋体" w:hAnsi="宋体" w:cs="宋体"/>
          <w:bCs/>
          <w:sz w:val="24"/>
          <w:szCs w:val="24"/>
        </w:rPr>
      </w:r>
      <w:r/>
    </w:p>
    <w:p>
      <w:pPr>
        <w:pStyle w:val="90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演示方式 上传视频演示</w:t>
      </w:r>
      <w:r>
        <w:rPr>
          <w:rFonts w:hint="eastAsia" w:ascii="宋体" w:hAnsi="宋体" w:cs="宋体"/>
          <w:bCs/>
          <w:color w:val="000000"/>
          <w:sz w:val="24"/>
          <w:szCs w:val="24"/>
        </w:rPr>
      </w:r>
      <w:r/>
    </w:p>
    <w:p>
      <w:pPr>
        <w:pStyle w:val="905"/>
        <w:ind w:firstLine="480"/>
        <w:spacing w:line="560" w:lineRule="exact"/>
        <w:rPr>
          <w:rFonts w:hint="eastAsia" w:ascii="宋体" w:hAnsi="宋体" w:cs="宋体"/>
          <w:sz w:val="24"/>
          <w:szCs w:val="24"/>
        </w:rPr>
      </w:pPr>
      <w:r>
        <w:rPr>
          <w:rFonts w:hint="eastAsia" w:ascii="宋体" w:hAnsi="宋体" w:cs="宋体"/>
          <w:bCs/>
          <w:color w:val="000000"/>
          <w:sz w:val="24"/>
          <w:szCs w:val="24"/>
        </w:rPr>
        <w:t xml:space="preserve">1.投标人需按照招标文件规定的演示内容制作演示视频文件，视频文件的格式为</w:t>
      </w:r>
      <w:r>
        <w:rPr>
          <w:rFonts w:hint="eastAsia" w:ascii="宋体" w:hAnsi="宋体" w:cs="宋体"/>
          <w:color w:val="000000"/>
          <w:sz w:val="24"/>
          <w:szCs w:val="24"/>
        </w:rPr>
        <w:t xml:space="preserve">X.mp4</w:t>
      </w:r>
      <w:r>
        <w:rPr>
          <w:rFonts w:hint="eastAsia" w:ascii="宋体" w:hAnsi="宋体" w:cs="宋体"/>
          <w:bCs/>
          <w:color w:val="000000"/>
          <w:sz w:val="24"/>
          <w:szCs w:val="24"/>
        </w:rPr>
        <w:t xml:space="preserve">或</w:t>
      </w:r>
      <w:r>
        <w:rPr>
          <w:rFonts w:hint="eastAsia" w:ascii="宋体" w:hAnsi="宋体" w:cs="宋体"/>
          <w:color w:val="000000"/>
          <w:sz w:val="24"/>
          <w:szCs w:val="24"/>
        </w:rPr>
        <w:t xml:space="preserve">X.avi</w:t>
      </w:r>
      <w:r>
        <w:rPr>
          <w:rFonts w:hint="eastAsia" w:ascii="宋体" w:hAnsi="宋体" w:cs="宋体"/>
          <w:bCs/>
          <w:color w:val="000000"/>
          <w:sz w:val="24"/>
          <w:szCs w:val="24"/>
        </w:rPr>
        <w:t xml:space="preserve">，投标人须将视频文件分段压缩为</w:t>
      </w:r>
      <w:r>
        <w:rPr>
          <w:rFonts w:hint="eastAsia" w:ascii="宋体" w:hAnsi="宋体" w:cs="宋体"/>
          <w:color w:val="000000"/>
          <w:sz w:val="24"/>
          <w:szCs w:val="24"/>
        </w:rPr>
        <w:t xml:space="preserve">X.zip</w:t>
      </w:r>
      <w:r>
        <w:rPr>
          <w:rFonts w:hint="eastAsia" w:ascii="宋体" w:hAnsi="宋体" w:cs="宋体"/>
          <w:bCs/>
          <w:color w:val="000000"/>
          <w:sz w:val="24"/>
          <w:szCs w:val="24"/>
        </w:rPr>
        <w:t xml:space="preserve">文件上传（单个文件不得大于</w:t>
      </w:r>
      <w:r>
        <w:rPr>
          <w:rFonts w:hint="eastAsia" w:ascii="宋体" w:hAnsi="宋体" w:cs="宋体"/>
          <w:color w:val="000000"/>
          <w:sz w:val="24"/>
          <w:szCs w:val="24"/>
        </w:rPr>
        <w:t xml:space="preserve">50M</w:t>
      </w:r>
      <w:r>
        <w:rPr>
          <w:rFonts w:hint="eastAsia" w:ascii="宋体" w:hAnsi="宋体" w:cs="宋体"/>
          <w:bCs/>
          <w:color w:val="000000"/>
          <w:sz w:val="24"/>
          <w:szCs w:val="24"/>
        </w:rPr>
        <w:t xml:space="preserve">，所有文件总共不得大于</w:t>
      </w:r>
      <w:r>
        <w:rPr>
          <w:rFonts w:hint="eastAsia" w:ascii="宋体" w:hAnsi="宋体" w:cs="宋体"/>
          <w:color w:val="000000"/>
          <w:sz w:val="24"/>
          <w:szCs w:val="24"/>
        </w:rPr>
        <w:t xml:space="preserve">300M）</w:t>
      </w:r>
      <w:r>
        <w:rPr>
          <w:rFonts w:hint="eastAsia" w:ascii="宋体" w:hAnsi="宋体" w:cs="宋体"/>
          <w:bCs/>
          <w:color w:val="000000"/>
          <w:sz w:val="24"/>
          <w:szCs w:val="24"/>
        </w:rPr>
        <w:t xml:space="preserve">。文件上传方式见《操作手册》规定，上传的演示视频将作为投标文件的组成部分，视频时长总计不超过15分钟</w:t>
      </w:r>
      <w:r>
        <w:rPr>
          <w:rFonts w:hint="eastAsia" w:ascii="宋体" w:hAnsi="宋体" w:cs="宋体"/>
          <w:sz w:val="24"/>
          <w:szCs w:val="24"/>
        </w:rPr>
      </w:r>
      <w:r/>
    </w:p>
    <w:p>
      <w:pPr>
        <w:pStyle w:val="90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2.演示内容如下：</w:t>
      </w:r>
      <w:r>
        <w:rPr>
          <w:rFonts w:hint="eastAsia" w:ascii="宋体" w:hAnsi="宋体" w:cs="宋体"/>
          <w:bCs/>
          <w:color w:val="000000"/>
          <w:sz w:val="24"/>
          <w:szCs w:val="24"/>
        </w:rPr>
      </w:r>
      <w:r/>
    </w:p>
    <w:p>
      <w:pPr>
        <w:pStyle w:val="905"/>
        <w:ind w:firstLine="480"/>
        <w:spacing w:line="360" w:lineRule="auto"/>
        <w:rPr>
          <w:rFonts w:hint="eastAsia" w:cs="宋体"/>
          <w:sz w:val="24"/>
          <w:szCs w:val="24"/>
          <w:lang w:bidi="ar"/>
        </w:rPr>
      </w:pP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（1）碳计量审查应用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①碳计量审查内容台账。提供碳计量器具配备及管理、碳排放计量数据管理制度台账、计量人员台账等信息的统一管理。</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②碳计量自查。支持应对碳计量器具配备及管理、碳排放计量数据管理制度台账、计量人员台账等信息的自查，填写自查评价，支持填写不符合项报告。</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③自查报告出具。系统内置碳计量自查报告模板，支持依据自查情况及整改情况，生成自查报告。自查报告内容包含审查方信息、审查依据、审查记录汇总及自查结论。</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（2）企业碳核算应用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①盘查边界管理。适配GHG Protocol、ISO14064、GB系列标准，提供创建盘查周期、配置核算标准、识别重点排放源、选择盘查边界、配置排放源、核算边界校验、匹配排放因子等功能，实现企业碳核算的盘查边界配置及维护。</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②数据计量管理。支持用户定义活动水平数据的采集方式、采集频率，并将实测计量数据与活动数据项进行绑定，建立一对一或一对多的采集绑定关系，实现计量分项台账数据的接入。</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③盘查报告评价。内置符合国际、国内标准的盘查报告模板，支持根据核算结果及碳盘查相关信息生成盘查及清册报告，提供历史盘查任务的报告评价清单管理。</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（3）产品碳足迹应用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①演示产品模型配置。定义产品碳足迹计量目标与范围，选择内置的碳足迹标准，分阶段完成输入、输出表单配置，创建碳足迹计量模型生命周期阶段及过程，</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②数据采集配置。基于产品碳足迹模型，开展企业排放源及数据采集规则配置，如支持数据导入、实时计量采集、手动数据填报等；</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③产品碳足迹核算。支持多种主流的评价方法（包括但不限于IPCC 2021、IPCC 2021、EF3.1、CML），支持一次计算后得到并展示一个计算方法下的多个环境影响类别的结果，满足不同披露场景的需求。</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（4）零碳园区碳计量应用</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①园区核算模型配置。内置零碳园区碳排放核算模型，支持对园区的排放源、核算方法和排放因子进行自定义配置，并对各排放源所需关联的计量数据进行配置，并生成对应的数据采集表单。</w:t>
      </w:r>
      <w:r>
        <w:rPr>
          <w:rFonts w:hint="eastAsia" w:cs="宋体"/>
          <w:sz w:val="24"/>
          <w:szCs w:val="24"/>
          <w:lang w:bidi="ar"/>
        </w:rPr>
      </w:r>
      <w:r/>
    </w:p>
    <w:p>
      <w:pPr>
        <w:pStyle w:val="905"/>
        <w:ind w:firstLine="480"/>
        <w:spacing w:line="360" w:lineRule="auto"/>
        <w:rPr>
          <w:rFonts w:hint="eastAsia" w:cs="宋体"/>
          <w:sz w:val="24"/>
          <w:szCs w:val="24"/>
          <w:lang w:bidi="ar"/>
        </w:rPr>
      </w:pPr>
      <w:r>
        <w:rPr>
          <w:rFonts w:hint="eastAsia" w:cs="宋体"/>
          <w:sz w:val="24"/>
          <w:szCs w:val="24"/>
          <w:lang w:bidi="ar"/>
        </w:rPr>
        <w:t xml:space="preserve">②园区活动数据采集。支持按照确定的采集周期，调用园区采集数据台账的相关计量数据进行活动数据采集，对于无法采集的数据可进行手动补充填报。</w:t>
      </w:r>
      <w:r>
        <w:rPr>
          <w:rFonts w:hint="eastAsia" w:cs="宋体"/>
          <w:sz w:val="24"/>
          <w:szCs w:val="24"/>
          <w:lang w:bidi="ar"/>
        </w:rPr>
      </w:r>
      <w:r/>
    </w:p>
    <w:p>
      <w:pPr>
        <w:pStyle w:val="905"/>
        <w:ind w:firstLine="480"/>
        <w:spacing w:line="360" w:lineRule="auto"/>
        <w:rPr>
          <w:rFonts w:cs="宋体"/>
          <w:sz w:val="24"/>
          <w:szCs w:val="24"/>
          <w:lang w:bidi="ar"/>
        </w:rPr>
      </w:pPr>
      <w:r>
        <w:rPr>
          <w:rFonts w:hint="eastAsia" w:cs="宋体"/>
          <w:sz w:val="24"/>
          <w:szCs w:val="24"/>
          <w:lang w:bidi="ar"/>
        </w:rPr>
        <w:t xml:space="preserve">③园区碳排放核算。支持基于园区的核算模型及采集的活动数据，实现对园区各分项碳排放及总碳排放量的核算。核算中所产生的所有核算数据、核算过程、修正记录信息均同步上传至区块链存证。</w:t>
      </w:r>
      <w:r>
        <w:rPr>
          <w:rFonts w:cs="宋体"/>
          <w:sz w:val="24"/>
          <w:szCs w:val="24"/>
          <w:lang w:bidi="ar"/>
        </w:rPr>
      </w:r>
      <w:r/>
    </w:p>
    <w:p>
      <w:pPr>
        <w:pStyle w:val="905"/>
        <w:rPr>
          <w:rFonts w:hint="eastAsia" w:ascii="宋体" w:hAnsi="宋体"/>
          <w:sz w:val="24"/>
        </w:rPr>
      </w:pPr>
      <w:r>
        <w:rPr>
          <w:rFonts w:hint="eastAsia" w:ascii="宋体" w:hAnsi="宋体"/>
          <w:sz w:val="24"/>
        </w:rPr>
      </w:r>
      <w:r/>
    </w:p>
    <w:p>
      <w:pPr>
        <w:pStyle w:val="905"/>
        <w:ind w:firstLine="602"/>
        <w:rPr>
          <w:rFonts w:hint="eastAsia"/>
          <w:b/>
          <w:i/>
          <w:sz w:val="30"/>
          <w:szCs w:val="32"/>
          <w:u w:val="single"/>
        </w:rPr>
      </w:pPr>
      <w:r>
        <w:rPr>
          <w:rFonts w:hint="eastAsia"/>
          <w:b/>
          <w:i/>
          <w:sz w:val="30"/>
          <w:szCs w:val="32"/>
          <w:u w:val="single"/>
        </w:rPr>
      </w:r>
      <w:r/>
    </w:p>
    <w:p>
      <w:pPr>
        <w:pStyle w:val="905"/>
        <w:rPr>
          <w:rFonts w:hint="eastAsia"/>
        </w:rPr>
      </w:pPr>
      <w:r/>
      <w:bookmarkStart w:id="202" w:name="_Toc120614281"/>
      <w:r>
        <w:rPr>
          <w:rFonts w:hint="eastAsia"/>
        </w:rPr>
      </w:r>
      <w:r/>
    </w:p>
    <w:p>
      <w:pPr>
        <w:pStyle w:val="90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0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0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0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0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0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1"/>
        <w:ind w:firstLine="439"/>
        <w:spacing w:line="0" w:lineRule="atLeast"/>
        <w:rPr>
          <w:rFonts w:hint="eastAsia" w:cs="Arial"/>
        </w:rPr>
      </w:pPr>
      <w:r>
        <w:rPr>
          <w:rFonts w:hint="eastAsia" w:cs="Arial"/>
        </w:rPr>
      </w:r>
      <w:r/>
    </w:p>
    <w:p>
      <w:pPr>
        <w:pStyle w:val="100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1"/>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1"/>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1"/>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1"/>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1"/>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1"/>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0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90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90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90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90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1"/>
        <w:spacing w:line="400" w:lineRule="exact"/>
        <w:rPr>
          <w:rFonts w:hint="eastAsia" w:ascii="宋体" w:hAnsi="宋体"/>
        </w:rPr>
      </w:pPr>
      <w:r>
        <w:rPr>
          <w:rFonts w:hint="eastAsia" w:ascii="宋体" w:hAnsi="宋体"/>
        </w:rPr>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15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1、价格部分（10分）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700"/>
        <w:gridCol w:w="6510"/>
      </w:tblGrid>
      <w:tr>
        <w:trPr>
          <w:trHeight w:val="4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价格分采用低价优先法计算，即满足采购文件要求且最终响应报价最低的供应商的价格为基准价，其价格分为满分10分，其它供应商的价格分统一按照以下公式计算：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价格分=（评标基准价/评审价）×10分（小数点后保留两位）</w:t>
            </w:r>
            <w:r/>
          </w:p>
        </w:tc>
      </w:tr>
    </w:tbl>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2、技术部分（62分）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2"/>
        <w:gridCol w:w="728"/>
        <w:gridCol w:w="6468"/>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功能指标响应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技术要求”中各项条款内容的响应情况进行评审，完全满足招标文件技术和服务要求的得28分，带“▲”号的技术指标项每负偏离一项扣1分,未标注符号的技术指标项每负偏离一项扣0.25分，正偏离不加分。【注：带“▲”号的技术指标项，投标人须按要求提供相应佐证材料并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2.2项目需求理解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评委根据投标文件对招标文件中“技术方案要求”-“需求分析方案要求”的响应情况进行评审：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（1）投标文件未符合“需求分析方案要求”中全部条款要求的，视为不符合招标文件，本项得0分。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（2）投标文件符合“需求分析方案要求”中全部条款要求的，视为符合招标文件，本项得2分。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需求分析方案要求”中“项目重难点分析”“项目需求理解”两项要求的响应内容全部优于招标文件要求的(前提是投标文件对“设计方案”中除“项目重难点分析"“项目需求理解”外其他要求响应内容符合招标文件要求)，本项得3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2.3总体设计方案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评委根据投标文件对招标文件中“技术方案要求”-“总体设计方案要求”的响应情况进行评审：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（1）投标文件未符合“总体设计方案要求”中全部条款要求的，视为不符合招标文件，本项得0分。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（2）投标文件符合“总体设计方案要求”中全部条款要求的，视为符合招标文件，本项得3分。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总体设计方案要求”中“技术路线”“性能设计”中多项要求的响应内容全部优于招标文件要求的(前提是投标文件对“技术路线”“性能设计”外其他要求响应内容符合招标文件要求)，本项得5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评委根据投标文件对招标文件中“项目管理要求”-“项目管理方案要求”的响应情况进行评审：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（1）投标文件未符合“项目管理方案要求”中全部条款要求的，视为不符合招标文件，本项得0分。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（2）投标文件符合“项目管理方案要求”中全部条款要求的，视为符合招标文件，本项得3分。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管理方案要求”中“实施方案与计划”“组织与质量保障”中多项要求的响应内容全部优于招标文件要求的(前提是投标文件对“项目管理方案要求”中除“实施方案与计划”“组织与质量保障”外其他要求响应内容符合招标文件要求)，本项得5分。</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2.5项目培训方案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评委根据投标文件对招标文件中“项目管理要求”-“项目培训方案要求”的响应情况进行评审：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（1）投标文件未符合“项目培训方案要求”中全部条款要求的，视为不符合招标文件，本项得0分。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（2）投标文件符合“项目培训方案要求”中全部条款要求的，视为符合招标文件，本项得2分。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培训方案要求”中“培训内容与实施”中多项要求的响应内容全部优于招标文件要求的(前提是投标文件对“项目培训方案要求”中除“培训内容与实施”外其他要求响应内容符合招标文件要求)，本项得4分。</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2.6项目安全保密管理方案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评委根据投标文件对招标文件中“项目管理要求”-“项目安全保密管理方案要求”的响应情况进行评审：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（1）投标文件未符合“项目安全保密管理方案要求”中全部条款要求的，视为不符合招标文件，本项得0分。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（2）投标文件符合“项目安全保密管理方案要求”中全部条款要求的，视为符合招标文件，本项得2分。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安全保密管理方案要求”中“开发过程安全管理”中要求的响应内容全部优于招标文件要求的(前提是投标文件对“项目安全保密管理方案要求”中除“开发过程安全管理”外其他要求响应内容符合招标文件要求)，本项得3分。</w:t>
            </w:r>
            <w:r/>
          </w:p>
        </w:tc>
      </w:tr>
      <w:tr>
        <w:trPr>
          <w:trHeight w:val="1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2.7项目售后方案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评委根据投标文件对招标文件中“项目管理要求”-“项目售后方案要求”的响应情况进行评审：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（1）投标文件未符合“项目售后方案要求”中全部条款要求的，视为不符合招标文件，本项得0分。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（2）投标文件符合“项目售后方案要求”中全部条款要求的，视为符合招标文件，本项得2分。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售后方案要求”中“售后要求”“售后内容”的响应内容全部优于招标文件要求的(前提是投标文件对“项目售后方案要求”中除“售后要求”“售后内容”外其他要求响应内容符合招标文件要求)，本项得4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2.8系统演示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每项能够满足得1分，不能满足则不得分，最高得10分。使用系统原型演示的最高可得满分，使用ppt、动画等其他形式演示的得分乘以0.5。</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演示内容如下：</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2.8.1碳计量审查应用（2分）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①碳计量审查内容台账。提供碳计量器具配备及管理、碳排放计量数据管理制度台账、计量人员台账等信息的统一管理。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碳计量自查。支持应对碳计量器具配备及管理、碳排放计量数据管理制度台账、计量人员台账等信息的自查，填写自查评价，支持填写不符合项报告，内置碳计量自查报告模板，支持依据自查情况及整改情况，生成自查报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企业碳核算应用（3分）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①盘查边界管理。适配GHG Protocol、ISO14064标准，提供创建盘查周期、配置核算标准、识别重点排放源、选择盘查范围、配置排放源、匹配排放因子等功能，实现企业碳核算的盘查边界配置及维护。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②数据计量管理。支持用户定义活动水平数据的采集方式、采集频率，并将实测计量数据与活动数据项进行绑定，建立一对一或一对多的采集绑定关系，实现计量分项台账数据的接入。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③盘查报告评价。内置符合国际、国内标准的盘查报告模板，支持根据核算结果及碳盘查相关信息生成盘查及清册报告，提供历史盘查任务的报告评价清单管理。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产品碳足迹应用（3分）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①演示产品模型配置。定义产品碳足迹计量目标与范围，选择内置的碳足迹标准，分阶段完成输入、输出表单配置，创建碳足迹计量模型生命周期阶段及过程，</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②数据采集配置。基于产品碳足迹模型，开展企业排放源及数据采集规则配置，如支持数据导入、实时计量采集、手动数据填报等；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③产品碳足迹核算。支持多种主流的评价方法（包括但不限于IPCC 2021、IPCC 2021、EF3.1、CML），支持一次计算后得到并展示一个计算方法下的多个环境影响类别的结果，满足不同披露场景的需求。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零碳园区碳计量应用（2分）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①园区核算模型配置。内置零碳园区碳排放核算模型，支持对园区的排放源、核算方法和排放因子进行自定义配置，并对各排放源所需关联的计量数据进行配置，并生成对应的数据采集表单。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园区数据采集核算。支持按照确定的采集周期，调用园区采集数据台账的相关计量数据进行活动数据采集，对于无法采集的数据可进行手动补充填报。支持基于园区的核算模型及采集的活动数据，实现对园区各分项碳排放及总碳排放量的核算。</w:t>
            </w:r>
            <w:r/>
          </w:p>
        </w:tc>
      </w:tr>
    </w:tbl>
    <w:p>
      <w:pPr>
        <w:numPr>
          <w:ilvl w:val="0"/>
          <w:numId w:val="12"/>
        </w:numPr>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商务部分（28分）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0"/>
        <w:gridCol w:w="761"/>
        <w:gridCol w:w="6137"/>
      </w:tblGrid>
      <w:tr>
        <w:trPr>
          <w:trHeight w:val="6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6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3.1项目人员能力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项目负责人资质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（1）项目负责人具备电子信息类高级工程师证书、人社部门颁发的碳管理类培训证书的，每个得1分，最高得2分。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（2）项目负责人具有类似项目经验的，得1分。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（须同时提供：①证书扫描件或复印件并加盖公章；②类似项目的证明材料并加盖公章；③近三个月投标人为项目负责人缴纳社保的证明文件并加盖公章。）</w:t>
            </w:r>
            <w:r/>
          </w:p>
        </w:tc>
      </w:tr>
      <w:tr>
        <w:trPr>
          <w:trHeight w:val="68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项目组人员资质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（1）项目组人员具有高级工程师、信息系统项目管理师、高级软件工程师证书的，每个得1分，最高得3分，同类证书不重复得分。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（2）项目组人员具有人社部门颁发的碳管理类培训结业证书的，每个得1分，最高得2分。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（须同时提供：①证书扫描件或复印件并加盖公章；②近三个月投标人为项目组人员缴纳社保的证明文件并加盖公章。）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3.2企业资质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投标人具有计量器具计量评价体系（NIM-CS）证书的，得2分。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（须提供有效期内的证书扫描件或复印件并加盖公章，否则不得分。）</w:t>
            </w:r>
            <w:r/>
          </w:p>
        </w:tc>
      </w:tr>
      <w:tr>
        <w:trPr>
          <w:trHeight w:val="2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vMerge w:val="restart"/>
            <w:textDirection w:val="lrTb"/>
            <w:noWrap w:val="false"/>
          </w:tcPr>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3.3技术能力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top"/>
            <w:textDirection w:val="lrTb"/>
            <w:noWrap w:val="false"/>
          </w:tcPr>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投标人具有与本项目相关的碳计量类、碳核算类、碳足迹类、碳考核类、零碳园区类、区块链类产品软件著作权登记证书的，每提供1个证书得0.5分，最高得3分，同类证书不可重复得分。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如投标文件中提供的软著证书名称表述与招标文件描述的关键字样不一致，而该投标文件中能证明投标人拥有的软件著作权具有相同或相似功能和效果，且评标委员会认可的，视同符合要求。</w:t>
            </w:r>
            <w:r>
              <w:rPr>
                <w:rFonts w:ascii="SimSun" w:hAnsi="SimSun" w:eastAsia="SimSun" w:cs="SimSun"/>
                <w:color w:val="000000"/>
                <w:sz w:val="24"/>
                <w:highlight w:val="none"/>
              </w:rPr>
            </w: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（须提供有效期内的软件著作权证书扫描件或复印件并加盖公章，否则不得分。）</w:t>
            </w:r>
            <w:r/>
          </w:p>
        </w:tc>
      </w:tr>
      <w:tr>
        <w:trPr>
          <w:trHeight w:val="179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投标人出具加盖公章的书面承诺函，承诺中标后完成与“江苏碳足迹数据平台”的数据对接，并明确对接内容、完成时限的，得2分；未提供的，不得分。</w:t>
            </w:r>
            <w:r/>
          </w:p>
        </w:tc>
      </w:tr>
      <w:tr>
        <w:trPr>
          <w:trHeight w:val="13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3.4类似业绩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投标人提供自2023年1月1日以来（以合同签订日期为准）同类型信息化项目业绩的，每提供1个业绩得2分，最高得10分。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（须同时提供业绩合同扫描件及竣工验收报告扫描件或复印件并加盖公章，否则不得分。）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投标人提供以上项目业绩的业主满意度评价的，每有一个得1分，最高得3分。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（须提供相关项目业绩的业主满意度评价报告、或业主感谢信扫描件或复印件并加盖公章，否则不得分。）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6"/>
        <w:rPr>
          <w:rFonts w:ascii="黑体" w:eastAsia="黑体"/>
          <w:bCs/>
          <w:sz w:val="44"/>
        </w:rPr>
      </w:pPr>
      <w:r>
        <w:rPr>
          <w:rFonts w:ascii="黑体" w:eastAsia="黑体"/>
          <w:bCs/>
          <w:sz w:val="44"/>
        </w:rPr>
      </w:r>
      <w:r/>
    </w:p>
    <w:p>
      <w:pPr>
        <w:pStyle w:val="906"/>
        <w:rPr>
          <w:rFonts w:ascii="黑体" w:eastAsia="黑体"/>
          <w:bCs/>
          <w:sz w:val="44"/>
        </w:rPr>
      </w:pPr>
      <w:r>
        <w:rPr>
          <w:rFonts w:ascii="黑体" w:eastAsia="黑体"/>
          <w:bCs/>
          <w:sz w:val="44"/>
        </w:rPr>
      </w:r>
      <w:r/>
    </w:p>
    <w:p>
      <w:pPr>
        <w:pStyle w:val="906"/>
        <w:rPr>
          <w:rFonts w:hint="eastAsia" w:ascii="黑体" w:eastAsia="黑体"/>
          <w:bCs/>
          <w:sz w:val="44"/>
        </w:rPr>
      </w:pPr>
      <w:r>
        <w:rPr>
          <w:rFonts w:hint="eastAsia" w:ascii="黑体" w:eastAsia="黑体"/>
          <w:bCs/>
          <w:sz w:val="44"/>
        </w:rPr>
        <w:t xml:space="preserve">第六章  投标</w:t>
      </w:r>
      <w:bookmarkEnd w:id="191"/>
      <w:r/>
      <w:bookmarkEnd w:id="192"/>
      <w:r/>
      <w:bookmarkEnd w:id="202"/>
      <w:r>
        <w:rPr>
          <w:rFonts w:hint="eastAsia" w:ascii="黑体" w:eastAsia="黑体"/>
          <w:bCs/>
          <w:sz w:val="44"/>
        </w:rPr>
        <w:t xml:space="preserve">文件格式 </w:t>
      </w:r>
      <w:r>
        <w:rPr>
          <w:rFonts w:hint="eastAsia" w:ascii="黑体" w:eastAsia="黑体"/>
          <w:bCs/>
          <w:sz w:val="44"/>
        </w:rPr>
      </w:r>
      <w:r/>
    </w:p>
    <w:p>
      <w:pPr>
        <w:pStyle w:val="905"/>
        <w:jc w:val="center"/>
        <w:rPr>
          <w:rFonts w:hint="eastAsia" w:ascii="宋体" w:hAnsi="宋体"/>
          <w:b/>
          <w:sz w:val="72"/>
        </w:rPr>
      </w:pPr>
      <w:r/>
      <w:bookmarkStart w:id="205" w:name="_Hlt26671244"/>
      <w:r/>
      <w:bookmarkEnd w:id="205"/>
      <w:r/>
      <w:bookmarkStart w:id="206" w:name="_Hlt26955039"/>
      <w:r/>
      <w:bookmarkEnd w:id="206"/>
      <w:r/>
      <w:bookmarkStart w:id="207" w:name="_Toc49090576"/>
      <w:r/>
      <w:bookmarkStart w:id="208" w:name="_Toc120614282"/>
      <w:r/>
      <w:bookmarkStart w:id="209" w:name="_Toc26554094"/>
      <w:r>
        <w:rPr>
          <w:rFonts w:hint="eastAsia" w:ascii="宋体" w:hAnsi="宋体"/>
          <w:b/>
          <w:sz w:val="72"/>
        </w:rPr>
      </w:r>
      <w:r/>
    </w:p>
    <w:p>
      <w:pPr>
        <w:pStyle w:val="90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5"/>
        <w:jc w:val="center"/>
        <w:rPr>
          <w:rFonts w:hint="eastAsia" w:ascii="宋体" w:hAnsi="宋体"/>
          <w:b/>
          <w:sz w:val="72"/>
        </w:rPr>
      </w:pPr>
      <w:r>
        <w:rPr>
          <w:rFonts w:hint="eastAsia" w:ascii="宋体" w:hAnsi="宋体"/>
          <w:b/>
          <w:sz w:val="72"/>
        </w:rPr>
      </w:r>
      <w:r/>
    </w:p>
    <w:p>
      <w:pPr>
        <w:pStyle w:val="905"/>
        <w:jc w:val="center"/>
        <w:rPr>
          <w:rFonts w:hint="eastAsia" w:ascii="宋体" w:hAnsi="宋体"/>
          <w:b/>
          <w:sz w:val="72"/>
        </w:rPr>
      </w:pPr>
      <w:r>
        <w:rPr>
          <w:rFonts w:hint="eastAsia" w:ascii="宋体" w:hAnsi="宋体"/>
          <w:b/>
          <w:sz w:val="72"/>
        </w:rPr>
      </w:r>
      <w:r/>
    </w:p>
    <w:p>
      <w:pPr>
        <w:pStyle w:val="905"/>
        <w:jc w:val="center"/>
        <w:rPr>
          <w:rFonts w:hint="eastAsia" w:ascii="宋体" w:hAnsi="宋体"/>
          <w:b/>
          <w:sz w:val="36"/>
        </w:rPr>
      </w:pPr>
      <w:r>
        <w:rPr>
          <w:rFonts w:hint="eastAsia" w:ascii="宋体" w:hAnsi="宋体"/>
          <w:b/>
          <w:sz w:val="36"/>
        </w:rPr>
      </w:r>
      <w:r/>
    </w:p>
    <w:p>
      <w:pPr>
        <w:pStyle w:val="905"/>
        <w:jc w:val="center"/>
        <w:rPr>
          <w:rFonts w:hint="eastAsia" w:ascii="宋体" w:hAnsi="宋体"/>
          <w:b/>
          <w:sz w:val="36"/>
        </w:rPr>
      </w:pPr>
      <w:r>
        <w:rPr>
          <w:rFonts w:hint="eastAsia" w:ascii="宋体" w:hAnsi="宋体"/>
          <w:b/>
          <w:sz w:val="36"/>
        </w:rPr>
      </w:r>
      <w:r/>
    </w:p>
    <w:p>
      <w:pPr>
        <w:pStyle w:val="905"/>
        <w:jc w:val="center"/>
        <w:rPr>
          <w:rFonts w:hint="eastAsia" w:ascii="宋体" w:hAnsi="宋体"/>
          <w:b/>
          <w:sz w:val="36"/>
        </w:rPr>
      </w:pPr>
      <w:r>
        <w:rPr>
          <w:rFonts w:hint="eastAsia" w:ascii="宋体" w:hAnsi="宋体"/>
          <w:b/>
          <w:sz w:val="36"/>
        </w:rPr>
      </w:r>
      <w:r/>
    </w:p>
    <w:p>
      <w:pPr>
        <w:pStyle w:val="90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0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spacing w:line="440" w:lineRule="exact"/>
        <w:rPr>
          <w:rFonts w:ascii="宋体" w:hAnsi="宋体"/>
        </w:rPr>
      </w:pPr>
      <w:r>
        <w:rPr>
          <w:rFonts w:ascii="宋体" w:hAnsi="宋体"/>
        </w:rPr>
      </w:r>
      <w:r/>
    </w:p>
    <w:p>
      <w:pPr>
        <w:pStyle w:val="90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0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0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0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0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0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0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0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0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0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0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0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0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0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0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0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0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0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0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0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0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0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05"/>
        <w:ind w:firstLine="480"/>
        <w:spacing w:line="400" w:lineRule="exact"/>
        <w:rPr>
          <w:rFonts w:hint="eastAsia" w:ascii="宋体" w:hAnsi="宋体"/>
          <w:sz w:val="24"/>
        </w:rPr>
      </w:pPr>
      <w:r>
        <w:rPr>
          <w:rFonts w:hint="eastAsia" w:ascii="宋体" w:hAnsi="宋体"/>
          <w:sz w:val="24"/>
        </w:rPr>
      </w:r>
      <w:r/>
    </w:p>
    <w:p>
      <w:pPr>
        <w:pStyle w:val="905"/>
        <w:rPr>
          <w:rFonts w:ascii="宋体" w:hAnsi="宋体"/>
          <w:b/>
          <w:color w:val="ff0000"/>
          <w:sz w:val="24"/>
          <w:szCs w:val="24"/>
        </w:rPr>
      </w:pPr>
      <w:r>
        <w:rPr>
          <w:rFonts w:ascii="宋体" w:hAnsi="宋体"/>
          <w:b/>
          <w:color w:val="ff0000"/>
          <w:sz w:val="24"/>
          <w:szCs w:val="24"/>
        </w:rPr>
      </w:r>
      <w:r/>
    </w:p>
    <w:p>
      <w:pPr>
        <w:pStyle w:val="90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0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0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0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5"/>
        <w:ind w:firstLine="480"/>
        <w:rPr>
          <w:rFonts w:hint="eastAsia" w:ascii="宋体" w:hAnsi="宋体"/>
          <w:sz w:val="24"/>
          <w:szCs w:val="24"/>
        </w:rPr>
      </w:pPr>
      <w:r>
        <w:rPr>
          <w:rFonts w:hint="eastAsia" w:ascii="宋体" w:hAnsi="宋体"/>
          <w:sz w:val="24"/>
          <w:szCs w:val="24"/>
        </w:rPr>
      </w:r>
      <w:r/>
    </w:p>
    <w:p>
      <w:pPr>
        <w:pStyle w:val="905"/>
        <w:jc w:val="center"/>
        <w:rPr>
          <w:rFonts w:ascii="宋体" w:hAnsi="宋体"/>
          <w:b/>
          <w:sz w:val="24"/>
          <w:szCs w:val="24"/>
        </w:rPr>
      </w:pPr>
      <w:r>
        <w:rPr>
          <w:rFonts w:ascii="宋体" w:hAnsi="宋体"/>
          <w:b/>
          <w:sz w:val="24"/>
          <w:szCs w:val="24"/>
        </w:rPr>
      </w:r>
      <w:r/>
    </w:p>
    <w:p>
      <w:pPr>
        <w:pStyle w:val="90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90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90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90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8"/>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905"/>
        <w:ind w:firstLine="482"/>
        <w:spacing w:line="560" w:lineRule="exact"/>
        <w:rPr>
          <w:rFonts w:hint="eastAsia" w:ascii="宋体" w:hAnsi="宋体" w:cs="宋体"/>
          <w:sz w:val="24"/>
          <w:szCs w:val="24"/>
        </w:rPr>
      </w:pPr>
      <w:r>
        <w:rPr>
          <w:rFonts w:hint="eastAsia" w:ascii="宋体" w:hAnsi="宋体" w:cs="宋体"/>
          <w:sz w:val="24"/>
          <w:szCs w:val="24"/>
        </w:rPr>
        <w:t xml:space="preserve">5.项目经办人可以根据项目实际需要对表格结构进行调整。</w:t>
      </w:r>
      <w:r>
        <w:rPr>
          <w:rFonts w:hint="eastAsia" w:ascii="宋体" w:hAnsi="宋体" w:cs="宋体"/>
          <w:sz w:val="24"/>
          <w:szCs w:val="24"/>
        </w:rPr>
      </w:r>
      <w:r/>
    </w:p>
    <w:p>
      <w:pPr>
        <w:pStyle w:val="90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5"/>
        <w:rPr>
          <w:rFonts w:hint="eastAsia" w:ascii="宋体" w:hAnsi="宋体"/>
          <w:b/>
          <w:sz w:val="24"/>
        </w:rPr>
      </w:pPr>
      <w:r>
        <w:rPr>
          <w:rFonts w:hint="eastAsia" w:ascii="宋体" w:hAnsi="宋体"/>
          <w:b/>
          <w:sz w:val="24"/>
        </w:rPr>
      </w:r>
      <w:r/>
    </w:p>
    <w:p>
      <w:pPr>
        <w:pStyle w:val="905"/>
        <w:ind w:firstLine="480"/>
        <w:spacing w:line="440" w:lineRule="exact"/>
        <w:rPr>
          <w:rFonts w:ascii="宋体" w:hAnsi="宋体"/>
          <w:sz w:val="24"/>
        </w:rPr>
      </w:pPr>
      <w:r>
        <w:rPr>
          <w:rFonts w:ascii="宋体" w:hAnsi="宋体"/>
          <w:sz w:val="24"/>
        </w:rPr>
      </w:r>
      <w:r/>
    </w:p>
    <w:p>
      <w:pPr>
        <w:pStyle w:val="90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0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0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0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0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05"/>
        <w:ind w:left="480"/>
        <w:rPr>
          <w:rFonts w:ascii="宋体" w:hAnsi="宋体"/>
          <w:b/>
          <w:color w:val="000000"/>
          <w:sz w:val="24"/>
        </w:rPr>
      </w:pPr>
      <w:r>
        <w:rPr>
          <w:rFonts w:ascii="宋体" w:hAnsi="宋体"/>
          <w:b/>
          <w:color w:val="000000"/>
          <w:sz w:val="24"/>
        </w:rPr>
      </w:r>
      <w:r/>
    </w:p>
    <w:p>
      <w:pPr>
        <w:pStyle w:val="90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05"/>
        <w:jc w:val="center"/>
        <w:spacing w:line="460" w:lineRule="exact"/>
        <w:rPr>
          <w:rFonts w:ascii="宋体" w:hAnsi="宋体"/>
          <w:b/>
          <w:bCs/>
          <w:color w:val="000000"/>
          <w:sz w:val="24"/>
        </w:rPr>
      </w:pPr>
      <w:r>
        <w:rPr>
          <w:rFonts w:ascii="宋体" w:hAnsi="宋体"/>
          <w:b/>
          <w:bCs/>
          <w:color w:val="000000"/>
          <w:sz w:val="24"/>
        </w:rPr>
      </w:r>
      <w:r/>
    </w:p>
    <w:p>
      <w:pPr>
        <w:pStyle w:val="90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05"/>
        <w:ind w:left="480"/>
        <w:rPr>
          <w:rFonts w:ascii="宋体" w:hAnsi="宋体"/>
          <w:b/>
          <w:color w:val="ff0000"/>
          <w:sz w:val="24"/>
        </w:rPr>
      </w:pPr>
      <w:r>
        <w:rPr>
          <w:rFonts w:ascii="宋体" w:hAnsi="宋体"/>
          <w:b/>
          <w:color w:val="ff0000"/>
          <w:sz w:val="24"/>
        </w:rPr>
      </w:r>
      <w:r/>
    </w:p>
    <w:p>
      <w:pPr>
        <w:pStyle w:val="905"/>
        <w:ind w:firstLine="480"/>
        <w:spacing w:line="460" w:lineRule="exact"/>
        <w:rPr>
          <w:rFonts w:ascii="宋体" w:hAnsi="宋体"/>
          <w:b/>
          <w:color w:val="000000"/>
          <w:sz w:val="24"/>
        </w:rPr>
      </w:pPr>
      <w:r>
        <w:rPr>
          <w:rFonts w:ascii="宋体" w:hAnsi="宋体"/>
          <w:b/>
          <w:color w:val="000000"/>
          <w:sz w:val="24"/>
        </w:rPr>
      </w:r>
      <w:r/>
    </w:p>
    <w:p>
      <w:pPr>
        <w:pStyle w:val="905"/>
        <w:ind w:firstLine="480"/>
        <w:spacing w:line="460" w:lineRule="exact"/>
        <w:rPr>
          <w:rFonts w:ascii="宋体" w:hAnsi="宋体"/>
          <w:b/>
          <w:color w:val="000000"/>
          <w:sz w:val="24"/>
        </w:rPr>
      </w:pPr>
      <w:r>
        <w:rPr>
          <w:rFonts w:ascii="宋体" w:hAnsi="宋体"/>
          <w:b/>
          <w:color w:val="000000"/>
          <w:sz w:val="24"/>
        </w:rPr>
      </w:r>
      <w:r/>
    </w:p>
    <w:p>
      <w:pPr>
        <w:pStyle w:val="905"/>
        <w:ind w:firstLine="480"/>
        <w:spacing w:line="460" w:lineRule="exact"/>
        <w:rPr>
          <w:rFonts w:hint="eastAsia" w:ascii="宋体" w:hAnsi="宋体"/>
          <w:b/>
          <w:color w:val="000000"/>
          <w:sz w:val="24"/>
        </w:rPr>
      </w:pPr>
      <w:r>
        <w:rPr>
          <w:rFonts w:hint="eastAsia" w:ascii="宋体" w:hAnsi="宋体"/>
          <w:b/>
          <w:color w:val="000000"/>
          <w:sz w:val="24"/>
        </w:rPr>
      </w:r>
      <w:r/>
    </w:p>
    <w:p>
      <w:pPr>
        <w:pStyle w:val="90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0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0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0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5"/>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0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0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1"/>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0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1"/>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1"/>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0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spacing w:line="460" w:lineRule="exact"/>
        <w:rPr>
          <w:rFonts w:hint="eastAsia" w:ascii="黑体" w:hAnsi="黑体" w:eastAsia="黑体"/>
          <w:b/>
          <w:sz w:val="32"/>
          <w:szCs w:val="32"/>
        </w:rPr>
      </w:pPr>
      <w:r/>
      <w:bookmarkEnd w:id="207"/>
      <w:r/>
      <w:bookmarkEnd w:id="208"/>
      <w:r/>
      <w:bookmarkEnd w:id="209"/>
      <w:r/>
      <w:bookmarkStart w:id="210" w:name="_Toc120614284"/>
      <w:r>
        <w:rPr>
          <w:rFonts w:hint="eastAsia" w:ascii="黑体" w:hAnsi="黑体" w:eastAsia="黑体"/>
          <w:b/>
          <w:sz w:val="32"/>
          <w:szCs w:val="32"/>
        </w:rPr>
      </w:r>
      <w:r/>
    </w:p>
    <w:p>
      <w:pPr>
        <w:pStyle w:val="90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5"/>
        <w:ind w:right="720"/>
        <w:spacing w:line="400" w:lineRule="exact"/>
        <w:rPr>
          <w:rFonts w:hint="eastAsia" w:ascii="宋体" w:hAnsi="宋体"/>
          <w:sz w:val="24"/>
          <w:szCs w:val="24"/>
        </w:rPr>
      </w:pPr>
      <w:r>
        <w:rPr>
          <w:rFonts w:hint="eastAsia" w:ascii="宋体" w:hAnsi="宋体"/>
          <w:sz w:val="24"/>
          <w:szCs w:val="24"/>
        </w:rPr>
      </w:r>
      <w:r/>
    </w:p>
    <w:p>
      <w:pPr>
        <w:pStyle w:val="90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0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0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0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5"/>
        <w:ind w:firstLine="480"/>
        <w:spacing w:line="0" w:lineRule="atLeast"/>
        <w:rPr>
          <w:rFonts w:hint="eastAsia" w:ascii="宋体" w:hAnsi="宋体"/>
          <w:sz w:val="24"/>
        </w:rPr>
      </w:pPr>
      <w:r>
        <w:rPr>
          <w:rFonts w:hint="eastAsia" w:ascii="宋体" w:hAnsi="宋体"/>
          <w:sz w:val="24"/>
        </w:rPr>
      </w:r>
      <w:r/>
    </w:p>
    <w:p>
      <w:pPr>
        <w:pStyle w:val="90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0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0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0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0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0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0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0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05"/>
        <w:ind w:firstLine="645"/>
        <w:spacing w:line="0" w:lineRule="atLeast"/>
        <w:rPr>
          <w:rFonts w:hint="eastAsia" w:ascii="宋体" w:hAnsi="宋体"/>
          <w:sz w:val="24"/>
        </w:rPr>
      </w:pPr>
      <w:r>
        <w:rPr>
          <w:rFonts w:hint="eastAsia" w:ascii="宋体" w:hAnsi="宋体"/>
          <w:sz w:val="24"/>
        </w:rPr>
      </w:r>
      <w:r/>
    </w:p>
    <w:p>
      <w:pPr>
        <w:pStyle w:val="90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5"/>
        <w:ind w:firstLine="645"/>
        <w:spacing w:line="560" w:lineRule="exact"/>
        <w:rPr>
          <w:rFonts w:hint="eastAsia" w:ascii="宋体" w:hAnsi="宋体"/>
          <w:sz w:val="24"/>
        </w:rPr>
      </w:pPr>
      <w:r>
        <w:rPr>
          <w:rFonts w:hint="eastAsia" w:ascii="宋体" w:hAnsi="宋体"/>
          <w:sz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color w:val="ff0000"/>
          <w:sz w:val="24"/>
          <w:szCs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rPr>
          <w:rFonts w:hint="eastAsia"/>
        </w:rPr>
      </w:pPr>
      <w:r>
        <w:rPr>
          <w:rFonts w:hint="eastAsia"/>
        </w:rPr>
      </w:r>
      <w:r/>
    </w:p>
    <w:p>
      <w:pPr>
        <w:pStyle w:val="90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8"/>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8"/>
        <w:ind w:firstLine="480"/>
        <w:spacing w:before="30" w:beforeAutospacing="0" w:after="30" w:afterAutospacing="0" w:line="560" w:lineRule="exact"/>
        <w:rPr>
          <w:rFonts w:hint="eastAsia"/>
        </w:rPr>
      </w:pPr>
      <w:r>
        <w:rPr>
          <w:rFonts w:hint="eastAsia"/>
        </w:rPr>
        <w:t xml:space="preserve">1.</w:t>
      </w:r>
      <w:r>
        <w:rPr>
          <w:rStyle w:val="920"/>
          <w:rFonts w:hint="eastAsia"/>
        </w:rPr>
        <w:t xml:space="preserve">（产品名称1）</w:t>
      </w:r>
      <w:r>
        <w:rPr>
          <w:rStyle w:val="920"/>
          <w:rFonts w:hint="eastAsia"/>
          <w:vertAlign w:val="superscript"/>
        </w:rPr>
        <w:t xml:space="preserve">1</w:t>
      </w:r>
      <w:r>
        <w:rPr>
          <w:rFonts w:hint="eastAsia"/>
        </w:rPr>
        <w:t xml:space="preserve">，生产厂为</w:t>
      </w:r>
      <w:r>
        <w:rPr>
          <w:rStyle w:val="920"/>
          <w:rFonts w:hint="eastAsia"/>
        </w:rPr>
        <w:t xml:space="preserve">（厂名）</w:t>
      </w:r>
      <w:r>
        <w:rPr>
          <w:rStyle w:val="920"/>
          <w:rFonts w:hint="eastAsia"/>
          <w:vertAlign w:val="superscript"/>
        </w:rPr>
        <w:t xml:space="preserve">2</w:t>
      </w:r>
      <w:r>
        <w:rPr>
          <w:rFonts w:hint="eastAsia"/>
        </w:rPr>
        <w:t xml:space="preserve">，厂址为</w:t>
      </w:r>
      <w:r>
        <w:rPr>
          <w:rStyle w:val="920"/>
          <w:rFonts w:hint="eastAsia"/>
        </w:rPr>
        <w:t xml:space="preserve">（生产厂址）</w:t>
      </w:r>
      <w:r>
        <w:rPr>
          <w:rFonts w:hint="eastAsia"/>
        </w:rPr>
        <w:t xml:space="preserve">。</w:t>
      </w:r>
      <w:r>
        <w:rPr>
          <w:rFonts w:hint="eastAsia"/>
          <w:u w:val="single"/>
        </w:rPr>
        <w:t xml:space="preserve"> </w:t>
      </w:r>
      <w:r>
        <w:rPr>
          <w:rStyle w:val="920"/>
          <w:rFonts w:hint="eastAsia"/>
        </w:rPr>
        <w:t xml:space="preserve">/ </w:t>
      </w:r>
      <w:r>
        <w:rPr>
          <w:rFonts w:hint="eastAsia"/>
        </w:rPr>
        <w:t xml:space="preserve">的中国境内生产的组件成本占比≥</w:t>
      </w:r>
      <w:r>
        <w:rPr>
          <w:rFonts w:hint="eastAsia"/>
          <w:u w:val="single"/>
        </w:rPr>
        <w:t xml:space="preserve">  </w:t>
      </w:r>
      <w:r>
        <w:rPr>
          <w:rStyle w:val="920"/>
          <w:rFonts w:hint="eastAsia"/>
        </w:rPr>
        <w:t xml:space="preserve">/  </w:t>
      </w:r>
      <w:r>
        <w:rPr>
          <w:rStyle w:val="920"/>
          <w:rFonts w:hint="eastAsia"/>
          <w:vertAlign w:val="superscript"/>
        </w:rPr>
        <w:t xml:space="preserve">3</w:t>
      </w:r>
      <w:r>
        <w:rPr>
          <w:rFonts w:hint="eastAsia"/>
        </w:rPr>
        <w:t xml:space="preserve">。</w:t>
      </w:r>
      <w:r>
        <w:rPr>
          <w:rFonts w:hint="eastAsia"/>
          <w:u w:val="single"/>
        </w:rPr>
        <w:t xml:space="preserve">  </w:t>
      </w:r>
      <w:r>
        <w:rPr>
          <w:rStyle w:val="920"/>
          <w:rFonts w:hint="eastAsia"/>
        </w:rPr>
        <w:t xml:space="preserve">/  </w:t>
      </w:r>
      <w:r>
        <w:rPr>
          <w:rFonts w:hint="eastAsia"/>
        </w:rPr>
        <w:t xml:space="preserve">的</w:t>
      </w:r>
      <w:r>
        <w:rPr>
          <w:rFonts w:hint="eastAsia"/>
          <w:u w:val="single"/>
        </w:rPr>
        <w:t xml:space="preserve">  </w:t>
      </w:r>
      <w:r>
        <w:rPr>
          <w:rStyle w:val="920"/>
          <w:rFonts w:hint="eastAsia"/>
        </w:rPr>
        <w:t xml:space="preserve">/  </w:t>
      </w:r>
      <w:r>
        <w:rPr>
          <w:rStyle w:val="920"/>
          <w:rFonts w:hint="eastAsia"/>
          <w:vertAlign w:val="superscript"/>
        </w:rPr>
        <w:t xml:space="preserve">4</w:t>
      </w:r>
      <w:r>
        <w:rPr>
          <w:rFonts w:hint="eastAsia"/>
        </w:rPr>
        <w:t xml:space="preserve">在中国境内生产。</w:t>
      </w:r>
      <w:r>
        <w:rPr>
          <w:rFonts w:hint="eastAsia"/>
          <w:u w:val="single"/>
        </w:rPr>
        <w:t xml:space="preserve">  </w:t>
      </w:r>
      <w:r>
        <w:rPr>
          <w:rStyle w:val="920"/>
          <w:rFonts w:hint="eastAsia"/>
        </w:rPr>
        <w:t xml:space="preserve">/  </w:t>
      </w:r>
      <w:r>
        <w:rPr>
          <w:rFonts w:hint="eastAsia"/>
        </w:rPr>
        <w:t xml:space="preserve">的</w:t>
      </w:r>
      <w:r>
        <w:rPr>
          <w:rFonts w:hint="eastAsia"/>
          <w:u w:val="single"/>
        </w:rPr>
        <w:t xml:space="preserve">  </w:t>
      </w:r>
      <w:r>
        <w:rPr>
          <w:rStyle w:val="920"/>
          <w:rFonts w:hint="eastAsia"/>
        </w:rPr>
        <w:t xml:space="preserve">/  </w:t>
      </w:r>
      <w:r>
        <w:rPr>
          <w:rStyle w:val="920"/>
          <w:rFonts w:hint="eastAsia"/>
          <w:vertAlign w:val="superscript"/>
        </w:rPr>
        <w:t xml:space="preserve">5</w:t>
      </w:r>
      <w:r>
        <w:rPr>
          <w:rFonts w:hint="eastAsia"/>
        </w:rPr>
        <w:t xml:space="preserve">在中国境内完成。</w:t>
      </w:r>
      <w:r>
        <w:rPr>
          <w:rFonts w:hint="eastAsia"/>
        </w:rPr>
      </w:r>
      <w:r/>
    </w:p>
    <w:p>
      <w:pPr>
        <w:pStyle w:val="988"/>
        <w:ind w:firstLine="480"/>
        <w:spacing w:before="30" w:beforeAutospacing="0" w:after="30" w:afterAutospacing="0" w:line="560" w:lineRule="exact"/>
        <w:rPr>
          <w:rFonts w:hint="eastAsia"/>
        </w:rPr>
      </w:pPr>
      <w:r>
        <w:rPr>
          <w:rFonts w:hint="eastAsia"/>
        </w:rPr>
        <w:t xml:space="preserve">2.</w:t>
      </w:r>
      <w:r>
        <w:rPr>
          <w:rStyle w:val="920"/>
          <w:rFonts w:hint="eastAsia"/>
        </w:rPr>
        <w:t xml:space="preserve">（产品名称2）</w:t>
      </w:r>
      <w:r>
        <w:rPr>
          <w:rFonts w:hint="eastAsia"/>
        </w:rPr>
        <w:t xml:space="preserve">，生产厂为</w:t>
      </w:r>
      <w:r>
        <w:rPr>
          <w:rStyle w:val="920"/>
          <w:rFonts w:hint="eastAsia"/>
        </w:rPr>
        <w:t xml:space="preserve">（厂名）</w:t>
      </w:r>
      <w:r>
        <w:rPr>
          <w:rFonts w:hint="eastAsia"/>
        </w:rPr>
        <w:t xml:space="preserve">，厂址为</w:t>
      </w:r>
      <w:r>
        <w:rPr>
          <w:rStyle w:val="920"/>
          <w:rFonts w:hint="eastAsia"/>
        </w:rPr>
        <w:t xml:space="preserve">（生产厂址）</w:t>
      </w:r>
      <w:r>
        <w:rPr>
          <w:rFonts w:hint="eastAsia"/>
        </w:rPr>
        <w:t xml:space="preserve">。</w:t>
      </w:r>
      <w:r>
        <w:rPr>
          <w:rFonts w:hint="eastAsia"/>
          <w:u w:val="single"/>
        </w:rPr>
        <w:t xml:space="preserve"> </w:t>
      </w:r>
      <w:r>
        <w:rPr>
          <w:rStyle w:val="920"/>
          <w:rFonts w:hint="eastAsia"/>
        </w:rPr>
        <w:t xml:space="preserve">/  </w:t>
      </w:r>
      <w:r>
        <w:rPr>
          <w:rFonts w:hint="eastAsia"/>
        </w:rPr>
        <w:t xml:space="preserve">的中国境内生产的组件成本占比≥</w:t>
      </w:r>
      <w:r>
        <w:rPr>
          <w:rFonts w:hint="eastAsia"/>
          <w:u w:val="single"/>
        </w:rPr>
        <w:t xml:space="preserve">  </w:t>
      </w:r>
      <w:r>
        <w:rPr>
          <w:rStyle w:val="920"/>
          <w:rFonts w:hint="eastAsia"/>
        </w:rPr>
        <w:t xml:space="preserve">/  </w:t>
      </w:r>
      <w:r>
        <w:rPr>
          <w:rFonts w:hint="eastAsia"/>
        </w:rPr>
        <w:t xml:space="preserve">。</w:t>
      </w:r>
      <w:r>
        <w:rPr>
          <w:rFonts w:hint="eastAsia"/>
          <w:u w:val="single"/>
        </w:rPr>
        <w:t xml:space="preserve">  </w:t>
      </w:r>
      <w:r>
        <w:rPr>
          <w:rStyle w:val="920"/>
          <w:rFonts w:hint="eastAsia"/>
        </w:rPr>
        <w:t xml:space="preserve">/  </w:t>
      </w:r>
      <w:r>
        <w:rPr>
          <w:rFonts w:hint="eastAsia"/>
        </w:rPr>
        <w:t xml:space="preserve">的</w:t>
      </w:r>
      <w:r>
        <w:rPr>
          <w:rFonts w:hint="eastAsia"/>
          <w:u w:val="single"/>
        </w:rPr>
        <w:t xml:space="preserve">  </w:t>
      </w:r>
      <w:r>
        <w:rPr>
          <w:rStyle w:val="920"/>
          <w:rFonts w:hint="eastAsia"/>
        </w:rPr>
        <w:t xml:space="preserve">/  </w:t>
      </w:r>
      <w:r>
        <w:rPr>
          <w:rFonts w:hint="eastAsia"/>
        </w:rPr>
        <w:t xml:space="preserve">在中国境内生产。</w:t>
      </w:r>
      <w:r>
        <w:rPr>
          <w:rFonts w:hint="eastAsia"/>
          <w:u w:val="single"/>
        </w:rPr>
        <w:t xml:space="preserve">  </w:t>
      </w:r>
      <w:r>
        <w:rPr>
          <w:rStyle w:val="920"/>
          <w:rFonts w:hint="eastAsia"/>
        </w:rPr>
        <w:t xml:space="preserve">/  </w:t>
      </w:r>
      <w:r>
        <w:rPr>
          <w:rFonts w:hint="eastAsia"/>
        </w:rPr>
        <w:t xml:space="preserve">的</w:t>
      </w:r>
      <w:r>
        <w:rPr>
          <w:rFonts w:hint="eastAsia"/>
          <w:u w:val="single"/>
        </w:rPr>
        <w:t xml:space="preserve">  </w:t>
      </w:r>
      <w:r>
        <w:rPr>
          <w:rStyle w:val="920"/>
          <w:rFonts w:hint="eastAsia"/>
        </w:rPr>
        <w:t xml:space="preserve">/  </w:t>
      </w:r>
      <w:r>
        <w:rPr>
          <w:rFonts w:hint="eastAsia"/>
        </w:rPr>
        <w:t xml:space="preserve">在中国境内完成。</w:t>
      </w:r>
      <w:r>
        <w:rPr>
          <w:rFonts w:hint="eastAsia"/>
        </w:rPr>
      </w:r>
      <w:r/>
    </w:p>
    <w:p>
      <w:pPr>
        <w:pStyle w:val="988"/>
        <w:ind w:firstLine="480"/>
        <w:spacing w:before="30" w:beforeAutospacing="0" w:after="30" w:afterAutospacing="0" w:line="560" w:lineRule="exact"/>
        <w:rPr>
          <w:rFonts w:hint="eastAsia"/>
        </w:rPr>
      </w:pPr>
      <w:r>
        <w:rPr>
          <w:rFonts w:hint="eastAsia"/>
        </w:rPr>
        <w:t xml:space="preserve">……</w:t>
      </w:r>
      <w:r>
        <w:rPr>
          <w:rFonts w:hint="eastAsia"/>
        </w:rPr>
      </w:r>
      <w:r/>
    </w:p>
    <w:p>
      <w:pPr>
        <w:pStyle w:val="988"/>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8"/>
        <w:ind w:firstLine="480"/>
        <w:spacing w:before="30" w:beforeAutospacing="0" w:after="30" w:afterAutospacing="0" w:line="560" w:lineRule="exact"/>
        <w:rPr>
          <w:rFonts w:hint="eastAsia"/>
        </w:rPr>
      </w:pPr>
      <w:r>
        <w:rPr>
          <w:rFonts w:hint="eastAsia"/>
        </w:rPr>
      </w:r>
      <w:r/>
    </w:p>
    <w:p>
      <w:pPr>
        <w:pStyle w:val="988"/>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8"/>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8"/>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8"/>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8"/>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8"/>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8"/>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8"/>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8"/>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20"/>
          <w:rFonts w:hint="eastAsia"/>
        </w:rPr>
        <w:t xml:space="preserve">/  </w:t>
      </w:r>
      <w:r>
        <w:rPr>
          <w:rFonts w:hint="eastAsia"/>
        </w:rPr>
        <w:t xml:space="preserve">”的地方无需填写。</w:t>
      </w:r>
      <w:r>
        <w:rPr>
          <w:rFonts w:hint="eastAsia"/>
        </w:rPr>
      </w:r>
      <w:r/>
    </w:p>
    <w:p>
      <w:pPr>
        <w:pStyle w:val="90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8"/>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8"/>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8"/>
        <w:ind w:firstLine="480"/>
        <w:spacing w:before="0" w:beforeAutospacing="0" w:after="0" w:afterAutospacing="0" w:line="560" w:lineRule="exact"/>
        <w:rPr>
          <w:rFonts w:hint="eastAsia"/>
        </w:rPr>
      </w:pPr>
      <w:r>
        <w:rPr>
          <w:rFonts w:hint="eastAsia"/>
        </w:rPr>
      </w:r>
      <w:r/>
    </w:p>
    <w:p>
      <w:pPr>
        <w:pStyle w:val="988"/>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rPr>
          <w:rFonts w:hint="eastAsia" w:ascii="宋体" w:hAnsi="宋体" w:cs="仿宋"/>
          <w:b/>
          <w:bCs/>
          <w:sz w:val="32"/>
          <w:szCs w:val="32"/>
        </w:rPr>
      </w:pPr>
      <w:r/>
      <w:bookmarkEnd w:id="189"/>
      <w:r/>
      <w:bookmarkEnd w:id="190"/>
      <w:r/>
      <w:bookmarkEnd w:id="210"/>
      <w:r>
        <w:rPr>
          <w:rFonts w:hint="eastAsia" w:ascii="宋体" w:hAnsi="宋体" w:cs="仿宋"/>
          <w:b/>
          <w:bCs/>
          <w:sz w:val="32"/>
          <w:szCs w:val="32"/>
        </w:rPr>
      </w:r>
      <w:r/>
    </w:p>
    <w:p>
      <w:pPr>
        <w:pStyle w:val="90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4"/>
        <w:rPr>
          <w:rFonts w:hint="eastAsia"/>
          <w:sz w:val="24"/>
          <w:szCs w:val="24"/>
        </w:rPr>
      </w:pPr>
      <w:r>
        <w:rPr>
          <w:rFonts w:hint="eastAsia"/>
          <w:sz w:val="24"/>
          <w:szCs w:val="24"/>
        </w:rPr>
      </w:r>
      <w:r/>
    </w:p>
    <w:p>
      <w:pPr>
        <w:pStyle w:val="984"/>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等线 Light">
    <w:panose1 w:val="02010600030101010101"/>
  </w:font>
  <w:font w:name="仿宋">
    <w:panose1 w:val="02010609060101010101"/>
  </w:font>
  <w:font w:name="SimHei">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22"/>
        <w:rFonts w:ascii="宋体" w:hAnsi="宋体"/>
      </w:rPr>
      <w:framePr w:wrap="around" w:vAnchor="text" w:hAnchor="margin" w:xAlign="center" w:y="1"/>
    </w:pPr>
    <w:r>
      <w:rPr>
        <w:rFonts w:ascii="宋体" w:hAnsi="宋体"/>
      </w:rPr>
      <w:fldChar w:fldCharType="begin"/>
    </w:r>
    <w:r>
      <w:rPr>
        <w:rStyle w:val="922"/>
        <w:rFonts w:ascii="宋体" w:hAnsi="宋体"/>
      </w:rPr>
      <w:instrText xml:space="preserve">PAGE  </w:instrText>
    </w:r>
    <w:r>
      <w:rPr>
        <w:rFonts w:ascii="宋体" w:hAnsi="宋体"/>
      </w:rPr>
      <w:fldChar w:fldCharType="separate"/>
    </w:r>
    <w:r>
      <w:rPr>
        <w:rStyle w:val="922"/>
        <w:rFonts w:ascii="宋体" w:hAnsi="宋体"/>
      </w:rPr>
      <w:t xml:space="preserve">30</w:t>
    </w:r>
    <w:r>
      <w:rPr>
        <w:rFonts w:ascii="宋体" w:hAnsi="宋体"/>
      </w:rPr>
      <w:fldChar w:fldCharType="end"/>
    </w:r>
    <w:r>
      <w:rPr>
        <w:rStyle w:val="922"/>
        <w:rFonts w:ascii="宋体" w:hAnsi="宋体"/>
      </w:rPr>
    </w:r>
    <w:r/>
  </w:p>
  <w:p>
    <w:pPr>
      <w:pStyle w:val="9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rPr>
        <w:rStyle w:val="922"/>
      </w:rPr>
    </w:r>
    <w:r/>
  </w:p>
  <w:p>
    <w:pPr>
      <w:pStyle w:val="9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5"/>
        <w:ind w:left="920" w:hanging="440"/>
      </w:pPr>
    </w:lvl>
    <w:lvl w:ilvl="1">
      <w:start w:val="1"/>
      <w:numFmt w:val="lowerLetter"/>
      <w:isLgl w:val="false"/>
      <w:suff w:val="tab"/>
      <w:lvlText w:val="%2)"/>
      <w:lvlJc w:val="left"/>
      <w:pPr>
        <w:pStyle w:val="905"/>
        <w:ind w:left="1360" w:hanging="440"/>
      </w:pPr>
    </w:lvl>
    <w:lvl w:ilvl="2">
      <w:start w:val="1"/>
      <w:numFmt w:val="lowerRoman"/>
      <w:isLgl w:val="false"/>
      <w:suff w:val="tab"/>
      <w:lvlText w:val="%3."/>
      <w:lvlJc w:val="right"/>
      <w:pPr>
        <w:pStyle w:val="905"/>
        <w:ind w:left="1800" w:hanging="440"/>
      </w:pPr>
    </w:lvl>
    <w:lvl w:ilvl="3">
      <w:start w:val="1"/>
      <w:numFmt w:val="decimal"/>
      <w:isLgl w:val="false"/>
      <w:suff w:val="tab"/>
      <w:lvlText w:val="%4."/>
      <w:lvlJc w:val="left"/>
      <w:pPr>
        <w:pStyle w:val="905"/>
        <w:ind w:left="2240" w:hanging="440"/>
      </w:pPr>
    </w:lvl>
    <w:lvl w:ilvl="4">
      <w:start w:val="1"/>
      <w:numFmt w:val="lowerLetter"/>
      <w:isLgl w:val="false"/>
      <w:suff w:val="tab"/>
      <w:lvlText w:val="%5)"/>
      <w:lvlJc w:val="left"/>
      <w:pPr>
        <w:pStyle w:val="905"/>
        <w:ind w:left="2680" w:hanging="440"/>
      </w:pPr>
    </w:lvl>
    <w:lvl w:ilvl="5">
      <w:start w:val="1"/>
      <w:numFmt w:val="lowerRoman"/>
      <w:isLgl w:val="false"/>
      <w:suff w:val="tab"/>
      <w:lvlText w:val="%6."/>
      <w:lvlJc w:val="right"/>
      <w:pPr>
        <w:pStyle w:val="905"/>
        <w:ind w:left="3120" w:hanging="440"/>
      </w:pPr>
    </w:lvl>
    <w:lvl w:ilvl="6">
      <w:start w:val="1"/>
      <w:numFmt w:val="decimal"/>
      <w:isLgl w:val="false"/>
      <w:suff w:val="tab"/>
      <w:lvlText w:val="%7."/>
      <w:lvlJc w:val="left"/>
      <w:pPr>
        <w:pStyle w:val="905"/>
        <w:ind w:left="3560" w:hanging="440"/>
      </w:pPr>
    </w:lvl>
    <w:lvl w:ilvl="7">
      <w:start w:val="1"/>
      <w:numFmt w:val="lowerLetter"/>
      <w:isLgl w:val="false"/>
      <w:suff w:val="tab"/>
      <w:lvlText w:val="%8)"/>
      <w:lvlJc w:val="left"/>
      <w:pPr>
        <w:pStyle w:val="905"/>
        <w:ind w:left="4000" w:hanging="440"/>
      </w:pPr>
    </w:lvl>
    <w:lvl w:ilvl="8">
      <w:start w:val="1"/>
      <w:numFmt w:val="lowerRoman"/>
      <w:isLgl w:val="false"/>
      <w:suff w:val="tab"/>
      <w:lvlText w:val="%9."/>
      <w:lvlJc w:val="right"/>
      <w:pPr>
        <w:pStyle w:val="905"/>
        <w:ind w:left="4440" w:hanging="440"/>
      </w:pPr>
    </w:lvl>
  </w:abstractNum>
  <w:abstractNum w:abstractNumId="2">
    <w:multiLevelType w:val="hybridMultilevel"/>
    <w:lvl w:ilvl="0">
      <w:start w:val="3"/>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4"/>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905"/>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pStyle w:val="905"/>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4"/>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8"/>
  </w:num>
  <w:num w:numId="4">
    <w:abstractNumId w:val="10"/>
  </w:num>
  <w:num w:numId="5">
    <w:abstractNumId w:val="4"/>
  </w:num>
  <w:num w:numId="6">
    <w:abstractNumId w:val="7"/>
  </w:num>
  <w:num w:numId="7">
    <w:abstractNumId w:val="3"/>
  </w:num>
  <w:num w:numId="8">
    <w:abstractNumId w:val="6"/>
  </w:num>
  <w:num w:numId="9">
    <w:abstractNumId w:val="0"/>
  </w:num>
  <w:num w:numId="10">
    <w:abstractNumId w:val="1"/>
  </w:num>
  <w:num w:numId="11">
    <w:abstractNumId w:val="2"/>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1008"/>
    <w:link w:val="905"/>
    <w:qFormat/>
    <w:pPr>
      <w:jc w:val="both"/>
      <w:widowControl w:val="off"/>
    </w:pPr>
    <w:rPr>
      <w:sz w:val="21"/>
      <w:szCs w:val="21"/>
      <w:lang w:val="en-US" w:eastAsia="zh-CN" w:bidi="ar-SA"/>
    </w:rPr>
  </w:style>
  <w:style w:type="paragraph" w:styleId="906">
    <w:name w:val="标题 1"/>
    <w:basedOn w:val="905"/>
    <w:next w:val="905"/>
    <w:link w:val="947"/>
    <w:qFormat/>
    <w:pPr>
      <w:jc w:val="center"/>
      <w:keepNext/>
      <w:outlineLvl w:val="0"/>
    </w:pPr>
    <w:rPr>
      <w:rFonts w:ascii="楷体_GB2312" w:eastAsia="楷体_GB2312"/>
      <w:sz w:val="28"/>
      <w:szCs w:val="28"/>
    </w:rPr>
  </w:style>
  <w:style w:type="paragraph" w:styleId="907">
    <w:name w:val="标题 2"/>
    <w:basedOn w:val="905"/>
    <w:next w:val="984"/>
    <w:link w:val="927"/>
    <w:qFormat/>
    <w:pPr>
      <w:jc w:val="center"/>
      <w:keepLines/>
      <w:keepNext/>
      <w:spacing w:before="260" w:after="260" w:line="416" w:lineRule="auto"/>
      <w:outlineLvl w:val="1"/>
    </w:pPr>
    <w:rPr>
      <w:rFonts w:ascii="Arial" w:hAnsi="Arial" w:eastAsia="幼圆"/>
      <w:b/>
      <w:bCs/>
      <w:sz w:val="44"/>
      <w:szCs w:val="44"/>
    </w:rPr>
  </w:style>
  <w:style w:type="paragraph" w:styleId="908">
    <w:name w:val="标题 3"/>
    <w:basedOn w:val="905"/>
    <w:next w:val="984"/>
    <w:link w:val="938"/>
    <w:qFormat/>
    <w:pPr>
      <w:keepLines/>
      <w:keepNext/>
      <w:spacing w:before="260" w:after="260" w:line="416" w:lineRule="auto"/>
      <w:outlineLvl w:val="2"/>
    </w:pPr>
    <w:rPr>
      <w:b/>
      <w:bCs/>
      <w:sz w:val="32"/>
      <w:szCs w:val="32"/>
    </w:rPr>
  </w:style>
  <w:style w:type="paragraph" w:styleId="909">
    <w:name w:val="标题 4"/>
    <w:basedOn w:val="905"/>
    <w:next w:val="984"/>
    <w:link w:val="918"/>
    <w:qFormat/>
    <w:pPr>
      <w:keepLines/>
      <w:keepNext/>
      <w:spacing w:before="280" w:after="290" w:line="376" w:lineRule="auto"/>
      <w:outlineLvl w:val="3"/>
    </w:pPr>
    <w:rPr>
      <w:rFonts w:ascii="Arial" w:hAnsi="Arial" w:eastAsia="黑体"/>
      <w:b/>
      <w:bCs/>
      <w:sz w:val="28"/>
      <w:szCs w:val="28"/>
    </w:rPr>
  </w:style>
  <w:style w:type="paragraph" w:styleId="910">
    <w:name w:val="标题 5"/>
    <w:basedOn w:val="905"/>
    <w:next w:val="984"/>
    <w:link w:val="926"/>
    <w:qFormat/>
    <w:pPr>
      <w:keepNext/>
      <w:outlineLvl w:val="4"/>
    </w:pPr>
    <w:rPr>
      <w:rFonts w:ascii="宋体"/>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b/>
      <w:bCs/>
      <w:sz w:val="24"/>
      <w:szCs w:val="24"/>
    </w:rPr>
  </w:style>
  <w:style w:type="paragraph" w:styleId="912">
    <w:name w:val="标题 7"/>
    <w:basedOn w:val="905"/>
    <w:next w:val="905"/>
    <w:link w:val="928"/>
    <w:qFormat/>
    <w:pPr>
      <w:numPr>
        <w:ilvl w:val="6"/>
        <w:numId w:val="2"/>
      </w:numPr>
      <w:keepLines/>
      <w:keepNext/>
      <w:spacing w:before="240" w:after="64" w:line="320" w:lineRule="auto"/>
      <w:outlineLvl w:val="6"/>
    </w:pPr>
    <w:rPr>
      <w:b/>
      <w:bCs/>
      <w:sz w:val="24"/>
      <w:szCs w:val="24"/>
    </w:rPr>
  </w:style>
  <w:style w:type="paragraph" w:styleId="913">
    <w:name w:val="标题 8"/>
    <w:basedOn w:val="905"/>
    <w:next w:val="905"/>
    <w:link w:val="917"/>
    <w:qFormat/>
    <w:pPr>
      <w:numPr>
        <w:ilvl w:val="7"/>
        <w:numId w:val="2"/>
      </w:numPr>
      <w:keepLines/>
      <w:keepNext/>
      <w:spacing w:before="240" w:after="64" w:line="320" w:lineRule="auto"/>
      <w:outlineLvl w:val="7"/>
    </w:pPr>
    <w:rPr>
      <w:rFonts w:ascii="Arial" w:hAnsi="Arial" w:eastAsia="黑体"/>
      <w:sz w:val="24"/>
      <w:szCs w:val="24"/>
    </w:rPr>
  </w:style>
  <w:style w:type="paragraph" w:styleId="914">
    <w:name w:val="标题 9"/>
    <w:basedOn w:val="905"/>
    <w:next w:val="905"/>
    <w:link w:val="929"/>
    <w:qFormat/>
    <w:pPr>
      <w:numPr>
        <w:ilvl w:val="8"/>
        <w:numId w:val="2"/>
      </w:numPr>
      <w:keepLines/>
      <w:keepNext/>
      <w:spacing w:before="240" w:after="64" w:line="320" w:lineRule="auto"/>
      <w:outlineLvl w:val="8"/>
    </w:pPr>
    <w:rPr>
      <w:rFonts w:ascii="Arial" w:hAnsi="Arial" w:eastAsia="黑体"/>
      <w:sz w:val="20"/>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character" w:styleId="917">
    <w:name w:val="标题 8 字符"/>
    <w:next w:val="917"/>
    <w:link w:val="913"/>
    <w:rPr>
      <w:rFonts w:ascii="Arial" w:hAnsi="Arial" w:eastAsia="黑体" w:cs="Times New Roman"/>
      <w:sz w:val="24"/>
      <w:szCs w:val="24"/>
    </w:rPr>
  </w:style>
  <w:style w:type="character" w:styleId="918">
    <w:name w:val="标题 4 字符"/>
    <w:next w:val="918"/>
    <w:link w:val="909"/>
    <w:rPr>
      <w:rFonts w:ascii="Arial" w:hAnsi="Arial" w:eastAsia="黑体" w:cs="Arial"/>
      <w:b/>
      <w:bCs/>
      <w:sz w:val="28"/>
      <w:szCs w:val="28"/>
    </w:rPr>
  </w:style>
  <w:style w:type="character" w:styleId="919">
    <w:name w:val="二级目录 Char"/>
    <w:next w:val="919"/>
    <w:link w:val="1013"/>
    <w:rPr>
      <w:b/>
      <w:sz w:val="30"/>
      <w:szCs w:val="28"/>
      <w:lang w:val="en-US" w:eastAsia="zh-CN" w:bidi="ar-SA"/>
    </w:rPr>
  </w:style>
  <w:style w:type="character" w:styleId="920">
    <w:name w:val="强调"/>
    <w:next w:val="920"/>
    <w:link w:val="905"/>
    <w:qFormat/>
    <w:rPr>
      <w:i/>
    </w:rPr>
  </w:style>
  <w:style w:type="character" w:styleId="921">
    <w:name w:val="font5 Char"/>
    <w:next w:val="921"/>
    <w:link w:val="905"/>
    <w:rPr>
      <w:rFonts w:ascii="宋体" w:hAnsi="宋体" w:eastAsia="宋体"/>
      <w:sz w:val="28"/>
      <w:szCs w:val="28"/>
      <w:lang w:val="en-US" w:eastAsia="zh-CN" w:bidi="ar-SA"/>
    </w:rPr>
  </w:style>
  <w:style w:type="character" w:styleId="922">
    <w:name w:val="页码"/>
    <w:next w:val="922"/>
    <w:link w:val="905"/>
  </w:style>
  <w:style w:type="character" w:styleId="923">
    <w:name w:val="批注主题 字符"/>
    <w:next w:val="923"/>
    <w:link w:val="998"/>
    <w:semiHidden/>
    <w:rPr>
      <w:rFonts w:ascii="Times New Roman" w:hAnsi="Times New Roman" w:eastAsia="宋体" w:cs="Times New Roman"/>
      <w:b/>
      <w:bCs/>
      <w:szCs w:val="21"/>
    </w:rPr>
  </w:style>
  <w:style w:type="character" w:styleId="924">
    <w:name w:val="超链接"/>
    <w:next w:val="924"/>
    <w:link w:val="905"/>
    <w:rPr>
      <w:color w:val="0000ff"/>
      <w:u w:val="single"/>
    </w:rPr>
  </w:style>
  <w:style w:type="character" w:styleId="925">
    <w:name w:val="标题 6 字符"/>
    <w:next w:val="925"/>
    <w:link w:val="911"/>
    <w:rPr>
      <w:rFonts w:ascii="Arial" w:hAnsi="Arial" w:eastAsia="黑体" w:cs="Times New Roman"/>
      <w:b/>
      <w:bCs/>
      <w:sz w:val="24"/>
      <w:szCs w:val="24"/>
    </w:rPr>
  </w:style>
  <w:style w:type="character" w:styleId="926">
    <w:name w:val="标题 5 字符"/>
    <w:next w:val="926"/>
    <w:link w:val="910"/>
    <w:rPr>
      <w:rFonts w:ascii="宋体" w:hAnsi="Times New Roman" w:eastAsia="宋体" w:cs="Times New Roman"/>
      <w:color w:val="000000"/>
      <w:sz w:val="28"/>
      <w:szCs w:val="28"/>
    </w:rPr>
  </w:style>
  <w:style w:type="character" w:styleId="927">
    <w:name w:val="标题 2 字符"/>
    <w:next w:val="927"/>
    <w:link w:val="907"/>
    <w:rPr>
      <w:rFonts w:ascii="Arial" w:hAnsi="Arial" w:eastAsia="幼圆" w:cs="Arial"/>
      <w:b/>
      <w:bCs/>
      <w:sz w:val="44"/>
      <w:szCs w:val="44"/>
    </w:rPr>
  </w:style>
  <w:style w:type="character" w:styleId="928">
    <w:name w:val="标题 7 字符"/>
    <w:next w:val="928"/>
    <w:link w:val="912"/>
    <w:rPr>
      <w:rFonts w:ascii="Times New Roman" w:hAnsi="Times New Roman" w:eastAsia="宋体" w:cs="Times New Roman"/>
      <w:b/>
      <w:bCs/>
      <w:sz w:val="24"/>
      <w:szCs w:val="24"/>
    </w:rPr>
  </w:style>
  <w:style w:type="character" w:styleId="929">
    <w:name w:val="标题 9 字符"/>
    <w:next w:val="929"/>
    <w:link w:val="914"/>
    <w:rPr>
      <w:rFonts w:ascii="Arial" w:hAnsi="Arial" w:eastAsia="黑体" w:cs="Times New Roman"/>
      <w:szCs w:val="21"/>
    </w:rPr>
  </w:style>
  <w:style w:type="character" w:styleId="930">
    <w:name w:val="页眉 字符"/>
    <w:next w:val="930"/>
    <w:link w:val="1006"/>
    <w:rPr>
      <w:rFonts w:ascii="Times New Roman" w:hAnsi="Times New Roman" w:eastAsia="宋体" w:cs="Times New Roman"/>
      <w:sz w:val="18"/>
      <w:szCs w:val="18"/>
    </w:rPr>
  </w:style>
  <w:style w:type="character" w:styleId="931">
    <w:name w:val="文档结构图 字符"/>
    <w:next w:val="931"/>
    <w:link w:val="965"/>
    <w:semiHidden/>
    <w:rPr>
      <w:rFonts w:ascii="Times New Roman" w:hAnsi="Times New Roman" w:eastAsia="宋体" w:cs="Times New Roman"/>
      <w:szCs w:val="21"/>
      <w:shd w:val="clear" w:color="auto" w:fill="000080"/>
    </w:rPr>
  </w:style>
  <w:style w:type="character" w:styleId="932">
    <w:name w:val="批注引用"/>
    <w:next w:val="932"/>
    <w:link w:val="905"/>
    <w:semiHidden/>
    <w:rPr>
      <w:sz w:val="21"/>
      <w:szCs w:val="21"/>
    </w:rPr>
  </w:style>
  <w:style w:type="character" w:styleId="933">
    <w:name w:val="页码1"/>
    <w:next w:val="933"/>
    <w:link w:val="905"/>
    <w:qFormat/>
    <w:rPr>
      <w:rFonts w:ascii="Times New Roman" w:hAnsi="Times New Roman"/>
      <w:sz w:val="21"/>
      <w:szCs w:val="21"/>
      <w:lang w:val="en-US" w:eastAsia="zh-CN" w:bidi="ar-SA"/>
    </w:rPr>
  </w:style>
  <w:style w:type="character" w:styleId="934">
    <w:name w:val="已访问的超链接"/>
    <w:next w:val="934"/>
    <w:link w:val="905"/>
    <w:rPr>
      <w:color w:val="800080"/>
      <w:u w:val="single"/>
    </w:rPr>
  </w:style>
  <w:style w:type="character" w:styleId="935">
    <w:name w:val="要点"/>
    <w:next w:val="935"/>
    <w:link w:val="905"/>
    <w:qFormat/>
    <w:rPr>
      <w:b/>
      <w:bCs/>
    </w:rPr>
  </w:style>
  <w:style w:type="character" w:styleId="936">
    <w:name w:val="页脚 字符"/>
    <w:next w:val="936"/>
    <w:link w:val="971"/>
    <w:uiPriority w:val="99"/>
    <w:rPr>
      <w:rFonts w:ascii="Times New Roman" w:hAnsi="Times New Roman" w:eastAsia="宋体" w:cs="Times New Roman"/>
      <w:sz w:val="18"/>
      <w:szCs w:val="18"/>
    </w:rPr>
  </w:style>
  <w:style w:type="character" w:styleId="937">
    <w:name w:val="正文缩进 字符"/>
    <w:next w:val="937"/>
    <w:link w:val="984"/>
    <w:rPr>
      <w:rFonts w:ascii="Times New Roman" w:hAnsi="Times New Roman" w:eastAsia="宋体" w:cs="Times New Roman"/>
      <w:szCs w:val="21"/>
    </w:rPr>
  </w:style>
  <w:style w:type="character" w:styleId="938">
    <w:name w:val="标题 3 字符"/>
    <w:next w:val="938"/>
    <w:link w:val="908"/>
    <w:rPr>
      <w:rFonts w:ascii="Times New Roman" w:hAnsi="Times New Roman" w:eastAsia="宋体" w:cs="Times New Roman"/>
      <w:b/>
      <w:bCs/>
      <w:sz w:val="32"/>
      <w:szCs w:val="32"/>
    </w:rPr>
  </w:style>
  <w:style w:type="character" w:styleId="939">
    <w:name w:val="正文文本缩进 字符"/>
    <w:next w:val="939"/>
    <w:link w:val="1012"/>
    <w:rPr>
      <w:rFonts w:ascii="楷体_GB2312" w:hAnsi="Times New Roman" w:eastAsia="楷体_GB2312" w:cs="Times New Roman"/>
      <w:sz w:val="32"/>
      <w:szCs w:val="32"/>
    </w:rPr>
  </w:style>
  <w:style w:type="character" w:styleId="940">
    <w:name w:val="正文文本 3 字符"/>
    <w:next w:val="940"/>
    <w:link w:val="979"/>
    <w:rPr>
      <w:rFonts w:ascii="仿宋_GB2312" w:hAnsi="Arial" w:eastAsia="仿宋_GB2312" w:cs="Times New Roman"/>
      <w:sz w:val="32"/>
      <w:szCs w:val="32"/>
    </w:rPr>
  </w:style>
  <w:style w:type="character" w:styleId="941">
    <w:name w:val="批注文字 字符"/>
    <w:next w:val="941"/>
    <w:link w:val="1000"/>
    <w:semiHidden/>
    <w:rPr>
      <w:rFonts w:ascii="Times New Roman" w:hAnsi="Times New Roman" w:eastAsia="宋体" w:cs="Times New Roman"/>
      <w:szCs w:val="21"/>
    </w:rPr>
  </w:style>
  <w:style w:type="character" w:styleId="942">
    <w:name w:val="批注框文本 字符"/>
    <w:next w:val="942"/>
    <w:link w:val="978"/>
    <w:semiHidden/>
    <w:rPr>
      <w:rFonts w:ascii="Times New Roman" w:hAnsi="Times New Roman" w:eastAsia="宋体" w:cs="Times New Roman"/>
      <w:sz w:val="18"/>
      <w:szCs w:val="18"/>
    </w:rPr>
  </w:style>
  <w:style w:type="character" w:styleId="943">
    <w:name w:val="正文文本首行缩进 字符"/>
    <w:next w:val="943"/>
    <w:link w:val="976"/>
    <w:rPr>
      <w:rFonts w:ascii="仿宋_GB2312" w:hAnsi="Times New Roman" w:eastAsia="仿宋_GB2312" w:cs="Times New Roman"/>
      <w:sz w:val="30"/>
      <w:szCs w:val="30"/>
    </w:rPr>
  </w:style>
  <w:style w:type="character" w:styleId="944">
    <w:name w:val="正文文本首行缩进 2 字符"/>
    <w:next w:val="944"/>
    <w:link w:val="966"/>
    <w:rPr>
      <w:rFonts w:ascii="宋体" w:hAnsi="宋体" w:eastAsia="宋体" w:cs="Times New Roman"/>
      <w:sz w:val="32"/>
      <w:szCs w:val="20"/>
    </w:rPr>
  </w:style>
  <w:style w:type="character" w:styleId="945">
    <w:name w:val="正文文本缩进 3 字符"/>
    <w:next w:val="945"/>
    <w:link w:val="961"/>
    <w:rPr>
      <w:rFonts w:ascii="Arial" w:hAnsi="Arial" w:eastAsia="仿宋_GB2312" w:cs="Arial"/>
      <w:color w:val="ffff00"/>
      <w:sz w:val="32"/>
      <w:szCs w:val="32"/>
    </w:rPr>
  </w:style>
  <w:style w:type="character" w:styleId="946">
    <w:name w:val="正文文本 2 字符"/>
    <w:next w:val="946"/>
    <w:link w:val="957"/>
    <w:rPr>
      <w:rFonts w:ascii="楷体_GB2312" w:hAnsi="Times New Roman" w:eastAsia="楷体_GB2312" w:cs="Times New Roman"/>
      <w:sz w:val="28"/>
      <w:szCs w:val="28"/>
    </w:rPr>
  </w:style>
  <w:style w:type="character" w:styleId="947">
    <w:name w:val="标题 1 字符"/>
    <w:next w:val="947"/>
    <w:link w:val="906"/>
    <w:rPr>
      <w:rFonts w:ascii="楷体_GB2312" w:hAnsi="Times New Roman" w:eastAsia="楷体_GB2312" w:cs="Times New Roman"/>
      <w:sz w:val="28"/>
      <w:szCs w:val="28"/>
    </w:rPr>
  </w:style>
  <w:style w:type="character" w:styleId="948">
    <w:name w:val="正文文本 字符"/>
    <w:next w:val="948"/>
    <w:link w:val="987"/>
    <w:rPr>
      <w:rFonts w:ascii="楷体_GB2312" w:hAnsi="Arial" w:eastAsia="楷体_GB2312" w:cs="Times New Roman"/>
      <w:sz w:val="28"/>
      <w:szCs w:val="28"/>
    </w:rPr>
  </w:style>
  <w:style w:type="character" w:styleId="949">
    <w:name w:val="纯文本 字符"/>
    <w:next w:val="949"/>
    <w:link w:val="982"/>
    <w:rPr>
      <w:rFonts w:ascii="宋体" w:hAnsi="Courier New" w:eastAsia="宋体" w:cs="Courier New"/>
      <w:szCs w:val="21"/>
    </w:rPr>
  </w:style>
  <w:style w:type="character" w:styleId="950">
    <w:name w:val="日期 字符"/>
    <w:next w:val="950"/>
    <w:link w:val="972"/>
    <w:rPr>
      <w:rFonts w:ascii="Times New Roman" w:hAnsi="Times New Roman" w:eastAsia="宋体" w:cs="Times New Roman"/>
      <w:sz w:val="24"/>
      <w:szCs w:val="24"/>
    </w:rPr>
  </w:style>
  <w:style w:type="character" w:styleId="951">
    <w:name w:val="正文文本缩进 2 字符"/>
    <w:next w:val="951"/>
    <w:link w:val="992"/>
    <w:rPr>
      <w:rFonts w:ascii="Arial" w:hAnsi="Arial" w:eastAsia="仿宋_GB2312" w:cs="Arial"/>
      <w:sz w:val="32"/>
      <w:szCs w:val="32"/>
    </w:rPr>
  </w:style>
  <w:style w:type="character" w:styleId="952">
    <w:name w:val="列出段落 Char,Bullet List Char,numbered Char,FooterText Char,List Paragraph1 Char,Paragraphe de liste1 Char"/>
    <w:next w:val="952"/>
    <w:link w:val="1005"/>
    <w:rPr>
      <w:rFonts w:ascii="Calibri" w:hAnsi="Calibri"/>
      <w:sz w:val="24"/>
      <w:szCs w:val="24"/>
      <w:lang w:eastAsia="en-US" w:bidi="en-US"/>
    </w:rPr>
  </w:style>
  <w:style w:type="paragraph" w:styleId="953">
    <w:name w:val="目录 1"/>
    <w:basedOn w:val="905"/>
    <w:next w:val="905"/>
    <w:link w:val="905"/>
    <w:semiHidden/>
    <w:pPr>
      <w:jc w:val="left"/>
      <w:spacing w:before="120" w:after="120" w:line="400" w:lineRule="exact"/>
      <w:tabs>
        <w:tab w:val="right" w:pos="8720" w:leader="dot"/>
      </w:tabs>
    </w:pPr>
    <w:rPr>
      <w:rFonts w:ascii="宋体" w:hAnsi="宋体"/>
      <w:caps/>
      <w:sz w:val="24"/>
      <w:szCs w:val="24"/>
    </w:rPr>
  </w:style>
  <w:style w:type="paragraph" w:styleId="954">
    <w:name w:val="附录1"/>
    <w:next w:val="954"/>
    <w:link w:val="905"/>
    <w:pPr>
      <w:numPr>
        <w:ilvl w:val="0"/>
        <w:numId w:val="1"/>
      </w:numPr>
      <w:spacing w:before="240" w:line="600" w:lineRule="atLeast"/>
      <w:tabs>
        <w:tab w:val="left" w:pos="907" w:leader="none"/>
      </w:tabs>
    </w:pPr>
    <w:rPr>
      <w:b/>
      <w:i/>
      <w:sz w:val="28"/>
      <w:lang w:val="en-US" w:eastAsia="zh-CN" w:bidi="ar-SA"/>
    </w:rPr>
  </w:style>
  <w:style w:type="paragraph" w:styleId="955">
    <w:name w:val="目录 3"/>
    <w:basedOn w:val="905"/>
    <w:next w:val="905"/>
    <w:link w:val="905"/>
    <w:semiHidden/>
    <w:pPr>
      <w:ind w:left="420"/>
      <w:jc w:val="left"/>
    </w:pPr>
    <w:rPr>
      <w:i/>
      <w:iCs/>
      <w:szCs w:val="24"/>
    </w:rPr>
  </w:style>
  <w:style w:type="paragraph" w:styleId="956">
    <w:name w:val="xl27"/>
    <w:basedOn w:val="905"/>
    <w:next w:val="956"/>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正文文本 2"/>
    <w:basedOn w:val="905"/>
    <w:next w:val="957"/>
    <w:link w:val="946"/>
    <w:pPr>
      <w:jc w:val="center"/>
      <w:widowControl/>
    </w:pPr>
    <w:rPr>
      <w:rFonts w:ascii="楷体_GB2312" w:eastAsia="楷体_GB2312"/>
      <w:sz w:val="28"/>
      <w:szCs w:val="28"/>
    </w:rPr>
  </w:style>
  <w:style w:type="paragraph" w:styleId="958">
    <w:name w:val="4"/>
    <w:basedOn w:val="905"/>
    <w:next w:val="961"/>
    <w:link w:val="905"/>
    <w:pPr>
      <w:ind w:firstLine="420"/>
      <w:spacing w:line="360" w:lineRule="auto"/>
    </w:pPr>
    <w:rPr>
      <w:color w:val="ff0000"/>
      <w:sz w:val="24"/>
      <w:szCs w:val="24"/>
    </w:rPr>
  </w:style>
  <w:style w:type="paragraph" w:styleId="959">
    <w:name w:val="目录 9"/>
    <w:basedOn w:val="905"/>
    <w:next w:val="905"/>
    <w:link w:val="905"/>
    <w:semiHidden/>
    <w:pPr>
      <w:ind w:left="1680"/>
      <w:jc w:val="left"/>
    </w:pPr>
  </w:style>
  <w:style w:type="paragraph" w:styleId="960">
    <w:name w:val="目录 8"/>
    <w:basedOn w:val="905"/>
    <w:next w:val="905"/>
    <w:link w:val="905"/>
    <w:semiHidden/>
    <w:pPr>
      <w:ind w:left="1470"/>
      <w:jc w:val="left"/>
    </w:pPr>
  </w:style>
  <w:style w:type="paragraph" w:styleId="961">
    <w:name w:val="正文文本缩进 3"/>
    <w:basedOn w:val="905"/>
    <w:next w:val="961"/>
    <w:link w:val="945"/>
    <w:pPr>
      <w:ind w:left="645" w:firstLine="645"/>
    </w:pPr>
    <w:rPr>
      <w:rFonts w:ascii="Arial" w:hAnsi="Arial" w:eastAsia="仿宋_GB2312"/>
      <w:color w:val="ffff00"/>
      <w:sz w:val="32"/>
      <w:szCs w:val="32"/>
    </w:rPr>
  </w:style>
  <w:style w:type="paragraph" w:styleId="962">
    <w:name w:val="xl30"/>
    <w:basedOn w:val="905"/>
    <w:next w:val="962"/>
    <w:link w:val="905"/>
    <w:pPr>
      <w:jc w:val="center"/>
      <w:spacing w:before="100" w:beforeAutospacing="1" w:after="100" w:afterAutospacing="1"/>
      <w:widowControl/>
    </w:pPr>
    <w:rPr>
      <w:rFonts w:ascii="宋体" w:hAnsi="宋体"/>
      <w:b/>
      <w:bCs/>
      <w:sz w:val="36"/>
      <w:szCs w:val="36"/>
    </w:rPr>
  </w:style>
  <w:style w:type="paragraph" w:styleId="963">
    <w:name w:val="标题1"/>
    <w:basedOn w:val="905"/>
    <w:next w:val="905"/>
    <w:link w:val="905"/>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Char"/>
    <w:basedOn w:val="905"/>
    <w:next w:val="964"/>
    <w:link w:val="905"/>
    <w:pPr>
      <w:ind w:firstLine="200"/>
      <w:tabs>
        <w:tab w:val="left" w:pos="360" w:leader="none"/>
      </w:tabs>
    </w:pPr>
    <w:rPr>
      <w:sz w:val="28"/>
      <w:szCs w:val="30"/>
    </w:rPr>
  </w:style>
  <w:style w:type="paragraph" w:styleId="965">
    <w:name w:val="文档结构图"/>
    <w:basedOn w:val="905"/>
    <w:next w:val="965"/>
    <w:link w:val="931"/>
    <w:semiHidden/>
    <w:pPr>
      <w:shd w:val="clear" w:color="auto" w:fill="000080"/>
    </w:pPr>
    <w:rPr>
      <w:sz w:val="20"/>
    </w:rPr>
  </w:style>
  <w:style w:type="paragraph" w:styleId="966">
    <w:name w:val="正文首行缩进 2"/>
    <w:basedOn w:val="1012"/>
    <w:next w:val="966"/>
    <w:link w:val="944"/>
    <w:pPr>
      <w:ind w:firstLine="420"/>
      <w:spacing w:line="360" w:lineRule="auto"/>
    </w:pPr>
    <w:rPr>
      <w:rFonts w:ascii="宋体" w:hAnsi="宋体" w:eastAsia="宋体"/>
      <w:szCs w:val="20"/>
    </w:rPr>
  </w:style>
  <w:style w:type="paragraph" w:styleId="967">
    <w:name w:val="目录 6"/>
    <w:basedOn w:val="905"/>
    <w:next w:val="905"/>
    <w:link w:val="905"/>
    <w:semiHidden/>
    <w:pPr>
      <w:ind w:left="1050"/>
      <w:jc w:val="left"/>
    </w:pPr>
  </w:style>
  <w:style w:type="paragraph" w:styleId="968">
    <w:name w:val="标题 21"/>
    <w:basedOn w:val="905"/>
    <w:next w:val="980"/>
    <w:link w:val="905"/>
    <w:qFormat/>
    <w:pPr>
      <w:jc w:val="center"/>
      <w:keepLines/>
      <w:keepNext/>
      <w:spacing w:before="260" w:after="260" w:line="416" w:lineRule="auto"/>
      <w:outlineLvl w:val="1"/>
    </w:pPr>
    <w:rPr>
      <w:rFonts w:ascii="Arial" w:hAnsi="Arial" w:eastAsia="幼圆" w:cs="Arial"/>
      <w:b/>
      <w:bCs/>
      <w:sz w:val="44"/>
      <w:szCs w:val="44"/>
    </w:rPr>
  </w:style>
  <w:style w:type="paragraph" w:styleId="969">
    <w:name w:val="图表目录"/>
    <w:basedOn w:val="905"/>
    <w:next w:val="905"/>
    <w:link w:val="905"/>
    <w:semiHidden/>
    <w:pPr>
      <w:ind w:left="840" w:hanging="420"/>
    </w:pPr>
  </w:style>
  <w:style w:type="paragraph" w:styleId="970">
    <w:name w:val="列表 3"/>
    <w:basedOn w:val="905"/>
    <w:next w:val="970"/>
    <w:link w:val="905"/>
    <w:pPr>
      <w:ind w:left="100" w:hanging="200"/>
    </w:pPr>
  </w:style>
  <w:style w:type="paragraph" w:styleId="971">
    <w:name w:val="页脚"/>
    <w:basedOn w:val="905"/>
    <w:next w:val="971"/>
    <w:link w:val="936"/>
    <w:uiPriority w:val="99"/>
    <w:pPr>
      <w:jc w:val="left"/>
      <w:tabs>
        <w:tab w:val="center" w:pos="4153" w:leader="none"/>
        <w:tab w:val="right" w:pos="8306" w:leader="none"/>
      </w:tabs>
    </w:pPr>
    <w:rPr>
      <w:sz w:val="18"/>
      <w:szCs w:val="18"/>
    </w:rPr>
  </w:style>
  <w:style w:type="paragraph" w:styleId="972">
    <w:name w:val="日期"/>
    <w:basedOn w:val="905"/>
    <w:next w:val="905"/>
    <w:link w:val="950"/>
    <w:rPr>
      <w:sz w:val="24"/>
      <w:szCs w:val="24"/>
    </w:rPr>
  </w:style>
  <w:style w:type="paragraph" w:styleId="973">
    <w:name w:val="xl25"/>
    <w:basedOn w:val="905"/>
    <w:next w:val="973"/>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样式1"/>
    <w:basedOn w:val="905"/>
    <w:next w:val="974"/>
    <w:link w:val="905"/>
    <w:pPr>
      <w:numPr>
        <w:ilvl w:val="0"/>
        <w:numId w:val="3"/>
      </w:numPr>
      <w:tabs>
        <w:tab w:val="left" w:pos="709" w:leader="none"/>
      </w:tabs>
    </w:pPr>
    <w:rPr>
      <w:rFonts w:ascii="宋体" w:hAnsi="宋体"/>
    </w:rPr>
  </w:style>
  <w:style w:type="paragraph" w:styleId="975">
    <w:name w:val="修订"/>
    <w:next w:val="975"/>
    <w:link w:val="905"/>
    <w:uiPriority w:val="99"/>
    <w:semiHidden/>
    <w:rPr>
      <w:sz w:val="21"/>
      <w:szCs w:val="21"/>
      <w:lang w:val="en-US" w:eastAsia="zh-CN" w:bidi="ar-SA"/>
    </w:rPr>
  </w:style>
  <w:style w:type="paragraph" w:styleId="976">
    <w:name w:val="正文首行缩进"/>
    <w:basedOn w:val="905"/>
    <w:next w:val="976"/>
    <w:link w:val="943"/>
    <w:pPr>
      <w:ind w:firstLine="200"/>
      <w:spacing w:line="360" w:lineRule="auto"/>
    </w:pPr>
    <w:rPr>
      <w:rFonts w:ascii="仿宋_GB2312" w:eastAsia="仿宋_GB2312"/>
      <w:sz w:val="30"/>
      <w:szCs w:val="30"/>
    </w:rPr>
  </w:style>
  <w:style w:type="paragraph" w:styleId="977">
    <w:name w:val="font5"/>
    <w:basedOn w:val="905"/>
    <w:next w:val="977"/>
    <w:link w:val="905"/>
    <w:pPr>
      <w:jc w:val="left"/>
      <w:spacing w:before="100" w:beforeAutospacing="1" w:after="100" w:afterAutospacing="1"/>
      <w:widowControl/>
    </w:pPr>
    <w:rPr>
      <w:rFonts w:hint="eastAsia" w:ascii="宋体" w:hAnsi="宋体"/>
      <w:sz w:val="28"/>
      <w:szCs w:val="28"/>
    </w:rPr>
  </w:style>
  <w:style w:type="paragraph" w:styleId="978">
    <w:name w:val="批注框文本"/>
    <w:basedOn w:val="905"/>
    <w:next w:val="978"/>
    <w:link w:val="942"/>
    <w:semiHidden/>
    <w:rPr>
      <w:sz w:val="18"/>
      <w:szCs w:val="18"/>
    </w:rPr>
  </w:style>
  <w:style w:type="paragraph" w:styleId="979">
    <w:name w:val="正文文本 3"/>
    <w:basedOn w:val="905"/>
    <w:next w:val="979"/>
    <w:link w:val="940"/>
    <w:rPr>
      <w:rFonts w:ascii="仿宋_GB2312" w:hAnsi="Arial" w:eastAsia="仿宋_GB2312"/>
      <w:sz w:val="32"/>
      <w:szCs w:val="32"/>
    </w:rPr>
  </w:style>
  <w:style w:type="paragraph" w:styleId="980">
    <w:name w:val="正文缩进1"/>
    <w:basedOn w:val="905"/>
    <w:next w:val="980"/>
    <w:link w:val="905"/>
    <w:qFormat/>
    <w:pPr>
      <w:ind w:firstLine="420"/>
    </w:pPr>
  </w:style>
  <w:style w:type="paragraph" w:styleId="981">
    <w:name w:val=" Char"/>
    <w:basedOn w:val="965"/>
    <w:next w:val="981"/>
    <w:link w:val="905"/>
    <w:rPr>
      <w:rFonts w:ascii="Tahoma" w:hAnsi="Tahoma"/>
      <w:sz w:val="24"/>
      <w:szCs w:val="24"/>
    </w:rPr>
  </w:style>
  <w:style w:type="paragraph" w:styleId="982">
    <w:name w:val="纯文本"/>
    <w:basedOn w:val="905"/>
    <w:next w:val="982"/>
    <w:link w:val="949"/>
    <w:rPr>
      <w:rFonts w:ascii="宋体" w:hAnsi="Courier New"/>
      <w:sz w:val="20"/>
    </w:rPr>
  </w:style>
  <w:style w:type="paragraph" w:styleId="983">
    <w:name w:val="标题3"/>
    <w:basedOn w:val="905"/>
    <w:next w:val="905"/>
    <w:link w:val="905"/>
    <w:pPr>
      <w:ind w:firstLine="624"/>
      <w:spacing w:line="590" w:lineRule="atLeast"/>
    </w:pPr>
    <w:rPr>
      <w:rFonts w:ascii="方正黑体_GBK" w:eastAsia="方正黑体_GBK"/>
      <w:sz w:val="32"/>
      <w:szCs w:val="32"/>
    </w:rPr>
  </w:style>
  <w:style w:type="paragraph" w:styleId="984">
    <w:name w:val="正文缩进"/>
    <w:basedOn w:val="905"/>
    <w:next w:val="984"/>
    <w:link w:val="937"/>
    <w:pPr>
      <w:ind w:firstLine="420"/>
    </w:pPr>
    <w:rPr>
      <w:sz w:val="20"/>
    </w:rPr>
  </w:style>
  <w:style w:type="paragraph" w:styleId="985">
    <w:name w:val="索引 1"/>
    <w:basedOn w:val="905"/>
    <w:next w:val="905"/>
    <w:link w:val="905"/>
    <w:semiHidden/>
    <w:pPr>
      <w:spacing w:line="240" w:lineRule="atLeast"/>
    </w:pPr>
    <w:rPr>
      <w:b/>
      <w:bCs/>
    </w:rPr>
  </w:style>
  <w:style w:type="paragraph" w:styleId="986">
    <w:name w:val=" Char Char Char Char"/>
    <w:basedOn w:val="965"/>
    <w:next w:val="986"/>
    <w:link w:val="905"/>
    <w:pPr>
      <w:spacing w:line="360" w:lineRule="auto"/>
    </w:pPr>
    <w:rPr>
      <w:rFonts w:ascii="Tahoma" w:hAnsi="Tahoma"/>
      <w:sz w:val="24"/>
      <w:szCs w:val="24"/>
    </w:rPr>
  </w:style>
  <w:style w:type="paragraph" w:styleId="987">
    <w:name w:val="正文文本"/>
    <w:basedOn w:val="905"/>
    <w:next w:val="987"/>
    <w:link w:val="948"/>
    <w:rPr>
      <w:rFonts w:ascii="楷体_GB2312" w:hAnsi="Arial" w:eastAsia="楷体_GB2312"/>
      <w:sz w:val="28"/>
      <w:szCs w:val="28"/>
    </w:rPr>
  </w:style>
  <w:style w:type="paragraph" w:styleId="988">
    <w:name w:val="普通(网站)"/>
    <w:basedOn w:val="905"/>
    <w:next w:val="988"/>
    <w:link w:val="905"/>
    <w:uiPriority w:val="99"/>
    <w:pPr>
      <w:jc w:val="left"/>
      <w:spacing w:before="100" w:beforeAutospacing="1" w:after="100" w:afterAutospacing="1"/>
      <w:widowControl/>
    </w:pPr>
    <w:rPr>
      <w:rFonts w:ascii="宋体" w:hAnsi="宋体" w:cs="宋体"/>
      <w:sz w:val="24"/>
      <w:szCs w:val="24"/>
    </w:rPr>
  </w:style>
  <w:style w:type="paragraph" w:styleId="989">
    <w:name w:val="table_1stline"/>
    <w:basedOn w:val="905"/>
    <w:next w:val="989"/>
    <w:link w:val="905"/>
    <w:pPr>
      <w:jc w:val="left"/>
      <w:spacing w:before="120"/>
      <w:widowControl/>
    </w:pPr>
    <w:rPr>
      <w:bCs/>
      <w:sz w:val="20"/>
      <w:szCs w:val="20"/>
      <w:lang w:val="de-DE" w:eastAsia="de-DE"/>
    </w:rPr>
  </w:style>
  <w:style w:type="paragraph" w:styleId="990">
    <w:name w:val="目录 2"/>
    <w:basedOn w:val="905"/>
    <w:next w:val="905"/>
    <w:link w:val="905"/>
    <w:semiHidden/>
    <w:pPr>
      <w:ind w:left="210"/>
      <w:jc w:val="left"/>
    </w:pPr>
    <w:rPr>
      <w:smallCaps/>
      <w:szCs w:val="24"/>
    </w:rPr>
  </w:style>
  <w:style w:type="paragraph" w:styleId="991">
    <w:name w:val="标题 41"/>
    <w:basedOn w:val="905"/>
    <w:next w:val="980"/>
    <w:link w:val="905"/>
    <w:qFormat/>
    <w:pPr>
      <w:keepLines/>
      <w:keepNext/>
      <w:spacing w:before="280" w:after="290" w:line="376" w:lineRule="auto"/>
      <w:outlineLvl w:val="3"/>
    </w:pPr>
    <w:rPr>
      <w:rFonts w:ascii="Arial" w:hAnsi="Arial" w:eastAsia="黑体" w:cs="Arial"/>
      <w:b/>
      <w:bCs/>
      <w:sz w:val="28"/>
      <w:szCs w:val="28"/>
    </w:rPr>
  </w:style>
  <w:style w:type="paragraph" w:styleId="992">
    <w:name w:val="正文文本缩进 2"/>
    <w:basedOn w:val="905"/>
    <w:next w:val="992"/>
    <w:link w:val="951"/>
    <w:pPr>
      <w:ind w:left="630" w:firstLine="645"/>
    </w:pPr>
    <w:rPr>
      <w:rFonts w:ascii="Arial" w:hAnsi="Arial" w:eastAsia="仿宋_GB2312"/>
      <w:sz w:val="32"/>
      <w:szCs w:val="32"/>
    </w:rPr>
  </w:style>
  <w:style w:type="paragraph" w:styleId="993">
    <w:name w:val="目录 7"/>
    <w:basedOn w:val="905"/>
    <w:next w:val="905"/>
    <w:link w:val="905"/>
    <w:semiHidden/>
    <w:pPr>
      <w:ind w:left="1260"/>
      <w:jc w:val="left"/>
    </w:pPr>
  </w:style>
  <w:style w:type="paragraph" w:styleId="994">
    <w:name w:val=" Char Char Char Char Char Char Char Char"/>
    <w:basedOn w:val="905"/>
    <w:next w:val="994"/>
    <w:link w:val="905"/>
    <w:pPr>
      <w:jc w:val="left"/>
      <w:spacing w:after="160" w:line="240" w:lineRule="exact"/>
      <w:widowControl/>
    </w:pPr>
    <w:rPr>
      <w:rFonts w:ascii="Verdana" w:hAnsi="Verdana"/>
      <w:sz w:val="20"/>
      <w:szCs w:val="20"/>
      <w:lang w:eastAsia="en-US"/>
    </w:rPr>
  </w:style>
  <w:style w:type="paragraph" w:styleId="995">
    <w:name w:val="列表"/>
    <w:basedOn w:val="905"/>
    <w:next w:val="995"/>
    <w:link w:val="905"/>
    <w:pPr>
      <w:ind w:left="200" w:hanging="200"/>
    </w:pPr>
  </w:style>
  <w:style w:type="paragraph" w:styleId="996">
    <w:name w:val="xl28"/>
    <w:basedOn w:val="905"/>
    <w:next w:val="996"/>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列表 2"/>
    <w:basedOn w:val="905"/>
    <w:next w:val="997"/>
    <w:link w:val="905"/>
    <w:pPr>
      <w:ind w:left="100" w:hanging="200"/>
    </w:pPr>
  </w:style>
  <w:style w:type="paragraph" w:styleId="998">
    <w:name w:val="批注主题"/>
    <w:basedOn w:val="1000"/>
    <w:next w:val="1000"/>
    <w:link w:val="923"/>
    <w:semiHidden/>
    <w:rPr>
      <w:b/>
      <w:bCs/>
      <w:sz w:val="20"/>
    </w:rPr>
  </w:style>
  <w:style w:type="paragraph" w:styleId="999">
    <w:name w:val="目录 4"/>
    <w:basedOn w:val="905"/>
    <w:next w:val="905"/>
    <w:link w:val="905"/>
    <w:semiHidden/>
    <w:pPr>
      <w:ind w:left="630"/>
      <w:jc w:val="left"/>
    </w:pPr>
  </w:style>
  <w:style w:type="paragraph" w:styleId="1000">
    <w:name w:val="批注文字"/>
    <w:basedOn w:val="905"/>
    <w:next w:val="1000"/>
    <w:link w:val="941"/>
    <w:semiHidden/>
    <w:pPr>
      <w:jc w:val="left"/>
    </w:pPr>
    <w:rPr>
      <w:sz w:val="20"/>
    </w:rPr>
  </w:style>
  <w:style w:type="paragraph" w:styleId="1001">
    <w:name w:val="普通正文"/>
    <w:basedOn w:val="905"/>
    <w:next w:val="1001"/>
    <w:link w:val="905"/>
    <w:pPr>
      <w:ind w:firstLine="480"/>
      <w:jc w:val="left"/>
      <w:spacing w:before="120" w:after="120" w:line="360" w:lineRule="auto"/>
    </w:pPr>
    <w:rPr>
      <w:rFonts w:ascii="Arial" w:hAnsi="Arial"/>
      <w:sz w:val="24"/>
      <w:szCs w:val="24"/>
    </w:rPr>
  </w:style>
  <w:style w:type="paragraph" w:styleId="1002">
    <w:name w:val="目录 5"/>
    <w:basedOn w:val="905"/>
    <w:next w:val="905"/>
    <w:link w:val="905"/>
    <w:semiHidden/>
    <w:pPr>
      <w:ind w:left="840"/>
      <w:jc w:val="left"/>
    </w:pPr>
  </w:style>
  <w:style w:type="paragraph" w:styleId="1003">
    <w:name w:val="table_lines"/>
    <w:basedOn w:val="905"/>
    <w:next w:val="1003"/>
    <w:link w:val="905"/>
    <w:pPr>
      <w:jc w:val="left"/>
      <w:widowControl/>
    </w:pPr>
    <w:rPr>
      <w:sz w:val="20"/>
      <w:szCs w:val="20"/>
      <w:lang w:val="de-DE" w:eastAsia="de-DE"/>
    </w:rPr>
  </w:style>
  <w:style w:type="paragraph" w:styleId="1004">
    <w:name w:val=" Char Char Char Char Char Char Char Char Char Char"/>
    <w:basedOn w:val="905"/>
    <w:next w:val="1004"/>
    <w:link w:val="905"/>
    <w:pPr>
      <w:spacing w:line="360" w:lineRule="auto"/>
    </w:pPr>
    <w:rPr>
      <w:sz w:val="24"/>
      <w:szCs w:val="20"/>
    </w:rPr>
  </w:style>
  <w:style w:type="paragraph" w:styleId="1005">
    <w:name w:val="列出段落1"/>
    <w:basedOn w:val="905"/>
    <w:next w:val="1005"/>
    <w:link w:val="952"/>
    <w:qFormat/>
    <w:pPr>
      <w:contextualSpacing/>
      <w:ind w:left="720"/>
      <w:jc w:val="left"/>
      <w:widowControl/>
    </w:pPr>
    <w:rPr>
      <w:rFonts w:ascii="Calibri" w:hAnsi="Calibri"/>
      <w:sz w:val="24"/>
      <w:szCs w:val="24"/>
      <w:lang w:eastAsia="en-US" w:bidi="en-US"/>
    </w:rPr>
  </w:style>
  <w:style w:type="paragraph" w:styleId="1006">
    <w:name w:val="页眉"/>
    <w:basedOn w:val="905"/>
    <w:next w:val="1006"/>
    <w:link w:val="930"/>
    <w:pPr>
      <w:jc w:val="center"/>
      <w:tabs>
        <w:tab w:val="center" w:pos="4153" w:leader="none"/>
        <w:tab w:val="right" w:pos="8306" w:leader="none"/>
      </w:tabs>
      <w:pBdr>
        <w:bottom w:val="single" w:color="000000" w:sz="6" w:space="1"/>
      </w:pBdr>
    </w:pPr>
    <w:rPr>
      <w:sz w:val="18"/>
      <w:szCs w:val="18"/>
    </w:rPr>
  </w:style>
  <w:style w:type="paragraph" w:styleId="1007">
    <w:name w:val="页脚1"/>
    <w:basedOn w:val="905"/>
    <w:next w:val="1007"/>
    <w:link w:val="905"/>
    <w:uiPriority w:val="99"/>
    <w:qFormat/>
    <w:pPr>
      <w:jc w:val="left"/>
      <w:tabs>
        <w:tab w:val="center" w:pos="4153" w:leader="none"/>
        <w:tab w:val="right" w:pos="8306" w:leader="none"/>
      </w:tabs>
    </w:pPr>
    <w:rPr>
      <w:sz w:val="18"/>
      <w:szCs w:val="18"/>
    </w:rPr>
  </w:style>
  <w:style w:type="paragraph" w:styleId="1008">
    <w:name w:val="索引 41"/>
    <w:basedOn w:val="905"/>
    <w:next w:val="905"/>
    <w:link w:val="905"/>
    <w:qFormat/>
    <w:pPr>
      <w:ind w:left="600"/>
      <w:jc w:val="both"/>
    </w:pPr>
    <w:rPr>
      <w:rFonts w:ascii="Calibri" w:hAnsi="Calibri" w:cs="Times New Roman"/>
      <w:sz w:val="21"/>
    </w:rPr>
  </w:style>
  <w:style w:type="paragraph" w:styleId="1009">
    <w:name w:val="标题 31"/>
    <w:basedOn w:val="905"/>
    <w:next w:val="980"/>
    <w:link w:val="905"/>
    <w:qFormat/>
    <w:pPr>
      <w:keepLines/>
      <w:keepNext/>
      <w:spacing w:before="260" w:after="260" w:line="416" w:lineRule="auto"/>
      <w:outlineLvl w:val="2"/>
    </w:pPr>
    <w:rPr>
      <w:b/>
      <w:bCs/>
      <w:sz w:val="32"/>
      <w:szCs w:val="32"/>
    </w:rPr>
  </w:style>
  <w:style w:type="paragraph" w:styleId="1010">
    <w:name w:val="图标"/>
    <w:basedOn w:val="905"/>
    <w:next w:val="905"/>
    <w:link w:val="90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xl26"/>
    <w:basedOn w:val="905"/>
    <w:next w:val="101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正文文本缩进"/>
    <w:basedOn w:val="905"/>
    <w:next w:val="1012"/>
    <w:link w:val="939"/>
    <w:pPr>
      <w:ind w:firstLine="645"/>
    </w:pPr>
    <w:rPr>
      <w:rFonts w:ascii="楷体_GB2312" w:eastAsia="楷体_GB2312"/>
      <w:sz w:val="32"/>
      <w:szCs w:val="32"/>
    </w:rPr>
  </w:style>
  <w:style w:type="paragraph" w:styleId="1013">
    <w:name w:val="二级目录"/>
    <w:next w:val="905"/>
    <w:link w:val="919"/>
    <w:pPr>
      <w:numPr>
        <w:ilvl w:val="0"/>
        <w:numId w:val="1"/>
      </w:numPr>
      <w:tabs>
        <w:tab w:val="left" w:pos="907" w:leader="none"/>
        <w:tab w:val="left" w:pos="1145" w:leader="none"/>
      </w:tabs>
      <w:outlineLvl w:val="1"/>
    </w:pPr>
    <w:rPr>
      <w:b/>
      <w:sz w:val="30"/>
      <w:szCs w:val="28"/>
      <w:lang w:val="en-US" w:eastAsia="zh-CN" w:bidi="ar-SA"/>
    </w:rPr>
  </w:style>
  <w:style w:type="paragraph" w:styleId="1014">
    <w:name w:val="Body Text(ch)"/>
    <w:basedOn w:val="905"/>
    <w:next w:val="987"/>
    <w:link w:val="905"/>
    <w:pPr>
      <w:spacing w:after="120"/>
    </w:pPr>
    <w:rPr>
      <w:rFonts w:ascii="宋体" w:hAnsi="Arial"/>
      <w:bCs/>
      <w:iCs/>
      <w:szCs w:val="24"/>
    </w:rPr>
  </w:style>
  <w:style w:type="paragraph" w:styleId="1015">
    <w:name w:val="Char Char Char Char Char Char Char Char"/>
    <w:basedOn w:val="905"/>
    <w:next w:val="1015"/>
    <w:link w:val="905"/>
    <w:pPr>
      <w:jc w:val="left"/>
      <w:spacing w:after="160" w:line="240" w:lineRule="exact"/>
      <w:widowControl/>
    </w:pPr>
    <w:rPr>
      <w:rFonts w:ascii="Verdana" w:hAnsi="Verdana"/>
      <w:sz w:val="20"/>
      <w:szCs w:val="20"/>
      <w:lang w:eastAsia="en-US"/>
    </w:rPr>
  </w:style>
  <w:style w:type="paragraph" w:styleId="1016">
    <w:name w:val="xl29"/>
    <w:basedOn w:val="905"/>
    <w:next w:val="1016"/>
    <w:link w:val="90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name w:val="列表段落"/>
    <w:basedOn w:val="905"/>
    <w:next w:val="1017"/>
    <w:link w:val="905"/>
    <w:qFormat/>
    <w:pPr>
      <w:contextualSpacing/>
      <w:ind w:left="720"/>
      <w:jc w:val="left"/>
      <w:widowControl/>
    </w:pPr>
    <w:rPr>
      <w:rFonts w:ascii="Calibri" w:hAnsi="Calibri"/>
      <w:sz w:val="24"/>
      <w:szCs w:val="24"/>
      <w:lang w:eastAsia="en-US" w:bidi="en-US"/>
    </w:rPr>
  </w:style>
  <w:style w:type="paragraph" w:styleId="1018">
    <w:name w:val="Char Char Char Char"/>
    <w:basedOn w:val="965"/>
    <w:next w:val="1018"/>
    <w:link w:val="905"/>
    <w:pPr>
      <w:spacing w:line="360" w:lineRule="auto"/>
    </w:pPr>
    <w:rPr>
      <w:rFonts w:ascii="Tahoma" w:hAnsi="Tahoma"/>
      <w:sz w:val="24"/>
      <w:szCs w:val="24"/>
    </w:rPr>
  </w:style>
  <w:style w:type="paragraph" w:styleId="1019">
    <w:name w:val="xl24"/>
    <w:basedOn w:val="905"/>
    <w:next w:val="101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普通 (Web)"/>
    <w:basedOn w:val="905"/>
    <w:next w:val="1020"/>
    <w:link w:val="905"/>
    <w:pPr>
      <w:jc w:val="left"/>
      <w:spacing w:before="100" w:beforeAutospacing="1" w:after="100" w:afterAutospacing="1"/>
      <w:widowControl/>
    </w:pPr>
    <w:rPr>
      <w:rFonts w:ascii="宋体" w:hAnsi="宋体"/>
      <w:sz w:val="24"/>
      <w:szCs w:val="24"/>
    </w:rPr>
  </w:style>
  <w:style w:type="paragraph" w:styleId="1021">
    <w:name w:val="font6"/>
    <w:basedOn w:val="905"/>
    <w:next w:val="1021"/>
    <w:link w:val="905"/>
    <w:pPr>
      <w:jc w:val="left"/>
      <w:spacing w:before="100" w:beforeAutospacing="1" w:after="100" w:afterAutospacing="1"/>
      <w:widowControl/>
    </w:pPr>
    <w:rPr>
      <w:rFonts w:hint="eastAsia" w:ascii="宋体" w:hAnsi="宋体"/>
      <w:sz w:val="28"/>
      <w:szCs w:val="28"/>
      <w:u w:val="single"/>
    </w:rPr>
  </w:style>
  <w:style w:type="paragraph" w:styleId="1022">
    <w:name w:val="font7"/>
    <w:basedOn w:val="905"/>
    <w:next w:val="1022"/>
    <w:link w:val="905"/>
    <w:pPr>
      <w:jc w:val="left"/>
      <w:spacing w:before="100" w:beforeAutospacing="1" w:after="100" w:afterAutospacing="1"/>
      <w:widowControl/>
    </w:pPr>
    <w:rPr>
      <w:rFonts w:hint="eastAsia" w:ascii="宋体" w:hAnsi="宋体"/>
      <w:sz w:val="18"/>
      <w:szCs w:val="18"/>
    </w:rPr>
  </w:style>
  <w:style w:type="paragraph" w:styleId="1023">
    <w:name w:val="无间隔"/>
    <w:next w:val="1023"/>
    <w:link w:val="905"/>
    <w:uiPriority w:val="99"/>
    <w:qFormat/>
    <w:pPr>
      <w:jc w:val="both"/>
      <w:widowControl w:val="off"/>
    </w:pPr>
    <w:rPr>
      <w:sz w:val="21"/>
      <w:szCs w:val="21"/>
      <w:lang w:val="en-US" w:eastAsia="zh-CN" w:bidi="ar-SA"/>
    </w:rPr>
  </w:style>
  <w:style w:type="paragraph" w:styleId="1024">
    <w:name w:val="页眉1"/>
    <w:basedOn w:val="905"/>
    <w:next w:val="1024"/>
    <w:link w:val="905"/>
    <w:qFormat/>
    <w:pPr>
      <w:jc w:val="center"/>
      <w:tabs>
        <w:tab w:val="center" w:pos="4153" w:leader="none"/>
        <w:tab w:val="right" w:pos="8306" w:leader="none"/>
      </w:tabs>
      <w:pBdr>
        <w:bottom w:val="single" w:color="000000" w:sz="6" w:space="1"/>
      </w:pBdr>
    </w:pPr>
    <w:rPr>
      <w:sz w:val="18"/>
      <w:szCs w:val="18"/>
    </w:rPr>
  </w:style>
  <w:style w:type="table" w:styleId="1025">
    <w:name w:val="网格型"/>
    <w:basedOn w:val="916"/>
    <w:next w:val="1025"/>
    <w:link w:val="905"/>
    <w:pPr>
      <w:jc w:val="both"/>
      <w:widowControl w:val="off"/>
    </w:pPr>
    <w:rPr>
      <w:rFonts w:ascii="Times New Roman" w:hAnsi="Times New Roman" w:eastAsia="宋体" w:cs="Times New Roman"/>
      <w:sz w:val="20"/>
      <w:szCs w:val="20"/>
    </w:rPr>
    <w:tbl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7</cp:revision>
  <dcterms:created xsi:type="dcterms:W3CDTF">2023-03-16T18:16:00Z</dcterms:created>
  <dcterms:modified xsi:type="dcterms:W3CDTF">2026-09-17T06:11:03Z</dcterms:modified>
</cp:coreProperties>
</file>