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25E049">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pacing w:val="80"/>
          <w:highlight w:val="none"/>
        </w:rPr>
      </w:pPr>
    </w:p>
    <w:p w14:paraId="6C4D204D">
      <w:pPr>
        <w:widowControl/>
        <w:spacing w:before="120" w:after="120" w:line="360" w:lineRule="auto"/>
        <w:ind w:firstLine="0"/>
        <w:jc w:val="center"/>
        <w:rPr>
          <w:rFonts w:hint="eastAsia" w:ascii="宋体" w:hAnsi="宋体" w:eastAsia="宋体" w:cs="宋体"/>
          <w:b/>
          <w:bCs/>
          <w:color w:val="auto"/>
          <w:spacing w:val="34"/>
          <w:sz w:val="72"/>
          <w:szCs w:val="28"/>
          <w:highlight w:val="none"/>
          <w:lang w:val="en-US" w:eastAsia="zh-CN" w:bidi="ar-SA"/>
        </w:rPr>
      </w:pPr>
      <w:r>
        <w:rPr>
          <w:rFonts w:hint="eastAsia" w:ascii="宋体" w:hAnsi="宋体" w:eastAsia="宋体" w:cs="宋体"/>
          <w:b/>
          <w:bCs/>
          <w:color w:val="auto"/>
          <w:spacing w:val="34"/>
          <w:sz w:val="72"/>
          <w:szCs w:val="28"/>
          <w:highlight w:val="none"/>
          <w:lang w:val="en-US" w:eastAsia="zh-CN" w:bidi="ar-SA"/>
        </w:rPr>
        <w:t>连云港市政府采购</w:t>
      </w:r>
    </w:p>
    <w:p w14:paraId="0E990990">
      <w:pPr>
        <w:pStyle w:val="538"/>
        <w:shd w:val="clear" w:color="auto" w:fill="auto"/>
        <w:ind w:left="0" w:firstLine="0"/>
        <w:jc w:val="center"/>
        <w:outlineLvl w:val="9"/>
        <w:rPr>
          <w:rFonts w:hint="eastAsia" w:ascii="宋体" w:hAnsi="宋体" w:eastAsia="宋体" w:cs="宋体"/>
          <w:b/>
          <w:bCs/>
          <w:color w:val="auto"/>
          <w:sz w:val="72"/>
          <w:szCs w:val="72"/>
          <w:highlight w:val="none"/>
          <w:lang w:eastAsia="zh-CN"/>
        </w:rPr>
      </w:pPr>
      <w:r>
        <w:rPr>
          <w:rFonts w:hint="eastAsia" w:ascii="宋体" w:hAnsi="宋体" w:cs="宋体"/>
          <w:b/>
          <w:bCs/>
          <w:color w:val="auto"/>
          <w:sz w:val="72"/>
          <w:szCs w:val="72"/>
          <w:highlight w:val="none"/>
          <w:lang w:val="en-US" w:eastAsia="zh-CN"/>
        </w:rPr>
        <w:t>竞争性磋商</w:t>
      </w:r>
      <w:r>
        <w:rPr>
          <w:rFonts w:hint="eastAsia" w:ascii="宋体" w:hAnsi="宋体" w:cs="宋体"/>
          <w:b/>
          <w:bCs/>
          <w:color w:val="auto"/>
          <w:sz w:val="72"/>
          <w:szCs w:val="72"/>
          <w:highlight w:val="none"/>
          <w:lang w:eastAsia="zh-CN"/>
        </w:rPr>
        <w:t>文件</w:t>
      </w:r>
    </w:p>
    <w:p w14:paraId="24832270">
      <w:pPr>
        <w:pStyle w:val="538"/>
        <w:shd w:val="clear" w:color="auto" w:fill="auto"/>
        <w:ind w:left="0" w:firstLine="0"/>
        <w:rPr>
          <w:rFonts w:ascii="宋体" w:hAnsi="宋体" w:cs="宋体"/>
          <w:b/>
          <w:bCs/>
          <w:color w:val="auto"/>
          <w:sz w:val="32"/>
          <w:szCs w:val="32"/>
          <w:highlight w:val="none"/>
        </w:rPr>
      </w:pPr>
    </w:p>
    <w:p w14:paraId="207B4364">
      <w:pPr>
        <w:pStyle w:val="538"/>
        <w:shd w:val="clear" w:color="auto" w:fill="auto"/>
        <w:ind w:firstLine="0"/>
        <w:rPr>
          <w:rFonts w:ascii="宋体" w:hAnsi="宋体" w:cs="宋体"/>
          <w:b/>
          <w:bCs/>
          <w:color w:val="auto"/>
          <w:sz w:val="32"/>
          <w:szCs w:val="32"/>
          <w:highlight w:val="none"/>
        </w:rPr>
      </w:pPr>
    </w:p>
    <w:tbl>
      <w:tblPr>
        <w:tblStyle w:val="30"/>
        <w:tblW w:w="0" w:type="auto"/>
        <w:jc w:val="center"/>
        <w:tblLayout w:type="fixed"/>
        <w:tblCellMar>
          <w:top w:w="0" w:type="dxa"/>
          <w:left w:w="108" w:type="dxa"/>
          <w:bottom w:w="0" w:type="dxa"/>
          <w:right w:w="108" w:type="dxa"/>
        </w:tblCellMar>
      </w:tblPr>
      <w:tblGrid>
        <w:gridCol w:w="2160"/>
        <w:gridCol w:w="6752"/>
      </w:tblGrid>
      <w:tr w14:paraId="7A448AE6">
        <w:tblPrEx>
          <w:tblCellMar>
            <w:top w:w="0" w:type="dxa"/>
            <w:left w:w="108" w:type="dxa"/>
            <w:bottom w:w="0" w:type="dxa"/>
            <w:right w:w="108" w:type="dxa"/>
          </w:tblCellMar>
        </w:tblPrEx>
        <w:trPr>
          <w:trHeight w:val="855" w:hRule="atLeast"/>
          <w:jc w:val="center"/>
        </w:trPr>
        <w:tc>
          <w:tcPr>
            <w:tcW w:w="2160" w:type="dxa"/>
            <w:tcBorders>
              <w:top w:val="nil"/>
              <w:left w:val="nil"/>
              <w:bottom w:val="nil"/>
              <w:right w:val="nil"/>
            </w:tcBorders>
            <w:noWrap w:val="0"/>
            <w:vAlign w:val="center"/>
          </w:tcPr>
          <w:p w14:paraId="4539B31C">
            <w:pPr>
              <w:shd w:val="clear" w:color="auto" w:fill="auto"/>
              <w:spacing w:line="360" w:lineRule="auto"/>
              <w:ind w:left="0" w:firstLine="0"/>
              <w:jc w:val="both"/>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项目名称</w:t>
            </w:r>
            <w:r>
              <w:rPr>
                <w:rFonts w:hint="eastAsia" w:ascii="宋体" w:hAnsi="宋体" w:cs="宋体"/>
                <w:b/>
                <w:bCs/>
                <w:color w:val="auto"/>
                <w:spacing w:val="16"/>
                <w:sz w:val="32"/>
                <w:szCs w:val="32"/>
                <w:highlight w:val="none"/>
              </w:rPr>
              <w:t>：</w:t>
            </w:r>
          </w:p>
        </w:tc>
        <w:tc>
          <w:tcPr>
            <w:tcW w:w="6752" w:type="dxa"/>
            <w:tcBorders>
              <w:top w:val="nil"/>
              <w:left w:val="nil"/>
              <w:bottom w:val="nil"/>
              <w:right w:val="nil"/>
            </w:tcBorders>
            <w:noWrap w:val="0"/>
            <w:vAlign w:val="center"/>
          </w:tcPr>
          <w:p w14:paraId="27C22B96">
            <w:pPr>
              <w:shd w:val="clear" w:color="auto" w:fill="auto"/>
              <w:spacing w:line="360" w:lineRule="auto"/>
              <w:ind w:left="0" w:firstLine="0"/>
              <w:rPr>
                <w:rFonts w:hint="eastAsia" w:ascii="宋体" w:hAnsi="宋体" w:eastAsia="宋体" w:cs="宋体"/>
                <w:b/>
                <w:bCs/>
                <w:color w:val="auto"/>
                <w:spacing w:val="16"/>
                <w:sz w:val="32"/>
                <w:szCs w:val="32"/>
                <w:highlight w:val="none"/>
                <w:lang w:eastAsia="zh-CN"/>
              </w:rPr>
            </w:pPr>
            <w:r>
              <w:rPr>
                <w:rFonts w:hint="eastAsia" w:ascii="宋体" w:hAnsi="宋体" w:eastAsia="Arial" w:cs="宋体"/>
                <w:b/>
                <w:bCs/>
                <w:color w:val="auto"/>
                <w:sz w:val="32"/>
                <w:szCs w:val="24"/>
                <w:highlight w:val="none"/>
                <w:lang w:val="en-US" w:eastAsia="zh-CN" w:bidi="ar-SA"/>
              </w:rPr>
              <w:t>连云港市赣马高级中学教学楼及宿舍楼维修改造提升项目(政府采购工程）(专门面向中小企业采购）</w:t>
            </w:r>
          </w:p>
        </w:tc>
      </w:tr>
      <w:tr w14:paraId="1CF86E9D">
        <w:tblPrEx>
          <w:tblCellMar>
            <w:top w:w="0" w:type="dxa"/>
            <w:left w:w="108" w:type="dxa"/>
            <w:bottom w:w="0" w:type="dxa"/>
            <w:right w:w="108" w:type="dxa"/>
          </w:tblCellMar>
        </w:tblPrEx>
        <w:trPr>
          <w:trHeight w:val="855" w:hRule="atLeast"/>
          <w:jc w:val="center"/>
        </w:trPr>
        <w:tc>
          <w:tcPr>
            <w:tcW w:w="2160" w:type="dxa"/>
            <w:tcBorders>
              <w:top w:val="nil"/>
              <w:left w:val="nil"/>
              <w:bottom w:val="nil"/>
              <w:right w:val="nil"/>
            </w:tcBorders>
            <w:noWrap w:val="0"/>
            <w:vAlign w:val="center"/>
          </w:tcPr>
          <w:p w14:paraId="2378C6B2">
            <w:pPr>
              <w:shd w:val="clear" w:color="auto" w:fill="auto"/>
              <w:spacing w:line="360" w:lineRule="auto"/>
              <w:ind w:left="0" w:firstLine="0"/>
              <w:rPr>
                <w:rFonts w:hint="eastAsia" w:ascii="宋体" w:hAnsi="宋体" w:eastAsia="Arial" w:cs="宋体"/>
                <w:b/>
                <w:bCs/>
                <w:color w:val="auto"/>
                <w:sz w:val="32"/>
                <w:szCs w:val="24"/>
                <w:highlight w:val="none"/>
                <w:lang w:val="en-US" w:eastAsia="zh-CN" w:bidi="ar-SA"/>
              </w:rPr>
            </w:pPr>
            <w:r>
              <w:rPr>
                <w:rFonts w:hint="eastAsia" w:ascii="宋体" w:hAnsi="宋体" w:eastAsia="Arial" w:cs="宋体"/>
                <w:b/>
                <w:bCs/>
                <w:color w:val="auto"/>
                <w:sz w:val="32"/>
                <w:szCs w:val="24"/>
                <w:highlight w:val="none"/>
                <w:lang w:val="en-US" w:eastAsia="zh-CN" w:bidi="ar-SA"/>
              </w:rPr>
              <w:t>项目编号：</w:t>
            </w:r>
          </w:p>
        </w:tc>
        <w:tc>
          <w:tcPr>
            <w:tcW w:w="6752" w:type="dxa"/>
            <w:tcBorders>
              <w:top w:val="nil"/>
              <w:left w:val="nil"/>
              <w:bottom w:val="nil"/>
              <w:right w:val="nil"/>
            </w:tcBorders>
            <w:noWrap w:val="0"/>
            <w:vAlign w:val="center"/>
          </w:tcPr>
          <w:p w14:paraId="3967E41C">
            <w:pPr>
              <w:shd w:val="clear" w:color="auto" w:fill="auto"/>
              <w:spacing w:line="360" w:lineRule="auto"/>
              <w:ind w:left="0" w:firstLine="0"/>
              <w:rPr>
                <w:rFonts w:hint="eastAsia" w:ascii="宋体" w:hAnsi="宋体" w:eastAsia="Arial" w:cs="宋体"/>
                <w:b/>
                <w:bCs/>
                <w:color w:val="auto"/>
                <w:sz w:val="32"/>
                <w:szCs w:val="24"/>
                <w:highlight w:val="none"/>
                <w:lang w:val="en-US" w:eastAsia="zh-CN" w:bidi="ar-SA"/>
              </w:rPr>
            </w:pPr>
            <w:r>
              <w:rPr>
                <w:rFonts w:hint="eastAsia" w:ascii="宋体" w:hAnsi="宋体" w:eastAsia="Arial" w:cs="宋体"/>
                <w:b/>
                <w:bCs/>
                <w:color w:val="auto"/>
                <w:sz w:val="32"/>
                <w:szCs w:val="24"/>
                <w:highlight w:val="none"/>
                <w:lang w:val="en-US" w:eastAsia="zh-CN" w:bidi="ar-SA"/>
              </w:rPr>
              <w:t>JSZC-320707-RJXM-C2026-0011</w:t>
            </w:r>
          </w:p>
        </w:tc>
      </w:tr>
    </w:tbl>
    <w:p w14:paraId="72665A2F">
      <w:pPr>
        <w:pStyle w:val="538"/>
        <w:shd w:val="clear" w:color="auto" w:fill="auto"/>
        <w:ind w:firstLine="0"/>
        <w:jc w:val="center"/>
        <w:rPr>
          <w:rFonts w:ascii="宋体" w:hAnsi="宋体" w:cs="宋体"/>
          <w:b/>
          <w:bCs/>
          <w:color w:val="auto"/>
          <w:sz w:val="32"/>
          <w:highlight w:val="none"/>
        </w:rPr>
      </w:pPr>
    </w:p>
    <w:p w14:paraId="05E85AD3">
      <w:pPr>
        <w:pStyle w:val="538"/>
        <w:shd w:val="clear" w:color="auto" w:fill="auto"/>
        <w:ind w:firstLine="0"/>
        <w:jc w:val="center"/>
        <w:rPr>
          <w:rFonts w:ascii="宋体" w:hAnsi="宋体" w:cs="宋体"/>
          <w:b/>
          <w:bCs/>
          <w:color w:val="auto"/>
          <w:sz w:val="32"/>
          <w:highlight w:val="none"/>
        </w:rPr>
      </w:pPr>
    </w:p>
    <w:p w14:paraId="5BEA5169">
      <w:pPr>
        <w:pStyle w:val="538"/>
        <w:shd w:val="clear" w:color="auto" w:fill="auto"/>
        <w:ind w:firstLine="0"/>
        <w:jc w:val="center"/>
        <w:rPr>
          <w:rFonts w:ascii="宋体" w:hAnsi="宋体" w:cs="宋体"/>
          <w:b/>
          <w:bCs/>
          <w:color w:val="auto"/>
          <w:sz w:val="32"/>
          <w:highlight w:val="none"/>
        </w:rPr>
      </w:pPr>
    </w:p>
    <w:p w14:paraId="6B80B4A2">
      <w:pPr>
        <w:shd w:val="clear" w:color="auto" w:fill="auto"/>
        <w:spacing w:line="360" w:lineRule="auto"/>
        <w:rPr>
          <w:rFonts w:ascii="宋体" w:hAnsi="宋体" w:cs="宋体"/>
          <w:color w:val="auto"/>
          <w:szCs w:val="21"/>
          <w:highlight w:val="none"/>
        </w:rPr>
      </w:pPr>
    </w:p>
    <w:tbl>
      <w:tblPr>
        <w:tblStyle w:val="30"/>
        <w:tblW w:w="9207" w:type="dxa"/>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3053"/>
        <w:gridCol w:w="5262"/>
        <w:gridCol w:w="892"/>
      </w:tblGrid>
      <w:tr w14:paraId="659AAB82">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3053" w:type="dxa"/>
            <w:noWrap w:val="0"/>
            <w:vAlign w:val="center"/>
          </w:tcPr>
          <w:p w14:paraId="3B69CE0A">
            <w:pPr>
              <w:framePr w:w="8633" w:wrap="auto" w:vAnchor="page" w:hAnchor="page" w:x="1381" w:y="9915"/>
              <w:shd w:val="clear" w:color="auto" w:fill="auto"/>
              <w:spacing w:line="360" w:lineRule="auto"/>
              <w:ind w:left="0" w:firstLine="0"/>
              <w:jc w:val="left"/>
              <w:rPr>
                <w:rFonts w:ascii="宋体" w:hAnsi="宋体" w:cs="宋体"/>
                <w:color w:val="auto"/>
                <w:highlight w:val="none"/>
              </w:rPr>
            </w:pPr>
            <w:bookmarkStart w:id="0" w:name="OLE_LINK31"/>
            <w:bookmarkStart w:id="1" w:name="OLE_LINK4"/>
            <w:r>
              <w:rPr>
                <w:rFonts w:hint="eastAsia" w:ascii="宋体" w:hAnsi="宋体" w:cs="宋体"/>
                <w:b/>
                <w:bCs/>
                <w:color w:val="auto"/>
                <w:sz w:val="32"/>
                <w:highlight w:val="none"/>
              </w:rPr>
              <w:t>采购人：</w:t>
            </w:r>
            <w:bookmarkEnd w:id="0"/>
            <w:bookmarkEnd w:id="1"/>
          </w:p>
        </w:tc>
        <w:tc>
          <w:tcPr>
            <w:tcW w:w="6154" w:type="dxa"/>
            <w:gridSpan w:val="2"/>
            <w:noWrap w:val="0"/>
            <w:vAlign w:val="center"/>
          </w:tcPr>
          <w:p w14:paraId="69EA23B3">
            <w:pPr>
              <w:pStyle w:val="207"/>
              <w:framePr w:w="8633" w:wrap="auto" w:vAnchor="page" w:hAnchor="page" w:x="1381" w:y="9915"/>
              <w:shd w:val="clear" w:color="auto" w:fill="auto"/>
              <w:spacing w:line="360" w:lineRule="auto"/>
              <w:ind w:left="0" w:firstLine="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lang w:eastAsia="zh-CN"/>
              </w:rPr>
              <w:t>连云港市赣马高级中学</w:t>
            </w:r>
          </w:p>
        </w:tc>
      </w:tr>
      <w:tr w14:paraId="176CD67E">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3053" w:type="dxa"/>
            <w:noWrap w:val="0"/>
            <w:vAlign w:val="center"/>
          </w:tcPr>
          <w:p w14:paraId="70C67473">
            <w:pPr>
              <w:framePr w:w="8633" w:wrap="auto" w:vAnchor="page" w:hAnchor="page" w:x="1381" w:y="9915"/>
              <w:shd w:val="clear" w:color="auto" w:fill="auto"/>
              <w:spacing w:line="360" w:lineRule="auto"/>
              <w:ind w:left="0" w:firstLine="0"/>
              <w:jc w:val="left"/>
              <w:rPr>
                <w:rFonts w:ascii="宋体" w:hAnsi="宋体" w:cs="宋体"/>
                <w:color w:val="auto"/>
                <w:highlight w:val="none"/>
              </w:rPr>
            </w:pPr>
            <w:r>
              <w:rPr>
                <w:rFonts w:hint="eastAsia" w:ascii="宋体" w:hAnsi="宋体" w:cs="宋体"/>
                <w:b/>
                <w:bCs/>
                <w:color w:val="auto"/>
                <w:sz w:val="32"/>
                <w:highlight w:val="none"/>
              </w:rPr>
              <w:t>采购代理机构：</w:t>
            </w:r>
          </w:p>
        </w:tc>
        <w:tc>
          <w:tcPr>
            <w:tcW w:w="6154" w:type="dxa"/>
            <w:gridSpan w:val="2"/>
            <w:noWrap w:val="0"/>
            <w:vAlign w:val="center"/>
          </w:tcPr>
          <w:p w14:paraId="7FD34C05">
            <w:pPr>
              <w:pStyle w:val="207"/>
              <w:framePr w:w="8633" w:wrap="auto" w:vAnchor="page" w:hAnchor="page" w:x="1381" w:y="9915"/>
              <w:shd w:val="clear" w:color="auto" w:fill="auto"/>
              <w:spacing w:line="360" w:lineRule="auto"/>
              <w:ind w:left="0" w:firstLine="0"/>
              <w:rPr>
                <w:rFonts w:hint="eastAsia" w:hAnsi="宋体" w:eastAsia="宋体" w:cs="宋体"/>
                <w:b/>
                <w:bCs/>
                <w:color w:val="auto"/>
                <w:sz w:val="28"/>
                <w:szCs w:val="28"/>
                <w:highlight w:val="none"/>
                <w:lang w:eastAsia="zh-CN"/>
              </w:rPr>
            </w:pPr>
            <w:r>
              <w:rPr>
                <w:rFonts w:hint="eastAsia" w:hAnsi="宋体" w:cs="宋体"/>
                <w:b/>
                <w:bCs/>
                <w:color w:val="auto"/>
                <w:sz w:val="32"/>
                <w:szCs w:val="24"/>
                <w:highlight w:val="none"/>
                <w:lang w:val="en-US" w:eastAsia="zh-CN" w:bidi="ar-SA"/>
              </w:rPr>
              <w:t>江苏瑞杰项目管理顾问有限公司</w:t>
            </w:r>
          </w:p>
        </w:tc>
      </w:tr>
      <w:tr w14:paraId="41BE429D">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gridAfter w:val="1"/>
          <w:wAfter w:w="892" w:type="dxa"/>
          <w:trHeight w:val="385" w:hRule="atLeast"/>
        </w:trPr>
        <w:tc>
          <w:tcPr>
            <w:tcW w:w="8315" w:type="dxa"/>
            <w:gridSpan w:val="2"/>
            <w:tcBorders>
              <w:top w:val="nil"/>
              <w:left w:val="nil"/>
              <w:bottom w:val="nil"/>
              <w:right w:val="nil"/>
            </w:tcBorders>
            <w:noWrap w:val="0"/>
            <w:vAlign w:val="top"/>
          </w:tcPr>
          <w:p w14:paraId="727F4442">
            <w:pPr>
              <w:pStyle w:val="207"/>
              <w:framePr w:w="8633" w:wrap="auto" w:vAnchor="page" w:hAnchor="page" w:x="1381" w:y="9915"/>
              <w:shd w:val="clear" w:color="auto" w:fill="auto"/>
              <w:spacing w:line="360" w:lineRule="auto"/>
              <w:ind w:left="0" w:firstLine="0"/>
              <w:jc w:val="center"/>
              <w:rPr>
                <w:rFonts w:hAnsi="宋体" w:eastAsia="宋体" w:cs="宋体"/>
                <w:b/>
                <w:color w:val="auto"/>
                <w:sz w:val="32"/>
                <w:szCs w:val="32"/>
                <w:highlight w:val="none"/>
                <w:lang w:val="en-US" w:eastAsia="zh-CN"/>
              </w:rPr>
            </w:pPr>
            <w:bookmarkStart w:id="2" w:name="OLE_LINK12"/>
            <w:bookmarkStart w:id="3" w:name="OLE_LINK35"/>
            <w:r>
              <w:rPr>
                <w:rFonts w:hint="eastAsia" w:hAnsi="宋体" w:cs="宋体"/>
                <w:b/>
                <w:color w:val="auto"/>
                <w:sz w:val="32"/>
                <w:szCs w:val="32"/>
                <w:highlight w:val="none"/>
              </w:rPr>
              <w:t>202</w:t>
            </w:r>
            <w:r>
              <w:rPr>
                <w:rFonts w:hint="eastAsia" w:hAnsi="宋体" w:cs="宋体"/>
                <w:b/>
                <w:color w:val="auto"/>
                <w:sz w:val="32"/>
                <w:szCs w:val="32"/>
                <w:highlight w:val="none"/>
                <w:lang w:val="en-US" w:eastAsia="zh-CN"/>
              </w:rPr>
              <w:t>6</w:t>
            </w:r>
            <w:r>
              <w:rPr>
                <w:rFonts w:hint="eastAsia" w:hAnsi="宋体" w:cs="宋体"/>
                <w:b/>
                <w:color w:val="auto"/>
                <w:sz w:val="32"/>
                <w:szCs w:val="32"/>
                <w:highlight w:val="none"/>
              </w:rPr>
              <w:t>年</w:t>
            </w:r>
            <w:r>
              <w:rPr>
                <w:rFonts w:hint="eastAsia" w:hAnsi="宋体" w:cs="宋体"/>
                <w:b/>
                <w:color w:val="auto"/>
                <w:sz w:val="32"/>
                <w:szCs w:val="32"/>
                <w:highlight w:val="none"/>
                <w:lang w:val="en-US" w:eastAsia="zh-CN"/>
              </w:rPr>
              <w:t>9</w:t>
            </w:r>
            <w:r>
              <w:rPr>
                <w:rFonts w:hint="eastAsia" w:hAnsi="宋体" w:cs="宋体"/>
                <w:b/>
                <w:color w:val="auto"/>
                <w:sz w:val="32"/>
                <w:szCs w:val="32"/>
                <w:highlight w:val="none"/>
              </w:rPr>
              <w:t>月</w:t>
            </w:r>
            <w:bookmarkEnd w:id="2"/>
            <w:bookmarkEnd w:id="3"/>
          </w:p>
        </w:tc>
      </w:tr>
    </w:tbl>
    <w:p w14:paraId="272505C1">
      <w:pPr>
        <w:shd w:val="clear" w:color="auto" w:fill="auto"/>
        <w:ind w:firstLine="0"/>
        <w:rPr>
          <w:rFonts w:ascii="宋体" w:hAnsi="宋体" w:cs="宋体"/>
          <w:b/>
          <w:bCs/>
          <w:color w:val="auto"/>
          <w:sz w:val="44"/>
          <w:szCs w:val="44"/>
          <w:highlight w:val="none"/>
        </w:rPr>
      </w:pPr>
    </w:p>
    <w:p w14:paraId="541A1B87">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highlight w:val="none"/>
        </w:rPr>
      </w:pPr>
      <w:r>
        <w:rPr>
          <w:rFonts w:hint="eastAsia" w:ascii="宋体" w:hAnsi="宋体" w:eastAsia="宋体" w:cs="宋体"/>
          <w:b/>
          <w:color w:val="auto"/>
          <w:sz w:val="48"/>
          <w:szCs w:val="48"/>
          <w:highlight w:val="none"/>
        </w:rPr>
        <w:t>目</w:t>
      </w:r>
      <w:r>
        <w:rPr>
          <w:rFonts w:hint="eastAsia" w:ascii="宋体" w:hAnsi="宋体" w:cs="宋体"/>
          <w:b/>
          <w:color w:val="auto"/>
          <w:sz w:val="48"/>
          <w:szCs w:val="48"/>
          <w:highlight w:val="none"/>
          <w:lang w:val="en-US" w:eastAsia="zh-CN"/>
        </w:rPr>
        <w:t xml:space="preserve"> </w:t>
      </w:r>
      <w:r>
        <w:rPr>
          <w:rFonts w:hint="eastAsia" w:ascii="宋体" w:hAnsi="宋体" w:eastAsia="宋体" w:cs="宋体"/>
          <w:b/>
          <w:color w:val="auto"/>
          <w:sz w:val="48"/>
          <w:szCs w:val="48"/>
          <w:highlight w:val="none"/>
        </w:rPr>
        <w:t>录</w:t>
      </w:r>
    </w:p>
    <w:p w14:paraId="1407633D">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_Toc14904 </w:instrText>
      </w:r>
      <w:r>
        <w:rPr>
          <w:rFonts w:hint="eastAsia" w:ascii="宋体" w:hAnsi="宋体" w:eastAsia="宋体" w:cs="宋体"/>
          <w:color w:val="auto"/>
          <w:highlight w:val="none"/>
        </w:rPr>
        <w:fldChar w:fldCharType="separate"/>
      </w:r>
      <w:r>
        <w:rPr>
          <w:rFonts w:hint="eastAsia"/>
          <w:color w:val="auto"/>
          <w:highlight w:val="none"/>
          <w:lang w:val="en-US" w:eastAsia="zh-CN"/>
        </w:rPr>
        <w:t>第一章竞争性磋商公告</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highlight w:val="none"/>
        </w:rPr>
        <w:fldChar w:fldCharType="end"/>
      </w:r>
    </w:p>
    <w:p w14:paraId="6B0B99F5">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_Toc15613 </w:instrText>
      </w:r>
      <w:r>
        <w:rPr>
          <w:rFonts w:hint="eastAsia" w:ascii="宋体" w:hAnsi="宋体" w:eastAsia="宋体" w:cs="宋体"/>
          <w:color w:val="auto"/>
          <w:highlight w:val="none"/>
        </w:rPr>
        <w:fldChar w:fldCharType="separate"/>
      </w:r>
      <w:r>
        <w:rPr>
          <w:rFonts w:hint="eastAsia"/>
          <w:color w:val="auto"/>
          <w:highlight w:val="none"/>
        </w:rPr>
        <w:t>第二章</w:t>
      </w:r>
      <w:r>
        <w:rPr>
          <w:rFonts w:hint="eastAsia"/>
          <w:color w:val="auto"/>
          <w:highlight w:val="none"/>
          <w:lang w:val="en-US" w:eastAsia="zh-CN"/>
        </w:rPr>
        <w:t>供应商</w:t>
      </w:r>
      <w:r>
        <w:rPr>
          <w:rFonts w:hint="eastAsia"/>
          <w:color w:val="auto"/>
          <w:highlight w:val="none"/>
        </w:rPr>
        <w:t>须知</w:t>
      </w:r>
      <w:r>
        <w:rPr>
          <w:color w:val="auto"/>
          <w:highlight w:val="none"/>
        </w:rPr>
        <w:tab/>
      </w:r>
      <w:r>
        <w:rPr>
          <w:color w:val="auto"/>
          <w:highlight w:val="none"/>
        </w:rPr>
        <w:fldChar w:fldCharType="begin"/>
      </w:r>
      <w:r>
        <w:rPr>
          <w:color w:val="auto"/>
          <w:highlight w:val="none"/>
        </w:rPr>
        <w:instrText xml:space="preserve"> PAGEREF _Toc15613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eastAsia="宋体" w:cs="宋体"/>
          <w:color w:val="auto"/>
          <w:highlight w:val="none"/>
        </w:rPr>
        <w:fldChar w:fldCharType="end"/>
      </w:r>
    </w:p>
    <w:p w14:paraId="32251AFC">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_Toc15795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44"/>
          <w:highlight w:val="none"/>
        </w:rPr>
        <w:t>第</w:t>
      </w:r>
      <w:r>
        <w:rPr>
          <w:rFonts w:hint="eastAsia" w:ascii="宋体" w:hAnsi="宋体" w:eastAsia="宋体" w:cs="宋体"/>
          <w:bCs/>
          <w:color w:val="auto"/>
          <w:szCs w:val="44"/>
          <w:highlight w:val="none"/>
          <w:lang w:eastAsia="zh-CN"/>
        </w:rPr>
        <w:t>三</w:t>
      </w:r>
      <w:r>
        <w:rPr>
          <w:rFonts w:hint="eastAsia" w:ascii="宋体" w:hAnsi="宋体" w:eastAsia="宋体" w:cs="宋体"/>
          <w:bCs/>
          <w:color w:val="auto"/>
          <w:szCs w:val="44"/>
          <w:highlight w:val="none"/>
        </w:rPr>
        <w:t>章政府采购合同格式</w:t>
      </w:r>
      <w:r>
        <w:rPr>
          <w:color w:val="auto"/>
          <w:highlight w:val="none"/>
        </w:rPr>
        <w:tab/>
      </w:r>
      <w:r>
        <w:rPr>
          <w:color w:val="auto"/>
          <w:highlight w:val="none"/>
        </w:rPr>
        <w:fldChar w:fldCharType="begin"/>
      </w:r>
      <w:r>
        <w:rPr>
          <w:color w:val="auto"/>
          <w:highlight w:val="none"/>
        </w:rPr>
        <w:instrText xml:space="preserve"> PAGEREF _Toc15795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eastAsia="宋体" w:cs="宋体"/>
          <w:color w:val="auto"/>
          <w:highlight w:val="none"/>
        </w:rPr>
        <w:fldChar w:fldCharType="end"/>
      </w:r>
    </w:p>
    <w:p w14:paraId="175E101F">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_Toc14833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44"/>
          <w:highlight w:val="none"/>
        </w:rPr>
        <w:t>第</w:t>
      </w:r>
      <w:r>
        <w:rPr>
          <w:rFonts w:hint="eastAsia" w:ascii="宋体" w:hAnsi="宋体" w:eastAsia="宋体" w:cs="宋体"/>
          <w:bCs/>
          <w:color w:val="auto"/>
          <w:szCs w:val="44"/>
          <w:highlight w:val="none"/>
          <w:lang w:eastAsia="zh-CN"/>
        </w:rPr>
        <w:t>四</w:t>
      </w:r>
      <w:r>
        <w:rPr>
          <w:rFonts w:hint="eastAsia" w:ascii="宋体" w:hAnsi="宋体" w:eastAsia="宋体" w:cs="宋体"/>
          <w:bCs/>
          <w:color w:val="auto"/>
          <w:szCs w:val="44"/>
          <w:highlight w:val="none"/>
        </w:rPr>
        <w:t>章</w:t>
      </w:r>
      <w:r>
        <w:rPr>
          <w:rFonts w:hint="eastAsia" w:ascii="宋体" w:hAnsi="宋体" w:cs="宋体"/>
          <w:bCs/>
          <w:color w:val="auto"/>
          <w:szCs w:val="44"/>
          <w:highlight w:val="none"/>
          <w:lang w:val="en-US" w:eastAsia="zh-CN"/>
        </w:rPr>
        <w:t>项目需求</w:t>
      </w:r>
      <w:r>
        <w:rPr>
          <w:color w:val="auto"/>
          <w:highlight w:val="none"/>
        </w:rPr>
        <w:tab/>
      </w:r>
      <w:r>
        <w:rPr>
          <w:color w:val="auto"/>
          <w:highlight w:val="none"/>
        </w:rPr>
        <w:fldChar w:fldCharType="begin"/>
      </w:r>
      <w:r>
        <w:rPr>
          <w:color w:val="auto"/>
          <w:highlight w:val="none"/>
        </w:rPr>
        <w:instrText xml:space="preserve"> PAGEREF _Toc14833 \h </w:instrText>
      </w:r>
      <w:r>
        <w:rPr>
          <w:color w:val="auto"/>
          <w:highlight w:val="none"/>
        </w:rPr>
        <w:fldChar w:fldCharType="separate"/>
      </w:r>
      <w:r>
        <w:rPr>
          <w:color w:val="auto"/>
          <w:highlight w:val="none"/>
        </w:rPr>
        <w:t>79</w:t>
      </w:r>
      <w:r>
        <w:rPr>
          <w:color w:val="auto"/>
          <w:highlight w:val="none"/>
        </w:rPr>
        <w:fldChar w:fldCharType="end"/>
      </w:r>
      <w:r>
        <w:rPr>
          <w:rFonts w:hint="eastAsia" w:ascii="宋体" w:hAnsi="宋体" w:eastAsia="宋体" w:cs="宋体"/>
          <w:color w:val="auto"/>
          <w:highlight w:val="none"/>
        </w:rPr>
        <w:fldChar w:fldCharType="end"/>
      </w:r>
    </w:p>
    <w:p w14:paraId="0A9E9B76">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_Toc24031 </w:instrText>
      </w:r>
      <w:r>
        <w:rPr>
          <w:rFonts w:hint="eastAsia" w:ascii="宋体" w:hAnsi="宋体" w:eastAsia="宋体" w:cs="宋体"/>
          <w:color w:val="auto"/>
          <w:highlight w:val="none"/>
        </w:rPr>
        <w:fldChar w:fldCharType="separate"/>
      </w:r>
      <w:r>
        <w:rPr>
          <w:rFonts w:hint="eastAsia"/>
          <w:color w:val="auto"/>
          <w:highlight w:val="none"/>
        </w:rPr>
        <w:t>第</w:t>
      </w:r>
      <w:r>
        <w:rPr>
          <w:rFonts w:hint="eastAsia"/>
          <w:color w:val="auto"/>
          <w:highlight w:val="none"/>
          <w:lang w:eastAsia="zh-CN"/>
        </w:rPr>
        <w:t>五</w:t>
      </w:r>
      <w:r>
        <w:rPr>
          <w:rFonts w:hint="eastAsia"/>
          <w:color w:val="auto"/>
          <w:highlight w:val="none"/>
        </w:rPr>
        <w:t>章工程量清单</w:t>
      </w:r>
      <w:r>
        <w:rPr>
          <w:color w:val="auto"/>
          <w:highlight w:val="none"/>
        </w:rPr>
        <w:tab/>
      </w:r>
      <w:r>
        <w:rPr>
          <w:color w:val="auto"/>
          <w:highlight w:val="none"/>
        </w:rPr>
        <w:fldChar w:fldCharType="begin"/>
      </w:r>
      <w:r>
        <w:rPr>
          <w:color w:val="auto"/>
          <w:highlight w:val="none"/>
        </w:rPr>
        <w:instrText xml:space="preserve"> PAGEREF _Toc24031 \h </w:instrText>
      </w:r>
      <w:r>
        <w:rPr>
          <w:color w:val="auto"/>
          <w:highlight w:val="none"/>
        </w:rPr>
        <w:fldChar w:fldCharType="separate"/>
      </w:r>
      <w:r>
        <w:rPr>
          <w:color w:val="auto"/>
          <w:highlight w:val="none"/>
        </w:rPr>
        <w:t>84</w:t>
      </w:r>
      <w:r>
        <w:rPr>
          <w:color w:val="auto"/>
          <w:highlight w:val="none"/>
        </w:rPr>
        <w:fldChar w:fldCharType="end"/>
      </w:r>
      <w:r>
        <w:rPr>
          <w:rFonts w:hint="eastAsia" w:ascii="宋体" w:hAnsi="宋体" w:eastAsia="宋体" w:cs="宋体"/>
          <w:color w:val="auto"/>
          <w:highlight w:val="none"/>
        </w:rPr>
        <w:fldChar w:fldCharType="end"/>
      </w:r>
    </w:p>
    <w:p w14:paraId="293A5D4D">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_Toc20086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第</w:t>
      </w:r>
      <w:r>
        <w:rPr>
          <w:rFonts w:hint="eastAsia" w:ascii="宋体" w:hAnsi="宋体" w:eastAsia="宋体" w:cs="宋体"/>
          <w:bCs/>
          <w:color w:val="auto"/>
          <w:szCs w:val="32"/>
          <w:highlight w:val="none"/>
          <w:lang w:eastAsia="zh-CN"/>
        </w:rPr>
        <w:t>六</w:t>
      </w:r>
      <w:r>
        <w:rPr>
          <w:rFonts w:hint="eastAsia" w:ascii="宋体" w:hAnsi="宋体" w:eastAsia="宋体" w:cs="宋体"/>
          <w:bCs/>
          <w:color w:val="auto"/>
          <w:szCs w:val="32"/>
          <w:highlight w:val="none"/>
        </w:rPr>
        <w:t>章图纸和技术资料</w:t>
      </w:r>
      <w:r>
        <w:rPr>
          <w:color w:val="auto"/>
          <w:highlight w:val="none"/>
        </w:rPr>
        <w:tab/>
      </w:r>
      <w:r>
        <w:rPr>
          <w:color w:val="auto"/>
          <w:highlight w:val="none"/>
        </w:rPr>
        <w:fldChar w:fldCharType="begin"/>
      </w:r>
      <w:r>
        <w:rPr>
          <w:color w:val="auto"/>
          <w:highlight w:val="none"/>
        </w:rPr>
        <w:instrText xml:space="preserve"> PAGEREF _Toc20086 \h </w:instrText>
      </w:r>
      <w:r>
        <w:rPr>
          <w:color w:val="auto"/>
          <w:highlight w:val="none"/>
        </w:rPr>
        <w:fldChar w:fldCharType="separate"/>
      </w:r>
      <w:r>
        <w:rPr>
          <w:color w:val="auto"/>
          <w:highlight w:val="none"/>
        </w:rPr>
        <w:t>85</w:t>
      </w:r>
      <w:r>
        <w:rPr>
          <w:color w:val="auto"/>
          <w:highlight w:val="none"/>
        </w:rPr>
        <w:fldChar w:fldCharType="end"/>
      </w:r>
      <w:r>
        <w:rPr>
          <w:rFonts w:hint="eastAsia" w:ascii="宋体" w:hAnsi="宋体" w:eastAsia="宋体" w:cs="宋体"/>
          <w:color w:val="auto"/>
          <w:highlight w:val="none"/>
        </w:rPr>
        <w:fldChar w:fldCharType="end"/>
      </w:r>
    </w:p>
    <w:p w14:paraId="453A0933">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_Toc8505 </w:instrText>
      </w:r>
      <w:r>
        <w:rPr>
          <w:rFonts w:hint="eastAsia" w:ascii="宋体" w:hAnsi="宋体" w:eastAsia="宋体" w:cs="宋体"/>
          <w:color w:val="auto"/>
          <w:highlight w:val="none"/>
        </w:rPr>
        <w:fldChar w:fldCharType="separate"/>
      </w:r>
      <w:r>
        <w:rPr>
          <w:rFonts w:hint="eastAsia"/>
          <w:color w:val="auto"/>
          <w:highlight w:val="none"/>
          <w:lang w:val="en-US" w:eastAsia="zh-CN"/>
        </w:rPr>
        <w:t>第七章</w:t>
      </w:r>
      <w:r>
        <w:rPr>
          <w:rFonts w:hint="eastAsia"/>
          <w:color w:val="auto"/>
          <w:highlight w:val="none"/>
        </w:rPr>
        <w:t>评审方法和评审标准</w:t>
      </w:r>
      <w:r>
        <w:rPr>
          <w:color w:val="auto"/>
          <w:highlight w:val="none"/>
        </w:rPr>
        <w:tab/>
      </w:r>
      <w:r>
        <w:rPr>
          <w:color w:val="auto"/>
          <w:highlight w:val="none"/>
        </w:rPr>
        <w:fldChar w:fldCharType="begin"/>
      </w:r>
      <w:r>
        <w:rPr>
          <w:color w:val="auto"/>
          <w:highlight w:val="none"/>
        </w:rPr>
        <w:instrText xml:space="preserve"> PAGEREF _Toc8505 \h </w:instrText>
      </w:r>
      <w:r>
        <w:rPr>
          <w:color w:val="auto"/>
          <w:highlight w:val="none"/>
        </w:rPr>
        <w:fldChar w:fldCharType="separate"/>
      </w:r>
      <w:r>
        <w:rPr>
          <w:color w:val="auto"/>
          <w:highlight w:val="none"/>
        </w:rPr>
        <w:t>86</w:t>
      </w:r>
      <w:r>
        <w:rPr>
          <w:color w:val="auto"/>
          <w:highlight w:val="none"/>
        </w:rPr>
        <w:fldChar w:fldCharType="end"/>
      </w:r>
      <w:r>
        <w:rPr>
          <w:rFonts w:hint="eastAsia" w:ascii="宋体" w:hAnsi="宋体" w:eastAsia="宋体" w:cs="宋体"/>
          <w:color w:val="auto"/>
          <w:highlight w:val="none"/>
        </w:rPr>
        <w:fldChar w:fldCharType="end"/>
      </w:r>
    </w:p>
    <w:p w14:paraId="3CE21C7A">
      <w:pPr>
        <w:pStyle w:val="21"/>
        <w:tabs>
          <w:tab w:val="right" w:leader="dot" w:pos="9061"/>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_Toc20041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lang w:val="en-US" w:eastAsia="zh-CN"/>
        </w:rPr>
        <w:t>第八章</w:t>
      </w:r>
      <w:r>
        <w:rPr>
          <w:rFonts w:hint="eastAsia" w:ascii="宋体" w:hAnsi="宋体" w:eastAsia="宋体" w:cs="宋体"/>
          <w:bCs/>
          <w:color w:val="auto"/>
          <w:szCs w:val="32"/>
          <w:highlight w:val="none"/>
          <w:lang w:eastAsia="zh-CN"/>
        </w:rPr>
        <w:t>响应文件</w:t>
      </w:r>
      <w:r>
        <w:rPr>
          <w:rFonts w:hint="eastAsia" w:ascii="宋体" w:hAnsi="宋体" w:eastAsia="宋体" w:cs="宋体"/>
          <w:bCs/>
          <w:color w:val="auto"/>
          <w:szCs w:val="32"/>
          <w:highlight w:val="none"/>
        </w:rPr>
        <w:t>格式</w:t>
      </w:r>
      <w:r>
        <w:rPr>
          <w:color w:val="auto"/>
          <w:highlight w:val="none"/>
        </w:rPr>
        <w:tab/>
      </w:r>
      <w:r>
        <w:rPr>
          <w:color w:val="auto"/>
          <w:highlight w:val="none"/>
        </w:rPr>
        <w:fldChar w:fldCharType="begin"/>
      </w:r>
      <w:r>
        <w:rPr>
          <w:color w:val="auto"/>
          <w:highlight w:val="none"/>
        </w:rPr>
        <w:instrText xml:space="preserve"> PAGEREF _Toc20041 \h </w:instrText>
      </w:r>
      <w:r>
        <w:rPr>
          <w:color w:val="auto"/>
          <w:highlight w:val="none"/>
        </w:rPr>
        <w:fldChar w:fldCharType="separate"/>
      </w:r>
      <w:r>
        <w:rPr>
          <w:color w:val="auto"/>
          <w:highlight w:val="none"/>
        </w:rPr>
        <w:t>89</w:t>
      </w:r>
      <w:r>
        <w:rPr>
          <w:color w:val="auto"/>
          <w:highlight w:val="none"/>
        </w:rPr>
        <w:fldChar w:fldCharType="end"/>
      </w:r>
      <w:r>
        <w:rPr>
          <w:rFonts w:hint="eastAsia" w:ascii="宋体" w:hAnsi="宋体" w:eastAsia="宋体" w:cs="宋体"/>
          <w:color w:val="auto"/>
          <w:highlight w:val="none"/>
        </w:rPr>
        <w:fldChar w:fldCharType="end"/>
      </w:r>
    </w:p>
    <w:p w14:paraId="2D71BD3D">
      <w:pPr>
        <w:pStyle w:val="221"/>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6A36CC39">
      <w:pPr>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sectPr>
          <w:footerReference r:id="rId8" w:type="first"/>
          <w:headerReference r:id="rId5" w:type="default"/>
          <w:footerReference r:id="rId6" w:type="default"/>
          <w:footerReference r:id="rId7" w:type="even"/>
          <w:pgSz w:w="11907" w:h="16840"/>
          <w:pgMar w:top="1440" w:right="1423" w:bottom="1440" w:left="1423" w:header="964" w:footer="964" w:gutter="0"/>
          <w:cols w:space="1701" w:num="1"/>
          <w:titlePg/>
          <w:docGrid w:linePitch="360" w:charSpace="0"/>
        </w:sectPr>
      </w:pPr>
      <w:bookmarkStart w:id="4" w:name="_Toc513622226"/>
      <w:bookmarkEnd w:id="4"/>
      <w:bookmarkStart w:id="5" w:name="_Toc15864"/>
      <w:bookmarkEnd w:id="5"/>
      <w:bookmarkStart w:id="6" w:name="_Toc19488"/>
      <w:bookmarkEnd w:id="6"/>
      <w:bookmarkStart w:id="7" w:name="_Toc204595692"/>
      <w:bookmarkStart w:id="8" w:name="_Toc224532086"/>
    </w:p>
    <w:p w14:paraId="00FE140A">
      <w:pPr>
        <w:pStyle w:val="2"/>
        <w:ind w:left="0" w:firstLine="0"/>
        <w:jc w:val="center"/>
        <w:rPr>
          <w:rFonts w:hint="eastAsia"/>
          <w:color w:val="auto"/>
          <w:highlight w:val="none"/>
          <w:lang w:val="en-US" w:eastAsia="zh-CN"/>
        </w:rPr>
      </w:pPr>
      <w:bookmarkStart w:id="9" w:name="_Toc14904"/>
      <w:r>
        <w:rPr>
          <w:rFonts w:hint="eastAsia"/>
          <w:color w:val="auto"/>
          <w:highlight w:val="none"/>
          <w:lang w:val="en-US" w:eastAsia="zh-CN"/>
        </w:rPr>
        <w:t>第一章竞争性磋商公告</w:t>
      </w:r>
      <w:bookmarkEnd w:id="9"/>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6"/>
      </w:tblGrid>
      <w:tr w14:paraId="35EC4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79767FEA">
            <w:pPr>
              <w:keepNext w:val="0"/>
              <w:keepLines w:val="0"/>
              <w:pageBreakBefore w:val="0"/>
              <w:widowControl/>
              <w:numPr>
                <w:ilvl w:val="0"/>
                <w:numId w:val="0"/>
              </w:numPr>
              <w:spacing w:line="360" w:lineRule="auto"/>
              <w:ind w:firstLine="480"/>
              <w:jc w:val="both"/>
              <w:outlineLvl w:val="0"/>
              <w:rPr>
                <w:rFonts w:hint="eastAsia" w:ascii="宋体" w:hAnsi="宋体" w:eastAsia="宋体" w:cs="宋体"/>
                <w:color w:val="auto"/>
                <w:sz w:val="24"/>
                <w:highlight w:val="none"/>
                <w:u w:val="none"/>
                <w:lang w:val="en-US" w:eastAsia="zh-CN" w:bidi="ar"/>
              </w:rPr>
            </w:pPr>
            <w:bookmarkStart w:id="10" w:name="_Toc8347"/>
            <w:r>
              <w:rPr>
                <w:rFonts w:hint="eastAsia" w:ascii="宋体" w:hAnsi="宋体" w:eastAsia="宋体" w:cs="宋体"/>
                <w:color w:val="auto"/>
                <w:sz w:val="24"/>
                <w:highlight w:val="none"/>
                <w:u w:val="none"/>
                <w:lang w:val="en-US" w:eastAsia="zh-CN" w:bidi="ar"/>
              </w:rPr>
              <w:t>项目概况</w:t>
            </w:r>
            <w:bookmarkEnd w:id="10"/>
          </w:p>
          <w:p w14:paraId="666F5569">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cs="宋体"/>
                <w:color w:val="auto"/>
                <w:sz w:val="24"/>
                <w:highlight w:val="none"/>
                <w:u w:val="single"/>
                <w:lang w:eastAsia="zh-CN" w:bidi="ar"/>
              </w:rPr>
              <w:t>连云港市赣马高级中学教学楼及宿舍楼维修改造提升项目(政府采购工程）(专门面向中小企业采购）</w:t>
            </w:r>
            <w:r>
              <w:rPr>
                <w:rFonts w:hint="eastAsia" w:ascii="宋体" w:hAnsi="宋体" w:eastAsia="宋体" w:cs="宋体"/>
                <w:color w:val="auto"/>
                <w:sz w:val="24"/>
                <w:highlight w:val="none"/>
                <w:u w:val="single"/>
                <w:lang w:bidi="ar"/>
              </w:rPr>
              <w:t>采购项目</w:t>
            </w:r>
            <w:r>
              <w:rPr>
                <w:rFonts w:hint="eastAsia" w:ascii="宋体" w:hAnsi="宋体" w:eastAsia="宋体" w:cs="宋体"/>
                <w:color w:val="auto"/>
                <w:sz w:val="24"/>
                <w:highlight w:val="none"/>
                <w:u w:val="none"/>
                <w:lang w:bidi="ar"/>
              </w:rPr>
              <w:t>的潜在供应商应在</w:t>
            </w:r>
            <w:r>
              <w:rPr>
                <w:rFonts w:hint="eastAsia" w:ascii="宋体" w:hAnsi="宋体" w:eastAsia="宋体" w:cs="宋体"/>
                <w:b/>
                <w:bCs/>
                <w:color w:val="auto"/>
                <w:sz w:val="24"/>
                <w:highlight w:val="none"/>
                <w:u w:val="single"/>
                <w:lang w:bidi="ar"/>
              </w:rPr>
              <w:t>江苏政府采购网“苏采云系统”内</w:t>
            </w:r>
            <w:r>
              <w:rPr>
                <w:rFonts w:hint="eastAsia" w:ascii="宋体" w:hAnsi="宋体" w:eastAsia="宋体" w:cs="宋体"/>
                <w:color w:val="auto"/>
                <w:sz w:val="24"/>
                <w:highlight w:val="none"/>
                <w:u w:val="none"/>
                <w:lang w:bidi="ar"/>
              </w:rPr>
              <w:t>获取</w:t>
            </w:r>
            <w:r>
              <w:rPr>
                <w:rFonts w:hint="eastAsia" w:ascii="宋体" w:hAnsi="宋体" w:eastAsia="宋体" w:cs="宋体"/>
                <w:color w:val="auto"/>
                <w:sz w:val="24"/>
                <w:highlight w:val="none"/>
                <w:u w:val="none"/>
                <w:lang w:eastAsia="zh-CN" w:bidi="ar"/>
              </w:rPr>
              <w:t>磋商文件</w:t>
            </w:r>
            <w:r>
              <w:rPr>
                <w:rFonts w:hint="eastAsia" w:ascii="宋体" w:hAnsi="宋体" w:eastAsia="宋体" w:cs="宋体"/>
                <w:color w:val="auto"/>
                <w:sz w:val="24"/>
                <w:highlight w:val="none"/>
                <w:u w:val="none"/>
                <w:lang w:bidi="ar"/>
              </w:rPr>
              <w:t>，</w:t>
            </w:r>
            <w:r>
              <w:rPr>
                <w:rFonts w:hint="eastAsia" w:ascii="宋体" w:hAnsi="宋体" w:eastAsia="宋体" w:cs="宋体"/>
                <w:b/>
                <w:bCs/>
                <w:color w:val="auto"/>
                <w:sz w:val="24"/>
                <w:highlight w:val="none"/>
                <w:u w:val="single"/>
                <w:lang w:bidi="ar"/>
              </w:rPr>
              <w:t>并于202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cs="宋体"/>
                <w:b/>
                <w:bCs/>
                <w:color w:val="auto"/>
                <w:highlight w:val="none"/>
                <w:u w:val="single"/>
                <w:lang w:val="en-US" w:eastAsia="zh-CN"/>
              </w:rPr>
              <w:t>10</w:t>
            </w:r>
            <w:r>
              <w:rPr>
                <w:rFonts w:hint="eastAsia" w:ascii="宋体" w:hAnsi="宋体" w:cs="宋体"/>
                <w:b/>
                <w:bCs/>
                <w:color w:val="auto"/>
                <w:highlight w:val="none"/>
                <w:u w:val="single"/>
              </w:rPr>
              <w:t>月</w:t>
            </w:r>
            <w:r>
              <w:rPr>
                <w:rFonts w:hint="eastAsia" w:ascii="宋体" w:hAnsi="宋体" w:cs="宋体"/>
                <w:b/>
                <w:bCs/>
                <w:color w:val="auto"/>
                <w:highlight w:val="none"/>
                <w:u w:val="single"/>
                <w:lang w:val="en-US" w:eastAsia="zh-CN"/>
              </w:rPr>
              <w:t>08</w:t>
            </w:r>
            <w:r>
              <w:rPr>
                <w:rFonts w:hint="eastAsia" w:ascii="宋体" w:hAnsi="宋体" w:eastAsia="宋体" w:cs="宋体"/>
                <w:b/>
                <w:bCs/>
                <w:color w:val="auto"/>
                <w:sz w:val="24"/>
                <w:highlight w:val="none"/>
                <w:u w:val="single"/>
                <w:lang w:bidi="ar"/>
              </w:rPr>
              <w:t>日9点00分00秒</w:t>
            </w:r>
            <w:r>
              <w:rPr>
                <w:rFonts w:hint="eastAsia" w:ascii="宋体" w:hAnsi="宋体" w:eastAsia="宋体" w:cs="宋体"/>
                <w:color w:val="auto"/>
                <w:sz w:val="24"/>
                <w:highlight w:val="none"/>
                <w:u w:val="none"/>
                <w:lang w:bidi="ar"/>
              </w:rPr>
              <w:t>（北京时间）</w:t>
            </w:r>
            <w:r>
              <w:rPr>
                <w:rFonts w:hint="eastAsia" w:ascii="宋体" w:hAnsi="宋体" w:eastAsia="Arial"/>
                <w:bCs/>
                <w:color w:val="auto"/>
                <w:sz w:val="24"/>
                <w:szCs w:val="24"/>
                <w:highlight w:val="none"/>
              </w:rPr>
              <w:t>前提交响应</w:t>
            </w:r>
            <w:r>
              <w:rPr>
                <w:rFonts w:ascii="宋体" w:hAnsi="宋体" w:eastAsia="Arial"/>
                <w:bCs/>
                <w:color w:val="auto"/>
                <w:sz w:val="24"/>
                <w:szCs w:val="24"/>
                <w:highlight w:val="none"/>
              </w:rPr>
              <w:t>文件</w:t>
            </w:r>
            <w:r>
              <w:rPr>
                <w:rFonts w:hint="eastAsia" w:ascii="宋体" w:hAnsi="宋体" w:eastAsia="Arial"/>
                <w:color w:val="auto"/>
                <w:sz w:val="24"/>
                <w:szCs w:val="24"/>
                <w:highlight w:val="none"/>
              </w:rPr>
              <w:t>。</w:t>
            </w:r>
          </w:p>
        </w:tc>
      </w:tr>
    </w:tbl>
    <w:p w14:paraId="6B2AB893">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一、项目基本情况</w:t>
      </w:r>
    </w:p>
    <w:p w14:paraId="68FB045B">
      <w:pPr>
        <w:keepNext w:val="0"/>
        <w:keepLines w:val="0"/>
        <w:pageBreakBefore w:val="0"/>
        <w:widowControl w:val="0"/>
        <w:spacing w:line="360" w:lineRule="auto"/>
        <w:ind w:left="240" w:firstLine="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项目编号：JSZC-320707-RJXM-C2026-0011</w:t>
      </w:r>
    </w:p>
    <w:p w14:paraId="5D9D3D55">
      <w:pPr>
        <w:keepNext w:val="0"/>
        <w:keepLines w:val="0"/>
        <w:pageBreakBefore w:val="0"/>
        <w:spacing w:line="360" w:lineRule="auto"/>
        <w:ind w:left="240" w:firstLine="0"/>
        <w:rPr>
          <w:rFonts w:hint="eastAsia" w:ascii="宋体" w:hAnsi="宋体" w:eastAsia="宋体" w:cs="宋体"/>
          <w:color w:val="auto"/>
          <w:spacing w:val="-11"/>
          <w:sz w:val="24"/>
          <w:highlight w:val="none"/>
          <w:u w:val="none"/>
          <w:lang w:val="en-US" w:eastAsia="zh-CN" w:bidi="ar"/>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cs="宋体"/>
          <w:color w:val="auto"/>
          <w:spacing w:val="-11"/>
          <w:sz w:val="24"/>
          <w:highlight w:val="none"/>
          <w:u w:val="none"/>
          <w:lang w:eastAsia="zh-CN" w:bidi="ar"/>
        </w:rPr>
        <w:t>连云港市赣马高级中学教学楼及宿舍楼维修改造提升项目(政府采购工程）(专门面向中小企业采购）</w:t>
      </w:r>
      <w:r>
        <w:rPr>
          <w:rFonts w:hint="eastAsia" w:ascii="宋体" w:hAnsi="宋体" w:cs="宋体"/>
          <w:color w:val="auto"/>
          <w:spacing w:val="-11"/>
          <w:sz w:val="24"/>
          <w:highlight w:val="none"/>
          <w:u w:val="none"/>
          <w:lang w:val="en-US" w:eastAsia="zh-CN" w:bidi="ar"/>
        </w:rPr>
        <w:t>；</w:t>
      </w:r>
    </w:p>
    <w:p w14:paraId="0F579749">
      <w:pPr>
        <w:keepNext w:val="0"/>
        <w:keepLines w:val="0"/>
        <w:pageBreakBefore w:val="0"/>
        <w:widowControl w:val="0"/>
        <w:spacing w:line="360" w:lineRule="auto"/>
        <w:ind w:left="0" w:firstLine="24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采购方式：竞争性磋商；</w:t>
      </w:r>
    </w:p>
    <w:p w14:paraId="46026DA2">
      <w:pPr>
        <w:keepNext w:val="0"/>
        <w:keepLines w:val="0"/>
        <w:pageBreakBefore w:val="0"/>
        <w:widowControl w:val="0"/>
        <w:spacing w:line="360" w:lineRule="auto"/>
        <w:ind w:left="0" w:firstLine="240"/>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4、预算金额：</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398万元</w:t>
      </w:r>
    </w:p>
    <w:p w14:paraId="117B782D">
      <w:pPr>
        <w:keepNext w:val="0"/>
        <w:keepLines w:val="0"/>
        <w:pageBreakBefore w:val="0"/>
        <w:widowControl w:val="0"/>
        <w:spacing w:line="360" w:lineRule="auto"/>
        <w:ind w:left="0" w:firstLine="240"/>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pPr>
      <w:r>
        <w:rPr>
          <w:rFonts w:hint="eastAsia" w:ascii="宋体" w:hAnsi="宋体" w:cs="宋体"/>
          <w:b w:val="0"/>
          <w:bCs w:val="0"/>
          <w:i w:val="0"/>
          <w:iCs w:val="0"/>
          <w:caps w:val="0"/>
          <w:color w:val="auto"/>
          <w:spacing w:val="0"/>
          <w:sz w:val="24"/>
          <w:szCs w:val="24"/>
          <w:highlight w:val="none"/>
          <w:shd w:val="clear" w:color="auto" w:fill="FFFFFF"/>
          <w:lang w:val="en-US" w:eastAsia="zh-CN" w:bidi="ar"/>
        </w:rPr>
        <w:t>5、</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最高投标限价：</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3971605.31元</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,投标报价超过最高投标限价的按无效报价处理。</w:t>
      </w:r>
    </w:p>
    <w:p w14:paraId="425CE800">
      <w:pPr>
        <w:keepNext w:val="0"/>
        <w:keepLines w:val="0"/>
        <w:pageBreakBefore w:val="0"/>
        <w:widowControl w:val="0"/>
        <w:spacing w:line="360" w:lineRule="auto"/>
        <w:ind w:left="0"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1、敬德楼、敬贤楼、敬信楼、敬勤楼（2号宿舍楼）、敬谨楼（5号宿舍楼）、敬意楼（4号宿舍楼）共6栋楼门窗拆除及更换；2.敬勤楼（2号宿舍楼）、敬谨楼（5号宿舍楼）北侧外墙面原涂饰层铲除，重做真石漆；3.敬勤楼（2号宿舍楼）、敬意楼（4号宿舍楼）楼顶重新做保温及防水；4.敬谨楼（</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号宿舍楼）、敬意楼（4号宿舍楼）室内卫生间原地面铲除，重新做防水贴地砖、更换马桶。详见</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rPr>
        <w:t>工程量清单</w:t>
      </w:r>
      <w:r>
        <w:rPr>
          <w:rFonts w:hint="eastAsia" w:ascii="宋体" w:hAnsi="宋体" w:eastAsia="宋体" w:cs="宋体"/>
          <w:color w:val="auto"/>
          <w:sz w:val="24"/>
          <w:szCs w:val="24"/>
          <w:highlight w:val="none"/>
          <w:lang w:val="en-US" w:eastAsia="zh-CN"/>
        </w:rPr>
        <w:t>及施工图纸</w:t>
      </w:r>
      <w:r>
        <w:rPr>
          <w:rFonts w:hint="eastAsia" w:ascii="宋体" w:hAnsi="宋体" w:cs="宋体"/>
          <w:color w:val="auto"/>
          <w:sz w:val="24"/>
          <w:szCs w:val="24"/>
          <w:highlight w:val="none"/>
          <w:lang w:val="en-US" w:eastAsia="zh-CN"/>
        </w:rPr>
        <w:t>。</w:t>
      </w:r>
    </w:p>
    <w:p w14:paraId="692C41C2">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对项目需求部分的询问、质疑请与采购人联系，由采购人负责答复。</w:t>
      </w:r>
    </w:p>
    <w:p w14:paraId="2A0DD8C5">
      <w:pPr>
        <w:keepNext w:val="0"/>
        <w:keepLines w:val="0"/>
        <w:pageBreakBefore w:val="0"/>
        <w:spacing w:line="360" w:lineRule="auto"/>
        <w:ind w:left="0" w:firstLine="480"/>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建设地点：</w:t>
      </w:r>
      <w:r>
        <w:rPr>
          <w:rFonts w:hint="eastAsia" w:ascii="宋体" w:hAnsi="宋体" w:eastAsia="宋体" w:cs="宋体"/>
          <w:color w:val="auto"/>
          <w:sz w:val="24"/>
          <w:szCs w:val="24"/>
          <w:highlight w:val="none"/>
          <w:lang w:eastAsia="zh-CN"/>
        </w:rPr>
        <w:t>连云港市赣马高级中学</w:t>
      </w:r>
    </w:p>
    <w:p w14:paraId="5C9ADEF0">
      <w:pPr>
        <w:keepNext w:val="0"/>
        <w:keepLines w:val="0"/>
        <w:pageBreakBefore w:val="0"/>
        <w:widowControl w:val="0"/>
        <w:spacing w:line="360" w:lineRule="auto"/>
        <w:ind w:left="240"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承包方式：包工包料；</w:t>
      </w:r>
    </w:p>
    <w:p w14:paraId="053C7DAE">
      <w:pPr>
        <w:keepNext w:val="0"/>
        <w:keepLines w:val="0"/>
        <w:pageBreakBefore w:val="0"/>
        <w:widowControl w:val="0"/>
        <w:spacing w:line="360" w:lineRule="auto"/>
        <w:ind w:left="240"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质量标准：合格；</w:t>
      </w:r>
    </w:p>
    <w:p w14:paraId="7D2E40E3">
      <w:pPr>
        <w:keepNext w:val="0"/>
        <w:keepLines w:val="0"/>
        <w:pageBreakBefore w:val="0"/>
        <w:widowControl w:val="0"/>
        <w:spacing w:line="360" w:lineRule="auto"/>
        <w:ind w:left="240" w:firstLine="24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lang w:eastAsia="zh-CN"/>
        </w:rPr>
        <w:t>日历天，具体开工日期以采购人发出的书面通知（开工令）为准。</w:t>
      </w:r>
    </w:p>
    <w:p w14:paraId="4E45D967">
      <w:pPr>
        <w:keepNext w:val="0"/>
        <w:keepLines w:val="0"/>
        <w:pageBreakBefore w:val="0"/>
        <w:widowControl w:val="0"/>
        <w:numPr>
          <w:ilvl w:val="0"/>
          <w:numId w:val="0"/>
        </w:numPr>
        <w:spacing w:beforeAutospacing="0" w:afterAutospacing="0" w:line="360" w:lineRule="auto"/>
        <w:ind w:right="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本项目（是/否）接受联合体：不接受联合体。</w:t>
      </w:r>
    </w:p>
    <w:p w14:paraId="226B3CA7">
      <w:pPr>
        <w:keepNext w:val="0"/>
        <w:keepLines w:val="0"/>
        <w:pageBreakBefore w:val="0"/>
        <w:widowControl w:val="0"/>
        <w:numPr>
          <w:ilvl w:val="0"/>
          <w:numId w:val="0"/>
        </w:numPr>
        <w:spacing w:beforeAutospacing="0" w:afterAutospacing="0" w:line="360" w:lineRule="auto"/>
        <w:ind w:right="0"/>
        <w:jc w:val="both"/>
        <w:outlineLvl w:val="9"/>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highlight w:val="none"/>
        </w:rPr>
        <w:t>申请人的资格要求</w:t>
      </w:r>
    </w:p>
    <w:p w14:paraId="7CF48087">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bookmarkStart w:id="11" w:name="_Toc28359091"/>
      <w:bookmarkStart w:id="12" w:name="_Toc28359014"/>
      <w:r>
        <w:rPr>
          <w:rFonts w:hint="eastAsia" w:ascii="宋体" w:hAnsi="宋体" w:eastAsia="宋体" w:cs="宋体"/>
          <w:b/>
          <w:bCs/>
          <w:color w:val="auto"/>
          <w:sz w:val="24"/>
          <w:szCs w:val="24"/>
          <w:highlight w:val="none"/>
          <w:lang w:val="zh-CN"/>
        </w:rPr>
        <w:t>（一）满足《中华人民共和国政府采购法》第二十二条规定，并提供以下材料</w:t>
      </w:r>
      <w:r>
        <w:rPr>
          <w:rFonts w:hint="eastAsia" w:ascii="宋体" w:hAnsi="宋体" w:eastAsia="宋体" w:cs="宋体"/>
          <w:color w:val="auto"/>
          <w:sz w:val="24"/>
          <w:szCs w:val="24"/>
          <w:highlight w:val="none"/>
          <w:lang w:val="zh-CN"/>
        </w:rPr>
        <w:t>：</w:t>
      </w:r>
    </w:p>
    <w:p w14:paraId="53264DD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val="en-US" w:eastAsia="zh-CN"/>
        </w:rPr>
        <w:t>.</w:t>
      </w:r>
      <w:r>
        <w:rPr>
          <w:rFonts w:hint="eastAsia" w:ascii="宋体" w:hAnsi="宋体" w:eastAsia="宋体" w:cs="宋体"/>
          <w:color w:val="auto"/>
          <w:sz w:val="24"/>
          <w:highlight w:val="none"/>
        </w:rPr>
        <w:t>法人或者其他组织的营业执照等证明文件，自然人的身份证明；</w:t>
      </w:r>
    </w:p>
    <w:p w14:paraId="1D3641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2.</w:t>
      </w:r>
      <w:r>
        <w:rPr>
          <w:rFonts w:hint="eastAsia" w:ascii="宋体" w:hAnsi="宋体" w:eastAsia="宋体" w:cs="宋体"/>
          <w:color w:val="auto"/>
          <w:sz w:val="24"/>
          <w:szCs w:val="24"/>
          <w:highlight w:val="none"/>
        </w:rPr>
        <w:t>上一年度的财务状况报告（成立不满一年无需提供）</w:t>
      </w:r>
      <w:r>
        <w:rPr>
          <w:rFonts w:hint="eastAsia" w:ascii="宋体" w:hAnsi="宋体" w:eastAsia="宋体" w:cs="宋体"/>
          <w:color w:val="auto"/>
          <w:sz w:val="24"/>
          <w:highlight w:val="none"/>
        </w:rPr>
        <w:t>；</w:t>
      </w:r>
    </w:p>
    <w:p w14:paraId="5F197AA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3.</w:t>
      </w:r>
      <w:r>
        <w:rPr>
          <w:rFonts w:hint="eastAsia" w:ascii="宋体" w:hAnsi="宋体" w:eastAsia="宋体" w:cs="宋体"/>
          <w:color w:val="auto"/>
          <w:sz w:val="24"/>
          <w:highlight w:val="none"/>
        </w:rPr>
        <w:t>依法缴纳税收和社会保障资金的相关材料</w:t>
      </w:r>
      <w:r>
        <w:rPr>
          <w:rFonts w:hint="eastAsia" w:ascii="宋体" w:hAnsi="宋体" w:eastAsia="宋体" w:cs="宋体"/>
          <w:color w:val="auto"/>
          <w:sz w:val="24"/>
          <w:szCs w:val="24"/>
          <w:highlight w:val="none"/>
        </w:rPr>
        <w:t>（提供提交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highlight w:val="none"/>
        </w:rPr>
        <w:t>；</w:t>
      </w:r>
    </w:p>
    <w:p w14:paraId="2CBC806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4.</w:t>
      </w:r>
      <w:r>
        <w:rPr>
          <w:rFonts w:hint="eastAsia" w:ascii="宋体" w:hAnsi="宋体" w:eastAsia="宋体" w:cs="宋体"/>
          <w:color w:val="auto"/>
          <w:sz w:val="24"/>
          <w:highlight w:val="none"/>
        </w:rPr>
        <w:t>具备履行合同所必需的设备和专业技术能力的</w:t>
      </w:r>
      <w:r>
        <w:rPr>
          <w:rFonts w:hint="eastAsia" w:ascii="宋体" w:hAnsi="宋体" w:eastAsia="宋体" w:cs="宋体"/>
          <w:color w:val="auto"/>
          <w:sz w:val="24"/>
          <w:highlight w:val="none"/>
          <w:lang w:val="en-US" w:eastAsia="zh-CN"/>
        </w:rPr>
        <w:t>书面</w:t>
      </w:r>
      <w:r>
        <w:rPr>
          <w:rFonts w:hint="eastAsia" w:ascii="宋体" w:hAnsi="宋体" w:eastAsia="宋体" w:cs="宋体"/>
          <w:color w:val="auto"/>
          <w:sz w:val="24"/>
          <w:highlight w:val="none"/>
        </w:rPr>
        <w:t>声明</w:t>
      </w:r>
      <w:r>
        <w:rPr>
          <w:rFonts w:hint="eastAsia" w:ascii="宋体" w:hAnsi="宋体" w:eastAsia="宋体" w:cs="宋体"/>
          <w:color w:val="auto"/>
          <w:sz w:val="24"/>
          <w:szCs w:val="24"/>
          <w:highlight w:val="none"/>
          <w:lang w:val="en-US" w:eastAsia="zh-CN"/>
        </w:rPr>
        <w:t>（见格式）</w:t>
      </w:r>
      <w:r>
        <w:rPr>
          <w:rFonts w:hint="eastAsia" w:ascii="宋体" w:hAnsi="宋体" w:eastAsia="宋体" w:cs="宋体"/>
          <w:color w:val="auto"/>
          <w:sz w:val="24"/>
          <w:highlight w:val="none"/>
        </w:rPr>
        <w:t>；</w:t>
      </w:r>
    </w:p>
    <w:p w14:paraId="7DD893D5">
      <w:pPr>
        <w:spacing w:line="360" w:lineRule="auto"/>
        <w:ind w:firstLine="480"/>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szCs w:val="28"/>
          <w:highlight w:val="none"/>
          <w:lang w:val="en-US" w:eastAsia="zh-CN"/>
        </w:rPr>
        <w:t>5.</w:t>
      </w:r>
      <w:r>
        <w:rPr>
          <w:rFonts w:hint="eastAsia" w:ascii="宋体" w:hAnsi="宋体" w:eastAsia="宋体" w:cs="宋体"/>
          <w:color w:val="auto"/>
          <w:spacing w:val="-6"/>
          <w:sz w:val="24"/>
          <w:highlight w:val="none"/>
        </w:rPr>
        <w:t>参加政府采购活动前</w:t>
      </w:r>
      <w:r>
        <w:rPr>
          <w:rFonts w:hint="eastAsia" w:ascii="宋体" w:hAnsi="宋体" w:eastAsia="宋体" w:cs="宋体"/>
          <w:color w:val="auto"/>
          <w:spacing w:val="-6"/>
          <w:sz w:val="24"/>
          <w:highlight w:val="none"/>
          <w:lang w:val="en-US" w:eastAsia="zh-CN"/>
        </w:rPr>
        <w:t>3</w:t>
      </w:r>
      <w:r>
        <w:rPr>
          <w:rFonts w:hint="eastAsia" w:ascii="宋体" w:hAnsi="宋体" w:eastAsia="宋体" w:cs="宋体"/>
          <w:color w:val="auto"/>
          <w:spacing w:val="-6"/>
          <w:sz w:val="24"/>
          <w:highlight w:val="none"/>
        </w:rPr>
        <w:t>年内在经营活动中没有重大违法记录的书面声明</w:t>
      </w:r>
      <w:r>
        <w:rPr>
          <w:rFonts w:hint="eastAsia" w:ascii="宋体" w:hAnsi="宋体" w:eastAsia="宋体" w:cs="宋体"/>
          <w:color w:val="auto"/>
          <w:spacing w:val="-6"/>
          <w:sz w:val="24"/>
          <w:szCs w:val="24"/>
          <w:highlight w:val="none"/>
          <w:lang w:val="en-US" w:eastAsia="zh-CN"/>
        </w:rPr>
        <w:t>（见格式）</w:t>
      </w:r>
      <w:r>
        <w:rPr>
          <w:rFonts w:hint="eastAsia" w:ascii="宋体" w:hAnsi="宋体" w:eastAsia="宋体" w:cs="宋体"/>
          <w:color w:val="auto"/>
          <w:spacing w:val="-6"/>
          <w:sz w:val="24"/>
          <w:highlight w:val="none"/>
          <w:lang w:eastAsia="zh-CN"/>
        </w:rPr>
        <w:t>。</w:t>
      </w:r>
    </w:p>
    <w:p w14:paraId="75C9BB18">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注：根据连财购〔2023〕4号文件精神，第</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b/>
          <w:bCs/>
          <w:color w:val="auto"/>
          <w:sz w:val="24"/>
          <w:szCs w:val="24"/>
          <w:highlight w:val="none"/>
        </w:rPr>
        <w:t>详见</w:t>
      </w:r>
      <w:r>
        <w:rPr>
          <w:rFonts w:hint="eastAsia" w:eastAsia="宋体"/>
          <w:b/>
          <w:bCs/>
          <w:color w:val="auto"/>
          <w:sz w:val="24"/>
          <w:szCs w:val="24"/>
          <w:highlight w:val="none"/>
          <w:lang w:val="en-US" w:eastAsia="zh-CN"/>
        </w:rPr>
        <w:t>磋商文件</w:t>
      </w:r>
      <w:r>
        <w:rPr>
          <w:rFonts w:hint="eastAsia"/>
          <w:b/>
          <w:bCs/>
          <w:color w:val="auto"/>
          <w:sz w:val="24"/>
          <w:szCs w:val="24"/>
          <w:highlight w:val="none"/>
        </w:rPr>
        <w:t>第</w:t>
      </w:r>
      <w:r>
        <w:rPr>
          <w:rFonts w:hint="eastAsia"/>
          <w:b/>
          <w:bCs/>
          <w:color w:val="auto"/>
          <w:sz w:val="24"/>
          <w:szCs w:val="24"/>
          <w:highlight w:val="none"/>
          <w:lang w:val="en-US" w:eastAsia="zh-CN"/>
        </w:rPr>
        <w:t>八</w:t>
      </w:r>
      <w:r>
        <w:rPr>
          <w:rFonts w:hint="eastAsia"/>
          <w:b/>
          <w:bCs/>
          <w:color w:val="auto"/>
          <w:sz w:val="24"/>
          <w:szCs w:val="24"/>
          <w:highlight w:val="none"/>
        </w:rPr>
        <w:t>章</w:t>
      </w:r>
      <w:r>
        <w:rPr>
          <w:rFonts w:hint="eastAsia"/>
          <w:b/>
          <w:bCs/>
          <w:color w:val="auto"/>
          <w:sz w:val="24"/>
          <w:szCs w:val="24"/>
          <w:highlight w:val="none"/>
          <w:lang w:val="en-US" w:eastAsia="zh-CN"/>
        </w:rPr>
        <w:t>响应</w:t>
      </w:r>
      <w:r>
        <w:rPr>
          <w:rFonts w:hint="eastAsia"/>
          <w:b/>
          <w:bCs/>
          <w:color w:val="auto"/>
          <w:sz w:val="24"/>
          <w:szCs w:val="24"/>
          <w:highlight w:val="none"/>
        </w:rPr>
        <w:t>文件格式</w:t>
      </w:r>
      <w:r>
        <w:rPr>
          <w:rFonts w:hint="eastAsia" w:ascii="宋体" w:hAnsi="宋体" w:eastAsia="宋体" w:cs="宋体"/>
          <w:b/>
          <w:bCs/>
          <w:color w:val="auto"/>
          <w:sz w:val="24"/>
          <w:highlight w:val="none"/>
        </w:rPr>
        <w:t>。</w:t>
      </w:r>
    </w:p>
    <w:p w14:paraId="3BA8D81F">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（二）落实政府采购需满足的资格要求</w:t>
      </w:r>
      <w:r>
        <w:rPr>
          <w:rFonts w:hint="eastAsia" w:ascii="宋体" w:hAnsi="宋体" w:eastAsia="宋体" w:cs="宋体"/>
          <w:color w:val="auto"/>
          <w:sz w:val="24"/>
          <w:szCs w:val="24"/>
          <w:highlight w:val="none"/>
          <w:lang w:val="zh-CN"/>
        </w:rPr>
        <w:t>：执行财政部、工业和信息化部关于印发《政府采购促进中小企业发展管理办法》的通知（财库〔2020〕46号）、苏财购〔202</w:t>
      </w: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zh-CN"/>
        </w:rPr>
        <w:t>〕45号，本项目</w:t>
      </w:r>
      <w:r>
        <w:rPr>
          <w:rFonts w:hint="eastAsia" w:ascii="宋体" w:hAnsi="宋体" w:eastAsia="宋体" w:cs="宋体"/>
          <w:color w:val="auto"/>
          <w:sz w:val="24"/>
          <w:szCs w:val="24"/>
          <w:highlight w:val="none"/>
          <w:lang w:val="zh-CN" w:eastAsia="zh-CN"/>
        </w:rPr>
        <w:t>专门面向中小企业采购</w:t>
      </w:r>
      <w:r>
        <w:rPr>
          <w:rFonts w:hint="eastAsia" w:ascii="宋体" w:hAnsi="宋体" w:eastAsia="宋体" w:cs="宋体"/>
          <w:color w:val="auto"/>
          <w:sz w:val="24"/>
          <w:szCs w:val="24"/>
          <w:highlight w:val="none"/>
          <w:lang w:val="zh-CN"/>
        </w:rPr>
        <w:t>，符合文件要求的供应商应提交《中小企业声明函》，并上传至电子</w:t>
      </w:r>
      <w:r>
        <w:rPr>
          <w:rFonts w:hint="eastAsia" w:ascii="宋体" w:hAnsi="宋体" w:eastAsia="宋体" w:cs="宋体"/>
          <w:color w:val="auto"/>
          <w:sz w:val="24"/>
          <w:szCs w:val="24"/>
          <w:highlight w:val="none"/>
          <w:lang w:val="zh-CN" w:eastAsia="zh-CN"/>
        </w:rPr>
        <w:t>响应</w:t>
      </w:r>
      <w:r>
        <w:rPr>
          <w:rFonts w:hint="eastAsia" w:ascii="宋体" w:hAnsi="宋体" w:eastAsia="宋体" w:cs="宋体"/>
          <w:color w:val="auto"/>
          <w:sz w:val="24"/>
          <w:szCs w:val="24"/>
          <w:highlight w:val="none"/>
          <w:lang w:val="zh-CN"/>
        </w:rPr>
        <w:t>文件中，详见磋商文件。</w:t>
      </w:r>
    </w:p>
    <w:p w14:paraId="0290E209">
      <w:pPr>
        <w:pStyle w:val="200"/>
        <w:keepNext w:val="0"/>
        <w:keepLines w:val="0"/>
        <w:pageBreakBefore w:val="0"/>
        <w:widowControl w:val="0"/>
        <w:numPr>
          <w:ilvl w:val="0"/>
          <w:numId w:val="0"/>
        </w:numPr>
        <w:spacing w:before="0" w:line="360" w:lineRule="auto"/>
        <w:ind w:right="58" w:firstLine="440"/>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（三）本项目的特定资格要求：</w:t>
      </w:r>
    </w:p>
    <w:p w14:paraId="00D6FFFC">
      <w:pPr>
        <w:pageBreakBefore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zh-CN" w:eastAsia="zh-CN" w:bidi="ar-SA"/>
        </w:rPr>
        <w:t>磋商供应商须具备</w:t>
      </w:r>
      <w:r>
        <w:rPr>
          <w:rFonts w:hint="eastAsia" w:ascii="宋体" w:hAnsi="宋体" w:eastAsia="宋体" w:cs="宋体"/>
          <w:color w:val="auto"/>
          <w:sz w:val="24"/>
          <w:szCs w:val="24"/>
          <w:highlight w:val="none"/>
          <w:lang w:val="en-US" w:eastAsia="zh-CN"/>
        </w:rPr>
        <w:t>建设</w:t>
      </w:r>
      <w:r>
        <w:rPr>
          <w:rFonts w:hint="eastAsia" w:ascii="宋体" w:hAnsi="宋体"/>
          <w:color w:val="auto"/>
          <w:highlight w:val="none"/>
        </w:rPr>
        <w:t>行政主管部门核发的</w:t>
      </w:r>
      <w:r>
        <w:rPr>
          <w:rFonts w:hint="eastAsia" w:ascii="宋体" w:hAnsi="宋体" w:eastAsia="宋体" w:cs="Times New Roman"/>
          <w:b/>
          <w:bCs/>
          <w:color w:val="auto"/>
          <w:sz w:val="24"/>
          <w:szCs w:val="24"/>
          <w:highlight w:val="none"/>
          <w:lang w:val="en-US" w:eastAsia="zh-CN" w:bidi="ar-SA"/>
        </w:rPr>
        <w:t>建筑工程施工总承包叁级及以上资质</w:t>
      </w:r>
      <w:r>
        <w:rPr>
          <w:rFonts w:hint="eastAsia" w:ascii="宋体" w:hAnsi="宋体" w:eastAsia="宋体" w:cs="宋体"/>
          <w:b/>
          <w:bCs/>
          <w:color w:val="auto"/>
          <w:sz w:val="24"/>
          <w:szCs w:val="24"/>
          <w:highlight w:val="none"/>
          <w:lang w:val="en-US" w:eastAsia="zh-CN"/>
        </w:rPr>
        <w:t>（在有效期内）</w:t>
      </w:r>
      <w:r>
        <w:rPr>
          <w:rFonts w:hint="eastAsia" w:ascii="宋体" w:hAnsi="宋体" w:eastAsia="宋体" w:cs="Times New Roman"/>
          <w:b/>
          <w:bCs/>
          <w:color w:val="auto"/>
          <w:sz w:val="24"/>
          <w:szCs w:val="24"/>
          <w:highlight w:val="none"/>
          <w:lang w:val="en-US" w:eastAsia="zh-CN" w:bidi="ar-SA"/>
        </w:rPr>
        <w:t>,且具备有效的企业安全生产许可证</w:t>
      </w:r>
      <w:r>
        <w:rPr>
          <w:rFonts w:hint="eastAsia" w:ascii="宋体" w:hAnsi="宋体" w:eastAsia="宋体" w:cs="宋体"/>
          <w:b/>
          <w:bCs/>
          <w:color w:val="auto"/>
          <w:sz w:val="24"/>
          <w:szCs w:val="24"/>
          <w:highlight w:val="none"/>
          <w:lang w:val="en-US" w:eastAsia="zh-CN"/>
        </w:rPr>
        <w:t>（在有效期内）</w:t>
      </w:r>
      <w:r>
        <w:rPr>
          <w:rFonts w:hint="eastAsia" w:ascii="宋体" w:hAnsi="宋体" w:eastAsia="宋体" w:cs="Times New Roman"/>
          <w:b/>
          <w:bCs/>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且</w:t>
      </w:r>
      <w:r>
        <w:rPr>
          <w:rFonts w:hint="eastAsia" w:ascii="宋体" w:hAnsi="宋体" w:eastAsia="宋体" w:cs="宋体"/>
          <w:color w:val="auto"/>
          <w:sz w:val="24"/>
          <w:szCs w:val="24"/>
          <w:highlight w:val="none"/>
          <w:lang w:val="zh-CN" w:eastAsia="zh-CN" w:bidi="ar-SA"/>
        </w:rPr>
        <w:t>在人员、设备、资金等方面具有相应的施工能力。</w:t>
      </w:r>
    </w:p>
    <w:p w14:paraId="239F3880">
      <w:pPr>
        <w:pStyle w:val="200"/>
        <w:keepNext w:val="0"/>
        <w:keepLines w:val="0"/>
        <w:pageBreakBefore w:val="0"/>
        <w:widowControl w:val="0"/>
        <w:numPr>
          <w:ilvl w:val="0"/>
          <w:numId w:val="0"/>
        </w:numPr>
        <w:spacing w:before="0" w:line="360" w:lineRule="auto"/>
        <w:ind w:right="58" w:firstLine="44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拟派项目负责人须</w:t>
      </w:r>
      <w:r>
        <w:rPr>
          <w:rFonts w:hint="eastAsia" w:ascii="宋体" w:hAnsi="宋体" w:eastAsia="宋体" w:cs="宋体"/>
          <w:color w:val="auto"/>
          <w:sz w:val="24"/>
          <w:szCs w:val="24"/>
          <w:highlight w:val="none"/>
          <w:lang w:val="zh-CN"/>
        </w:rPr>
        <w:t>具备</w:t>
      </w:r>
      <w:r>
        <w:rPr>
          <w:rFonts w:hint="eastAsia" w:ascii="宋体" w:hAnsi="宋体" w:eastAsia="宋体" w:cs="宋体"/>
          <w:color w:val="auto"/>
          <w:sz w:val="24"/>
          <w:szCs w:val="24"/>
          <w:highlight w:val="none"/>
          <w:lang w:val="en-US" w:eastAsia="zh-CN"/>
        </w:rPr>
        <w:t>建设行政主管部门核发的</w:t>
      </w:r>
      <w:bookmarkEnd w:id="11"/>
      <w:bookmarkEnd w:id="12"/>
      <w:r>
        <w:rPr>
          <w:rFonts w:hint="eastAsia" w:ascii="宋体" w:hAnsi="宋体" w:eastAsia="宋体" w:cs="Times New Roman"/>
          <w:b/>
          <w:bCs/>
          <w:color w:val="auto"/>
          <w:sz w:val="24"/>
          <w:szCs w:val="24"/>
          <w:highlight w:val="none"/>
          <w:lang w:val="en-US" w:eastAsia="zh-CN" w:bidi="ar-SA"/>
        </w:rPr>
        <w:t>建筑工程注册建造师贰级及以上注册建造师执业资格（在有效期内）,</w:t>
      </w:r>
      <w:r>
        <w:rPr>
          <w:rFonts w:hint="eastAsia" w:ascii="宋体" w:hAnsi="宋体" w:eastAsia="宋体" w:cs="宋体"/>
          <w:b/>
          <w:color w:val="auto"/>
          <w:spacing w:val="0"/>
          <w:sz w:val="24"/>
          <w:szCs w:val="24"/>
          <w:highlight w:val="none"/>
          <w:lang w:val="en-US" w:eastAsia="zh-CN" w:bidi="ar"/>
        </w:rPr>
        <w:t>并具备安全生产考核合格证B类证（有效的）。</w:t>
      </w:r>
    </w:p>
    <w:p w14:paraId="59D98955">
      <w:pPr>
        <w:keepNext w:val="0"/>
        <w:keepLines w:val="0"/>
        <w:pageBreakBefore w:val="0"/>
        <w:widowControl w:val="0"/>
        <w:spacing w:line="360" w:lineRule="auto"/>
        <w:ind w:right="0" w:firstLine="480"/>
        <w:jc w:val="both"/>
        <w:outlineLvl w:val="9"/>
        <w:rPr>
          <w:rFonts w:hint="eastAsia" w:ascii="宋体" w:hAnsi="宋体" w:cs="宋体"/>
          <w:b w:val="0"/>
          <w:bCs w:val="0"/>
          <w:color w:val="auto"/>
          <w:highlight w:val="none"/>
          <w:lang w:eastAsia="zh-CN"/>
        </w:rPr>
      </w:pP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CN"/>
        </w:rPr>
        <w:t>）</w:t>
      </w:r>
      <w:r>
        <w:rPr>
          <w:rFonts w:hint="eastAsia" w:ascii="宋体" w:hAnsi="宋体" w:cs="宋体"/>
          <w:b w:val="0"/>
          <w:bCs w:val="0"/>
          <w:color w:val="auto"/>
          <w:highlight w:val="none"/>
        </w:rPr>
        <w:t>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提供202</w:t>
      </w:r>
      <w:r>
        <w:rPr>
          <w:rFonts w:hint="eastAsia" w:ascii="宋体" w:hAnsi="宋体" w:cs="宋体"/>
          <w:b/>
          <w:bCs/>
          <w:color w:val="auto"/>
          <w:highlight w:val="none"/>
          <w:lang w:val="en-US" w:eastAsia="zh-CN"/>
        </w:rPr>
        <w:t>6</w:t>
      </w:r>
      <w:r>
        <w:rPr>
          <w:rFonts w:hint="eastAsia" w:ascii="宋体" w:hAnsi="宋体" w:cs="宋体"/>
          <w:b/>
          <w:bCs/>
          <w:color w:val="auto"/>
          <w:highlight w:val="none"/>
        </w:rPr>
        <w:t>年</w:t>
      </w:r>
      <w:r>
        <w:rPr>
          <w:rFonts w:hint="eastAsia" w:ascii="宋体" w:hAnsi="宋体" w:cs="宋体"/>
          <w:b/>
          <w:bCs/>
          <w:color w:val="auto"/>
          <w:highlight w:val="none"/>
          <w:lang w:val="en-US" w:eastAsia="zh-CN"/>
        </w:rPr>
        <w:t>06</w:t>
      </w:r>
      <w:r>
        <w:rPr>
          <w:rFonts w:hint="eastAsia" w:ascii="宋体" w:hAnsi="宋体" w:cs="宋体"/>
          <w:b/>
          <w:bCs/>
          <w:color w:val="auto"/>
          <w:highlight w:val="none"/>
        </w:rPr>
        <w:t>月至今任意一个月由供应商为其缴纳的社保缴纳证明</w:t>
      </w:r>
      <w:r>
        <w:rPr>
          <w:rFonts w:hint="eastAsia" w:ascii="宋体" w:hAnsi="宋体" w:cs="宋体"/>
          <w:b w:val="0"/>
          <w:bCs w:val="0"/>
          <w:color w:val="auto"/>
          <w:highlight w:val="none"/>
        </w:rPr>
        <w:t>（加盖社保中心章或社保中心参保缴费证明电子专用章）</w:t>
      </w:r>
      <w:r>
        <w:rPr>
          <w:rFonts w:hint="eastAsia" w:ascii="宋体" w:hAnsi="宋体" w:cs="宋体"/>
          <w:b w:val="0"/>
          <w:bCs w:val="0"/>
          <w:color w:val="auto"/>
          <w:highlight w:val="none"/>
          <w:lang w:eastAsia="zh-CN"/>
        </w:rPr>
        <w:t>。</w:t>
      </w:r>
    </w:p>
    <w:p w14:paraId="55478BAE">
      <w:pPr>
        <w:keepNext w:val="0"/>
        <w:keepLines w:val="0"/>
        <w:pageBreakBefore w:val="0"/>
        <w:widowControl w:val="0"/>
        <w:kinsoku/>
        <w:wordWrap/>
        <w:overflowPunct/>
        <w:topLinePunct w:val="0"/>
        <w:autoSpaceDE/>
        <w:autoSpaceDN/>
        <w:bidi w:val="0"/>
        <w:adjustRightInd/>
        <w:snapToGrid/>
        <w:spacing w:line="480" w:lineRule="exact"/>
        <w:ind w:right="0" w:firstLine="48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本项目招标工作遵照苏建建管【2013】508号文、苏建招函〔2017〕12号文等执行，磋商供应商及项目负责人未被限制在招标项目所在地投标、项目负责人无在建工程、不出借挂靠资质等采用信用承诺方式由供应商自行承诺；（格式详见磋商文件）</w:t>
      </w:r>
    </w:p>
    <w:p w14:paraId="5D20F8C2">
      <w:pPr>
        <w:keepNext w:val="0"/>
        <w:keepLines w:val="0"/>
        <w:pageBreakBefore w:val="0"/>
        <w:widowControl w:val="0"/>
        <w:kinsoku/>
        <w:wordWrap/>
        <w:overflowPunct/>
        <w:topLinePunct w:val="0"/>
        <w:autoSpaceDE/>
        <w:autoSpaceDN/>
        <w:bidi w:val="0"/>
        <w:adjustRightInd/>
        <w:snapToGrid/>
        <w:spacing w:line="480" w:lineRule="exact"/>
        <w:ind w:right="0" w:firstLine="480"/>
        <w:jc w:val="both"/>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供应商的建筑业企业资质动态监管结果由采购人在响应文件递交截止时间当日登录“江苏省建筑市场监管与诚信信息一体化平台”进行查询获取；</w:t>
      </w:r>
    </w:p>
    <w:p w14:paraId="576EABA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Arial" w:cs="宋体"/>
          <w:color w:val="auto"/>
          <w:sz w:val="24"/>
          <w:highlight w:val="none"/>
        </w:rPr>
        <w:t>磋商供应商及项目负责人无不良行为</w:t>
      </w:r>
      <w:r>
        <w:rPr>
          <w:rFonts w:hint="eastAsia" w:ascii="宋体" w:hAnsi="宋体" w:eastAsia="Arial" w:cs="宋体"/>
          <w:b/>
          <w:bCs/>
          <w:color w:val="auto"/>
          <w:sz w:val="24"/>
          <w:highlight w:val="none"/>
        </w:rPr>
        <w:t>承诺</w:t>
      </w:r>
      <w:r>
        <w:rPr>
          <w:rFonts w:hint="eastAsia" w:ascii="宋体" w:hAnsi="宋体" w:eastAsia="宋体" w:cs="宋体"/>
          <w:color w:val="auto"/>
          <w:sz w:val="24"/>
          <w:highlight w:val="none"/>
        </w:rPr>
        <w:t>。（格式详见磋商文件）；</w:t>
      </w:r>
    </w:p>
    <w:bookmarkEnd w:id="7"/>
    <w:bookmarkEnd w:id="8"/>
    <w:p w14:paraId="7E40FD2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color w:val="auto"/>
          <w:sz w:val="24"/>
          <w:szCs w:val="24"/>
          <w:highlight w:val="none"/>
          <w:lang w:val="en-US" w:eastAsia="zh-CN"/>
        </w:rPr>
      </w:pPr>
      <w:bookmarkStart w:id="13" w:name="_Toc31104"/>
      <w:bookmarkStart w:id="14" w:name="_Toc204595693"/>
      <w:bookmarkStart w:id="15" w:name="_Toc224532087"/>
      <w:bookmarkStart w:id="16" w:name="_Toc515874988"/>
      <w:r>
        <w:rPr>
          <w:rFonts w:hint="eastAsia" w:ascii="宋体" w:hAnsi="宋体" w:eastAsia="宋体" w:cs="宋体"/>
          <w:b/>
          <w:bCs/>
          <w:color w:val="auto"/>
          <w:sz w:val="24"/>
          <w:szCs w:val="24"/>
          <w:highlight w:val="none"/>
          <w:lang w:val="zh-CN" w:eastAsia="zh-CN" w:bidi="ar-SA"/>
        </w:rPr>
        <w:t>（</w:t>
      </w:r>
      <w:r>
        <w:rPr>
          <w:rFonts w:hint="eastAsia" w:ascii="宋体" w:hAnsi="宋体" w:eastAsia="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val="zh-CN" w:eastAsia="zh-CN" w:bidi="ar-SA"/>
        </w:rPr>
        <w:t>）</w:t>
      </w:r>
      <w:r>
        <w:rPr>
          <w:rFonts w:hint="eastAsia" w:ascii="宋体" w:hAnsi="宋体" w:eastAsia="宋体" w:cs="宋体"/>
          <w:b/>
          <w:bCs/>
          <w:color w:val="auto"/>
          <w:sz w:val="24"/>
          <w:szCs w:val="24"/>
          <w:highlight w:val="none"/>
          <w:lang w:val="en-US" w:eastAsia="zh-CN"/>
        </w:rPr>
        <w:t>本项目其他资格要求：</w:t>
      </w:r>
    </w:p>
    <w:p w14:paraId="3ACD9682">
      <w:pPr>
        <w:keepNext w:val="0"/>
        <w:keepLines w:val="0"/>
        <w:pageBreakBefore w:val="0"/>
        <w:widowControl w:val="0"/>
        <w:spacing w:line="360" w:lineRule="auto"/>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(1)响应文件递交截止前，被信用中国、中国政府采购网列入失信被执行人、重大税收违法案件当事人名单、政府采购严重违法失信行为记录名单的供应商，拒绝其参与政府采购活动；</w:t>
      </w:r>
    </w:p>
    <w:p w14:paraId="1EB29BB1">
      <w:pPr>
        <w:keepNext w:val="0"/>
        <w:keepLines w:val="0"/>
        <w:pageBreakBefore w:val="0"/>
        <w:widowControl w:val="0"/>
        <w:spacing w:line="360" w:lineRule="auto"/>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备注：采购人或采购代理机构通过信用中国网站（www.creditchina.gov.cn）、中国政府采购网（www.ccgp.gov.cn），对供应商信用记录情况进行查询，查询结果页面打印留存；</w:t>
      </w:r>
    </w:p>
    <w:p w14:paraId="544EF227">
      <w:pPr>
        <w:keepNext w:val="0"/>
        <w:keepLines w:val="0"/>
        <w:pageBreakBefore w:val="0"/>
        <w:widowControl w:val="0"/>
        <w:spacing w:line="360" w:lineRule="auto"/>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(2)供应商/投标主体及其法定代表人、项目负责人未被列入“连云港市赣榆区行贿人联合惩戒信息库”。</w:t>
      </w:r>
    </w:p>
    <w:p w14:paraId="6805B2E3">
      <w:pPr>
        <w:keepNext w:val="0"/>
        <w:keepLines w:val="0"/>
        <w:pageBreakBefore w:val="0"/>
        <w:widowControl w:val="0"/>
        <w:spacing w:line="360" w:lineRule="auto"/>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备注:采购人/采购人和区公共资源交易中心通过赣榆区行贿人联合惩戒信息库，对供应商/投标主体情况进行内部查询，查询结果页面打印留存。</w:t>
      </w:r>
    </w:p>
    <w:p w14:paraId="739D0F96">
      <w:pPr>
        <w:keepNext w:val="0"/>
        <w:keepLines w:val="0"/>
        <w:pageBreakBefore w:val="0"/>
        <w:widowControl w:val="0"/>
        <w:spacing w:line="360" w:lineRule="auto"/>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5.法律法规规定的其他条件。</w:t>
      </w:r>
    </w:p>
    <w:p w14:paraId="1FCA9851">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三、获取</w:t>
      </w:r>
      <w:r>
        <w:rPr>
          <w:rFonts w:hint="eastAsia" w:cs="宋体"/>
          <w:b/>
          <w:color w:val="auto"/>
          <w:sz w:val="32"/>
          <w:szCs w:val="32"/>
          <w:highlight w:val="none"/>
          <w:lang w:val="en-US" w:eastAsia="zh-CN"/>
        </w:rPr>
        <w:t>采购</w:t>
      </w:r>
      <w:r>
        <w:rPr>
          <w:rFonts w:hint="eastAsia" w:ascii="宋体" w:hAnsi="宋体" w:cs="宋体"/>
          <w:b/>
          <w:color w:val="auto"/>
          <w:sz w:val="32"/>
          <w:szCs w:val="32"/>
          <w:highlight w:val="none"/>
          <w:lang w:eastAsia="zh-CN"/>
        </w:rPr>
        <w:t>文件</w:t>
      </w:r>
    </w:p>
    <w:p w14:paraId="4C312E75">
      <w:pPr>
        <w:shd w:val="clear" w:color="auto" w:fill="auto"/>
        <w:spacing w:line="360" w:lineRule="auto"/>
        <w:ind w:firstLine="480"/>
        <w:jc w:val="left"/>
        <w:rPr>
          <w:rFonts w:hint="eastAsia" w:ascii="宋体" w:hAnsi="宋体" w:eastAsia="宋体" w:cs="宋体"/>
          <w:color w:val="auto"/>
          <w:sz w:val="24"/>
          <w:highlight w:val="none"/>
          <w:lang w:eastAsia="zh-CN"/>
        </w:rPr>
      </w:pPr>
      <w:bookmarkStart w:id="17" w:name="_Toc35393801"/>
      <w:bookmarkStart w:id="18" w:name="_Toc28359092"/>
      <w:bookmarkStart w:id="19" w:name="_Toc35393632"/>
      <w:bookmarkStart w:id="20" w:name="_Toc28359015"/>
      <w:r>
        <w:rPr>
          <w:rFonts w:hint="eastAsia" w:ascii="宋体" w:hAnsi="宋体" w:cs="宋体"/>
          <w:color w:val="auto"/>
          <w:sz w:val="24"/>
          <w:highlight w:val="none"/>
        </w:rPr>
        <w:t>1、时间：</w:t>
      </w:r>
      <w:r>
        <w:rPr>
          <w:rFonts w:hint="eastAsia" w:ascii="宋体" w:hAnsi="宋体" w:cs="宋体"/>
          <w:color w:val="auto"/>
          <w:highlight w:val="none"/>
        </w:rPr>
        <w:t>自磋商文件公告发布之日起5个工作日</w:t>
      </w:r>
      <w:r>
        <w:rPr>
          <w:rFonts w:hint="eastAsia" w:ascii="宋体" w:hAnsi="宋体" w:cs="宋体"/>
          <w:color w:val="auto"/>
          <w:highlight w:val="none"/>
          <w:lang w:eastAsia="zh-CN"/>
        </w:rPr>
        <w:t>。</w:t>
      </w:r>
    </w:p>
    <w:p w14:paraId="079F4FF4">
      <w:pPr>
        <w:shd w:val="clear" w:color="auto" w:fill="auto"/>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地点</w:t>
      </w:r>
      <w:r>
        <w:rPr>
          <w:rFonts w:hint="eastAsia" w:ascii="宋体" w:hAnsi="宋体" w:cs="宋体"/>
          <w:color w:val="auto"/>
          <w:sz w:val="24"/>
          <w:highlight w:val="none"/>
        </w:rPr>
        <w:t>：</w:t>
      </w:r>
      <w:r>
        <w:rPr>
          <w:rFonts w:hint="eastAsia" w:ascii="宋体" w:hAnsi="宋体" w:eastAsia="宋体" w:cs="宋体"/>
          <w:color w:val="auto"/>
          <w:sz w:val="24"/>
          <w:szCs w:val="24"/>
          <w:highlight w:val="none"/>
        </w:rPr>
        <w:t>“江苏政府采购网”自行免费下载磋商文件</w:t>
      </w:r>
      <w:r>
        <w:rPr>
          <w:rFonts w:hint="eastAsia" w:ascii="宋体" w:hAnsi="宋体" w:eastAsia="宋体" w:cs="宋体"/>
          <w:color w:val="auto"/>
          <w:sz w:val="24"/>
          <w:szCs w:val="24"/>
          <w:highlight w:val="none"/>
          <w:lang w:eastAsia="zh-CN"/>
        </w:rPr>
        <w:t>。</w:t>
      </w:r>
    </w:p>
    <w:p w14:paraId="351AE622">
      <w:pPr>
        <w:shd w:val="clear" w:color="auto" w:fill="auto"/>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rPr>
        <w:t>登录“苏采云”政府采购交易系统，自行下载。</w:t>
      </w:r>
    </w:p>
    <w:p w14:paraId="09A8CE65">
      <w:pPr>
        <w:shd w:val="clear" w:color="auto" w:fill="auto"/>
        <w:spacing w:line="360" w:lineRule="auto"/>
        <w:ind w:firstLine="48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4、</w:t>
      </w:r>
      <w:r>
        <w:rPr>
          <w:rFonts w:hint="eastAsia" w:ascii="宋体" w:hAnsi="宋体" w:cs="宋体"/>
          <w:color w:val="auto"/>
          <w:sz w:val="24"/>
          <w:highlight w:val="none"/>
        </w:rPr>
        <w:t>售价：0</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元</w:t>
      </w:r>
    </w:p>
    <w:p w14:paraId="5201F3DF">
      <w:pPr>
        <w:keepNext/>
        <w:keepLines/>
        <w:shd w:val="clear" w:color="auto" w:fill="auto"/>
        <w:spacing w:line="360" w:lineRule="auto"/>
        <w:ind w:left="0" w:firstLine="0"/>
        <w:outlineLvl w:val="1"/>
        <w:rPr>
          <w:rFonts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四、</w:t>
      </w:r>
      <w:bookmarkEnd w:id="17"/>
      <w:bookmarkEnd w:id="18"/>
      <w:bookmarkEnd w:id="19"/>
      <w:bookmarkEnd w:id="20"/>
      <w:r>
        <w:rPr>
          <w:rFonts w:hint="eastAsia" w:ascii="宋体" w:hAnsi="宋体" w:cs="宋体"/>
          <w:b/>
          <w:bCs/>
          <w:color w:val="auto"/>
          <w:sz w:val="32"/>
          <w:szCs w:val="32"/>
          <w:highlight w:val="none"/>
          <w:lang w:val="en-US" w:eastAsia="zh-CN"/>
        </w:rPr>
        <w:t>响应</w:t>
      </w:r>
      <w:r>
        <w:rPr>
          <w:rFonts w:hint="eastAsia" w:ascii="宋体" w:hAnsi="宋体" w:cs="宋体"/>
          <w:b/>
          <w:bCs/>
          <w:color w:val="auto"/>
          <w:sz w:val="32"/>
          <w:szCs w:val="32"/>
          <w:highlight w:val="none"/>
          <w:lang w:eastAsia="zh-CN"/>
        </w:rPr>
        <w:t>文件</w:t>
      </w:r>
      <w:r>
        <w:rPr>
          <w:rFonts w:hint="eastAsia" w:ascii="宋体" w:hAnsi="宋体" w:cs="宋体"/>
          <w:b/>
          <w:bCs/>
          <w:color w:val="auto"/>
          <w:sz w:val="32"/>
          <w:szCs w:val="32"/>
          <w:highlight w:val="none"/>
          <w:lang w:val="en-US" w:eastAsia="zh-CN"/>
        </w:rPr>
        <w:t>提交</w:t>
      </w:r>
    </w:p>
    <w:p w14:paraId="639F75C4">
      <w:pPr>
        <w:spacing w:line="360" w:lineRule="auto"/>
        <w:ind w:firstLine="480"/>
        <w:jc w:val="left"/>
        <w:rPr>
          <w:rFonts w:ascii="宋体" w:hAnsi="宋体" w:eastAsia="宋体" w:cs="Times New Roman"/>
          <w:color w:val="auto"/>
          <w:sz w:val="24"/>
          <w:szCs w:val="24"/>
          <w:highlight w:val="none"/>
        </w:rPr>
      </w:pPr>
      <w:bookmarkStart w:id="21" w:name="_Toc20177"/>
      <w:bookmarkStart w:id="22" w:name="_Toc28359094"/>
      <w:bookmarkStart w:id="23" w:name="_Toc35393803"/>
      <w:bookmarkStart w:id="24" w:name="_Toc28359017"/>
      <w:bookmarkStart w:id="25" w:name="_Toc35393634"/>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提交响应文件截止时间</w:t>
      </w:r>
    </w:p>
    <w:p w14:paraId="5C84F830">
      <w:pPr>
        <w:shd w:val="clear" w:color="auto" w:fill="auto"/>
        <w:spacing w:line="360" w:lineRule="auto"/>
        <w:ind w:firstLine="480"/>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截止时间：</w:t>
      </w:r>
      <w:r>
        <w:rPr>
          <w:rFonts w:hint="eastAsia" w:ascii="宋体" w:hAnsi="宋体" w:cs="宋体"/>
          <w:color w:val="auto"/>
          <w:highlight w:val="none"/>
        </w:rPr>
        <w:t>2026年</w:t>
      </w:r>
      <w:r>
        <w:rPr>
          <w:rFonts w:hint="eastAsia" w:ascii="宋体" w:hAnsi="宋体" w:cs="宋体"/>
          <w:color w:val="auto"/>
          <w:highlight w:val="none"/>
          <w:lang w:val="en-US" w:eastAsia="zh-CN"/>
        </w:rPr>
        <w:t>10</w:t>
      </w:r>
      <w:r>
        <w:rPr>
          <w:rFonts w:hint="eastAsia" w:ascii="宋体" w:hAnsi="宋体" w:cs="宋体"/>
          <w:color w:val="auto"/>
          <w:highlight w:val="none"/>
        </w:rPr>
        <w:t>月</w:t>
      </w:r>
      <w:r>
        <w:rPr>
          <w:rFonts w:hint="eastAsia" w:ascii="宋体" w:hAnsi="宋体" w:cs="宋体"/>
          <w:color w:val="auto"/>
          <w:highlight w:val="none"/>
          <w:lang w:val="en-US" w:eastAsia="zh-CN"/>
        </w:rPr>
        <w:t>08</w:t>
      </w:r>
      <w:r>
        <w:rPr>
          <w:rFonts w:hint="eastAsia" w:ascii="宋体" w:hAnsi="宋体" w:cs="宋体"/>
          <w:color w:val="auto"/>
          <w:highlight w:val="none"/>
        </w:rPr>
        <w:t>日9时00分</w:t>
      </w:r>
      <w:r>
        <w:rPr>
          <w:rFonts w:hint="eastAsia" w:ascii="宋体" w:hAnsi="宋体" w:eastAsia="宋体" w:cs="宋体"/>
          <w:b w:val="0"/>
          <w:color w:val="auto"/>
          <w:sz w:val="24"/>
          <w:szCs w:val="24"/>
          <w:highlight w:val="none"/>
        </w:rPr>
        <w:t>（北京时间）</w:t>
      </w:r>
      <w:r>
        <w:rPr>
          <w:rFonts w:hint="eastAsia" w:ascii="宋体" w:hAnsi="宋体" w:cs="宋体"/>
          <w:b w:val="0"/>
          <w:color w:val="auto"/>
          <w:sz w:val="24"/>
          <w:szCs w:val="24"/>
          <w:highlight w:val="none"/>
          <w:lang w:eastAsia="zh-CN"/>
        </w:rPr>
        <w:t>。</w:t>
      </w:r>
      <w:bookmarkEnd w:id="21"/>
    </w:p>
    <w:p w14:paraId="09193529">
      <w:pPr>
        <w:spacing w:line="360" w:lineRule="auto"/>
        <w:ind w:firstLine="480"/>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地点</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“苏采云”政府采购交易系统网上开标大厅</w:t>
      </w:r>
      <w:r>
        <w:rPr>
          <w:rFonts w:hint="eastAsia" w:ascii="宋体" w:hAnsi="宋体" w:cs="Times New Roman"/>
          <w:color w:val="auto"/>
          <w:sz w:val="24"/>
          <w:highlight w:val="none"/>
          <w:lang w:eastAsia="zh-CN"/>
        </w:rPr>
        <w:t>。</w:t>
      </w:r>
    </w:p>
    <w:p w14:paraId="7F574025">
      <w:pPr>
        <w:keepNext/>
        <w:keepLines/>
        <w:shd w:val="clear" w:color="auto" w:fill="auto"/>
        <w:spacing w:line="360" w:lineRule="auto"/>
        <w:ind w:left="0" w:firstLine="0"/>
        <w:outlineLvl w:val="1"/>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五、开启</w:t>
      </w:r>
      <w:bookmarkStart w:id="721" w:name="_GoBack"/>
      <w:bookmarkEnd w:id="721"/>
    </w:p>
    <w:p w14:paraId="7E90880E">
      <w:pPr>
        <w:pStyle w:val="260"/>
        <w:numPr>
          <w:ilvl w:val="0"/>
          <w:numId w:val="0"/>
        </w:numPr>
        <w:spacing w:line="360" w:lineRule="auto"/>
        <w:ind w:firstLine="480"/>
        <w:rPr>
          <w:rFonts w:hint="eastAsia"/>
          <w:color w:val="auto"/>
          <w:highlight w:val="none"/>
          <w:lang w:val="en-US" w:eastAsia="zh-CN"/>
        </w:rPr>
      </w:pPr>
      <w:r>
        <w:rPr>
          <w:rFonts w:hint="eastAsia"/>
          <w:color w:val="auto"/>
          <w:highlight w:val="none"/>
          <w:lang w:val="en-US" w:eastAsia="zh-CN"/>
        </w:rPr>
        <w:t>时间：</w:t>
      </w:r>
      <w:r>
        <w:rPr>
          <w:rFonts w:hint="eastAsia" w:ascii="宋体" w:hAnsi="宋体" w:cs="宋体"/>
          <w:color w:val="auto"/>
          <w:highlight w:val="none"/>
        </w:rPr>
        <w:t>2026年</w:t>
      </w:r>
      <w:r>
        <w:rPr>
          <w:rFonts w:hint="eastAsia" w:ascii="宋体" w:hAnsi="宋体" w:cs="宋体"/>
          <w:color w:val="auto"/>
          <w:highlight w:val="none"/>
          <w:lang w:val="en-US" w:eastAsia="zh-CN"/>
        </w:rPr>
        <w:t>10</w:t>
      </w:r>
      <w:r>
        <w:rPr>
          <w:rFonts w:hint="eastAsia" w:ascii="宋体" w:hAnsi="宋体" w:cs="宋体"/>
          <w:color w:val="auto"/>
          <w:highlight w:val="none"/>
        </w:rPr>
        <w:t>月</w:t>
      </w:r>
      <w:r>
        <w:rPr>
          <w:rFonts w:hint="eastAsia" w:ascii="宋体" w:hAnsi="宋体" w:cs="宋体"/>
          <w:color w:val="auto"/>
          <w:highlight w:val="none"/>
          <w:lang w:val="en-US" w:eastAsia="zh-CN"/>
        </w:rPr>
        <w:t>08</w:t>
      </w:r>
      <w:r>
        <w:rPr>
          <w:rFonts w:hint="eastAsia" w:ascii="宋体" w:hAnsi="宋体" w:cs="宋体"/>
          <w:color w:val="auto"/>
          <w:highlight w:val="none"/>
        </w:rPr>
        <w:t>日9时00分</w:t>
      </w:r>
      <w:r>
        <w:rPr>
          <w:rFonts w:hint="eastAsia" w:ascii="宋体" w:hAnsi="宋体" w:eastAsia="宋体" w:cs="宋体"/>
          <w:b w:val="0"/>
          <w:color w:val="auto"/>
          <w:sz w:val="24"/>
          <w:szCs w:val="24"/>
          <w:highlight w:val="none"/>
        </w:rPr>
        <w:t>（北京时间）</w:t>
      </w:r>
    </w:p>
    <w:p w14:paraId="7D2761F9">
      <w:pPr>
        <w:pStyle w:val="260"/>
        <w:numPr>
          <w:ilvl w:val="0"/>
          <w:numId w:val="0"/>
        </w:numPr>
        <w:spacing w:line="360" w:lineRule="auto"/>
        <w:ind w:firstLine="480"/>
        <w:rPr>
          <w:rFonts w:hint="eastAsia"/>
          <w:color w:val="auto"/>
          <w:highlight w:val="none"/>
          <w:lang w:val="en-US" w:eastAsia="zh-CN"/>
        </w:rPr>
      </w:pPr>
      <w:r>
        <w:rPr>
          <w:rFonts w:hint="eastAsia"/>
          <w:color w:val="auto"/>
          <w:highlight w:val="none"/>
          <w:lang w:val="en-US" w:eastAsia="zh-CN"/>
        </w:rPr>
        <w:t>地点：“苏采云”政府采购交易系统网上开标大厅</w:t>
      </w:r>
      <w:r>
        <w:rPr>
          <w:rFonts w:ascii="宋体" w:hAnsi="宋体" w:eastAsia="宋体" w:cs="宋体"/>
          <w:color w:val="auto"/>
          <w:sz w:val="24"/>
          <w:highlight w:val="none"/>
        </w:rPr>
        <w:t> </w:t>
      </w:r>
    </w:p>
    <w:p w14:paraId="7AEB2AF3">
      <w:pPr>
        <w:pStyle w:val="260"/>
        <w:numPr>
          <w:ilvl w:val="0"/>
          <w:numId w:val="0"/>
        </w:num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w:t>
      </w:r>
      <w:bookmarkEnd w:id="22"/>
      <w:bookmarkEnd w:id="23"/>
      <w:bookmarkEnd w:id="24"/>
      <w:bookmarkEnd w:id="25"/>
      <w:r>
        <w:rPr>
          <w:rFonts w:hint="eastAsia" w:ascii="宋体" w:hAnsi="宋体" w:cs="宋体"/>
          <w:b/>
          <w:color w:val="auto"/>
          <w:sz w:val="32"/>
          <w:szCs w:val="32"/>
          <w:highlight w:val="none"/>
          <w:lang w:eastAsia="zh-CN"/>
        </w:rPr>
        <w:t>公告期限</w:t>
      </w:r>
    </w:p>
    <w:p w14:paraId="561A319F">
      <w:pPr>
        <w:shd w:val="clear" w:color="auto" w:fill="auto"/>
        <w:spacing w:line="360" w:lineRule="auto"/>
        <w:ind w:firstLine="480"/>
        <w:rPr>
          <w:rFonts w:hint="eastAsia" w:ascii="宋体" w:hAnsi="宋体" w:eastAsia="宋体" w:cs="宋体"/>
          <w:color w:val="auto"/>
          <w:sz w:val="24"/>
          <w:szCs w:val="24"/>
          <w:highlight w:val="none"/>
        </w:rPr>
      </w:pPr>
      <w:bookmarkStart w:id="26" w:name="_Toc35393626"/>
      <w:bookmarkStart w:id="27" w:name="_Toc35393795"/>
      <w:bookmarkStart w:id="28" w:name="_Toc38985268"/>
      <w:r>
        <w:rPr>
          <w:rFonts w:hint="eastAsia" w:ascii="宋体" w:hAnsi="宋体" w:eastAsia="宋体" w:cs="宋体"/>
          <w:color w:val="auto"/>
          <w:sz w:val="24"/>
          <w:szCs w:val="24"/>
          <w:highlight w:val="none"/>
        </w:rPr>
        <w:t>自本公告发布之日起3个工作日。</w:t>
      </w:r>
      <w:bookmarkEnd w:id="26"/>
      <w:bookmarkEnd w:id="27"/>
      <w:bookmarkEnd w:id="28"/>
      <w:bookmarkStart w:id="29" w:name="_Toc35393635"/>
      <w:bookmarkStart w:id="30" w:name="_Toc35393804"/>
    </w:p>
    <w:p w14:paraId="0C5AA038">
      <w:pPr>
        <w:numPr>
          <w:ilvl w:val="0"/>
          <w:numId w:val="0"/>
        </w:numPr>
        <w:shd w:val="clear" w:color="auto" w:fill="auto"/>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bidi="ar-SA"/>
        </w:rPr>
        <w:t>七</w:t>
      </w:r>
      <w:r>
        <w:rPr>
          <w:rFonts w:hint="eastAsia" w:ascii="宋体" w:hAnsi="宋体" w:eastAsia="宋体" w:cs="宋体"/>
          <w:b/>
          <w:color w:val="auto"/>
          <w:sz w:val="32"/>
          <w:szCs w:val="32"/>
          <w:highlight w:val="none"/>
          <w:lang w:val="en-US" w:eastAsia="zh-CN" w:bidi="ar-SA"/>
        </w:rPr>
        <w:t>、</w:t>
      </w:r>
      <w:r>
        <w:rPr>
          <w:rFonts w:hint="eastAsia" w:ascii="宋体" w:hAnsi="宋体" w:cs="宋体"/>
          <w:b/>
          <w:color w:val="auto"/>
          <w:sz w:val="32"/>
          <w:szCs w:val="32"/>
          <w:highlight w:val="none"/>
        </w:rPr>
        <w:t>其他补充事宜</w:t>
      </w:r>
      <w:bookmarkEnd w:id="29"/>
      <w:bookmarkEnd w:id="30"/>
    </w:p>
    <w:p w14:paraId="70B7546C">
      <w:pPr>
        <w:shd w:val="clear" w:color="auto" w:fill="auto"/>
        <w:spacing w:line="360" w:lineRule="auto"/>
        <w:ind w:firstLine="48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1</w:t>
      </w:r>
      <w:r>
        <w:rPr>
          <w:rFonts w:hint="eastAsia" w:ascii="宋体" w:hAnsi="宋体" w:cs="宋体"/>
          <w:color w:val="auto"/>
          <w:sz w:val="24"/>
          <w:szCs w:val="28"/>
          <w:highlight w:val="none"/>
          <w:lang w:eastAsia="zh-CN"/>
        </w:rPr>
        <w:t>.</w:t>
      </w:r>
      <w:r>
        <w:rPr>
          <w:rFonts w:hint="eastAsia" w:ascii="宋体" w:hAnsi="宋体" w:cs="宋体"/>
          <w:color w:val="auto"/>
          <w:sz w:val="24"/>
          <w:highlight w:val="none"/>
        </w:rPr>
        <w:t>本次磋商不收取磋商保证金。</w:t>
      </w:r>
    </w:p>
    <w:p w14:paraId="123CD297">
      <w:pPr>
        <w:pageBreakBefore w:val="0"/>
        <w:widowControl w:val="0"/>
        <w:spacing w:line="500" w:lineRule="exact"/>
        <w:ind w:firstLine="480"/>
        <w:jc w:val="left"/>
        <w:rPr>
          <w:rFonts w:hint="eastAsia" w:ascii="宋体" w:hAnsi="宋体" w:cs="宋体"/>
          <w:color w:val="auto"/>
          <w:sz w:val="24"/>
          <w:highlight w:val="none"/>
        </w:rPr>
      </w:pPr>
      <w:r>
        <w:rPr>
          <w:rFonts w:hint="eastAsia" w:ascii="宋体" w:hAnsi="宋体" w:cs="宋体"/>
          <w:i w:val="0"/>
          <w:iCs w:val="0"/>
          <w:color w:val="auto"/>
          <w:sz w:val="24"/>
          <w:szCs w:val="28"/>
          <w:highlight w:val="none"/>
          <w:u w:val="none"/>
        </w:rPr>
        <w:t>2.</w:t>
      </w:r>
      <w:r>
        <w:rPr>
          <w:rFonts w:hint="eastAsia" w:ascii="宋体" w:hAnsi="宋体" w:cs="宋体"/>
          <w:color w:val="auto"/>
          <w:sz w:val="24"/>
          <w:highlight w:val="none"/>
        </w:rPr>
        <w:t>本项目竞争性磋商文件中标注★的款项为实质性响应要求和条件，如不满足将按无效响应文件处理。</w:t>
      </w:r>
    </w:p>
    <w:p w14:paraId="15B9FD80">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rPr>
        <w:t>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auto"/>
          <w:sz w:val="24"/>
          <w:highlight w:val="none"/>
          <w:lang w:val="en-US" w:eastAsia="zh-CN"/>
        </w:rPr>
        <w:t>环节</w:t>
      </w:r>
      <w:r>
        <w:rPr>
          <w:rFonts w:hint="eastAsia" w:ascii="宋体" w:hAnsi="宋体" w:cs="宋体"/>
          <w:b w:val="0"/>
          <w:bCs w:val="0"/>
          <w:color w:val="auto"/>
          <w:sz w:val="24"/>
          <w:highlight w:val="none"/>
        </w:rPr>
        <w:t>，评审过程中不再另行通知。如供应商因自身原因错过相应环节，造成非实质性响应，责任自负。</w:t>
      </w:r>
    </w:p>
    <w:p w14:paraId="0FB7C0B4">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4.</w:t>
      </w:r>
      <w:r>
        <w:rPr>
          <w:rFonts w:hint="eastAsia" w:ascii="宋体" w:hAnsi="宋体" w:cs="宋体"/>
          <w:b w:val="0"/>
          <w:bCs w:val="0"/>
          <w:color w:val="auto"/>
          <w:sz w:val="24"/>
          <w:highlight w:val="none"/>
        </w:rPr>
        <w:t>所有的响应供应商须在苏采云系统规定时间内填写并提交最后报价，未在磋商小组规定的时间内完成最后报价的视为放弃磋商，其磋商响应按无效响应处理。</w:t>
      </w:r>
    </w:p>
    <w:p w14:paraId="034E506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5.如标书制作工具中格式和内容与“江苏政府采购网”发布的磋商文件不一致，请以“江苏政府采购网”发布的磋商文件为准。</w:t>
      </w:r>
    </w:p>
    <w:p w14:paraId="44C6F48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6</w:t>
      </w:r>
      <w:r>
        <w:rPr>
          <w:rFonts w:hint="eastAsia" w:ascii="宋体" w:hAnsi="宋体" w:cs="宋体"/>
          <w:color w:val="auto"/>
          <w:sz w:val="24"/>
          <w:szCs w:val="28"/>
          <w:highlight w:val="none"/>
        </w:rPr>
        <w:t>.无论出于何种原因，采购人在采购活动开始前可对</w:t>
      </w:r>
      <w:r>
        <w:rPr>
          <w:rFonts w:hint="eastAsia" w:ascii="宋体" w:hAnsi="宋体" w:cs="宋体"/>
          <w:color w:val="auto"/>
          <w:sz w:val="24"/>
          <w:szCs w:val="28"/>
          <w:highlight w:val="none"/>
          <w:lang w:val="en-US" w:eastAsia="zh-CN"/>
        </w:rPr>
        <w:t>磋商</w:t>
      </w:r>
      <w:r>
        <w:rPr>
          <w:rFonts w:hint="eastAsia" w:ascii="宋体" w:hAnsi="宋体" w:cs="宋体"/>
          <w:color w:val="auto"/>
          <w:sz w:val="24"/>
          <w:szCs w:val="28"/>
          <w:highlight w:val="none"/>
        </w:rPr>
        <w:t>文件进行修改、补充或变更，其内容作为</w:t>
      </w:r>
      <w:r>
        <w:rPr>
          <w:rFonts w:hint="eastAsia" w:ascii="宋体" w:hAnsi="宋体" w:cs="宋体"/>
          <w:color w:val="auto"/>
          <w:sz w:val="24"/>
          <w:szCs w:val="28"/>
          <w:highlight w:val="none"/>
          <w:lang w:val="en-US" w:eastAsia="zh-CN"/>
        </w:rPr>
        <w:t>磋商</w:t>
      </w:r>
      <w:r>
        <w:rPr>
          <w:rFonts w:hint="eastAsia" w:ascii="宋体" w:hAnsi="宋体" w:cs="宋体"/>
          <w:color w:val="auto"/>
          <w:sz w:val="24"/>
          <w:szCs w:val="28"/>
          <w:highlight w:val="none"/>
        </w:rPr>
        <w:t>文件的重要组成部分，请各供应商关注发布平台。若因供应商自身原因未及时关注本项目有关修改、补充或变更信息，导致</w:t>
      </w:r>
      <w:r>
        <w:rPr>
          <w:rFonts w:hint="eastAsia" w:ascii="宋体" w:hAnsi="宋体" w:cs="宋体"/>
          <w:color w:val="auto"/>
          <w:sz w:val="24"/>
          <w:szCs w:val="28"/>
          <w:highlight w:val="none"/>
          <w:lang w:val="en-US" w:eastAsia="zh-CN"/>
        </w:rPr>
        <w:t>响应</w:t>
      </w:r>
      <w:r>
        <w:rPr>
          <w:rFonts w:hint="eastAsia" w:ascii="宋体" w:hAnsi="宋体" w:cs="宋体"/>
          <w:color w:val="auto"/>
          <w:sz w:val="24"/>
          <w:szCs w:val="28"/>
          <w:highlight w:val="none"/>
        </w:rPr>
        <w:t>文件编制或提交失误，由此造成的一切损失由供应商自行承担。</w:t>
      </w:r>
    </w:p>
    <w:p w14:paraId="270EE327">
      <w:pPr>
        <w:pStyle w:val="260"/>
        <w:spacing w:line="360" w:lineRule="auto"/>
        <w:ind w:firstLine="480"/>
        <w:rPr>
          <w:rFonts w:hint="eastAsia" w:hAnsi="宋体" w:cs="宋体"/>
          <w:color w:val="auto"/>
          <w:sz w:val="24"/>
          <w:szCs w:val="24"/>
          <w:highlight w:val="none"/>
          <w:lang w:val="en-US" w:eastAsia="zh-CN"/>
        </w:rPr>
      </w:pPr>
      <w:r>
        <w:rPr>
          <w:rFonts w:hint="eastAsia" w:cs="宋体"/>
          <w:color w:val="auto"/>
          <w:sz w:val="24"/>
          <w:szCs w:val="28"/>
          <w:highlight w:val="none"/>
          <w:lang w:val="en-US" w:eastAsia="zh-CN"/>
        </w:rPr>
        <w:t>7.特别提醒：</w:t>
      </w:r>
    </w:p>
    <w:p w14:paraId="4798AA71">
      <w:pPr>
        <w:pStyle w:val="260"/>
        <w:spacing w:line="360" w:lineRule="auto"/>
        <w:ind w:firstLine="480"/>
        <w:rPr>
          <w:rFonts w:hint="eastAsia" w:ascii="宋体" w:hAnsi="宋体" w:eastAsia="宋体" w:cs="宋体"/>
          <w:color w:val="auto"/>
          <w:sz w:val="24"/>
          <w:szCs w:val="24"/>
          <w:highlight w:val="none"/>
        </w:rPr>
      </w:pPr>
      <w:bookmarkStart w:id="31" w:name="_Toc35393805"/>
      <w:bookmarkStart w:id="32" w:name="_Toc35393636"/>
      <w:bookmarkStart w:id="33" w:name="_Toc28359018"/>
      <w:bookmarkStart w:id="34" w:name="_Toc28359095"/>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潜在</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访问电子招标投标交易平台的网络地址和方法：</w:t>
      </w:r>
    </w:p>
    <w:p w14:paraId="10F03A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（1）“苏采云”系统</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7136E2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（2）潜在</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访问“苏采云”系统的网络地址和方法：</w:t>
      </w:r>
    </w:p>
    <w:p w14:paraId="6F5F3D6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“苏采云”系统的网址：http://jszfcg.jsczt.cn/。</w:t>
      </w:r>
    </w:p>
    <w:p w14:paraId="28EF244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（3）“CA数字证书”的获取：</w:t>
      </w:r>
    </w:p>
    <w:p w14:paraId="1C64154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需办理CA锁，“苏采云”系统目前仅支持“苏采云”系统下的政务CA，省内各地区办理的“苏采云”系统下的政务CA全省通用。“CA数字证书”的办理材料详见“http://jsxcmm.com/help/gys.html”。</w:t>
      </w:r>
    </w:p>
    <w:p w14:paraId="23E1B7BF">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（4）采购文件（后缀名为“.kedt”）、供应商操作手册及政府采购客户端工具可通过“苏采云”系统--已报名项目--报名详情页面内相应链接进行下载。</w:t>
      </w:r>
    </w:p>
    <w:p w14:paraId="5E119B4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（5）采购代理机构将数据电文形式的采购文件加载至“苏采云”系统，供</w:t>
      </w:r>
      <w:r>
        <w:rPr>
          <w:rFonts w:hint="eastAsia" w:ascii="宋体" w:hAnsi="宋体" w:eastAsia="宋体" w:cs="宋体"/>
          <w:color w:val="auto"/>
          <w:sz w:val="24"/>
          <w:highlight w:val="none"/>
          <w:lang w:eastAsia="zh-CN"/>
        </w:rPr>
        <w:t>潜在投标人</w:t>
      </w:r>
      <w:r>
        <w:rPr>
          <w:rFonts w:hint="eastAsia" w:ascii="宋体" w:hAnsi="宋体" w:eastAsia="宋体" w:cs="宋体"/>
          <w:color w:val="auto"/>
          <w:sz w:val="24"/>
          <w:highlight w:val="none"/>
        </w:rPr>
        <w:t>下载或者查阅。</w:t>
      </w:r>
    </w:p>
    <w:p w14:paraId="2AEAD47A">
      <w:pPr>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rPr>
        <w:t>（6）</w:t>
      </w:r>
      <w:r>
        <w:rPr>
          <w:rFonts w:hint="eastAsia" w:ascii="宋体" w:hAnsi="宋体" w:eastAsia="宋体" w:cs="宋体"/>
          <w:b w:val="0"/>
          <w:bCs w:val="0"/>
          <w:color w:val="auto"/>
          <w:sz w:val="24"/>
          <w:szCs w:val="24"/>
          <w:highlight w:val="none"/>
          <w:lang w:val="en-US" w:eastAsia="zh-CN" w:bidi="ar-SA"/>
        </w:rPr>
        <w:t>请潜在投标人提前安装相应的控件(详见《江苏省政府采购管理交易系统(苏采云)供应商操作手册》)并使用谷歌浏览器登录“苏采云”系统参与不见面开评标。</w:t>
      </w:r>
    </w:p>
    <w:p w14:paraId="3DB55A52">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二、</w:t>
      </w:r>
      <w:r>
        <w:rPr>
          <w:rFonts w:hint="eastAsia" w:ascii="宋体" w:hAnsi="宋体" w:eastAsia="宋体" w:cs="宋体"/>
          <w:color w:val="auto"/>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通过苏采云系统参与政府采购项目，需要更换CA数字证书和电子签章。具体办理指南和操作手册见链接：http://www.ccgp-jiangsu.gov.cn/jiangsu/zlxz/ee/ee3a4bc5a3454aa2b0d9312230633ce9.html。</w:t>
      </w:r>
    </w:p>
    <w:p w14:paraId="3868A182">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领取CA和办理电子签章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具体联系方式见《苏采云系统供应商操作手册》（以下简称《操作手册》））、进行注册并按《操作手册》要求制作、上传电子投标文件。</w:t>
      </w:r>
    </w:p>
    <w:p w14:paraId="1E542189">
      <w:pPr>
        <w:shd w:val="clear" w:color="auto" w:fill="auto"/>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未按要求操作原因导致电子投标文件被拒绝、造成无效响应的，自行承担一切损失。</w:t>
      </w:r>
    </w:p>
    <w:p w14:paraId="78D47D53">
      <w:pPr>
        <w:shd w:val="clear" w:color="auto" w:fill="auto"/>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有关本次招标的事项若存在变动或修改，敬请及时关注采购代理机构在“江苏政府采购网”发布的更正公告。</w:t>
      </w:r>
    </w:p>
    <w:p w14:paraId="3F1ECD99">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rPr>
          <w:rFonts w:hint="eastAsia" w:ascii="宋体" w:hAnsi="宋体" w:eastAsia="宋体" w:cs="宋体"/>
          <w:b/>
          <w:color w:val="auto"/>
          <w:sz w:val="32"/>
          <w:szCs w:val="32"/>
          <w:highlight w:val="none"/>
          <w:lang w:eastAsia="zh-CN"/>
        </w:rPr>
      </w:pPr>
      <w:r>
        <w:rPr>
          <w:rFonts w:hint="eastAsia" w:cs="宋体"/>
          <w:b/>
          <w:color w:val="auto"/>
          <w:sz w:val="32"/>
          <w:szCs w:val="32"/>
          <w:highlight w:val="none"/>
          <w:lang w:val="en-US" w:eastAsia="zh-CN"/>
        </w:rPr>
        <w:t>八</w:t>
      </w:r>
      <w:r>
        <w:rPr>
          <w:rFonts w:hint="eastAsia" w:ascii="宋体" w:hAnsi="宋体" w:cs="宋体"/>
          <w:b/>
          <w:color w:val="auto"/>
          <w:sz w:val="32"/>
          <w:szCs w:val="32"/>
          <w:highlight w:val="none"/>
        </w:rPr>
        <w:t>、</w:t>
      </w:r>
      <w:bookmarkEnd w:id="31"/>
      <w:bookmarkEnd w:id="32"/>
      <w:bookmarkEnd w:id="33"/>
      <w:bookmarkEnd w:id="34"/>
      <w:r>
        <w:rPr>
          <w:rFonts w:hint="eastAsia" w:ascii="宋体" w:hAnsi="宋体" w:cs="宋体"/>
          <w:b/>
          <w:color w:val="auto"/>
          <w:sz w:val="32"/>
          <w:szCs w:val="32"/>
          <w:highlight w:val="none"/>
          <w:lang w:eastAsia="zh-CN"/>
        </w:rPr>
        <w:t>凡对本次采购提出询问，请按以下方式联系。</w:t>
      </w:r>
    </w:p>
    <w:p w14:paraId="59978348">
      <w:pPr>
        <w:shd w:val="clear" w:color="auto" w:fill="auto"/>
        <w:spacing w:line="360" w:lineRule="auto"/>
        <w:ind w:left="0" w:firstLine="0"/>
        <w:jc w:val="left"/>
        <w:rPr>
          <w:rFonts w:hint="eastAsia" w:ascii="宋体" w:hAnsi="宋体" w:eastAsia="宋体" w:cs="宋体"/>
          <w:color w:val="auto"/>
          <w:sz w:val="24"/>
          <w:szCs w:val="24"/>
          <w:highlight w:val="none"/>
        </w:rPr>
      </w:pPr>
      <w:bookmarkStart w:id="35" w:name="_Toc28359096"/>
      <w:bookmarkStart w:id="36" w:name="_Toc35393806"/>
      <w:bookmarkStart w:id="37" w:name="_Toc35393637"/>
      <w:bookmarkStart w:id="38" w:name="_Toc28359019"/>
      <w:r>
        <w:rPr>
          <w:rFonts w:hint="eastAsia" w:ascii="宋体" w:hAnsi="宋体" w:eastAsia="宋体" w:cs="宋体"/>
          <w:color w:val="auto"/>
          <w:sz w:val="24"/>
          <w:szCs w:val="24"/>
          <w:highlight w:val="none"/>
        </w:rPr>
        <w:t>1.采购人信息</w:t>
      </w:r>
    </w:p>
    <w:p w14:paraId="4317F0D4">
      <w:pPr>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连云港市赣马高级中学</w:t>
      </w:r>
    </w:p>
    <w:p w14:paraId="0BC4C63F">
      <w:pPr>
        <w:shd w:val="clear" w:color="auto" w:fill="auto"/>
        <w:spacing w:line="360" w:lineRule="auto"/>
        <w:ind w:firstLine="480"/>
        <w:jc w:val="left"/>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连云港市赣马</w:t>
      </w:r>
      <w:bookmarkEnd w:id="35"/>
      <w:bookmarkEnd w:id="36"/>
      <w:bookmarkEnd w:id="37"/>
      <w:bookmarkEnd w:id="38"/>
      <w:r>
        <w:rPr>
          <w:rFonts w:hint="eastAsia" w:ascii="宋体" w:hAnsi="宋体" w:cs="宋体"/>
          <w:color w:val="auto"/>
          <w:sz w:val="24"/>
          <w:szCs w:val="24"/>
          <w:highlight w:val="none"/>
          <w:lang w:val="en-US" w:eastAsia="zh-CN"/>
        </w:rPr>
        <w:t>镇</w:t>
      </w:r>
    </w:p>
    <w:p w14:paraId="054217EE">
      <w:pPr>
        <w:widowControl w:val="0"/>
        <w:shd w:val="clear" w:color="auto" w:fill="auto"/>
        <w:spacing w:line="360" w:lineRule="auto"/>
        <w:ind w:firstLine="480"/>
        <w:jc w:val="lef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联系人：徐校长</w:t>
      </w:r>
    </w:p>
    <w:p w14:paraId="79FF5087">
      <w:pPr>
        <w:shd w:val="clear" w:color="auto" w:fill="auto"/>
        <w:spacing w:line="360" w:lineRule="auto"/>
        <w:ind w:lef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联系方式：13655141712</w:t>
      </w:r>
    </w:p>
    <w:p w14:paraId="18A3D875">
      <w:pPr>
        <w:shd w:val="clear" w:color="auto" w:fill="auto"/>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38504839">
      <w:pPr>
        <w:shd w:val="clear" w:color="auto" w:fill="auto"/>
        <w:spacing w:line="360" w:lineRule="auto"/>
        <w:ind w:left="0" w:firstLine="480"/>
        <w:jc w:val="left"/>
        <w:rPr>
          <w:rFonts w:hint="eastAsia" w:ascii="宋体" w:hAnsi="宋体" w:eastAsia="宋体" w:cs="宋体"/>
          <w:color w:val="auto"/>
          <w:sz w:val="24"/>
          <w:szCs w:val="24"/>
          <w:highlight w:val="none"/>
          <w:lang w:eastAsia="zh-CN"/>
        </w:rPr>
      </w:pPr>
      <w:bookmarkStart w:id="39" w:name="_Toc35393639"/>
      <w:bookmarkStart w:id="40" w:name="_Toc28359021"/>
      <w:bookmarkStart w:id="41" w:name="_Toc35393808"/>
      <w:bookmarkStart w:id="42" w:name="_Toc28359098"/>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江苏瑞杰项目管理顾问有限公司</w:t>
      </w:r>
    </w:p>
    <w:p w14:paraId="0BA2B6B3">
      <w:pPr>
        <w:shd w:val="clear" w:color="auto" w:fill="auto"/>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highlight w:val="none"/>
          <w:lang w:eastAsia="zh-CN"/>
        </w:rPr>
        <w:t>连云港市海州区</w:t>
      </w:r>
      <w:r>
        <w:rPr>
          <w:rFonts w:hint="eastAsia" w:ascii="宋体" w:hAnsi="宋体" w:eastAsia="宋体" w:cs="宋体"/>
          <w:color w:val="auto"/>
          <w:sz w:val="24"/>
          <w:highlight w:val="none"/>
          <w:lang w:val="en-US" w:eastAsia="zh-CN"/>
        </w:rPr>
        <w:t>巨龙南路88号天顺国际花园1号楼2层</w:t>
      </w:r>
    </w:p>
    <w:p w14:paraId="676B9658">
      <w:pPr>
        <w:shd w:val="clear" w:color="auto" w:fill="auto"/>
        <w:spacing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林</w:t>
      </w:r>
      <w:r>
        <w:rPr>
          <w:rFonts w:hint="eastAsia" w:ascii="宋体" w:hAnsi="宋体" w:eastAsia="宋体" w:cs="宋体"/>
          <w:color w:val="auto"/>
          <w:sz w:val="24"/>
          <w:szCs w:val="24"/>
          <w:highlight w:val="none"/>
          <w:lang w:eastAsia="zh-CN"/>
        </w:rPr>
        <w:t>工</w:t>
      </w:r>
      <w:bookmarkEnd w:id="39"/>
      <w:bookmarkEnd w:id="40"/>
      <w:bookmarkEnd w:id="41"/>
      <w:bookmarkEnd w:id="42"/>
    </w:p>
    <w:p w14:paraId="698EF684">
      <w:pPr>
        <w:shd w:val="clear" w:color="auto" w:fill="auto"/>
        <w:spacing w:line="360" w:lineRule="auto"/>
        <w:ind w:left="0" w:firstLine="48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联系方式：18861336791</w:t>
      </w:r>
      <w:r>
        <w:rPr>
          <w:rFonts w:hint="eastAsia" w:ascii="宋体" w:hAnsi="宋体" w:cs="宋体"/>
          <w:color w:val="auto"/>
          <w:sz w:val="24"/>
          <w:szCs w:val="24"/>
          <w:highlight w:val="none"/>
          <w:lang w:val="en-US" w:eastAsia="zh-CN" w:bidi="ar-SA"/>
        </w:rPr>
        <w:t>/18352810257</w:t>
      </w:r>
    </w:p>
    <w:p w14:paraId="36B3FDBF">
      <w:pPr>
        <w:keepNext w:val="0"/>
        <w:keepLines w:val="0"/>
        <w:pageBreakBefore w:val="0"/>
        <w:widowControl w:val="0"/>
        <w:spacing w:line="480" w:lineRule="exact"/>
        <w:ind w:left="0" w:firstLine="0"/>
        <w:rPr>
          <w:rFonts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470AFC21">
      <w:pPr>
        <w:keepNext w:val="0"/>
        <w:keepLines w:val="0"/>
        <w:pageBreakBefore w:val="0"/>
        <w:widowControl w:val="0"/>
        <w:spacing w:line="48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项目联系人：</w:t>
      </w:r>
      <w:r>
        <w:rPr>
          <w:rFonts w:hint="eastAsia" w:ascii="宋体" w:hAnsi="宋体" w:eastAsia="宋体" w:cs="宋体"/>
          <w:color w:val="auto"/>
          <w:sz w:val="24"/>
          <w:szCs w:val="24"/>
          <w:highlight w:val="none"/>
          <w:lang w:val="en-US" w:eastAsia="zh-CN" w:bidi="ar-SA"/>
        </w:rPr>
        <w:t>徐校长</w:t>
      </w:r>
    </w:p>
    <w:p w14:paraId="50743ECF">
      <w:pPr>
        <w:keepNext w:val="0"/>
        <w:keepLines w:val="0"/>
        <w:pageBreakBefore w:val="0"/>
        <w:widowControl w:val="0"/>
        <w:spacing w:line="48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w:t>
      </w:r>
      <w:r>
        <w:rPr>
          <w:rFonts w:hint="eastAsia" w:ascii="宋体" w:hAnsi="宋体" w:eastAsia="宋体" w:cs="宋体"/>
          <w:color w:val="auto"/>
          <w:sz w:val="24"/>
          <w:szCs w:val="24"/>
          <w:highlight w:val="none"/>
          <w:lang w:val="en-US" w:eastAsia="zh-CN" w:bidi="ar-SA"/>
        </w:rPr>
        <w:t>13655141712</w:t>
      </w:r>
    </w:p>
    <w:p w14:paraId="79C6AA63">
      <w:pPr>
        <w:shd w:val="clear" w:color="auto" w:fill="auto"/>
        <w:spacing w:line="360" w:lineRule="auto"/>
        <w:ind w:left="0" w:firstLine="480"/>
        <w:jc w:val="left"/>
        <w:rPr>
          <w:rFonts w:hint="eastAsia" w:ascii="宋体" w:hAnsi="宋体" w:eastAsia="宋体" w:cs="宋体"/>
          <w:color w:val="auto"/>
          <w:sz w:val="24"/>
          <w:szCs w:val="24"/>
          <w:highlight w:val="none"/>
          <w:lang w:val="en-US" w:eastAsia="zh-CN" w:bidi="ar-SA"/>
        </w:rPr>
      </w:pPr>
    </w:p>
    <w:p w14:paraId="44B68E8C">
      <w:pPr>
        <w:pStyle w:val="2"/>
        <w:ind w:left="0" w:firstLine="0"/>
        <w:jc w:val="center"/>
        <w:rPr>
          <w:rFonts w:hint="eastAsia"/>
          <w:color w:val="auto"/>
          <w:highlight w:val="none"/>
        </w:rPr>
      </w:pPr>
      <w:r>
        <w:rPr>
          <w:rFonts w:hint="eastAsia" w:ascii="宋体" w:hAnsi="宋体" w:eastAsia="宋体" w:cs="宋体"/>
          <w:b/>
          <w:bCs/>
          <w:color w:val="auto"/>
          <w:szCs w:val="44"/>
          <w:highlight w:val="none"/>
        </w:rPr>
        <w:br w:type="page" w:clear="all"/>
      </w:r>
      <w:bookmarkStart w:id="43" w:name="_Toc15613"/>
      <w:r>
        <w:rPr>
          <w:rFonts w:hint="eastAsia"/>
          <w:color w:val="auto"/>
          <w:highlight w:val="none"/>
        </w:rPr>
        <w:t>第二章</w:t>
      </w:r>
      <w:r>
        <w:rPr>
          <w:rFonts w:hint="eastAsia"/>
          <w:color w:val="auto"/>
          <w:highlight w:val="none"/>
          <w:lang w:val="en-US" w:eastAsia="zh-CN"/>
        </w:rPr>
        <w:t>供应商</w:t>
      </w:r>
      <w:r>
        <w:rPr>
          <w:rFonts w:hint="eastAsia"/>
          <w:color w:val="auto"/>
          <w:highlight w:val="none"/>
        </w:rPr>
        <w:t>须知</w:t>
      </w:r>
      <w:bookmarkEnd w:id="43"/>
    </w:p>
    <w:p w14:paraId="61D51693">
      <w:pPr>
        <w:shd w:val="clear" w:color="auto" w:fill="auto"/>
        <w:tabs>
          <w:tab w:val="left" w:pos="900"/>
        </w:tabs>
        <w:spacing w:line="360" w:lineRule="auto"/>
        <w:ind w:left="0" w:firstLine="0"/>
        <w:jc w:val="center"/>
        <w:outlineLvl w:val="0"/>
        <w:rPr>
          <w:rFonts w:hint="eastAsia" w:ascii="宋体" w:hAnsi="宋体" w:eastAsia="宋体" w:cs="宋体"/>
          <w:b/>
          <w:bCs/>
          <w:color w:val="auto"/>
          <w:sz w:val="28"/>
          <w:szCs w:val="28"/>
          <w:highlight w:val="none"/>
          <w:lang w:val="en-US" w:eastAsia="zh-CN"/>
        </w:rPr>
      </w:pPr>
      <w:bookmarkStart w:id="44" w:name="_Toc27940"/>
      <w:r>
        <w:rPr>
          <w:rFonts w:hint="eastAsia" w:ascii="宋体" w:hAnsi="宋体" w:eastAsia="宋体" w:cs="宋体"/>
          <w:b/>
          <w:bCs/>
          <w:color w:val="auto"/>
          <w:sz w:val="28"/>
          <w:szCs w:val="28"/>
          <w:highlight w:val="none"/>
          <w:lang w:val="en-US" w:eastAsia="zh-CN"/>
        </w:rPr>
        <w:t>一、总则</w:t>
      </w:r>
      <w:bookmarkEnd w:id="44"/>
    </w:p>
    <w:p w14:paraId="4C18D8A8">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45" w:name="_Toc20823276"/>
      <w:bookmarkStart w:id="46" w:name="_Toc16938520"/>
      <w:bookmarkStart w:id="47" w:name="_Toc458694821"/>
      <w:bookmarkStart w:id="48" w:name="_Toc513029204"/>
      <w:r>
        <w:rPr>
          <w:rFonts w:hint="eastAsia" w:ascii="宋体" w:hAnsi="宋体" w:eastAsia="宋体" w:cs="宋体"/>
          <w:b/>
          <w:bCs/>
          <w:color w:val="auto"/>
          <w:sz w:val="28"/>
          <w:szCs w:val="28"/>
          <w:highlight w:val="none"/>
          <w:lang w:val="en-US" w:eastAsia="zh-CN"/>
        </w:rPr>
        <w:t>1</w:t>
      </w:r>
      <w:bookmarkEnd w:id="45"/>
      <w:r>
        <w:rPr>
          <w:rFonts w:hint="eastAsia" w:ascii="宋体" w:hAnsi="宋体" w:eastAsia="宋体" w:cs="宋体"/>
          <w:b/>
          <w:bCs/>
          <w:color w:val="auto"/>
          <w:sz w:val="28"/>
          <w:szCs w:val="28"/>
          <w:highlight w:val="none"/>
          <w:lang w:val="en-US" w:eastAsia="zh-CN"/>
        </w:rPr>
        <w:t>、采购方式</w:t>
      </w:r>
      <w:bookmarkEnd w:id="46"/>
      <w:bookmarkEnd w:id="47"/>
      <w:bookmarkEnd w:id="48"/>
    </w:p>
    <w:p w14:paraId="7B9FB7A1">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1.1本次政府采购活动采取竞争性磋商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方式，本磋商文件仅适用于磋商公告中所述项目。</w:t>
      </w:r>
    </w:p>
    <w:p w14:paraId="48F519DE">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49" w:name="_Toc16938521"/>
      <w:bookmarkStart w:id="50" w:name="_Toc513029205"/>
      <w:bookmarkStart w:id="51" w:name="_Toc20823277"/>
      <w:r>
        <w:rPr>
          <w:rFonts w:hint="eastAsia" w:ascii="宋体" w:hAnsi="宋体" w:eastAsia="宋体" w:cs="宋体"/>
          <w:b/>
          <w:bCs/>
          <w:color w:val="auto"/>
          <w:sz w:val="28"/>
          <w:szCs w:val="28"/>
          <w:highlight w:val="none"/>
          <w:lang w:val="en-US" w:eastAsia="zh-CN"/>
        </w:rPr>
        <w:t>2、合格的</w:t>
      </w:r>
      <w:bookmarkEnd w:id="49"/>
      <w:bookmarkEnd w:id="50"/>
      <w:bookmarkEnd w:id="51"/>
      <w:r>
        <w:rPr>
          <w:rFonts w:hint="eastAsia" w:ascii="宋体" w:hAnsi="宋体" w:eastAsia="宋体" w:cs="宋体"/>
          <w:b/>
          <w:bCs/>
          <w:color w:val="auto"/>
          <w:sz w:val="28"/>
          <w:szCs w:val="28"/>
          <w:highlight w:val="none"/>
          <w:lang w:val="en-US" w:eastAsia="zh-CN"/>
        </w:rPr>
        <w:t>供应商</w:t>
      </w:r>
    </w:p>
    <w:p w14:paraId="2FF6A52D">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2.1满足磋商公告中供应商资格要求的规定。</w:t>
      </w:r>
    </w:p>
    <w:p w14:paraId="111BAD45">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2.2满足本磋商文件实质性要求和条件的规定。</w:t>
      </w:r>
    </w:p>
    <w:p w14:paraId="2583BBF3">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52" w:name="_Toc20823278"/>
      <w:bookmarkStart w:id="53" w:name="_Toc16938522"/>
      <w:bookmarkStart w:id="54" w:name="_Toc513029206"/>
      <w:r>
        <w:rPr>
          <w:rFonts w:hint="eastAsia" w:ascii="宋体" w:hAnsi="宋体" w:eastAsia="宋体" w:cs="宋体"/>
          <w:b/>
          <w:bCs/>
          <w:color w:val="auto"/>
          <w:sz w:val="28"/>
          <w:szCs w:val="28"/>
          <w:highlight w:val="none"/>
          <w:lang w:val="en-US" w:eastAsia="zh-CN"/>
        </w:rPr>
        <w:t>3、适用法律</w:t>
      </w:r>
      <w:bookmarkEnd w:id="52"/>
      <w:bookmarkEnd w:id="53"/>
      <w:bookmarkEnd w:id="54"/>
    </w:p>
    <w:p w14:paraId="321B439E">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3.1本次磋商及由此产生的合同受中华人民共和国有关的法律法规制约和保护。</w:t>
      </w:r>
    </w:p>
    <w:p w14:paraId="42052680">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55" w:name="_Toc462564067"/>
      <w:bookmarkStart w:id="56" w:name="_Toc20823279"/>
      <w:bookmarkStart w:id="57" w:name="_Toc16938523"/>
      <w:bookmarkStart w:id="58" w:name="_Toc513029207"/>
      <w:r>
        <w:rPr>
          <w:rFonts w:hint="eastAsia" w:ascii="宋体" w:hAnsi="宋体" w:eastAsia="宋体" w:cs="宋体"/>
          <w:b/>
          <w:bCs/>
          <w:color w:val="auto"/>
          <w:sz w:val="28"/>
          <w:szCs w:val="28"/>
          <w:highlight w:val="none"/>
          <w:lang w:val="en-US" w:eastAsia="zh-CN"/>
        </w:rPr>
        <w:t>4、磋商费用</w:t>
      </w:r>
      <w:bookmarkEnd w:id="55"/>
      <w:bookmarkEnd w:id="56"/>
      <w:bookmarkEnd w:id="57"/>
      <w:bookmarkEnd w:id="58"/>
    </w:p>
    <w:p w14:paraId="7C5430FD">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4.1供应商应自行承担所有与参加本次磋商有关的费用，无论磋商过程中的做法和结果如何，</w:t>
      </w:r>
      <w:r>
        <w:rPr>
          <w:rFonts w:hint="eastAsia" w:ascii="宋体" w:hAnsi="宋体" w:cs="宋体"/>
          <w:b/>
          <w:bCs/>
          <w:color w:val="auto"/>
          <w:sz w:val="24"/>
          <w:highlight w:val="none"/>
          <w:lang w:val="en-US" w:eastAsia="zh-CN"/>
        </w:rPr>
        <w:t>江苏瑞杰项目管理顾问有限公司</w:t>
      </w:r>
      <w:r>
        <w:rPr>
          <w:rFonts w:hint="eastAsia" w:ascii="宋体" w:hAnsi="宋体" w:eastAsia="宋体" w:cs="宋体"/>
          <w:color w:val="auto"/>
          <w:sz w:val="24"/>
          <w:highlight w:val="none"/>
        </w:rPr>
        <w:t>（以下简称</w:t>
      </w:r>
      <w:r>
        <w:rPr>
          <w:rFonts w:hint="eastAsia" w:ascii="宋体" w:hAnsi="宋体" w:eastAsia="宋体" w:cs="宋体"/>
          <w:color w:val="auto"/>
          <w:sz w:val="24"/>
          <w:highlight w:val="none"/>
          <w:lang w:val="en-US" w:eastAsia="zh-CN"/>
        </w:rPr>
        <w:t>代理机构</w:t>
      </w:r>
      <w:r>
        <w:rPr>
          <w:rFonts w:hint="eastAsia" w:ascii="宋体" w:hAnsi="宋体" w:eastAsia="宋体" w:cs="宋体"/>
          <w:color w:val="auto"/>
          <w:sz w:val="24"/>
          <w:highlight w:val="none"/>
        </w:rPr>
        <w:t>）在任何情况下均无义务和责任承担这些费用。</w:t>
      </w:r>
    </w:p>
    <w:p w14:paraId="4FCA0F7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4.2此次磋商代理机构和采购人不收取磋商文件工本费。</w:t>
      </w:r>
    </w:p>
    <w:p w14:paraId="63D8135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cs="宋体"/>
          <w:b/>
          <w:bCs/>
          <w:color w:val="auto"/>
          <w:kern w:val="2"/>
          <w:sz w:val="24"/>
          <w:szCs w:val="24"/>
          <w:highlight w:val="none"/>
          <w:lang w:val="en" w:eastAsia="zh-CN" w:bidi="ar-SA"/>
        </w:rPr>
      </w:pPr>
      <w:r>
        <w:rPr>
          <w:rFonts w:hint="eastAsia" w:ascii="宋体" w:hAnsi="宋体" w:eastAsia="宋体" w:cs="宋体"/>
          <w:color w:val="auto"/>
          <w:sz w:val="24"/>
          <w:szCs w:val="24"/>
          <w:highlight w:val="none"/>
          <w:lang w:val="en-US" w:eastAsia="en-US" w:bidi="ar-SA"/>
        </w:rPr>
        <w:t>4.3</w:t>
      </w:r>
      <w:r>
        <w:rPr>
          <w:rFonts w:hint="eastAsia" w:ascii="宋体" w:hAnsi="宋体" w:eastAsia="Arial" w:cs="宋体"/>
          <w:color w:val="auto"/>
          <w:sz w:val="24"/>
          <w:highlight w:val="none"/>
        </w:rPr>
        <w:t>本次</w:t>
      </w:r>
      <w:r>
        <w:rPr>
          <w:rFonts w:hint="eastAsia" w:ascii="宋体" w:hAnsi="宋体" w:eastAsia="宋体" w:cs="宋体"/>
          <w:b/>
          <w:bCs/>
          <w:color w:val="auto"/>
          <w:kern w:val="2"/>
          <w:sz w:val="24"/>
          <w:szCs w:val="24"/>
          <w:highlight w:val="none"/>
          <w:lang w:val="en" w:eastAsia="zh-CN" w:bidi="ar-SA"/>
        </w:rPr>
        <w:t>招标代理服务费按照</w:t>
      </w:r>
      <w:r>
        <w:rPr>
          <w:rFonts w:hint="eastAsia" w:ascii="宋体" w:hAnsi="宋体" w:eastAsia="宋体" w:cs="宋体"/>
          <w:b/>
          <w:bCs/>
          <w:color w:val="auto"/>
          <w:kern w:val="2"/>
          <w:sz w:val="24"/>
          <w:szCs w:val="24"/>
          <w:highlight w:val="none"/>
          <w:lang w:val="en-US" w:eastAsia="zh-CN" w:bidi="ar-SA"/>
        </w:rPr>
        <w:t>苏政采协【2024】20号文收费标准的</w:t>
      </w:r>
      <w:r>
        <w:rPr>
          <w:rFonts w:hint="eastAsia" w:ascii="宋体" w:hAnsi="宋体" w:eastAsia="宋体" w:cs="宋体"/>
          <w:b/>
          <w:bCs/>
          <w:color w:val="auto"/>
          <w:kern w:val="2"/>
          <w:sz w:val="24"/>
          <w:szCs w:val="24"/>
          <w:highlight w:val="none"/>
          <w:u w:val="single"/>
          <w:lang w:val="en-US" w:eastAsia="zh-CN" w:bidi="ar-SA"/>
        </w:rPr>
        <w:t>50%</w:t>
      </w:r>
      <w:r>
        <w:rPr>
          <w:rFonts w:hint="eastAsia" w:ascii="宋体" w:hAnsi="宋体" w:eastAsia="宋体" w:cs="宋体"/>
          <w:b/>
          <w:bCs/>
          <w:color w:val="auto"/>
          <w:kern w:val="2"/>
          <w:sz w:val="24"/>
          <w:szCs w:val="24"/>
          <w:highlight w:val="none"/>
          <w:lang w:val="en-US" w:eastAsia="zh-CN" w:bidi="ar-SA"/>
        </w:rPr>
        <w:t>收取，工程量清单及招标控制价编制费用按照</w:t>
      </w:r>
      <w:r>
        <w:rPr>
          <w:rFonts w:hint="eastAsia" w:ascii="宋体" w:hAnsi="宋体" w:eastAsia="宋体" w:cs="宋体"/>
          <w:b/>
          <w:bCs/>
          <w:color w:val="auto"/>
          <w:kern w:val="2"/>
          <w:sz w:val="24"/>
          <w:szCs w:val="24"/>
          <w:highlight w:val="none"/>
          <w:lang w:val="en" w:eastAsia="zh-CN" w:bidi="ar-SA"/>
        </w:rPr>
        <w:t>（苏建价协【2022】7号）收费标准的</w:t>
      </w:r>
      <w:r>
        <w:rPr>
          <w:rFonts w:hint="eastAsia" w:ascii="宋体" w:hAnsi="宋体" w:eastAsia="宋体" w:cs="宋体"/>
          <w:b/>
          <w:bCs/>
          <w:color w:val="auto"/>
          <w:kern w:val="2"/>
          <w:sz w:val="24"/>
          <w:szCs w:val="24"/>
          <w:highlight w:val="none"/>
          <w:u w:val="single"/>
          <w:lang w:val="en-US" w:eastAsia="zh-CN" w:bidi="ar-SA"/>
        </w:rPr>
        <w:t>50%</w:t>
      </w:r>
      <w:r>
        <w:rPr>
          <w:rFonts w:hint="eastAsia" w:ascii="宋体" w:hAnsi="宋体" w:eastAsia="宋体" w:cs="宋体"/>
          <w:b/>
          <w:bCs/>
          <w:color w:val="auto"/>
          <w:kern w:val="2"/>
          <w:sz w:val="24"/>
          <w:szCs w:val="24"/>
          <w:highlight w:val="none"/>
          <w:lang w:val="en" w:eastAsia="zh-CN" w:bidi="ar-SA"/>
        </w:rPr>
        <w:t>计取</w:t>
      </w:r>
      <w:r>
        <w:rPr>
          <w:rFonts w:hint="eastAsia" w:ascii="宋体" w:hAnsi="宋体" w:cs="宋体"/>
          <w:b/>
          <w:bCs/>
          <w:color w:val="auto"/>
          <w:kern w:val="2"/>
          <w:sz w:val="24"/>
          <w:szCs w:val="24"/>
          <w:highlight w:val="none"/>
          <w:lang w:val="en" w:eastAsia="zh-CN" w:bidi="ar-SA"/>
        </w:rPr>
        <w:t>。</w:t>
      </w:r>
    </w:p>
    <w:p w14:paraId="7A4C665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cs="宋体"/>
          <w:b/>
          <w:bCs/>
          <w:color w:val="auto"/>
          <w:kern w:val="2"/>
          <w:sz w:val="24"/>
          <w:szCs w:val="24"/>
          <w:highlight w:val="none"/>
          <w:lang w:val="en" w:eastAsia="zh-CN" w:bidi="ar-SA"/>
        </w:rPr>
      </w:pPr>
      <w:r>
        <w:rPr>
          <w:rFonts w:hint="eastAsia" w:ascii="宋体" w:hAnsi="宋体" w:cs="宋体"/>
          <w:b/>
          <w:bCs/>
          <w:color w:val="auto"/>
          <w:kern w:val="2"/>
          <w:sz w:val="24"/>
          <w:szCs w:val="24"/>
          <w:highlight w:val="none"/>
          <w:lang w:val="en" w:eastAsia="zh-CN" w:bidi="ar-SA"/>
        </w:rPr>
        <w:t>注：上述费用成交供应商领取成交通知书时须缴纳，供应商将此费用等综合考虑在报价中，采购人不再另行支付。</w:t>
      </w:r>
    </w:p>
    <w:p w14:paraId="099C59BD">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5、磋商文件的约束力</w:t>
      </w:r>
    </w:p>
    <w:p w14:paraId="21CDF9ED">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5.1供应商一旦参加本项目采购活动，即被认为接受了本磋商文件的规定和约束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并且视为已经知道或应当知道自身权益是否受到了损害。</w:t>
      </w:r>
    </w:p>
    <w:p w14:paraId="76710AE3">
      <w:pPr>
        <w:shd w:val="clear" w:color="auto" w:fill="auto"/>
        <w:tabs>
          <w:tab w:val="left" w:pos="900"/>
        </w:tabs>
        <w:spacing w:line="360" w:lineRule="auto"/>
        <w:ind w:left="0" w:firstLine="0"/>
        <w:jc w:val="center"/>
        <w:outlineLvl w:val="0"/>
        <w:rPr>
          <w:rFonts w:hint="eastAsia" w:ascii="宋体" w:hAnsi="宋体" w:eastAsia="宋体" w:cs="宋体"/>
          <w:b/>
          <w:bCs/>
          <w:color w:val="auto"/>
          <w:sz w:val="28"/>
          <w:szCs w:val="28"/>
          <w:highlight w:val="none"/>
          <w:lang w:val="en-US" w:eastAsia="zh-CN"/>
        </w:rPr>
      </w:pPr>
      <w:bookmarkStart w:id="59" w:name="_Toc12541"/>
      <w:r>
        <w:rPr>
          <w:rFonts w:hint="eastAsia" w:ascii="宋体" w:hAnsi="宋体" w:eastAsia="宋体" w:cs="宋体"/>
          <w:b/>
          <w:bCs/>
          <w:color w:val="auto"/>
          <w:sz w:val="28"/>
          <w:szCs w:val="28"/>
          <w:highlight w:val="none"/>
          <w:lang w:val="en-US" w:eastAsia="zh-CN"/>
        </w:rPr>
        <w:t>二、磋商文件</w:t>
      </w:r>
      <w:bookmarkEnd w:id="59"/>
    </w:p>
    <w:p w14:paraId="12DFA83C">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6、磋商文件构成</w:t>
      </w:r>
    </w:p>
    <w:p w14:paraId="0CB9B37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.1磋商文件由以下部分组成：</w:t>
      </w:r>
    </w:p>
    <w:p w14:paraId="3AE68C0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（1）竞争性磋商公告</w:t>
      </w:r>
    </w:p>
    <w:p w14:paraId="7ED4D6F0">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须知</w:t>
      </w:r>
    </w:p>
    <w:p w14:paraId="5D57B2D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（3）政府采购合同格式</w:t>
      </w:r>
    </w:p>
    <w:p w14:paraId="13D9FA2B">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（4）技术标准和要求</w:t>
      </w:r>
    </w:p>
    <w:p w14:paraId="3489967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（5）工程量清单</w:t>
      </w:r>
    </w:p>
    <w:p w14:paraId="04447EE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（6）图纸和技术资料</w:t>
      </w:r>
    </w:p>
    <w:p w14:paraId="7AB83B0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）评审方法和评审标准</w:t>
      </w:r>
    </w:p>
    <w:p w14:paraId="0F7355A4">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）响应文件格式</w:t>
      </w:r>
    </w:p>
    <w:p w14:paraId="639427B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请仔细检查磋商文件是否齐全，如有缺漏请立即与采购人或采购代理机构联系解决。</w:t>
      </w:r>
    </w:p>
    <w:p w14:paraId="7D5401B4">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C531111">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7、磋商文件的澄清</w:t>
      </w:r>
    </w:p>
    <w:p w14:paraId="428ED8D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w:t>
      </w:r>
    </w:p>
    <w:p w14:paraId="1C00696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采购代理机构或采购人可以视采购项目的具体情况，组织供应商进行现场考察或召开磋商前答疑会，但不单独或分别组织只有一个供应商参加的现场考察和答疑会。</w:t>
      </w:r>
    </w:p>
    <w:p w14:paraId="7FF0FA5F">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8、磋商文件的修改</w:t>
      </w:r>
    </w:p>
    <w:p w14:paraId="0062189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w:t>
      </w:r>
      <w:r>
        <w:rPr>
          <w:rFonts w:hint="eastAsia" w:ascii="宋体" w:hAnsi="宋体" w:eastAsia="宋体" w:cs="宋体"/>
          <w:color w:val="auto"/>
          <w:sz w:val="24"/>
          <w:highlight w:val="none"/>
        </w:rPr>
        <w:t>在响应文件提交截止时间前，</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可以对磋商文件进行澄清和修改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更正公告内容将作为磋商文件的组成部分，并对供应商具有约束力。不足5日的，</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将顺延提交首次响应文件截止时间</w:t>
      </w:r>
      <w:r>
        <w:rPr>
          <w:rFonts w:hint="eastAsia" w:ascii="宋体" w:hAnsi="宋体" w:eastAsia="宋体" w:cs="宋体"/>
          <w:color w:val="auto"/>
          <w:szCs w:val="21"/>
          <w:highlight w:val="none"/>
        </w:rPr>
        <w:t>。</w:t>
      </w:r>
    </w:p>
    <w:p w14:paraId="3B25187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8.2</w:t>
      </w:r>
      <w:r>
        <w:rPr>
          <w:rFonts w:hint="eastAsia" w:ascii="宋体" w:hAnsi="宋体" w:eastAsia="宋体" w:cs="宋体"/>
          <w:color w:val="auto"/>
          <w:szCs w:val="21"/>
          <w:highlight w:val="none"/>
        </w:rPr>
        <w:t>供应商对采购人提供的采购文件所做出的推论、解释和结论，采购人概不负责。供应商由于对采购文件的任何推论和误解以及采购人对有关问题的口头解释所造成的后果，均由各潜在供应商自负。</w:t>
      </w:r>
    </w:p>
    <w:p w14:paraId="5903EC46">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60" w:name="_Toc31736"/>
      <w:r>
        <w:rPr>
          <w:rFonts w:hint="eastAsia" w:ascii="宋体" w:hAnsi="宋体" w:eastAsia="宋体" w:cs="宋体"/>
          <w:b/>
          <w:bCs/>
          <w:color w:val="auto"/>
          <w:sz w:val="28"/>
          <w:szCs w:val="28"/>
          <w:highlight w:val="none"/>
          <w:lang w:val="en-US" w:eastAsia="zh-CN"/>
        </w:rPr>
        <w:t>三、响应文件的编制</w:t>
      </w:r>
      <w:bookmarkEnd w:id="60"/>
    </w:p>
    <w:p w14:paraId="03B994FE">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9、响应文件的语言及度量衡单位</w:t>
      </w:r>
    </w:p>
    <w:p w14:paraId="1D05AB89">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.1供应商提交的响应文件以及供应商与采购人或采购代理机构就有关磋商的所有来往通知、函件和文件均应使用简体中文。</w:t>
      </w:r>
    </w:p>
    <w:p w14:paraId="2EAE2FB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.2除技术性能另有规定外，响应文件所使用的度量衡单位，均须采用国家法定计量单位。</w:t>
      </w:r>
    </w:p>
    <w:p w14:paraId="0F6DF010">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10、响应文件构成</w:t>
      </w:r>
    </w:p>
    <w:p w14:paraId="15612576">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.1供应商编写的响应文件应包括资格证明文件、符合性证明文件、商务技术标文件、价格标文件其他证明文件、磋商响应函等部分。</w:t>
      </w:r>
    </w:p>
    <w:p w14:paraId="214E484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.2如标书制作工具中格式和内容与“江苏政府采购网”发布的磋商文件不一致，请以“江苏政府采购网”发布的磋商文件为准。</w:t>
      </w:r>
    </w:p>
    <w:p w14:paraId="27D67761">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61" w:name="_Toc49090509"/>
      <w:bookmarkStart w:id="62" w:name="_Toc49090508"/>
      <w:bookmarkStart w:id="63" w:name="_Toc513029219"/>
      <w:bookmarkStart w:id="64" w:name="_Toc14577357"/>
      <w:bookmarkStart w:id="65" w:name="_Toc14577354"/>
      <w:bookmarkStart w:id="66" w:name="_Toc513029216"/>
      <w:bookmarkStart w:id="67" w:name="_Toc49090507"/>
      <w:r>
        <w:rPr>
          <w:rFonts w:hint="eastAsia" w:ascii="宋体" w:hAnsi="宋体" w:eastAsia="宋体" w:cs="宋体"/>
          <w:b/>
          <w:bCs/>
          <w:color w:val="auto"/>
          <w:sz w:val="28"/>
          <w:szCs w:val="28"/>
          <w:highlight w:val="none"/>
          <w:lang w:val="en-US" w:eastAsia="zh-CN"/>
        </w:rPr>
        <w:t>11、证明磋商响应标的符合磋商文件规定的文件</w:t>
      </w:r>
      <w:bookmarkEnd w:id="61"/>
      <w:bookmarkEnd w:id="62"/>
      <w:bookmarkEnd w:id="63"/>
      <w:bookmarkEnd w:id="64"/>
      <w:bookmarkEnd w:id="65"/>
      <w:bookmarkEnd w:id="66"/>
      <w:bookmarkEnd w:id="67"/>
    </w:p>
    <w:p w14:paraId="7ABD12EA">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应按照磋商文件要求提交证明文件，证明其及磋商响应标的符合磋商文件规定。</w:t>
      </w:r>
    </w:p>
    <w:p w14:paraId="1C9B8684">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11.2</w:t>
      </w:r>
      <w:r>
        <w:rPr>
          <w:rFonts w:hint="eastAsia" w:ascii="宋体" w:hAnsi="宋体" w:eastAsia="宋体" w:cs="宋体"/>
          <w:color w:val="auto"/>
          <w:sz w:val="24"/>
          <w:highlight w:val="none"/>
        </w:rPr>
        <w:t>磋商文件对证明文件无明确形式要求的，证明文件可以以文字资料、图纸和数据等形式提交。</w:t>
      </w:r>
    </w:p>
    <w:p w14:paraId="765E52D8">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11.3供应商</w:t>
      </w:r>
      <w:r>
        <w:rPr>
          <w:rFonts w:hint="eastAsia" w:ascii="宋体" w:hAnsi="宋体" w:eastAsia="宋体" w:cs="宋体"/>
          <w:color w:val="auto"/>
          <w:sz w:val="24"/>
          <w:highlight w:val="none"/>
        </w:rPr>
        <w:t>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6AFF9680">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12、磋商响应有效期</w:t>
      </w:r>
    </w:p>
    <w:p w14:paraId="3371887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rPr>
        <w:t>.1磋商响应有效期为采购文件规定的响应文件提交截止时间后</w:t>
      </w:r>
      <w:r>
        <w:rPr>
          <w:rFonts w:hint="eastAsia" w:ascii="宋体" w:hAnsi="宋体" w:eastAsia="宋体" w:cs="宋体"/>
          <w:color w:val="auto"/>
          <w:highlight w:val="none"/>
          <w:u w:val="single"/>
        </w:rPr>
        <w:t>六十（60）</w:t>
      </w:r>
      <w:r>
        <w:rPr>
          <w:rFonts w:hint="eastAsia" w:ascii="宋体" w:hAnsi="宋体" w:eastAsia="宋体" w:cs="宋体"/>
          <w:color w:val="auto"/>
          <w:highlight w:val="none"/>
        </w:rPr>
        <w:t>天。磋商响应有效期比规定短的将被视为非实质性响应而予以拒绝。</w:t>
      </w:r>
    </w:p>
    <w:p w14:paraId="597BF8A2">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13、磋商响应有效期的延长</w:t>
      </w:r>
    </w:p>
    <w:p w14:paraId="20E5F85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rPr>
        <w:t>.1在特殊情况下，采购人或采购代理机构于原磋商响应有效期满之前，可向</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提出延长磋商响应有效期的要求。这种要求与答复均应采用书面形式。</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可以拒绝采购人或采购代理机构的这一要求而放弃磋商响应，同意延长磋商响应有效期的</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既不能要求也不允许修改其响应文件。受磋商响应有效期约束的所有权利与义务均延长至新的有效期。</w:t>
      </w:r>
    </w:p>
    <w:p w14:paraId="4874FA3B">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68" w:name="_Toc23844"/>
      <w:r>
        <w:rPr>
          <w:rFonts w:hint="eastAsia" w:ascii="宋体" w:hAnsi="宋体" w:eastAsia="宋体" w:cs="宋体"/>
          <w:b/>
          <w:bCs/>
          <w:color w:val="auto"/>
          <w:sz w:val="28"/>
          <w:szCs w:val="28"/>
          <w:highlight w:val="none"/>
          <w:lang w:val="en-US" w:eastAsia="zh-CN"/>
        </w:rPr>
        <w:t>四、磋商报价</w:t>
      </w:r>
      <w:bookmarkEnd w:id="68"/>
    </w:p>
    <w:p w14:paraId="70549C7F">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14、磋商报价</w:t>
      </w:r>
    </w:p>
    <w:p w14:paraId="75ABD6D2">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.1磋商响应报价应是采购文件所确定的采购范围内的全部工作内容的价格体现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并包括</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技术标中提出的所有工程内容及措施的费用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其应包括但不限于施工设备、劳务、管理、材料、采购、运输、装卸、保管、制造、安装、维护、利润、税金及政策性文件规定的各项应有费用（含现场垃圾清理费用）。</w:t>
      </w:r>
    </w:p>
    <w:p w14:paraId="71DEFF4A">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.2磋商报价方式：本工程采用下列第</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rPr>
        <w:t>种方式。</w:t>
      </w:r>
    </w:p>
    <w:p w14:paraId="55B5E7EF">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）可调价格报价：</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lang w:eastAsia="zh-CN"/>
        </w:rPr>
        <w:t>的磋商响应报价可根据合同实施期间的市场变化和政策性调整而变动。</w:t>
      </w:r>
    </w:p>
    <w:p w14:paraId="4FD7B59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（2）固定单价报价：</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应充分考虑施工期间各类建材的市场风险和政策性调整确定风险系数计入总报价，今后不作调整。设计变更和采购人要求变动的内容除外。结算方式在合同专用条款中明确。</w:t>
      </w:r>
    </w:p>
    <w:p w14:paraId="3E216CA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2"/>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本次采购采用竞争性磋商，因第二轮报价只报总价，结算时，以成交</w:t>
      </w:r>
      <w:r>
        <w:rPr>
          <w:rFonts w:hint="eastAsia" w:ascii="宋体" w:hAnsi="宋体" w:eastAsia="宋体" w:cs="宋体"/>
          <w:b/>
          <w:bCs/>
          <w:color w:val="auto"/>
          <w:highlight w:val="none"/>
          <w:lang w:val="en-US" w:eastAsia="zh-CN"/>
        </w:rPr>
        <w:t>供应商</w:t>
      </w:r>
      <w:r>
        <w:rPr>
          <w:rFonts w:hint="eastAsia" w:ascii="宋体" w:hAnsi="宋体" w:eastAsia="宋体" w:cs="宋体"/>
          <w:b/>
          <w:bCs/>
          <w:color w:val="auto"/>
          <w:highlight w:val="none"/>
        </w:rPr>
        <w:t>提交的综合单价同比下浮【下浮率=（1-第二轮报价/第一轮报价）*100%】。</w:t>
      </w:r>
    </w:p>
    <w:p w14:paraId="4795DA7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2"/>
        <w:jc w:val="both"/>
        <w:textAlignment w:val="auto"/>
        <w:outlineLvl w:val="9"/>
        <w:rPr>
          <w:rFonts w:hint="eastAsia"/>
          <w:color w:val="auto"/>
          <w:highlight w:val="none"/>
        </w:rPr>
      </w:pPr>
      <w:r>
        <w:rPr>
          <w:rFonts w:hint="eastAsia" w:ascii="宋体" w:hAnsi="宋体" w:eastAsia="宋体" w:cs="宋体"/>
          <w:b/>
          <w:bCs/>
          <w:color w:val="auto"/>
          <w:sz w:val="24"/>
          <w:szCs w:val="24"/>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42DA2472">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14</w:t>
      </w:r>
      <w:r>
        <w:rPr>
          <w:rFonts w:hint="eastAsia" w:ascii="宋体" w:hAnsi="宋体" w:eastAsia="宋体" w:cs="宋体"/>
          <w:b w:val="0"/>
          <w:bCs w:val="0"/>
          <w:color w:val="auto"/>
          <w:highlight w:val="none"/>
        </w:rPr>
        <w:t>.3磋商报价的计价方法</w:t>
      </w:r>
    </w:p>
    <w:p w14:paraId="50361F8F">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本工程项目采用</w:t>
      </w:r>
      <w:r>
        <w:rPr>
          <w:rFonts w:hint="eastAsia" w:ascii="宋体" w:hAnsi="宋体" w:eastAsia="宋体" w:cs="宋体"/>
          <w:color w:val="auto"/>
          <w:highlight w:val="none"/>
          <w:u w:val="single"/>
        </w:rPr>
        <w:t>工程量清单</w:t>
      </w:r>
      <w:r>
        <w:rPr>
          <w:rFonts w:hint="eastAsia" w:ascii="宋体" w:hAnsi="宋体" w:eastAsia="宋体" w:cs="宋体"/>
          <w:color w:val="auto"/>
          <w:highlight w:val="none"/>
        </w:rPr>
        <w:t>计价方法。</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应根据采购人提供的工程量清单计算单价、合价以及各种政策性费用。</w:t>
      </w:r>
    </w:p>
    <w:p w14:paraId="7122604F">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除非合同中另有规定，</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在报价中所报的单价和合价，以及磋商报价汇总表中的价格均包括完成该工程项目的成本、利润、税金、开办费、技术措施费、机械进退场费、风险费、政策性文件规定费用等所有费用。</w:t>
      </w:r>
    </w:p>
    <w:p w14:paraId="3141F5E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施工用水电，采购人不再另行支付。</w:t>
      </w:r>
    </w:p>
    <w:p w14:paraId="21A41A0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本项目采用营改增后的一般计税方法计算报价。</w:t>
      </w:r>
    </w:p>
    <w:p w14:paraId="028E586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.4可选用的工程预算、费用定额和政策性文件</w:t>
      </w:r>
    </w:p>
    <w:p w14:paraId="242906D3">
      <w:pPr>
        <w:keepNext w:val="0"/>
        <w:keepLines w:val="0"/>
        <w:pageBreakBefore w:val="0"/>
        <w:widowControl w:val="0"/>
        <w:tabs>
          <w:tab w:val="left" w:pos="900"/>
        </w:tabs>
        <w:kinsoku/>
        <w:wordWrap/>
        <w:overflowPunct/>
        <w:topLinePunct w:val="0"/>
        <w:autoSpaceDE/>
        <w:autoSpaceDN/>
        <w:bidi w:val="0"/>
        <w:adjustRightInd/>
        <w:snapToGrid/>
        <w:spacing w:line="480" w:lineRule="exact"/>
        <w:ind w:left="0" w:firstLine="480"/>
        <w:textAlignment w:val="auto"/>
        <w:rPr>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用于磋商报价可参考的依据为：</w:t>
      </w:r>
      <w:r>
        <w:rPr>
          <w:rFonts w:hint="eastAsia" w:eastAsia="宋体"/>
          <w:color w:val="auto"/>
          <w:highlight w:val="none"/>
        </w:rPr>
        <w:t>按《建设工程工程量清单计价标准》（GB/T50500-2024）、《房屋建筑与装饰工程工程量计算</w:t>
      </w:r>
      <w:r>
        <w:rPr>
          <w:rFonts w:hint="eastAsia" w:eastAsia="宋体"/>
          <w:color w:val="auto"/>
          <w:highlight w:val="none"/>
          <w:lang w:eastAsia="zh-CN"/>
        </w:rPr>
        <w:t>标准</w:t>
      </w:r>
      <w:r>
        <w:rPr>
          <w:rFonts w:hint="eastAsia" w:eastAsia="宋体"/>
          <w:color w:val="auto"/>
          <w:highlight w:val="none"/>
        </w:rPr>
        <w:t>》</w:t>
      </w:r>
      <w:r>
        <w:rPr>
          <w:rFonts w:hint="eastAsia" w:eastAsia="宋体"/>
          <w:color w:val="auto"/>
          <w:highlight w:val="none"/>
          <w:lang w:val="en-US" w:eastAsia="zh-CN"/>
        </w:rPr>
        <w:t>GB/T50854—2024</w:t>
      </w:r>
      <w:r>
        <w:rPr>
          <w:rFonts w:hint="eastAsia" w:eastAsia="宋体"/>
          <w:color w:val="auto"/>
          <w:highlight w:val="none"/>
        </w:rPr>
        <w:t>、《通用安装工程工程量计算标准》GB/T50856-2024及各级建设行政主管部门发布的有关文件</w:t>
      </w:r>
      <w:r>
        <w:rPr>
          <w:rFonts w:eastAsia="宋体"/>
          <w:color w:val="auto"/>
          <w:highlight w:val="none"/>
        </w:rPr>
        <w:t>、近期的《连云港市建设工程材料市场参考价》。</w:t>
      </w:r>
    </w:p>
    <w:p w14:paraId="5321F872">
      <w:pPr>
        <w:keepNext w:val="0"/>
        <w:keepLines w:val="0"/>
        <w:pageBreakBefore w:val="0"/>
        <w:widowControl w:val="0"/>
        <w:tabs>
          <w:tab w:val="left" w:pos="900"/>
        </w:tabs>
        <w:kinsoku/>
        <w:wordWrap/>
        <w:overflowPunct/>
        <w:topLinePunct w:val="0"/>
        <w:autoSpaceDE/>
        <w:autoSpaceDN/>
        <w:bidi w:val="0"/>
        <w:adjustRightInd/>
        <w:snapToGrid/>
        <w:spacing w:line="480" w:lineRule="exact"/>
        <w:ind w:left="0" w:firstLine="480"/>
        <w:textAlignment w:val="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lang w:eastAsia="zh-CN"/>
        </w:rPr>
        <w:t>（</w:t>
      </w:r>
      <w:r>
        <w:rPr>
          <w:rFonts w:hint="eastAsia" w:ascii="宋体" w:hAnsi="宋体" w:eastAsia="宋体" w:cs="宋体"/>
          <w:color w:val="auto"/>
          <w:spacing w:val="-6"/>
          <w:sz w:val="24"/>
          <w:highlight w:val="none"/>
          <w:lang w:val="en-US" w:eastAsia="zh-CN"/>
        </w:rPr>
        <w:t>2</w:t>
      </w:r>
      <w:r>
        <w:rPr>
          <w:rFonts w:hint="eastAsia" w:ascii="宋体" w:hAnsi="宋体" w:eastAsia="宋体" w:cs="宋体"/>
          <w:color w:val="auto"/>
          <w:spacing w:val="-6"/>
          <w:sz w:val="24"/>
          <w:highlight w:val="none"/>
          <w:lang w:eastAsia="zh-CN"/>
        </w:rPr>
        <w:t>）</w:t>
      </w:r>
      <w:r>
        <w:rPr>
          <w:rFonts w:hint="eastAsia" w:ascii="宋体" w:hAnsi="宋体" w:eastAsia="宋体" w:cs="宋体"/>
          <w:color w:val="auto"/>
          <w:spacing w:val="-6"/>
          <w:sz w:val="24"/>
          <w:highlight w:val="none"/>
        </w:rPr>
        <w:t>政策性文件按照现行江苏省建设厅、连云港市建设局颁发的相关文件规定执行。</w:t>
      </w:r>
    </w:p>
    <w:p w14:paraId="6EA9AE9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exact"/>
        <w:ind w:right="0" w:firstLine="480"/>
        <w:jc w:val="both"/>
        <w:textAlignment w:val="auto"/>
        <w:outlineLvl w:val="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.5</w:t>
      </w:r>
      <w:r>
        <w:rPr>
          <w:rFonts w:hint="eastAsia" w:ascii="宋体" w:hAnsi="宋体" w:eastAsia="宋体" w:cs="宋体"/>
          <w:b/>
          <w:bCs/>
          <w:color w:val="auto"/>
          <w:sz w:val="24"/>
          <w:highlight w:val="none"/>
          <w:lang w:bidi="ar"/>
        </w:rPr>
        <w:t>参与第二次报价的供应商未报价，按照无效响应处理。</w:t>
      </w:r>
      <w:r>
        <w:rPr>
          <w:rFonts w:hint="eastAsia" w:ascii="宋体" w:hAnsi="宋体" w:eastAsia="宋体" w:cs="宋体"/>
          <w:b/>
          <w:bCs/>
          <w:color w:val="auto"/>
          <w:sz w:val="24"/>
          <w:highlight w:val="none"/>
        </w:rPr>
        <w:t>经磋商后，如果最后报价高于或低于</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在响应文件首次报价的，分项报价同比例调整。最低报价不能作为成交的保证。</w:t>
      </w:r>
    </w:p>
    <w:p w14:paraId="061752A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exact"/>
        <w:ind w:right="0" w:firstLine="480"/>
        <w:jc w:val="both"/>
        <w:textAlignment w:val="auto"/>
        <w:outlineLvl w:val="9"/>
        <w:rPr>
          <w:rFonts w:hint="eastAsia" w:ascii="宋体" w:hAnsi="宋体" w:eastAsia="宋体" w:cs="宋体"/>
          <w:b/>
          <w:bCs/>
          <w:color w:val="auto"/>
          <w:sz w:val="24"/>
          <w:highlight w:val="none"/>
          <w:lang w:eastAsia="zh-CN"/>
        </w:rPr>
      </w:pPr>
      <w:r>
        <w:rPr>
          <w:rFonts w:hint="eastAsia" w:ascii="宋体" w:hAnsi="宋体" w:eastAsia="宋体" w:cs="宋体"/>
          <w:b/>
          <w:color w:val="auto"/>
          <w:sz w:val="24"/>
          <w:szCs w:val="24"/>
          <w:highlight w:val="none"/>
          <w:lang w:val="en-US" w:eastAsia="en-US" w:bidi="ar-SA"/>
        </w:rPr>
        <w:t>注：各供应商请关注开标大厅交流区，在开标结束后，请勿离开开标大厅，待采购人或采购代理机构通知最后报价填报后，所有的响应供应商须在</w:t>
      </w:r>
      <w:r>
        <w:rPr>
          <w:rFonts w:hint="eastAsia" w:ascii="宋体" w:hAnsi="宋体" w:eastAsia="宋体" w:cs="宋体"/>
          <w:b/>
          <w:color w:val="auto"/>
          <w:sz w:val="24"/>
          <w:szCs w:val="24"/>
          <w:highlight w:val="none"/>
          <w:u w:val="single"/>
          <w:lang w:val="en-US" w:eastAsia="en-US" w:bidi="ar-SA"/>
        </w:rPr>
        <w:t>20分钟</w:t>
      </w:r>
      <w:r>
        <w:rPr>
          <w:rFonts w:hint="eastAsia" w:ascii="宋体" w:hAnsi="宋体" w:eastAsia="宋体" w:cs="宋体"/>
          <w:b/>
          <w:color w:val="auto"/>
          <w:sz w:val="24"/>
          <w:szCs w:val="24"/>
          <w:highlight w:val="none"/>
          <w:lang w:val="en-US" w:eastAsia="en-US" w:bidi="ar-SA"/>
        </w:rPr>
        <w:t>内填写并提交最后报价，未在规定时间内提交最后报价的，视作无效响应处理。</w:t>
      </w:r>
    </w:p>
    <w:p w14:paraId="0A68F945">
      <w:pPr>
        <w:keepNext w:val="0"/>
        <w:keepLines w:val="0"/>
        <w:pageBreakBefore w:val="0"/>
        <w:widowControl w:val="0"/>
        <w:shd w:val="clear" w:color="auto" w:fill="auto"/>
        <w:tabs>
          <w:tab w:val="left" w:pos="900"/>
        </w:tabs>
        <w:kinsoku/>
        <w:wordWrap/>
        <w:overflowPunct/>
        <w:topLinePunct w:val="0"/>
        <w:autoSpaceDE/>
        <w:autoSpaceDN/>
        <w:bidi w:val="0"/>
        <w:adjustRightInd/>
        <w:snapToGrid/>
        <w:spacing w:line="480" w:lineRule="exact"/>
        <w:ind w:left="0" w:firstLine="0"/>
        <w:jc w:val="left"/>
        <w:textAlignment w:val="auto"/>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15、报价货币</w:t>
      </w:r>
    </w:p>
    <w:p w14:paraId="541BDCF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15</w:t>
      </w:r>
      <w:r>
        <w:rPr>
          <w:rFonts w:hint="eastAsia" w:ascii="宋体" w:hAnsi="宋体" w:eastAsia="宋体" w:cs="宋体"/>
          <w:b w:val="0"/>
          <w:bCs w:val="0"/>
          <w:color w:val="auto"/>
          <w:highlight w:val="none"/>
          <w:lang w:eastAsia="zh-CN"/>
        </w:rPr>
        <w:t>.1磋商应以人民币报价。</w:t>
      </w:r>
    </w:p>
    <w:p w14:paraId="37ECCF1F">
      <w:pPr>
        <w:keepNext w:val="0"/>
        <w:keepLines w:val="0"/>
        <w:pageBreakBefore w:val="0"/>
        <w:widowControl w:val="0"/>
        <w:shd w:val="clear" w:color="auto" w:fill="auto"/>
        <w:tabs>
          <w:tab w:val="left" w:pos="900"/>
        </w:tabs>
        <w:kinsoku/>
        <w:wordWrap/>
        <w:overflowPunct/>
        <w:topLinePunct w:val="0"/>
        <w:autoSpaceDE/>
        <w:autoSpaceDN/>
        <w:bidi w:val="0"/>
        <w:adjustRightInd/>
        <w:snapToGrid/>
        <w:spacing w:line="480" w:lineRule="exact"/>
        <w:ind w:left="0" w:firstLine="0"/>
        <w:jc w:val="left"/>
        <w:textAlignment w:val="auto"/>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16、磋商报价的编制要求</w:t>
      </w:r>
    </w:p>
    <w:p w14:paraId="4E8CDE5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right="0" w:firstLine="480"/>
        <w:jc w:val="both"/>
        <w:textAlignment w:val="auto"/>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w:t>
      </w:r>
      <w:r>
        <w:rPr>
          <w:rFonts w:hint="eastAsia" w:ascii="宋体" w:hAnsi="宋体" w:eastAsia="宋体" w:cs="宋体"/>
          <w:b w:val="0"/>
          <w:bCs w:val="0"/>
          <w:color w:val="auto"/>
          <w:highlight w:val="none"/>
          <w:lang w:eastAsia="zh-CN"/>
        </w:rPr>
        <w:t>.1磋商供应商必须按工程量清单，用综合单价法编制磋商</w:t>
      </w:r>
      <w:r>
        <w:rPr>
          <w:rFonts w:hint="eastAsia" w:ascii="宋体" w:hAnsi="宋体" w:eastAsia="宋体" w:cs="宋体"/>
          <w:b w:val="0"/>
          <w:bCs w:val="0"/>
          <w:color w:val="auto"/>
          <w:highlight w:val="none"/>
          <w:lang w:val="en-US" w:eastAsia="zh-CN"/>
        </w:rPr>
        <w:t>报价</w:t>
      </w:r>
      <w:r>
        <w:rPr>
          <w:rFonts w:hint="eastAsia" w:ascii="宋体" w:hAnsi="宋体" w:eastAsia="宋体" w:cs="宋体"/>
          <w:b w:val="0"/>
          <w:bCs w:val="0"/>
          <w:color w:val="auto"/>
          <w:highlight w:val="none"/>
          <w:lang w:eastAsia="zh-CN"/>
        </w:rPr>
        <w:t>。工程量清单数量、暂定价、暂估价不得变更、不得优惠，否则视为重大偏差。</w:t>
      </w:r>
    </w:p>
    <w:p w14:paraId="49BA5252">
      <w:pPr>
        <w:keepNext w:val="0"/>
        <w:keepLines w:val="0"/>
        <w:pageBreakBefore w:val="0"/>
        <w:widowControl w:val="0"/>
        <w:tabs>
          <w:tab w:val="left" w:pos="900"/>
        </w:tabs>
        <w:kinsoku/>
        <w:wordWrap/>
        <w:overflowPunct/>
        <w:topLinePunct w:val="0"/>
        <w:autoSpaceDE/>
        <w:autoSpaceDN/>
        <w:bidi w:val="0"/>
        <w:adjustRightInd/>
        <w:snapToGrid/>
        <w:spacing w:line="48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16.2</w:t>
      </w:r>
      <w:r>
        <w:rPr>
          <w:rFonts w:hint="eastAsia" w:ascii="宋体" w:hAnsi="宋体" w:eastAsia="宋体" w:cs="宋体"/>
          <w:color w:val="auto"/>
          <w:sz w:val="24"/>
          <w:highlight w:val="none"/>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3AD7B589">
      <w:pPr>
        <w:pStyle w:val="259"/>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16.3暂定价材料具体内容详见工程量清单编制说明。</w:t>
      </w:r>
    </w:p>
    <w:p w14:paraId="42F0D720">
      <w:pPr>
        <w:pStyle w:val="259"/>
        <w:keepNext w:val="0"/>
        <w:keepLines w:val="0"/>
        <w:pageBreakBefore w:val="0"/>
        <w:widowControl w:val="0"/>
        <w:kinsoku/>
        <w:wordWrap/>
        <w:overflowPunct/>
        <w:topLinePunct w:val="0"/>
        <w:autoSpaceDE/>
        <w:autoSpaceDN/>
        <w:bidi w:val="0"/>
        <w:adjustRightInd/>
        <w:snapToGrid/>
        <w:spacing w:line="480" w:lineRule="exact"/>
        <w:ind w:left="0" w:firstLine="480"/>
        <w:textAlignment w:val="auto"/>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w:t>
      </w: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eastAsia="zh-CN"/>
        </w:rPr>
        <w:t>不可竞争费用应严格执行有关费用标准，不得</w:t>
      </w:r>
      <w:r>
        <w:rPr>
          <w:rFonts w:hint="eastAsia" w:ascii="宋体" w:hAnsi="宋体" w:eastAsia="宋体" w:cs="宋体"/>
          <w:b w:val="0"/>
          <w:bCs w:val="0"/>
          <w:color w:val="auto"/>
          <w:highlight w:val="none"/>
          <w:lang w:val="en-US" w:eastAsia="zh-CN"/>
        </w:rPr>
        <w:t>改变</w:t>
      </w:r>
      <w:r>
        <w:rPr>
          <w:rFonts w:hint="eastAsia" w:ascii="宋体" w:hAnsi="宋体" w:eastAsia="宋体" w:cs="宋体"/>
          <w:b w:val="0"/>
          <w:bCs w:val="0"/>
          <w:color w:val="auto"/>
          <w:highlight w:val="none"/>
          <w:lang w:eastAsia="zh-CN"/>
        </w:rPr>
        <w:t>进行磋商，否则作无效响应处理。</w:t>
      </w:r>
    </w:p>
    <w:p w14:paraId="75A0ADC7">
      <w:pPr>
        <w:pStyle w:val="259"/>
        <w:ind w:left="0" w:firstLine="48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16.5</w:t>
      </w:r>
      <w:r>
        <w:rPr>
          <w:rFonts w:hint="eastAsia" w:ascii="宋体" w:hAnsi="宋体" w:eastAsia="宋体" w:cs="宋体"/>
          <w:b w:val="0"/>
          <w:bCs w:val="0"/>
          <w:color w:val="auto"/>
          <w:highlight w:val="none"/>
          <w:lang w:eastAsia="zh-CN"/>
        </w:rPr>
        <w:t>工程中产生的垃圾均需由成交供应商自行负责清运，费用由成交供应商承担。</w:t>
      </w:r>
    </w:p>
    <w:p w14:paraId="051373AF">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16.6</w:t>
      </w:r>
      <w:r>
        <w:rPr>
          <w:rFonts w:hint="eastAsia" w:ascii="宋体" w:hAnsi="宋体" w:eastAsia="宋体" w:cs="宋体"/>
          <w:b w:val="0"/>
          <w:bCs w:val="0"/>
          <w:color w:val="auto"/>
          <w:highlight w:val="none"/>
          <w:lang w:eastAsia="zh-CN"/>
        </w:rPr>
        <w:t>采购人向供应商提供的有关施工现场的资料和数据是采购人现有的能使供应商利用的资料。采购人对供应商由此做出的推论、理解和结论概不负责。</w:t>
      </w:r>
    </w:p>
    <w:p w14:paraId="38F046A3">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16.7</w:t>
      </w:r>
      <w:r>
        <w:rPr>
          <w:rFonts w:hint="eastAsia" w:ascii="宋体" w:hAnsi="宋体" w:eastAsia="宋体" w:cs="宋体"/>
          <w:b w:val="0"/>
          <w:bCs w:val="0"/>
          <w:color w:val="auto"/>
          <w:highlight w:val="none"/>
          <w:lang w:eastAsia="zh-CN"/>
        </w:rPr>
        <w:t>因有工程变更造成的工程量清单增减，按</w:t>
      </w:r>
      <w:r>
        <w:rPr>
          <w:rFonts w:hint="eastAsia" w:ascii="宋体" w:hAnsi="宋体" w:eastAsia="宋体" w:cs="宋体"/>
          <w:b w:val="0"/>
          <w:bCs w:val="0"/>
          <w:color w:val="auto"/>
          <w:highlight w:val="none"/>
          <w:lang w:val="en-US" w:eastAsia="zh-CN"/>
        </w:rPr>
        <w:t>采购人</w:t>
      </w:r>
      <w:r>
        <w:rPr>
          <w:rFonts w:hint="eastAsia" w:ascii="宋体" w:hAnsi="宋体" w:eastAsia="宋体" w:cs="宋体"/>
          <w:b w:val="0"/>
          <w:bCs w:val="0"/>
          <w:color w:val="auto"/>
          <w:highlight w:val="none"/>
          <w:lang w:eastAsia="zh-CN"/>
        </w:rPr>
        <w:t>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供应商</w:t>
      </w:r>
      <w:r>
        <w:rPr>
          <w:rFonts w:hint="eastAsia" w:ascii="宋体" w:hAnsi="宋体" w:eastAsia="宋体" w:cs="宋体"/>
          <w:b w:val="0"/>
          <w:bCs w:val="0"/>
          <w:color w:val="auto"/>
          <w:highlight w:val="none"/>
          <w:lang w:eastAsia="zh-CN"/>
        </w:rPr>
        <w:t>报价并经监理及</w:t>
      </w:r>
      <w:r>
        <w:rPr>
          <w:rFonts w:hint="eastAsia" w:ascii="宋体" w:hAnsi="宋体" w:eastAsia="宋体" w:cs="宋体"/>
          <w:b w:val="0"/>
          <w:bCs w:val="0"/>
          <w:color w:val="auto"/>
          <w:highlight w:val="none"/>
          <w:lang w:val="en-US" w:eastAsia="zh-CN"/>
        </w:rPr>
        <w:t>采购人</w:t>
      </w:r>
      <w:r>
        <w:rPr>
          <w:rFonts w:hint="eastAsia" w:ascii="宋体" w:hAnsi="宋体" w:eastAsia="宋体" w:cs="宋体"/>
          <w:b w:val="0"/>
          <w:bCs w:val="0"/>
          <w:color w:val="auto"/>
          <w:highlight w:val="none"/>
          <w:lang w:eastAsia="zh-CN"/>
        </w:rPr>
        <w:t>审核确定。</w:t>
      </w:r>
    </w:p>
    <w:p w14:paraId="6353F52D">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16.8</w:t>
      </w:r>
      <w:r>
        <w:rPr>
          <w:rFonts w:hint="eastAsia" w:ascii="宋体" w:hAnsi="宋体" w:eastAsia="宋体" w:cs="宋体"/>
          <w:b w:val="0"/>
          <w:bCs w:val="0"/>
          <w:color w:val="auto"/>
          <w:highlight w:val="none"/>
          <w:lang w:eastAsia="zh-CN"/>
        </w:rPr>
        <w:t>供应商应当在响应文件中详细、定量地列出优惠让利的理由及所采取的技术措施。</w:t>
      </w:r>
    </w:p>
    <w:p w14:paraId="2EF556D9">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69" w:name="_Toc8755"/>
      <w:r>
        <w:rPr>
          <w:rFonts w:hint="eastAsia" w:ascii="宋体" w:hAnsi="宋体" w:eastAsia="宋体" w:cs="宋体"/>
          <w:b/>
          <w:bCs/>
          <w:color w:val="auto"/>
          <w:sz w:val="28"/>
          <w:szCs w:val="28"/>
          <w:highlight w:val="none"/>
          <w:lang w:val="en-US" w:eastAsia="zh-CN"/>
        </w:rPr>
        <w:t>五、响应文件的提交</w:t>
      </w:r>
      <w:bookmarkEnd w:id="69"/>
    </w:p>
    <w:p w14:paraId="3042D7A1">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17、电子磋商响应文件的递交</w:t>
      </w:r>
    </w:p>
    <w:p w14:paraId="60A6EE46">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17</w:t>
      </w:r>
      <w:r>
        <w:rPr>
          <w:rFonts w:hint="eastAsia" w:ascii="宋体" w:hAnsi="宋体" w:eastAsia="宋体" w:cs="宋体"/>
          <w:color w:val="auto"/>
          <w:highlight w:val="none"/>
        </w:rPr>
        <w:t>.1</w:t>
      </w:r>
      <w:r>
        <w:rPr>
          <w:rFonts w:hint="eastAsia" w:ascii="宋体" w:hAnsi="宋体" w:eastAsia="宋体" w:cs="宋体"/>
          <w:color w:val="auto"/>
          <w:sz w:val="24"/>
          <w:szCs w:val="24"/>
          <w:highlight w:val="none"/>
        </w:rPr>
        <w:t>供应商应当按照《操作手册》规定，在提交响应文件截止时间前制作并上传电子响应文件。</w:t>
      </w:r>
    </w:p>
    <w:p w14:paraId="115F7511">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18、提交响应文件截止时间</w:t>
      </w:r>
    </w:p>
    <w:p w14:paraId="009F9CC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u w:val="none"/>
        </w:rPr>
      </w:pPr>
      <w:r>
        <w:rPr>
          <w:rFonts w:hint="eastAsia" w:ascii="宋体" w:hAnsi="宋体" w:eastAsia="宋体" w:cs="宋体"/>
          <w:color w:val="auto"/>
          <w:highlight w:val="none"/>
          <w:u w:val="none"/>
          <w:lang w:val="en-US" w:eastAsia="zh-CN"/>
        </w:rPr>
        <w:t>18</w:t>
      </w:r>
      <w:r>
        <w:rPr>
          <w:rFonts w:hint="eastAsia" w:ascii="宋体" w:hAnsi="宋体" w:eastAsia="宋体" w:cs="宋体"/>
          <w:color w:val="auto"/>
          <w:highlight w:val="none"/>
          <w:u w:val="none"/>
        </w:rPr>
        <w:t>.1</w:t>
      </w:r>
      <w:r>
        <w:rPr>
          <w:rFonts w:hint="eastAsia" w:ascii="宋体" w:hAnsi="宋体" w:eastAsia="宋体" w:cs="宋体"/>
          <w:i w:val="0"/>
          <w:iCs w:val="0"/>
          <w:color w:val="auto"/>
          <w:highlight w:val="none"/>
          <w:u w:val="none"/>
        </w:rPr>
        <w:t>供应商上传电子响应文件的时间不得迟于磋商公告中规定的提交响应文件截止时间。</w:t>
      </w:r>
    </w:p>
    <w:p w14:paraId="600243E8">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供应商应充分考虑到网络环境、网络宽带等风险因素，如因供应商自身原因造成的电子响应文件上传不成功的按照本磋商文件第二章第25.5.2条规定做无效响应处理。</w:t>
      </w:r>
    </w:p>
    <w:p w14:paraId="2D88640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151CFB75">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19、响应文件的拒收</w:t>
      </w:r>
    </w:p>
    <w:p w14:paraId="3314E0C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07095EB8">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0</w:t>
      </w:r>
      <w:r>
        <w:rPr>
          <w:rFonts w:hint="eastAsia" w:ascii="宋体" w:hAnsi="宋体" w:eastAsia="宋体" w:cs="宋体"/>
          <w:b/>
          <w:bCs/>
          <w:color w:val="auto"/>
          <w:sz w:val="28"/>
          <w:szCs w:val="28"/>
          <w:highlight w:val="none"/>
        </w:rPr>
        <w:t>、响应文件的撤回和修改</w:t>
      </w:r>
    </w:p>
    <w:p w14:paraId="1501849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.1响应文件的撤回</w:t>
      </w:r>
    </w:p>
    <w:p w14:paraId="6C7413E4">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.1.1电子响应文件的撤回</w:t>
      </w:r>
    </w:p>
    <w:p w14:paraId="03884B5D">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66B51B0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.1.2供应商撤回电子响应文件，则认为其不再参与本项目磋商活动。</w:t>
      </w:r>
    </w:p>
    <w:p w14:paraId="2F1DFE3D">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.2响应文件的修改</w:t>
      </w:r>
    </w:p>
    <w:p w14:paraId="7959079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4C7DFB6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.3在提交响应文件截止时间之后，供应商不得对其电子响应文件作任何修改。</w:t>
      </w:r>
    </w:p>
    <w:p w14:paraId="5AD84668">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.4在提交响应文件截止时间至磋商文件中规定的磋商有效期满之间的这段时间内，供应商不得撤回其响应文件。</w:t>
      </w:r>
    </w:p>
    <w:p w14:paraId="5BA000B1">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70" w:name="_Toc19581"/>
      <w:r>
        <w:rPr>
          <w:rFonts w:hint="eastAsia" w:ascii="宋体" w:hAnsi="宋体" w:eastAsia="宋体" w:cs="宋体"/>
          <w:b/>
          <w:bCs/>
          <w:color w:val="auto"/>
          <w:sz w:val="28"/>
          <w:szCs w:val="28"/>
          <w:highlight w:val="none"/>
          <w:lang w:val="en-US" w:eastAsia="zh-CN"/>
        </w:rPr>
        <w:t>六、响应文件的解密与评审</w:t>
      </w:r>
      <w:bookmarkEnd w:id="70"/>
    </w:p>
    <w:p w14:paraId="34E34BFA">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、响应文件解密</w:t>
      </w:r>
    </w:p>
    <w:p w14:paraId="47D4188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.1供应商应当按照《操作手册》规定，在苏采云系统规定的时间内对磋商响应文件进行解密。</w:t>
      </w:r>
    </w:p>
    <w:p w14:paraId="054B5654">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21.2</w:t>
      </w:r>
      <w:r>
        <w:rPr>
          <w:rFonts w:hint="eastAsia" w:ascii="宋体" w:hAnsi="宋体" w:eastAsia="宋体" w:cs="宋体"/>
          <w:b/>
          <w:bCs/>
          <w:color w:val="auto"/>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电子交易</w:t>
      </w:r>
      <w:r>
        <w:rPr>
          <w:rFonts w:hint="eastAsia" w:ascii="宋体" w:hAnsi="宋体" w:eastAsia="宋体" w:cs="宋体"/>
          <w:b/>
          <w:bCs/>
          <w:color w:val="auto"/>
          <w:highlight w:val="none"/>
        </w:rPr>
        <w:t>平台发生故障，导致无法按时完成响应文件解密或开、评标工作无法进行的，可根据实际情况相应延迟解密时间或调整开、评标时间。</w:t>
      </w:r>
    </w:p>
    <w:p w14:paraId="274F32B6">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、磋商小组</w:t>
      </w:r>
    </w:p>
    <w:p w14:paraId="3CFE07A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5968F75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w:t>
      </w:r>
      <w:r>
        <w:rPr>
          <w:rFonts w:hint="eastAsia" w:ascii="宋体" w:hAnsi="宋体" w:eastAsia="宋体" w:cs="宋体"/>
          <w:color w:val="auto"/>
          <w:sz w:val="24"/>
          <w:szCs w:val="24"/>
          <w:highlight w:val="none"/>
        </w:rPr>
        <w:t>磋商小组由采购人代表和评审专家共3人以上单数组成，其中评审专家人数不得少于磋商</w:t>
      </w:r>
      <w:r>
        <w:rPr>
          <w:rFonts w:hint="eastAsia" w:ascii="宋体" w:hAnsi="宋体" w:eastAsia="宋体" w:cs="宋体"/>
          <w:color w:val="auto"/>
          <w:sz w:val="24"/>
          <w:szCs w:val="24"/>
          <w:highlight w:val="none"/>
          <w:lang w:val="en-US" w:eastAsia="zh-CN"/>
        </w:rPr>
        <w:t>小组成员总数的2/3。采购人代表不得以评审专家身份参加本部门或本单位采购项目的评审。采购代理机构人员不得参加本机构代理的采购项目的评审。</w:t>
      </w:r>
    </w:p>
    <w:p w14:paraId="77CF0CDF">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22.2.1</w:t>
      </w:r>
      <w:r>
        <w:rPr>
          <w:rFonts w:hint="eastAsia" w:ascii="宋体" w:hAnsi="宋体" w:eastAsia="宋体" w:cs="宋体"/>
          <w:color w:val="auto"/>
          <w:highlight w:val="none"/>
        </w:rPr>
        <w:t>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E71FCF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8462FDC">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23、</w:t>
      </w:r>
      <w:r>
        <w:rPr>
          <w:rFonts w:hint="eastAsia" w:ascii="宋体" w:hAnsi="宋体" w:eastAsia="宋体" w:cs="宋体"/>
          <w:b/>
          <w:bCs/>
          <w:color w:val="auto"/>
          <w:sz w:val="28"/>
          <w:szCs w:val="28"/>
          <w:highlight w:val="none"/>
        </w:rPr>
        <w:t>评审过程的保密与公正</w:t>
      </w:r>
    </w:p>
    <w:p w14:paraId="2500F82A">
      <w:pPr>
        <w:keepNext w:val="0"/>
        <w:keepLines w:val="0"/>
        <w:pageBreakBefore w:val="0"/>
        <w:widowControl w:val="0"/>
        <w:numPr>
          <w:ilvl w:val="0"/>
          <w:numId w:val="0"/>
        </w:numPr>
        <w:spacing w:beforeAutospacing="0" w:afterAutospacing="0" w:line="360" w:lineRule="auto"/>
        <w:ind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23</w:t>
      </w:r>
      <w:r>
        <w:rPr>
          <w:rFonts w:hint="eastAsia" w:ascii="宋体" w:hAnsi="宋体" w:eastAsia="宋体" w:cs="宋体"/>
          <w:color w:val="auto"/>
          <w:highlight w:val="none"/>
        </w:rPr>
        <w:t>.1磋商小组、采购人或采购代理机构、相关监督人员等与评审工作有关的人员，对评审情况以及在评审过程中获悉的国家秘密、商业秘密负有保密责任。</w:t>
      </w:r>
    </w:p>
    <w:p w14:paraId="55B5B9B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23.2</w:t>
      </w:r>
      <w:r>
        <w:rPr>
          <w:rFonts w:hint="eastAsia" w:ascii="宋体" w:hAnsi="宋体" w:eastAsia="宋体" w:cs="宋体"/>
          <w:color w:val="auto"/>
          <w:highlight w:val="none"/>
        </w:rPr>
        <w:t>在磋商评审过程中，供应商不得以任何行为影响磋商评审过程，否则其响应文件将被作为无效响应文件。</w:t>
      </w:r>
    </w:p>
    <w:p w14:paraId="4E72D84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5ECF154">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2F7AB569">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3.5在评审期间，采购人或采购代理机构将设专门人员与供应商联系。</w:t>
      </w:r>
    </w:p>
    <w:p w14:paraId="71AB961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3.6采购人或采购代理机构和评审小组不向未成交的供应商解释未成交原因，也不公布评审过程中的相关细节。</w:t>
      </w:r>
    </w:p>
    <w:p w14:paraId="7300E590">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24、评审过程中的澄清</w:t>
      </w:r>
    </w:p>
    <w:p w14:paraId="61842304">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7A69CD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6250B26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69052A9">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.3接到磋商小组澄清、说明和更正要求的供应商如未按规定做出澄清、说明和更正，其风险由供应商自行承担。</w:t>
      </w:r>
    </w:p>
    <w:p w14:paraId="369C3093">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25、对响应文件的审查</w:t>
      </w:r>
    </w:p>
    <w:p w14:paraId="3D03FE5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25.1响应文件审查分为资格审查和符合性审查。</w:t>
      </w:r>
    </w:p>
    <w:p w14:paraId="4F4BFD8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.1.1资格审查：由磋商小组依据法律法规和磋商文件的规定，对响应文件中的资格证明文件进行审查，以确定供应商是否具备参加磋商的资格。</w:t>
      </w:r>
    </w:p>
    <w:p w14:paraId="6D8958E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查询结果留存并归档。</w:t>
      </w:r>
    </w:p>
    <w:p w14:paraId="3618A29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联合体成员中任何一方存在不良信用记录的，视同联合体存在不良应用记录。</w:t>
      </w:r>
    </w:p>
    <w:p w14:paraId="013D3CB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.1.2符合性审查：依据磋商文件的规定，由磋商小组从响应文件的有效性、完整性和对磋商文件的响应程度进行审查，以确定是否对磋商文件的实质性要求作出响应。</w:t>
      </w:r>
    </w:p>
    <w:p w14:paraId="49C2B05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.1.3未通过资格审查或符合性审查的供应商，磋商小组将在苏采云系统中告知未通过资格审查或符合性审查的原因，评审结束后，磋商小组将不再告知未通过资格审查或符合性审查的原因。</w:t>
      </w:r>
    </w:p>
    <w:p w14:paraId="1FDB68C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.2在详细评审之前，磋商小组将首先审查每份响应文件是否实质性响应了磋商文件的要求。实质性响应的响应文件应该是与磋商文件要求的条款、条件和规格相符，没有重大偏离或保留。</w:t>
      </w:r>
    </w:p>
    <w:p w14:paraId="619AC29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E5FFB4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25.3</w:t>
      </w:r>
      <w:r>
        <w:rPr>
          <w:rFonts w:hint="eastAsia" w:ascii="宋体" w:hAnsi="宋体" w:eastAsia="宋体" w:cs="宋体"/>
          <w:color w:val="auto"/>
          <w:highlight w:val="none"/>
        </w:rPr>
        <w:t>磋商小组将对实质性响应的文件进行进一步审核，看其是否有计算上或累加上的算术错误，修正错误的原则如下：</w:t>
      </w:r>
    </w:p>
    <w:p w14:paraId="463D3176">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（1）响应文件中报价总表内容与响应文件中相应内容不一致的，以报价总表为准。</w:t>
      </w:r>
    </w:p>
    <w:p w14:paraId="6D48F0A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06267BD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（3）单价金额小数点或者百分比有明显错位的，以报价总表的总价为准，并修改单价。</w:t>
      </w:r>
    </w:p>
    <w:p w14:paraId="0B378D4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31F1D89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6B64F26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25.3.1</w:t>
      </w:r>
      <w:r>
        <w:rPr>
          <w:rFonts w:hint="eastAsia" w:ascii="宋体" w:hAnsi="宋体" w:eastAsia="宋体" w:cs="宋体"/>
          <w:color w:val="auto"/>
          <w:highlight w:val="none"/>
        </w:rPr>
        <w:t>磋商小组将按上述修正错误的方法调整响应文件中的报价，现场告知供应商，调整后的价格应对供应商具有约束力。如果供应商不接受修正后的价格，则其磋商活动将被拒绝。</w:t>
      </w:r>
    </w:p>
    <w:p w14:paraId="1E4F53F8">
      <w:pPr>
        <w:spacing w:line="360" w:lineRule="auto"/>
        <w:ind w:left="0"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25.4政府采购异常低价审查：</w:t>
      </w:r>
    </w:p>
    <w:p w14:paraId="3C2515B8">
      <w:pPr>
        <w:spacing w:line="360" w:lineRule="auto"/>
        <w:ind w:firstLine="482"/>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25.4.1政府采购评审中出现下列情形之一的，评审委员会应当启动异常低价投标（响应）审查程序：</w:t>
      </w:r>
    </w:p>
    <w:p w14:paraId="27693837">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1.投标（响应）报价低于全部通过符合性审查供应商投标（响应）报价平均值</w:t>
      </w:r>
      <w:r>
        <w:rPr>
          <w:rFonts w:hint="eastAsia" w:ascii="宋体" w:hAnsi="宋体" w:cs="宋体"/>
          <w:b/>
          <w:bCs w:val="0"/>
          <w:color w:val="auto"/>
          <w:sz w:val="24"/>
          <w:szCs w:val="21"/>
          <w:highlight w:val="none"/>
          <w:lang w:val="en-US" w:eastAsia="zh-CN"/>
        </w:rPr>
        <w:t>65</w:t>
      </w:r>
      <w:r>
        <w:rPr>
          <w:rFonts w:hint="eastAsia" w:ascii="宋体" w:hAnsi="宋体" w:eastAsia="宋体" w:cs="宋体"/>
          <w:b/>
          <w:bCs w:val="0"/>
          <w:color w:val="auto"/>
          <w:sz w:val="24"/>
          <w:szCs w:val="21"/>
          <w:highlight w:val="none"/>
          <w:lang w:val="en-US" w:eastAsia="zh-CN"/>
        </w:rPr>
        <w:t>%的，即投标（响应）报价&lt;全部通过符合性审查供应商投标（响应）报价平均值×</w:t>
      </w:r>
      <w:r>
        <w:rPr>
          <w:rFonts w:hint="eastAsia" w:ascii="宋体" w:hAnsi="宋体" w:cs="宋体"/>
          <w:b/>
          <w:bCs w:val="0"/>
          <w:color w:val="auto"/>
          <w:sz w:val="24"/>
          <w:szCs w:val="21"/>
          <w:highlight w:val="none"/>
          <w:lang w:val="en-US" w:eastAsia="zh-CN"/>
        </w:rPr>
        <w:t>65</w:t>
      </w:r>
      <w:r>
        <w:rPr>
          <w:rFonts w:hint="eastAsia" w:ascii="宋体" w:hAnsi="宋体" w:eastAsia="宋体" w:cs="宋体"/>
          <w:b/>
          <w:bCs w:val="0"/>
          <w:color w:val="auto"/>
          <w:sz w:val="24"/>
          <w:szCs w:val="21"/>
          <w:highlight w:val="none"/>
          <w:lang w:val="en-US" w:eastAsia="zh-CN"/>
        </w:rPr>
        <w:t>%；</w:t>
      </w:r>
    </w:p>
    <w:p w14:paraId="0107770E">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2.投标（响应）报价低于通过符合性审查的次低报价供应商投标（响应）报价</w:t>
      </w:r>
      <w:r>
        <w:rPr>
          <w:rFonts w:hint="eastAsia" w:ascii="宋体" w:hAnsi="宋体" w:cs="宋体"/>
          <w:b/>
          <w:bCs w:val="0"/>
          <w:color w:val="auto"/>
          <w:sz w:val="24"/>
          <w:szCs w:val="21"/>
          <w:highlight w:val="none"/>
          <w:lang w:val="en-US" w:eastAsia="zh-CN"/>
        </w:rPr>
        <w:t>65</w:t>
      </w:r>
      <w:r>
        <w:rPr>
          <w:rFonts w:hint="eastAsia" w:ascii="宋体" w:hAnsi="宋体" w:eastAsia="宋体" w:cs="宋体"/>
          <w:b/>
          <w:bCs w:val="0"/>
          <w:color w:val="auto"/>
          <w:sz w:val="24"/>
          <w:szCs w:val="21"/>
          <w:highlight w:val="none"/>
          <w:lang w:val="en-US" w:eastAsia="zh-CN"/>
        </w:rPr>
        <w:t>%的，即投标（响应）报价&lt;通过符合性审查的次低报价供应商投标（响应）报价×</w:t>
      </w:r>
      <w:r>
        <w:rPr>
          <w:rFonts w:hint="eastAsia" w:ascii="宋体" w:hAnsi="宋体" w:cs="宋体"/>
          <w:b/>
          <w:bCs w:val="0"/>
          <w:color w:val="auto"/>
          <w:sz w:val="24"/>
          <w:szCs w:val="21"/>
          <w:highlight w:val="none"/>
          <w:lang w:val="en-US" w:eastAsia="zh-CN"/>
        </w:rPr>
        <w:t>65</w:t>
      </w:r>
      <w:r>
        <w:rPr>
          <w:rFonts w:hint="eastAsia" w:ascii="宋体" w:hAnsi="宋体" w:eastAsia="宋体" w:cs="宋体"/>
          <w:b/>
          <w:bCs w:val="0"/>
          <w:color w:val="auto"/>
          <w:sz w:val="24"/>
          <w:szCs w:val="21"/>
          <w:highlight w:val="none"/>
          <w:lang w:val="en-US" w:eastAsia="zh-CN"/>
        </w:rPr>
        <w:t>%；</w:t>
      </w:r>
    </w:p>
    <w:p w14:paraId="59DACEEE">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3.投标（响应）报价低于采购项目最高限价</w:t>
      </w:r>
      <w:r>
        <w:rPr>
          <w:rFonts w:hint="eastAsia" w:ascii="宋体" w:hAnsi="宋体" w:cs="宋体"/>
          <w:b/>
          <w:bCs w:val="0"/>
          <w:color w:val="auto"/>
          <w:sz w:val="24"/>
          <w:szCs w:val="21"/>
          <w:highlight w:val="none"/>
          <w:lang w:val="en-US" w:eastAsia="zh-CN"/>
        </w:rPr>
        <w:t>65</w:t>
      </w:r>
      <w:r>
        <w:rPr>
          <w:rFonts w:hint="eastAsia" w:ascii="宋体" w:hAnsi="宋体" w:eastAsia="宋体" w:cs="宋体"/>
          <w:b/>
          <w:bCs w:val="0"/>
          <w:color w:val="auto"/>
          <w:sz w:val="24"/>
          <w:szCs w:val="21"/>
          <w:highlight w:val="none"/>
          <w:lang w:val="en-US" w:eastAsia="zh-CN"/>
        </w:rPr>
        <w:t>%的，即投标（响应）报价&lt;采购项目最高限价×</w:t>
      </w:r>
      <w:r>
        <w:rPr>
          <w:rFonts w:hint="eastAsia" w:ascii="宋体" w:hAnsi="宋体" w:cs="宋体"/>
          <w:b/>
          <w:bCs w:val="0"/>
          <w:color w:val="auto"/>
          <w:sz w:val="24"/>
          <w:szCs w:val="21"/>
          <w:highlight w:val="none"/>
          <w:lang w:val="en-US" w:eastAsia="zh-CN"/>
        </w:rPr>
        <w:t>65</w:t>
      </w:r>
      <w:r>
        <w:rPr>
          <w:rFonts w:hint="eastAsia" w:ascii="宋体" w:hAnsi="宋体" w:eastAsia="宋体" w:cs="宋体"/>
          <w:b/>
          <w:bCs w:val="0"/>
          <w:color w:val="auto"/>
          <w:sz w:val="24"/>
          <w:szCs w:val="21"/>
          <w:highlight w:val="none"/>
          <w:lang w:val="en-US" w:eastAsia="zh-CN"/>
        </w:rPr>
        <w:t>%；</w:t>
      </w:r>
    </w:p>
    <w:p w14:paraId="37D53DB8">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4.评审委员会基于专业判断，认为供应商报价过低，有可能影响产品质量或者不能诚信履约的其他情形。</w:t>
      </w:r>
    </w:p>
    <w:p w14:paraId="603BF49A">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相关法律法规对供应商报价有规定的，从其规定。</w:t>
      </w:r>
    </w:p>
    <w:p w14:paraId="6B639825">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519718">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77D55C">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DCAE311">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25.5未实质性响应磋商文件的情形</w:t>
      </w:r>
    </w:p>
    <w:p w14:paraId="2A757538">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.1供应商在苏采云系统规定的时间内未成功解密电子响应文件的。</w:t>
      </w:r>
    </w:p>
    <w:p w14:paraId="2E52C114">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25.5.2</w:t>
      </w:r>
      <w:r>
        <w:rPr>
          <w:rFonts w:hint="eastAsia" w:ascii="宋体" w:hAnsi="宋体" w:eastAsia="宋体" w:cs="宋体"/>
          <w:b/>
          <w:bCs/>
          <w:color w:val="auto"/>
          <w:sz w:val="24"/>
          <w:szCs w:val="24"/>
          <w:highlight w:val="none"/>
        </w:rPr>
        <w:t>供应商未按照磋商文件要求上传电子响应文件的。</w:t>
      </w:r>
    </w:p>
    <w:p w14:paraId="4F2CAF6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.3同一供应商提交两个（含两个）以上不同的响应文件或者最后报价的。</w:t>
      </w:r>
    </w:p>
    <w:p w14:paraId="0D4B096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24.5.4</w:t>
      </w:r>
      <w:r>
        <w:rPr>
          <w:rFonts w:hint="eastAsia" w:ascii="宋体" w:hAnsi="宋体" w:eastAsia="宋体" w:cs="宋体"/>
          <w:b/>
          <w:bCs/>
          <w:color w:val="auto"/>
          <w:sz w:val="24"/>
          <w:szCs w:val="24"/>
          <w:highlight w:val="none"/>
        </w:rPr>
        <w:t>供应商未按照要求对磋商或者最后报价作出响应的。</w:t>
      </w:r>
    </w:p>
    <w:p w14:paraId="4FD465CD">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25.5.5</w:t>
      </w:r>
      <w:r>
        <w:rPr>
          <w:rFonts w:hint="eastAsia" w:ascii="宋体" w:hAnsi="宋体" w:eastAsia="宋体" w:cs="宋体"/>
          <w:b/>
          <w:bCs w:val="0"/>
          <w:color w:val="auto"/>
          <w:sz w:val="24"/>
          <w:szCs w:val="21"/>
          <w:highlight w:val="none"/>
          <w:lang w:val="en-US" w:eastAsia="zh-CN"/>
        </w:rPr>
        <w:t>本项目遵照执行</w:t>
      </w:r>
      <w:r>
        <w:rPr>
          <w:rFonts w:hint="eastAsia" w:ascii="宋体" w:hAnsi="宋体" w:eastAsia="宋体" w:cs="宋体"/>
          <w:b/>
          <w:bCs w:val="0"/>
          <w:color w:val="auto"/>
          <w:sz w:val="24"/>
          <w:szCs w:val="21"/>
          <w:highlight w:val="none"/>
          <w:lang w:eastAsia="zh-CN"/>
        </w:rPr>
        <w:t>《</w:t>
      </w:r>
      <w:r>
        <w:rPr>
          <w:rFonts w:hint="eastAsia" w:ascii="宋体" w:hAnsi="宋体" w:eastAsia="宋体" w:cs="宋体"/>
          <w:b/>
          <w:bCs w:val="0"/>
          <w:color w:val="auto"/>
          <w:sz w:val="24"/>
          <w:szCs w:val="21"/>
          <w:highlight w:val="none"/>
        </w:rPr>
        <w:t>关于推动解决政府采购异常低价问题的通知</w:t>
      </w:r>
      <w:r>
        <w:rPr>
          <w:rFonts w:hint="eastAsia" w:ascii="宋体" w:hAnsi="宋体" w:eastAsia="宋体" w:cs="宋体"/>
          <w:b/>
          <w:bCs w:val="0"/>
          <w:color w:val="auto"/>
          <w:sz w:val="24"/>
          <w:szCs w:val="21"/>
          <w:highlight w:val="none"/>
          <w:lang w:eastAsia="zh-CN"/>
        </w:rPr>
        <w:t>》（连财购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〔2026〕</w:t>
      </w:r>
      <w:r>
        <w:rPr>
          <w:rFonts w:hint="eastAsia" w:ascii="宋体" w:hAnsi="宋体" w:eastAsia="宋体" w:cs="宋体"/>
          <w:b/>
          <w:bCs w:val="0"/>
          <w:color w:val="auto"/>
          <w:sz w:val="24"/>
          <w:szCs w:val="21"/>
          <w:highlight w:val="none"/>
          <w:lang w:val="en-US" w:eastAsia="zh-CN"/>
        </w:rPr>
        <w:t>7</w:t>
      </w:r>
      <w:r>
        <w:rPr>
          <w:rFonts w:hint="eastAsia" w:ascii="宋体" w:hAnsi="宋体" w:eastAsia="宋体" w:cs="宋体"/>
          <w:b/>
          <w:bCs w:val="0"/>
          <w:color w:val="auto"/>
          <w:sz w:val="24"/>
          <w:szCs w:val="21"/>
          <w:highlight w:val="none"/>
          <w:lang w:eastAsia="zh-CN"/>
        </w:rPr>
        <w:t>号）</w:t>
      </w:r>
      <w:r>
        <w:rPr>
          <w:rFonts w:hint="eastAsia" w:ascii="宋体" w:hAnsi="宋体" w:eastAsia="宋体" w:cs="宋体"/>
          <w:b/>
          <w:bCs w:val="0"/>
          <w:color w:val="auto"/>
          <w:sz w:val="24"/>
          <w:szCs w:val="21"/>
          <w:highlight w:val="none"/>
          <w:lang w:val="en-US" w:eastAsia="zh-CN"/>
        </w:rPr>
        <w:t>文件；</w:t>
      </w:r>
      <w:r>
        <w:rPr>
          <w:rFonts w:hint="eastAsia" w:ascii="宋体" w:hAnsi="宋体" w:eastAsia="宋体" w:cs="宋体"/>
          <w:b/>
          <w:bCs w:val="0"/>
          <w:color w:val="auto"/>
          <w:sz w:val="24"/>
          <w:szCs w:val="21"/>
          <w:highlight w:val="none"/>
        </w:rPr>
        <w:t>评审委员会启动异常低价投标（响应）审查程序</w:t>
      </w:r>
      <w:r>
        <w:rPr>
          <w:rFonts w:hint="eastAsia" w:ascii="宋体" w:hAnsi="宋体" w:eastAsia="宋体" w:cs="宋体"/>
          <w:b/>
          <w:bCs w:val="0"/>
          <w:color w:val="auto"/>
          <w:sz w:val="24"/>
          <w:szCs w:val="21"/>
          <w:highlight w:val="none"/>
          <w:lang w:val="en-US" w:eastAsia="zh-CN"/>
        </w:rPr>
        <w:t>后，投标（响应）供应商在评审现场合理的时间内，不能提供书面说明、证明材料，或者提供的书面说明、证明材料不能证明其报价合理性的，评审委员会应当将其作为无效投标（响应）处理。</w:t>
      </w:r>
    </w:p>
    <w:p w14:paraId="44B964C7">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25.5.6</w:t>
      </w:r>
      <w:r>
        <w:rPr>
          <w:rFonts w:hint="eastAsia" w:ascii="宋体" w:hAnsi="宋体" w:eastAsia="宋体" w:cs="宋体"/>
          <w:b/>
          <w:bCs/>
          <w:color w:val="auto"/>
          <w:sz w:val="24"/>
          <w:szCs w:val="24"/>
          <w:highlight w:val="none"/>
        </w:rPr>
        <w:t>供应商不具备磋商文件中规定资格要求的。</w:t>
      </w:r>
    </w:p>
    <w:p w14:paraId="1DD41097">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25.5.7</w:t>
      </w:r>
      <w:r>
        <w:rPr>
          <w:rFonts w:hint="eastAsia" w:ascii="宋体" w:hAnsi="宋体" w:eastAsia="宋体" w:cs="宋体"/>
          <w:b/>
          <w:bCs/>
          <w:color w:val="auto"/>
          <w:sz w:val="24"/>
          <w:szCs w:val="24"/>
          <w:highlight w:val="none"/>
        </w:rPr>
        <w:t>供应商未通过符合性审查的</w:t>
      </w:r>
    </w:p>
    <w:p w14:paraId="23C1D642">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25.5.8</w:t>
      </w:r>
      <w:r>
        <w:rPr>
          <w:rFonts w:hint="eastAsia" w:ascii="宋体" w:hAnsi="宋体" w:eastAsia="宋体" w:cs="宋体"/>
          <w:b/>
          <w:bCs/>
          <w:color w:val="auto"/>
          <w:sz w:val="24"/>
          <w:szCs w:val="24"/>
          <w:highlight w:val="none"/>
        </w:rPr>
        <w:t>供应商的最后报价超过了采购预算</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最高限价</w:t>
      </w:r>
    </w:p>
    <w:p w14:paraId="50D6AF89">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25.5.9</w:t>
      </w:r>
      <w:r>
        <w:rPr>
          <w:rFonts w:hint="eastAsia" w:ascii="宋体" w:hAnsi="宋体" w:eastAsia="宋体" w:cs="宋体"/>
          <w:b/>
          <w:bCs/>
          <w:color w:val="auto"/>
          <w:sz w:val="24"/>
          <w:szCs w:val="24"/>
          <w:highlight w:val="none"/>
        </w:rPr>
        <w:t>不符合磋商文件中规定的实质性要求和条件的</w:t>
      </w:r>
      <w:r>
        <w:rPr>
          <w:rFonts w:hint="eastAsia" w:ascii="宋体" w:hAnsi="宋体" w:eastAsia="宋体" w:cs="宋体"/>
          <w:b/>
          <w:bCs/>
          <w:i w:val="0"/>
          <w:iCs w:val="0"/>
          <w:color w:val="auto"/>
          <w:sz w:val="24"/>
          <w:szCs w:val="24"/>
          <w:highlight w:val="none"/>
          <w:u w:val="none"/>
        </w:rPr>
        <w:t>（</w:t>
      </w:r>
      <w:r>
        <w:rPr>
          <w:rFonts w:hint="eastAsia" w:ascii="宋体" w:hAnsi="宋体" w:cs="宋体"/>
          <w:i w:val="0"/>
          <w:iCs w:val="0"/>
          <w:color w:val="auto"/>
          <w:sz w:val="24"/>
          <w:highlight w:val="none"/>
          <w:u w:val="none"/>
        </w:rPr>
        <w:t>本</w:t>
      </w:r>
      <w:r>
        <w:rPr>
          <w:rFonts w:hint="eastAsia" w:ascii="宋体" w:hAnsi="宋体" w:cs="宋体"/>
          <w:color w:val="auto"/>
          <w:sz w:val="24"/>
          <w:highlight w:val="none"/>
        </w:rPr>
        <w:t>项目竞争性磋商文件中标注★的款项为实质性响应要求和条件</w:t>
      </w:r>
      <w:r>
        <w:rPr>
          <w:rFonts w:hint="eastAsia" w:ascii="宋体" w:hAnsi="宋体" w:eastAsia="宋体" w:cs="宋体"/>
          <w:b/>
          <w:bCs/>
          <w:i w:val="0"/>
          <w:iCs w:val="0"/>
          <w:color w:val="auto"/>
          <w:sz w:val="24"/>
          <w:szCs w:val="24"/>
          <w:highlight w:val="none"/>
          <w:u w:val="none"/>
        </w:rPr>
        <w:t>）。</w:t>
      </w:r>
    </w:p>
    <w:p w14:paraId="3661322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25.5.10</w:t>
      </w:r>
      <w:r>
        <w:rPr>
          <w:rFonts w:hint="eastAsia" w:ascii="宋体" w:hAnsi="宋体" w:eastAsia="宋体" w:cs="宋体"/>
          <w:b/>
          <w:bCs/>
          <w:color w:val="auto"/>
          <w:sz w:val="24"/>
          <w:szCs w:val="24"/>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F7F1E2A">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i/>
          <w:iCs/>
          <w:color w:val="auto"/>
          <w:sz w:val="24"/>
          <w:szCs w:val="24"/>
          <w:highlight w:val="none"/>
          <w:u w:val="single"/>
          <w:lang w:val="en-US"/>
        </w:rPr>
      </w:pPr>
      <w:r>
        <w:rPr>
          <w:rFonts w:hint="eastAsia" w:ascii="宋体" w:hAnsi="宋体" w:eastAsia="宋体" w:cs="宋体"/>
          <w:b/>
          <w:bCs/>
          <w:color w:val="auto"/>
          <w:sz w:val="24"/>
          <w:szCs w:val="24"/>
          <w:highlight w:val="none"/>
          <w:lang w:val="en-US" w:eastAsia="zh-CN"/>
        </w:rPr>
        <w:t>25.5.11</w:t>
      </w:r>
      <w:r>
        <w:rPr>
          <w:rFonts w:hint="eastAsia" w:ascii="宋体" w:hAnsi="宋体" w:eastAsia="宋体" w:cs="宋体"/>
          <w:b/>
          <w:bCs/>
          <w:color w:val="auto"/>
          <w:sz w:val="24"/>
          <w:szCs w:val="24"/>
          <w:highlight w:val="none"/>
        </w:rPr>
        <w:t>响应文件含有采购人不能接受的附加条件的。</w:t>
      </w:r>
    </w:p>
    <w:p w14:paraId="257F5DCA">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25.5.12本</w:t>
      </w:r>
      <w:r>
        <w:rPr>
          <w:rFonts w:hint="eastAsia" w:ascii="宋体" w:hAnsi="宋体" w:eastAsia="宋体" w:cs="宋体"/>
          <w:b/>
          <w:bCs/>
          <w:color w:val="auto"/>
          <w:sz w:val="24"/>
          <w:szCs w:val="24"/>
          <w:highlight w:val="none"/>
        </w:rPr>
        <w:t>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D7A27A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响应文件未按照磋商文件要求加盖CA电子公章的。</w:t>
      </w:r>
    </w:p>
    <w:p w14:paraId="096F6349">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25.5.14不同的供应商响应文件MAC地址、标书制作工具客户端标识码一致的。</w:t>
      </w:r>
    </w:p>
    <w:p w14:paraId="7A9433D1">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25.5.15响应文件中已标价工程量清单与磋商文件规定的暂估价、暂列金额及甲供材料价格不一致的。</w:t>
      </w:r>
    </w:p>
    <w:p w14:paraId="671F85C0">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25.5.16响应文件中已标价工程量清单与磋商文件明确列出的不可竞争费用项目或费率或计算基础不一致的。</w:t>
      </w:r>
    </w:p>
    <w:p w14:paraId="33149A3E">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25.5.17响应文件的已标价工程量清单与磋商文件提供的工程量清单中的项目编码、项目名称、项目特征、计量单位、工程量不一致的。</w:t>
      </w:r>
    </w:p>
    <w:p w14:paraId="47282D52">
      <w:pPr>
        <w:keepNext w:val="0"/>
        <w:keepLines w:val="0"/>
        <w:pageBreakBefore w:val="0"/>
        <w:widowControl w:val="0"/>
        <w:spacing w:beforeAutospacing="0" w:afterAutospacing="0" w:line="360" w:lineRule="auto"/>
        <w:ind w:left="0" w:right="0" w:firstLine="482"/>
        <w:jc w:val="left"/>
        <w:outlineLvl w:val="9"/>
        <w:rPr>
          <w:rFonts w:hint="eastAsia"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25.5.18不符合其他法律、法规规定的情形及本磋商文件规定的属无效响应的情形。</w:t>
      </w:r>
    </w:p>
    <w:p w14:paraId="258DE9F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未实质性响应磋商文件的响应文件按无效响应处理。</w:t>
      </w:r>
    </w:p>
    <w:p w14:paraId="296DA03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如果响应文件实质上没有响应磋商文件的要求，磋商小组将予以拒绝，供应商不得通过修改或撤销不合要求的偏离或保留而使其成为实质性响应的文件。</w:t>
      </w:r>
    </w:p>
    <w:p w14:paraId="494DC63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供应商在项目评审全过程中应保持通讯畅通，并安排专人与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及磋商小组联系。</w:t>
      </w:r>
    </w:p>
    <w:p w14:paraId="41587075">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26、磋商程序及</w:t>
      </w:r>
      <w:r>
        <w:rPr>
          <w:rFonts w:hint="eastAsia" w:eastAsia="宋体" w:cs="宋体"/>
          <w:b/>
          <w:bCs/>
          <w:color w:val="auto"/>
          <w:sz w:val="28"/>
          <w:szCs w:val="28"/>
          <w:highlight w:val="none"/>
          <w:lang w:val="en-US" w:eastAsia="zh-CN"/>
        </w:rPr>
        <w:t>评审方法和评审标准</w:t>
      </w:r>
    </w:p>
    <w:p w14:paraId="79EBE9D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.1磋商程序</w:t>
      </w:r>
    </w:p>
    <w:p w14:paraId="27929F9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0E7E6A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E55B78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DF638E9">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48EAE09">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最后报价是供应商响应文件的有效组成部分。符合《政府采购竞争性磋商采购方式</w:t>
      </w:r>
      <w:r>
        <w:rPr>
          <w:rFonts w:hint="eastAsia" w:ascii="宋体" w:hAnsi="宋体" w:eastAsia="宋体" w:cs="宋体"/>
          <w:b w:val="0"/>
          <w:bCs w:val="0"/>
          <w:color w:val="auto"/>
          <w:sz w:val="24"/>
          <w:szCs w:val="24"/>
          <w:highlight w:val="none"/>
          <w:lang w:val="en-US" w:eastAsia="zh-CN"/>
        </w:rPr>
        <w:t>管</w:t>
      </w:r>
      <w:r>
        <w:rPr>
          <w:rFonts w:hint="eastAsia" w:ascii="宋体" w:hAnsi="宋体" w:eastAsia="宋体" w:cs="宋体"/>
          <w:b w:val="0"/>
          <w:bCs w:val="0"/>
          <w:color w:val="auto"/>
          <w:sz w:val="24"/>
          <w:szCs w:val="24"/>
          <w:highlight w:val="none"/>
        </w:rPr>
        <w:t>理暂行办法》第三条第一款第四项及《财政部关于竞争性磋商采购方式管理暂行办法有关问题的补充通知》（财库[2015]124号）规定情形的，提交最后报价的供应商可以为2家。</w:t>
      </w:r>
    </w:p>
    <w:p w14:paraId="2BF7A00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171FE784">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.2</w:t>
      </w:r>
      <w:r>
        <w:rPr>
          <w:rFonts w:hint="eastAsia" w:eastAsia="宋体" w:cs="宋体"/>
          <w:b/>
          <w:bCs/>
          <w:color w:val="auto"/>
          <w:sz w:val="24"/>
          <w:szCs w:val="24"/>
          <w:highlight w:val="none"/>
          <w:lang w:eastAsia="zh-CN"/>
        </w:rPr>
        <w:t>评审方法和评审标准</w:t>
      </w:r>
    </w:p>
    <w:p w14:paraId="379B68D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.2.1评审方法。经磋商确定最终采购需求和提交最后报价的供应商后，由磋商小组采用综合评分法对提交最后报价的供应商的响应文件和最后报价进行综合评分。</w:t>
      </w:r>
    </w:p>
    <w:p w14:paraId="70C0C2A8">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EB1BB23">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.2</w:t>
      </w:r>
      <w:r>
        <w:rPr>
          <w:rFonts w:hint="eastAsia"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评审标准</w:t>
      </w:r>
    </w:p>
    <w:p w14:paraId="3AE0366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w:t>
      </w:r>
      <w:r>
        <w:rPr>
          <w:rFonts w:hint="eastAsia" w:ascii="宋体" w:hAnsi="宋体" w:eastAsia="宋体" w:cs="宋体"/>
          <w:color w:val="auto"/>
          <w:sz w:val="24"/>
          <w:szCs w:val="24"/>
          <w:highlight w:val="none"/>
          <w:lang w:eastAsia="zh-CN"/>
        </w:rPr>
        <w:t>“</w:t>
      </w:r>
      <w:r>
        <w:rPr>
          <w:rFonts w:hint="eastAsia" w:eastAsia="宋体" w:cs="宋体"/>
          <w:color w:val="auto"/>
          <w:sz w:val="24"/>
          <w:szCs w:val="24"/>
          <w:highlight w:val="none"/>
          <w:lang w:eastAsia="zh-CN"/>
        </w:rPr>
        <w:t>评审方法和评审标准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规定。</w:t>
      </w:r>
    </w:p>
    <w:p w14:paraId="13703DB8">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.3采购活动终止的情况</w:t>
      </w:r>
    </w:p>
    <w:p w14:paraId="6733233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462BDFC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.3.1因情况变化，不再符合规定的竞争性磋商采购方式适用情形的。</w:t>
      </w:r>
    </w:p>
    <w:p w14:paraId="6C60C70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.3.2出现影响采购公正的违法、违规行为的。</w:t>
      </w:r>
    </w:p>
    <w:p w14:paraId="1B33053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.3.3除本磋商文件第二章第26.1.2第三款规定的情形外，在采购过程中符合要求的供应商或者最后报价未超过采购预算的供应商不足3家的。</w:t>
      </w:r>
    </w:p>
    <w:p w14:paraId="528EF89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.3.4在苏采云系统规定时间内成功解密电子响应文件的供应商不足3家的。</w:t>
      </w:r>
    </w:p>
    <w:p w14:paraId="10D95CCF">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71" w:name="_Toc120614219"/>
      <w:bookmarkStart w:id="72" w:name="_Toc1962"/>
      <w:r>
        <w:rPr>
          <w:rFonts w:hint="eastAsia" w:ascii="宋体" w:hAnsi="宋体" w:eastAsia="宋体" w:cs="宋体"/>
          <w:b/>
          <w:bCs/>
          <w:color w:val="auto"/>
          <w:sz w:val="28"/>
          <w:szCs w:val="28"/>
          <w:highlight w:val="none"/>
          <w:lang w:val="en-US" w:eastAsia="zh-CN"/>
        </w:rPr>
        <w:t>七、</w:t>
      </w:r>
      <w:bookmarkEnd w:id="71"/>
      <w:r>
        <w:rPr>
          <w:rFonts w:hint="eastAsia" w:ascii="宋体" w:hAnsi="宋体" w:eastAsia="宋体" w:cs="宋体"/>
          <w:b/>
          <w:bCs/>
          <w:color w:val="auto"/>
          <w:sz w:val="28"/>
          <w:szCs w:val="28"/>
          <w:highlight w:val="none"/>
          <w:lang w:val="en-US" w:eastAsia="zh-CN"/>
        </w:rPr>
        <w:t>成交</w:t>
      </w:r>
      <w:bookmarkEnd w:id="72"/>
    </w:p>
    <w:p w14:paraId="51AE635F">
      <w:pPr>
        <w:pStyle w:val="235"/>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、确定成交单位</w:t>
      </w:r>
    </w:p>
    <w:p w14:paraId="0531463F">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27DF7ED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5696859">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将在“江苏政府采购网”发布成交结果公告，公告期限为1个工作日。</w:t>
      </w:r>
    </w:p>
    <w:p w14:paraId="1FF373B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.3若有充分证据证明，成交供应商出现下列情况之一的，一经查实，将被取消成交资格：</w:t>
      </w:r>
    </w:p>
    <w:p w14:paraId="14DC5E09">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.3.1提供虚假材料谋取成交的。</w:t>
      </w:r>
    </w:p>
    <w:p w14:paraId="1FBEE40F">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.3.2与评审专家、采购人、其他供应商或者</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工作人员恶意串通的。</w:t>
      </w:r>
    </w:p>
    <w:p w14:paraId="122835B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.3.3向评审专家、采购人或</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工作人员行贿或者提供其他不正当利益的。</w:t>
      </w:r>
    </w:p>
    <w:p w14:paraId="5AE00A0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.3.4恶意竞争，最后报价明显低于其自身合理成本且又无法提供证明的。</w:t>
      </w:r>
    </w:p>
    <w:p w14:paraId="18DDD73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.3.5不满足本磋商文件规定的实质性要求，但在评审过程中又未被磋商小组发现的。</w:t>
      </w:r>
    </w:p>
    <w:p w14:paraId="1A65DB9D">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.3.6成交后无正当理由拒不与采购人签订政府采购合同或者未按照磋商文件确定的事项签订政府采购合同的。</w:t>
      </w:r>
    </w:p>
    <w:p w14:paraId="4C0B48F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.3.7将政府采购合同转包的。</w:t>
      </w:r>
    </w:p>
    <w:p w14:paraId="3AB66626">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73" w:name="_Toc200451960"/>
      <w:r>
        <w:rPr>
          <w:rFonts w:hint="eastAsia" w:ascii="宋体" w:hAnsi="宋体" w:eastAsia="宋体" w:cs="宋体"/>
          <w:b/>
          <w:bCs/>
          <w:color w:val="auto"/>
          <w:sz w:val="28"/>
          <w:szCs w:val="28"/>
          <w:highlight w:val="none"/>
          <w:lang w:val="en-US" w:eastAsia="zh-CN"/>
        </w:rPr>
        <w:t>28、质疑处理</w:t>
      </w:r>
      <w:bookmarkEnd w:id="73"/>
    </w:p>
    <w:p w14:paraId="35A6484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.1提出质疑的供应商应当是参与所质疑项目采购活动的供应商。潜在供应商依法获取其可质疑的采购文件的，可以对采购文件提出质疑。</w:t>
      </w:r>
    </w:p>
    <w:p w14:paraId="43B1EAF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.4条款的规定向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采购人提出质疑。上述应知其权益受到损害之日，是指：</w:t>
      </w:r>
    </w:p>
    <w:p w14:paraId="79BE1CD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.2.1对可以质疑的采购文件提出质疑的，为收到采购文件之日或者采购文件公告期限届满之日。</w:t>
      </w:r>
    </w:p>
    <w:p w14:paraId="05261878">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.2.2对采购过程提出质疑的，为各采购程序环节结束之日。</w:t>
      </w:r>
    </w:p>
    <w:p w14:paraId="06A9EA2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.2.3对成交结果提出质疑的，为成交结果公告期限届满之日。</w:t>
      </w:r>
    </w:p>
    <w:p w14:paraId="09A2D6D9">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、采购人将只对供应商第一次质疑作出答复。</w:t>
      </w:r>
    </w:p>
    <w:p w14:paraId="01BC53F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6B72AE8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.4供应商（含潜在供应商）对与本项目有关的所有询问、质疑均请向采购人</w:t>
      </w:r>
      <w:r>
        <w:rPr>
          <w:rFonts w:hint="eastAsia" w:ascii="宋体" w:hAnsi="宋体" w:eastAsia="宋体" w:cs="宋体"/>
          <w:color w:val="auto"/>
          <w:sz w:val="24"/>
          <w:szCs w:val="24"/>
          <w:highlight w:val="none"/>
          <w:lang w:val="en-US" w:eastAsia="zh-CN"/>
        </w:rPr>
        <w:t>及采购代理机构</w:t>
      </w:r>
      <w:r>
        <w:rPr>
          <w:rFonts w:hint="eastAsia" w:ascii="宋体" w:hAnsi="宋体" w:eastAsia="宋体" w:cs="宋体"/>
          <w:color w:val="auto"/>
          <w:sz w:val="24"/>
          <w:szCs w:val="24"/>
          <w:highlight w:val="none"/>
        </w:rPr>
        <w:t>提出，由采购人</w:t>
      </w:r>
      <w:r>
        <w:rPr>
          <w:rFonts w:hint="eastAsia" w:ascii="宋体" w:hAnsi="宋体" w:eastAsia="宋体" w:cs="宋体"/>
          <w:color w:val="auto"/>
          <w:sz w:val="24"/>
          <w:szCs w:val="24"/>
          <w:highlight w:val="none"/>
          <w:lang w:val="en-US" w:eastAsia="zh-CN"/>
        </w:rPr>
        <w:t>及采购代理机构</w:t>
      </w:r>
      <w:r>
        <w:rPr>
          <w:rFonts w:hint="eastAsia" w:ascii="宋体" w:hAnsi="宋体" w:eastAsia="宋体" w:cs="宋体"/>
          <w:color w:val="auto"/>
          <w:sz w:val="24"/>
          <w:szCs w:val="24"/>
          <w:highlight w:val="none"/>
        </w:rPr>
        <w:t>负责答复</w:t>
      </w:r>
      <w:r>
        <w:rPr>
          <w:rFonts w:hint="eastAsia" w:ascii="宋体" w:hAnsi="宋体" w:eastAsia="宋体" w:cs="宋体"/>
          <w:color w:val="auto"/>
          <w:sz w:val="24"/>
          <w:szCs w:val="24"/>
          <w:highlight w:val="none"/>
          <w:lang w:eastAsia="zh-CN"/>
        </w:rPr>
        <w:t>。</w:t>
      </w:r>
    </w:p>
    <w:p w14:paraId="025D962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只接收以纸质原件形式送达的质疑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建议供应商尽量通过邮寄方式提交质疑（采购人和采购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不接受未填写快递运单的快件）。</w:t>
      </w:r>
    </w:p>
    <w:p w14:paraId="38F5F9CF">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代理机构质疑接收人及联系方式见招标文件第一章。</w:t>
      </w:r>
    </w:p>
    <w:p w14:paraId="1840A8A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.5以下情形的质疑不予受理</w:t>
      </w:r>
    </w:p>
    <w:p w14:paraId="37A1A41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.5.1内容不符合《政府采购质疑和投诉办法》第十二条规定的质疑。</w:t>
      </w:r>
    </w:p>
    <w:p w14:paraId="6BD9844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.5.2超出政府采购法定期限的质疑。</w:t>
      </w:r>
    </w:p>
    <w:p w14:paraId="46D046EF">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.5.3以传真、电子邮件等方式递交的非原件形式的质疑。</w:t>
      </w:r>
    </w:p>
    <w:p w14:paraId="04685A5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.5.4未参加磋商活动的供应商或在磋商活动中自身权益未受到损害的供应商所提出的质疑。</w:t>
      </w:r>
    </w:p>
    <w:p w14:paraId="76F56E3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.5.5供应商组成联合体参加磋商，联合体中任何一方或多方未按要求签字、盖章、加盖公章的质疑。</w:t>
      </w:r>
    </w:p>
    <w:p w14:paraId="56A1FF6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51985A04">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29、成交通知书</w:t>
      </w:r>
    </w:p>
    <w:p w14:paraId="1E23C07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.1成交结果确定后，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将向成交供应商发出成交通知书。请成交供应商在成交结果公告届满之日起30日内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因未及时下载而造成的不利后果由成交供应商自行承担。</w:t>
      </w:r>
    </w:p>
    <w:p w14:paraId="4E599A7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1F3E84B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29.3成交后领取中标通知之时，成交供应商须提供给代理机构上传苏彩云系统的响应文件纸质版：正本1份，副本2份。为此产生的费用磋商供应商须考虑在报价内。</w:t>
      </w:r>
    </w:p>
    <w:p w14:paraId="68C8FA3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p>
    <w:p w14:paraId="583321EA">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74" w:name="_Toc513029236"/>
      <w:bookmarkStart w:id="75" w:name="_Toc29874"/>
      <w:bookmarkStart w:id="76" w:name="_Toc120614220"/>
      <w:bookmarkStart w:id="77" w:name="_Toc20823308"/>
      <w:bookmarkStart w:id="78" w:name="_Toc16938552"/>
      <w:r>
        <w:rPr>
          <w:rFonts w:hint="eastAsia" w:ascii="宋体" w:hAnsi="宋体" w:eastAsia="宋体" w:cs="宋体"/>
          <w:b/>
          <w:bCs/>
          <w:color w:val="auto"/>
          <w:sz w:val="28"/>
          <w:szCs w:val="28"/>
          <w:highlight w:val="none"/>
          <w:lang w:val="en-US" w:eastAsia="zh-CN"/>
        </w:rPr>
        <w:t>八、授予合同</w:t>
      </w:r>
      <w:bookmarkEnd w:id="74"/>
      <w:bookmarkEnd w:id="75"/>
      <w:bookmarkEnd w:id="76"/>
      <w:bookmarkEnd w:id="77"/>
      <w:bookmarkEnd w:id="78"/>
    </w:p>
    <w:p w14:paraId="30D6417A">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30、签订合同</w:t>
      </w:r>
    </w:p>
    <w:p w14:paraId="5A7D5B7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.l成交供应商应当在成交通知书发出之日起三十日内，按照磋商文件确定的事项与采购人签订政府采购合同。</w:t>
      </w:r>
    </w:p>
    <w:p w14:paraId="08F294F4">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.2磋商文件、成交供应商的响应文件及磋商过程中有关澄清、承诺文件均应作为合同附件。</w:t>
      </w:r>
    </w:p>
    <w:p w14:paraId="7456CB2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.3签订合同后，</w:t>
      </w:r>
      <w:r>
        <w:rPr>
          <w:rFonts w:hint="eastAsia" w:ascii="宋体" w:hAnsi="宋体" w:eastAsia="宋体" w:cs="宋体"/>
          <w:i w:val="0"/>
          <w:iCs w:val="0"/>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否则采购人有权终止合同。转包或分包造成采购人损失的，成交供应商应承担相应赔偿责任。</w:t>
      </w:r>
    </w:p>
    <w:p w14:paraId="6181515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lang w:val="en-US" w:eastAsia="zh-CN"/>
        </w:rPr>
        <w:t>31</w:t>
      </w:r>
      <w:r>
        <w:rPr>
          <w:rFonts w:hint="eastAsia" w:ascii="宋体" w:hAnsi="宋体" w:eastAsia="宋体" w:cs="宋体"/>
          <w:b/>
          <w:bCs/>
          <w:i w:val="0"/>
          <w:iCs w:val="0"/>
          <w:color w:val="auto"/>
          <w:sz w:val="28"/>
          <w:szCs w:val="28"/>
          <w:highlight w:val="none"/>
        </w:rPr>
        <w:t>、履约保证金</w:t>
      </w:r>
    </w:p>
    <w:p w14:paraId="6789EF6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0C02DD3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31.2 成交供应商违约的，采购人将按照合同约定扣除其全部或部分履约保证金。如成交供应商违约给采购人造成的损失超过履约保证金的，应当依法赔偿超过部分的损失。</w:t>
      </w:r>
    </w:p>
    <w:p w14:paraId="623833A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31.3 履约保证金自合同生效之日起至合同约定的成交供应商主要义务履行完毕止，采购人应当按合同约定及时退还履约保证金。</w:t>
      </w:r>
    </w:p>
    <w:p w14:paraId="2D93E8B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31.4 逾期退还履约保证金的采购人承担违约责任，按照中国人民银行同期贷款基准利率向成交供应商支付超期资金占用费。</w:t>
      </w:r>
    </w:p>
    <w:p w14:paraId="7B43CA6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31.5 本项目履约保证金要求详见第四章 采购需求。</w:t>
      </w:r>
    </w:p>
    <w:p w14:paraId="0F95BCFF">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32、履约验收</w:t>
      </w:r>
    </w:p>
    <w:p w14:paraId="42C8FB8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4AD7046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32.2本项目履约验收要求详见第三章合同文本。</w:t>
      </w:r>
    </w:p>
    <w:p w14:paraId="36189C6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33、标的物的追加</w:t>
      </w:r>
    </w:p>
    <w:p w14:paraId="05D91DF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.1政府采购合同履行中，采购人需追加与合同标的相同的</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货物、服务（包含与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相关的服务及与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相关的货物）的，在不改变合同其他条款的前提下，可以与成交供应商协商签订补充合同，但所有补充合同的采购金额不超过原合同金额10%。</w:t>
      </w:r>
    </w:p>
    <w:p w14:paraId="3DBA900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bookmarkStart w:id="79" w:name="_Toc513029242"/>
      <w:bookmarkStart w:id="80" w:name="_Toc479757207"/>
      <w:bookmarkStart w:id="81" w:name="_Toc120614221"/>
      <w:bookmarkStart w:id="82" w:name="_Toc20823314"/>
      <w:bookmarkStart w:id="83" w:name="_Toc16938558"/>
      <w:r>
        <w:rPr>
          <w:rFonts w:hint="eastAsia" w:ascii="宋体" w:hAnsi="宋体" w:eastAsia="宋体" w:cs="宋体"/>
          <w:b/>
          <w:bCs/>
          <w:i w:val="0"/>
          <w:iCs w:val="0"/>
          <w:color w:val="auto"/>
          <w:sz w:val="28"/>
          <w:szCs w:val="28"/>
          <w:highlight w:val="none"/>
          <w:lang w:val="en-US" w:eastAsia="zh-CN"/>
        </w:rPr>
        <w:t>34、政府采购履约资金扶持政策</w:t>
      </w:r>
      <w:bookmarkEnd w:id="79"/>
      <w:bookmarkEnd w:id="80"/>
      <w:bookmarkEnd w:id="81"/>
      <w:bookmarkEnd w:id="82"/>
      <w:bookmarkEnd w:id="83"/>
    </w:p>
    <w:p w14:paraId="13D0FD7C">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成交供应商可凭政府采购合同办理融资贷款，详情请见江苏政府采购网“政采贷”专栏。</w:t>
      </w:r>
    </w:p>
    <w:p w14:paraId="1D8BAE2C">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84" w:name="_Toc16938553"/>
      <w:bookmarkStart w:id="85" w:name="_Toc11232"/>
      <w:bookmarkStart w:id="86" w:name="_Toc513029237"/>
      <w:bookmarkStart w:id="87" w:name="_Toc20823309"/>
      <w:r>
        <w:rPr>
          <w:rFonts w:hint="eastAsia" w:ascii="宋体" w:hAnsi="宋体" w:eastAsia="宋体" w:cs="宋体"/>
          <w:b/>
          <w:bCs/>
          <w:color w:val="auto"/>
          <w:sz w:val="28"/>
          <w:szCs w:val="28"/>
          <w:highlight w:val="none"/>
          <w:lang w:val="en-US" w:eastAsia="zh-CN"/>
        </w:rPr>
        <w:t>九、政策功能</w:t>
      </w:r>
      <w:bookmarkEnd w:id="84"/>
      <w:bookmarkEnd w:id="85"/>
      <w:bookmarkEnd w:id="86"/>
      <w:bookmarkEnd w:id="87"/>
    </w:p>
    <w:p w14:paraId="7348ED3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35、支持中小企业发展</w:t>
      </w:r>
    </w:p>
    <w:p w14:paraId="59E32C8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08E0BCA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35.2</w:t>
      </w:r>
      <w:r>
        <w:rPr>
          <w:rFonts w:hint="eastAsia" w:ascii="宋体" w:hAnsi="宋体" w:eastAsia="宋体" w:cs="宋体"/>
          <w:color w:val="auto"/>
          <w:sz w:val="24"/>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在工程采购项目中，工程由中小企业承建，即工程施工单位为中小企业；</w:t>
      </w:r>
      <w:r>
        <w:rPr>
          <w:rFonts w:hint="eastAsia" w:ascii="宋体" w:hAnsi="宋体" w:eastAsia="宋体" w:cs="宋体"/>
          <w:color w:val="auto"/>
          <w:sz w:val="24"/>
          <w:highlight w:val="none"/>
        </w:rPr>
        <w:t>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71EA7429">
      <w:pPr>
        <w:pageBreakBefore w:val="0"/>
        <w:shd w:val="clear" w:color="auto" w:fill="auto"/>
        <w:spacing w:line="360" w:lineRule="auto"/>
        <w:ind w:firstLine="48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35.3</w:t>
      </w:r>
      <w:r>
        <w:rPr>
          <w:rFonts w:hint="eastAsia" w:ascii="宋体" w:hAnsi="宋体" w:eastAsia="宋体" w:cs="宋体"/>
          <w:color w:val="auto"/>
          <w:sz w:val="24"/>
          <w:highlight w:val="none"/>
        </w:rPr>
        <w:t>本项目专门面向中小企业采购，参加本项目政府采购活动的供应商应当提供的材料：</w:t>
      </w:r>
    </w:p>
    <w:p w14:paraId="57DFC0CB">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1、供应商为小型企业、微型企业的，提供《</w:t>
      </w:r>
      <w:r>
        <w:rPr>
          <w:rFonts w:hint="eastAsia" w:ascii="宋体" w:hAnsi="宋体" w:eastAsia="宋体" w:cs="宋体"/>
          <w:b w:val="0"/>
          <w:bCs w:val="0"/>
          <w:color w:val="auto"/>
          <w:sz w:val="24"/>
          <w:highlight w:val="none"/>
          <w:lang w:val="en-US" w:eastAsia="zh-CN"/>
        </w:rPr>
        <w:t>中小微企业声明函</w:t>
      </w:r>
      <w:r>
        <w:rPr>
          <w:rFonts w:hint="eastAsia" w:ascii="宋体" w:hAnsi="宋体" w:eastAsia="宋体" w:cs="宋体"/>
          <w:b w:val="0"/>
          <w:bCs w:val="0"/>
          <w:color w:val="auto"/>
          <w:sz w:val="24"/>
          <w:highlight w:val="none"/>
          <w:lang w:val="en-US"/>
        </w:rPr>
        <w:t>》（第</w:t>
      </w:r>
      <w:r>
        <w:rPr>
          <w:rFonts w:hint="eastAsia" w:ascii="宋体" w:hAnsi="宋体" w:eastAsia="宋体" w:cs="宋体"/>
          <w:b w:val="0"/>
          <w:bCs w:val="0"/>
          <w:color w:val="auto"/>
          <w:sz w:val="24"/>
          <w:highlight w:val="none"/>
          <w:lang w:val="en-US" w:eastAsia="zh-CN"/>
        </w:rPr>
        <w:t>八章响应</w:t>
      </w:r>
      <w:r>
        <w:rPr>
          <w:rFonts w:hint="eastAsia" w:ascii="宋体" w:hAnsi="宋体" w:eastAsia="宋体" w:cs="宋体"/>
          <w:b w:val="0"/>
          <w:bCs w:val="0"/>
          <w:color w:val="auto"/>
          <w:sz w:val="24"/>
          <w:highlight w:val="none"/>
          <w:lang w:val="en-US"/>
        </w:rPr>
        <w:t>文件格式）。</w:t>
      </w:r>
    </w:p>
    <w:p w14:paraId="56CA5B79">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lang w:val="en-US"/>
        </w:rPr>
        <w:t>章响应文件格式）。</w:t>
      </w:r>
    </w:p>
    <w:p w14:paraId="5DD368D8">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2AF401F8">
      <w:pPr>
        <w:pageBreakBefore w:val="0"/>
        <w:shd w:val="clear" w:color="auto" w:fill="auto"/>
        <w:spacing w:line="360" w:lineRule="auto"/>
        <w:ind w:firstLine="482"/>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w:t>
      </w:r>
    </w:p>
    <w:p w14:paraId="3B717D12">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36、绿色发展</w:t>
      </w:r>
    </w:p>
    <w:p w14:paraId="02CB846B">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52DC7F91">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1FFB2A40">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75F64F5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9"/>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37、政府采购需求标准</w:t>
      </w:r>
    </w:p>
    <w:p w14:paraId="06A4889C">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highlight w:val="none"/>
          <w:lang w:val="en-US" w:eastAsia="zh-CN"/>
        </w:rPr>
        <w:t>37</w:t>
      </w:r>
      <w:r>
        <w:rPr>
          <w:rFonts w:hint="eastAsia" w:ascii="宋体" w:hAnsi="宋体" w:eastAsia="宋体" w:cs="宋体"/>
          <w:b w:val="0"/>
          <w:bCs w:val="0"/>
          <w:color w:val="auto"/>
          <w:sz w:val="24"/>
          <w:highlight w:val="none"/>
          <w:lang w:val="en-US"/>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69F93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0"/>
        <w:jc w:val="both"/>
        <w:textAlignment w:val="auto"/>
        <w:rPr>
          <w:color w:val="auto"/>
          <w:highlight w:val="none"/>
        </w:rPr>
      </w:pPr>
      <w:r>
        <w:rPr>
          <w:rFonts w:ascii="宋体" w:hAnsi="宋体" w:eastAsia="宋体" w:cs="宋体"/>
          <w:b/>
          <w:color w:val="auto"/>
          <w:sz w:val="28"/>
          <w:highlight w:val="none"/>
        </w:rPr>
        <w:t>38、采购本国产品的支持政策</w:t>
      </w:r>
    </w:p>
    <w:p w14:paraId="5FDF7FA4">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rPr>
        <w:t>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p>
    <w:p w14:paraId="2750DD6C">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C9F76A9">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38.3 供应商需按照招标文件的要求提供《关于符合本国产品标准的声明函》（以下简称《声明函》），如不提供将不享受本国产品价格评审优惠。</w:t>
      </w:r>
    </w:p>
    <w:p w14:paraId="423A24BF">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4C46A7B">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B979CDD">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2"/>
        <w:jc w:val="left"/>
        <w:textAlignment w:val="auto"/>
        <w:rPr>
          <w:color w:val="auto"/>
          <w:highlight w:val="none"/>
        </w:rPr>
      </w:pPr>
      <w:r>
        <w:rPr>
          <w:rFonts w:hint="eastAsia" w:ascii="宋体" w:hAnsi="宋体" w:eastAsia="宋体" w:cs="宋体"/>
          <w:b w:val="0"/>
          <w:bCs w:val="0"/>
          <w:color w:val="auto"/>
          <w:sz w:val="24"/>
          <w:highlight w:val="none"/>
          <w:lang w:val="en-US"/>
        </w:rPr>
        <w:t>38.6 政府采购中的本国产品标准及其他未尽事宜详见《国务院办公厅关于在政府采购中实施本国产品标准及相关政策的通知》（国办发〔2025〕34号）</w:t>
      </w:r>
    </w:p>
    <w:p w14:paraId="758A84AA">
      <w:pPr>
        <w:pStyle w:val="2"/>
        <w:ind w:left="0"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bookmarkStart w:id="88" w:name="_Toc15795"/>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三</w:t>
      </w:r>
      <w:r>
        <w:rPr>
          <w:rFonts w:hint="eastAsia" w:ascii="宋体" w:hAnsi="宋体" w:eastAsia="宋体" w:cs="宋体"/>
          <w:b/>
          <w:bCs/>
          <w:color w:val="auto"/>
          <w:sz w:val="44"/>
          <w:szCs w:val="44"/>
          <w:highlight w:val="none"/>
        </w:rPr>
        <w:t>章政府采购合同格式</w:t>
      </w:r>
      <w:bookmarkEnd w:id="13"/>
      <w:bookmarkEnd w:id="14"/>
      <w:bookmarkEnd w:id="15"/>
      <w:bookmarkEnd w:id="16"/>
      <w:bookmarkEnd w:id="88"/>
    </w:p>
    <w:p w14:paraId="65D0E179">
      <w:pPr>
        <w:pStyle w:val="207"/>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A03F516">
      <w:pPr>
        <w:pStyle w:val="207"/>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4321C88B">
      <w:pPr>
        <w:pStyle w:val="207"/>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CF44D13">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连云港市政府采购</w:t>
      </w:r>
    </w:p>
    <w:p w14:paraId="05F42CF8">
      <w:pPr>
        <w:rPr>
          <w:rFonts w:ascii="宋体" w:hAnsi="宋体" w:eastAsia="宋体" w:cs="宋体"/>
          <w:color w:val="auto"/>
          <w:highlight w:val="none"/>
        </w:rPr>
      </w:pPr>
    </w:p>
    <w:p w14:paraId="3EC365FB">
      <w:pPr>
        <w:rPr>
          <w:rFonts w:ascii="宋体" w:hAnsi="宋体" w:eastAsia="宋体" w:cs="宋体"/>
          <w:color w:val="auto"/>
          <w:highlight w:val="none"/>
        </w:rPr>
      </w:pPr>
    </w:p>
    <w:p w14:paraId="24C13A76">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rPr>
        <w:t>合同</w:t>
      </w:r>
    </w:p>
    <w:p w14:paraId="22B14DA0">
      <w:pPr>
        <w:ind w:firstLine="480"/>
        <w:rPr>
          <w:rFonts w:ascii="宋体" w:hAnsi="宋体" w:eastAsia="宋体" w:cs="宋体"/>
          <w:color w:val="auto"/>
          <w:highlight w:val="none"/>
        </w:rPr>
      </w:pPr>
    </w:p>
    <w:p w14:paraId="2AF0E12F">
      <w:pPr>
        <w:ind w:firstLine="3070"/>
        <w:rPr>
          <w:rFonts w:ascii="宋体" w:hAnsi="宋体" w:eastAsia="宋体" w:cs="宋体"/>
          <w:b/>
          <w:bCs/>
          <w:color w:val="auto"/>
          <w:sz w:val="44"/>
          <w:szCs w:val="44"/>
          <w:highlight w:val="none"/>
        </w:rPr>
      </w:pPr>
    </w:p>
    <w:p w14:paraId="5BB60295">
      <w:pPr>
        <w:ind w:firstLine="880"/>
        <w:rPr>
          <w:rFonts w:ascii="宋体" w:hAnsi="宋体" w:eastAsia="宋体" w:cs="宋体"/>
          <w:color w:val="auto"/>
          <w:sz w:val="44"/>
          <w:szCs w:val="44"/>
          <w:highlight w:val="none"/>
        </w:rPr>
      </w:pPr>
    </w:p>
    <w:p w14:paraId="00039736">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732F2397">
      <w:pPr>
        <w:ind w:firstLine="880"/>
        <w:rPr>
          <w:rFonts w:ascii="宋体" w:hAnsi="宋体" w:eastAsia="宋体" w:cs="宋体"/>
          <w:color w:val="auto"/>
          <w:sz w:val="44"/>
          <w:highlight w:val="none"/>
        </w:rPr>
      </w:pPr>
    </w:p>
    <w:p w14:paraId="50471843">
      <w:pPr>
        <w:ind w:firstLine="880"/>
        <w:rPr>
          <w:rFonts w:ascii="宋体" w:hAnsi="宋体" w:eastAsia="宋体" w:cs="宋体"/>
          <w:color w:val="auto"/>
          <w:sz w:val="44"/>
          <w:highlight w:val="none"/>
        </w:rPr>
      </w:pPr>
    </w:p>
    <w:p w14:paraId="06BF4F2F">
      <w:pPr>
        <w:ind w:firstLine="880"/>
        <w:rPr>
          <w:rFonts w:ascii="宋体" w:hAnsi="宋体" w:eastAsia="宋体" w:cs="宋体"/>
          <w:color w:val="auto"/>
          <w:sz w:val="44"/>
          <w:highlight w:val="none"/>
        </w:rPr>
      </w:pPr>
    </w:p>
    <w:p w14:paraId="062AE992">
      <w:pPr>
        <w:ind w:firstLine="480"/>
        <w:rPr>
          <w:rFonts w:ascii="宋体" w:hAnsi="宋体" w:eastAsia="宋体" w:cs="宋体"/>
          <w:color w:val="auto"/>
          <w:highlight w:val="none"/>
        </w:rPr>
      </w:pPr>
    </w:p>
    <w:p w14:paraId="17F3FACC">
      <w:pPr>
        <w:spacing w:line="360" w:lineRule="auto"/>
        <w:jc w:val="center"/>
        <w:outlineLvl w:val="9"/>
        <w:rPr>
          <w:rFonts w:eastAsia="华文中宋"/>
          <w:b/>
          <w:bCs/>
          <w:color w:val="auto"/>
          <w:highlight w:val="none"/>
        </w:rPr>
      </w:pPr>
      <w:r>
        <w:rPr>
          <w:rFonts w:hint="eastAsia" w:ascii="宋体" w:hAnsi="宋体" w:eastAsia="宋体" w:cs="宋体"/>
          <w:color w:val="auto"/>
          <w:highlight w:val="none"/>
        </w:rPr>
        <w:br w:type="page" w:clear="all"/>
      </w:r>
      <w:bookmarkStart w:id="89" w:name="_Toc498006744"/>
      <w:bookmarkStart w:id="90" w:name="_Toc153678433"/>
      <w:bookmarkStart w:id="91" w:name="_Toc224532088"/>
      <w:bookmarkStart w:id="92" w:name="_Toc142708870"/>
      <w:bookmarkStart w:id="93" w:name="_Toc18837"/>
      <w:bookmarkStart w:id="94" w:name="_Toc515874991"/>
      <w:bookmarkStart w:id="95" w:name="OLE_LINK6"/>
      <w:r>
        <w:rPr>
          <w:rFonts w:hint="eastAsia" w:ascii="宋体" w:hAnsi="宋体" w:eastAsia="宋体"/>
          <w:b/>
          <w:bCs/>
          <w:color w:val="auto"/>
          <w:highlight w:val="none"/>
        </w:rPr>
        <w:t>第一部分合同协议书</w:t>
      </w:r>
      <w:bookmarkEnd w:id="89"/>
    </w:p>
    <w:p w14:paraId="6B0E2341">
      <w:pPr>
        <w:ind w:firstLine="0"/>
        <w:rPr>
          <w:rFonts w:ascii="宋体" w:hAnsi="宋体" w:eastAsia="宋体"/>
          <w:b/>
          <w:color w:val="auto"/>
          <w:szCs w:val="30"/>
          <w:highlight w:val="none"/>
          <w:u w:val="single"/>
          <w:lang w:val="en-US" w:eastAsia="zh-CN"/>
        </w:rPr>
      </w:pPr>
      <w:r>
        <w:rPr>
          <w:rFonts w:hint="eastAsia" w:ascii="宋体" w:hAnsi="宋体"/>
          <w:b/>
          <w:color w:val="auto"/>
          <w:szCs w:val="30"/>
          <w:highlight w:val="none"/>
        </w:rPr>
        <w:t>发包人（全称）：</w:t>
      </w:r>
    </w:p>
    <w:p w14:paraId="6C4B18D6">
      <w:pPr>
        <w:ind w:firstLine="0"/>
        <w:rPr>
          <w:rFonts w:ascii="宋体" w:hAnsi="宋体" w:eastAsia="宋体"/>
          <w:color w:val="auto"/>
          <w:szCs w:val="30"/>
          <w:highlight w:val="none"/>
          <w:u w:val="single"/>
          <w:lang w:val="en-US" w:eastAsia="zh-CN"/>
        </w:rPr>
      </w:pPr>
      <w:r>
        <w:rPr>
          <w:rFonts w:hint="eastAsia" w:ascii="宋体" w:hAnsi="宋体"/>
          <w:b/>
          <w:color w:val="auto"/>
          <w:szCs w:val="30"/>
          <w:highlight w:val="none"/>
        </w:rPr>
        <w:t>承包人（全称）：</w:t>
      </w:r>
    </w:p>
    <w:p w14:paraId="69624C31">
      <w:pPr>
        <w:ind w:firstLine="480"/>
        <w:rPr>
          <w:rFonts w:hint="eastAsia" w:ascii="宋体" w:hAnsi="宋体"/>
          <w:color w:val="auto"/>
          <w:szCs w:val="30"/>
          <w:highlight w:val="none"/>
        </w:rPr>
      </w:pPr>
      <w:r>
        <w:rPr>
          <w:rFonts w:hint="eastAsia" w:ascii="宋体" w:hAnsi="宋体"/>
          <w:color w:val="auto"/>
          <w:szCs w:val="30"/>
          <w:highlight w:val="none"/>
        </w:rPr>
        <w:t>根据《中华人民共和国民法典》、《中华人民共和国建筑法》及有关法律规定，遵循平等、自愿、公平和诚实信用的原则，双方就及有关事项协商一致，共同达成如下协议：</w:t>
      </w:r>
      <w:bookmarkStart w:id="96" w:name="_Toc351203481"/>
    </w:p>
    <w:p w14:paraId="34421B3C">
      <w:pPr>
        <w:ind w:firstLine="480"/>
        <w:rPr>
          <w:rFonts w:hint="eastAsia" w:ascii="宋体" w:hAnsi="宋体"/>
          <w:bCs/>
          <w:color w:val="auto"/>
          <w:szCs w:val="32"/>
          <w:highlight w:val="none"/>
        </w:rPr>
      </w:pPr>
      <w:r>
        <w:rPr>
          <w:rFonts w:hint="eastAsia" w:ascii="宋体" w:hAnsi="宋体"/>
          <w:color w:val="auto"/>
          <w:szCs w:val="32"/>
          <w:highlight w:val="none"/>
        </w:rPr>
        <w:t>一、工程概况</w:t>
      </w:r>
      <w:bookmarkEnd w:id="96"/>
    </w:p>
    <w:p w14:paraId="0A8AE26A">
      <w:pPr>
        <w:ind w:firstLine="470"/>
        <w:rPr>
          <w:rFonts w:hint="eastAsia" w:ascii="宋体" w:hAnsi="宋体" w:eastAsia="宋体"/>
          <w:color w:val="auto"/>
          <w:szCs w:val="30"/>
          <w:highlight w:val="none"/>
          <w:u w:val="single"/>
          <w:lang w:eastAsia="zh-CN"/>
        </w:rPr>
      </w:pPr>
      <w:r>
        <w:rPr>
          <w:rFonts w:ascii="宋体" w:hAnsi="宋体"/>
          <w:bCs/>
          <w:color w:val="auto"/>
          <w:szCs w:val="30"/>
          <w:highlight w:val="none"/>
        </w:rPr>
        <w:t>1</w:t>
      </w:r>
      <w:r>
        <w:rPr>
          <w:rFonts w:hint="eastAsia" w:ascii="宋体" w:hAnsi="宋体"/>
          <w:bCs/>
          <w:color w:val="auto"/>
          <w:szCs w:val="30"/>
          <w:highlight w:val="none"/>
        </w:rPr>
        <w:t>、工程名称</w:t>
      </w:r>
      <w:r>
        <w:rPr>
          <w:rFonts w:hint="eastAsia" w:ascii="宋体" w:hAnsi="宋体"/>
          <w:color w:val="auto"/>
          <w:szCs w:val="30"/>
          <w:highlight w:val="none"/>
        </w:rPr>
        <w:t>：</w:t>
      </w:r>
      <w:r>
        <w:rPr>
          <w:rFonts w:hint="eastAsia" w:ascii="宋体" w:hAnsi="宋体" w:cs="宋体"/>
          <w:color w:val="auto"/>
          <w:highlight w:val="none"/>
          <w:u w:val="single"/>
          <w:lang w:eastAsia="zh-CN"/>
        </w:rPr>
        <w:t>。</w:t>
      </w:r>
    </w:p>
    <w:p w14:paraId="7C884495">
      <w:pPr>
        <w:ind w:firstLine="470"/>
        <w:rPr>
          <w:rFonts w:hint="eastAsia" w:ascii="宋体" w:hAnsi="宋体" w:eastAsia="宋体" w:cs="宋体"/>
          <w:color w:val="auto"/>
          <w:highlight w:val="none"/>
          <w:u w:val="single"/>
          <w:lang w:eastAsia="zh-CN"/>
        </w:rPr>
      </w:pPr>
      <w:r>
        <w:rPr>
          <w:rFonts w:ascii="宋体" w:hAnsi="宋体"/>
          <w:bCs/>
          <w:color w:val="auto"/>
          <w:szCs w:val="30"/>
          <w:highlight w:val="none"/>
        </w:rPr>
        <w:t>2</w:t>
      </w:r>
      <w:r>
        <w:rPr>
          <w:rFonts w:hint="eastAsia" w:ascii="宋体" w:hAnsi="宋体"/>
          <w:bCs/>
          <w:color w:val="auto"/>
          <w:szCs w:val="30"/>
          <w:highlight w:val="none"/>
        </w:rPr>
        <w:t>、工程地点：</w:t>
      </w:r>
      <w:r>
        <w:rPr>
          <w:rFonts w:hint="eastAsia" w:ascii="宋体" w:hAnsi="宋体" w:cs="宋体"/>
          <w:color w:val="auto"/>
          <w:szCs w:val="21"/>
          <w:highlight w:val="none"/>
          <w:u w:val="single"/>
        </w:rPr>
        <w:t>。</w:t>
      </w:r>
    </w:p>
    <w:p w14:paraId="0B243127">
      <w:pPr>
        <w:ind w:firstLine="470"/>
        <w:rPr>
          <w:rFonts w:hint="eastAsia" w:ascii="宋体" w:hAnsi="宋体" w:cs="宋体"/>
          <w:color w:val="auto"/>
          <w:highlight w:val="none"/>
          <w:u w:val="single"/>
        </w:rPr>
      </w:pPr>
      <w:r>
        <w:rPr>
          <w:rFonts w:ascii="宋体" w:hAnsi="宋体"/>
          <w:bCs/>
          <w:color w:val="auto"/>
          <w:szCs w:val="30"/>
          <w:highlight w:val="none"/>
        </w:rPr>
        <w:t>3</w:t>
      </w:r>
      <w:r>
        <w:rPr>
          <w:rFonts w:hint="eastAsia" w:ascii="宋体" w:hAnsi="宋体"/>
          <w:bCs/>
          <w:color w:val="auto"/>
          <w:szCs w:val="30"/>
          <w:highlight w:val="none"/>
        </w:rPr>
        <w:t>、工程立项批准文号</w:t>
      </w:r>
      <w:r>
        <w:rPr>
          <w:rFonts w:hint="eastAsia" w:ascii="宋体" w:hAnsi="宋体"/>
          <w:color w:val="auto"/>
          <w:szCs w:val="30"/>
          <w:highlight w:val="none"/>
        </w:rPr>
        <w:t>：</w:t>
      </w:r>
      <w:r>
        <w:rPr>
          <w:rFonts w:hint="eastAsia" w:ascii="宋体" w:hAnsi="宋体" w:cs="宋体"/>
          <w:color w:val="auto"/>
          <w:szCs w:val="21"/>
          <w:highlight w:val="none"/>
          <w:u w:val="single"/>
        </w:rPr>
        <w:t>。</w:t>
      </w:r>
    </w:p>
    <w:p w14:paraId="75CFD8D2">
      <w:pPr>
        <w:ind w:firstLine="470"/>
        <w:rPr>
          <w:rFonts w:hint="eastAsia" w:ascii="宋体" w:hAnsi="宋体" w:cs="宋体"/>
          <w:color w:val="auto"/>
          <w:szCs w:val="21"/>
          <w:highlight w:val="none"/>
          <w:u w:val="single"/>
        </w:rPr>
      </w:pPr>
      <w:r>
        <w:rPr>
          <w:rFonts w:ascii="宋体" w:hAnsi="宋体"/>
          <w:bCs/>
          <w:color w:val="auto"/>
          <w:szCs w:val="30"/>
          <w:highlight w:val="none"/>
        </w:rPr>
        <w:t>4</w:t>
      </w:r>
      <w:r>
        <w:rPr>
          <w:rFonts w:hint="eastAsia" w:ascii="宋体" w:hAnsi="宋体"/>
          <w:bCs/>
          <w:color w:val="auto"/>
          <w:szCs w:val="30"/>
          <w:highlight w:val="none"/>
        </w:rPr>
        <w:t>、资金来源：</w:t>
      </w:r>
      <w:r>
        <w:rPr>
          <w:rFonts w:hint="eastAsia" w:ascii="宋体" w:hAnsi="宋体" w:cs="宋体"/>
          <w:color w:val="auto"/>
          <w:szCs w:val="21"/>
          <w:highlight w:val="none"/>
          <w:u w:val="single"/>
        </w:rPr>
        <w:t>。</w:t>
      </w:r>
    </w:p>
    <w:p w14:paraId="67F668D9">
      <w:pPr>
        <w:ind w:firstLine="470"/>
        <w:rPr>
          <w:rFonts w:hint="eastAsia" w:ascii="宋体" w:hAnsi="宋体" w:cs="宋体"/>
          <w:color w:val="auto"/>
          <w:szCs w:val="21"/>
          <w:highlight w:val="none"/>
          <w:u w:val="single"/>
        </w:rPr>
      </w:pPr>
      <w:r>
        <w:rPr>
          <w:rFonts w:ascii="宋体" w:hAnsi="宋体"/>
          <w:bCs/>
          <w:color w:val="auto"/>
          <w:szCs w:val="30"/>
          <w:highlight w:val="none"/>
        </w:rPr>
        <w:t>5</w:t>
      </w:r>
      <w:r>
        <w:rPr>
          <w:rFonts w:hint="eastAsia" w:ascii="宋体" w:hAnsi="宋体"/>
          <w:bCs/>
          <w:color w:val="auto"/>
          <w:szCs w:val="30"/>
          <w:highlight w:val="none"/>
        </w:rPr>
        <w:t>、工程内容：</w:t>
      </w:r>
      <w:r>
        <w:rPr>
          <w:rFonts w:hint="eastAsia" w:ascii="宋体" w:hAnsi="宋体" w:cs="宋体"/>
          <w:color w:val="auto"/>
          <w:szCs w:val="21"/>
          <w:highlight w:val="none"/>
          <w:u w:val="single"/>
        </w:rPr>
        <w:t>。</w:t>
      </w:r>
    </w:p>
    <w:p w14:paraId="7113408A">
      <w:pPr>
        <w:ind w:firstLine="470"/>
        <w:rPr>
          <w:rFonts w:hint="eastAsia" w:ascii="宋体" w:hAnsi="宋体" w:cs="宋体"/>
          <w:color w:val="auto"/>
          <w:szCs w:val="21"/>
          <w:highlight w:val="none"/>
          <w:u w:val="single"/>
        </w:rPr>
      </w:pPr>
      <w:r>
        <w:rPr>
          <w:rFonts w:ascii="宋体" w:hAnsi="宋体"/>
          <w:bCs/>
          <w:color w:val="auto"/>
          <w:szCs w:val="30"/>
          <w:highlight w:val="none"/>
        </w:rPr>
        <w:t>6</w:t>
      </w:r>
      <w:r>
        <w:rPr>
          <w:rFonts w:hint="eastAsia" w:ascii="宋体" w:hAnsi="宋体"/>
          <w:bCs/>
          <w:color w:val="auto"/>
          <w:szCs w:val="30"/>
          <w:highlight w:val="none"/>
        </w:rPr>
        <w:t>、工程承包范围：</w:t>
      </w:r>
      <w:bookmarkStart w:id="97" w:name="_Toc351203482"/>
      <w:r>
        <w:rPr>
          <w:rFonts w:hint="eastAsia" w:ascii="宋体" w:hAnsi="宋体" w:cs="宋体"/>
          <w:color w:val="auto"/>
          <w:szCs w:val="21"/>
          <w:highlight w:val="none"/>
          <w:u w:val="single"/>
        </w:rPr>
        <w:t>。</w:t>
      </w:r>
    </w:p>
    <w:p w14:paraId="3ED3B6EC">
      <w:pPr>
        <w:ind w:firstLine="470"/>
        <w:rPr>
          <w:rFonts w:hint="eastAsia" w:ascii="宋体" w:hAnsi="宋体"/>
          <w:bCs/>
          <w:color w:val="auto"/>
          <w:szCs w:val="32"/>
          <w:highlight w:val="none"/>
        </w:rPr>
      </w:pPr>
      <w:r>
        <w:rPr>
          <w:rFonts w:hint="eastAsia" w:ascii="宋体" w:hAnsi="宋体"/>
          <w:bCs/>
          <w:color w:val="auto"/>
          <w:szCs w:val="32"/>
          <w:highlight w:val="none"/>
        </w:rPr>
        <w:t>二、合同工期</w:t>
      </w:r>
      <w:bookmarkEnd w:id="97"/>
    </w:p>
    <w:p w14:paraId="048A2DF7">
      <w:pPr>
        <w:ind w:firstLine="470"/>
        <w:rPr>
          <w:rFonts w:hint="eastAsia" w:ascii="宋体" w:hAnsi="宋体"/>
          <w:color w:val="auto"/>
          <w:szCs w:val="30"/>
          <w:highlight w:val="none"/>
        </w:rPr>
      </w:pPr>
      <w:r>
        <w:rPr>
          <w:rFonts w:hint="eastAsia" w:ascii="宋体" w:hAnsi="宋体"/>
          <w:color w:val="auto"/>
          <w:szCs w:val="30"/>
          <w:highlight w:val="none"/>
        </w:rPr>
        <w:t>计划开工日期：年月日。</w:t>
      </w:r>
    </w:p>
    <w:p w14:paraId="70EFCEFA">
      <w:pPr>
        <w:ind w:firstLine="470"/>
        <w:rPr>
          <w:rFonts w:hint="eastAsia" w:ascii="宋体" w:hAnsi="宋体"/>
          <w:color w:val="auto"/>
          <w:szCs w:val="30"/>
          <w:highlight w:val="none"/>
        </w:rPr>
      </w:pPr>
      <w:r>
        <w:rPr>
          <w:rFonts w:hint="eastAsia" w:ascii="宋体" w:hAnsi="宋体"/>
          <w:color w:val="auto"/>
          <w:szCs w:val="30"/>
          <w:highlight w:val="none"/>
        </w:rPr>
        <w:t>计划竣工日期：年月日。</w:t>
      </w:r>
    </w:p>
    <w:p w14:paraId="563D812C">
      <w:pPr>
        <w:ind w:firstLine="470"/>
        <w:rPr>
          <w:rFonts w:hint="eastAsia" w:ascii="宋体" w:hAnsi="宋体"/>
          <w:color w:val="auto"/>
          <w:szCs w:val="30"/>
          <w:highlight w:val="none"/>
        </w:rPr>
      </w:pPr>
      <w:r>
        <w:rPr>
          <w:rFonts w:hint="eastAsia" w:ascii="宋体" w:hAnsi="宋体"/>
          <w:color w:val="auto"/>
          <w:szCs w:val="30"/>
          <w:highlight w:val="none"/>
        </w:rPr>
        <w:t>工期总日历天数：</w:t>
      </w:r>
      <w:r>
        <w:rPr>
          <w:rFonts w:hint="eastAsia" w:ascii="宋体" w:hAnsi="宋体" w:cs="宋体"/>
          <w:color w:val="auto"/>
          <w:szCs w:val="21"/>
          <w:highlight w:val="none"/>
        </w:rPr>
        <w:t>天</w:t>
      </w:r>
      <w:r>
        <w:rPr>
          <w:rFonts w:hint="eastAsia" w:ascii="宋体" w:hAnsi="宋体"/>
          <w:color w:val="auto"/>
          <w:szCs w:val="30"/>
          <w:highlight w:val="none"/>
        </w:rPr>
        <w:t>。工期总日历天数与根据前述计划开竣工日期计算的工期天数不一致的，以工期总日历天数为准。</w:t>
      </w:r>
      <w:bookmarkStart w:id="98" w:name="_Toc351203483"/>
    </w:p>
    <w:p w14:paraId="37C1135E">
      <w:pPr>
        <w:ind w:firstLine="470"/>
        <w:rPr>
          <w:rFonts w:hint="eastAsia" w:ascii="宋体" w:hAnsi="宋体"/>
          <w:color w:val="auto"/>
          <w:szCs w:val="32"/>
          <w:highlight w:val="none"/>
        </w:rPr>
      </w:pPr>
      <w:r>
        <w:rPr>
          <w:rFonts w:hint="eastAsia" w:ascii="宋体" w:hAnsi="宋体"/>
          <w:color w:val="auto"/>
          <w:szCs w:val="32"/>
          <w:highlight w:val="none"/>
        </w:rPr>
        <w:t>三、质量标准</w:t>
      </w:r>
      <w:bookmarkEnd w:id="98"/>
    </w:p>
    <w:p w14:paraId="4B94829E">
      <w:pPr>
        <w:ind w:firstLine="470"/>
        <w:rPr>
          <w:rFonts w:hint="eastAsia" w:ascii="宋体" w:hAnsi="宋体"/>
          <w:color w:val="auto"/>
          <w:szCs w:val="30"/>
          <w:highlight w:val="none"/>
        </w:rPr>
      </w:pPr>
      <w:r>
        <w:rPr>
          <w:rFonts w:hint="eastAsia" w:ascii="宋体" w:hAnsi="宋体"/>
          <w:color w:val="auto"/>
          <w:szCs w:val="30"/>
          <w:highlight w:val="none"/>
        </w:rPr>
        <w:t>工程质量符合</w:t>
      </w:r>
      <w:r>
        <w:rPr>
          <w:rFonts w:hint="eastAsia" w:ascii="宋体" w:hAnsi="宋体"/>
          <w:color w:val="auto"/>
          <w:szCs w:val="30"/>
          <w:highlight w:val="none"/>
          <w:u w:val="single"/>
        </w:rPr>
        <w:t>国家验收</w:t>
      </w:r>
      <w:r>
        <w:rPr>
          <w:rFonts w:hint="eastAsia" w:ascii="宋体" w:hAnsi="宋体"/>
          <w:color w:val="auto"/>
          <w:szCs w:val="30"/>
          <w:highlight w:val="none"/>
        </w:rPr>
        <w:t>标准，等级为</w:t>
      </w:r>
      <w:r>
        <w:rPr>
          <w:rFonts w:hint="eastAsia" w:ascii="宋体" w:hAnsi="宋体"/>
          <w:color w:val="auto"/>
          <w:szCs w:val="30"/>
          <w:highlight w:val="none"/>
          <w:u w:val="single"/>
        </w:rPr>
        <w:t>合格</w:t>
      </w:r>
      <w:r>
        <w:rPr>
          <w:rFonts w:hint="eastAsia" w:ascii="宋体" w:hAnsi="宋体"/>
          <w:color w:val="auto"/>
          <w:szCs w:val="30"/>
          <w:highlight w:val="none"/>
        </w:rPr>
        <w:t>。</w:t>
      </w:r>
      <w:bookmarkStart w:id="99" w:name="_Toc351203484"/>
    </w:p>
    <w:p w14:paraId="34FE8B94">
      <w:pPr>
        <w:ind w:firstLine="470"/>
        <w:rPr>
          <w:rFonts w:hint="eastAsia" w:ascii="宋体" w:hAnsi="宋体"/>
          <w:color w:val="auto"/>
          <w:szCs w:val="32"/>
          <w:highlight w:val="none"/>
        </w:rPr>
      </w:pPr>
      <w:r>
        <w:rPr>
          <w:rFonts w:hint="eastAsia" w:ascii="宋体" w:hAnsi="宋体"/>
          <w:color w:val="auto"/>
          <w:szCs w:val="32"/>
          <w:highlight w:val="none"/>
        </w:rPr>
        <w:t>四、签约合同价与合同价格形式</w:t>
      </w:r>
      <w:bookmarkEnd w:id="99"/>
      <w:r>
        <w:rPr>
          <w:rFonts w:ascii="宋体" w:hAnsi="宋体"/>
          <w:color w:val="auto"/>
          <w:szCs w:val="32"/>
          <w:highlight w:val="none"/>
        </w:rPr>
        <w:tab/>
      </w:r>
    </w:p>
    <w:p w14:paraId="2DD9576C">
      <w:pPr>
        <w:ind w:firstLine="470"/>
        <w:rPr>
          <w:rFonts w:hint="eastAsia" w:ascii="宋体" w:hAnsi="宋体"/>
          <w:color w:val="auto"/>
          <w:szCs w:val="30"/>
          <w:highlight w:val="none"/>
        </w:rPr>
      </w:pPr>
      <w:r>
        <w:rPr>
          <w:rFonts w:ascii="宋体" w:hAnsi="宋体"/>
          <w:color w:val="auto"/>
          <w:szCs w:val="30"/>
          <w:highlight w:val="none"/>
        </w:rPr>
        <w:t>1</w:t>
      </w:r>
      <w:r>
        <w:rPr>
          <w:rFonts w:hint="eastAsia" w:ascii="宋体" w:hAnsi="宋体"/>
          <w:color w:val="auto"/>
          <w:szCs w:val="30"/>
          <w:highlight w:val="none"/>
        </w:rPr>
        <w:t>、签约合同价为：</w:t>
      </w:r>
    </w:p>
    <w:p w14:paraId="4745D3E6">
      <w:pPr>
        <w:ind w:firstLine="470"/>
        <w:rPr>
          <w:rFonts w:hint="eastAsia" w:ascii="宋体" w:hAnsi="宋体"/>
          <w:color w:val="auto"/>
          <w:szCs w:val="30"/>
          <w:highlight w:val="none"/>
        </w:rPr>
      </w:pPr>
      <w:r>
        <w:rPr>
          <w:rFonts w:hint="eastAsia" w:ascii="宋体" w:hAnsi="宋体"/>
          <w:color w:val="auto"/>
          <w:szCs w:val="30"/>
          <w:highlight w:val="none"/>
        </w:rPr>
        <w:t>人民币（大写）</w:t>
      </w:r>
      <w:r>
        <w:rPr>
          <w:rFonts w:ascii="宋体" w:hAnsi="宋体"/>
          <w:color w:val="auto"/>
          <w:szCs w:val="30"/>
          <w:highlight w:val="none"/>
        </w:rPr>
        <w:t>(¥</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17E57D46">
      <w:pPr>
        <w:ind w:firstLine="480"/>
        <w:rPr>
          <w:rFonts w:hint="eastAsia" w:ascii="宋体" w:hAnsi="宋体"/>
          <w:color w:val="auto"/>
          <w:szCs w:val="30"/>
          <w:highlight w:val="none"/>
        </w:rPr>
      </w:pPr>
      <w:r>
        <w:rPr>
          <w:rFonts w:hint="eastAsia" w:ascii="宋体" w:hAnsi="宋体"/>
          <w:color w:val="auto"/>
          <w:szCs w:val="30"/>
          <w:highlight w:val="none"/>
        </w:rPr>
        <w:t>其中：</w:t>
      </w:r>
    </w:p>
    <w:p w14:paraId="027C9246">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1</w:t>
      </w:r>
      <w:r>
        <w:rPr>
          <w:rFonts w:hint="eastAsia" w:ascii="宋体" w:hAnsi="宋体"/>
          <w:color w:val="auto"/>
          <w:szCs w:val="30"/>
          <w:highlight w:val="none"/>
        </w:rPr>
        <w:t>）安全文明施工费：</w:t>
      </w:r>
    </w:p>
    <w:p w14:paraId="697E371C">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ascii="宋体" w:hAnsi="宋体"/>
          <w:color w:val="auto"/>
          <w:szCs w:val="30"/>
          <w:highlight w:val="none"/>
        </w:rPr>
        <w:t>(¥</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3E7F16E9">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2</w:t>
      </w:r>
      <w:r>
        <w:rPr>
          <w:rFonts w:hint="eastAsia" w:ascii="宋体" w:hAnsi="宋体"/>
          <w:color w:val="auto"/>
          <w:szCs w:val="30"/>
          <w:highlight w:val="none"/>
        </w:rPr>
        <w:t>）材料和工程设备暂估价金额：</w:t>
      </w:r>
    </w:p>
    <w:p w14:paraId="5126E0BD">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ascii="宋体" w:hAnsi="宋体"/>
          <w:color w:val="auto"/>
          <w:szCs w:val="30"/>
          <w:highlight w:val="none"/>
        </w:rPr>
        <w:t>(¥</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3C15DDDB">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3</w:t>
      </w:r>
      <w:r>
        <w:rPr>
          <w:rFonts w:hint="eastAsia" w:ascii="宋体" w:hAnsi="宋体"/>
          <w:color w:val="auto"/>
          <w:szCs w:val="30"/>
          <w:highlight w:val="none"/>
        </w:rPr>
        <w:t>）专业工程暂估价金额：</w:t>
      </w:r>
    </w:p>
    <w:p w14:paraId="761A7732">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ascii="宋体" w:hAnsi="宋体"/>
          <w:color w:val="auto"/>
          <w:szCs w:val="30"/>
          <w:highlight w:val="none"/>
        </w:rPr>
        <w:t>(¥</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4A54875E">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4</w:t>
      </w:r>
      <w:r>
        <w:rPr>
          <w:rFonts w:hint="eastAsia" w:ascii="宋体" w:hAnsi="宋体"/>
          <w:color w:val="auto"/>
          <w:szCs w:val="30"/>
          <w:highlight w:val="none"/>
        </w:rPr>
        <w:t>）暂列金额：</w:t>
      </w:r>
    </w:p>
    <w:p w14:paraId="3B104A7F">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ascii="宋体" w:hAnsi="宋体"/>
          <w:color w:val="auto"/>
          <w:szCs w:val="30"/>
          <w:highlight w:val="none"/>
        </w:rPr>
        <w:t>(¥</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7E5E2BD2">
      <w:pPr>
        <w:ind w:firstLine="480"/>
        <w:rPr>
          <w:rFonts w:hint="eastAsia" w:ascii="宋体" w:hAnsi="宋体"/>
          <w:color w:val="auto"/>
          <w:szCs w:val="30"/>
          <w:highlight w:val="none"/>
        </w:rPr>
      </w:pPr>
      <w:r>
        <w:rPr>
          <w:rFonts w:ascii="宋体" w:hAnsi="宋体"/>
          <w:color w:val="auto"/>
          <w:szCs w:val="30"/>
          <w:highlight w:val="none"/>
        </w:rPr>
        <w:t>2</w:t>
      </w:r>
      <w:r>
        <w:rPr>
          <w:rFonts w:hint="eastAsia" w:ascii="宋体" w:hAnsi="宋体"/>
          <w:color w:val="auto"/>
          <w:szCs w:val="30"/>
          <w:highlight w:val="none"/>
        </w:rPr>
        <w:t>、合同价格形式：</w:t>
      </w:r>
      <w:r>
        <w:rPr>
          <w:rFonts w:hint="eastAsia" w:ascii="宋体" w:hAnsi="宋体"/>
          <w:color w:val="auto"/>
          <w:szCs w:val="30"/>
          <w:highlight w:val="none"/>
          <w:u w:val="single"/>
        </w:rPr>
        <w:t>固定单价合同</w:t>
      </w:r>
      <w:r>
        <w:rPr>
          <w:rFonts w:hint="eastAsia" w:ascii="宋体" w:hAnsi="宋体"/>
          <w:color w:val="auto"/>
          <w:szCs w:val="30"/>
          <w:highlight w:val="none"/>
        </w:rPr>
        <w:t>。</w:t>
      </w:r>
      <w:bookmarkStart w:id="100" w:name="_Toc351203486"/>
    </w:p>
    <w:p w14:paraId="0CF996BE">
      <w:pPr>
        <w:ind w:firstLine="480"/>
        <w:jc w:val="left"/>
        <w:rPr>
          <w:rFonts w:hint="eastAsia" w:ascii="宋体" w:hAnsi="宋体"/>
          <w:color w:val="auto"/>
          <w:szCs w:val="32"/>
          <w:highlight w:val="none"/>
        </w:rPr>
      </w:pPr>
      <w:r>
        <w:rPr>
          <w:rFonts w:hint="eastAsia" w:ascii="宋体" w:hAnsi="宋体"/>
          <w:color w:val="auto"/>
          <w:szCs w:val="32"/>
          <w:highlight w:val="none"/>
        </w:rPr>
        <w:t>五、项目经理</w:t>
      </w:r>
    </w:p>
    <w:p w14:paraId="339E268A">
      <w:pPr>
        <w:ind w:firstLine="960"/>
        <w:jc w:val="left"/>
        <w:rPr>
          <w:rFonts w:hint="eastAsia" w:ascii="宋体" w:hAnsi="宋体"/>
          <w:color w:val="auto"/>
          <w:szCs w:val="32"/>
          <w:highlight w:val="none"/>
        </w:rPr>
      </w:pPr>
      <w:r>
        <w:rPr>
          <w:rFonts w:hint="eastAsia" w:ascii="宋体" w:hAnsi="宋体"/>
          <w:color w:val="auto"/>
          <w:szCs w:val="30"/>
          <w:highlight w:val="none"/>
        </w:rPr>
        <w:t>承包人项目经理：。</w:t>
      </w:r>
    </w:p>
    <w:p w14:paraId="06921DB9">
      <w:pPr>
        <w:ind w:firstLine="480"/>
        <w:rPr>
          <w:rFonts w:hint="eastAsia" w:ascii="宋体" w:hAnsi="宋体"/>
          <w:bCs/>
          <w:color w:val="auto"/>
          <w:szCs w:val="32"/>
          <w:highlight w:val="none"/>
        </w:rPr>
      </w:pPr>
      <w:r>
        <w:rPr>
          <w:rFonts w:hint="eastAsia" w:ascii="宋体" w:hAnsi="宋体"/>
          <w:color w:val="auto"/>
          <w:szCs w:val="32"/>
          <w:highlight w:val="none"/>
        </w:rPr>
        <w:t>六、合同文件构成</w:t>
      </w:r>
      <w:bookmarkEnd w:id="100"/>
    </w:p>
    <w:p w14:paraId="4CEC8907">
      <w:pPr>
        <w:rPr>
          <w:rFonts w:hint="eastAsia" w:ascii="宋体" w:hAnsi="宋体"/>
          <w:bCs/>
          <w:color w:val="auto"/>
          <w:szCs w:val="30"/>
          <w:highlight w:val="none"/>
        </w:rPr>
      </w:pPr>
      <w:r>
        <w:rPr>
          <w:rFonts w:hint="eastAsia" w:ascii="宋体" w:hAnsi="宋体"/>
          <w:bCs/>
          <w:color w:val="auto"/>
          <w:szCs w:val="30"/>
          <w:highlight w:val="none"/>
        </w:rPr>
        <w:t>本协议书与下列文件一起构成合同文件：</w:t>
      </w:r>
    </w:p>
    <w:p w14:paraId="33619D7B">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1</w:t>
      </w:r>
      <w:r>
        <w:rPr>
          <w:rFonts w:hint="eastAsia" w:ascii="宋体" w:hAnsi="宋体"/>
          <w:color w:val="auto"/>
          <w:szCs w:val="30"/>
          <w:highlight w:val="none"/>
        </w:rPr>
        <w:t>）中标通知书（如果有）；</w:t>
      </w:r>
    </w:p>
    <w:p w14:paraId="48DF5F34">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2</w:t>
      </w:r>
      <w:r>
        <w:rPr>
          <w:rFonts w:hint="eastAsia" w:ascii="宋体" w:hAnsi="宋体"/>
          <w:color w:val="auto"/>
          <w:szCs w:val="30"/>
          <w:highlight w:val="none"/>
        </w:rPr>
        <w:t>）投标函及其附录（如果有）；</w:t>
      </w:r>
    </w:p>
    <w:p w14:paraId="1772EF26">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3</w:t>
      </w:r>
      <w:r>
        <w:rPr>
          <w:rFonts w:hint="eastAsia" w:ascii="宋体" w:hAnsi="宋体"/>
          <w:color w:val="auto"/>
          <w:szCs w:val="30"/>
          <w:highlight w:val="none"/>
        </w:rPr>
        <w:t>）专用合同条款及其附件；</w:t>
      </w:r>
    </w:p>
    <w:p w14:paraId="70B036F8">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4</w:t>
      </w:r>
      <w:r>
        <w:rPr>
          <w:rFonts w:hint="eastAsia" w:ascii="宋体" w:hAnsi="宋体"/>
          <w:color w:val="auto"/>
          <w:szCs w:val="30"/>
          <w:highlight w:val="none"/>
        </w:rPr>
        <w:t>）通用合同条款；</w:t>
      </w:r>
    </w:p>
    <w:p w14:paraId="0FB8399C">
      <w:pPr>
        <w:spacing w:line="360" w:lineRule="auto"/>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5</w:t>
      </w:r>
      <w:r>
        <w:rPr>
          <w:rFonts w:hint="eastAsia" w:ascii="宋体" w:hAnsi="宋体"/>
          <w:color w:val="auto"/>
          <w:szCs w:val="30"/>
          <w:highlight w:val="none"/>
        </w:rPr>
        <w:t>）技术标准和要求；</w:t>
      </w:r>
    </w:p>
    <w:p w14:paraId="1FD5F348">
      <w:pPr>
        <w:spacing w:line="360" w:lineRule="auto"/>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6</w:t>
      </w:r>
      <w:r>
        <w:rPr>
          <w:rFonts w:hint="eastAsia" w:ascii="宋体" w:hAnsi="宋体"/>
          <w:color w:val="auto"/>
          <w:szCs w:val="30"/>
          <w:highlight w:val="none"/>
        </w:rPr>
        <w:t>）图纸；</w:t>
      </w:r>
    </w:p>
    <w:p w14:paraId="75803BEC">
      <w:pPr>
        <w:spacing w:line="360" w:lineRule="auto"/>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7</w:t>
      </w:r>
      <w:r>
        <w:rPr>
          <w:rFonts w:hint="eastAsia" w:ascii="宋体" w:hAnsi="宋体"/>
          <w:color w:val="auto"/>
          <w:szCs w:val="30"/>
          <w:highlight w:val="none"/>
        </w:rPr>
        <w:t>）已标价工程量清单或预算书；</w:t>
      </w:r>
    </w:p>
    <w:p w14:paraId="01501AA1">
      <w:pPr>
        <w:spacing w:line="360" w:lineRule="auto"/>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8</w:t>
      </w:r>
      <w:r>
        <w:rPr>
          <w:rFonts w:hint="eastAsia" w:ascii="宋体" w:hAnsi="宋体"/>
          <w:color w:val="auto"/>
          <w:szCs w:val="30"/>
          <w:highlight w:val="none"/>
        </w:rPr>
        <w:t>）其他合同文件。</w:t>
      </w:r>
    </w:p>
    <w:p w14:paraId="08996614">
      <w:pPr>
        <w:spacing w:line="360" w:lineRule="auto"/>
        <w:ind w:firstLine="480"/>
        <w:jc w:val="left"/>
        <w:rPr>
          <w:rFonts w:hint="eastAsia" w:ascii="宋体" w:hAnsi="宋体"/>
          <w:color w:val="auto"/>
          <w:szCs w:val="30"/>
          <w:highlight w:val="none"/>
        </w:rPr>
      </w:pPr>
      <w:r>
        <w:rPr>
          <w:rFonts w:hint="eastAsia" w:ascii="宋体" w:hAnsi="宋体"/>
          <w:color w:val="auto"/>
          <w:szCs w:val="30"/>
          <w:highlight w:val="none"/>
        </w:rPr>
        <w:t>在合同订立及履行过程中形成的与合同有关的文件均构成合同文件组成部分。</w:t>
      </w:r>
    </w:p>
    <w:p w14:paraId="76EEBB5D">
      <w:pPr>
        <w:spacing w:line="360" w:lineRule="auto"/>
        <w:ind w:firstLine="480"/>
        <w:jc w:val="left"/>
        <w:rPr>
          <w:rFonts w:hint="eastAsia" w:ascii="宋体" w:hAnsi="宋体"/>
          <w:color w:val="auto"/>
          <w:szCs w:val="30"/>
          <w:highlight w:val="none"/>
        </w:rPr>
      </w:pPr>
      <w:r>
        <w:rPr>
          <w:rFonts w:hint="eastAsia" w:ascii="宋体" w:hAnsi="宋体"/>
          <w:color w:val="auto"/>
          <w:szCs w:val="30"/>
          <w:highlight w:val="none"/>
        </w:rPr>
        <w:t>上述各项合同文件包括合同当事人就该项合同文件所作出的补充和修改，属于同一类内容的文件，应以最新签署的为准。专用合同条款及其附件须经合同当事人签名或盖章或签章。</w:t>
      </w:r>
      <w:bookmarkStart w:id="101" w:name="_Toc351203485"/>
      <w:bookmarkEnd w:id="101"/>
      <w:bookmarkStart w:id="102" w:name="_Toc351203487"/>
    </w:p>
    <w:p w14:paraId="0B106929">
      <w:pPr>
        <w:spacing w:line="360" w:lineRule="auto"/>
        <w:ind w:firstLine="480"/>
        <w:jc w:val="left"/>
        <w:rPr>
          <w:rFonts w:hint="eastAsia" w:ascii="宋体" w:hAnsi="宋体"/>
          <w:color w:val="auto"/>
          <w:szCs w:val="32"/>
          <w:highlight w:val="none"/>
        </w:rPr>
      </w:pPr>
      <w:r>
        <w:rPr>
          <w:rFonts w:hint="eastAsia" w:ascii="宋体" w:hAnsi="宋体"/>
          <w:color w:val="auto"/>
          <w:szCs w:val="32"/>
          <w:highlight w:val="none"/>
        </w:rPr>
        <w:t>七、承诺</w:t>
      </w:r>
      <w:bookmarkEnd w:id="102"/>
    </w:p>
    <w:p w14:paraId="57266956">
      <w:pPr>
        <w:spacing w:line="360" w:lineRule="auto"/>
        <w:ind w:firstLine="480"/>
        <w:jc w:val="left"/>
        <w:rPr>
          <w:rFonts w:hint="eastAsia" w:ascii="宋体" w:hAnsi="宋体"/>
          <w:bCs/>
          <w:color w:val="auto"/>
          <w:szCs w:val="30"/>
          <w:highlight w:val="none"/>
        </w:rPr>
      </w:pPr>
      <w:r>
        <w:rPr>
          <w:rFonts w:ascii="宋体" w:hAnsi="宋体"/>
          <w:bCs/>
          <w:color w:val="auto"/>
          <w:szCs w:val="30"/>
          <w:highlight w:val="none"/>
        </w:rPr>
        <w:t>1</w:t>
      </w:r>
      <w:r>
        <w:rPr>
          <w:rFonts w:hint="eastAsia" w:ascii="宋体" w:hAnsi="宋体"/>
          <w:bCs/>
          <w:color w:val="auto"/>
          <w:szCs w:val="30"/>
          <w:highlight w:val="none"/>
        </w:rPr>
        <w:t>、发包人承诺按照法律规定履行项目审批手续、筹集工程建设资金并按照合同约定的期限和方式支付合同价款。</w:t>
      </w:r>
    </w:p>
    <w:p w14:paraId="67A501FC">
      <w:pPr>
        <w:spacing w:line="360" w:lineRule="auto"/>
        <w:ind w:firstLine="480"/>
        <w:jc w:val="left"/>
        <w:rPr>
          <w:rFonts w:hint="eastAsia" w:ascii="宋体" w:hAnsi="宋体"/>
          <w:bCs/>
          <w:color w:val="auto"/>
          <w:szCs w:val="30"/>
          <w:highlight w:val="none"/>
        </w:rPr>
      </w:pPr>
      <w:r>
        <w:rPr>
          <w:rFonts w:ascii="宋体" w:hAnsi="宋体"/>
          <w:bCs/>
          <w:color w:val="auto"/>
          <w:szCs w:val="30"/>
          <w:highlight w:val="none"/>
        </w:rPr>
        <w:t>2</w:t>
      </w:r>
      <w:r>
        <w:rPr>
          <w:rFonts w:hint="eastAsia" w:ascii="宋体" w:hAnsi="宋体"/>
          <w:bCs/>
          <w:color w:val="auto"/>
          <w:szCs w:val="30"/>
          <w:highlight w:val="none"/>
        </w:rPr>
        <w:t>、承包人承诺按照法律规定及合同约定组织完成工程施工，确保工程质量和安全，不进行转包及违法分包，并在缺陷责任期及保修期内承担相应的工程维修责任。</w:t>
      </w:r>
    </w:p>
    <w:p w14:paraId="4D7E7CC9">
      <w:pPr>
        <w:spacing w:line="360" w:lineRule="auto"/>
        <w:ind w:firstLine="480"/>
        <w:jc w:val="left"/>
        <w:rPr>
          <w:rFonts w:hint="eastAsia" w:ascii="宋体" w:hAnsi="宋体"/>
          <w:bCs/>
          <w:color w:val="auto"/>
          <w:szCs w:val="30"/>
          <w:highlight w:val="none"/>
        </w:rPr>
      </w:pPr>
      <w:r>
        <w:rPr>
          <w:rFonts w:ascii="宋体" w:hAnsi="宋体"/>
          <w:bCs/>
          <w:color w:val="auto"/>
          <w:szCs w:val="30"/>
          <w:highlight w:val="none"/>
        </w:rPr>
        <w:t>3</w:t>
      </w:r>
      <w:r>
        <w:rPr>
          <w:rFonts w:hint="eastAsia" w:ascii="宋体" w:hAnsi="宋体"/>
          <w:bCs/>
          <w:color w:val="auto"/>
          <w:szCs w:val="30"/>
          <w:highlight w:val="none"/>
        </w:rPr>
        <w:t>、发包人和承包人通过招投标形式签订合同的，双方理解并承诺不再就同一工程另行签订与合同实质性内容相背离的协议。</w:t>
      </w:r>
      <w:bookmarkStart w:id="103" w:name="_Toc351203488"/>
    </w:p>
    <w:p w14:paraId="3F5169DA">
      <w:pPr>
        <w:spacing w:line="360" w:lineRule="auto"/>
        <w:ind w:firstLine="480"/>
        <w:jc w:val="left"/>
        <w:rPr>
          <w:rFonts w:hint="eastAsia" w:ascii="宋体" w:hAnsi="宋体"/>
          <w:color w:val="auto"/>
          <w:szCs w:val="32"/>
          <w:highlight w:val="none"/>
        </w:rPr>
      </w:pPr>
      <w:r>
        <w:rPr>
          <w:rFonts w:hint="eastAsia" w:ascii="宋体" w:hAnsi="宋体"/>
          <w:color w:val="auto"/>
          <w:szCs w:val="32"/>
          <w:highlight w:val="none"/>
        </w:rPr>
        <w:t>八、词语含义</w:t>
      </w:r>
      <w:bookmarkEnd w:id="103"/>
    </w:p>
    <w:p w14:paraId="657BD4BE">
      <w:pPr>
        <w:ind w:firstLine="480"/>
        <w:jc w:val="left"/>
        <w:rPr>
          <w:rFonts w:hint="eastAsia" w:ascii="宋体" w:hAnsi="宋体"/>
          <w:bCs/>
          <w:color w:val="auto"/>
          <w:szCs w:val="30"/>
          <w:highlight w:val="none"/>
        </w:rPr>
      </w:pPr>
      <w:r>
        <w:rPr>
          <w:rFonts w:hint="eastAsia" w:ascii="宋体" w:hAnsi="宋体"/>
          <w:bCs/>
          <w:color w:val="auto"/>
          <w:szCs w:val="30"/>
          <w:highlight w:val="none"/>
        </w:rPr>
        <w:t>本协议书中词语含义与第二部分通用合同条款中赋予的含义相同。</w:t>
      </w:r>
      <w:bookmarkStart w:id="104" w:name="_Toc351203489"/>
    </w:p>
    <w:p w14:paraId="384DD4F0">
      <w:pPr>
        <w:ind w:firstLine="480"/>
        <w:jc w:val="left"/>
        <w:rPr>
          <w:rFonts w:hint="eastAsia" w:ascii="宋体" w:hAnsi="宋体"/>
          <w:color w:val="auto"/>
          <w:szCs w:val="32"/>
          <w:highlight w:val="none"/>
        </w:rPr>
      </w:pPr>
      <w:r>
        <w:rPr>
          <w:rFonts w:hint="eastAsia" w:ascii="宋体" w:hAnsi="宋体"/>
          <w:color w:val="auto"/>
          <w:szCs w:val="32"/>
          <w:highlight w:val="none"/>
        </w:rPr>
        <w:t>九、签订时间</w:t>
      </w:r>
      <w:bookmarkEnd w:id="104"/>
    </w:p>
    <w:p w14:paraId="66F4E019">
      <w:pPr>
        <w:ind w:firstLine="480"/>
        <w:jc w:val="left"/>
        <w:rPr>
          <w:rFonts w:hint="eastAsia" w:ascii="宋体" w:hAnsi="宋体"/>
          <w:bCs/>
          <w:color w:val="auto"/>
          <w:szCs w:val="30"/>
          <w:highlight w:val="none"/>
        </w:rPr>
      </w:pPr>
      <w:r>
        <w:rPr>
          <w:rFonts w:hint="eastAsia" w:ascii="宋体" w:hAnsi="宋体"/>
          <w:bCs/>
          <w:color w:val="auto"/>
          <w:szCs w:val="30"/>
          <w:highlight w:val="none"/>
        </w:rPr>
        <w:t>本合同于年月日签订。</w:t>
      </w:r>
      <w:bookmarkStart w:id="105" w:name="_Toc351203490"/>
    </w:p>
    <w:p w14:paraId="5BBDEF5C">
      <w:pPr>
        <w:ind w:firstLine="480"/>
        <w:jc w:val="left"/>
        <w:rPr>
          <w:rFonts w:hint="eastAsia" w:ascii="宋体" w:hAnsi="宋体"/>
          <w:color w:val="auto"/>
          <w:szCs w:val="32"/>
          <w:highlight w:val="none"/>
        </w:rPr>
      </w:pPr>
      <w:r>
        <w:rPr>
          <w:rFonts w:hint="eastAsia" w:ascii="宋体" w:hAnsi="宋体"/>
          <w:color w:val="auto"/>
          <w:szCs w:val="32"/>
          <w:highlight w:val="none"/>
        </w:rPr>
        <w:t>十、签订地点</w:t>
      </w:r>
      <w:bookmarkEnd w:id="105"/>
    </w:p>
    <w:p w14:paraId="79E4EECB">
      <w:pPr>
        <w:ind w:firstLine="480"/>
        <w:jc w:val="left"/>
        <w:rPr>
          <w:rFonts w:hint="eastAsia" w:ascii="宋体" w:hAnsi="宋体"/>
          <w:bCs/>
          <w:color w:val="auto"/>
          <w:szCs w:val="30"/>
          <w:highlight w:val="none"/>
        </w:rPr>
      </w:pPr>
      <w:r>
        <w:rPr>
          <w:rFonts w:hint="eastAsia" w:ascii="宋体" w:hAnsi="宋体"/>
          <w:bCs/>
          <w:color w:val="auto"/>
          <w:szCs w:val="30"/>
          <w:highlight w:val="none"/>
        </w:rPr>
        <w:t>本合同在</w:t>
      </w:r>
      <w:r>
        <w:rPr>
          <w:rFonts w:hint="eastAsia" w:ascii="宋体" w:hAnsi="宋体"/>
          <w:b/>
          <w:bCs w:val="0"/>
          <w:color w:val="auto"/>
          <w:szCs w:val="30"/>
          <w:highlight w:val="none"/>
          <w:u w:val="single"/>
          <w:lang w:eastAsia="zh-CN"/>
        </w:rPr>
        <w:t>连云港市赣马高级中学</w:t>
      </w:r>
      <w:r>
        <w:rPr>
          <w:rFonts w:hint="eastAsia" w:ascii="宋体" w:hAnsi="宋体"/>
          <w:bCs/>
          <w:color w:val="auto"/>
          <w:szCs w:val="30"/>
          <w:highlight w:val="none"/>
        </w:rPr>
        <w:t>签订。</w:t>
      </w:r>
      <w:bookmarkStart w:id="106" w:name="_Toc351203491"/>
    </w:p>
    <w:p w14:paraId="247A76BF">
      <w:pPr>
        <w:ind w:firstLine="480"/>
        <w:jc w:val="left"/>
        <w:rPr>
          <w:rFonts w:hint="eastAsia" w:ascii="宋体" w:hAnsi="宋体"/>
          <w:color w:val="auto"/>
          <w:szCs w:val="32"/>
          <w:highlight w:val="none"/>
        </w:rPr>
      </w:pPr>
      <w:r>
        <w:rPr>
          <w:rFonts w:hint="eastAsia" w:ascii="宋体" w:hAnsi="宋体"/>
          <w:color w:val="auto"/>
          <w:szCs w:val="32"/>
          <w:highlight w:val="none"/>
        </w:rPr>
        <w:t>十一、补充协议</w:t>
      </w:r>
      <w:bookmarkEnd w:id="106"/>
    </w:p>
    <w:p w14:paraId="15E0E337">
      <w:pPr>
        <w:ind w:firstLine="480"/>
        <w:jc w:val="left"/>
        <w:rPr>
          <w:rFonts w:hint="eastAsia" w:ascii="宋体" w:hAnsi="宋体"/>
          <w:bCs/>
          <w:color w:val="auto"/>
          <w:szCs w:val="30"/>
          <w:highlight w:val="none"/>
        </w:rPr>
      </w:pPr>
      <w:r>
        <w:rPr>
          <w:rFonts w:hint="eastAsia" w:ascii="宋体" w:hAnsi="宋体"/>
          <w:bCs/>
          <w:color w:val="auto"/>
          <w:szCs w:val="30"/>
          <w:highlight w:val="none"/>
        </w:rPr>
        <w:t>合同未尽事宜，合同当事人另行签订补充协议，补充协议是合同的组成部分。</w:t>
      </w:r>
      <w:bookmarkStart w:id="107" w:name="_Toc351203492"/>
    </w:p>
    <w:p w14:paraId="70EFDA6A">
      <w:pPr>
        <w:ind w:firstLine="480"/>
        <w:jc w:val="left"/>
        <w:rPr>
          <w:rFonts w:hint="eastAsia" w:ascii="宋体" w:hAnsi="宋体"/>
          <w:color w:val="auto"/>
          <w:szCs w:val="32"/>
          <w:highlight w:val="none"/>
        </w:rPr>
      </w:pPr>
      <w:r>
        <w:rPr>
          <w:rFonts w:hint="eastAsia" w:ascii="宋体" w:hAnsi="宋体"/>
          <w:color w:val="auto"/>
          <w:szCs w:val="32"/>
          <w:highlight w:val="none"/>
        </w:rPr>
        <w:t>十二、合同生效</w:t>
      </w:r>
      <w:bookmarkEnd w:id="107"/>
    </w:p>
    <w:p w14:paraId="26C1EFD9">
      <w:pPr>
        <w:ind w:firstLine="480"/>
        <w:jc w:val="left"/>
        <w:rPr>
          <w:rFonts w:hint="eastAsia" w:ascii="宋体" w:hAnsi="宋体"/>
          <w:bCs/>
          <w:color w:val="auto"/>
          <w:szCs w:val="30"/>
          <w:highlight w:val="none"/>
        </w:rPr>
      </w:pPr>
      <w:r>
        <w:rPr>
          <w:rFonts w:hint="eastAsia" w:ascii="宋体" w:hAnsi="宋体"/>
          <w:bCs/>
          <w:color w:val="auto"/>
          <w:szCs w:val="30"/>
          <w:highlight w:val="none"/>
        </w:rPr>
        <w:t>本合同自</w:t>
      </w:r>
      <w:r>
        <w:rPr>
          <w:rFonts w:hint="eastAsia" w:ascii="宋体" w:hAnsi="宋体"/>
          <w:bCs/>
          <w:color w:val="auto"/>
          <w:szCs w:val="30"/>
          <w:highlight w:val="none"/>
          <w:u w:val="single"/>
        </w:rPr>
        <w:t>双方</w:t>
      </w:r>
      <w:r>
        <w:rPr>
          <w:rFonts w:hint="eastAsia" w:ascii="宋体" w:hAnsi="宋体"/>
          <w:color w:val="auto"/>
          <w:szCs w:val="30"/>
          <w:highlight w:val="none"/>
        </w:rPr>
        <w:t>法定代表人或其委托代理人签字或盖章</w:t>
      </w:r>
      <w:r>
        <w:rPr>
          <w:rFonts w:hint="eastAsia" w:ascii="宋体" w:hAnsi="宋体"/>
          <w:bCs/>
          <w:color w:val="auto"/>
          <w:szCs w:val="30"/>
          <w:highlight w:val="none"/>
          <w:u w:val="single"/>
          <w:lang w:val="en-US" w:eastAsia="zh-CN"/>
        </w:rPr>
        <w:t>并加盖单位公</w:t>
      </w:r>
      <w:r>
        <w:rPr>
          <w:rFonts w:hint="eastAsia" w:ascii="宋体" w:hAnsi="宋体"/>
          <w:bCs/>
          <w:color w:val="auto"/>
          <w:szCs w:val="30"/>
          <w:highlight w:val="none"/>
          <w:u w:val="single"/>
        </w:rPr>
        <w:t>章之日起</w:t>
      </w:r>
      <w:r>
        <w:rPr>
          <w:rFonts w:hint="eastAsia" w:ascii="宋体" w:hAnsi="宋体"/>
          <w:bCs/>
          <w:color w:val="auto"/>
          <w:szCs w:val="30"/>
          <w:highlight w:val="none"/>
        </w:rPr>
        <w:t>生效。</w:t>
      </w:r>
      <w:bookmarkStart w:id="108" w:name="_Toc351203493"/>
    </w:p>
    <w:p w14:paraId="46FDD60E">
      <w:pPr>
        <w:ind w:firstLine="480"/>
        <w:jc w:val="left"/>
        <w:rPr>
          <w:rFonts w:hint="eastAsia" w:ascii="宋体" w:hAnsi="宋体"/>
          <w:color w:val="auto"/>
          <w:szCs w:val="32"/>
          <w:highlight w:val="none"/>
        </w:rPr>
      </w:pPr>
      <w:r>
        <w:rPr>
          <w:rFonts w:hint="eastAsia" w:ascii="宋体" w:hAnsi="宋体"/>
          <w:color w:val="auto"/>
          <w:szCs w:val="32"/>
          <w:highlight w:val="none"/>
        </w:rPr>
        <w:t>十三、合同份数</w:t>
      </w:r>
      <w:bookmarkEnd w:id="108"/>
    </w:p>
    <w:p w14:paraId="024A5566">
      <w:pPr>
        <w:ind w:firstLine="480"/>
        <w:jc w:val="left"/>
        <w:rPr>
          <w:rFonts w:hint="eastAsia" w:ascii="宋体" w:hAnsi="宋体" w:cs="宋体"/>
          <w:bCs/>
          <w:color w:val="auto"/>
          <w:highlight w:val="none"/>
          <w:lang w:bidi="ar"/>
        </w:rPr>
      </w:pPr>
      <w:r>
        <w:rPr>
          <w:rFonts w:hint="eastAsia" w:ascii="宋体" w:hAnsi="宋体" w:cs="宋体"/>
          <w:bCs/>
          <w:color w:val="auto"/>
          <w:highlight w:val="none"/>
          <w:lang w:bidi="ar"/>
        </w:rPr>
        <w:t>本合同一式</w:t>
      </w:r>
      <w:r>
        <w:rPr>
          <w:rFonts w:hint="eastAsia" w:ascii="宋体" w:hAnsi="宋体" w:cs="宋体"/>
          <w:b/>
          <w:color w:val="auto"/>
          <w:highlight w:val="none"/>
          <w:u w:val="single"/>
          <w:lang w:bidi="ar"/>
        </w:rPr>
        <w:t>陆</w:t>
      </w:r>
      <w:r>
        <w:rPr>
          <w:rFonts w:hint="eastAsia" w:ascii="宋体" w:hAnsi="宋体" w:cs="宋体"/>
          <w:bCs/>
          <w:color w:val="auto"/>
          <w:highlight w:val="none"/>
          <w:lang w:bidi="ar"/>
        </w:rPr>
        <w:t>份，均具有同等法律效力，发包人执</w:t>
      </w:r>
      <w:r>
        <w:rPr>
          <w:rFonts w:hint="eastAsia" w:ascii="宋体" w:hAnsi="宋体" w:cs="宋体"/>
          <w:b/>
          <w:color w:val="auto"/>
          <w:highlight w:val="none"/>
          <w:u w:val="single"/>
          <w:lang w:bidi="ar"/>
        </w:rPr>
        <w:t>叁</w:t>
      </w:r>
      <w:r>
        <w:rPr>
          <w:rFonts w:hint="eastAsia" w:ascii="宋体" w:hAnsi="宋体" w:cs="宋体"/>
          <w:bCs/>
          <w:color w:val="auto"/>
          <w:highlight w:val="none"/>
          <w:lang w:bidi="ar"/>
        </w:rPr>
        <w:t>份，承包人执</w:t>
      </w:r>
      <w:r>
        <w:rPr>
          <w:rFonts w:hint="eastAsia" w:ascii="宋体" w:hAnsi="宋体" w:cs="宋体"/>
          <w:b/>
          <w:color w:val="auto"/>
          <w:highlight w:val="none"/>
          <w:u w:val="single"/>
          <w:lang w:bidi="ar"/>
        </w:rPr>
        <w:t>叁</w:t>
      </w:r>
      <w:r>
        <w:rPr>
          <w:rFonts w:hint="eastAsia" w:ascii="宋体" w:hAnsi="宋体" w:cs="宋体"/>
          <w:bCs/>
          <w:color w:val="auto"/>
          <w:highlight w:val="none"/>
          <w:lang w:bidi="ar"/>
        </w:rPr>
        <w:t>份。</w:t>
      </w:r>
    </w:p>
    <w:p w14:paraId="1A44CBA6">
      <w:pPr>
        <w:ind w:firstLine="480"/>
        <w:jc w:val="left"/>
        <w:rPr>
          <w:rFonts w:hint="eastAsia" w:ascii="宋体" w:hAnsi="宋体"/>
          <w:bCs/>
          <w:color w:val="auto"/>
          <w:szCs w:val="30"/>
          <w:highlight w:val="none"/>
        </w:rPr>
      </w:pPr>
    </w:p>
    <w:p w14:paraId="5B9F02C5">
      <w:pPr>
        <w:pStyle w:val="196"/>
        <w:rPr>
          <w:color w:val="auto"/>
          <w:highlight w:val="none"/>
        </w:rPr>
      </w:pPr>
    </w:p>
    <w:p w14:paraId="1EB3AE51">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发包人：</w:t>
      </w:r>
      <w:r>
        <w:rPr>
          <w:rFonts w:ascii="宋体" w:hAnsi="宋体"/>
          <w:color w:val="auto"/>
          <w:szCs w:val="30"/>
          <w:highlight w:val="none"/>
        </w:rPr>
        <w:t>(</w:t>
      </w:r>
      <w:r>
        <w:rPr>
          <w:rFonts w:hint="eastAsia" w:ascii="宋体" w:hAnsi="宋体"/>
          <w:color w:val="auto"/>
          <w:szCs w:val="30"/>
          <w:highlight w:val="none"/>
        </w:rPr>
        <w:t>公章</w:t>
      </w:r>
      <w:r>
        <w:rPr>
          <w:rFonts w:ascii="宋体" w:hAnsi="宋体"/>
          <w:color w:val="auto"/>
          <w:szCs w:val="30"/>
          <w:highlight w:val="none"/>
        </w:rPr>
        <w:t>)</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承包人：</w:t>
      </w:r>
      <w:r>
        <w:rPr>
          <w:rFonts w:ascii="宋体" w:hAnsi="宋体"/>
          <w:color w:val="auto"/>
          <w:szCs w:val="30"/>
          <w:highlight w:val="none"/>
        </w:rPr>
        <w:t>(</w:t>
      </w:r>
      <w:r>
        <w:rPr>
          <w:rFonts w:hint="eastAsia" w:ascii="宋体" w:hAnsi="宋体"/>
          <w:color w:val="auto"/>
          <w:szCs w:val="30"/>
          <w:highlight w:val="none"/>
        </w:rPr>
        <w:t>公章</w:t>
      </w:r>
      <w:r>
        <w:rPr>
          <w:rFonts w:ascii="宋体" w:hAnsi="宋体"/>
          <w:color w:val="auto"/>
          <w:szCs w:val="30"/>
          <w:highlight w:val="none"/>
        </w:rPr>
        <w:t>)</w:t>
      </w:r>
    </w:p>
    <w:p w14:paraId="7A5A8D52">
      <w:pPr>
        <w:spacing w:line="480" w:lineRule="auto"/>
        <w:ind w:firstLine="799"/>
        <w:rPr>
          <w:rFonts w:hint="eastAsia" w:ascii="宋体" w:hAnsi="宋体"/>
          <w:color w:val="auto"/>
          <w:szCs w:val="30"/>
          <w:highlight w:val="none"/>
          <w:u w:val="single"/>
        </w:rPr>
      </w:pPr>
    </w:p>
    <w:p w14:paraId="15150334">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法定代表人或其委托代理人：</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法定代表人或其委托代理人：</w:t>
      </w:r>
    </w:p>
    <w:p w14:paraId="2071BC6E">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（签字或盖章）</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（签字或盖章）</w:t>
      </w:r>
    </w:p>
    <w:p w14:paraId="61B77290">
      <w:pPr>
        <w:spacing w:line="480" w:lineRule="auto"/>
        <w:ind w:firstLine="799"/>
        <w:rPr>
          <w:rFonts w:eastAsia="仿宋_GB2312"/>
          <w:color w:val="auto"/>
          <w:szCs w:val="30"/>
          <w:highlight w:val="none"/>
          <w:u w:val="single"/>
        </w:rPr>
      </w:pPr>
    </w:p>
    <w:p w14:paraId="75C885CD">
      <w:pPr>
        <w:tabs>
          <w:tab w:val="left" w:pos="4410"/>
        </w:tabs>
        <w:spacing w:line="480" w:lineRule="auto"/>
        <w:ind w:firstLine="799"/>
        <w:rPr>
          <w:rFonts w:hint="eastAsia" w:ascii="宋体" w:hAnsi="宋体"/>
          <w:color w:val="auto"/>
          <w:szCs w:val="30"/>
          <w:highlight w:val="none"/>
        </w:rPr>
      </w:pPr>
      <w:r>
        <w:rPr>
          <w:rFonts w:hint="eastAsia" w:ascii="宋体" w:hAnsi="宋体"/>
          <w:color w:val="auto"/>
          <w:szCs w:val="30"/>
          <w:highlight w:val="none"/>
        </w:rPr>
        <w:t>组织机构代码：</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组织机构代码：</w:t>
      </w:r>
    </w:p>
    <w:p w14:paraId="5F8197A8">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地址：</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地址：</w:t>
      </w:r>
    </w:p>
    <w:p w14:paraId="70A3FAE0">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邮政编码：</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邮政编码：</w:t>
      </w:r>
    </w:p>
    <w:p w14:paraId="24956D75">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法定代表人：</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法定代表人：</w:t>
      </w:r>
    </w:p>
    <w:p w14:paraId="3FEFD74D">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委托代理人：</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委托代理人：</w:t>
      </w:r>
    </w:p>
    <w:p w14:paraId="75B561E7">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电话：</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电话：</w:t>
      </w:r>
    </w:p>
    <w:p w14:paraId="0B38BD82">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传真：</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传真：</w:t>
      </w:r>
    </w:p>
    <w:p w14:paraId="52410DE2">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电子信箱：</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电子信箱：</w:t>
      </w:r>
    </w:p>
    <w:p w14:paraId="10CB8FC5">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开户银行：</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开户银行：</w:t>
      </w:r>
    </w:p>
    <w:p w14:paraId="2E95CAEC">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账号：</w:t>
      </w:r>
      <w:r>
        <w:rPr>
          <w:rFonts w:hint="eastAsia" w:ascii="宋体" w:hAnsi="宋体"/>
          <w:color w:val="auto"/>
          <w:szCs w:val="30"/>
          <w:highlight w:val="none"/>
          <w:lang w:val="en-US" w:eastAsia="zh-CN"/>
        </w:rPr>
        <w:t xml:space="preserve">                                                 </w:t>
      </w:r>
      <w:r>
        <w:rPr>
          <w:rFonts w:hint="eastAsia" w:ascii="宋体" w:hAnsi="宋体"/>
          <w:color w:val="auto"/>
          <w:szCs w:val="30"/>
          <w:highlight w:val="none"/>
        </w:rPr>
        <w:t>账号：</w:t>
      </w:r>
    </w:p>
    <w:p w14:paraId="128A2B5E">
      <w:pPr>
        <w:rPr>
          <w:rFonts w:hint="eastAsia" w:ascii="宋体" w:hAnsi="宋体" w:eastAsia="宋体"/>
          <w:b/>
          <w:bCs/>
          <w:color w:val="auto"/>
          <w:highlight w:val="none"/>
        </w:rPr>
      </w:pPr>
      <w:bookmarkStart w:id="109" w:name="_Toc498006745"/>
      <w:r>
        <w:rPr>
          <w:rFonts w:hint="eastAsia" w:ascii="宋体" w:hAnsi="宋体" w:eastAsia="宋体"/>
          <w:b/>
          <w:bCs/>
          <w:color w:val="auto"/>
          <w:highlight w:val="none"/>
        </w:rPr>
        <w:br w:type="page" w:clear="all"/>
      </w:r>
    </w:p>
    <w:p w14:paraId="586004B0">
      <w:pPr>
        <w:pStyle w:val="172"/>
        <w:ind w:firstLine="0"/>
        <w:jc w:val="center"/>
        <w:rPr>
          <w:rFonts w:hint="eastAsia" w:ascii="宋体" w:hAnsi="宋体" w:eastAsia="宋体"/>
          <w:b/>
          <w:bCs/>
          <w:color w:val="auto"/>
          <w:highlight w:val="none"/>
        </w:rPr>
      </w:pPr>
    </w:p>
    <w:p w14:paraId="1E38453A">
      <w:pPr>
        <w:pStyle w:val="172"/>
        <w:ind w:firstLine="0"/>
        <w:jc w:val="center"/>
        <w:rPr>
          <w:rFonts w:hint="eastAsia" w:ascii="宋体" w:hAnsi="宋体" w:eastAsia="宋体"/>
          <w:b/>
          <w:bCs/>
          <w:color w:val="auto"/>
          <w:highlight w:val="none"/>
        </w:rPr>
      </w:pPr>
    </w:p>
    <w:p w14:paraId="5E6BED95">
      <w:pPr>
        <w:pStyle w:val="172"/>
        <w:ind w:firstLine="0"/>
        <w:jc w:val="center"/>
        <w:rPr>
          <w:rFonts w:hint="eastAsia" w:ascii="宋体" w:hAnsi="宋体" w:eastAsia="宋体"/>
          <w:b/>
          <w:bCs/>
          <w:color w:val="auto"/>
          <w:highlight w:val="none"/>
        </w:rPr>
      </w:pPr>
      <w:r>
        <w:rPr>
          <w:rFonts w:hint="eastAsia" w:ascii="宋体" w:hAnsi="宋体" w:eastAsia="宋体"/>
          <w:b/>
          <w:bCs/>
          <w:color w:val="auto"/>
          <w:highlight w:val="none"/>
        </w:rPr>
        <w:t>第二部分通用合同条款</w:t>
      </w:r>
      <w:bookmarkEnd w:id="109"/>
    </w:p>
    <w:p w14:paraId="11A1F1F0">
      <w:pPr>
        <w:ind w:firstLine="480"/>
        <w:rPr>
          <w:rFonts w:hint="eastAsia" w:hAnsi="宋体"/>
          <w:color w:val="auto"/>
          <w:szCs w:val="21"/>
          <w:highlight w:val="none"/>
        </w:rPr>
      </w:pPr>
    </w:p>
    <w:p w14:paraId="5D72439D">
      <w:pPr>
        <w:ind w:firstLine="0"/>
        <w:jc w:val="center"/>
        <w:rPr>
          <w:rFonts w:hint="eastAsia" w:ascii="宋体" w:hAnsi="宋体" w:cs="宋体"/>
          <w:color w:val="auto"/>
          <w:szCs w:val="21"/>
          <w:highlight w:val="none"/>
        </w:rPr>
      </w:pPr>
      <w:r>
        <w:rPr>
          <w:rFonts w:hint="eastAsia" w:hAnsi="宋体"/>
          <w:b/>
          <w:color w:val="auto"/>
          <w:szCs w:val="21"/>
          <w:highlight w:val="none"/>
        </w:rPr>
        <w:t>采用《</w:t>
      </w:r>
      <w:r>
        <w:rPr>
          <w:rFonts w:hAnsi="宋体"/>
          <w:b/>
          <w:color w:val="auto"/>
          <w:szCs w:val="21"/>
          <w:highlight w:val="none"/>
        </w:rPr>
        <w:t>建设工程施工合同（示范文本）</w:t>
      </w:r>
      <w:r>
        <w:rPr>
          <w:rFonts w:hint="eastAsia" w:hAnsi="宋体"/>
          <w:b/>
          <w:color w:val="auto"/>
          <w:szCs w:val="21"/>
          <w:highlight w:val="none"/>
        </w:rPr>
        <w:t>》</w:t>
      </w:r>
      <w:r>
        <w:rPr>
          <w:rFonts w:hAnsi="宋体"/>
          <w:b/>
          <w:color w:val="auto"/>
          <w:szCs w:val="21"/>
          <w:highlight w:val="none"/>
        </w:rPr>
        <w:t>（GF—201</w:t>
      </w:r>
      <w:r>
        <w:rPr>
          <w:rFonts w:hint="eastAsia" w:hAnsi="宋体"/>
          <w:b/>
          <w:color w:val="auto"/>
          <w:szCs w:val="21"/>
          <w:highlight w:val="none"/>
        </w:rPr>
        <w:t>7</w:t>
      </w:r>
      <w:r>
        <w:rPr>
          <w:rFonts w:hAnsi="宋体"/>
          <w:b/>
          <w:color w:val="auto"/>
          <w:szCs w:val="21"/>
          <w:highlight w:val="none"/>
        </w:rPr>
        <w:t>—</w:t>
      </w:r>
      <w:r>
        <w:rPr>
          <w:rFonts w:hint="eastAsia" w:hAnsi="宋体"/>
          <w:b/>
          <w:color w:val="auto"/>
          <w:szCs w:val="21"/>
          <w:highlight w:val="none"/>
        </w:rPr>
        <w:t>0201）。</w:t>
      </w:r>
    </w:p>
    <w:p w14:paraId="1171C8D2">
      <w:pPr>
        <w:tabs>
          <w:tab w:val="left" w:pos="0"/>
        </w:tabs>
        <w:spacing w:line="540" w:lineRule="exact"/>
        <w:ind w:right="-36" w:firstLine="604"/>
        <w:rPr>
          <w:rFonts w:hint="eastAsia" w:ascii="宋体" w:hAnsi="宋体"/>
          <w:color w:val="auto"/>
          <w:highlight w:val="none"/>
        </w:rPr>
      </w:pPr>
    </w:p>
    <w:p w14:paraId="5BAC8777">
      <w:pPr>
        <w:pStyle w:val="172"/>
        <w:ind w:firstLine="0"/>
        <w:jc w:val="center"/>
        <w:rPr>
          <w:rFonts w:hint="eastAsia" w:ascii="宋体" w:hAnsi="宋体" w:eastAsia="宋体"/>
          <w:b/>
          <w:bCs/>
          <w:color w:val="auto"/>
          <w:highlight w:val="none"/>
        </w:rPr>
      </w:pPr>
      <w:r>
        <w:rPr>
          <w:rFonts w:ascii="宋体" w:hAnsi="宋体" w:eastAsia="宋体"/>
          <w:color w:val="auto"/>
          <w:highlight w:val="none"/>
        </w:rPr>
        <w:br w:type="page" w:clear="all"/>
      </w:r>
      <w:bookmarkStart w:id="110" w:name="_Toc498006746"/>
      <w:r>
        <w:rPr>
          <w:rFonts w:hint="eastAsia" w:ascii="宋体" w:hAnsi="宋体" w:eastAsia="宋体"/>
          <w:b/>
          <w:bCs/>
          <w:color w:val="auto"/>
          <w:highlight w:val="none"/>
        </w:rPr>
        <w:t>第三部分专用合同条款</w:t>
      </w:r>
      <w:bookmarkEnd w:id="110"/>
    </w:p>
    <w:p w14:paraId="25E351B0">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111" w:name="_Toc351203633"/>
      <w:r>
        <w:rPr>
          <w:rFonts w:ascii="宋体" w:hAnsi="宋体"/>
          <w:b w:val="0"/>
          <w:color w:val="auto"/>
          <w:sz w:val="24"/>
          <w:szCs w:val="24"/>
          <w:highlight w:val="none"/>
        </w:rPr>
        <w:t>1</w:t>
      </w:r>
      <w:bookmarkStart w:id="112" w:name="_Toc296347155"/>
      <w:bookmarkStart w:id="113" w:name="_Toc296890984"/>
      <w:bookmarkStart w:id="114" w:name="_Toc292559866"/>
      <w:bookmarkStart w:id="115" w:name="_Toc296503156"/>
      <w:bookmarkStart w:id="116" w:name="_Toc297048342"/>
      <w:bookmarkStart w:id="117" w:name="_Toc296944495"/>
      <w:bookmarkStart w:id="118" w:name="_Toc297120456"/>
      <w:bookmarkStart w:id="119" w:name="_Toc292559361"/>
      <w:bookmarkStart w:id="120" w:name="_Toc296346657"/>
      <w:bookmarkStart w:id="121" w:name="_Toc296891196"/>
      <w:r>
        <w:rPr>
          <w:rFonts w:ascii="宋体" w:hAnsi="宋体"/>
          <w:b w:val="0"/>
          <w:color w:val="auto"/>
          <w:sz w:val="24"/>
          <w:szCs w:val="24"/>
          <w:highlight w:val="none"/>
        </w:rPr>
        <w:t>.</w:t>
      </w:r>
      <w:r>
        <w:rPr>
          <w:rFonts w:hint="eastAsia" w:ascii="宋体" w:hAnsi="宋体"/>
          <w:b w:val="0"/>
          <w:color w:val="auto"/>
          <w:sz w:val="24"/>
          <w:szCs w:val="24"/>
          <w:highlight w:val="none"/>
        </w:rPr>
        <w:t>一般约定</w:t>
      </w:r>
      <w:bookmarkEnd w:id="111"/>
      <w:bookmarkEnd w:id="112"/>
      <w:bookmarkEnd w:id="113"/>
      <w:bookmarkEnd w:id="114"/>
      <w:bookmarkEnd w:id="115"/>
      <w:bookmarkEnd w:id="116"/>
      <w:bookmarkEnd w:id="117"/>
      <w:bookmarkEnd w:id="118"/>
      <w:bookmarkEnd w:id="119"/>
      <w:bookmarkEnd w:id="120"/>
      <w:bookmarkEnd w:id="121"/>
    </w:p>
    <w:p w14:paraId="249F98A5">
      <w:pPr>
        <w:pageBreakBefore w:val="0"/>
        <w:widowControl w:val="0"/>
        <w:spacing w:line="360" w:lineRule="auto"/>
        <w:ind w:left="0" w:right="0" w:firstLine="480"/>
        <w:outlineLvl w:val="0"/>
        <w:rPr>
          <w:rFonts w:ascii="宋体" w:hAnsi="宋体"/>
          <w:color w:val="auto"/>
          <w:sz w:val="24"/>
          <w:szCs w:val="24"/>
          <w:highlight w:val="none"/>
        </w:rPr>
      </w:pPr>
      <w:bookmarkStart w:id="122" w:name="_Toc2967"/>
      <w:bookmarkStart w:id="123" w:name="_Toc17325"/>
      <w:r>
        <w:rPr>
          <w:rFonts w:ascii="宋体" w:hAnsi="宋体"/>
          <w:color w:val="auto"/>
          <w:sz w:val="24"/>
          <w:szCs w:val="24"/>
          <w:highlight w:val="none"/>
        </w:rPr>
        <w:t>1.1</w:t>
      </w:r>
      <w:r>
        <w:rPr>
          <w:rFonts w:hint="eastAsia" w:ascii="宋体" w:hAnsi="宋体"/>
          <w:color w:val="auto"/>
          <w:sz w:val="24"/>
          <w:szCs w:val="24"/>
          <w:highlight w:val="none"/>
        </w:rPr>
        <w:t>词语定义</w:t>
      </w:r>
      <w:bookmarkEnd w:id="122"/>
      <w:bookmarkEnd w:id="123"/>
    </w:p>
    <w:p w14:paraId="1E60CF3E">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1.1.1</w:t>
      </w:r>
      <w:r>
        <w:rPr>
          <w:rFonts w:hint="eastAsia" w:ascii="宋体" w:hAnsi="宋体"/>
          <w:color w:val="auto"/>
          <w:sz w:val="24"/>
          <w:szCs w:val="24"/>
          <w:highlight w:val="none"/>
        </w:rPr>
        <w:t>合同</w:t>
      </w:r>
    </w:p>
    <w:p w14:paraId="6FDECBD9">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1.1.1.10</w:t>
      </w:r>
      <w:r>
        <w:rPr>
          <w:rFonts w:hint="eastAsia" w:ascii="宋体" w:hAnsi="宋体"/>
          <w:color w:val="auto"/>
          <w:sz w:val="24"/>
          <w:szCs w:val="24"/>
          <w:highlight w:val="none"/>
        </w:rPr>
        <w:t>其他合同文件包括：</w:t>
      </w:r>
      <w:r>
        <w:rPr>
          <w:rFonts w:ascii="宋体" w:hAnsi="宋体"/>
          <w:color w:val="auto"/>
          <w:sz w:val="24"/>
          <w:szCs w:val="24"/>
          <w:highlight w:val="none"/>
          <w:u w:val="single"/>
        </w:rPr>
        <w:t>合同履行中，发包人、承包人有关工程的洽商、变更等书面协议或文件视为本合同的组成部分</w:t>
      </w:r>
      <w:r>
        <w:rPr>
          <w:rFonts w:hint="eastAsia" w:ascii="宋体" w:hAnsi="宋体"/>
          <w:color w:val="auto"/>
          <w:sz w:val="24"/>
          <w:szCs w:val="24"/>
          <w:highlight w:val="none"/>
        </w:rPr>
        <w:t>。</w:t>
      </w:r>
    </w:p>
    <w:p w14:paraId="53BDCAD7">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1.1.2合同当事人及其他相关方</w:t>
      </w:r>
    </w:p>
    <w:p w14:paraId="2B581D57">
      <w:pPr>
        <w:pageBreakBefore w:val="0"/>
        <w:widowControl w:val="0"/>
        <w:spacing w:line="360" w:lineRule="auto"/>
        <w:ind w:left="0" w:right="0" w:firstLine="48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1.1.2.4监理人：</w:t>
      </w:r>
      <w:r>
        <w:rPr>
          <w:rFonts w:hint="eastAsia" w:ascii="宋体" w:hAnsi="宋体" w:cs="宋体"/>
          <w:color w:val="auto"/>
          <w:sz w:val="24"/>
          <w:szCs w:val="24"/>
          <w:highlight w:val="none"/>
          <w:u w:val="single"/>
        </w:rPr>
        <w:t>详见监理合同</w:t>
      </w:r>
      <w:r>
        <w:rPr>
          <w:rFonts w:hint="eastAsia" w:ascii="宋体" w:hAnsi="宋体" w:cs="宋体"/>
          <w:color w:val="auto"/>
          <w:sz w:val="24"/>
          <w:szCs w:val="24"/>
          <w:highlight w:val="none"/>
          <w:u w:val="single"/>
          <w:lang w:eastAsia="zh-CN"/>
        </w:rPr>
        <w:t>。</w:t>
      </w:r>
    </w:p>
    <w:p w14:paraId="28592BA6">
      <w:pPr>
        <w:pageBreakBefore w:val="0"/>
        <w:widowControl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1.1.2.5设计人：</w:t>
      </w:r>
      <w:r>
        <w:rPr>
          <w:rFonts w:hint="eastAsia" w:ascii="宋体" w:hAnsi="宋体" w:cs="宋体"/>
          <w:color w:val="auto"/>
          <w:sz w:val="24"/>
          <w:szCs w:val="24"/>
          <w:highlight w:val="none"/>
          <w:u w:val="single"/>
        </w:rPr>
        <w:t>详见设计合同</w:t>
      </w:r>
      <w:r>
        <w:rPr>
          <w:rFonts w:hint="eastAsia" w:ascii="宋体" w:hAnsi="宋体" w:cs="宋体"/>
          <w:color w:val="auto"/>
          <w:sz w:val="24"/>
          <w:szCs w:val="24"/>
          <w:highlight w:val="none"/>
          <w:u w:val="single"/>
          <w:lang w:eastAsia="zh-CN"/>
        </w:rPr>
        <w:t>。</w:t>
      </w:r>
    </w:p>
    <w:p w14:paraId="3340E56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1.1.3</w:t>
      </w:r>
      <w:r>
        <w:rPr>
          <w:rFonts w:hint="eastAsia" w:ascii="宋体" w:hAnsi="宋体"/>
          <w:color w:val="auto"/>
          <w:sz w:val="24"/>
          <w:szCs w:val="24"/>
          <w:highlight w:val="none"/>
        </w:rPr>
        <w:t>工程和设备</w:t>
      </w:r>
    </w:p>
    <w:p w14:paraId="15808C49">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1.1.3.7作为施工现场组成部分的其他场所包括：</w:t>
      </w:r>
      <w:r>
        <w:rPr>
          <w:rFonts w:hint="eastAsia" w:ascii="宋体" w:hAnsi="宋体" w:cs="宋体"/>
          <w:color w:val="auto"/>
          <w:sz w:val="24"/>
          <w:szCs w:val="24"/>
          <w:highlight w:val="none"/>
          <w:u w:val="single"/>
        </w:rPr>
        <w:t>临时设施及永久占地</w:t>
      </w:r>
      <w:r>
        <w:rPr>
          <w:rFonts w:hint="eastAsia" w:ascii="宋体" w:hAnsi="宋体" w:cs="宋体"/>
          <w:color w:val="auto"/>
          <w:sz w:val="24"/>
          <w:szCs w:val="24"/>
          <w:highlight w:val="none"/>
        </w:rPr>
        <w:t>。</w:t>
      </w:r>
    </w:p>
    <w:p w14:paraId="7CF01AE8">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1.1.3.9永久占地包括：</w:t>
      </w:r>
      <w:r>
        <w:rPr>
          <w:rFonts w:hint="eastAsia" w:ascii="宋体" w:hAnsi="宋体" w:cs="宋体"/>
          <w:color w:val="auto"/>
          <w:sz w:val="24"/>
          <w:szCs w:val="24"/>
          <w:highlight w:val="none"/>
          <w:u w:val="single"/>
        </w:rPr>
        <w:t>红线范围内</w:t>
      </w:r>
      <w:r>
        <w:rPr>
          <w:rFonts w:hint="eastAsia" w:ascii="宋体" w:hAnsi="宋体" w:cs="宋体"/>
          <w:color w:val="auto"/>
          <w:sz w:val="24"/>
          <w:szCs w:val="24"/>
          <w:highlight w:val="none"/>
        </w:rPr>
        <w:t>。</w:t>
      </w:r>
    </w:p>
    <w:p w14:paraId="1B03C3E6">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1.1.3.10临时占地包括：</w:t>
      </w:r>
      <w:r>
        <w:rPr>
          <w:rFonts w:hint="eastAsia" w:ascii="宋体" w:hAnsi="宋体" w:cs="宋体"/>
          <w:color w:val="auto"/>
          <w:sz w:val="24"/>
          <w:szCs w:val="24"/>
          <w:highlight w:val="none"/>
          <w:u w:val="single"/>
        </w:rPr>
        <w:t>项目部及生产生活用地等</w:t>
      </w:r>
      <w:r>
        <w:rPr>
          <w:rFonts w:hint="eastAsia" w:ascii="宋体" w:hAnsi="宋体" w:cs="宋体"/>
          <w:color w:val="auto"/>
          <w:sz w:val="24"/>
          <w:szCs w:val="24"/>
          <w:highlight w:val="none"/>
        </w:rPr>
        <w:t>。</w:t>
      </w:r>
    </w:p>
    <w:p w14:paraId="0FFDF1F3">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1.3</w:t>
      </w:r>
      <w:r>
        <w:rPr>
          <w:rFonts w:hint="eastAsia" w:ascii="宋体" w:hAnsi="宋体"/>
          <w:color w:val="auto"/>
          <w:sz w:val="24"/>
          <w:szCs w:val="24"/>
          <w:highlight w:val="none"/>
        </w:rPr>
        <w:t>法律</w:t>
      </w:r>
    </w:p>
    <w:p w14:paraId="12B3213D">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适用于合同的其他规范性文件：</w:t>
      </w:r>
      <w:r>
        <w:rPr>
          <w:rFonts w:hint="eastAsia" w:ascii="宋体" w:hAnsi="宋体"/>
          <w:color w:val="auto"/>
          <w:sz w:val="24"/>
          <w:szCs w:val="24"/>
          <w:highlight w:val="none"/>
          <w:u w:val="single"/>
        </w:rPr>
        <w:t>《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auto"/>
          <w:sz w:val="24"/>
          <w:szCs w:val="24"/>
          <w:highlight w:val="none"/>
          <w:u w:val="single"/>
        </w:rPr>
        <w:t>。</w:t>
      </w:r>
    </w:p>
    <w:p w14:paraId="0E039A26">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1.4</w:t>
      </w:r>
      <w:r>
        <w:rPr>
          <w:rFonts w:hint="eastAsia" w:ascii="宋体" w:hAnsi="宋体"/>
          <w:color w:val="auto"/>
          <w:sz w:val="24"/>
          <w:szCs w:val="24"/>
          <w:highlight w:val="none"/>
        </w:rPr>
        <w:t>标准和规范</w:t>
      </w:r>
    </w:p>
    <w:p w14:paraId="6116E949">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1.4.1</w:t>
      </w:r>
      <w:r>
        <w:rPr>
          <w:rFonts w:hint="eastAsia" w:ascii="宋体" w:hAnsi="宋体"/>
          <w:color w:val="auto"/>
          <w:sz w:val="24"/>
          <w:szCs w:val="24"/>
          <w:highlight w:val="none"/>
        </w:rPr>
        <w:t>适用于工程的标准规范包括：</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57E96717">
      <w:pPr>
        <w:pageBreakBefore w:val="0"/>
        <w:widowControl w:val="0"/>
        <w:spacing w:line="360" w:lineRule="auto"/>
        <w:ind w:left="0" w:right="0" w:firstLine="480"/>
        <w:outlineLvl w:val="0"/>
        <w:rPr>
          <w:rFonts w:ascii="宋体" w:hAnsi="宋体"/>
          <w:color w:val="auto"/>
          <w:sz w:val="24"/>
          <w:szCs w:val="24"/>
          <w:highlight w:val="none"/>
        </w:rPr>
      </w:pPr>
      <w:bookmarkStart w:id="124" w:name="_Toc28788"/>
      <w:bookmarkStart w:id="125" w:name="_Toc23427"/>
      <w:r>
        <w:rPr>
          <w:rFonts w:ascii="宋体" w:hAnsi="宋体"/>
          <w:color w:val="auto"/>
          <w:sz w:val="24"/>
          <w:szCs w:val="24"/>
          <w:highlight w:val="none"/>
        </w:rPr>
        <w:t>1.4.2</w:t>
      </w:r>
      <w:r>
        <w:rPr>
          <w:rFonts w:hint="eastAsia" w:ascii="宋体" w:hAnsi="宋体"/>
          <w:color w:val="auto"/>
          <w:sz w:val="24"/>
          <w:szCs w:val="24"/>
          <w:highlight w:val="none"/>
        </w:rPr>
        <w:t>发包人提供国外标准、规范的名称：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124"/>
      <w:bookmarkEnd w:id="125"/>
    </w:p>
    <w:p w14:paraId="7073E7E4">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发包人提供国外标准、规范的份数：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4F9C9C12">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发包人提供国外标准、规范的名称：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6EBD167">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1.4.3</w:t>
      </w:r>
      <w:r>
        <w:rPr>
          <w:rFonts w:hint="eastAsia" w:ascii="宋体" w:hAnsi="宋体"/>
          <w:color w:val="auto"/>
          <w:sz w:val="24"/>
          <w:szCs w:val="24"/>
          <w:highlight w:val="none"/>
        </w:rPr>
        <w:t>发包人对工程的技术标准和功能要求的特殊要求：</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11184905">
      <w:pPr>
        <w:pageBreakBefore w:val="0"/>
        <w:widowControl w:val="0"/>
        <w:spacing w:line="360" w:lineRule="auto"/>
        <w:ind w:left="0" w:right="0" w:firstLine="480"/>
        <w:outlineLvl w:val="0"/>
        <w:rPr>
          <w:rFonts w:ascii="宋体" w:hAnsi="宋体"/>
          <w:color w:val="auto"/>
          <w:sz w:val="24"/>
          <w:szCs w:val="24"/>
          <w:highlight w:val="none"/>
        </w:rPr>
      </w:pPr>
      <w:bookmarkStart w:id="126" w:name="_Toc13286"/>
      <w:bookmarkStart w:id="127" w:name="_Toc26813"/>
      <w:r>
        <w:rPr>
          <w:rFonts w:ascii="宋体" w:hAnsi="宋体"/>
          <w:color w:val="auto"/>
          <w:sz w:val="24"/>
          <w:szCs w:val="24"/>
          <w:highlight w:val="none"/>
        </w:rPr>
        <w:t>1.5</w:t>
      </w:r>
      <w:r>
        <w:rPr>
          <w:rFonts w:hint="eastAsia" w:ascii="宋体" w:hAnsi="宋体"/>
          <w:color w:val="auto"/>
          <w:sz w:val="24"/>
          <w:szCs w:val="24"/>
          <w:highlight w:val="none"/>
        </w:rPr>
        <w:t>合同文件的优先顺序</w:t>
      </w:r>
      <w:bookmarkEnd w:id="126"/>
      <w:bookmarkEnd w:id="127"/>
    </w:p>
    <w:p w14:paraId="0A68B437">
      <w:pPr>
        <w:pStyle w:val="531"/>
        <w:pageBreakBefore w:val="0"/>
        <w:widowControl w:val="0"/>
        <w:spacing w:after="0"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合同文件组成及优先顺序为：</w:t>
      </w:r>
      <w:r>
        <w:rPr>
          <w:rFonts w:ascii="宋体" w:hAnsi="宋体"/>
          <w:color w:val="auto"/>
          <w:sz w:val="24"/>
          <w:szCs w:val="24"/>
          <w:highlight w:val="none"/>
          <w:u w:val="single"/>
        </w:rPr>
        <w:t>（1）合同协议书；（2）中标通知书；（3）投标函及其附录；（4）专用合同条款及其附件；（5）通用合同条款；（6）</w:t>
      </w:r>
      <w:r>
        <w:rPr>
          <w:rFonts w:hint="eastAsia" w:ascii="宋体" w:hAnsi="宋体"/>
          <w:color w:val="auto"/>
          <w:sz w:val="24"/>
          <w:szCs w:val="24"/>
          <w:highlight w:val="none"/>
          <w:u w:val="single"/>
        </w:rPr>
        <w:t>招标函及招标函附录</w:t>
      </w:r>
      <w:r>
        <w:rPr>
          <w:rFonts w:ascii="宋体" w:hAnsi="宋体"/>
          <w:color w:val="auto"/>
          <w:sz w:val="24"/>
          <w:szCs w:val="24"/>
          <w:highlight w:val="none"/>
          <w:u w:val="single"/>
        </w:rPr>
        <w:t>；</w:t>
      </w:r>
      <w:r>
        <w:rPr>
          <w:rFonts w:hint="eastAsia" w:ascii="宋体" w:hAnsi="宋体"/>
          <w:color w:val="auto"/>
          <w:sz w:val="24"/>
          <w:szCs w:val="24"/>
          <w:highlight w:val="none"/>
          <w:u w:val="single"/>
        </w:rPr>
        <w:t>（7）</w:t>
      </w:r>
      <w:r>
        <w:rPr>
          <w:rFonts w:ascii="宋体" w:hAnsi="宋体"/>
          <w:color w:val="auto"/>
          <w:sz w:val="24"/>
          <w:szCs w:val="24"/>
          <w:highlight w:val="none"/>
          <w:u w:val="single"/>
        </w:rPr>
        <w:t>技术标准和要求；（</w:t>
      </w:r>
      <w:r>
        <w:rPr>
          <w:rFonts w:hint="eastAsia" w:ascii="宋体" w:hAnsi="宋体"/>
          <w:color w:val="auto"/>
          <w:sz w:val="24"/>
          <w:szCs w:val="24"/>
          <w:highlight w:val="none"/>
          <w:u w:val="single"/>
        </w:rPr>
        <w:t>8</w:t>
      </w:r>
      <w:r>
        <w:rPr>
          <w:rFonts w:ascii="宋体" w:hAnsi="宋体"/>
          <w:color w:val="auto"/>
          <w:sz w:val="24"/>
          <w:szCs w:val="24"/>
          <w:highlight w:val="none"/>
          <w:u w:val="single"/>
        </w:rPr>
        <w:t>）图纸；（</w:t>
      </w:r>
      <w:r>
        <w:rPr>
          <w:rFonts w:hint="eastAsia" w:ascii="宋体" w:hAnsi="宋体"/>
          <w:color w:val="auto"/>
          <w:sz w:val="24"/>
          <w:szCs w:val="24"/>
          <w:highlight w:val="none"/>
          <w:u w:val="single"/>
        </w:rPr>
        <w:t>9</w:t>
      </w:r>
      <w:r>
        <w:rPr>
          <w:rFonts w:ascii="宋体" w:hAnsi="宋体"/>
          <w:color w:val="auto"/>
          <w:sz w:val="24"/>
          <w:szCs w:val="24"/>
          <w:highlight w:val="none"/>
          <w:u w:val="single"/>
        </w:rPr>
        <w:t>）已标价工程量清单或预算书；（</w:t>
      </w:r>
      <w:r>
        <w:rPr>
          <w:rFonts w:hint="eastAsia" w:ascii="宋体" w:hAnsi="宋体"/>
          <w:color w:val="auto"/>
          <w:sz w:val="24"/>
          <w:szCs w:val="24"/>
          <w:highlight w:val="none"/>
          <w:u w:val="single"/>
        </w:rPr>
        <w:t>10</w:t>
      </w:r>
      <w:r>
        <w:rPr>
          <w:rFonts w:ascii="宋体" w:hAnsi="宋体"/>
          <w:color w:val="auto"/>
          <w:sz w:val="24"/>
          <w:szCs w:val="24"/>
          <w:highlight w:val="none"/>
          <w:u w:val="single"/>
        </w:rPr>
        <w:t>）其他合同文件</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lang w:val="en-US" w:eastAsia="zh-CN"/>
        </w:rPr>
        <w:t>含招标文件</w:t>
      </w:r>
      <w:r>
        <w:rPr>
          <w:rFonts w:hint="eastAsia" w:ascii="宋体" w:hAnsi="宋体"/>
          <w:color w:val="auto"/>
          <w:sz w:val="24"/>
          <w:szCs w:val="24"/>
          <w:highlight w:val="none"/>
          <w:u w:val="single"/>
          <w:lang w:eastAsia="zh-CN"/>
        </w:rPr>
        <w:t>）</w:t>
      </w:r>
      <w:r>
        <w:rPr>
          <w:rFonts w:ascii="宋体" w:hAnsi="宋体"/>
          <w:color w:val="auto"/>
          <w:sz w:val="24"/>
          <w:szCs w:val="24"/>
          <w:highlight w:val="none"/>
          <w:u w:val="single"/>
        </w:rPr>
        <w:t>。</w:t>
      </w:r>
    </w:p>
    <w:p w14:paraId="41689219">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上述各项合同文件包括合同当事人就该项合同文件所作出的补充和修改，属于同一类内容的文件，应以最新签署的为准。</w:t>
      </w:r>
    </w:p>
    <w:p w14:paraId="0EE55901">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s="宋体"/>
          <w:color w:val="auto"/>
          <w:sz w:val="24"/>
          <w:szCs w:val="24"/>
          <w:highlight w:val="none"/>
          <w:lang w:bidi="ar"/>
        </w:rPr>
        <w:t>在合同订立及履行过程中形成的与合同有关的文件均构成合同文件组成部分，并根据其性质确定优先解释顺序。</w:t>
      </w:r>
    </w:p>
    <w:p w14:paraId="63478561">
      <w:pPr>
        <w:pageBreakBefore w:val="0"/>
        <w:widowControl w:val="0"/>
        <w:spacing w:line="360" w:lineRule="auto"/>
        <w:ind w:left="0" w:right="0" w:firstLine="480"/>
        <w:outlineLvl w:val="0"/>
        <w:rPr>
          <w:rFonts w:ascii="宋体" w:hAnsi="宋体"/>
          <w:color w:val="auto"/>
          <w:sz w:val="24"/>
          <w:szCs w:val="24"/>
          <w:highlight w:val="none"/>
        </w:rPr>
      </w:pPr>
      <w:bookmarkStart w:id="128" w:name="_Toc13177"/>
      <w:bookmarkStart w:id="129" w:name="_Toc14390"/>
      <w:r>
        <w:rPr>
          <w:rFonts w:ascii="宋体" w:hAnsi="宋体"/>
          <w:color w:val="auto"/>
          <w:sz w:val="24"/>
          <w:szCs w:val="24"/>
          <w:highlight w:val="none"/>
        </w:rPr>
        <w:t>1.6</w:t>
      </w:r>
      <w:r>
        <w:rPr>
          <w:rFonts w:hint="eastAsia" w:ascii="宋体" w:hAnsi="宋体"/>
          <w:color w:val="auto"/>
          <w:sz w:val="24"/>
          <w:szCs w:val="24"/>
          <w:highlight w:val="none"/>
        </w:rPr>
        <w:t>图纸和承包人文件</w:t>
      </w:r>
      <w:bookmarkEnd w:id="128"/>
      <w:bookmarkEnd w:id="129"/>
      <w:r>
        <w:rPr>
          <w:rFonts w:ascii="宋体" w:hAnsi="宋体"/>
          <w:color w:val="auto"/>
          <w:sz w:val="24"/>
          <w:szCs w:val="24"/>
          <w:highlight w:val="none"/>
        </w:rPr>
        <w:tab/>
      </w:r>
    </w:p>
    <w:p w14:paraId="7E5EB186">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1.6.1</w:t>
      </w:r>
      <w:r>
        <w:rPr>
          <w:rFonts w:hint="eastAsia" w:ascii="宋体" w:hAnsi="宋体"/>
          <w:color w:val="auto"/>
          <w:sz w:val="24"/>
          <w:szCs w:val="24"/>
          <w:highlight w:val="none"/>
        </w:rPr>
        <w:t>图纸的提供</w:t>
      </w:r>
    </w:p>
    <w:p w14:paraId="20479C53">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发包人向承包人提供图纸的期限：</w:t>
      </w:r>
      <w:r>
        <w:rPr>
          <w:rFonts w:ascii="宋体" w:hAnsi="宋体"/>
          <w:color w:val="auto"/>
          <w:sz w:val="24"/>
          <w:szCs w:val="24"/>
          <w:highlight w:val="none"/>
          <w:u w:val="single"/>
        </w:rPr>
        <w:t>合同签订后3天内</w:t>
      </w:r>
      <w:r>
        <w:rPr>
          <w:rFonts w:hint="eastAsia" w:ascii="宋体" w:hAnsi="宋体"/>
          <w:color w:val="auto"/>
          <w:sz w:val="24"/>
          <w:szCs w:val="24"/>
          <w:highlight w:val="none"/>
        </w:rPr>
        <w:t>；</w:t>
      </w:r>
    </w:p>
    <w:p w14:paraId="19586140">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发包人向承包人提供图纸的数量：</w:t>
      </w:r>
      <w:r>
        <w:rPr>
          <w:rFonts w:hint="eastAsia" w:ascii="宋体" w:hAnsi="宋体" w:cs="宋体"/>
          <w:color w:val="auto"/>
          <w:sz w:val="24"/>
          <w:szCs w:val="24"/>
          <w:highlight w:val="none"/>
          <w:u w:val="single"/>
        </w:rPr>
        <w:t>开工前提供全套施工图纸</w:t>
      </w:r>
      <w:r>
        <w:rPr>
          <w:rFonts w:hint="eastAsia" w:ascii="宋体" w:hAnsi="宋体"/>
          <w:color w:val="auto"/>
          <w:sz w:val="24"/>
          <w:szCs w:val="24"/>
          <w:highlight w:val="none"/>
          <w:u w:val="single"/>
        </w:rPr>
        <w:t>2套；若承包人需增加图纸份数，经发包人同意后由承包人复制，费用由承包人承担</w:t>
      </w:r>
      <w:r>
        <w:rPr>
          <w:rFonts w:hint="eastAsia" w:ascii="宋体" w:hAnsi="宋体"/>
          <w:color w:val="auto"/>
          <w:sz w:val="24"/>
          <w:szCs w:val="24"/>
          <w:highlight w:val="none"/>
        </w:rPr>
        <w:t>；</w:t>
      </w:r>
    </w:p>
    <w:p w14:paraId="7C9DE988">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发包人向承包人提供图纸的内容：</w:t>
      </w:r>
      <w:r>
        <w:rPr>
          <w:rFonts w:hint="eastAsia" w:ascii="宋体" w:hAnsi="宋体"/>
          <w:color w:val="auto"/>
          <w:sz w:val="24"/>
          <w:szCs w:val="24"/>
          <w:highlight w:val="none"/>
          <w:u w:val="single"/>
        </w:rPr>
        <w:t>施工图纸</w:t>
      </w:r>
      <w:r>
        <w:rPr>
          <w:rFonts w:hint="eastAsia" w:ascii="宋体" w:hAnsi="宋体"/>
          <w:color w:val="auto"/>
          <w:sz w:val="24"/>
          <w:szCs w:val="24"/>
          <w:highlight w:val="none"/>
        </w:rPr>
        <w:t>。</w:t>
      </w:r>
    </w:p>
    <w:p w14:paraId="085346E7">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1.6.4</w:t>
      </w:r>
      <w:r>
        <w:rPr>
          <w:rFonts w:hint="eastAsia" w:ascii="宋体" w:hAnsi="宋体"/>
          <w:color w:val="auto"/>
          <w:sz w:val="24"/>
          <w:szCs w:val="24"/>
          <w:highlight w:val="none"/>
        </w:rPr>
        <w:t>承包人文件</w:t>
      </w:r>
    </w:p>
    <w:p w14:paraId="52AAAD6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需要由承包人提供的文件，包括：</w:t>
      </w:r>
      <w:r>
        <w:rPr>
          <w:rFonts w:hint="eastAsia" w:ascii="宋体" w:hAnsi="宋体"/>
          <w:color w:val="auto"/>
          <w:sz w:val="24"/>
          <w:szCs w:val="24"/>
          <w:highlight w:val="none"/>
          <w:u w:val="single"/>
        </w:rPr>
        <w:t>施工组织方案、施工进度计划，材料计划。已完工程量报表（含工程变更及签证预算）、承包人购</w:t>
      </w:r>
      <w:r>
        <w:rPr>
          <w:rFonts w:hint="eastAsia" w:ascii="宋体" w:hAnsi="宋体"/>
          <w:color w:val="auto"/>
          <w:sz w:val="24"/>
          <w:szCs w:val="24"/>
          <w:highlight w:val="none"/>
          <w:u w:val="single"/>
          <w:lang w:val="en-US" w:eastAsia="zh-CN"/>
        </w:rPr>
        <w:t>买</w:t>
      </w:r>
      <w:r>
        <w:rPr>
          <w:rFonts w:hint="eastAsia" w:ascii="宋体" w:hAnsi="宋体"/>
          <w:color w:val="auto"/>
          <w:sz w:val="24"/>
          <w:szCs w:val="24"/>
          <w:highlight w:val="none"/>
          <w:u w:val="single"/>
        </w:rPr>
        <w:t>材料清单、劳动力及用款计划等及发包人要求提供的其他资料</w:t>
      </w:r>
      <w:r>
        <w:rPr>
          <w:rFonts w:hint="eastAsia" w:ascii="宋体" w:hAnsi="宋体"/>
          <w:color w:val="auto"/>
          <w:sz w:val="24"/>
          <w:szCs w:val="24"/>
          <w:highlight w:val="none"/>
        </w:rPr>
        <w:t>；</w:t>
      </w:r>
    </w:p>
    <w:p w14:paraId="3B76C42B">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承包人提供的文件的期限为：</w:t>
      </w:r>
      <w:r>
        <w:rPr>
          <w:rFonts w:hint="eastAsia" w:ascii="宋体" w:hAnsi="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auto"/>
          <w:sz w:val="24"/>
          <w:szCs w:val="24"/>
          <w:highlight w:val="none"/>
          <w:u w:val="single"/>
          <w:lang w:val="en-US" w:eastAsia="zh-CN"/>
        </w:rPr>
        <w:t>买</w:t>
      </w:r>
      <w:r>
        <w:rPr>
          <w:rFonts w:hint="eastAsia" w:ascii="宋体" w:hAnsi="宋体"/>
          <w:color w:val="auto"/>
          <w:sz w:val="24"/>
          <w:szCs w:val="24"/>
          <w:highlight w:val="none"/>
          <w:u w:val="single"/>
        </w:rPr>
        <w:t>材料清单、材料进场计划、劳动力及用款计划等及发包人要求提供的其他资料</w:t>
      </w:r>
      <w:r>
        <w:rPr>
          <w:rFonts w:hint="eastAsia" w:ascii="宋体" w:hAnsi="宋体"/>
          <w:color w:val="auto"/>
          <w:sz w:val="24"/>
          <w:szCs w:val="24"/>
          <w:highlight w:val="none"/>
        </w:rPr>
        <w:t>；</w:t>
      </w:r>
    </w:p>
    <w:p w14:paraId="3BC28D7C">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承包人提供的文件的数量为：</w:t>
      </w:r>
      <w:r>
        <w:rPr>
          <w:rFonts w:hint="eastAsia" w:ascii="宋体" w:hAnsi="宋体"/>
          <w:color w:val="auto"/>
          <w:sz w:val="24"/>
          <w:szCs w:val="24"/>
          <w:highlight w:val="none"/>
          <w:u w:val="single"/>
        </w:rPr>
        <w:t>3套</w:t>
      </w:r>
      <w:r>
        <w:rPr>
          <w:rFonts w:hint="eastAsia" w:ascii="宋体" w:hAnsi="宋体"/>
          <w:color w:val="auto"/>
          <w:sz w:val="24"/>
          <w:szCs w:val="24"/>
          <w:highlight w:val="none"/>
        </w:rPr>
        <w:t>；</w:t>
      </w:r>
    </w:p>
    <w:p w14:paraId="6CCC63E6">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承包人提供的文件的形式为：</w:t>
      </w:r>
      <w:r>
        <w:rPr>
          <w:rFonts w:hint="eastAsia" w:ascii="宋体" w:hAnsi="宋体"/>
          <w:color w:val="auto"/>
          <w:sz w:val="24"/>
          <w:szCs w:val="24"/>
          <w:highlight w:val="none"/>
          <w:u w:val="single"/>
        </w:rPr>
        <w:t>书面文件</w:t>
      </w:r>
      <w:r>
        <w:rPr>
          <w:rFonts w:hint="eastAsia" w:ascii="宋体" w:hAnsi="宋体"/>
          <w:color w:val="auto"/>
          <w:sz w:val="24"/>
          <w:szCs w:val="24"/>
          <w:highlight w:val="none"/>
        </w:rPr>
        <w:t>；</w:t>
      </w:r>
    </w:p>
    <w:p w14:paraId="3B65C75F">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发包人审批承包人文件的期限：</w:t>
      </w:r>
      <w:r>
        <w:rPr>
          <w:rFonts w:hint="eastAsia" w:ascii="宋体" w:hAnsi="宋体"/>
          <w:color w:val="auto"/>
          <w:sz w:val="24"/>
          <w:szCs w:val="24"/>
          <w:highlight w:val="none"/>
          <w:u w:val="single"/>
        </w:rPr>
        <w:t>收到书面文件后7日内</w:t>
      </w:r>
      <w:r>
        <w:rPr>
          <w:rFonts w:hint="eastAsia" w:ascii="宋体" w:hAnsi="宋体"/>
          <w:color w:val="auto"/>
          <w:sz w:val="24"/>
          <w:szCs w:val="24"/>
          <w:highlight w:val="none"/>
        </w:rPr>
        <w:t>。</w:t>
      </w:r>
    </w:p>
    <w:p w14:paraId="7E8844AF">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1.6.5</w:t>
      </w:r>
      <w:r>
        <w:rPr>
          <w:rFonts w:hint="eastAsia" w:ascii="宋体" w:hAnsi="宋体"/>
          <w:color w:val="auto"/>
          <w:sz w:val="24"/>
          <w:szCs w:val="24"/>
          <w:highlight w:val="none"/>
        </w:rPr>
        <w:t>现场图纸准备</w:t>
      </w:r>
    </w:p>
    <w:p w14:paraId="70872C9B">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关于现场图纸准备的约定：</w:t>
      </w:r>
      <w:r>
        <w:rPr>
          <w:rFonts w:ascii="宋体" w:hAnsi="宋体"/>
          <w:color w:val="auto"/>
          <w:sz w:val="24"/>
          <w:szCs w:val="24"/>
          <w:highlight w:val="none"/>
          <w:u w:val="single"/>
        </w:rPr>
        <w:t>承包人应在施工现场保留一套完整图纸，供工程师及有关人员进行工程检查时使用</w:t>
      </w:r>
      <w:r>
        <w:rPr>
          <w:rFonts w:hint="eastAsia" w:ascii="宋体" w:hAnsi="宋体"/>
          <w:color w:val="auto"/>
          <w:sz w:val="24"/>
          <w:szCs w:val="24"/>
          <w:highlight w:val="none"/>
        </w:rPr>
        <w:t>。</w:t>
      </w:r>
    </w:p>
    <w:p w14:paraId="31173AFF">
      <w:pPr>
        <w:pageBreakBefore w:val="0"/>
        <w:widowControl w:val="0"/>
        <w:spacing w:line="360" w:lineRule="auto"/>
        <w:ind w:left="0" w:right="0" w:firstLine="480"/>
        <w:outlineLvl w:val="0"/>
        <w:rPr>
          <w:rFonts w:ascii="宋体" w:hAnsi="宋体"/>
          <w:color w:val="auto"/>
          <w:sz w:val="24"/>
          <w:szCs w:val="24"/>
          <w:highlight w:val="none"/>
        </w:rPr>
      </w:pPr>
      <w:bookmarkStart w:id="130" w:name="_Toc17476"/>
      <w:bookmarkStart w:id="131" w:name="_Toc14074"/>
      <w:r>
        <w:rPr>
          <w:rFonts w:ascii="宋体" w:hAnsi="宋体"/>
          <w:color w:val="auto"/>
          <w:sz w:val="24"/>
          <w:szCs w:val="24"/>
          <w:highlight w:val="none"/>
        </w:rPr>
        <w:t>1.7</w:t>
      </w:r>
      <w:r>
        <w:rPr>
          <w:rFonts w:hint="eastAsia" w:ascii="宋体" w:hAnsi="宋体"/>
          <w:color w:val="auto"/>
          <w:sz w:val="24"/>
          <w:szCs w:val="24"/>
          <w:highlight w:val="none"/>
        </w:rPr>
        <w:t>联络</w:t>
      </w:r>
      <w:bookmarkEnd w:id="130"/>
      <w:bookmarkEnd w:id="131"/>
    </w:p>
    <w:p w14:paraId="1F6B08D8">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1.7.1</w:t>
      </w:r>
      <w:r>
        <w:rPr>
          <w:rFonts w:hint="eastAsia" w:ascii="宋体" w:hAnsi="宋体"/>
          <w:color w:val="auto"/>
          <w:sz w:val="24"/>
          <w:szCs w:val="24"/>
          <w:highlight w:val="none"/>
        </w:rPr>
        <w:t>发包人和承包人应当在</w:t>
      </w:r>
      <w:r>
        <w:rPr>
          <w:rFonts w:hint="eastAsia" w:ascii="宋体" w:hAnsi="宋体"/>
          <w:color w:val="auto"/>
          <w:sz w:val="24"/>
          <w:szCs w:val="24"/>
          <w:highlight w:val="none"/>
          <w:u w:val="single"/>
        </w:rPr>
        <w:t>3</w:t>
      </w:r>
      <w:r>
        <w:rPr>
          <w:rFonts w:hint="eastAsia" w:ascii="宋体" w:hAnsi="宋体"/>
          <w:color w:val="auto"/>
          <w:sz w:val="24"/>
          <w:szCs w:val="24"/>
          <w:highlight w:val="none"/>
        </w:rPr>
        <w:t>天内将与合同有关的通知、批准、证明、证书、指示、指令、要求、请求、同意、意见、确定和决定等书面函件送达对方当事人。</w:t>
      </w:r>
    </w:p>
    <w:p w14:paraId="772ABBF8">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1.7.2</w:t>
      </w:r>
      <w:r>
        <w:rPr>
          <w:rFonts w:hint="eastAsia" w:ascii="宋体" w:hAnsi="宋体"/>
          <w:color w:val="auto"/>
          <w:sz w:val="24"/>
          <w:szCs w:val="24"/>
          <w:highlight w:val="none"/>
        </w:rPr>
        <w:t>发包人接收文件的地点：</w:t>
      </w:r>
      <w:r>
        <w:rPr>
          <w:rFonts w:hint="eastAsia" w:ascii="宋体" w:hAnsi="宋体"/>
          <w:color w:val="auto"/>
          <w:sz w:val="24"/>
          <w:szCs w:val="24"/>
          <w:highlight w:val="none"/>
          <w:u w:val="single"/>
        </w:rPr>
        <w:t>工地业主办公室</w:t>
      </w:r>
      <w:r>
        <w:rPr>
          <w:rFonts w:hint="eastAsia" w:ascii="宋体" w:hAnsi="宋体"/>
          <w:color w:val="auto"/>
          <w:sz w:val="24"/>
          <w:szCs w:val="24"/>
          <w:highlight w:val="none"/>
        </w:rPr>
        <w:t>。</w:t>
      </w:r>
    </w:p>
    <w:p w14:paraId="1684D9F5">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发包人指定的接收人为：</w:t>
      </w:r>
      <w:r>
        <w:rPr>
          <w:rFonts w:hint="eastAsia" w:ascii="宋体" w:hAnsi="宋体"/>
          <w:color w:val="auto"/>
          <w:sz w:val="24"/>
          <w:szCs w:val="24"/>
          <w:highlight w:val="none"/>
          <w:u w:val="single"/>
        </w:rPr>
        <w:t>甲方代表</w:t>
      </w:r>
      <w:r>
        <w:rPr>
          <w:rFonts w:hint="eastAsia" w:ascii="宋体" w:hAnsi="宋体"/>
          <w:color w:val="auto"/>
          <w:sz w:val="24"/>
          <w:szCs w:val="24"/>
          <w:highlight w:val="none"/>
        </w:rPr>
        <w:t>。</w:t>
      </w:r>
    </w:p>
    <w:p w14:paraId="6B2BA691">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承包人接收文件的地点：</w:t>
      </w:r>
      <w:r>
        <w:rPr>
          <w:rFonts w:hint="eastAsia" w:ascii="宋体" w:hAnsi="宋体"/>
          <w:color w:val="auto"/>
          <w:sz w:val="24"/>
          <w:szCs w:val="24"/>
          <w:highlight w:val="none"/>
          <w:u w:val="single"/>
        </w:rPr>
        <w:t>工地承包人项目部</w:t>
      </w:r>
      <w:r>
        <w:rPr>
          <w:rFonts w:hint="eastAsia" w:ascii="宋体" w:hAnsi="宋体"/>
          <w:color w:val="auto"/>
          <w:sz w:val="24"/>
          <w:szCs w:val="24"/>
          <w:highlight w:val="none"/>
        </w:rPr>
        <w:t>。</w:t>
      </w:r>
    </w:p>
    <w:p w14:paraId="0DEBEBBE">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承包人指定的接收人为：</w:t>
      </w:r>
      <w:r>
        <w:rPr>
          <w:rFonts w:hint="eastAsia" w:ascii="宋体" w:hAnsi="宋体"/>
          <w:color w:val="auto"/>
          <w:sz w:val="24"/>
          <w:szCs w:val="24"/>
          <w:highlight w:val="none"/>
          <w:u w:val="single"/>
        </w:rPr>
        <w:t>项目负责人</w:t>
      </w:r>
      <w:r>
        <w:rPr>
          <w:rFonts w:hint="eastAsia" w:ascii="宋体" w:hAnsi="宋体"/>
          <w:color w:val="auto"/>
          <w:sz w:val="24"/>
          <w:szCs w:val="24"/>
          <w:highlight w:val="none"/>
        </w:rPr>
        <w:t>。</w:t>
      </w:r>
    </w:p>
    <w:p w14:paraId="51F2DB94">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监理人接收文件的地点：</w:t>
      </w:r>
      <w:r>
        <w:rPr>
          <w:rFonts w:hint="eastAsia" w:ascii="宋体" w:hAnsi="宋体"/>
          <w:color w:val="auto"/>
          <w:sz w:val="24"/>
          <w:szCs w:val="24"/>
          <w:highlight w:val="none"/>
          <w:u w:val="single"/>
        </w:rPr>
        <w:t>工地监理部办公室</w:t>
      </w:r>
      <w:r>
        <w:rPr>
          <w:rFonts w:hint="eastAsia" w:ascii="宋体" w:hAnsi="宋体"/>
          <w:color w:val="auto"/>
          <w:sz w:val="24"/>
          <w:szCs w:val="24"/>
          <w:highlight w:val="none"/>
        </w:rPr>
        <w:t>。</w:t>
      </w:r>
    </w:p>
    <w:p w14:paraId="31FC851E">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监理人指定的接收人为：</w:t>
      </w:r>
      <w:r>
        <w:rPr>
          <w:rFonts w:hint="eastAsia" w:ascii="宋体" w:hAnsi="宋体"/>
          <w:color w:val="auto"/>
          <w:sz w:val="24"/>
          <w:szCs w:val="24"/>
          <w:highlight w:val="none"/>
          <w:u w:val="single"/>
        </w:rPr>
        <w:t>项目总监</w:t>
      </w:r>
      <w:r>
        <w:rPr>
          <w:rFonts w:hint="eastAsia" w:ascii="宋体" w:hAnsi="宋体"/>
          <w:color w:val="auto"/>
          <w:sz w:val="24"/>
          <w:szCs w:val="24"/>
          <w:highlight w:val="none"/>
        </w:rPr>
        <w:t>。</w:t>
      </w:r>
    </w:p>
    <w:p w14:paraId="06EDF5CC">
      <w:pPr>
        <w:pageBreakBefore w:val="0"/>
        <w:widowControl w:val="0"/>
        <w:spacing w:line="360" w:lineRule="auto"/>
        <w:ind w:left="0" w:right="0" w:firstLine="480"/>
        <w:outlineLvl w:val="0"/>
        <w:rPr>
          <w:rFonts w:ascii="宋体" w:hAnsi="宋体"/>
          <w:color w:val="auto"/>
          <w:sz w:val="24"/>
          <w:szCs w:val="24"/>
          <w:highlight w:val="none"/>
        </w:rPr>
      </w:pPr>
      <w:bookmarkStart w:id="132" w:name="_Toc4216"/>
      <w:bookmarkStart w:id="133" w:name="_Toc1628"/>
      <w:r>
        <w:rPr>
          <w:rFonts w:ascii="宋体" w:hAnsi="宋体"/>
          <w:color w:val="auto"/>
          <w:sz w:val="24"/>
          <w:szCs w:val="24"/>
          <w:highlight w:val="none"/>
        </w:rPr>
        <w:t>1.10</w:t>
      </w:r>
      <w:r>
        <w:rPr>
          <w:rFonts w:hint="eastAsia" w:ascii="宋体" w:hAnsi="宋体"/>
          <w:color w:val="auto"/>
          <w:sz w:val="24"/>
          <w:szCs w:val="24"/>
          <w:highlight w:val="none"/>
        </w:rPr>
        <w:t>交通运输</w:t>
      </w:r>
      <w:bookmarkEnd w:id="132"/>
      <w:bookmarkEnd w:id="133"/>
    </w:p>
    <w:p w14:paraId="4C05D0A2">
      <w:pPr>
        <w:pageBreakBefore w:val="0"/>
        <w:widowControl w:val="0"/>
        <w:spacing w:line="360" w:lineRule="auto"/>
        <w:ind w:left="0" w:right="0" w:firstLine="480"/>
        <w:outlineLvl w:val="0"/>
        <w:rPr>
          <w:rFonts w:ascii="宋体" w:hAnsi="宋体"/>
          <w:color w:val="auto"/>
          <w:sz w:val="24"/>
          <w:szCs w:val="24"/>
          <w:highlight w:val="none"/>
        </w:rPr>
      </w:pPr>
      <w:bookmarkStart w:id="134" w:name="_Toc22510"/>
      <w:bookmarkStart w:id="135" w:name="_Toc19515"/>
      <w:r>
        <w:rPr>
          <w:rFonts w:ascii="宋体" w:hAnsi="宋体"/>
          <w:color w:val="auto"/>
          <w:sz w:val="24"/>
          <w:szCs w:val="24"/>
          <w:highlight w:val="none"/>
        </w:rPr>
        <w:t>1</w:t>
      </w:r>
      <w:bookmarkStart w:id="136" w:name="_Toc312677986"/>
      <w:bookmarkStart w:id="137" w:name="_Toc303539100"/>
      <w:bookmarkStart w:id="138" w:name="_Toc300934943"/>
      <w:bookmarkStart w:id="139" w:name="_Toc304295521"/>
      <w:bookmarkStart w:id="140" w:name="_Toc318581155"/>
      <w:r>
        <w:rPr>
          <w:rFonts w:ascii="宋体" w:hAnsi="宋体"/>
          <w:color w:val="auto"/>
          <w:sz w:val="24"/>
          <w:szCs w:val="24"/>
          <w:highlight w:val="none"/>
        </w:rPr>
        <w:t>.10.1</w:t>
      </w:r>
      <w:r>
        <w:rPr>
          <w:rFonts w:hint="eastAsia" w:ascii="宋体" w:hAnsi="宋体"/>
          <w:color w:val="auto"/>
          <w:sz w:val="24"/>
          <w:szCs w:val="24"/>
          <w:highlight w:val="none"/>
        </w:rPr>
        <w:t>出入现场的权利</w:t>
      </w:r>
      <w:bookmarkEnd w:id="134"/>
      <w:bookmarkEnd w:id="135"/>
    </w:p>
    <w:p w14:paraId="72E86757">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关于出入现场的权利的约定：</w:t>
      </w:r>
      <w:r>
        <w:rPr>
          <w:rFonts w:hint="eastAsia" w:ascii="宋体" w:hAnsi="宋体"/>
          <w:color w:val="auto"/>
          <w:sz w:val="24"/>
          <w:szCs w:val="24"/>
          <w:highlight w:val="none"/>
          <w:u w:val="single"/>
        </w:rPr>
        <w:t>由承包人统一管理</w:t>
      </w:r>
      <w:r>
        <w:rPr>
          <w:rFonts w:hint="eastAsia" w:ascii="宋体" w:hAnsi="宋体"/>
          <w:color w:val="auto"/>
          <w:sz w:val="24"/>
          <w:szCs w:val="24"/>
          <w:highlight w:val="none"/>
        </w:rPr>
        <w:t>。</w:t>
      </w:r>
      <w:bookmarkEnd w:id="136"/>
      <w:bookmarkEnd w:id="137"/>
      <w:bookmarkEnd w:id="138"/>
      <w:bookmarkEnd w:id="139"/>
      <w:bookmarkEnd w:id="140"/>
    </w:p>
    <w:p w14:paraId="3A70D308">
      <w:pPr>
        <w:pageBreakBefore w:val="0"/>
        <w:widowControl w:val="0"/>
        <w:spacing w:line="360" w:lineRule="auto"/>
        <w:ind w:left="0" w:right="0" w:firstLine="480"/>
        <w:jc w:val="left"/>
        <w:outlineLvl w:val="0"/>
        <w:rPr>
          <w:rFonts w:ascii="宋体" w:hAnsi="宋体"/>
          <w:color w:val="auto"/>
          <w:sz w:val="24"/>
          <w:szCs w:val="24"/>
          <w:highlight w:val="none"/>
        </w:rPr>
      </w:pPr>
      <w:bookmarkStart w:id="141" w:name="_Toc22872"/>
      <w:bookmarkStart w:id="142" w:name="_Toc17894"/>
      <w:r>
        <w:rPr>
          <w:rFonts w:ascii="宋体" w:hAnsi="宋体"/>
          <w:color w:val="auto"/>
          <w:sz w:val="24"/>
          <w:szCs w:val="24"/>
          <w:highlight w:val="none"/>
        </w:rPr>
        <w:t>1</w:t>
      </w:r>
      <w:bookmarkStart w:id="143" w:name="_Toc303539101"/>
      <w:bookmarkStart w:id="144" w:name="_Toc318581156"/>
      <w:bookmarkStart w:id="145" w:name="_Toc300934944"/>
      <w:bookmarkStart w:id="146" w:name="_Toc304295522"/>
      <w:bookmarkStart w:id="147" w:name="_Toc312677987"/>
      <w:r>
        <w:rPr>
          <w:rFonts w:ascii="宋体" w:hAnsi="宋体"/>
          <w:color w:val="auto"/>
          <w:sz w:val="24"/>
          <w:szCs w:val="24"/>
          <w:highlight w:val="none"/>
        </w:rPr>
        <w:t>.10.3</w:t>
      </w:r>
      <w:r>
        <w:rPr>
          <w:rFonts w:hint="eastAsia" w:ascii="宋体" w:hAnsi="宋体"/>
          <w:color w:val="auto"/>
          <w:sz w:val="24"/>
          <w:szCs w:val="24"/>
          <w:highlight w:val="none"/>
        </w:rPr>
        <w:t>场内交通</w:t>
      </w:r>
      <w:bookmarkEnd w:id="141"/>
      <w:bookmarkEnd w:id="142"/>
    </w:p>
    <w:p w14:paraId="75E9760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关于场外交通和场内交通的边界的约定：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2CDCB15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关于发包人向承包人免费提供满足工程施工需要的场内道路和交通设施的约定：</w:t>
      </w:r>
      <w:r>
        <w:rPr>
          <w:rFonts w:hint="eastAsia" w:ascii="宋体" w:hAnsi="宋体"/>
          <w:color w:val="auto"/>
          <w:sz w:val="24"/>
          <w:szCs w:val="24"/>
          <w:highlight w:val="none"/>
          <w:u w:val="single"/>
        </w:rPr>
        <w:t>现状</w:t>
      </w:r>
      <w:r>
        <w:rPr>
          <w:rFonts w:hint="eastAsia" w:ascii="宋体" w:hAnsi="宋体"/>
          <w:color w:val="auto"/>
          <w:sz w:val="24"/>
          <w:szCs w:val="24"/>
          <w:highlight w:val="none"/>
        </w:rPr>
        <w:t>。</w:t>
      </w:r>
      <w:bookmarkEnd w:id="143"/>
      <w:bookmarkEnd w:id="144"/>
      <w:bookmarkEnd w:id="145"/>
      <w:bookmarkEnd w:id="146"/>
      <w:bookmarkEnd w:id="147"/>
      <w:bookmarkStart w:id="148" w:name="_Toc318581157"/>
    </w:p>
    <w:p w14:paraId="5BD95795">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1.10.4</w:t>
      </w:r>
      <w:r>
        <w:rPr>
          <w:rFonts w:hint="eastAsia" w:ascii="宋体" w:hAnsi="宋体"/>
          <w:color w:val="auto"/>
          <w:sz w:val="24"/>
          <w:szCs w:val="24"/>
          <w:highlight w:val="none"/>
        </w:rPr>
        <w:t>超大件和超重件的运输</w:t>
      </w:r>
    </w:p>
    <w:p w14:paraId="4905AC8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运输超大件或超重件所需的道路和桥梁临时加固改造费用和其他有关费用由</w:t>
      </w:r>
      <w:r>
        <w:rPr>
          <w:rFonts w:hint="eastAsia" w:ascii="宋体" w:hAnsi="宋体"/>
          <w:color w:val="auto"/>
          <w:sz w:val="24"/>
          <w:szCs w:val="24"/>
          <w:highlight w:val="none"/>
          <w:u w:val="single"/>
        </w:rPr>
        <w:t>承包人</w:t>
      </w:r>
      <w:r>
        <w:rPr>
          <w:rFonts w:hint="eastAsia" w:ascii="宋体" w:hAnsi="宋体"/>
          <w:color w:val="auto"/>
          <w:sz w:val="24"/>
          <w:szCs w:val="24"/>
          <w:highlight w:val="none"/>
        </w:rPr>
        <w:t>承担。</w:t>
      </w:r>
      <w:bookmarkEnd w:id="148"/>
    </w:p>
    <w:p w14:paraId="2F4BED6F">
      <w:pPr>
        <w:pageBreakBefore w:val="0"/>
        <w:widowControl w:val="0"/>
        <w:spacing w:line="360" w:lineRule="auto"/>
        <w:ind w:left="0" w:right="0" w:firstLine="480"/>
        <w:outlineLvl w:val="0"/>
        <w:rPr>
          <w:rFonts w:ascii="宋体" w:hAnsi="宋体"/>
          <w:color w:val="auto"/>
          <w:sz w:val="24"/>
          <w:szCs w:val="24"/>
          <w:highlight w:val="none"/>
        </w:rPr>
      </w:pPr>
      <w:bookmarkStart w:id="149" w:name="_Toc11875"/>
      <w:bookmarkStart w:id="150" w:name="_Toc19521"/>
      <w:r>
        <w:rPr>
          <w:rFonts w:ascii="宋体" w:hAnsi="宋体"/>
          <w:color w:val="auto"/>
          <w:sz w:val="24"/>
          <w:szCs w:val="24"/>
          <w:highlight w:val="none"/>
        </w:rPr>
        <w:t>1.11</w:t>
      </w:r>
      <w:r>
        <w:rPr>
          <w:rFonts w:hint="eastAsia" w:ascii="宋体" w:hAnsi="宋体"/>
          <w:color w:val="auto"/>
          <w:sz w:val="24"/>
          <w:szCs w:val="24"/>
          <w:highlight w:val="none"/>
        </w:rPr>
        <w:t>知识产权</w:t>
      </w:r>
      <w:bookmarkEnd w:id="149"/>
      <w:bookmarkEnd w:id="150"/>
    </w:p>
    <w:p w14:paraId="4023E52D">
      <w:pPr>
        <w:pageBreakBefore w:val="0"/>
        <w:widowControl w:val="0"/>
        <w:spacing w:line="360" w:lineRule="auto"/>
        <w:ind w:left="240" w:right="0" w:firstLine="240"/>
        <w:rPr>
          <w:rFonts w:ascii="宋体" w:hAnsi="宋体"/>
          <w:color w:val="auto"/>
          <w:sz w:val="24"/>
          <w:szCs w:val="24"/>
          <w:highlight w:val="none"/>
        </w:rPr>
      </w:pPr>
      <w:r>
        <w:rPr>
          <w:rFonts w:ascii="宋体" w:hAnsi="宋体"/>
          <w:color w:val="auto"/>
          <w:sz w:val="24"/>
          <w:szCs w:val="24"/>
          <w:highlight w:val="none"/>
        </w:rPr>
        <w:t>1.11.1</w:t>
      </w:r>
      <w:r>
        <w:rPr>
          <w:rFonts w:hint="eastAsia" w:ascii="宋体" w:hAnsi="宋体"/>
          <w:color w:val="auto"/>
          <w:sz w:val="24"/>
          <w:szCs w:val="24"/>
          <w:highlight w:val="none"/>
        </w:rPr>
        <w:t>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发包人</w:t>
      </w:r>
      <w:r>
        <w:rPr>
          <w:rFonts w:hint="eastAsia" w:ascii="宋体" w:hAnsi="宋体"/>
          <w:color w:val="auto"/>
          <w:sz w:val="24"/>
          <w:szCs w:val="24"/>
          <w:highlight w:val="none"/>
        </w:rPr>
        <w:t>。</w:t>
      </w:r>
    </w:p>
    <w:p w14:paraId="4812B172">
      <w:pPr>
        <w:pageBreakBefore w:val="0"/>
        <w:widowControl w:val="0"/>
        <w:spacing w:line="360" w:lineRule="auto"/>
        <w:ind w:left="0" w:right="0"/>
        <w:rPr>
          <w:rFonts w:ascii="宋体" w:hAnsi="宋体"/>
          <w:color w:val="auto"/>
          <w:sz w:val="24"/>
          <w:szCs w:val="24"/>
          <w:highlight w:val="none"/>
        </w:rPr>
      </w:pPr>
      <w:r>
        <w:rPr>
          <w:rFonts w:hint="eastAsia" w:ascii="宋体" w:hAnsi="宋体"/>
          <w:color w:val="auto"/>
          <w:sz w:val="24"/>
          <w:szCs w:val="24"/>
          <w:highlight w:val="none"/>
        </w:rPr>
        <w:t>关于发包人提供的上述文件的使用限制的要求：</w:t>
      </w:r>
      <w:r>
        <w:rPr>
          <w:rFonts w:hint="eastAsia" w:ascii="宋体" w:hAnsi="宋体"/>
          <w:color w:val="auto"/>
          <w:sz w:val="24"/>
          <w:szCs w:val="24"/>
          <w:highlight w:val="none"/>
          <w:u w:val="single"/>
        </w:rPr>
        <w:t>仅可</w:t>
      </w:r>
      <w:r>
        <w:rPr>
          <w:rFonts w:ascii="宋体" w:hAnsi="宋体"/>
          <w:color w:val="auto"/>
          <w:sz w:val="24"/>
          <w:szCs w:val="24"/>
          <w:highlight w:val="none"/>
          <w:u w:val="single"/>
        </w:rPr>
        <w:t>适用本工程、严禁外流</w:t>
      </w:r>
      <w:r>
        <w:rPr>
          <w:rFonts w:hint="eastAsia" w:ascii="宋体" w:hAnsi="宋体"/>
          <w:color w:val="auto"/>
          <w:sz w:val="24"/>
          <w:szCs w:val="24"/>
          <w:highlight w:val="none"/>
        </w:rPr>
        <w:t>。</w:t>
      </w:r>
    </w:p>
    <w:p w14:paraId="02337B46">
      <w:pPr>
        <w:pageBreakBefore w:val="0"/>
        <w:widowControl w:val="0"/>
        <w:spacing w:line="360" w:lineRule="auto"/>
        <w:ind w:left="0" w:right="0" w:firstLine="480"/>
        <w:outlineLvl w:val="0"/>
        <w:rPr>
          <w:rFonts w:ascii="宋体" w:hAnsi="宋体"/>
          <w:color w:val="auto"/>
          <w:sz w:val="24"/>
          <w:szCs w:val="24"/>
          <w:highlight w:val="none"/>
        </w:rPr>
      </w:pPr>
      <w:bookmarkStart w:id="151" w:name="_Toc16760"/>
      <w:bookmarkStart w:id="152" w:name="_Toc8047"/>
      <w:r>
        <w:rPr>
          <w:rFonts w:ascii="宋体" w:hAnsi="宋体"/>
          <w:color w:val="auto"/>
          <w:sz w:val="24"/>
          <w:szCs w:val="24"/>
          <w:highlight w:val="none"/>
        </w:rPr>
        <w:t>1.11.2</w:t>
      </w:r>
      <w:r>
        <w:rPr>
          <w:rFonts w:hint="eastAsia" w:ascii="宋体" w:hAnsi="宋体"/>
          <w:color w:val="auto"/>
          <w:sz w:val="24"/>
          <w:szCs w:val="24"/>
          <w:highlight w:val="none"/>
        </w:rPr>
        <w:t>关于承包人为实施工程所编制文件的著作权的归属：</w:t>
      </w:r>
      <w:r>
        <w:rPr>
          <w:rFonts w:hint="eastAsia" w:ascii="宋体" w:hAnsi="宋体"/>
          <w:color w:val="auto"/>
          <w:sz w:val="24"/>
          <w:szCs w:val="24"/>
          <w:highlight w:val="none"/>
          <w:u w:val="single"/>
        </w:rPr>
        <w:t>发包人</w:t>
      </w:r>
      <w:r>
        <w:rPr>
          <w:rFonts w:hint="eastAsia" w:ascii="宋体" w:hAnsi="宋体"/>
          <w:color w:val="auto"/>
          <w:sz w:val="24"/>
          <w:szCs w:val="24"/>
          <w:highlight w:val="none"/>
        </w:rPr>
        <w:t>。</w:t>
      </w:r>
      <w:bookmarkEnd w:id="151"/>
      <w:bookmarkEnd w:id="152"/>
    </w:p>
    <w:p w14:paraId="4E4BD035">
      <w:pPr>
        <w:pageBreakBefore w:val="0"/>
        <w:widowControl w:val="0"/>
        <w:spacing w:line="360" w:lineRule="auto"/>
        <w:ind w:left="0" w:right="0" w:firstLine="600"/>
        <w:rPr>
          <w:rFonts w:ascii="宋体" w:hAnsi="宋体"/>
          <w:color w:val="auto"/>
          <w:sz w:val="24"/>
          <w:szCs w:val="24"/>
          <w:highlight w:val="none"/>
        </w:rPr>
      </w:pPr>
      <w:r>
        <w:rPr>
          <w:rFonts w:hint="eastAsia" w:ascii="宋体" w:hAnsi="宋体"/>
          <w:color w:val="auto"/>
          <w:sz w:val="24"/>
          <w:szCs w:val="24"/>
          <w:highlight w:val="none"/>
        </w:rPr>
        <w:t>关于承包人提供的上述文件的使用限制的要求：</w:t>
      </w:r>
      <w:r>
        <w:rPr>
          <w:rFonts w:hint="eastAsia" w:ascii="宋体" w:hAnsi="宋体"/>
          <w:color w:val="auto"/>
          <w:sz w:val="24"/>
          <w:szCs w:val="24"/>
          <w:highlight w:val="none"/>
          <w:u w:val="single"/>
        </w:rPr>
        <w:t>仅可</w:t>
      </w:r>
      <w:r>
        <w:rPr>
          <w:rFonts w:ascii="宋体" w:hAnsi="宋体"/>
          <w:color w:val="auto"/>
          <w:sz w:val="24"/>
          <w:szCs w:val="24"/>
          <w:highlight w:val="none"/>
          <w:u w:val="single"/>
        </w:rPr>
        <w:t>适用本工程、严禁外流</w:t>
      </w:r>
      <w:r>
        <w:rPr>
          <w:rFonts w:hint="eastAsia" w:ascii="宋体" w:hAnsi="宋体"/>
          <w:color w:val="auto"/>
          <w:sz w:val="24"/>
          <w:szCs w:val="24"/>
          <w:highlight w:val="none"/>
        </w:rPr>
        <w:t>。</w:t>
      </w:r>
    </w:p>
    <w:p w14:paraId="73243EE1">
      <w:pPr>
        <w:pageBreakBefore w:val="0"/>
        <w:widowControl w:val="0"/>
        <w:spacing w:line="360" w:lineRule="auto"/>
        <w:ind w:left="0" w:right="0" w:firstLine="480"/>
        <w:outlineLvl w:val="0"/>
        <w:rPr>
          <w:rFonts w:ascii="宋体" w:hAnsi="宋体"/>
          <w:color w:val="auto"/>
          <w:sz w:val="24"/>
          <w:szCs w:val="24"/>
          <w:highlight w:val="none"/>
        </w:rPr>
      </w:pPr>
      <w:bookmarkStart w:id="153" w:name="_Toc18355"/>
      <w:bookmarkStart w:id="154" w:name="_Toc25070"/>
      <w:r>
        <w:rPr>
          <w:rFonts w:ascii="宋体" w:hAnsi="宋体"/>
          <w:color w:val="auto"/>
          <w:sz w:val="24"/>
          <w:szCs w:val="24"/>
          <w:highlight w:val="none"/>
        </w:rPr>
        <w:t>1.11.4</w:t>
      </w:r>
      <w:r>
        <w:rPr>
          <w:rFonts w:hint="eastAsia" w:ascii="宋体" w:hAnsi="宋体"/>
          <w:color w:val="auto"/>
          <w:sz w:val="24"/>
          <w:szCs w:val="24"/>
          <w:highlight w:val="none"/>
        </w:rPr>
        <w:t>承包人在施工过程中所采用的专利、专有技术、技术秘密的使用费的承担方式：</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153"/>
      <w:bookmarkEnd w:id="154"/>
    </w:p>
    <w:p w14:paraId="7A30C4FE">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1.13</w:t>
      </w:r>
      <w:r>
        <w:rPr>
          <w:rFonts w:hint="eastAsia" w:ascii="宋体" w:hAnsi="宋体"/>
          <w:color w:val="auto"/>
          <w:sz w:val="24"/>
          <w:szCs w:val="24"/>
          <w:highlight w:val="none"/>
        </w:rPr>
        <w:t>工程量清单错误的修正</w:t>
      </w:r>
    </w:p>
    <w:p w14:paraId="19E9A659">
      <w:pPr>
        <w:pageBreakBefore w:val="0"/>
        <w:widowControl w:val="0"/>
        <w:spacing w:line="360" w:lineRule="auto"/>
        <w:ind w:left="0" w:right="0" w:firstLine="480"/>
        <w:rPr>
          <w:rFonts w:ascii="宋体" w:hAnsi="宋体"/>
          <w:color w:val="auto"/>
          <w:sz w:val="24"/>
          <w:szCs w:val="24"/>
          <w:highlight w:val="none"/>
        </w:rPr>
      </w:pPr>
      <w:bookmarkStart w:id="155" w:name="_Toc351203634"/>
      <w:r>
        <w:rPr>
          <w:rFonts w:hint="eastAsia" w:ascii="宋体" w:hAnsi="宋体"/>
          <w:color w:val="auto"/>
          <w:sz w:val="24"/>
          <w:szCs w:val="24"/>
          <w:highlight w:val="none"/>
          <w:lang w:val="en-US" w:eastAsia="zh-CN"/>
        </w:rPr>
        <w:t>1.13.1</w:t>
      </w:r>
      <w:r>
        <w:rPr>
          <w:rFonts w:hint="eastAsia" w:ascii="宋体" w:hAnsi="宋体"/>
          <w:color w:val="auto"/>
          <w:sz w:val="24"/>
          <w:szCs w:val="24"/>
          <w:highlight w:val="none"/>
        </w:rPr>
        <w:t>出现工程量清单错误时，是否调整合同价格：</w:t>
      </w:r>
      <w:r>
        <w:rPr>
          <w:rFonts w:hint="eastAsia" w:ascii="宋体" w:hAnsi="宋体"/>
          <w:color w:val="auto"/>
          <w:sz w:val="24"/>
          <w:szCs w:val="24"/>
          <w:highlight w:val="none"/>
          <w:u w:val="single"/>
        </w:rPr>
        <w:t>是</w:t>
      </w:r>
      <w:r>
        <w:rPr>
          <w:rFonts w:hint="eastAsia" w:ascii="宋体" w:hAnsi="宋体"/>
          <w:color w:val="auto"/>
          <w:sz w:val="24"/>
          <w:szCs w:val="24"/>
          <w:highlight w:val="none"/>
        </w:rPr>
        <w:t>。</w:t>
      </w:r>
    </w:p>
    <w:p w14:paraId="18AC6BED">
      <w:pPr>
        <w:pageBreakBefore w:val="0"/>
        <w:widowControl w:val="0"/>
        <w:spacing w:line="360" w:lineRule="auto"/>
        <w:ind w:left="0" w:righ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允许调整合同价格的工程量偏差范围：</w:t>
      </w:r>
      <w:r>
        <w:rPr>
          <w:rFonts w:hint="eastAsia" w:ascii="宋体" w:hAnsi="宋体" w:eastAsia="宋体" w:cs="Times New Roman"/>
          <w:color w:val="auto"/>
          <w:sz w:val="24"/>
          <w:szCs w:val="24"/>
          <w:highlight w:val="none"/>
          <w:u w:val="single"/>
          <w:lang w:val="en-US" w:eastAsia="zh-CN"/>
        </w:rPr>
        <w:t>工程量按实际调整，综合单价不调整</w:t>
      </w:r>
      <w:r>
        <w:rPr>
          <w:rFonts w:hint="eastAsia" w:ascii="宋体" w:hAnsi="宋体" w:eastAsia="宋体" w:cs="Times New Roman"/>
          <w:color w:val="auto"/>
          <w:sz w:val="24"/>
          <w:szCs w:val="24"/>
          <w:highlight w:val="none"/>
          <w:lang w:val="en-US" w:eastAsia="zh-CN"/>
        </w:rPr>
        <w:t>。</w:t>
      </w:r>
    </w:p>
    <w:p w14:paraId="5E61580B">
      <w:pPr>
        <w:pageBreakBefore w:val="0"/>
        <w:widowControl w:val="0"/>
        <w:spacing w:line="360" w:lineRule="auto"/>
        <w:ind w:left="0" w:right="0"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1.13.2过高报价的处理方式：如在结算时发现投标报价中存在评标委员会没有发现的不平衡报价项目，按以下方式处理：对于工程量增加的过高价项目，将调整其综合单价，重新按照计价表组价，其人工、材料、机械的消耗量按计价表执行，材料单价按已标价工程量清单中相同或类似的正常投标价，没有相同或类似的，按市场价并需经发包人确认，管理费率、利润率按已标价工程量清单中最低费率报价项目的费率计取；对于工程量减少的过低价项目，按投标价执行。（投标报价的分部分项清单综合单价超过该清单项招标控制价综合单价15%以上时为过高报价；当该项由于工程量偏差和工程变更等原因，导致工程量偏差超过15%以上时，超过15%以上部分的工程量综合单价应予调整。）</w:t>
      </w:r>
    </w:p>
    <w:p w14:paraId="33E26E31">
      <w:pPr>
        <w:pageBreakBefore w:val="0"/>
        <w:widowControl w:val="0"/>
        <w:spacing w:line="360" w:lineRule="auto"/>
        <w:ind w:left="0" w:right="0"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1.14工程量清单编制与权责划分</w:t>
      </w:r>
    </w:p>
    <w:p w14:paraId="4BC05FBD">
      <w:pPr>
        <w:pageBreakBefore w:val="0"/>
        <w:widowControl w:val="0"/>
        <w:spacing w:line="360" w:lineRule="auto"/>
        <w:ind w:left="0" w:right="0"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为适配2024清单国标及江苏2026新定额，新增清单权责约定：</w:t>
      </w:r>
    </w:p>
    <w:p w14:paraId="049D8322">
      <w:pPr>
        <w:pageBreakBefore w:val="0"/>
        <w:widowControl w:val="0"/>
        <w:spacing w:line="360" w:lineRule="auto"/>
        <w:ind w:left="0" w:right="0"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1.14.1分部分项工程项目清单</w:t>
      </w:r>
      <w:r>
        <w:rPr>
          <w:rFonts w:hint="eastAsia" w:ascii="宋体" w:hAnsi="宋体" w:eastAsia="宋体" w:cs="Times New Roman"/>
          <w:color w:val="auto"/>
          <w:sz w:val="24"/>
          <w:szCs w:val="24"/>
          <w:highlight w:val="none"/>
          <w:lang w:eastAsia="zh-CN"/>
        </w:rPr>
        <w:t>，在分部分项中所列属于措施项目清单，</w:t>
      </w:r>
      <w:r>
        <w:rPr>
          <w:rFonts w:hint="eastAsia" w:ascii="宋体" w:hAnsi="宋体" w:eastAsia="宋体" w:cs="Times New Roman"/>
          <w:color w:val="auto"/>
          <w:sz w:val="24"/>
          <w:szCs w:val="24"/>
          <w:highlight w:val="none"/>
        </w:rPr>
        <w:t>由发包人对清单项目</w:t>
      </w:r>
      <w:r>
        <w:rPr>
          <w:rFonts w:hint="eastAsia" w:ascii="宋体" w:hAnsi="宋体" w:eastAsia="宋体" w:cs="Times New Roman"/>
          <w:color w:val="auto"/>
          <w:sz w:val="24"/>
          <w:szCs w:val="24"/>
          <w:highlight w:val="none"/>
          <w:lang w:eastAsia="zh-CN"/>
        </w:rPr>
        <w:t>的</w:t>
      </w:r>
      <w:r>
        <w:rPr>
          <w:rFonts w:hint="eastAsia" w:ascii="宋体" w:hAnsi="宋体" w:eastAsia="宋体" w:cs="Times New Roman"/>
          <w:color w:val="auto"/>
          <w:sz w:val="24"/>
          <w:szCs w:val="24"/>
          <w:highlight w:val="none"/>
        </w:rPr>
        <w:t>完整性负责，实施过程中出现工程量</w:t>
      </w:r>
      <w:r>
        <w:rPr>
          <w:rFonts w:hint="eastAsia" w:ascii="宋体" w:hAnsi="宋体" w:eastAsia="宋体" w:cs="Times New Roman"/>
          <w:color w:val="auto"/>
          <w:sz w:val="24"/>
          <w:szCs w:val="24"/>
          <w:highlight w:val="none"/>
          <w:lang w:eastAsia="zh-CN"/>
        </w:rPr>
        <w:t>清单缺陷（多列项、错漏项、项目特征不符、工程量偏差及其他同类）</w:t>
      </w:r>
      <w:r>
        <w:rPr>
          <w:rFonts w:hint="eastAsia" w:ascii="宋体" w:hAnsi="宋体" w:eastAsia="宋体" w:cs="Times New Roman"/>
          <w:color w:val="auto"/>
          <w:sz w:val="24"/>
          <w:szCs w:val="24"/>
          <w:highlight w:val="none"/>
        </w:rPr>
        <w:t>，按本合同及GB/T50500-2024规则予以调整。</w:t>
      </w:r>
    </w:p>
    <w:p w14:paraId="1B4D10DA">
      <w:pPr>
        <w:pageBreakBefore w:val="0"/>
        <w:widowControl w:val="0"/>
        <w:spacing w:line="360" w:lineRule="auto"/>
        <w:ind w:left="0" w:right="0"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1.14.2以“项”为固定总价计价的措施项目，由承包人结合施工组织设计、专项施工方案、现场条件自主综合报价，报价包含施工全过程所有风险、人工、材料、机械、管理、安全、文明施工及相关隐性费用，合同实施期间不予调整。</w:t>
      </w:r>
    </w:p>
    <w:p w14:paraId="6F0931D8">
      <w:pPr>
        <w:pStyle w:val="173"/>
        <w:pageBreakBefore w:val="0"/>
        <w:widowControl w:val="0"/>
        <w:spacing w:before="0" w:after="0" w:line="360" w:lineRule="auto"/>
        <w:ind w:left="0" w:right="0" w:firstLine="0"/>
        <w:rPr>
          <w:rFonts w:ascii="宋体" w:hAnsi="宋体"/>
          <w:b w:val="0"/>
          <w:color w:val="auto"/>
          <w:sz w:val="24"/>
          <w:szCs w:val="24"/>
          <w:highlight w:val="none"/>
        </w:rPr>
      </w:pPr>
      <w:r>
        <w:rPr>
          <w:rFonts w:ascii="宋体" w:hAnsi="宋体"/>
          <w:b w:val="0"/>
          <w:color w:val="auto"/>
          <w:sz w:val="24"/>
          <w:szCs w:val="24"/>
          <w:highlight w:val="none"/>
        </w:rPr>
        <w:t>2</w:t>
      </w:r>
      <w:bookmarkStart w:id="156" w:name="_Toc296944496"/>
      <w:bookmarkStart w:id="157" w:name="_Toc296503157"/>
      <w:bookmarkStart w:id="158" w:name="_Toc297120457"/>
      <w:bookmarkStart w:id="159" w:name="_Toc296347156"/>
      <w:bookmarkStart w:id="160" w:name="_Toc296346658"/>
      <w:bookmarkStart w:id="161" w:name="_Toc297048343"/>
      <w:bookmarkStart w:id="162" w:name="_Toc292559362"/>
      <w:bookmarkStart w:id="163" w:name="_Toc292559867"/>
      <w:bookmarkStart w:id="164" w:name="_Toc296891197"/>
      <w:bookmarkStart w:id="165" w:name="_Toc296890985"/>
      <w:r>
        <w:rPr>
          <w:rFonts w:ascii="宋体" w:hAnsi="宋体"/>
          <w:b w:val="0"/>
          <w:color w:val="auto"/>
          <w:sz w:val="24"/>
          <w:szCs w:val="24"/>
          <w:highlight w:val="none"/>
        </w:rPr>
        <w:t>.</w:t>
      </w:r>
      <w:r>
        <w:rPr>
          <w:rFonts w:hint="eastAsia" w:ascii="宋体" w:hAnsi="宋体"/>
          <w:b w:val="0"/>
          <w:color w:val="auto"/>
          <w:sz w:val="24"/>
          <w:szCs w:val="24"/>
          <w:highlight w:val="none"/>
        </w:rPr>
        <w:t>发包人</w:t>
      </w:r>
      <w:bookmarkEnd w:id="155"/>
      <w:bookmarkEnd w:id="156"/>
      <w:bookmarkEnd w:id="157"/>
      <w:bookmarkEnd w:id="158"/>
      <w:bookmarkEnd w:id="159"/>
      <w:bookmarkEnd w:id="160"/>
      <w:bookmarkEnd w:id="161"/>
      <w:bookmarkEnd w:id="162"/>
      <w:bookmarkEnd w:id="163"/>
      <w:bookmarkEnd w:id="164"/>
      <w:bookmarkEnd w:id="165"/>
    </w:p>
    <w:p w14:paraId="3FCA8B39">
      <w:pPr>
        <w:pageBreakBefore w:val="0"/>
        <w:widowControl w:val="0"/>
        <w:spacing w:line="360" w:lineRule="auto"/>
        <w:ind w:left="0" w:right="0" w:firstLine="480"/>
        <w:outlineLvl w:val="0"/>
        <w:rPr>
          <w:rFonts w:ascii="宋体" w:hAnsi="宋体"/>
          <w:color w:val="auto"/>
          <w:sz w:val="24"/>
          <w:szCs w:val="24"/>
          <w:highlight w:val="none"/>
        </w:rPr>
      </w:pPr>
      <w:bookmarkStart w:id="166" w:name="_Toc619"/>
      <w:bookmarkStart w:id="167" w:name="_Toc11226"/>
      <w:r>
        <w:rPr>
          <w:rFonts w:ascii="宋体" w:hAnsi="宋体"/>
          <w:color w:val="auto"/>
          <w:sz w:val="24"/>
          <w:szCs w:val="24"/>
          <w:highlight w:val="none"/>
        </w:rPr>
        <w:t>2.2</w:t>
      </w:r>
      <w:r>
        <w:rPr>
          <w:rFonts w:hint="eastAsia" w:ascii="宋体" w:hAnsi="宋体"/>
          <w:color w:val="auto"/>
          <w:sz w:val="24"/>
          <w:szCs w:val="24"/>
          <w:highlight w:val="none"/>
        </w:rPr>
        <w:t>发包人代表</w:t>
      </w:r>
      <w:bookmarkEnd w:id="166"/>
      <w:bookmarkEnd w:id="167"/>
    </w:p>
    <w:p w14:paraId="0815999F">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发包人代表：</w:t>
      </w:r>
    </w:p>
    <w:p w14:paraId="36D66966">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p w14:paraId="2FF8F145">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身份证号：；</w:t>
      </w:r>
    </w:p>
    <w:p w14:paraId="4FE2D201">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职务：；</w:t>
      </w:r>
    </w:p>
    <w:p w14:paraId="51717CBE">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p>
    <w:p w14:paraId="24B6C6B1">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电子信箱：；</w:t>
      </w:r>
    </w:p>
    <w:p w14:paraId="4B6B1DF7">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通信地址：。</w:t>
      </w:r>
    </w:p>
    <w:p w14:paraId="32A00AE5">
      <w:pPr>
        <w:pageBreakBefore w:val="0"/>
        <w:widowControl w:val="0"/>
        <w:spacing w:line="360" w:lineRule="auto"/>
        <w:ind w:left="0" w:right="0" w:firstLine="480"/>
        <w:rPr>
          <w:rFonts w:ascii="宋体" w:hAnsi="宋体"/>
          <w:b/>
          <w:color w:val="auto"/>
          <w:sz w:val="24"/>
          <w:szCs w:val="24"/>
          <w:highlight w:val="none"/>
        </w:rPr>
      </w:pPr>
      <w:r>
        <w:rPr>
          <w:rFonts w:hint="eastAsia" w:ascii="宋体" w:hAnsi="宋体"/>
          <w:color w:val="auto"/>
          <w:sz w:val="24"/>
          <w:szCs w:val="24"/>
          <w:highlight w:val="none"/>
        </w:rPr>
        <w:t>发包人对发包人代表的授权范围如下：</w:t>
      </w:r>
      <w:r>
        <w:rPr>
          <w:rFonts w:hint="eastAsia" w:ascii="宋体" w:hAnsi="宋体"/>
          <w:color w:val="auto"/>
          <w:sz w:val="24"/>
          <w:szCs w:val="24"/>
          <w:highlight w:val="none"/>
          <w:u w:val="single"/>
        </w:rPr>
        <w:t>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w:t>
      </w:r>
    </w:p>
    <w:p w14:paraId="00F1F043">
      <w:pPr>
        <w:pageBreakBefore w:val="0"/>
        <w:widowControl w:val="0"/>
        <w:spacing w:line="360" w:lineRule="auto"/>
        <w:ind w:left="0" w:right="0" w:firstLine="480"/>
        <w:outlineLvl w:val="0"/>
        <w:rPr>
          <w:rFonts w:ascii="宋体" w:hAnsi="宋体"/>
          <w:color w:val="auto"/>
          <w:sz w:val="24"/>
          <w:szCs w:val="24"/>
          <w:highlight w:val="none"/>
        </w:rPr>
      </w:pPr>
      <w:bookmarkStart w:id="168" w:name="_Toc21702"/>
      <w:bookmarkStart w:id="169" w:name="_Toc15103"/>
      <w:r>
        <w:rPr>
          <w:rFonts w:ascii="宋体" w:hAnsi="宋体"/>
          <w:color w:val="auto"/>
          <w:sz w:val="24"/>
          <w:szCs w:val="24"/>
          <w:highlight w:val="none"/>
        </w:rPr>
        <w:t>2.4</w:t>
      </w:r>
      <w:r>
        <w:rPr>
          <w:rFonts w:hint="eastAsia" w:ascii="宋体" w:hAnsi="宋体"/>
          <w:color w:val="auto"/>
          <w:sz w:val="24"/>
          <w:szCs w:val="24"/>
          <w:highlight w:val="none"/>
        </w:rPr>
        <w:t>施工现场、施工条件和基础资料的提供</w:t>
      </w:r>
      <w:bookmarkEnd w:id="168"/>
      <w:bookmarkEnd w:id="169"/>
    </w:p>
    <w:p w14:paraId="7FEB3713">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2.4.1</w:t>
      </w:r>
      <w:r>
        <w:rPr>
          <w:rFonts w:hint="eastAsia" w:ascii="宋体" w:hAnsi="宋体"/>
          <w:color w:val="auto"/>
          <w:sz w:val="24"/>
          <w:szCs w:val="24"/>
          <w:highlight w:val="none"/>
        </w:rPr>
        <w:t>提供施工现场</w:t>
      </w:r>
    </w:p>
    <w:p w14:paraId="53CB08B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关于发包人移交施工现场的期限要求：</w:t>
      </w:r>
      <w:r>
        <w:rPr>
          <w:rFonts w:hint="eastAsia" w:ascii="宋体" w:hAnsi="宋体"/>
          <w:color w:val="auto"/>
          <w:sz w:val="24"/>
          <w:szCs w:val="24"/>
          <w:highlight w:val="none"/>
          <w:u w:val="single"/>
        </w:rPr>
        <w:t>开工前</w:t>
      </w:r>
      <w:r>
        <w:rPr>
          <w:rFonts w:hint="eastAsia" w:ascii="宋体" w:hAnsi="宋体"/>
          <w:color w:val="auto"/>
          <w:sz w:val="24"/>
          <w:szCs w:val="24"/>
          <w:highlight w:val="none"/>
        </w:rPr>
        <w:t>。</w:t>
      </w:r>
    </w:p>
    <w:p w14:paraId="6ABE3B8E">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2.4.2提供施工条件</w:t>
      </w:r>
    </w:p>
    <w:p w14:paraId="471E1275">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关于发包人应负责提供施工所需要的条件，包括：</w:t>
      </w:r>
    </w:p>
    <w:p w14:paraId="71892BBB">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关于发包人应负责提供施工所需要的条件，</w:t>
      </w:r>
      <w:r>
        <w:rPr>
          <w:rFonts w:hint="eastAsia" w:ascii="宋体" w:hAnsi="宋体" w:cs="宋体"/>
          <w:color w:val="auto"/>
          <w:sz w:val="24"/>
          <w:szCs w:val="24"/>
          <w:highlight w:val="none"/>
          <w:u w:val="single"/>
          <w:lang w:bidi="ar"/>
        </w:rPr>
        <w:t>发包人提供现有资料供承包人使用，承包人自行踏勘现场确定。</w:t>
      </w:r>
    </w:p>
    <w:p w14:paraId="6FD329DF">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包括：</w:t>
      </w:r>
    </w:p>
    <w:p w14:paraId="36F0A2F0">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（1）发包人不提供水源、电源到施工现场，</w:t>
      </w:r>
      <w:r>
        <w:rPr>
          <w:rFonts w:hint="eastAsia" w:ascii="宋体" w:hAnsi="宋体" w:cs="宋体"/>
          <w:color w:val="auto"/>
          <w:sz w:val="24"/>
          <w:szCs w:val="24"/>
          <w:highlight w:val="none"/>
          <w:u w:val="single"/>
        </w:rPr>
        <w:t>由承包人自行解决接水接电，承包人根据现场情况自行考虑供水、供电费用（含接水、接电费用）并已包括在合同总价中，以后不作调整，通讯工具自备。</w:t>
      </w:r>
    </w:p>
    <w:p w14:paraId="5CD6060B">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（2）施工场地与公共道路的通道开通时间和要求：见现场实际条件，包含在合同价中。</w:t>
      </w:r>
    </w:p>
    <w:p w14:paraId="000377C9">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val="en-US" w:eastAsia="zh-CN" w:bidi="ar"/>
        </w:rPr>
        <w:t>3</w:t>
      </w: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bidi="ar"/>
        </w:rPr>
        <w:t>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p>
    <w:p w14:paraId="591ED790">
      <w:pPr>
        <w:pageBreakBefore w:val="0"/>
        <w:widowControl w:val="0"/>
        <w:spacing w:line="360" w:lineRule="auto"/>
        <w:ind w:left="0" w:right="0"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val="en-US" w:eastAsia="zh-CN" w:bidi="ar"/>
        </w:rPr>
        <w:t>4</w:t>
      </w: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bidi="ar"/>
        </w:rPr>
        <w:t>施工期间，因承包人原因与第三人发生的纠纷由承包人负责协调，所需费用含在投标报价内。</w:t>
      </w:r>
    </w:p>
    <w:p w14:paraId="67173ACB">
      <w:pPr>
        <w:pageBreakBefore w:val="0"/>
        <w:widowControl w:val="0"/>
        <w:spacing w:line="360" w:lineRule="auto"/>
        <w:ind w:left="0" w:right="0" w:firstLine="480"/>
        <w:outlineLvl w:val="0"/>
        <w:rPr>
          <w:rFonts w:ascii="宋体" w:hAnsi="宋体"/>
          <w:color w:val="auto"/>
          <w:sz w:val="24"/>
          <w:szCs w:val="24"/>
          <w:highlight w:val="none"/>
        </w:rPr>
      </w:pPr>
      <w:bookmarkStart w:id="170" w:name="_Toc9075"/>
      <w:bookmarkStart w:id="171" w:name="_Toc22000"/>
      <w:r>
        <w:rPr>
          <w:rFonts w:ascii="宋体" w:hAnsi="宋体"/>
          <w:color w:val="auto"/>
          <w:sz w:val="24"/>
          <w:szCs w:val="24"/>
          <w:highlight w:val="none"/>
        </w:rPr>
        <w:t>2.5</w:t>
      </w:r>
      <w:r>
        <w:rPr>
          <w:rFonts w:hint="eastAsia" w:ascii="宋体" w:hAnsi="宋体"/>
          <w:color w:val="auto"/>
          <w:sz w:val="24"/>
          <w:szCs w:val="24"/>
          <w:highlight w:val="none"/>
        </w:rPr>
        <w:t>资金来源证明及支付担保</w:t>
      </w:r>
      <w:bookmarkEnd w:id="170"/>
      <w:bookmarkEnd w:id="171"/>
    </w:p>
    <w:p w14:paraId="1BC09374">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发包人提供资金来源证明的期限要求：</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p>
    <w:p w14:paraId="2DA23FCA">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发包人是否提供支付担保：</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p>
    <w:p w14:paraId="1DBA13F4">
      <w:pPr>
        <w:pageBreakBefore w:val="0"/>
        <w:widowControl w:val="0"/>
        <w:spacing w:line="360" w:lineRule="auto"/>
        <w:ind w:left="0" w:right="0" w:firstLine="480"/>
        <w:rPr>
          <w:rFonts w:hint="eastAsia" w:ascii="宋体" w:hAnsi="宋体"/>
          <w:color w:val="auto"/>
          <w:sz w:val="24"/>
          <w:szCs w:val="24"/>
          <w:highlight w:val="none"/>
          <w:u w:val="single"/>
        </w:rPr>
      </w:pPr>
      <w:r>
        <w:rPr>
          <w:rFonts w:hint="eastAsia" w:ascii="宋体" w:hAnsi="宋体"/>
          <w:color w:val="auto"/>
          <w:sz w:val="24"/>
          <w:szCs w:val="24"/>
          <w:highlight w:val="none"/>
          <w:u w:val="none"/>
        </w:rPr>
        <w:t>发包人提供支付担保的形式：</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u w:val="single"/>
        </w:rPr>
        <w:t>。</w:t>
      </w:r>
    </w:p>
    <w:p w14:paraId="58CBDF77">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olor w:val="auto"/>
          <w:sz w:val="24"/>
          <w:szCs w:val="24"/>
          <w:highlight w:val="none"/>
          <w:u w:val="none"/>
        </w:rPr>
        <w:t>发包人提供工程款支付担保的金额：</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u w:val="single"/>
        </w:rPr>
        <w:t>。</w:t>
      </w:r>
    </w:p>
    <w:p w14:paraId="46F623CA">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172" w:name="_Toc351203635"/>
      <w:r>
        <w:rPr>
          <w:rFonts w:ascii="宋体" w:hAnsi="宋体"/>
          <w:b w:val="0"/>
          <w:color w:val="auto"/>
          <w:sz w:val="24"/>
          <w:szCs w:val="24"/>
          <w:highlight w:val="none"/>
        </w:rPr>
        <w:t>3</w:t>
      </w:r>
      <w:bookmarkStart w:id="173" w:name="_Toc297048344"/>
      <w:bookmarkStart w:id="174" w:name="_Toc296890986"/>
      <w:bookmarkStart w:id="175" w:name="_Toc296346659"/>
      <w:bookmarkStart w:id="176" w:name="_Toc296503158"/>
      <w:bookmarkStart w:id="177" w:name="_Toc296944497"/>
      <w:bookmarkStart w:id="178" w:name="_Toc292559868"/>
      <w:bookmarkStart w:id="179" w:name="_Toc296891198"/>
      <w:bookmarkStart w:id="180" w:name="_Toc296347157"/>
      <w:bookmarkStart w:id="181" w:name="_Toc297120458"/>
      <w:bookmarkStart w:id="182" w:name="_Toc292559363"/>
      <w:r>
        <w:rPr>
          <w:rFonts w:ascii="宋体" w:hAnsi="宋体"/>
          <w:b w:val="0"/>
          <w:color w:val="auto"/>
          <w:sz w:val="24"/>
          <w:szCs w:val="24"/>
          <w:highlight w:val="none"/>
        </w:rPr>
        <w:t>.</w:t>
      </w:r>
      <w:r>
        <w:rPr>
          <w:rFonts w:hint="eastAsia" w:ascii="宋体" w:hAnsi="宋体"/>
          <w:b w:val="0"/>
          <w:color w:val="auto"/>
          <w:sz w:val="24"/>
          <w:szCs w:val="24"/>
          <w:highlight w:val="none"/>
        </w:rPr>
        <w:t>承包人</w:t>
      </w:r>
      <w:bookmarkEnd w:id="172"/>
      <w:bookmarkEnd w:id="173"/>
      <w:bookmarkEnd w:id="174"/>
      <w:bookmarkEnd w:id="175"/>
      <w:bookmarkEnd w:id="176"/>
      <w:bookmarkEnd w:id="177"/>
      <w:bookmarkEnd w:id="178"/>
      <w:bookmarkEnd w:id="179"/>
      <w:bookmarkEnd w:id="180"/>
      <w:bookmarkEnd w:id="181"/>
      <w:bookmarkEnd w:id="182"/>
    </w:p>
    <w:p w14:paraId="5CEC7082">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3.1承包人的一般义务</w:t>
      </w:r>
    </w:p>
    <w:p w14:paraId="4BF62F43">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承包人提交的竣工资料的内容</w:t>
      </w:r>
      <w:r>
        <w:rPr>
          <w:rFonts w:hint="eastAsia" w:ascii="宋体" w:hAnsi="宋体" w:cs="宋体"/>
          <w:color w:val="auto"/>
          <w:sz w:val="24"/>
          <w:szCs w:val="24"/>
          <w:highlight w:val="none"/>
          <w:u w:val="single"/>
          <w:lang w:bidi="ar"/>
        </w:rPr>
        <w:t>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w:t>
      </w:r>
    </w:p>
    <w:p w14:paraId="49DC157D">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承包人需要提交的竣工资料套数：</w:t>
      </w:r>
      <w:r>
        <w:rPr>
          <w:rFonts w:hint="eastAsia" w:ascii="宋体" w:hAnsi="宋体" w:cs="宋体"/>
          <w:color w:val="auto"/>
          <w:sz w:val="24"/>
          <w:szCs w:val="24"/>
          <w:highlight w:val="none"/>
          <w:u w:val="single"/>
          <w:lang w:bidi="ar"/>
        </w:rPr>
        <w:t>不少于两套竣工资料原件，四套复印件及电子文档（含竣工图八套）二套。</w:t>
      </w:r>
    </w:p>
    <w:p w14:paraId="07EC733B">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承包人提交的竣工资料的费用承担：</w:t>
      </w:r>
      <w:r>
        <w:rPr>
          <w:rFonts w:hint="eastAsia" w:ascii="宋体" w:hAnsi="宋体" w:cs="宋体"/>
          <w:color w:val="auto"/>
          <w:sz w:val="24"/>
          <w:szCs w:val="24"/>
          <w:highlight w:val="none"/>
          <w:u w:val="single"/>
          <w:lang w:bidi="ar"/>
        </w:rPr>
        <w:t>由承包人承担</w:t>
      </w:r>
      <w:r>
        <w:rPr>
          <w:rFonts w:hint="eastAsia" w:ascii="宋体" w:hAnsi="宋体" w:cs="宋体"/>
          <w:color w:val="auto"/>
          <w:sz w:val="24"/>
          <w:szCs w:val="24"/>
          <w:highlight w:val="none"/>
          <w:lang w:bidi="ar"/>
        </w:rPr>
        <w:t>。</w:t>
      </w:r>
    </w:p>
    <w:p w14:paraId="5BD0C5D2">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承包人提交的竣工资料移交时间：</w:t>
      </w:r>
      <w:r>
        <w:rPr>
          <w:rFonts w:hint="eastAsia" w:ascii="宋体" w:hAnsi="宋体" w:cs="宋体"/>
          <w:color w:val="auto"/>
          <w:sz w:val="24"/>
          <w:szCs w:val="24"/>
          <w:highlight w:val="none"/>
          <w:u w:val="single"/>
          <w:lang w:bidi="ar"/>
        </w:rPr>
        <w:t>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w:t>
      </w:r>
    </w:p>
    <w:p w14:paraId="5C440EC8">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承包人提交的竣工资料形式要求：</w:t>
      </w:r>
      <w:r>
        <w:rPr>
          <w:rFonts w:hint="eastAsia" w:ascii="宋体" w:hAnsi="宋体" w:cs="宋体"/>
          <w:color w:val="auto"/>
          <w:sz w:val="24"/>
          <w:szCs w:val="24"/>
          <w:highlight w:val="none"/>
          <w:u w:val="single"/>
          <w:lang w:bidi="ar"/>
        </w:rPr>
        <w:t>书面及电子文档（含图纸）</w:t>
      </w:r>
      <w:r>
        <w:rPr>
          <w:rFonts w:hint="eastAsia" w:ascii="宋体" w:hAnsi="宋体" w:cs="宋体"/>
          <w:color w:val="auto"/>
          <w:sz w:val="24"/>
          <w:szCs w:val="24"/>
          <w:highlight w:val="none"/>
          <w:lang w:bidi="ar"/>
        </w:rPr>
        <w:t>。</w:t>
      </w:r>
    </w:p>
    <w:p w14:paraId="26F06B0A">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承包人应履行的其他义务：</w:t>
      </w:r>
    </w:p>
    <w:p w14:paraId="2B38E291">
      <w:pPr>
        <w:pageBreakBefore w:val="0"/>
        <w:widowControl w:val="0"/>
        <w:spacing w:line="360" w:lineRule="auto"/>
        <w:ind w:left="0" w:right="0" w:firstLine="480"/>
        <w:rPr>
          <w:rFonts w:hint="eastAsia" w:ascii="宋体" w:hAnsi="宋体" w:cs="宋体"/>
          <w:color w:val="auto"/>
          <w:spacing w:val="-6"/>
          <w:sz w:val="24"/>
          <w:szCs w:val="24"/>
          <w:highlight w:val="none"/>
          <w:lang w:bidi="ar"/>
        </w:rPr>
      </w:pPr>
      <w:r>
        <w:rPr>
          <w:rFonts w:hint="eastAsia" w:ascii="宋体" w:hAnsi="宋体" w:cs="宋体"/>
          <w:color w:val="auto"/>
          <w:spacing w:val="-6"/>
          <w:sz w:val="24"/>
          <w:szCs w:val="24"/>
          <w:highlight w:val="none"/>
          <w:lang w:bidi="ar"/>
        </w:rPr>
        <w:t>a.办理法律规定应由承包人办理的许可和批准，并将办理结果书面报送发包人留存；</w:t>
      </w:r>
    </w:p>
    <w:p w14:paraId="01692FD8">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b.按法律规定和合同约定完成工程，并在保修期内承担保修义务；</w:t>
      </w:r>
    </w:p>
    <w:p w14:paraId="714A59AC">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c.按法律规定和合同约定采取施工安全和环境保护措施，办理工伤保险，确保工程及人员、材料、设备和设施的安全；</w:t>
      </w:r>
    </w:p>
    <w:p w14:paraId="1EFF8D53">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d.按合同约定的工作内容和施工进度要求，编制施工组织设计和施工措施计划，并对所有施工作业和施工方法的完备性和安全可靠性负责；</w:t>
      </w:r>
    </w:p>
    <w:p w14:paraId="69BCB66E">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e.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2B8D0B1">
      <w:pPr>
        <w:pageBreakBefore w:val="0"/>
        <w:widowControl w:val="0"/>
        <w:spacing w:line="360" w:lineRule="auto"/>
        <w:ind w:left="0" w:right="0" w:firstLine="480"/>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单位所产生的</w:t>
      </w:r>
      <w:r>
        <w:rPr>
          <w:rFonts w:hint="eastAsia" w:ascii="宋体" w:hAnsi="宋体" w:cs="宋体"/>
          <w:color w:val="auto"/>
          <w:sz w:val="24"/>
          <w:szCs w:val="24"/>
          <w:highlight w:val="none"/>
          <w:lang w:bidi="ar"/>
        </w:rPr>
        <w:t>建筑垃圾</w:t>
      </w:r>
      <w:r>
        <w:rPr>
          <w:rFonts w:hint="eastAsia" w:ascii="宋体" w:hAnsi="宋体" w:cs="宋体"/>
          <w:color w:val="auto"/>
          <w:sz w:val="24"/>
          <w:szCs w:val="24"/>
          <w:highlight w:val="none"/>
          <w:lang w:val="en-US" w:eastAsia="zh-CN" w:bidi="ar"/>
        </w:rPr>
        <w:t>及</w:t>
      </w:r>
      <w:r>
        <w:rPr>
          <w:rFonts w:hint="eastAsia" w:ascii="宋体" w:hAnsi="宋体" w:cs="宋体"/>
          <w:color w:val="auto"/>
          <w:sz w:val="24"/>
          <w:szCs w:val="24"/>
          <w:highlight w:val="none"/>
          <w:lang w:bidi="ar"/>
        </w:rPr>
        <w:t>施工废弃物</w:t>
      </w:r>
      <w:r>
        <w:rPr>
          <w:rFonts w:hint="eastAsia" w:ascii="宋体" w:hAnsi="宋体" w:cs="宋体"/>
          <w:color w:val="auto"/>
          <w:sz w:val="24"/>
          <w:szCs w:val="24"/>
          <w:highlight w:val="none"/>
          <w:lang w:val="en-US" w:eastAsia="zh-CN" w:bidi="ar"/>
        </w:rPr>
        <w:t>等</w:t>
      </w:r>
      <w:r>
        <w:rPr>
          <w:rFonts w:hint="eastAsia" w:ascii="宋体" w:hAnsi="宋体" w:cs="宋体"/>
          <w:color w:val="auto"/>
          <w:sz w:val="24"/>
          <w:szCs w:val="24"/>
          <w:highlight w:val="none"/>
          <w:lang w:bidi="ar"/>
        </w:rPr>
        <w:t>），并运至发包人或政府有关部门指定地点</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运输距离大于20KM），相关费用综合考虑在</w:t>
      </w:r>
      <w:r>
        <w:rPr>
          <w:rFonts w:hint="eastAsia" w:ascii="宋体" w:hAnsi="宋体" w:cs="宋体"/>
          <w:color w:val="auto"/>
          <w:sz w:val="24"/>
          <w:szCs w:val="24"/>
          <w:highlight w:val="none"/>
          <w:lang w:bidi="ar"/>
        </w:rPr>
        <w:t>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w:t>
      </w:r>
    </w:p>
    <w:p w14:paraId="02B78E45">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g.按照通用条款第6.3款〔环境保护〕约定负责施工场地及其周边环境与生态的保护工作；</w:t>
      </w:r>
    </w:p>
    <w:p w14:paraId="5FEF7D83">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h.按通用条款第6.1款〔安全文明施工〕约定采取施工安全措施，确保工程及其人员、材料、设备和设施的安全，防止因工程施工造成的人身伤害和财产损失；</w:t>
      </w:r>
    </w:p>
    <w:p w14:paraId="48C1BA7A">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i.将发包人按合同约定支付的各项价款专用于合同工程，且应及时支付其雇用人员工资，并及时向分包人支付合同价款；</w:t>
      </w:r>
    </w:p>
    <w:p w14:paraId="5F21A170">
      <w:pPr>
        <w:pageBreakBefore w:val="0"/>
        <w:widowControl w:val="0"/>
        <w:spacing w:line="360" w:lineRule="auto"/>
        <w:ind w:left="0" w:right="0" w:firstLine="480"/>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w:t>
      </w:r>
    </w:p>
    <w:p w14:paraId="637CFB95">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k.向发包人提供2间办公室，配套办公家具，空调等，费用由承包人承担，电脑等办公用品由发包人自备。</w:t>
      </w:r>
    </w:p>
    <w:p w14:paraId="24E3ADB9">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7E6797D2">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m.已完工程成品保护的特殊要求及费用承担：由承包人负责成品保护并承担费用。</w:t>
      </w:r>
    </w:p>
    <w:p w14:paraId="66EF2331">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4、有管线资料和现场交底；5、有探挖工序；6、有应急预案（联络方式）。因承包人原因造成破坏的，承包人必须无条件及时修复，并承担由此发生的全部费用和责任。</w:t>
      </w:r>
    </w:p>
    <w:p w14:paraId="00D65F8E">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o.施工场地清洁卫生的要求：按标准化施工现场管理，保持现场清洁，符合环境要求；交工前清理现场，因施工产生的垃圾外运，费用由承包人自理。</w:t>
      </w:r>
    </w:p>
    <w:p w14:paraId="7D93F8C1">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p.承包人有义务对本工程图纸详细审阅，并提出合理化建议，确保施工期间尽量少发生拆除变更等浪费现象。施工过程中因承包人与周围发生的纠纷由承包人自行协商解决，费用由施工单位自理。</w:t>
      </w:r>
    </w:p>
    <w:p w14:paraId="1AF9C706">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q.双方约定承包人应做的其他工作：（包括但不限于）</w:t>
      </w:r>
    </w:p>
    <w:p w14:paraId="61F4B31B">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（1）承包人应负责修建进入施工现场的临时道路，确保施工设备、车辆顺利进出施工现场，如因路况不好，导致运输车辆不能到达指定地点发生二次转运或延误工期等情况，承包人承担相应责任及费用。</w:t>
      </w:r>
    </w:p>
    <w:p w14:paraId="56A70AAC">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57052C36">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（3）严格按施工图纸、国家现行的施工及技术验收规范进行施工，做好自检工作，并按规定程序进行检测和报验，确保工程质量和工期。</w:t>
      </w:r>
    </w:p>
    <w:p w14:paraId="47CA17B2">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（4）严格按施工安全规范要求采取预防事故的措施，确保施工安全和第三者安全。</w:t>
      </w:r>
    </w:p>
    <w:p w14:paraId="4E32D6EB">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4E9C4C2A">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（6）施工中承包人应做好施工原始记录，隐蔽工程记录，按照国家验收规范的要求，整理、检查、编制工程验收竣工资料。并在竣工时按规定移交发包人。</w:t>
      </w:r>
    </w:p>
    <w:p w14:paraId="17276CE5">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（7）在施工中，由承包人自身原因造成的停工、返工、材料、物件的倒运、机械二次进场等损失，均由承包人承担。</w:t>
      </w:r>
    </w:p>
    <w:p w14:paraId="72D65189">
      <w:pPr>
        <w:pageBreakBefore w:val="0"/>
        <w:widowControl w:val="0"/>
        <w:spacing w:line="360" w:lineRule="auto"/>
        <w:ind w:left="0" w:right="0" w:firstLine="482"/>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p>
    <w:p w14:paraId="38B5C873">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（9）未经发包人</w:t>
      </w:r>
      <w:r>
        <w:rPr>
          <w:rFonts w:hint="eastAsia" w:ascii="宋体" w:hAnsi="宋体"/>
          <w:color w:val="auto"/>
          <w:sz w:val="24"/>
          <w:szCs w:val="24"/>
          <w:highlight w:val="none"/>
          <w:lang w:val="en-US" w:eastAsia="zh-CN"/>
        </w:rPr>
        <w:t>书面</w:t>
      </w:r>
      <w:r>
        <w:rPr>
          <w:rFonts w:hint="eastAsia" w:ascii="宋体" w:hAnsi="宋体"/>
          <w:color w:val="auto"/>
          <w:sz w:val="24"/>
          <w:szCs w:val="24"/>
          <w:highlight w:val="none"/>
        </w:rPr>
        <w:t>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7101C2AE">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p>
    <w:p w14:paraId="0349C878">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资质</w:t>
      </w:r>
      <w:r>
        <w:rPr>
          <w:rFonts w:hint="eastAsia" w:ascii="宋体" w:hAnsi="宋体"/>
          <w:color w:val="auto"/>
          <w:sz w:val="24"/>
          <w:szCs w:val="24"/>
          <w:highlight w:val="none"/>
        </w:rPr>
        <w:t>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p>
    <w:p w14:paraId="33FDE1A2">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p>
    <w:p w14:paraId="78FEC319">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p>
    <w:p w14:paraId="2BA50E5E">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（14）材料设备要报批送检，竣工资料须经行发包人管部门验收合格并备案，同时经城建档案验收合格并移交备案等全部工作内容，并承担由此而产生的所有费用。</w:t>
      </w:r>
    </w:p>
    <w:p w14:paraId="63777DD2">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包括但不限于分包单位</w:t>
      </w:r>
      <w:r>
        <w:rPr>
          <w:rFonts w:hint="eastAsia" w:ascii="宋体" w:hAnsi="宋体"/>
          <w:color w:val="auto"/>
          <w:sz w:val="24"/>
          <w:szCs w:val="24"/>
          <w:highlight w:val="none"/>
          <w:lang w:eastAsia="zh-CN"/>
        </w:rPr>
        <w:t>）</w:t>
      </w:r>
      <w:r>
        <w:rPr>
          <w:rFonts w:hint="eastAsia" w:ascii="宋体" w:hAnsi="宋体"/>
          <w:color w:val="auto"/>
          <w:sz w:val="24"/>
          <w:szCs w:val="24"/>
          <w:highlight w:val="none"/>
        </w:rPr>
        <w:t>紧密配合；同时，在整个施工过程中应按实际情况及考虑其他承包单位的施工计划不断修订自身的工作进度计划予以配合。</w:t>
      </w:r>
    </w:p>
    <w:p w14:paraId="0BE6F090">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p>
    <w:p w14:paraId="4E2B66D9">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（17）其他：1、竣工资料符合连云港市城建档案馆关于档案资料的要求；2、准时参加监理组织的每周工程例会和专题会议；3、应接受发包人的现场协调管理；4、其他事宜由双方协商另定。</w:t>
      </w:r>
    </w:p>
    <w:p w14:paraId="33523452">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（18）承包人未能按要求履行以上各项义务，造成发包人损失的，承包人应赔偿发包人有关损失。</w:t>
      </w:r>
    </w:p>
    <w:p w14:paraId="7667FD7F">
      <w:pPr>
        <w:pageBreakBefore w:val="0"/>
        <w:widowControl w:val="0"/>
        <w:spacing w:line="360" w:lineRule="auto"/>
        <w:ind w:left="0" w:right="0" w:firstLine="480"/>
        <w:outlineLvl w:val="0"/>
        <w:rPr>
          <w:rFonts w:hint="eastAsia" w:ascii="宋体" w:hAnsi="宋体" w:cs="宋体"/>
          <w:color w:val="auto"/>
          <w:sz w:val="24"/>
          <w:szCs w:val="24"/>
          <w:highlight w:val="none"/>
        </w:rPr>
      </w:pPr>
      <w:bookmarkStart w:id="183" w:name="_Toc3684"/>
      <w:bookmarkStart w:id="184" w:name="_Toc28333"/>
      <w:r>
        <w:rPr>
          <w:rFonts w:hint="eastAsia" w:ascii="宋体" w:hAnsi="宋体" w:cs="宋体"/>
          <w:color w:val="auto"/>
          <w:sz w:val="24"/>
          <w:szCs w:val="24"/>
          <w:highlight w:val="none"/>
        </w:rPr>
        <w:t>3.2项目经理</w:t>
      </w:r>
      <w:bookmarkEnd w:id="183"/>
      <w:bookmarkEnd w:id="184"/>
    </w:p>
    <w:p w14:paraId="12B5AA0F">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3.2.1项目经理：</w:t>
      </w:r>
    </w:p>
    <w:p w14:paraId="19C11BF0">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p w14:paraId="7C93AA6A">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身份证号：；</w:t>
      </w:r>
    </w:p>
    <w:p w14:paraId="71A8E099">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建造师执业资格等级：；</w:t>
      </w:r>
    </w:p>
    <w:p w14:paraId="280B0D7B">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建造师注册证书号：；</w:t>
      </w:r>
    </w:p>
    <w:p w14:paraId="431A56C3">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建造师执业印章号：；</w:t>
      </w:r>
    </w:p>
    <w:p w14:paraId="4866CC15">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安全生产考核合格证书号：；</w:t>
      </w:r>
    </w:p>
    <w:p w14:paraId="6C655822">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p>
    <w:p w14:paraId="5C13F135">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电子信箱：；</w:t>
      </w:r>
    </w:p>
    <w:p w14:paraId="2A51A8C3">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通信地址：；</w:t>
      </w:r>
    </w:p>
    <w:p w14:paraId="146083E1">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承包人对项目经理的授权范围如下：</w:t>
      </w:r>
      <w:r>
        <w:rPr>
          <w:rFonts w:hint="eastAsia" w:ascii="宋体" w:hAnsi="宋体"/>
          <w:color w:val="auto"/>
          <w:sz w:val="24"/>
          <w:szCs w:val="24"/>
          <w:highlight w:val="none"/>
          <w:u w:val="single"/>
        </w:rPr>
        <w:t>全面负责本项目施工质量、进度、安全及相关的工程管理</w:t>
      </w:r>
      <w:r>
        <w:rPr>
          <w:rFonts w:hint="eastAsia" w:ascii="宋体" w:hAnsi="宋体"/>
          <w:color w:val="auto"/>
          <w:sz w:val="24"/>
          <w:szCs w:val="24"/>
          <w:highlight w:val="none"/>
        </w:rPr>
        <w:t>。</w:t>
      </w:r>
    </w:p>
    <w:p w14:paraId="7BEF883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关于项目经理每月在施工现场的时间要求：</w:t>
      </w:r>
      <w:r>
        <w:rPr>
          <w:rFonts w:hint="eastAsia" w:ascii="宋体" w:hAnsi="宋体"/>
          <w:color w:val="auto"/>
          <w:sz w:val="24"/>
          <w:szCs w:val="24"/>
          <w:highlight w:val="none"/>
          <w:u w:val="single"/>
        </w:rPr>
        <w:t>项目经理</w:t>
      </w:r>
      <w:r>
        <w:rPr>
          <w:rFonts w:ascii="宋体" w:hAnsi="宋体"/>
          <w:color w:val="auto"/>
          <w:sz w:val="24"/>
          <w:szCs w:val="24"/>
          <w:highlight w:val="none"/>
          <w:u w:val="single"/>
        </w:rPr>
        <w:t>在现场</w:t>
      </w:r>
      <w:r>
        <w:rPr>
          <w:rFonts w:hint="eastAsia" w:ascii="宋体" w:hAnsi="宋体"/>
          <w:color w:val="auto"/>
          <w:sz w:val="24"/>
          <w:szCs w:val="24"/>
          <w:highlight w:val="none"/>
          <w:u w:val="single"/>
        </w:rPr>
        <w:t>每日不得少于8小时，每周不少于5日，如有特殊情况，须提供书面请假经发包人批准。</w:t>
      </w:r>
    </w:p>
    <w:p w14:paraId="13AB99E2">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承包人未提交劳动合同，以及没有为项目经理缴纳社会保险证明的违约责任：</w:t>
      </w:r>
      <w:r>
        <w:rPr>
          <w:rFonts w:hint="eastAsia" w:ascii="宋体" w:hAnsi="宋体"/>
          <w:color w:val="auto"/>
          <w:sz w:val="24"/>
          <w:szCs w:val="24"/>
          <w:highlight w:val="none"/>
          <w:u w:val="single"/>
        </w:rPr>
        <w:t>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w:t>
      </w:r>
    </w:p>
    <w:p w14:paraId="37C17CEC">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项目经理未经批准，擅自离开施工现场的违约责任：</w:t>
      </w:r>
      <w:r>
        <w:rPr>
          <w:rFonts w:hint="eastAsia" w:ascii="宋体" w:hAnsi="宋体"/>
          <w:color w:val="auto"/>
          <w:sz w:val="24"/>
          <w:szCs w:val="24"/>
          <w:highlight w:val="none"/>
          <w:u w:val="single"/>
        </w:rPr>
        <w:t>发包人每发现一次项目经理擅自离开施工现场的，</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向发包人支付违约金5000元/天索赔，累计发现五次项目经理擅自离开施工现场，视为</w:t>
      </w:r>
      <w:r>
        <w:rPr>
          <w:rFonts w:ascii="宋体" w:hAnsi="宋体"/>
          <w:color w:val="auto"/>
          <w:sz w:val="24"/>
          <w:szCs w:val="24"/>
          <w:highlight w:val="none"/>
          <w:u w:val="single"/>
        </w:rPr>
        <w:t>承包人擅自更换项目经理</w:t>
      </w:r>
      <w:r>
        <w:rPr>
          <w:rFonts w:hint="eastAsia" w:ascii="宋体" w:hAnsi="宋体"/>
          <w:color w:val="auto"/>
          <w:sz w:val="24"/>
          <w:szCs w:val="24"/>
          <w:highlight w:val="none"/>
        </w:rPr>
        <w:t>。</w:t>
      </w:r>
    </w:p>
    <w:p w14:paraId="2F7FC4A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3.2.3</w:t>
      </w:r>
      <w:r>
        <w:rPr>
          <w:rFonts w:hint="eastAsia" w:ascii="宋体" w:hAnsi="宋体"/>
          <w:color w:val="auto"/>
          <w:sz w:val="24"/>
          <w:szCs w:val="24"/>
          <w:highlight w:val="none"/>
        </w:rPr>
        <w:t>承包人擅自更换项目经理的违约责任：</w:t>
      </w:r>
      <w:r>
        <w:rPr>
          <w:rFonts w:ascii="宋体" w:hAnsi="宋体"/>
          <w:color w:val="auto"/>
          <w:sz w:val="24"/>
          <w:szCs w:val="24"/>
          <w:highlight w:val="none"/>
          <w:u w:val="single"/>
        </w:rPr>
        <w:t>若承包人擅自更换项目经理，</w:t>
      </w:r>
      <w:r>
        <w:rPr>
          <w:rFonts w:hint="eastAsia" w:ascii="宋体" w:hAnsi="宋体"/>
          <w:color w:val="auto"/>
          <w:sz w:val="24"/>
          <w:szCs w:val="24"/>
          <w:highlight w:val="none"/>
          <w:u w:val="single"/>
        </w:rPr>
        <w:t>发包人扣除承包人的全部履约保证金，同时要求承包人更换后的项目经理资质等级、业绩不低于原项目经理，否则解除施工合同</w:t>
      </w:r>
      <w:r>
        <w:rPr>
          <w:rFonts w:ascii="宋体" w:hAnsi="宋体"/>
          <w:color w:val="auto"/>
          <w:sz w:val="24"/>
          <w:szCs w:val="24"/>
          <w:highlight w:val="none"/>
        </w:rPr>
        <w:t>。</w:t>
      </w:r>
    </w:p>
    <w:p w14:paraId="641574B1">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3.2.4</w:t>
      </w:r>
      <w:r>
        <w:rPr>
          <w:rFonts w:hint="eastAsia" w:ascii="宋体" w:hAnsi="宋体"/>
          <w:color w:val="auto"/>
          <w:sz w:val="24"/>
          <w:szCs w:val="24"/>
          <w:highlight w:val="none"/>
        </w:rPr>
        <w:t>承包人无正当理由拒绝更换项目经理的违约责任：</w:t>
      </w:r>
      <w:r>
        <w:rPr>
          <w:rFonts w:hint="eastAsia" w:ascii="宋体" w:hAnsi="宋体"/>
          <w:color w:val="auto"/>
          <w:sz w:val="24"/>
          <w:szCs w:val="24"/>
          <w:highlight w:val="none"/>
          <w:u w:val="single"/>
        </w:rPr>
        <w:t>扣除承包人的全部履约保证金并解除</w:t>
      </w:r>
      <w:r>
        <w:rPr>
          <w:rFonts w:hint="eastAsia" w:ascii="宋体" w:hAnsi="宋体"/>
          <w:color w:val="auto"/>
          <w:sz w:val="24"/>
          <w:szCs w:val="24"/>
          <w:highlight w:val="none"/>
        </w:rPr>
        <w:t>施工合同</w:t>
      </w:r>
      <w:r>
        <w:rPr>
          <w:rFonts w:ascii="宋体" w:hAnsi="宋体"/>
          <w:color w:val="auto"/>
          <w:sz w:val="24"/>
          <w:szCs w:val="24"/>
          <w:highlight w:val="none"/>
        </w:rPr>
        <w:t>。</w:t>
      </w:r>
    </w:p>
    <w:p w14:paraId="2EF19702">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大中型项目，开工前中标人应在施工现场安装生物识别网络管理系统，招标人依据合同约定条款对项目负责人等项目组成员加强履约管理。</w:t>
      </w:r>
    </w:p>
    <w:p w14:paraId="0429004E">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3.3</w:t>
      </w:r>
      <w:r>
        <w:rPr>
          <w:rFonts w:hint="eastAsia" w:ascii="宋体" w:hAnsi="宋体"/>
          <w:color w:val="auto"/>
          <w:sz w:val="24"/>
          <w:szCs w:val="24"/>
          <w:highlight w:val="none"/>
        </w:rPr>
        <w:t>承包人人员</w:t>
      </w:r>
    </w:p>
    <w:p w14:paraId="0CA94A29">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3.3.1</w:t>
      </w:r>
      <w:r>
        <w:rPr>
          <w:rFonts w:hint="eastAsia" w:ascii="宋体" w:hAnsi="宋体"/>
          <w:color w:val="auto"/>
          <w:sz w:val="24"/>
          <w:szCs w:val="24"/>
          <w:highlight w:val="none"/>
        </w:rPr>
        <w:t>承包人提交项目管理机构及施工现场管理人员安排报告的期限：</w:t>
      </w:r>
      <w:r>
        <w:rPr>
          <w:rFonts w:hint="eastAsia" w:ascii="宋体" w:hAnsi="宋体"/>
          <w:color w:val="auto"/>
          <w:sz w:val="24"/>
          <w:szCs w:val="24"/>
          <w:highlight w:val="none"/>
          <w:u w:val="single"/>
        </w:rPr>
        <w:t>接到开工令3天内</w:t>
      </w:r>
      <w:r>
        <w:rPr>
          <w:rFonts w:hint="eastAsia" w:ascii="宋体" w:hAnsi="宋体"/>
          <w:color w:val="auto"/>
          <w:sz w:val="24"/>
          <w:szCs w:val="24"/>
          <w:highlight w:val="none"/>
        </w:rPr>
        <w:t>。</w:t>
      </w:r>
    </w:p>
    <w:p w14:paraId="36D24A49">
      <w:pPr>
        <w:pageBreakBefore w:val="0"/>
        <w:widowControl w:val="0"/>
        <w:spacing w:line="360" w:lineRule="auto"/>
        <w:ind w:left="0" w:right="0" w:firstLine="480"/>
        <w:rPr>
          <w:rFonts w:ascii="宋体" w:hAnsi="宋体"/>
          <w:color w:val="auto"/>
          <w:sz w:val="24"/>
          <w:szCs w:val="24"/>
          <w:highlight w:val="none"/>
          <w:u w:val="single"/>
        </w:rPr>
      </w:pPr>
      <w:r>
        <w:rPr>
          <w:rFonts w:ascii="宋体" w:hAnsi="宋体"/>
          <w:color w:val="auto"/>
          <w:sz w:val="24"/>
          <w:szCs w:val="24"/>
          <w:highlight w:val="none"/>
        </w:rPr>
        <w:t>3.3.3</w:t>
      </w:r>
      <w:r>
        <w:rPr>
          <w:rFonts w:hint="eastAsia" w:ascii="宋体" w:hAnsi="宋体"/>
          <w:color w:val="auto"/>
          <w:sz w:val="24"/>
          <w:szCs w:val="24"/>
          <w:highlight w:val="none"/>
        </w:rPr>
        <w:t>承包人无正当理由拒绝撤换主要施工管理人员的违约责任：</w:t>
      </w:r>
      <w:r>
        <w:rPr>
          <w:rFonts w:hint="eastAsia" w:ascii="宋体" w:hAnsi="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1</w:t>
      </w:r>
      <w:r>
        <w:rPr>
          <w:rFonts w:hint="eastAsia" w:ascii="宋体" w:hAnsi="宋体"/>
          <w:color w:val="auto"/>
          <w:sz w:val="24"/>
          <w:szCs w:val="24"/>
          <w:highlight w:val="none"/>
          <w:u w:val="single"/>
        </w:rPr>
        <w:t>000元/人。</w:t>
      </w:r>
    </w:p>
    <w:p w14:paraId="05665A47">
      <w:pPr>
        <w:pageBreakBefore w:val="0"/>
        <w:widowControl w:val="0"/>
        <w:spacing w:line="360" w:lineRule="auto"/>
        <w:ind w:left="0" w:right="0" w:firstLine="480"/>
        <w:rPr>
          <w:rFonts w:ascii="宋体" w:hAnsi="宋体"/>
          <w:color w:val="auto"/>
          <w:sz w:val="24"/>
          <w:szCs w:val="24"/>
          <w:highlight w:val="none"/>
          <w:u w:val="single"/>
        </w:rPr>
      </w:pPr>
      <w:r>
        <w:rPr>
          <w:rFonts w:ascii="宋体" w:hAnsi="宋体"/>
          <w:color w:val="auto"/>
          <w:sz w:val="24"/>
          <w:szCs w:val="24"/>
          <w:highlight w:val="none"/>
        </w:rPr>
        <w:t>3.3.4</w:t>
      </w:r>
      <w:r>
        <w:rPr>
          <w:rFonts w:hint="eastAsia" w:ascii="宋体" w:hAnsi="宋体"/>
          <w:color w:val="auto"/>
          <w:sz w:val="24"/>
          <w:szCs w:val="24"/>
          <w:highlight w:val="none"/>
        </w:rPr>
        <w:t>承包人主要施工管理人员离开施工现场的批准要求：</w:t>
      </w:r>
      <w:r>
        <w:rPr>
          <w:rFonts w:ascii="宋体" w:hAnsi="宋体"/>
          <w:color w:val="auto"/>
          <w:sz w:val="24"/>
          <w:szCs w:val="24"/>
          <w:highlight w:val="none"/>
          <w:u w:val="single"/>
        </w:rPr>
        <w:t>应提前</w:t>
      </w:r>
      <w:r>
        <w:rPr>
          <w:rFonts w:hint="eastAsia" w:ascii="宋体" w:hAnsi="宋体"/>
          <w:color w:val="auto"/>
          <w:sz w:val="24"/>
          <w:szCs w:val="24"/>
          <w:highlight w:val="none"/>
          <w:u w:val="single"/>
        </w:rPr>
        <w:t>2</w:t>
      </w:r>
      <w:r>
        <w:rPr>
          <w:rFonts w:ascii="宋体" w:hAnsi="宋体"/>
          <w:color w:val="auto"/>
          <w:sz w:val="24"/>
          <w:szCs w:val="24"/>
          <w:highlight w:val="none"/>
          <w:u w:val="single"/>
        </w:rPr>
        <w:t>天书面通知监理人，并征得发包人</w:t>
      </w:r>
      <w:r>
        <w:rPr>
          <w:rFonts w:hint="eastAsia" w:ascii="宋体" w:hAnsi="宋体"/>
          <w:color w:val="auto"/>
          <w:sz w:val="24"/>
          <w:szCs w:val="24"/>
          <w:highlight w:val="none"/>
          <w:u w:val="single"/>
          <w:lang w:val="en-US" w:eastAsia="zh-CN"/>
        </w:rPr>
        <w:t>事先</w:t>
      </w:r>
      <w:r>
        <w:rPr>
          <w:rFonts w:ascii="宋体" w:hAnsi="宋体"/>
          <w:color w:val="auto"/>
          <w:sz w:val="24"/>
          <w:szCs w:val="24"/>
          <w:highlight w:val="none"/>
          <w:u w:val="single"/>
        </w:rPr>
        <w:t>书面同意</w:t>
      </w:r>
      <w:r>
        <w:rPr>
          <w:rFonts w:hint="eastAsia" w:ascii="宋体" w:hAnsi="宋体"/>
          <w:color w:val="auto"/>
          <w:sz w:val="24"/>
          <w:szCs w:val="24"/>
          <w:highlight w:val="none"/>
        </w:rPr>
        <w:t>。</w:t>
      </w:r>
    </w:p>
    <w:p w14:paraId="36ED909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3.3.5</w:t>
      </w:r>
      <w:r>
        <w:rPr>
          <w:rFonts w:hint="eastAsia" w:ascii="宋体" w:hAnsi="宋体"/>
          <w:color w:val="auto"/>
          <w:sz w:val="24"/>
          <w:szCs w:val="24"/>
          <w:highlight w:val="none"/>
        </w:rPr>
        <w:t>承包人擅自更换主要施工管理人员的违约责任：</w:t>
      </w:r>
      <w:r>
        <w:rPr>
          <w:rFonts w:ascii="宋体" w:hAnsi="宋体"/>
          <w:color w:val="auto"/>
          <w:sz w:val="24"/>
          <w:szCs w:val="24"/>
          <w:highlight w:val="none"/>
          <w:u w:val="single"/>
        </w:rPr>
        <w:t>若承包人擅自更换</w:t>
      </w:r>
      <w:r>
        <w:rPr>
          <w:rFonts w:hint="eastAsia" w:ascii="宋体" w:hAnsi="宋体"/>
          <w:color w:val="auto"/>
          <w:sz w:val="24"/>
          <w:szCs w:val="24"/>
          <w:highlight w:val="none"/>
          <w:u w:val="single"/>
        </w:rPr>
        <w:t>主要施工管理人员</w:t>
      </w:r>
      <w:r>
        <w:rPr>
          <w:rFonts w:ascii="宋体" w:hAnsi="宋体"/>
          <w:color w:val="auto"/>
          <w:sz w:val="24"/>
          <w:szCs w:val="24"/>
          <w:highlight w:val="none"/>
          <w:u w:val="single"/>
        </w:rPr>
        <w:t>，</w:t>
      </w:r>
      <w:r>
        <w:rPr>
          <w:rFonts w:hint="eastAsia" w:ascii="宋体" w:hAnsi="宋体"/>
          <w:color w:val="auto"/>
          <w:sz w:val="24"/>
          <w:szCs w:val="24"/>
          <w:highlight w:val="none"/>
          <w:u w:val="single"/>
        </w:rPr>
        <w:t>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w:t>
      </w:r>
    </w:p>
    <w:p w14:paraId="766F733B">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承包人主要施工管理人员擅自离开施工现场的违约责任：</w:t>
      </w:r>
      <w:r>
        <w:rPr>
          <w:rFonts w:hint="eastAsia" w:ascii="宋体" w:hAnsi="宋体"/>
          <w:color w:val="auto"/>
          <w:sz w:val="24"/>
          <w:szCs w:val="24"/>
          <w:highlight w:val="none"/>
          <w:u w:val="single"/>
        </w:rPr>
        <w:t>发包人每发现一次主要施工管理人员擅自离开施工现场的，</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向发包人支付违约金10000元，累计发现十次主要施工管理人员擅自离开施工现场，视为</w:t>
      </w:r>
      <w:r>
        <w:rPr>
          <w:rFonts w:ascii="宋体" w:hAnsi="宋体"/>
          <w:color w:val="auto"/>
          <w:sz w:val="24"/>
          <w:szCs w:val="24"/>
          <w:highlight w:val="none"/>
          <w:u w:val="single"/>
        </w:rPr>
        <w:t>承包人擅自更换</w:t>
      </w:r>
      <w:r>
        <w:rPr>
          <w:rFonts w:hint="eastAsia" w:ascii="宋体" w:hAnsi="宋体"/>
          <w:color w:val="auto"/>
          <w:sz w:val="24"/>
          <w:szCs w:val="24"/>
          <w:highlight w:val="none"/>
          <w:u w:val="single"/>
        </w:rPr>
        <w:t>主要施工管理人员</w:t>
      </w:r>
      <w:r>
        <w:rPr>
          <w:rFonts w:hint="eastAsia" w:ascii="宋体" w:hAnsi="宋体"/>
          <w:color w:val="auto"/>
          <w:sz w:val="24"/>
          <w:szCs w:val="24"/>
          <w:highlight w:val="none"/>
        </w:rPr>
        <w:t>。</w:t>
      </w:r>
    </w:p>
    <w:p w14:paraId="36B10204">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w:t>
      </w:r>
      <w:bookmarkStart w:id="185" w:name="_Toc300934945"/>
      <w:bookmarkStart w:id="186" w:name="_Toc297048345"/>
      <w:bookmarkStart w:id="187" w:name="_Toc296346660"/>
      <w:bookmarkStart w:id="188" w:name="_Toc296503159"/>
      <w:bookmarkStart w:id="189" w:name="_Toc297123492"/>
      <w:bookmarkStart w:id="190" w:name="_Toc296890987"/>
      <w:bookmarkStart w:id="191" w:name="_Toc296944498"/>
      <w:bookmarkStart w:id="192" w:name="_Toc297120459"/>
      <w:bookmarkStart w:id="193" w:name="_Toc312677988"/>
      <w:bookmarkStart w:id="194" w:name="_Toc292559869"/>
      <w:bookmarkStart w:id="195" w:name="_Toc304295523"/>
      <w:bookmarkStart w:id="196" w:name="_Toc296347158"/>
      <w:bookmarkStart w:id="197" w:name="_Toc296891199"/>
      <w:bookmarkStart w:id="198" w:name="_Toc292559364"/>
      <w:bookmarkStart w:id="199" w:name="_Toc303539102"/>
      <w:bookmarkStart w:id="200" w:name="_Toc297216151"/>
      <w:r>
        <w:rPr>
          <w:rFonts w:ascii="宋体" w:hAnsi="宋体"/>
          <w:color w:val="auto"/>
          <w:sz w:val="24"/>
          <w:szCs w:val="24"/>
          <w:highlight w:val="none"/>
        </w:rPr>
        <w:t>.5</w:t>
      </w:r>
      <w:r>
        <w:rPr>
          <w:rFonts w:hint="eastAsia" w:ascii="宋体" w:hAnsi="宋体"/>
          <w:color w:val="auto"/>
          <w:sz w:val="24"/>
          <w:szCs w:val="24"/>
          <w:highlight w:val="none"/>
        </w:rPr>
        <w:t>分包</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0EC5DEF8">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w:t>
      </w:r>
      <w:bookmarkStart w:id="201" w:name="_Toc296347159"/>
      <w:bookmarkStart w:id="202" w:name="_Toc297048346"/>
      <w:bookmarkStart w:id="203" w:name="_Toc296890988"/>
      <w:bookmarkStart w:id="204" w:name="_Toc318581158"/>
      <w:bookmarkStart w:id="205" w:name="_Toc312677989"/>
      <w:bookmarkStart w:id="206" w:name="_Toc304295524"/>
      <w:bookmarkStart w:id="207" w:name="_Toc296944499"/>
      <w:bookmarkStart w:id="208" w:name="_Toc297123493"/>
      <w:bookmarkStart w:id="209" w:name="_Toc296891200"/>
      <w:bookmarkStart w:id="210" w:name="_Toc292559870"/>
      <w:bookmarkStart w:id="211" w:name="_Toc303539103"/>
      <w:bookmarkStart w:id="212" w:name="_Toc292559365"/>
      <w:bookmarkStart w:id="213" w:name="_Toc300934946"/>
      <w:bookmarkStart w:id="214" w:name="_Toc297120460"/>
      <w:bookmarkStart w:id="215" w:name="_Toc296346661"/>
      <w:bookmarkStart w:id="216" w:name="_Toc297216152"/>
      <w:bookmarkStart w:id="217" w:name="_Toc296503160"/>
      <w:r>
        <w:rPr>
          <w:rFonts w:ascii="宋体" w:hAnsi="宋体"/>
          <w:color w:val="auto"/>
          <w:sz w:val="24"/>
          <w:szCs w:val="24"/>
          <w:highlight w:val="none"/>
        </w:rPr>
        <w:t>.5.1</w:t>
      </w:r>
      <w:r>
        <w:rPr>
          <w:rFonts w:hint="eastAsia" w:ascii="宋体" w:hAnsi="宋体"/>
          <w:color w:val="auto"/>
          <w:sz w:val="24"/>
          <w:szCs w:val="24"/>
          <w:highlight w:val="none"/>
        </w:rPr>
        <w:t>分包的一般约定</w:t>
      </w:r>
    </w:p>
    <w:p w14:paraId="7EE74EEF">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禁止分包的工程包括：</w:t>
      </w:r>
      <w:r>
        <w:rPr>
          <w:rFonts w:hint="eastAsia" w:ascii="宋体" w:hAnsi="宋体"/>
          <w:color w:val="auto"/>
          <w:sz w:val="24"/>
          <w:szCs w:val="24"/>
          <w:highlight w:val="none"/>
          <w:u w:val="single"/>
          <w:lang w:val="en-US" w:eastAsia="zh-CN"/>
        </w:rPr>
        <w:t>本工程不允许分包</w:t>
      </w:r>
      <w:r>
        <w:rPr>
          <w:rFonts w:hint="eastAsia" w:ascii="宋体" w:hAnsi="宋体"/>
          <w:color w:val="auto"/>
          <w:sz w:val="24"/>
          <w:szCs w:val="24"/>
          <w:highlight w:val="none"/>
        </w:rPr>
        <w:t>。</w:t>
      </w:r>
    </w:p>
    <w:p w14:paraId="6A79B5CF">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主体结构、关键性工作的范围：</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32B09F27">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w:t>
      </w:r>
      <w:bookmarkStart w:id="218" w:name="_Toc312677990"/>
      <w:bookmarkStart w:id="219" w:name="_Toc318581159"/>
      <w:r>
        <w:rPr>
          <w:rFonts w:ascii="宋体" w:hAnsi="宋体"/>
          <w:color w:val="auto"/>
          <w:sz w:val="24"/>
          <w:szCs w:val="24"/>
          <w:highlight w:val="none"/>
        </w:rPr>
        <w:t>.5.2</w:t>
      </w:r>
      <w:r>
        <w:rPr>
          <w:rFonts w:hint="eastAsia" w:ascii="宋体" w:hAnsi="宋体"/>
          <w:color w:val="auto"/>
          <w:sz w:val="24"/>
          <w:szCs w:val="24"/>
          <w:highlight w:val="none"/>
        </w:rPr>
        <w:t>分包的确定</w:t>
      </w:r>
    </w:p>
    <w:p w14:paraId="165A9C84">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olor w:val="auto"/>
          <w:sz w:val="24"/>
          <w:szCs w:val="24"/>
          <w:highlight w:val="none"/>
        </w:rPr>
        <w:t>允许分包的专业工程包括：</w:t>
      </w:r>
      <w:r>
        <w:rPr>
          <w:rFonts w:hint="eastAsia" w:ascii="宋体" w:hAnsi="宋体"/>
          <w:color w:val="auto"/>
          <w:sz w:val="24"/>
          <w:szCs w:val="24"/>
          <w:highlight w:val="none"/>
          <w:u w:val="single"/>
        </w:rPr>
        <w:t>本工程不允许分包。</w:t>
      </w:r>
    </w:p>
    <w:p w14:paraId="2E73DF43">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其他关于分包的约定：</w:t>
      </w:r>
      <w:r>
        <w:rPr>
          <w:rFonts w:hint="eastAsia" w:ascii="宋体" w:hAnsi="宋体"/>
          <w:color w:val="auto"/>
          <w:sz w:val="24"/>
          <w:szCs w:val="24"/>
          <w:highlight w:val="none"/>
          <w:u w:val="single"/>
        </w:rPr>
        <w:t>一经发现分包，发包方有权解除协议，并要求承包方赔付总合同工程款的30%的违约金。</w:t>
      </w:r>
    </w:p>
    <w:p w14:paraId="145DEB51">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3.5.4</w:t>
      </w:r>
      <w:r>
        <w:rPr>
          <w:rFonts w:hint="eastAsia" w:ascii="宋体" w:hAnsi="宋体"/>
          <w:color w:val="auto"/>
          <w:sz w:val="24"/>
          <w:szCs w:val="24"/>
          <w:highlight w:val="none"/>
        </w:rPr>
        <w:t>分包合同价款</w:t>
      </w:r>
    </w:p>
    <w:p w14:paraId="6DAC6C35">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关于分包合同价款支付的约定：</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bookmarkEnd w:id="218"/>
      <w:bookmarkEnd w:id="219"/>
    </w:p>
    <w:p w14:paraId="273BEDF4">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3.6</w:t>
      </w:r>
      <w:r>
        <w:rPr>
          <w:rFonts w:hint="eastAsia" w:ascii="宋体" w:hAnsi="宋体"/>
          <w:color w:val="auto"/>
          <w:sz w:val="24"/>
          <w:szCs w:val="24"/>
          <w:highlight w:val="none"/>
        </w:rPr>
        <w:t>工程照管与成品、半成品保护</w:t>
      </w:r>
    </w:p>
    <w:p w14:paraId="4D3C0B49">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olor w:val="auto"/>
          <w:sz w:val="24"/>
          <w:szCs w:val="24"/>
          <w:highlight w:val="none"/>
        </w:rPr>
        <w:t>承包人负责照管工程及工程相关的材料、工程设备的起始时间：</w:t>
      </w:r>
      <w:r>
        <w:rPr>
          <w:rFonts w:ascii="宋体" w:hAnsi="宋体"/>
          <w:color w:val="auto"/>
          <w:sz w:val="24"/>
          <w:szCs w:val="24"/>
          <w:highlight w:val="none"/>
          <w:u w:val="single"/>
        </w:rPr>
        <w:t>自发包人向承包人移交施工现场之日起，承包人应负责照管工程及工程相关的材料、工程设备，直到颁发工程接收证书之日止。</w:t>
      </w:r>
    </w:p>
    <w:p w14:paraId="7CC77D74">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3.7履约担保</w:t>
      </w:r>
    </w:p>
    <w:p w14:paraId="29AF0242">
      <w:pPr>
        <w:keepNext w:val="0"/>
        <w:keepLines w:val="0"/>
        <w:pageBreakBefore w:val="0"/>
        <w:widowControl/>
        <w:spacing w:line="360" w:lineRule="auto"/>
        <w:ind w:firstLine="420"/>
        <w:jc w:val="lef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承包人是否提</w:t>
      </w:r>
      <w:r>
        <w:rPr>
          <w:rFonts w:hint="eastAsia" w:ascii="宋体" w:hAnsi="宋体" w:eastAsia="宋体" w:cs="宋体"/>
          <w:color w:val="auto"/>
          <w:szCs w:val="21"/>
          <w:highlight w:val="none"/>
          <w:lang w:val="en-US" w:eastAsia="zh-CN" w:bidi="ar"/>
        </w:rPr>
        <w:t>供履约担保：</w:t>
      </w:r>
      <w:r>
        <w:rPr>
          <w:rFonts w:hint="eastAsia" w:ascii="宋体" w:hAnsi="宋体" w:cs="宋体"/>
          <w:color w:val="auto"/>
          <w:szCs w:val="21"/>
          <w:highlight w:val="none"/>
          <w:u w:val="single"/>
          <w:lang w:val="en-US" w:eastAsia="zh-CN" w:bidi="ar"/>
        </w:rPr>
        <w:t>提供</w:t>
      </w:r>
      <w:r>
        <w:rPr>
          <w:rFonts w:hint="eastAsia" w:ascii="宋体" w:hAnsi="宋体" w:eastAsia="宋体" w:cs="宋体"/>
          <w:color w:val="auto"/>
          <w:szCs w:val="21"/>
          <w:highlight w:val="none"/>
          <w:u w:val="single"/>
          <w:lang w:val="en-US" w:eastAsia="zh-CN" w:bidi="ar"/>
        </w:rPr>
        <w:t>；</w:t>
      </w:r>
    </w:p>
    <w:p w14:paraId="1D59C8E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kern w:val="2"/>
          <w:sz w:val="24"/>
          <w:szCs w:val="24"/>
          <w:highlight w:val="none"/>
          <w:lang w:val="en-US" w:eastAsia="zh-CN" w:bidi="ar-SA"/>
        </w:rPr>
      </w:pPr>
      <w:bookmarkStart w:id="220" w:name="_Toc351203636"/>
      <w:r>
        <w:rPr>
          <w:rFonts w:hint="eastAsia" w:ascii="宋体" w:hAnsi="宋体" w:cs="宋体"/>
          <w:b/>
          <w:bCs/>
          <w:i w:val="0"/>
          <w:iCs w:val="0"/>
          <w:color w:val="auto"/>
          <w:kern w:val="2"/>
          <w:sz w:val="24"/>
          <w:szCs w:val="24"/>
          <w:highlight w:val="none"/>
          <w:lang w:val="en-US" w:eastAsia="zh-CN" w:bidi="ar-SA"/>
        </w:rPr>
        <w:t>3.7.1</w:t>
      </w:r>
      <w:r>
        <w:rPr>
          <w:rFonts w:hint="eastAsia" w:ascii="宋体" w:hAnsi="宋体" w:eastAsia="宋体" w:cs="宋体"/>
          <w:b/>
          <w:bCs/>
          <w:i w:val="0"/>
          <w:iCs w:val="0"/>
          <w:color w:val="auto"/>
          <w:kern w:val="2"/>
          <w:sz w:val="24"/>
          <w:szCs w:val="24"/>
          <w:highlight w:val="none"/>
          <w:lang w:val="en-US" w:eastAsia="zh-CN" w:bidi="ar-SA"/>
        </w:rPr>
        <w:t>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17D1F86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cs="宋体"/>
          <w:b/>
          <w:bCs/>
          <w:i w:val="0"/>
          <w:iCs w:val="0"/>
          <w:color w:val="auto"/>
          <w:kern w:val="2"/>
          <w:sz w:val="24"/>
          <w:szCs w:val="24"/>
          <w:highlight w:val="none"/>
          <w:lang w:val="en-US" w:eastAsia="zh-CN" w:bidi="ar-SA"/>
        </w:rPr>
        <w:t>3.7.2</w:t>
      </w:r>
      <w:r>
        <w:rPr>
          <w:rFonts w:hint="eastAsia" w:ascii="宋体" w:hAnsi="宋体" w:eastAsia="宋体" w:cs="宋体"/>
          <w:b/>
          <w:bCs/>
          <w:i w:val="0"/>
          <w:iCs w:val="0"/>
          <w:color w:val="auto"/>
          <w:kern w:val="2"/>
          <w:sz w:val="24"/>
          <w:szCs w:val="24"/>
          <w:highlight w:val="none"/>
          <w:lang w:val="en-US" w:eastAsia="zh-CN" w:bidi="ar-SA"/>
        </w:rPr>
        <w:t xml:space="preserve"> 成交供应商违约的，采购人将按照合同约定扣除其全部或部分履约保证金。如成交供应商违约给采购人造成的损失超过履约保证金的，应当依法赔偿超过部分的损失。</w:t>
      </w:r>
    </w:p>
    <w:p w14:paraId="5FF822A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cs="宋体"/>
          <w:b/>
          <w:bCs/>
          <w:i w:val="0"/>
          <w:iCs w:val="0"/>
          <w:color w:val="auto"/>
          <w:kern w:val="2"/>
          <w:sz w:val="24"/>
          <w:szCs w:val="24"/>
          <w:highlight w:val="none"/>
          <w:lang w:val="en-US" w:eastAsia="zh-CN" w:bidi="ar-SA"/>
        </w:rPr>
        <w:t>3.7.3</w:t>
      </w:r>
      <w:r>
        <w:rPr>
          <w:rFonts w:hint="eastAsia" w:ascii="宋体" w:hAnsi="宋体" w:eastAsia="宋体" w:cs="宋体"/>
          <w:b/>
          <w:bCs/>
          <w:i w:val="0"/>
          <w:iCs w:val="0"/>
          <w:color w:val="auto"/>
          <w:kern w:val="2"/>
          <w:sz w:val="24"/>
          <w:szCs w:val="24"/>
          <w:highlight w:val="none"/>
          <w:lang w:val="en-US" w:eastAsia="zh-CN" w:bidi="ar-SA"/>
        </w:rPr>
        <w:t xml:space="preserve"> 履约保证金自合同生效之日起至合同约定的成交供应商主要义务履行完毕止，采购人应当按合同约定及时退还履约保证金。</w:t>
      </w:r>
    </w:p>
    <w:p w14:paraId="2CFB433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cs="宋体"/>
          <w:b/>
          <w:bCs/>
          <w:i w:val="0"/>
          <w:iCs w:val="0"/>
          <w:color w:val="auto"/>
          <w:kern w:val="2"/>
          <w:sz w:val="24"/>
          <w:szCs w:val="24"/>
          <w:highlight w:val="none"/>
          <w:lang w:val="en-US" w:eastAsia="zh-CN" w:bidi="ar-SA"/>
        </w:rPr>
        <w:t>3.7.4</w:t>
      </w:r>
      <w:r>
        <w:rPr>
          <w:rFonts w:hint="eastAsia" w:ascii="宋体" w:hAnsi="宋体" w:eastAsia="宋体" w:cs="宋体"/>
          <w:b/>
          <w:bCs/>
          <w:i w:val="0"/>
          <w:iCs w:val="0"/>
          <w:color w:val="auto"/>
          <w:kern w:val="2"/>
          <w:sz w:val="24"/>
          <w:szCs w:val="24"/>
          <w:highlight w:val="none"/>
          <w:lang w:val="en-US" w:eastAsia="zh-CN" w:bidi="ar-SA"/>
        </w:rPr>
        <w:t xml:space="preserve"> 逾期退还履约保证金的采购人承担违约责任，按照中国人民银行同期贷款基准利率向成交供应商支付超期资金占用费。</w:t>
      </w:r>
    </w:p>
    <w:p w14:paraId="44321CE0">
      <w:pPr>
        <w:pageBreakBefore w:val="0"/>
        <w:widowControl w:val="0"/>
        <w:spacing w:line="360" w:lineRule="auto"/>
        <w:ind w:left="0" w:right="0" w:firstLine="0"/>
        <w:jc w:val="left"/>
        <w:rPr>
          <w:rFonts w:ascii="宋体" w:hAnsi="宋体"/>
          <w:b w:val="0"/>
          <w:bCs w:val="0"/>
          <w:color w:val="auto"/>
          <w:sz w:val="24"/>
          <w:szCs w:val="24"/>
          <w:highlight w:val="none"/>
        </w:rPr>
      </w:pPr>
      <w:r>
        <w:rPr>
          <w:rFonts w:ascii="宋体" w:hAnsi="宋体"/>
          <w:b w:val="0"/>
          <w:bCs w:val="0"/>
          <w:color w:val="auto"/>
          <w:sz w:val="24"/>
          <w:szCs w:val="24"/>
          <w:highlight w:val="none"/>
        </w:rPr>
        <w:t>4</w:t>
      </w:r>
      <w:bookmarkStart w:id="221" w:name="_Toc267251413"/>
      <w:bookmarkStart w:id="222" w:name="_Toc296891202"/>
      <w:bookmarkStart w:id="223" w:name="_Toc292559366"/>
      <w:bookmarkStart w:id="224" w:name="_Toc297048348"/>
      <w:bookmarkStart w:id="225" w:name="_Toc297120462"/>
      <w:bookmarkStart w:id="226" w:name="_Toc296890990"/>
      <w:bookmarkStart w:id="227" w:name="_Toc296944501"/>
      <w:bookmarkStart w:id="228" w:name="_Toc296503162"/>
      <w:bookmarkStart w:id="229" w:name="_Toc296347161"/>
      <w:bookmarkStart w:id="230" w:name="_Toc296346663"/>
      <w:bookmarkStart w:id="231" w:name="_Toc292559871"/>
      <w:r>
        <w:rPr>
          <w:rFonts w:ascii="宋体" w:hAnsi="宋体"/>
          <w:b w:val="0"/>
          <w:bCs w:val="0"/>
          <w:color w:val="auto"/>
          <w:sz w:val="24"/>
          <w:szCs w:val="24"/>
          <w:highlight w:val="none"/>
        </w:rPr>
        <w:t>.</w:t>
      </w:r>
      <w:r>
        <w:rPr>
          <w:rFonts w:hint="eastAsia" w:ascii="宋体" w:hAnsi="宋体"/>
          <w:b w:val="0"/>
          <w:bCs w:val="0"/>
          <w:color w:val="auto"/>
          <w:sz w:val="24"/>
          <w:szCs w:val="24"/>
          <w:highlight w:val="none"/>
        </w:rPr>
        <w:t>监</w:t>
      </w:r>
      <w:bookmarkEnd w:id="221"/>
      <w:bookmarkEnd w:id="222"/>
      <w:bookmarkEnd w:id="223"/>
      <w:bookmarkEnd w:id="224"/>
      <w:bookmarkEnd w:id="225"/>
      <w:bookmarkEnd w:id="226"/>
      <w:bookmarkEnd w:id="227"/>
      <w:bookmarkEnd w:id="228"/>
      <w:bookmarkEnd w:id="229"/>
      <w:bookmarkEnd w:id="230"/>
      <w:bookmarkEnd w:id="231"/>
      <w:r>
        <w:rPr>
          <w:rFonts w:hint="eastAsia" w:ascii="宋体" w:hAnsi="宋体"/>
          <w:b w:val="0"/>
          <w:bCs w:val="0"/>
          <w:color w:val="auto"/>
          <w:sz w:val="24"/>
          <w:szCs w:val="24"/>
          <w:highlight w:val="none"/>
        </w:rPr>
        <w:t>理人</w:t>
      </w:r>
      <w:bookmarkEnd w:id="220"/>
    </w:p>
    <w:p w14:paraId="150A79ED">
      <w:pPr>
        <w:pageBreakBefore w:val="0"/>
        <w:widowControl w:val="0"/>
        <w:spacing w:line="360" w:lineRule="auto"/>
        <w:ind w:left="0" w:right="0" w:firstLine="480"/>
        <w:rPr>
          <w:rFonts w:hint="eastAsia" w:ascii="宋体" w:hAnsi="宋体" w:cs="宋体"/>
          <w:color w:val="auto"/>
          <w:sz w:val="24"/>
          <w:szCs w:val="24"/>
          <w:highlight w:val="none"/>
        </w:rPr>
      </w:pPr>
      <w:bookmarkStart w:id="232" w:name="_Toc267251418"/>
      <w:bookmarkStart w:id="233" w:name="_Toc351203637"/>
      <w:r>
        <w:rPr>
          <w:rFonts w:hint="eastAsia" w:ascii="宋体" w:hAnsi="宋体" w:cs="宋体"/>
          <w:b w:val="0"/>
          <w:bCs w:val="0"/>
          <w:color w:val="auto"/>
          <w:sz w:val="24"/>
          <w:szCs w:val="24"/>
          <w:highlight w:val="none"/>
          <w:lang w:bidi="ar"/>
        </w:rPr>
        <w:t>4.1监理人的一</w:t>
      </w:r>
      <w:r>
        <w:rPr>
          <w:rFonts w:hint="eastAsia" w:ascii="宋体" w:hAnsi="宋体" w:cs="宋体"/>
          <w:color w:val="auto"/>
          <w:sz w:val="24"/>
          <w:szCs w:val="24"/>
          <w:highlight w:val="none"/>
          <w:lang w:bidi="ar"/>
        </w:rPr>
        <w:t>般规定</w:t>
      </w:r>
    </w:p>
    <w:p w14:paraId="27AFCACF">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关于监理人的监理内容：</w:t>
      </w:r>
      <w:r>
        <w:rPr>
          <w:rFonts w:hint="eastAsia" w:ascii="宋体" w:hAnsi="宋体" w:cs="宋体"/>
          <w:color w:val="auto"/>
          <w:sz w:val="24"/>
          <w:szCs w:val="24"/>
          <w:highlight w:val="none"/>
          <w:u w:val="single"/>
          <w:lang w:bidi="ar"/>
        </w:rPr>
        <w:t>详见监理合同</w:t>
      </w:r>
      <w:r>
        <w:rPr>
          <w:rFonts w:hint="eastAsia" w:ascii="宋体" w:hAnsi="宋体" w:cs="宋体"/>
          <w:color w:val="auto"/>
          <w:sz w:val="24"/>
          <w:szCs w:val="24"/>
          <w:highlight w:val="none"/>
          <w:lang w:bidi="ar"/>
        </w:rPr>
        <w:t>。</w:t>
      </w:r>
    </w:p>
    <w:p w14:paraId="44EA40B2">
      <w:pPr>
        <w:pStyle w:val="173"/>
        <w:pageBreakBefore w:val="0"/>
        <w:widowControl w:val="0"/>
        <w:spacing w:before="0" w:after="0" w:line="360" w:lineRule="auto"/>
        <w:ind w:left="0" w:right="0" w:firstLine="0"/>
        <w:rPr>
          <w:rFonts w:ascii="宋体" w:hAnsi="宋体"/>
          <w:b w:val="0"/>
          <w:color w:val="auto"/>
          <w:sz w:val="24"/>
          <w:szCs w:val="24"/>
          <w:highlight w:val="none"/>
        </w:rPr>
      </w:pPr>
      <w:r>
        <w:rPr>
          <w:rFonts w:ascii="宋体" w:hAnsi="宋体"/>
          <w:b w:val="0"/>
          <w:color w:val="auto"/>
          <w:sz w:val="24"/>
          <w:szCs w:val="24"/>
          <w:highlight w:val="none"/>
        </w:rPr>
        <w:t>5</w:t>
      </w:r>
      <w:bookmarkEnd w:id="232"/>
      <w:bookmarkStart w:id="234" w:name="_Toc296347162"/>
      <w:bookmarkStart w:id="235" w:name="_Toc297120463"/>
      <w:bookmarkStart w:id="236" w:name="_Toc296944502"/>
      <w:bookmarkStart w:id="237" w:name="_Toc292559872"/>
      <w:bookmarkStart w:id="238" w:name="_Toc296346664"/>
      <w:bookmarkStart w:id="239" w:name="_Toc292559367"/>
      <w:bookmarkStart w:id="240" w:name="_Toc296891203"/>
      <w:bookmarkStart w:id="241" w:name="_Toc296503163"/>
      <w:bookmarkStart w:id="242" w:name="_Toc296890991"/>
      <w:bookmarkStart w:id="243" w:name="_Toc297048349"/>
      <w:r>
        <w:rPr>
          <w:rFonts w:ascii="宋体" w:hAnsi="宋体"/>
          <w:b w:val="0"/>
          <w:color w:val="auto"/>
          <w:sz w:val="24"/>
          <w:szCs w:val="24"/>
          <w:highlight w:val="none"/>
        </w:rPr>
        <w:t>.</w:t>
      </w:r>
      <w:r>
        <w:rPr>
          <w:rFonts w:hint="eastAsia" w:ascii="宋体" w:hAnsi="宋体"/>
          <w:b w:val="0"/>
          <w:color w:val="auto"/>
          <w:sz w:val="24"/>
          <w:szCs w:val="24"/>
          <w:highlight w:val="none"/>
        </w:rPr>
        <w:t>工程质量</w:t>
      </w:r>
      <w:bookmarkEnd w:id="233"/>
    </w:p>
    <w:p w14:paraId="51B915E4">
      <w:pPr>
        <w:pageBreakBefore w:val="0"/>
        <w:widowControl w:val="0"/>
        <w:spacing w:line="360" w:lineRule="auto"/>
        <w:ind w:left="0" w:right="0" w:firstLine="480"/>
        <w:outlineLvl w:val="0"/>
        <w:rPr>
          <w:rFonts w:ascii="宋体" w:hAnsi="宋体"/>
          <w:color w:val="auto"/>
          <w:sz w:val="24"/>
          <w:szCs w:val="24"/>
          <w:highlight w:val="none"/>
        </w:rPr>
      </w:pPr>
      <w:bookmarkStart w:id="244" w:name="_Toc246"/>
      <w:bookmarkStart w:id="245" w:name="_Toc28375"/>
      <w:r>
        <w:rPr>
          <w:rFonts w:ascii="宋体" w:hAnsi="宋体"/>
          <w:color w:val="auto"/>
          <w:sz w:val="24"/>
          <w:szCs w:val="24"/>
          <w:highlight w:val="none"/>
        </w:rPr>
        <w:t>5.1</w:t>
      </w:r>
      <w:r>
        <w:rPr>
          <w:rFonts w:hint="eastAsia" w:ascii="宋体" w:hAnsi="宋体"/>
          <w:color w:val="auto"/>
          <w:sz w:val="24"/>
          <w:szCs w:val="24"/>
          <w:highlight w:val="none"/>
        </w:rPr>
        <w:t>质量要求</w:t>
      </w:r>
      <w:bookmarkEnd w:id="244"/>
      <w:bookmarkEnd w:id="245"/>
    </w:p>
    <w:p w14:paraId="659E383B">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5</w:t>
      </w:r>
      <w:bookmarkStart w:id="246" w:name="_Toc297216155"/>
      <w:bookmarkStart w:id="247" w:name="_Toc303539106"/>
      <w:bookmarkStart w:id="248" w:name="_Toc297123496"/>
      <w:bookmarkStart w:id="249" w:name="_Toc304295527"/>
      <w:bookmarkStart w:id="250" w:name="_Toc318581164"/>
      <w:bookmarkStart w:id="251" w:name="_Toc300934949"/>
      <w:bookmarkStart w:id="252" w:name="_Toc312677997"/>
      <w:r>
        <w:rPr>
          <w:rFonts w:ascii="宋体" w:hAnsi="宋体"/>
          <w:color w:val="auto"/>
          <w:sz w:val="24"/>
          <w:szCs w:val="24"/>
          <w:highlight w:val="none"/>
        </w:rPr>
        <w:t>.1.1</w:t>
      </w:r>
      <w:r>
        <w:rPr>
          <w:rFonts w:hint="eastAsia" w:ascii="宋体" w:hAnsi="宋体"/>
          <w:color w:val="auto"/>
          <w:sz w:val="24"/>
          <w:szCs w:val="24"/>
          <w:highlight w:val="none"/>
        </w:rPr>
        <w:t>特殊质量标准和要求：</w:t>
      </w:r>
      <w:r>
        <w:rPr>
          <w:rFonts w:hint="eastAsia" w:ascii="宋体" w:hAnsi="宋体"/>
          <w:color w:val="auto"/>
          <w:sz w:val="24"/>
          <w:szCs w:val="24"/>
          <w:highlight w:val="none"/>
          <w:u w:val="single"/>
        </w:rPr>
        <w:t>工程质量必须达到合格标准等级</w:t>
      </w:r>
      <w:r>
        <w:rPr>
          <w:rFonts w:hint="eastAsia" w:ascii="宋体" w:hAnsi="宋体"/>
          <w:color w:val="auto"/>
          <w:sz w:val="24"/>
          <w:szCs w:val="24"/>
          <w:highlight w:val="none"/>
        </w:rPr>
        <w:t>。</w:t>
      </w:r>
    </w:p>
    <w:p w14:paraId="03F93C4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关于工程奖项的约定：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39AEF91E">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5.3</w:t>
      </w:r>
      <w:r>
        <w:rPr>
          <w:rFonts w:hint="eastAsia" w:ascii="宋体" w:hAnsi="宋体"/>
          <w:color w:val="auto"/>
          <w:sz w:val="24"/>
          <w:szCs w:val="24"/>
          <w:highlight w:val="none"/>
        </w:rPr>
        <w:t>隐蔽工程检查</w:t>
      </w:r>
    </w:p>
    <w:p w14:paraId="50928685">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5.3.2</w:t>
      </w:r>
      <w:r>
        <w:rPr>
          <w:rFonts w:hint="eastAsia" w:ascii="宋体" w:hAnsi="宋体"/>
          <w:color w:val="auto"/>
          <w:sz w:val="24"/>
          <w:szCs w:val="24"/>
          <w:highlight w:val="none"/>
        </w:rPr>
        <w:t>承包人提前通知监理人隐蔽工程检查的期限的约定：</w:t>
      </w:r>
      <w:r>
        <w:rPr>
          <w:rFonts w:hint="eastAsia" w:ascii="宋体" w:hAnsi="宋体"/>
          <w:color w:val="auto"/>
          <w:sz w:val="24"/>
          <w:szCs w:val="24"/>
          <w:highlight w:val="none"/>
          <w:u w:val="single"/>
        </w:rPr>
        <w:t>承包人在检查前12小时以书面形式通知监理人</w:t>
      </w:r>
      <w:r>
        <w:rPr>
          <w:rFonts w:hint="eastAsia" w:ascii="宋体" w:hAnsi="宋体"/>
          <w:color w:val="auto"/>
          <w:sz w:val="24"/>
          <w:szCs w:val="24"/>
          <w:highlight w:val="none"/>
        </w:rPr>
        <w:t>。</w:t>
      </w:r>
    </w:p>
    <w:p w14:paraId="2B77796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监理人不能按时进行检查时，应提前</w:t>
      </w:r>
      <w:r>
        <w:rPr>
          <w:rFonts w:hint="eastAsia" w:ascii="宋体" w:hAnsi="宋体"/>
          <w:color w:val="auto"/>
          <w:sz w:val="24"/>
          <w:szCs w:val="24"/>
          <w:highlight w:val="none"/>
          <w:u w:val="single"/>
        </w:rPr>
        <w:t>12</w:t>
      </w:r>
      <w:r>
        <w:rPr>
          <w:rFonts w:hint="eastAsia" w:ascii="宋体" w:hAnsi="宋体"/>
          <w:color w:val="auto"/>
          <w:sz w:val="24"/>
          <w:szCs w:val="24"/>
          <w:highlight w:val="none"/>
        </w:rPr>
        <w:t>小时提交书面延期要求。</w:t>
      </w:r>
    </w:p>
    <w:p w14:paraId="595ED04D">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24</w:t>
      </w:r>
      <w:r>
        <w:rPr>
          <w:rFonts w:hint="eastAsia" w:ascii="宋体" w:hAnsi="宋体"/>
          <w:color w:val="auto"/>
          <w:sz w:val="24"/>
          <w:szCs w:val="24"/>
          <w:highlight w:val="none"/>
        </w:rPr>
        <w:t>小时。</w:t>
      </w:r>
    </w:p>
    <w:p w14:paraId="5AEF4FCD">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253" w:name="_Toc351203638"/>
      <w:r>
        <w:rPr>
          <w:rFonts w:ascii="宋体" w:hAnsi="宋体"/>
          <w:b w:val="0"/>
          <w:color w:val="auto"/>
          <w:sz w:val="24"/>
          <w:szCs w:val="24"/>
          <w:highlight w:val="none"/>
        </w:rPr>
        <w:t>6.</w:t>
      </w:r>
      <w:r>
        <w:rPr>
          <w:rFonts w:hint="eastAsia" w:ascii="宋体" w:hAnsi="宋体"/>
          <w:b w:val="0"/>
          <w:color w:val="auto"/>
          <w:sz w:val="24"/>
          <w:szCs w:val="24"/>
          <w:highlight w:val="none"/>
        </w:rPr>
        <w:t>安全文明施工与环境保护</w:t>
      </w:r>
      <w:bookmarkEnd w:id="253"/>
    </w:p>
    <w:p w14:paraId="179E6311">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6.1安全文明施工</w:t>
      </w:r>
    </w:p>
    <w:p w14:paraId="61418B41">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6.1.1项目安全生产的达标目标及相应事项的约定：</w:t>
      </w:r>
      <w:r>
        <w:rPr>
          <w:rFonts w:hint="eastAsia" w:ascii="宋体" w:hAnsi="宋体"/>
          <w:color w:val="auto"/>
          <w:sz w:val="24"/>
          <w:szCs w:val="24"/>
          <w:highlight w:val="none"/>
          <w:u w:val="single"/>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auto"/>
          <w:sz w:val="24"/>
          <w:szCs w:val="24"/>
          <w:highlight w:val="none"/>
          <w:u w:val="single"/>
        </w:rPr>
        <w:t>承包方应配合相邻标段共同做好现场有组织排水、排污工作，不得因此影响施工进度。承包人负责施工现场的安全及第三方人身安全。</w:t>
      </w:r>
      <w:r>
        <w:rPr>
          <w:rFonts w:hint="eastAsia" w:ascii="宋体" w:hAnsi="宋体" w:cs="宋体"/>
          <w:color w:val="auto"/>
          <w:sz w:val="24"/>
          <w:szCs w:val="24"/>
          <w:highlight w:val="none"/>
          <w:u w:val="single"/>
          <w:lang w:eastAsia="zh-CN"/>
        </w:rPr>
        <w:t>如发生非发包人责任的安全事故等，承包人承担一切相关责任和所产生的费用。</w:t>
      </w:r>
    </w:p>
    <w:p w14:paraId="7347F988">
      <w:pPr>
        <w:pageBreakBefore w:val="0"/>
        <w:widowControl w:val="0"/>
        <w:spacing w:line="360" w:lineRule="auto"/>
        <w:ind w:left="0" w:right="0" w:firstLine="480"/>
        <w:jc w:val="left"/>
        <w:rPr>
          <w:rFonts w:ascii="宋体" w:hAnsi="宋体"/>
          <w:color w:val="auto"/>
          <w:sz w:val="24"/>
          <w:szCs w:val="24"/>
          <w:highlight w:val="none"/>
          <w:u w:val="single"/>
        </w:rPr>
      </w:pPr>
      <w:r>
        <w:rPr>
          <w:rFonts w:ascii="宋体" w:hAnsi="宋体"/>
          <w:color w:val="auto"/>
          <w:sz w:val="24"/>
          <w:szCs w:val="24"/>
          <w:highlight w:val="none"/>
        </w:rPr>
        <w:t>6.1.4</w:t>
      </w:r>
      <w:r>
        <w:rPr>
          <w:rFonts w:hint="eastAsia" w:ascii="宋体" w:hAnsi="宋体"/>
          <w:color w:val="auto"/>
          <w:sz w:val="24"/>
          <w:szCs w:val="24"/>
          <w:highlight w:val="none"/>
        </w:rPr>
        <w:t>关于治安保卫的特别约定：</w:t>
      </w:r>
      <w:r>
        <w:rPr>
          <w:rFonts w:hint="eastAsia" w:ascii="宋体" w:hAnsi="宋体"/>
          <w:color w:val="auto"/>
          <w:sz w:val="24"/>
          <w:szCs w:val="24"/>
          <w:highlight w:val="none"/>
          <w:u w:val="single"/>
        </w:rPr>
        <w:t>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p>
    <w:p w14:paraId="6DA1BF86">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关于编制施工场地治安管理计划的约定：</w:t>
      </w:r>
      <w:r>
        <w:rPr>
          <w:rFonts w:hint="eastAsia" w:ascii="宋体" w:hAnsi="宋体" w:cs="宋体"/>
          <w:color w:val="auto"/>
          <w:sz w:val="24"/>
          <w:szCs w:val="24"/>
          <w:highlight w:val="none"/>
          <w:u w:val="single"/>
          <w:lang w:bidi="ar"/>
        </w:rPr>
        <w:t>A、按照国家、江苏省及连云港市有关规定及施工现场实际情况由承包人负责施工现场的施工安全保卫工作及非夜间照明，费用由承包人自理。</w:t>
      </w:r>
    </w:p>
    <w:p w14:paraId="66FCE3C3">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p>
    <w:p w14:paraId="6992CEDD">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3E899A56">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关于编制施工场地治安管理计划的约定：</w:t>
      </w:r>
      <w:r>
        <w:rPr>
          <w:rFonts w:hint="eastAsia" w:ascii="宋体" w:hAnsi="宋体" w:cs="宋体"/>
          <w:color w:val="auto"/>
          <w:sz w:val="24"/>
          <w:szCs w:val="24"/>
          <w:highlight w:val="none"/>
          <w:u w:val="single"/>
          <w:lang w:bidi="ar"/>
        </w:rPr>
        <w:t>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p>
    <w:p w14:paraId="50E38579">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6.1.5</w:t>
      </w:r>
      <w:r>
        <w:rPr>
          <w:rFonts w:hint="eastAsia" w:ascii="宋体" w:hAnsi="宋体"/>
          <w:color w:val="auto"/>
          <w:sz w:val="24"/>
          <w:szCs w:val="24"/>
          <w:highlight w:val="none"/>
        </w:rPr>
        <w:t>文明施工</w:t>
      </w:r>
    </w:p>
    <w:p w14:paraId="08363E13">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bidi="ar"/>
        </w:rPr>
        <w:t>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auto"/>
          <w:sz w:val="24"/>
          <w:szCs w:val="24"/>
          <w:highlight w:val="none"/>
          <w:u w:val="single"/>
        </w:rPr>
        <w:t>保持场地整洁卫生，因为违纪行为发生的清理处罚费用由承包人承担</w:t>
      </w:r>
      <w:r>
        <w:rPr>
          <w:rFonts w:hint="eastAsia" w:ascii="宋体" w:hAnsi="宋体" w:cs="宋体"/>
          <w:color w:val="auto"/>
          <w:sz w:val="24"/>
          <w:szCs w:val="24"/>
          <w:highlight w:val="none"/>
          <w:u w:val="single"/>
          <w:lang w:bidi="ar"/>
        </w:rPr>
        <w:t>，且发包人对承包人每次给予5000元罚款。承包人要制定生活和环境卫生管理制度，要搞好职工宿舍卫生和食堂的饮食卫生，并做好厕所保洁工作。如果承包人在</w:t>
      </w:r>
      <w:r>
        <w:rPr>
          <w:rFonts w:hint="eastAsia" w:ascii="宋体" w:hAnsi="宋体"/>
          <w:color w:val="auto"/>
          <w:sz w:val="24"/>
          <w:szCs w:val="24"/>
          <w:highlight w:val="none"/>
          <w:u w:val="single"/>
        </w:rPr>
        <w:t>发包人或监理</w:t>
      </w:r>
      <w:r>
        <w:rPr>
          <w:rFonts w:hint="eastAsia" w:ascii="宋体" w:hAnsi="宋体" w:cs="宋体"/>
          <w:color w:val="auto"/>
          <w:sz w:val="24"/>
          <w:szCs w:val="24"/>
          <w:highlight w:val="none"/>
          <w:u w:val="single"/>
          <w:lang w:bidi="ar"/>
        </w:rPr>
        <w:t>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auto"/>
          <w:sz w:val="24"/>
          <w:szCs w:val="24"/>
          <w:highlight w:val="none"/>
          <w:lang w:bidi="ar"/>
        </w:rPr>
        <w:t>。</w:t>
      </w:r>
    </w:p>
    <w:p w14:paraId="29BD4A0D">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rPr>
      </w:pPr>
      <w:r>
        <w:rPr>
          <w:rFonts w:ascii="宋体" w:hAnsi="宋体"/>
          <w:color w:val="auto"/>
          <w:sz w:val="24"/>
          <w:szCs w:val="24"/>
          <w:highlight w:val="none"/>
        </w:rPr>
        <w:t>6.1.6</w:t>
      </w:r>
      <w:r>
        <w:rPr>
          <w:rFonts w:hint="eastAsia" w:ascii="宋体" w:hAnsi="宋体"/>
          <w:color w:val="auto"/>
          <w:sz w:val="24"/>
          <w:szCs w:val="24"/>
          <w:highlight w:val="none"/>
        </w:rPr>
        <w:t>关于安全文明施工费支付比例和支付期限的约定：</w:t>
      </w:r>
      <w:r>
        <w:rPr>
          <w:rFonts w:ascii="宋体" w:hAnsi="宋体" w:eastAsia="宋体" w:cs="宋体"/>
          <w:color w:val="auto"/>
          <w:sz w:val="24"/>
          <w:szCs w:val="24"/>
          <w:highlight w:val="none"/>
          <w:u w:val="single"/>
        </w:rPr>
        <w:t>按连建管〔2025〕40号文的规定执行</w:t>
      </w:r>
      <w:bookmarkEnd w:id="246"/>
      <w:bookmarkEnd w:id="247"/>
      <w:bookmarkEnd w:id="248"/>
      <w:bookmarkEnd w:id="249"/>
      <w:bookmarkEnd w:id="250"/>
      <w:bookmarkEnd w:id="251"/>
      <w:bookmarkEnd w:id="252"/>
      <w:bookmarkStart w:id="254" w:name="_Toc351203639"/>
      <w:r>
        <w:rPr>
          <w:rFonts w:hint="eastAsia" w:ascii="宋体" w:hAnsi="宋体" w:eastAsia="宋体" w:cs="宋体"/>
          <w:color w:val="auto"/>
          <w:sz w:val="24"/>
          <w:szCs w:val="24"/>
          <w:highlight w:val="none"/>
          <w:u w:val="single"/>
          <w:lang w:eastAsia="zh-CN"/>
        </w:rPr>
        <w:t>。</w:t>
      </w:r>
    </w:p>
    <w:p w14:paraId="07422854">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6.1.7现场安全文明施工不符合要求，发包人及监理有权直接在安全文明措施费中直接扣除或使用保证现场安全设施的配套到位。</w:t>
      </w:r>
    </w:p>
    <w:p w14:paraId="178B2C50">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6.1.8施工现场临时消防设施必须按国家规范要求配套到位，如发生火灾等安全事故，在赔偿价值基础上再进行双倍的罚款。</w:t>
      </w:r>
    </w:p>
    <w:p w14:paraId="613BD5AA">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6.1.9现场安全文明设置应达到标准化现场施工要求，因现场安全设置不到位被安监部门责令整改的，每次给予伍千元罚款。</w:t>
      </w:r>
    </w:p>
    <w:p w14:paraId="2F8E0A0B">
      <w:pPr>
        <w:pageBreakBefore w:val="0"/>
        <w:widowControl w:val="0"/>
        <w:spacing w:line="360" w:lineRule="auto"/>
        <w:ind w:left="0" w:right="0" w:firstLine="0"/>
        <w:jc w:val="left"/>
        <w:rPr>
          <w:rFonts w:hint="eastAsia" w:ascii="宋体" w:hAnsi="宋体"/>
          <w:color w:val="auto"/>
          <w:sz w:val="24"/>
          <w:szCs w:val="24"/>
          <w:highlight w:val="none"/>
        </w:rPr>
      </w:pPr>
      <w:r>
        <w:rPr>
          <w:rFonts w:hint="eastAsia" w:ascii="宋体" w:hAnsi="宋体"/>
          <w:color w:val="auto"/>
          <w:sz w:val="24"/>
          <w:szCs w:val="24"/>
          <w:highlight w:val="none"/>
        </w:rPr>
        <w:t>7.工期和进度</w:t>
      </w:r>
      <w:bookmarkEnd w:id="254"/>
    </w:p>
    <w:p w14:paraId="4EDDC727">
      <w:pPr>
        <w:pageBreakBefore w:val="0"/>
        <w:widowControl w:val="0"/>
        <w:spacing w:line="360" w:lineRule="auto"/>
        <w:ind w:left="0" w:right="0" w:firstLine="480"/>
        <w:jc w:val="left"/>
        <w:rPr>
          <w:rFonts w:hint="eastAsia" w:ascii="宋体" w:hAnsi="宋体"/>
          <w:color w:val="auto"/>
          <w:sz w:val="24"/>
          <w:szCs w:val="24"/>
          <w:highlight w:val="none"/>
        </w:rPr>
      </w:pPr>
      <w:bookmarkStart w:id="255" w:name="_Toc351203640"/>
      <w:r>
        <w:rPr>
          <w:rFonts w:hint="eastAsia" w:ascii="宋体" w:hAnsi="宋体"/>
          <w:color w:val="auto"/>
          <w:sz w:val="24"/>
          <w:szCs w:val="24"/>
          <w:highlight w:val="none"/>
        </w:rPr>
        <w:t>7.1施工组织设计</w:t>
      </w:r>
    </w:p>
    <w:p w14:paraId="027E977D">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7.1.1合同当事人约定的施工组织设计应包括的其他内容：</w:t>
      </w:r>
      <w:r>
        <w:rPr>
          <w:rFonts w:hint="eastAsia" w:ascii="宋体" w:hAnsi="宋体" w:cs="宋体"/>
          <w:color w:val="auto"/>
          <w:sz w:val="24"/>
          <w:szCs w:val="24"/>
          <w:highlight w:val="none"/>
          <w:u w:val="single"/>
          <w:lang w:bidi="ar"/>
        </w:rPr>
        <w:t>外围防护措施等，具体根据发包人及监理人要求执行。</w:t>
      </w:r>
    </w:p>
    <w:p w14:paraId="1F354B8D">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7.1.2施工组织设计的提交和修改</w:t>
      </w:r>
    </w:p>
    <w:p w14:paraId="230BDAFC">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承包人提交详细施工组织设计的期限的约定：</w:t>
      </w:r>
      <w:r>
        <w:rPr>
          <w:rFonts w:hint="eastAsia" w:ascii="宋体" w:hAnsi="宋体" w:cs="宋体"/>
          <w:color w:val="auto"/>
          <w:sz w:val="24"/>
          <w:szCs w:val="24"/>
          <w:highlight w:val="none"/>
          <w:u w:val="single"/>
          <w:lang w:bidi="ar"/>
        </w:rPr>
        <w:t>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auto"/>
          <w:sz w:val="24"/>
          <w:szCs w:val="24"/>
          <w:highlight w:val="none"/>
          <w:lang w:bidi="ar"/>
        </w:rPr>
        <w:t>。</w:t>
      </w:r>
    </w:p>
    <w:p w14:paraId="1D40CAF8">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发包人和监理人在收到详细的施工组织设计后确认或提出修改意见的期限：</w:t>
      </w:r>
      <w:r>
        <w:rPr>
          <w:rFonts w:hint="eastAsia" w:ascii="宋体" w:hAnsi="宋体" w:cs="宋体"/>
          <w:color w:val="auto"/>
          <w:sz w:val="24"/>
          <w:szCs w:val="24"/>
          <w:highlight w:val="none"/>
          <w:u w:val="single"/>
          <w:lang w:bidi="ar"/>
        </w:rPr>
        <w:t>收到施工组织设计7天内</w:t>
      </w:r>
      <w:r>
        <w:rPr>
          <w:rFonts w:hint="eastAsia" w:ascii="宋体" w:hAnsi="宋体" w:cs="宋体"/>
          <w:color w:val="auto"/>
          <w:sz w:val="24"/>
          <w:szCs w:val="24"/>
          <w:highlight w:val="none"/>
          <w:lang w:bidi="ar"/>
        </w:rPr>
        <w:t>。</w:t>
      </w:r>
    </w:p>
    <w:p w14:paraId="5CCC3475">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w:t>
      </w:r>
      <w:bookmarkStart w:id="256" w:name="_Toc303539123"/>
      <w:bookmarkStart w:id="257" w:name="_Toc297216173"/>
      <w:bookmarkStart w:id="258" w:name="_Toc304295541"/>
      <w:bookmarkStart w:id="259" w:name="_Toc312678005"/>
      <w:bookmarkStart w:id="260" w:name="_Toc300934966"/>
      <w:bookmarkStart w:id="261" w:name="_Toc297123514"/>
      <w:bookmarkStart w:id="262" w:name="_Toc312677479"/>
      <w:r>
        <w:rPr>
          <w:rFonts w:hint="eastAsia" w:ascii="宋体" w:hAnsi="宋体" w:cs="宋体"/>
          <w:color w:val="auto"/>
          <w:sz w:val="24"/>
          <w:szCs w:val="24"/>
          <w:highlight w:val="none"/>
          <w:lang w:bidi="ar"/>
        </w:rPr>
        <w:t>.2施工进度计划</w:t>
      </w:r>
    </w:p>
    <w:p w14:paraId="31801CE3">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p>
    <w:p w14:paraId="1334871C">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7.2.2施工进度计划的修订</w:t>
      </w:r>
    </w:p>
    <w:p w14:paraId="6F7C8132">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发包人和监理人在收到修订的施工进度计划后确认或提出修改意见的期限：</w:t>
      </w:r>
      <w:r>
        <w:rPr>
          <w:rFonts w:hint="eastAsia" w:ascii="宋体" w:hAnsi="宋体" w:cs="宋体"/>
          <w:color w:val="auto"/>
          <w:sz w:val="24"/>
          <w:szCs w:val="24"/>
          <w:highlight w:val="none"/>
          <w:u w:val="single"/>
          <w:lang w:bidi="ar"/>
        </w:rPr>
        <w:t>收到修订的施工进度计划后7天内</w:t>
      </w:r>
      <w:r>
        <w:rPr>
          <w:rFonts w:hint="eastAsia" w:ascii="宋体" w:hAnsi="宋体" w:cs="宋体"/>
          <w:color w:val="auto"/>
          <w:sz w:val="24"/>
          <w:szCs w:val="24"/>
          <w:highlight w:val="none"/>
          <w:lang w:bidi="ar"/>
        </w:rPr>
        <w:t>。</w:t>
      </w:r>
    </w:p>
    <w:p w14:paraId="72602E6F">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7.3开工</w:t>
      </w:r>
    </w:p>
    <w:p w14:paraId="787F4E3E">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7.3.1开工准备</w:t>
      </w:r>
    </w:p>
    <w:p w14:paraId="01CA8F31">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关于承包人提交工程开工报审表的期限：</w:t>
      </w:r>
      <w:r>
        <w:rPr>
          <w:rFonts w:hint="eastAsia" w:ascii="宋体" w:hAnsi="宋体" w:cs="宋体"/>
          <w:color w:val="auto"/>
          <w:sz w:val="24"/>
          <w:szCs w:val="24"/>
          <w:highlight w:val="none"/>
          <w:u w:val="single"/>
          <w:lang w:bidi="ar"/>
        </w:rPr>
        <w:t>合同签订后7日内</w:t>
      </w:r>
      <w:r>
        <w:rPr>
          <w:rFonts w:hint="eastAsia" w:ascii="宋体" w:hAnsi="宋体" w:cs="宋体"/>
          <w:color w:val="auto"/>
          <w:sz w:val="24"/>
          <w:szCs w:val="24"/>
          <w:highlight w:val="none"/>
          <w:lang w:bidi="ar"/>
        </w:rPr>
        <w:t>。</w:t>
      </w:r>
    </w:p>
    <w:p w14:paraId="51D70E21">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关于发包人应完成的其他开工准备工作及期限：</w:t>
      </w:r>
      <w:r>
        <w:rPr>
          <w:rFonts w:hint="eastAsia" w:ascii="宋体" w:hAnsi="宋体" w:cs="宋体"/>
          <w:color w:val="auto"/>
          <w:sz w:val="24"/>
          <w:szCs w:val="24"/>
          <w:highlight w:val="none"/>
          <w:u w:val="single"/>
          <w:lang w:bidi="ar"/>
        </w:rPr>
        <w:t>开工日期7天前向承包人移交场地、提供测量基准点、基准线、水准点，工程地质和地下管线书面资料</w:t>
      </w:r>
      <w:r>
        <w:rPr>
          <w:rFonts w:hint="eastAsia" w:ascii="宋体" w:hAnsi="宋体" w:cs="宋体"/>
          <w:color w:val="auto"/>
          <w:sz w:val="24"/>
          <w:szCs w:val="24"/>
          <w:highlight w:val="none"/>
          <w:lang w:bidi="ar"/>
        </w:rPr>
        <w:t>。</w:t>
      </w:r>
    </w:p>
    <w:p w14:paraId="5897225E">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关于承包人应完成的其他开工准备工作及期限</w:t>
      </w:r>
      <w:r>
        <w:rPr>
          <w:rFonts w:hint="eastAsia" w:ascii="宋体" w:hAnsi="宋体" w:cs="宋体"/>
          <w:color w:val="auto"/>
          <w:sz w:val="24"/>
          <w:szCs w:val="24"/>
          <w:highlight w:val="none"/>
          <w:u w:val="single"/>
          <w:lang w:bidi="ar"/>
        </w:rPr>
        <w:t>：接到开工通知后7日内完成项目部组建，施工、生活用水电接通到位；承包人施工及生活用水用电费用按表计量（加上公共分摊的部分），按供水供电部门标准收取，由发包人按月向承包人收取。</w:t>
      </w:r>
    </w:p>
    <w:p w14:paraId="4F75D3BB">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7.3.2开工通知</w:t>
      </w:r>
    </w:p>
    <w:p w14:paraId="3587AFF4">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因发包人原因造成监理人未能在计划开工日期之日起</w:t>
      </w:r>
      <w:r>
        <w:rPr>
          <w:rFonts w:hint="eastAsia" w:ascii="宋体" w:hAnsi="宋体" w:cs="宋体"/>
          <w:color w:val="auto"/>
          <w:sz w:val="24"/>
          <w:szCs w:val="24"/>
          <w:highlight w:val="none"/>
          <w:u w:val="single"/>
          <w:lang w:bidi="ar"/>
        </w:rPr>
        <w:t>90</w:t>
      </w:r>
      <w:r>
        <w:rPr>
          <w:rFonts w:hint="eastAsia" w:ascii="宋体" w:hAnsi="宋体" w:cs="宋体"/>
          <w:color w:val="auto"/>
          <w:sz w:val="24"/>
          <w:szCs w:val="24"/>
          <w:highlight w:val="none"/>
          <w:lang w:bidi="ar"/>
        </w:rPr>
        <w:t>天内发出开工通知的，承包人有权提出价格调整要求，或者解除合同。</w:t>
      </w:r>
      <w:bookmarkEnd w:id="256"/>
      <w:bookmarkEnd w:id="257"/>
      <w:bookmarkEnd w:id="258"/>
      <w:bookmarkEnd w:id="259"/>
      <w:bookmarkEnd w:id="260"/>
      <w:bookmarkEnd w:id="261"/>
      <w:bookmarkEnd w:id="262"/>
    </w:p>
    <w:p w14:paraId="3BBFB440">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7.4测量放线</w:t>
      </w:r>
    </w:p>
    <w:p w14:paraId="1FC8C442">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7.4.1发包人通过监理人向承包人提供测量基准点、基准线和水准点及其书面资料的期限：</w:t>
      </w:r>
      <w:r>
        <w:rPr>
          <w:rFonts w:hint="eastAsia" w:ascii="宋体" w:hAnsi="宋体" w:cs="宋体"/>
          <w:color w:val="auto"/>
          <w:sz w:val="24"/>
          <w:szCs w:val="24"/>
          <w:highlight w:val="none"/>
          <w:u w:val="single"/>
          <w:lang w:bidi="ar"/>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p>
    <w:p w14:paraId="13B78B72">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63" w:name="_Toc312677484"/>
      <w:bookmarkStart w:id="264" w:name="_Toc297123516"/>
      <w:bookmarkStart w:id="265" w:name="_Toc300934968"/>
      <w:bookmarkStart w:id="266" w:name="_Toc303539125"/>
      <w:bookmarkStart w:id="267" w:name="_Toc304295546"/>
      <w:bookmarkStart w:id="268" w:name="_Toc312678010"/>
      <w:bookmarkStart w:id="269" w:name="_Toc297216175"/>
      <w:r>
        <w:rPr>
          <w:rFonts w:hint="eastAsia" w:ascii="宋体" w:hAnsi="宋体" w:cs="宋体"/>
          <w:color w:val="auto"/>
          <w:sz w:val="24"/>
          <w:szCs w:val="24"/>
          <w:highlight w:val="none"/>
          <w:lang w:bidi="ar"/>
        </w:rPr>
        <w:t>.5工期延误</w:t>
      </w:r>
      <w:bookmarkEnd w:id="263"/>
      <w:bookmarkEnd w:id="264"/>
      <w:bookmarkEnd w:id="265"/>
      <w:bookmarkEnd w:id="266"/>
      <w:bookmarkEnd w:id="267"/>
      <w:bookmarkEnd w:id="268"/>
      <w:bookmarkEnd w:id="269"/>
    </w:p>
    <w:p w14:paraId="155959A8">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7.5.1因发包人原因导致工期延误</w:t>
      </w:r>
    </w:p>
    <w:p w14:paraId="4D8A98AB">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（7）因发包人原因导致工期延误的其他情形：</w:t>
      </w:r>
      <w:r>
        <w:rPr>
          <w:rFonts w:hint="eastAsia" w:ascii="宋体" w:hAnsi="宋体" w:cs="宋体"/>
          <w:color w:val="auto"/>
          <w:sz w:val="24"/>
          <w:szCs w:val="24"/>
          <w:highlight w:val="none"/>
          <w:u w:val="single"/>
          <w:lang w:bidi="ar"/>
        </w:rPr>
        <w:t>如因政策性法律、法规调整或征地及工期调整，工期顺延，费用不增加</w:t>
      </w:r>
      <w:r>
        <w:rPr>
          <w:rFonts w:hint="eastAsia" w:ascii="宋体" w:hAnsi="宋体" w:cs="宋体"/>
          <w:color w:val="auto"/>
          <w:sz w:val="24"/>
          <w:szCs w:val="24"/>
          <w:highlight w:val="none"/>
          <w:lang w:bidi="ar"/>
        </w:rPr>
        <w:t>。</w:t>
      </w:r>
    </w:p>
    <w:p w14:paraId="37706E4A">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70" w:name="_Toc312678012"/>
      <w:bookmarkStart w:id="271" w:name="_Toc312677486"/>
      <w:bookmarkStart w:id="272" w:name="_Toc318581169"/>
      <w:bookmarkStart w:id="273" w:name="_Toc304295548"/>
      <w:bookmarkStart w:id="274" w:name="_Toc297123518"/>
      <w:bookmarkStart w:id="275" w:name="_Toc303539127"/>
      <w:bookmarkStart w:id="276" w:name="_Toc300934970"/>
      <w:bookmarkStart w:id="277" w:name="_Toc297216177"/>
      <w:r>
        <w:rPr>
          <w:rFonts w:hint="eastAsia" w:ascii="宋体" w:hAnsi="宋体" w:cs="宋体"/>
          <w:color w:val="auto"/>
          <w:sz w:val="24"/>
          <w:szCs w:val="24"/>
          <w:highlight w:val="none"/>
          <w:lang w:bidi="ar"/>
        </w:rPr>
        <w:t>.5.2因承包人原因导致工期延误</w:t>
      </w:r>
      <w:bookmarkEnd w:id="270"/>
      <w:bookmarkEnd w:id="271"/>
      <w:bookmarkEnd w:id="272"/>
    </w:p>
    <w:p w14:paraId="078B289E">
      <w:pPr>
        <w:pageBreakBefore w:val="0"/>
        <w:widowControl w:val="0"/>
        <w:spacing w:line="360" w:lineRule="auto"/>
        <w:ind w:left="0" w:right="0" w:firstLine="48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因</w:t>
      </w:r>
      <w:bookmarkStart w:id="278" w:name="_Toc318581170"/>
      <w:bookmarkStart w:id="279" w:name="_Toc312677487"/>
      <w:bookmarkStart w:id="280" w:name="_Toc312678013"/>
      <w:r>
        <w:rPr>
          <w:rFonts w:hint="eastAsia" w:ascii="宋体" w:hAnsi="宋体" w:cs="宋体"/>
          <w:color w:val="auto"/>
          <w:sz w:val="24"/>
          <w:szCs w:val="24"/>
          <w:highlight w:val="none"/>
          <w:lang w:bidi="ar"/>
        </w:rPr>
        <w:t>承包人原因造成工期延误，逾期竣工违约金的计算方法为：</w:t>
      </w:r>
      <w:bookmarkEnd w:id="273"/>
      <w:bookmarkEnd w:id="274"/>
      <w:bookmarkEnd w:id="275"/>
      <w:bookmarkEnd w:id="276"/>
      <w:bookmarkEnd w:id="277"/>
      <w:bookmarkEnd w:id="278"/>
      <w:bookmarkEnd w:id="279"/>
      <w:bookmarkEnd w:id="280"/>
    </w:p>
    <w:p w14:paraId="4037AC73">
      <w:pPr>
        <w:pageBreakBefore w:val="0"/>
        <w:widowControl w:val="0"/>
        <w:spacing w:line="360" w:lineRule="auto"/>
        <w:ind w:left="0" w:right="0" w:firstLine="480"/>
        <w:jc w:val="left"/>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因承包人原因不能按照协议书约定的竣工日期或工程师同意顺延的工期竣工的，承包人承担违约责任。</w:t>
      </w:r>
    </w:p>
    <w:p w14:paraId="5C8ED645">
      <w:pPr>
        <w:pageBreakBefore w:val="0"/>
        <w:widowControl w:val="0"/>
        <w:spacing w:line="360" w:lineRule="auto"/>
        <w:ind w:left="0" w:right="0" w:firstLine="480"/>
        <w:jc w:val="left"/>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0FE06A99">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工程不能按期竣工，视为承包人违约，承包人须按1万</w:t>
      </w:r>
      <w:r>
        <w:rPr>
          <w:rFonts w:ascii="宋体" w:hAnsi="宋体" w:cs="宋体"/>
          <w:color w:val="auto"/>
          <w:sz w:val="24"/>
          <w:szCs w:val="24"/>
          <w:highlight w:val="none"/>
          <w:u w:val="single"/>
          <w:lang w:bidi="ar"/>
        </w:rPr>
        <w:t>元/天向发包人支</w:t>
      </w:r>
      <w:r>
        <w:rPr>
          <w:rFonts w:hint="eastAsia" w:ascii="宋体" w:hAnsi="宋体" w:cs="宋体"/>
          <w:color w:val="auto"/>
          <w:sz w:val="24"/>
          <w:szCs w:val="24"/>
          <w:highlight w:val="none"/>
          <w:u w:val="single"/>
          <w:lang w:bidi="ar"/>
        </w:rPr>
        <w:t>付违约金；</w:t>
      </w:r>
      <w:r>
        <w:rPr>
          <w:rFonts w:ascii="宋体" w:hAnsi="宋体" w:cs="宋体"/>
          <w:color w:val="auto"/>
          <w:sz w:val="24"/>
          <w:szCs w:val="24"/>
          <w:highlight w:val="none"/>
          <w:u w:val="single"/>
          <w:lang w:bidi="ar"/>
        </w:rPr>
        <w:t>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损失</w:t>
      </w:r>
      <w:r>
        <w:rPr>
          <w:rFonts w:ascii="宋体" w:hAnsi="宋体" w:cs="宋体"/>
          <w:color w:val="auto"/>
          <w:sz w:val="24"/>
          <w:szCs w:val="24"/>
          <w:highlight w:val="none"/>
          <w:lang w:bidi="ar"/>
        </w:rPr>
        <w:t>。</w:t>
      </w:r>
    </w:p>
    <w:p w14:paraId="06F92D9E">
      <w:pPr>
        <w:pageBreakBefore w:val="0"/>
        <w:widowControl w:val="0"/>
        <w:spacing w:line="360" w:lineRule="auto"/>
        <w:ind w:left="0" w:right="0" w:firstLine="48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因承包人原因造成工期延误，逾</w:t>
      </w:r>
      <w:bookmarkStart w:id="281" w:name="_Toc318581171"/>
      <w:bookmarkStart w:id="282" w:name="_Toc312678014"/>
      <w:r>
        <w:rPr>
          <w:rFonts w:hint="eastAsia" w:ascii="宋体" w:hAnsi="宋体" w:cs="宋体"/>
          <w:color w:val="auto"/>
          <w:sz w:val="24"/>
          <w:szCs w:val="24"/>
          <w:highlight w:val="none"/>
          <w:lang w:bidi="ar"/>
        </w:rPr>
        <w:t>期竣工违约金的上限：</w:t>
      </w:r>
      <w:r>
        <w:rPr>
          <w:rFonts w:hint="eastAsia" w:ascii="宋体" w:hAnsi="宋体" w:cs="宋体"/>
          <w:color w:val="auto"/>
          <w:sz w:val="24"/>
          <w:szCs w:val="24"/>
          <w:highlight w:val="none"/>
          <w:u w:val="single"/>
          <w:lang w:val="en-US" w:eastAsia="zh-CN" w:bidi="ar"/>
        </w:rPr>
        <w:t>/</w:t>
      </w:r>
      <w:r>
        <w:rPr>
          <w:rFonts w:hint="eastAsia" w:ascii="宋体" w:hAnsi="宋体" w:cs="宋体"/>
          <w:color w:val="auto"/>
          <w:sz w:val="24"/>
          <w:szCs w:val="24"/>
          <w:highlight w:val="none"/>
          <w:lang w:bidi="ar"/>
        </w:rPr>
        <w:t>。</w:t>
      </w:r>
    </w:p>
    <w:p w14:paraId="783D9E6F">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注：如因</w:t>
      </w:r>
      <w:r>
        <w:rPr>
          <w:rFonts w:hint="eastAsia" w:ascii="宋体" w:hAnsi="宋体" w:cs="宋体"/>
          <w:color w:val="auto"/>
          <w:sz w:val="24"/>
          <w:szCs w:val="24"/>
          <w:highlight w:val="none"/>
          <w:lang w:bidi="ar"/>
        </w:rPr>
        <w:t>承包人原因造成工期延误，逾期所增加的监理费用由承包人承担；（逾期竣工违约金不包含此费用）</w:t>
      </w:r>
      <w:bookmarkEnd w:id="281"/>
      <w:bookmarkEnd w:id="282"/>
    </w:p>
    <w:p w14:paraId="6E083417">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83" w:name="_Toc297123519"/>
      <w:bookmarkStart w:id="284" w:name="_Toc303539128"/>
      <w:bookmarkStart w:id="285" w:name="_Toc304295549"/>
      <w:bookmarkStart w:id="286" w:name="_Toc312678015"/>
      <w:bookmarkStart w:id="287" w:name="_Toc297216178"/>
      <w:bookmarkStart w:id="288" w:name="_Toc300934971"/>
      <w:r>
        <w:rPr>
          <w:rFonts w:hint="eastAsia" w:ascii="宋体" w:hAnsi="宋体" w:cs="宋体"/>
          <w:color w:val="auto"/>
          <w:sz w:val="24"/>
          <w:szCs w:val="24"/>
          <w:highlight w:val="none"/>
          <w:lang w:bidi="ar"/>
        </w:rPr>
        <w:t>.6不</w:t>
      </w:r>
      <w:bookmarkEnd w:id="283"/>
      <w:bookmarkEnd w:id="284"/>
      <w:bookmarkEnd w:id="285"/>
      <w:bookmarkEnd w:id="286"/>
      <w:bookmarkEnd w:id="287"/>
      <w:bookmarkEnd w:id="288"/>
      <w:r>
        <w:rPr>
          <w:rFonts w:hint="eastAsia" w:ascii="宋体" w:hAnsi="宋体" w:cs="宋体"/>
          <w:color w:val="auto"/>
          <w:sz w:val="24"/>
          <w:szCs w:val="24"/>
          <w:highlight w:val="none"/>
          <w:lang w:bidi="ar"/>
        </w:rPr>
        <w:t>利物质条件</w:t>
      </w:r>
    </w:p>
    <w:p w14:paraId="05390CC9">
      <w:pPr>
        <w:pageBreakBefore w:val="0"/>
        <w:widowControl w:val="0"/>
        <w:spacing w:line="360" w:lineRule="auto"/>
        <w:ind w:left="0" w:right="0" w:firstLine="480"/>
        <w:jc w:val="left"/>
        <w:rPr>
          <w:rFonts w:hint="eastAsia" w:ascii="宋体" w:hAnsi="宋体" w:cs="宋体"/>
          <w:color w:val="auto"/>
          <w:sz w:val="24"/>
          <w:szCs w:val="24"/>
          <w:highlight w:val="none"/>
        </w:rPr>
      </w:pPr>
      <w:bookmarkStart w:id="289" w:name="_Toc318581172"/>
      <w:bookmarkStart w:id="290" w:name="_Toc312678016"/>
      <w:bookmarkStart w:id="291" w:name="_Toc300934972"/>
      <w:bookmarkStart w:id="292" w:name="_Toc297216179"/>
      <w:bookmarkStart w:id="293" w:name="_Toc304295550"/>
      <w:bookmarkStart w:id="294" w:name="_Toc297123520"/>
      <w:bookmarkStart w:id="295" w:name="_Toc303539129"/>
      <w:r>
        <w:rPr>
          <w:rFonts w:hint="eastAsia" w:ascii="宋体" w:hAnsi="宋体" w:cs="宋体"/>
          <w:color w:val="auto"/>
          <w:sz w:val="24"/>
          <w:szCs w:val="24"/>
          <w:highlight w:val="none"/>
          <w:lang w:bidi="ar"/>
        </w:rPr>
        <w:t>不利物质条件的其他情形和有关约定：</w:t>
      </w:r>
      <w:r>
        <w:rPr>
          <w:rFonts w:hint="eastAsia" w:ascii="宋体" w:hAnsi="宋体" w:cs="宋体"/>
          <w:color w:val="auto"/>
          <w:sz w:val="24"/>
          <w:szCs w:val="24"/>
          <w:highlight w:val="none"/>
          <w:u w:val="single"/>
          <w:lang w:bidi="ar"/>
        </w:rPr>
        <w:t>承包人对该工程现场条件等，在投标和合同签订前已进行了充分的了解，对工程各方面充分考虑了施工中各种不利因素，采用克服不利物质条件的合理措施继续施工，在合同工期内完成施工任务。</w:t>
      </w:r>
      <w:bookmarkEnd w:id="289"/>
      <w:bookmarkEnd w:id="290"/>
      <w:bookmarkEnd w:id="291"/>
      <w:bookmarkEnd w:id="292"/>
      <w:bookmarkEnd w:id="293"/>
      <w:bookmarkEnd w:id="294"/>
      <w:bookmarkEnd w:id="295"/>
    </w:p>
    <w:p w14:paraId="05E52744">
      <w:pPr>
        <w:pageBreakBefore w:val="0"/>
        <w:widowControl w:val="0"/>
        <w:spacing w:line="360" w:lineRule="auto"/>
        <w:ind w:left="0" w:right="0" w:firstLine="480"/>
        <w:outlineLvl w:val="0"/>
        <w:rPr>
          <w:rFonts w:hint="eastAsia" w:ascii="宋体" w:hAnsi="宋体" w:cs="宋体"/>
          <w:color w:val="auto"/>
          <w:sz w:val="24"/>
          <w:szCs w:val="24"/>
          <w:highlight w:val="none"/>
        </w:rPr>
      </w:pPr>
      <w:bookmarkStart w:id="296" w:name="_Toc24842"/>
      <w:bookmarkStart w:id="297" w:name="_Toc32537"/>
      <w:r>
        <w:rPr>
          <w:rFonts w:hint="eastAsia" w:ascii="宋体" w:hAnsi="宋体" w:cs="宋体"/>
          <w:color w:val="auto"/>
          <w:sz w:val="24"/>
          <w:szCs w:val="24"/>
          <w:highlight w:val="none"/>
          <w:lang w:bidi="ar"/>
        </w:rPr>
        <w:t>7.9提前竣工的奖励</w:t>
      </w:r>
      <w:bookmarkEnd w:id="296"/>
      <w:bookmarkEnd w:id="297"/>
    </w:p>
    <w:p w14:paraId="22D70E8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7.9.2提前竣工的奖励：</w:t>
      </w:r>
      <w:r>
        <w:rPr>
          <w:rFonts w:hint="eastAsia" w:ascii="宋体" w:hAnsi="宋体" w:cs="宋体"/>
          <w:color w:val="auto"/>
          <w:sz w:val="24"/>
          <w:szCs w:val="24"/>
          <w:highlight w:val="none"/>
          <w:u w:val="single"/>
          <w:lang w:bidi="ar"/>
        </w:rPr>
        <w:t>/</w:t>
      </w:r>
      <w:r>
        <w:rPr>
          <w:rFonts w:hint="eastAsia" w:ascii="宋体" w:hAnsi="宋体" w:cs="宋体"/>
          <w:color w:val="auto"/>
          <w:sz w:val="24"/>
          <w:szCs w:val="24"/>
          <w:highlight w:val="none"/>
          <w:lang w:bidi="ar"/>
        </w:rPr>
        <w:t>。</w:t>
      </w:r>
    </w:p>
    <w:p w14:paraId="64E229FF">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7.10补充条款：</w:t>
      </w:r>
      <w:r>
        <w:rPr>
          <w:rFonts w:hint="eastAsia" w:ascii="宋体" w:hAnsi="宋体" w:cs="宋体"/>
          <w:color w:val="auto"/>
          <w:sz w:val="24"/>
          <w:szCs w:val="24"/>
          <w:highlight w:val="none"/>
          <w:u w:val="single"/>
          <w:lang w:bidi="ar"/>
        </w:rPr>
        <w:t>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p>
    <w:p w14:paraId="4B6729C6">
      <w:pPr>
        <w:pStyle w:val="173"/>
        <w:pageBreakBefore w:val="0"/>
        <w:widowControl w:val="0"/>
        <w:spacing w:before="0" w:after="0" w:line="360" w:lineRule="auto"/>
        <w:ind w:left="0" w:right="0" w:firstLine="0"/>
        <w:rPr>
          <w:rFonts w:ascii="宋体" w:hAnsi="宋体"/>
          <w:b w:val="0"/>
          <w:color w:val="auto"/>
          <w:sz w:val="24"/>
          <w:szCs w:val="24"/>
          <w:highlight w:val="none"/>
        </w:rPr>
      </w:pPr>
      <w:r>
        <w:rPr>
          <w:rFonts w:ascii="宋体" w:hAnsi="宋体"/>
          <w:b w:val="0"/>
          <w:color w:val="auto"/>
          <w:sz w:val="24"/>
          <w:szCs w:val="24"/>
          <w:highlight w:val="none"/>
        </w:rPr>
        <w:t>8.</w:t>
      </w:r>
      <w:r>
        <w:rPr>
          <w:rFonts w:hint="eastAsia" w:ascii="宋体" w:hAnsi="宋体"/>
          <w:b w:val="0"/>
          <w:color w:val="auto"/>
          <w:sz w:val="24"/>
          <w:szCs w:val="24"/>
          <w:highlight w:val="none"/>
        </w:rPr>
        <w:t>材料与设备</w:t>
      </w:r>
      <w:bookmarkEnd w:id="234"/>
      <w:bookmarkEnd w:id="235"/>
      <w:bookmarkEnd w:id="236"/>
      <w:bookmarkEnd w:id="237"/>
      <w:bookmarkEnd w:id="238"/>
      <w:bookmarkEnd w:id="239"/>
      <w:bookmarkEnd w:id="240"/>
      <w:bookmarkEnd w:id="241"/>
      <w:bookmarkEnd w:id="242"/>
      <w:bookmarkEnd w:id="243"/>
      <w:bookmarkEnd w:id="255"/>
    </w:p>
    <w:p w14:paraId="32617C72">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8</w:t>
      </w:r>
      <w:bookmarkStart w:id="298" w:name="_Toc297216186"/>
      <w:bookmarkStart w:id="299" w:name="_Toc296347166"/>
      <w:bookmarkStart w:id="300" w:name="_Toc292559372"/>
      <w:bookmarkStart w:id="301" w:name="_Toc296944506"/>
      <w:bookmarkStart w:id="302" w:name="_Toc312678019"/>
      <w:bookmarkStart w:id="303" w:name="_Toc297123527"/>
      <w:bookmarkStart w:id="304" w:name="_Toc303539136"/>
      <w:bookmarkStart w:id="305" w:name="_Toc280868654"/>
      <w:bookmarkStart w:id="306" w:name="_Toc296891207"/>
      <w:bookmarkStart w:id="307" w:name="_Toc292559877"/>
      <w:bookmarkStart w:id="308" w:name="_Toc296503167"/>
      <w:bookmarkStart w:id="309" w:name="_Toc297048353"/>
      <w:bookmarkStart w:id="310" w:name="_Toc296890995"/>
      <w:bookmarkStart w:id="311" w:name="_Toc297120467"/>
      <w:bookmarkStart w:id="312" w:name="_Toc296346668"/>
      <w:bookmarkStart w:id="313" w:name="_Toc312677493"/>
      <w:bookmarkStart w:id="314" w:name="_Toc304295556"/>
      <w:bookmarkStart w:id="315" w:name="_Toc300934979"/>
      <w:bookmarkStart w:id="316" w:name="_Toc267251424"/>
      <w:bookmarkStart w:id="317" w:name="_Toc280868656"/>
      <w:bookmarkStart w:id="318" w:name="_Toc280868655"/>
      <w:r>
        <w:rPr>
          <w:rFonts w:ascii="宋体" w:hAnsi="宋体"/>
          <w:color w:val="auto"/>
          <w:sz w:val="24"/>
          <w:szCs w:val="24"/>
          <w:highlight w:val="none"/>
        </w:rPr>
        <w:t>.4</w:t>
      </w:r>
      <w:r>
        <w:rPr>
          <w:rFonts w:hint="eastAsia" w:ascii="宋体" w:hAnsi="宋体"/>
          <w:color w:val="auto"/>
          <w:sz w:val="24"/>
          <w:szCs w:val="24"/>
          <w:highlight w:val="none"/>
        </w:rPr>
        <w:t>材料与工程设备的保管与使用</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74FC820C">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8</w:t>
      </w:r>
      <w:bookmarkStart w:id="319" w:name="_Toc292559373"/>
      <w:bookmarkStart w:id="320" w:name="_Toc292559878"/>
      <w:bookmarkStart w:id="321" w:name="_Toc296346669"/>
      <w:bookmarkStart w:id="322" w:name="_Toc297048354"/>
      <w:bookmarkStart w:id="323" w:name="_Toc297216187"/>
      <w:bookmarkStart w:id="324" w:name="_Toc300934980"/>
      <w:bookmarkStart w:id="325" w:name="_Toc297120468"/>
      <w:bookmarkStart w:id="326" w:name="_Toc296347167"/>
      <w:bookmarkStart w:id="327" w:name="_Toc296503168"/>
      <w:bookmarkStart w:id="328" w:name="_Toc318581173"/>
      <w:bookmarkStart w:id="329" w:name="_Toc304295557"/>
      <w:bookmarkStart w:id="330" w:name="_Toc312678020"/>
      <w:bookmarkStart w:id="331" w:name="_Toc296891208"/>
      <w:bookmarkStart w:id="332" w:name="_Toc303539137"/>
      <w:bookmarkStart w:id="333" w:name="_Toc296944507"/>
      <w:bookmarkStart w:id="334" w:name="_Toc296890996"/>
      <w:bookmarkStart w:id="335" w:name="_Toc297123528"/>
      <w:bookmarkStart w:id="336" w:name="_Toc312677494"/>
      <w:r>
        <w:rPr>
          <w:rFonts w:ascii="宋体" w:hAnsi="宋体"/>
          <w:color w:val="auto"/>
          <w:sz w:val="24"/>
          <w:szCs w:val="24"/>
          <w:highlight w:val="none"/>
        </w:rPr>
        <w:t>.4.1</w:t>
      </w:r>
      <w:r>
        <w:rPr>
          <w:rFonts w:hint="eastAsia" w:ascii="宋体" w:hAnsi="宋体"/>
          <w:color w:val="auto"/>
          <w:sz w:val="24"/>
          <w:szCs w:val="24"/>
          <w:highlight w:val="none"/>
        </w:rPr>
        <w:t>发包人供应的材料设备的保管费用的承担：</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319"/>
      <w:bookmarkEnd w:id="320"/>
    </w:p>
    <w:p w14:paraId="6073C264">
      <w:pPr>
        <w:pageBreakBefore w:val="0"/>
        <w:widowControl w:val="0"/>
        <w:spacing w:line="360" w:lineRule="auto"/>
        <w:ind w:left="0" w:right="0" w:firstLine="480"/>
        <w:outlineLvl w:val="0"/>
        <w:rPr>
          <w:rFonts w:ascii="宋体" w:hAnsi="宋体"/>
          <w:color w:val="auto"/>
          <w:sz w:val="24"/>
          <w:szCs w:val="24"/>
          <w:highlight w:val="none"/>
        </w:rPr>
      </w:pPr>
      <w:bookmarkStart w:id="337" w:name="_Toc14639"/>
      <w:bookmarkStart w:id="338" w:name="_Toc14003"/>
      <w:r>
        <w:rPr>
          <w:rFonts w:ascii="宋体" w:hAnsi="宋体"/>
          <w:color w:val="auto"/>
          <w:sz w:val="24"/>
          <w:szCs w:val="24"/>
          <w:highlight w:val="none"/>
        </w:rPr>
        <w:t>8.6</w:t>
      </w:r>
      <w:r>
        <w:rPr>
          <w:rFonts w:hint="eastAsia" w:ascii="宋体" w:hAnsi="宋体"/>
          <w:color w:val="auto"/>
          <w:sz w:val="24"/>
          <w:szCs w:val="24"/>
          <w:highlight w:val="none"/>
        </w:rPr>
        <w:t>样品</w:t>
      </w:r>
      <w:bookmarkEnd w:id="337"/>
      <w:bookmarkEnd w:id="338"/>
    </w:p>
    <w:p w14:paraId="0544DD4C">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8.6.1</w:t>
      </w:r>
      <w:r>
        <w:rPr>
          <w:rFonts w:hint="eastAsia" w:ascii="宋体" w:hAnsi="宋体"/>
          <w:color w:val="auto"/>
          <w:sz w:val="24"/>
          <w:szCs w:val="24"/>
          <w:highlight w:val="none"/>
        </w:rPr>
        <w:t>样品的报送与封存</w:t>
      </w:r>
    </w:p>
    <w:p w14:paraId="64546B08">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需要承包人报送样品的材料或工程设备，样品的种类、名称、规格、数量要求：</w:t>
      </w:r>
      <w:r>
        <w:rPr>
          <w:rFonts w:hint="eastAsia" w:ascii="宋体" w:hAnsi="宋体"/>
          <w:color w:val="auto"/>
          <w:sz w:val="24"/>
          <w:szCs w:val="24"/>
          <w:highlight w:val="none"/>
          <w:u w:val="single"/>
        </w:rPr>
        <w:t>投标中涉及的主要材料，在施工材料购买前，所有材质都须经发包人认可后方可购买，否则不予认可。</w:t>
      </w:r>
    </w:p>
    <w:p w14:paraId="347AE712">
      <w:pPr>
        <w:pageBreakBefore w:val="0"/>
        <w:widowControl w:val="0"/>
        <w:spacing w:line="360" w:lineRule="auto"/>
        <w:ind w:left="0" w:right="0" w:firstLine="480"/>
        <w:outlineLvl w:val="0"/>
        <w:rPr>
          <w:rFonts w:ascii="宋体" w:hAnsi="宋体"/>
          <w:color w:val="auto"/>
          <w:sz w:val="24"/>
          <w:szCs w:val="24"/>
          <w:highlight w:val="none"/>
        </w:rPr>
      </w:pPr>
      <w:bookmarkStart w:id="339" w:name="_Toc25597"/>
      <w:bookmarkStart w:id="340" w:name="_Toc2890"/>
      <w:r>
        <w:rPr>
          <w:rFonts w:ascii="宋体" w:hAnsi="宋体"/>
          <w:color w:val="auto"/>
          <w:sz w:val="24"/>
          <w:szCs w:val="24"/>
          <w:highlight w:val="none"/>
        </w:rPr>
        <w:t>8.8</w:t>
      </w:r>
      <w:r>
        <w:rPr>
          <w:rFonts w:hint="eastAsia" w:ascii="宋体" w:hAnsi="宋体"/>
          <w:color w:val="auto"/>
          <w:sz w:val="24"/>
          <w:szCs w:val="24"/>
          <w:highlight w:val="none"/>
        </w:rPr>
        <w:t>施工设备和临时设施</w:t>
      </w:r>
      <w:bookmarkEnd w:id="339"/>
      <w:bookmarkEnd w:id="340"/>
    </w:p>
    <w:p w14:paraId="078D62FF">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8.8.1</w:t>
      </w:r>
      <w:r>
        <w:rPr>
          <w:rFonts w:hint="eastAsia" w:ascii="宋体" w:hAnsi="宋体"/>
          <w:color w:val="auto"/>
          <w:sz w:val="24"/>
          <w:szCs w:val="24"/>
          <w:highlight w:val="none"/>
        </w:rPr>
        <w:t>承包人提供的施工设备和临时设施</w:t>
      </w:r>
    </w:p>
    <w:p w14:paraId="1BB8841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关于修建临时设施费用承担的约定：</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3D6738FA">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341" w:name="_Toc351203641"/>
      <w:r>
        <w:rPr>
          <w:rFonts w:ascii="宋体" w:hAnsi="宋体"/>
          <w:b w:val="0"/>
          <w:color w:val="auto"/>
          <w:sz w:val="24"/>
          <w:szCs w:val="24"/>
          <w:highlight w:val="none"/>
        </w:rPr>
        <w:t>9</w:t>
      </w:r>
      <w:bookmarkEnd w:id="316"/>
      <w:bookmarkEnd w:id="317"/>
      <w:bookmarkEnd w:id="318"/>
      <w:bookmarkStart w:id="342" w:name="_Toc297123533"/>
      <w:bookmarkStart w:id="343" w:name="_Toc303539139"/>
      <w:bookmarkStart w:id="344" w:name="_Toc304295559"/>
      <w:bookmarkStart w:id="345" w:name="_Toc300934982"/>
      <w:bookmarkStart w:id="346" w:name="_Toc312677495"/>
      <w:bookmarkStart w:id="347" w:name="_Toc312678021"/>
      <w:bookmarkStart w:id="348" w:name="_Toc297216192"/>
      <w:bookmarkStart w:id="349" w:name="_Toc292559883"/>
      <w:bookmarkStart w:id="350" w:name="_Toc267251427"/>
      <w:bookmarkStart w:id="351" w:name="_Toc267251428"/>
      <w:bookmarkStart w:id="352" w:name="_Toc296944512"/>
      <w:bookmarkStart w:id="353" w:name="_Toc296891001"/>
      <w:bookmarkStart w:id="354" w:name="_Toc297048359"/>
      <w:bookmarkStart w:id="355" w:name="_Toc292559378"/>
      <w:bookmarkStart w:id="356" w:name="_Toc296347172"/>
      <w:bookmarkStart w:id="357" w:name="_Toc296346674"/>
      <w:bookmarkStart w:id="358" w:name="_Toc296891213"/>
      <w:bookmarkStart w:id="359" w:name="_Toc297120473"/>
      <w:bookmarkStart w:id="360" w:name="_Toc296503173"/>
      <w:r>
        <w:rPr>
          <w:rFonts w:ascii="宋体" w:hAnsi="宋体"/>
          <w:b w:val="0"/>
          <w:color w:val="auto"/>
          <w:sz w:val="24"/>
          <w:szCs w:val="24"/>
          <w:highlight w:val="none"/>
        </w:rPr>
        <w:t>.</w:t>
      </w:r>
      <w:r>
        <w:rPr>
          <w:rFonts w:hint="eastAsia" w:ascii="宋体" w:hAnsi="宋体"/>
          <w:b w:val="0"/>
          <w:color w:val="auto"/>
          <w:sz w:val="24"/>
          <w:szCs w:val="24"/>
          <w:highlight w:val="none"/>
        </w:rPr>
        <w:t>试验与检验</w:t>
      </w:r>
      <w:bookmarkEnd w:id="341"/>
      <w:bookmarkEnd w:id="342"/>
      <w:bookmarkEnd w:id="343"/>
      <w:bookmarkEnd w:id="344"/>
      <w:bookmarkEnd w:id="345"/>
      <w:bookmarkEnd w:id="346"/>
      <w:bookmarkEnd w:id="347"/>
      <w:bookmarkEnd w:id="348"/>
    </w:p>
    <w:p w14:paraId="400D0AC5">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9</w:t>
      </w:r>
      <w:bookmarkStart w:id="361" w:name="_Toc297123534"/>
      <w:bookmarkStart w:id="362" w:name="_Toc304295560"/>
      <w:bookmarkStart w:id="363" w:name="_Toc312677496"/>
      <w:bookmarkStart w:id="364" w:name="_Toc300934983"/>
      <w:bookmarkStart w:id="365" w:name="_Toc297216193"/>
      <w:bookmarkStart w:id="366" w:name="_Toc312678022"/>
      <w:bookmarkStart w:id="367" w:name="_Toc303539140"/>
      <w:r>
        <w:rPr>
          <w:rFonts w:ascii="宋体" w:hAnsi="宋体"/>
          <w:color w:val="auto"/>
          <w:sz w:val="24"/>
          <w:szCs w:val="24"/>
          <w:highlight w:val="none"/>
        </w:rPr>
        <w:t>.1</w:t>
      </w:r>
      <w:r>
        <w:rPr>
          <w:rFonts w:hint="eastAsia" w:ascii="宋体" w:hAnsi="宋体"/>
          <w:color w:val="auto"/>
          <w:sz w:val="24"/>
          <w:szCs w:val="24"/>
          <w:highlight w:val="none"/>
        </w:rPr>
        <w:t>试验设备与试验人员</w:t>
      </w:r>
      <w:bookmarkEnd w:id="361"/>
      <w:bookmarkEnd w:id="362"/>
      <w:bookmarkEnd w:id="363"/>
      <w:bookmarkEnd w:id="364"/>
      <w:bookmarkEnd w:id="365"/>
      <w:bookmarkEnd w:id="366"/>
      <w:bookmarkEnd w:id="367"/>
    </w:p>
    <w:p w14:paraId="39723813">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9</w:t>
      </w:r>
      <w:bookmarkStart w:id="368" w:name="_Toc303539141"/>
      <w:bookmarkStart w:id="369" w:name="_Toc312677497"/>
      <w:bookmarkStart w:id="370" w:name="_Toc297123535"/>
      <w:bookmarkStart w:id="371" w:name="_Toc312678023"/>
      <w:bookmarkStart w:id="372" w:name="_Toc304295561"/>
      <w:bookmarkStart w:id="373" w:name="_Toc297216194"/>
      <w:bookmarkStart w:id="374" w:name="_Toc300934984"/>
      <w:bookmarkStart w:id="375" w:name="_Toc318581174"/>
      <w:r>
        <w:rPr>
          <w:rFonts w:ascii="宋体" w:hAnsi="宋体"/>
          <w:color w:val="auto"/>
          <w:sz w:val="24"/>
          <w:szCs w:val="24"/>
          <w:highlight w:val="none"/>
        </w:rPr>
        <w:t>.1.2</w:t>
      </w:r>
      <w:r>
        <w:rPr>
          <w:rFonts w:hint="eastAsia" w:ascii="宋体" w:hAnsi="宋体"/>
          <w:color w:val="auto"/>
          <w:sz w:val="24"/>
          <w:szCs w:val="24"/>
          <w:highlight w:val="none"/>
        </w:rPr>
        <w:t>试验设备</w:t>
      </w:r>
    </w:p>
    <w:p w14:paraId="2983C1B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施工现场需要配置的试验场所：</w:t>
      </w:r>
      <w:bookmarkEnd w:id="368"/>
      <w:bookmarkEnd w:id="369"/>
      <w:bookmarkEnd w:id="370"/>
      <w:bookmarkEnd w:id="371"/>
      <w:bookmarkEnd w:id="372"/>
      <w:bookmarkEnd w:id="373"/>
      <w:bookmarkEnd w:id="374"/>
      <w:bookmarkStart w:id="376" w:name="_Toc312678024"/>
      <w:bookmarkStart w:id="377" w:name="_Toc303539142"/>
      <w:bookmarkStart w:id="378" w:name="_Toc297216195"/>
      <w:bookmarkStart w:id="379" w:name="_Toc312677498"/>
      <w:bookmarkStart w:id="380" w:name="_Toc300934985"/>
      <w:bookmarkStart w:id="381" w:name="_Toc304295562"/>
      <w:bookmarkStart w:id="382" w:name="_Toc297123536"/>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3180A6F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施工现场需要配备的试验设备：</w:t>
      </w:r>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307AD4F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施工现场需要具备的其他试验条件：</w:t>
      </w:r>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18D209BF">
      <w:pPr>
        <w:pageBreakBefore w:val="0"/>
        <w:widowControl w:val="0"/>
        <w:spacing w:line="360" w:lineRule="auto"/>
        <w:ind w:left="0" w:right="0" w:firstLine="480"/>
        <w:outlineLvl w:val="0"/>
        <w:rPr>
          <w:rFonts w:ascii="宋体" w:hAnsi="宋体"/>
          <w:color w:val="auto"/>
          <w:sz w:val="24"/>
          <w:szCs w:val="24"/>
          <w:highlight w:val="none"/>
        </w:rPr>
      </w:pPr>
      <w:bookmarkStart w:id="383" w:name="_Toc24956"/>
      <w:bookmarkStart w:id="384" w:name="_Toc4371"/>
      <w:r>
        <w:rPr>
          <w:rFonts w:ascii="宋体" w:hAnsi="宋体"/>
          <w:color w:val="auto"/>
          <w:sz w:val="24"/>
          <w:szCs w:val="24"/>
          <w:highlight w:val="none"/>
        </w:rPr>
        <w:t>9.4</w:t>
      </w:r>
      <w:r>
        <w:rPr>
          <w:rFonts w:hint="eastAsia" w:ascii="宋体" w:hAnsi="宋体"/>
          <w:color w:val="auto"/>
          <w:sz w:val="24"/>
          <w:szCs w:val="24"/>
          <w:highlight w:val="none"/>
        </w:rPr>
        <w:t>现场工艺试验</w:t>
      </w:r>
      <w:bookmarkEnd w:id="383"/>
      <w:bookmarkEnd w:id="384"/>
    </w:p>
    <w:p w14:paraId="168C1FC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现场工艺试验的有关约定：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bookmarkEnd w:id="375"/>
      <w:bookmarkEnd w:id="376"/>
      <w:bookmarkEnd w:id="377"/>
      <w:bookmarkEnd w:id="378"/>
      <w:bookmarkEnd w:id="379"/>
      <w:bookmarkEnd w:id="380"/>
      <w:bookmarkEnd w:id="381"/>
      <w:bookmarkEnd w:id="382"/>
    </w:p>
    <w:p w14:paraId="0C8B5936">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385" w:name="_Toc351203642"/>
      <w:r>
        <w:rPr>
          <w:rFonts w:ascii="宋体" w:hAnsi="宋体"/>
          <w:b w:val="0"/>
          <w:color w:val="auto"/>
          <w:sz w:val="24"/>
          <w:szCs w:val="24"/>
          <w:highlight w:val="none"/>
        </w:rPr>
        <w:t>1</w:t>
      </w:r>
      <w:bookmarkEnd w:id="349"/>
      <w:bookmarkEnd w:id="350"/>
      <w:bookmarkEnd w:id="351"/>
      <w:bookmarkEnd w:id="352"/>
      <w:bookmarkEnd w:id="353"/>
      <w:bookmarkEnd w:id="354"/>
      <w:bookmarkEnd w:id="355"/>
      <w:bookmarkEnd w:id="356"/>
      <w:bookmarkEnd w:id="357"/>
      <w:bookmarkEnd w:id="358"/>
      <w:bookmarkEnd w:id="359"/>
      <w:bookmarkEnd w:id="360"/>
      <w:bookmarkStart w:id="386" w:name="_Toc292559903"/>
      <w:bookmarkStart w:id="387" w:name="_Toc297123540"/>
      <w:bookmarkStart w:id="388" w:name="_Toc300934989"/>
      <w:bookmarkStart w:id="389" w:name="_Toc296891021"/>
      <w:bookmarkStart w:id="390" w:name="_Toc304295566"/>
      <w:bookmarkStart w:id="391" w:name="_Toc297120493"/>
      <w:bookmarkStart w:id="392" w:name="_Toc296347192"/>
      <w:bookmarkStart w:id="393" w:name="_Toc297216199"/>
      <w:bookmarkStart w:id="394" w:name="_Toc303539146"/>
      <w:bookmarkStart w:id="395" w:name="_Toc296346694"/>
      <w:bookmarkStart w:id="396" w:name="_Toc296891233"/>
      <w:bookmarkStart w:id="397" w:name="_Toc312677499"/>
      <w:bookmarkStart w:id="398" w:name="_Toc292559398"/>
      <w:bookmarkStart w:id="399" w:name="_Toc312678025"/>
      <w:bookmarkStart w:id="400" w:name="_Toc296944532"/>
      <w:bookmarkStart w:id="401" w:name="_Toc296503193"/>
      <w:bookmarkStart w:id="402" w:name="_Toc297048379"/>
      <w:bookmarkStart w:id="403" w:name="_Toc267251435"/>
      <w:bookmarkStart w:id="404" w:name="_Toc267251440"/>
      <w:bookmarkStart w:id="405" w:name="_Toc267251437"/>
      <w:bookmarkStart w:id="406" w:name="_Toc267251441"/>
      <w:bookmarkStart w:id="407" w:name="_Toc267251439"/>
      <w:bookmarkStart w:id="408" w:name="_Toc267251433"/>
      <w:bookmarkStart w:id="409" w:name="_Toc267251442"/>
      <w:r>
        <w:rPr>
          <w:rFonts w:ascii="宋体" w:hAnsi="宋体"/>
          <w:b w:val="0"/>
          <w:color w:val="auto"/>
          <w:sz w:val="24"/>
          <w:szCs w:val="24"/>
          <w:highlight w:val="none"/>
        </w:rPr>
        <w:t>0.</w:t>
      </w:r>
      <w:r>
        <w:rPr>
          <w:rFonts w:hint="eastAsia" w:ascii="宋体" w:hAnsi="宋体"/>
          <w:b w:val="0"/>
          <w:color w:val="auto"/>
          <w:sz w:val="24"/>
          <w:szCs w:val="24"/>
          <w:highlight w:val="none"/>
        </w:rPr>
        <w:t>变更</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0CE8C88B">
      <w:pPr>
        <w:pageBreakBefore w:val="0"/>
        <w:widowControl w:val="0"/>
        <w:spacing w:line="360" w:lineRule="auto"/>
        <w:ind w:left="0" w:right="0" w:firstLine="480"/>
        <w:rPr>
          <w:rFonts w:ascii="宋体" w:hAnsi="宋体"/>
          <w:color w:val="auto"/>
          <w:sz w:val="24"/>
          <w:szCs w:val="24"/>
          <w:highlight w:val="none"/>
        </w:rPr>
      </w:pPr>
      <w:bookmarkStart w:id="410" w:name="_Toc296891234"/>
      <w:bookmarkStart w:id="411" w:name="_Toc296944533"/>
      <w:bookmarkStart w:id="412" w:name="_Toc297123541"/>
      <w:bookmarkStart w:id="413" w:name="_Toc304295567"/>
      <w:bookmarkStart w:id="414" w:name="_Toc300934990"/>
      <w:bookmarkStart w:id="415" w:name="_Toc297120494"/>
      <w:bookmarkStart w:id="416" w:name="_Toc303539147"/>
      <w:bookmarkStart w:id="417" w:name="_Toc312678026"/>
      <w:bookmarkStart w:id="418" w:name="_Toc296891022"/>
      <w:bookmarkStart w:id="419" w:name="_Toc296346695"/>
      <w:bookmarkStart w:id="420" w:name="_Toc297048380"/>
      <w:bookmarkStart w:id="421" w:name="_Toc312677500"/>
      <w:bookmarkStart w:id="422" w:name="_Toc297216200"/>
      <w:bookmarkStart w:id="423" w:name="_Toc292559904"/>
      <w:bookmarkStart w:id="424" w:name="_Toc296503194"/>
      <w:bookmarkStart w:id="425" w:name="_Toc292559399"/>
      <w:bookmarkStart w:id="426" w:name="_Toc296347193"/>
      <w:r>
        <w:rPr>
          <w:rFonts w:ascii="宋体" w:hAnsi="宋体"/>
          <w:color w:val="auto"/>
          <w:sz w:val="24"/>
          <w:szCs w:val="24"/>
          <w:highlight w:val="none"/>
        </w:rPr>
        <w:t>10.1</w:t>
      </w:r>
      <w:r>
        <w:rPr>
          <w:rFonts w:hint="eastAsia" w:ascii="宋体" w:hAnsi="宋体"/>
          <w:color w:val="auto"/>
          <w:sz w:val="24"/>
          <w:szCs w:val="24"/>
          <w:highlight w:val="none"/>
        </w:rPr>
        <w:t>变更的范围</w:t>
      </w:r>
    </w:p>
    <w:p w14:paraId="587730BE">
      <w:pPr>
        <w:keepNext w:val="0"/>
        <w:keepLines w:val="0"/>
        <w:pageBreakBefore w:val="0"/>
        <w:widowControl w:val="0"/>
        <w:spacing w:line="360" w:lineRule="auto"/>
        <w:ind w:left="0" w:right="0" w:firstLine="480"/>
        <w:jc w:val="left"/>
        <w:rPr>
          <w:rFonts w:hint="eastAsia" w:ascii="宋体" w:hAnsi="宋体" w:cs="仿宋"/>
          <w:color w:val="auto"/>
          <w:sz w:val="24"/>
          <w:szCs w:val="24"/>
          <w:highlight w:val="none"/>
          <w:u w:val="single"/>
        </w:rPr>
      </w:pPr>
      <w:r>
        <w:rPr>
          <w:rFonts w:hint="eastAsia" w:ascii="宋体" w:hAnsi="宋体"/>
          <w:color w:val="auto"/>
          <w:sz w:val="24"/>
          <w:szCs w:val="24"/>
          <w:highlight w:val="none"/>
        </w:rPr>
        <w:t>关于变更的范围的约定：</w:t>
      </w:r>
      <w:r>
        <w:rPr>
          <w:rFonts w:hint="eastAsia" w:ascii="宋体" w:hAnsi="宋体" w:cs="仿宋"/>
          <w:color w:val="auto"/>
          <w:sz w:val="24"/>
          <w:szCs w:val="24"/>
          <w:highlight w:val="none"/>
          <w:u w:val="single"/>
        </w:rPr>
        <w:t>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人员</w:t>
      </w:r>
      <w:r>
        <w:rPr>
          <w:rFonts w:hint="eastAsia" w:ascii="宋体" w:hAnsi="宋体" w:cs="仿宋"/>
          <w:color w:val="auto"/>
          <w:sz w:val="24"/>
          <w:szCs w:val="24"/>
          <w:highlight w:val="none"/>
          <w:u w:val="single"/>
        </w:rPr>
        <w:t>共同签发的签证单为准；</w:t>
      </w:r>
      <w:r>
        <w:rPr>
          <w:rFonts w:hint="eastAsia" w:ascii="宋体" w:hAnsi="宋体" w:cs="仿宋"/>
          <w:color w:val="auto"/>
          <w:sz w:val="24"/>
          <w:szCs w:val="24"/>
          <w:highlight w:val="none"/>
          <w:u w:val="single"/>
          <w:lang w:eastAsia="zh-CN"/>
        </w:rPr>
        <w:t>未经发包人</w:t>
      </w:r>
      <w:r>
        <w:rPr>
          <w:rFonts w:hint="eastAsia" w:ascii="宋体" w:hAnsi="宋体" w:cs="仿宋"/>
          <w:color w:val="auto"/>
          <w:sz w:val="24"/>
          <w:szCs w:val="24"/>
          <w:highlight w:val="none"/>
          <w:u w:val="single"/>
        </w:rPr>
        <w:t>书面通知，</w:t>
      </w:r>
      <w:r>
        <w:rPr>
          <w:rFonts w:hint="eastAsia" w:ascii="宋体" w:hAnsi="宋体" w:cs="仿宋"/>
          <w:color w:val="auto"/>
          <w:sz w:val="24"/>
          <w:szCs w:val="24"/>
          <w:highlight w:val="none"/>
          <w:u w:val="single"/>
          <w:lang w:eastAsia="zh-CN"/>
        </w:rPr>
        <w:t>承包人</w:t>
      </w:r>
      <w:r>
        <w:rPr>
          <w:rFonts w:hint="eastAsia" w:ascii="宋体" w:hAnsi="宋体" w:cs="仿宋"/>
          <w:color w:val="auto"/>
          <w:sz w:val="24"/>
          <w:szCs w:val="24"/>
          <w:highlight w:val="none"/>
          <w:u w:val="single"/>
        </w:rPr>
        <w:t>不得任意更改设计内容，若因承包人的原因发生变更致使工程造价</w:t>
      </w:r>
      <w:r>
        <w:rPr>
          <w:rFonts w:ascii="宋体" w:hAnsi="宋体" w:cs="仿宋"/>
          <w:color w:val="auto"/>
          <w:sz w:val="24"/>
          <w:szCs w:val="24"/>
          <w:highlight w:val="none"/>
          <w:u w:val="single"/>
        </w:rPr>
        <w:t>增加</w:t>
      </w:r>
      <w:r>
        <w:rPr>
          <w:rFonts w:hint="eastAsia" w:ascii="宋体" w:hAnsi="宋体" w:cs="仿宋"/>
          <w:color w:val="auto"/>
          <w:sz w:val="24"/>
          <w:szCs w:val="24"/>
          <w:highlight w:val="none"/>
          <w:u w:val="single"/>
        </w:rPr>
        <w:t>则不予调整，承包人自行承担；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p>
    <w:p w14:paraId="000EEE11">
      <w:pPr>
        <w:keepNext w:val="0"/>
        <w:keepLines w:val="0"/>
        <w:pageBreakBefore w:val="0"/>
        <w:widowControl w:val="0"/>
        <w:spacing w:line="360" w:lineRule="auto"/>
        <w:ind w:left="0" w:right="0" w:firstLine="480"/>
        <w:outlineLvl w:val="0"/>
        <w:rPr>
          <w:rFonts w:ascii="宋体" w:hAnsi="宋体"/>
          <w:color w:val="auto"/>
          <w:sz w:val="24"/>
          <w:szCs w:val="24"/>
          <w:highlight w:val="none"/>
        </w:rPr>
      </w:pPr>
      <w:bookmarkStart w:id="427" w:name="_Toc26712"/>
      <w:bookmarkStart w:id="428" w:name="_Toc24022"/>
      <w:bookmarkStart w:id="429" w:name="_Toc21473"/>
      <w:r>
        <w:rPr>
          <w:rFonts w:ascii="宋体" w:hAnsi="宋体"/>
          <w:color w:val="auto"/>
          <w:sz w:val="24"/>
          <w:szCs w:val="24"/>
          <w:highlight w:val="none"/>
        </w:rPr>
        <w:t>10.4</w:t>
      </w:r>
      <w:r>
        <w:rPr>
          <w:rFonts w:hint="eastAsia" w:ascii="宋体" w:hAnsi="宋体"/>
          <w:color w:val="auto"/>
          <w:sz w:val="24"/>
          <w:szCs w:val="24"/>
          <w:highlight w:val="none"/>
        </w:rPr>
        <w:t>变更估价</w:t>
      </w:r>
      <w:bookmarkEnd w:id="427"/>
      <w:bookmarkEnd w:id="428"/>
      <w:bookmarkEnd w:id="429"/>
    </w:p>
    <w:p w14:paraId="01E13E31">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10.4.1</w:t>
      </w:r>
      <w:r>
        <w:rPr>
          <w:rFonts w:hint="eastAsia" w:ascii="宋体" w:hAnsi="宋体"/>
          <w:color w:val="auto"/>
          <w:sz w:val="24"/>
          <w:szCs w:val="24"/>
          <w:highlight w:val="none"/>
        </w:rPr>
        <w:t>变更估价原则</w:t>
      </w:r>
    </w:p>
    <w:p w14:paraId="128C6420">
      <w:pPr>
        <w:keepNext w:val="0"/>
        <w:keepLines w:val="0"/>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关于变更估价的约定</w:t>
      </w:r>
      <w:r>
        <w:rPr>
          <w:rFonts w:ascii="宋体" w:hAnsi="宋体"/>
          <w:color w:val="auto"/>
          <w:sz w:val="24"/>
          <w:szCs w:val="24"/>
          <w:highlight w:val="none"/>
        </w:rPr>
        <w:t>:</w:t>
      </w:r>
      <w:r>
        <w:rPr>
          <w:rFonts w:hint="eastAsia" w:ascii="宋体" w:hAnsi="宋体" w:cs="仿宋"/>
          <w:color w:val="auto"/>
          <w:sz w:val="24"/>
          <w:szCs w:val="24"/>
          <w:highlight w:val="none"/>
          <w:u w:val="single"/>
        </w:rPr>
        <w:t>承包人在工程变更确定后7天内，提出变更工程价款的报告，经发包人和监理工程师确认后调整合同价款，变更合同价款按下列方法进行：</w:t>
      </w:r>
    </w:p>
    <w:p w14:paraId="4DF83C9F">
      <w:pPr>
        <w:keepNext w:val="0"/>
        <w:keepLines w:val="0"/>
        <w:pageBreakBefore w:val="0"/>
        <w:widowControl w:val="0"/>
        <w:spacing w:line="360" w:lineRule="auto"/>
        <w:ind w:left="0" w:right="0" w:firstLine="24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（1）已标价工程量清单或投标书有相同项目的，按照相同项目单价认定；</w:t>
      </w:r>
    </w:p>
    <w:p w14:paraId="79608293">
      <w:pPr>
        <w:keepNext w:val="0"/>
        <w:keepLines w:val="0"/>
        <w:pageBreakBefore w:val="0"/>
        <w:widowControl w:val="0"/>
        <w:spacing w:line="360" w:lineRule="auto"/>
        <w:ind w:left="0" w:right="0" w:firstLine="24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（2）已标价工程量清单或投标书中无相同项目，但有类似项目的，参照类似项目的单价认定；</w:t>
      </w:r>
    </w:p>
    <w:p w14:paraId="3699785F">
      <w:pPr>
        <w:keepNext w:val="0"/>
        <w:keepLines w:val="0"/>
        <w:pageBreakBefore w:val="0"/>
        <w:widowControl w:val="0"/>
        <w:spacing w:line="360" w:lineRule="auto"/>
        <w:ind w:left="0" w:right="0" w:firstLine="480"/>
        <w:rPr>
          <w:rFonts w:ascii="宋体" w:hAnsi="宋体" w:cs="宋体"/>
          <w:color w:val="auto"/>
          <w:sz w:val="24"/>
          <w:szCs w:val="24"/>
          <w:highlight w:val="none"/>
          <w:u w:val="single"/>
        </w:rPr>
      </w:pPr>
      <w:r>
        <w:rPr>
          <w:rFonts w:hint="eastAsia" w:ascii="宋体" w:hAnsi="宋体"/>
          <w:color w:val="auto"/>
          <w:sz w:val="24"/>
          <w:szCs w:val="24"/>
          <w:highlight w:val="none"/>
          <w:u w:val="single"/>
        </w:rPr>
        <w:t>（3）合同中没有适用或类似的综合单价，按以下方法确定综合单价：执行2014版江苏省计价定额及其他使用中定额，材料价格参照施工期间</w:t>
      </w:r>
      <w:r>
        <w:rPr>
          <w:rFonts w:hint="eastAsia" w:ascii="宋体" w:hAnsi="宋体" w:cs="宋体"/>
          <w:color w:val="auto"/>
          <w:sz w:val="24"/>
          <w:szCs w:val="24"/>
          <w:highlight w:val="none"/>
          <w:u w:val="single"/>
        </w:rPr>
        <w:t>连云港市指导价</w:t>
      </w:r>
      <w:r>
        <w:rPr>
          <w:rFonts w:hint="eastAsia" w:ascii="宋体" w:hAnsi="宋体"/>
          <w:color w:val="auto"/>
          <w:sz w:val="24"/>
          <w:szCs w:val="24"/>
          <w:highlight w:val="none"/>
          <w:u w:val="single"/>
        </w:rPr>
        <w:t>，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color w:val="auto"/>
          <w:sz w:val="24"/>
          <w:szCs w:val="24"/>
          <w:highlight w:val="none"/>
          <w:u w:val="single"/>
        </w:rPr>
        <w:t>承包人报价</w:t>
      </w:r>
      <w:r>
        <w:rPr>
          <w:rFonts w:hint="eastAsia" w:ascii="宋体" w:hAnsi="宋体"/>
          <w:color w:val="auto"/>
          <w:sz w:val="24"/>
          <w:szCs w:val="24"/>
          <w:highlight w:val="none"/>
          <w:u w:val="single"/>
        </w:rPr>
        <w:t>下浮率</w:t>
      </w:r>
      <w:r>
        <w:rPr>
          <w:rFonts w:hint="eastAsia" w:ascii="宋体" w:hAnsi="宋体" w:cs="宋体"/>
          <w:color w:val="auto"/>
          <w:sz w:val="24"/>
          <w:szCs w:val="24"/>
          <w:highlight w:val="none"/>
          <w:u w:val="single"/>
        </w:rPr>
        <w:t>按下列公式计算：</w:t>
      </w:r>
    </w:p>
    <w:p w14:paraId="06F18BB7">
      <w:pPr>
        <w:keepNext w:val="0"/>
        <w:keepLines w:val="0"/>
        <w:pageBreakBefore w:val="0"/>
        <w:widowControl w:val="0"/>
        <w:spacing w:line="360" w:lineRule="auto"/>
        <w:ind w:left="0" w:right="0" w:firstLine="480"/>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承包人报价</w:t>
      </w:r>
      <w:r>
        <w:rPr>
          <w:rFonts w:hint="eastAsia" w:ascii="宋体" w:hAnsi="宋体"/>
          <w:color w:val="auto"/>
          <w:sz w:val="24"/>
          <w:szCs w:val="24"/>
          <w:highlight w:val="none"/>
          <w:u w:val="single"/>
        </w:rPr>
        <w:t>下浮率</w:t>
      </w:r>
      <w:r>
        <w:rPr>
          <w:rFonts w:hint="eastAsia" w:ascii="宋体" w:hAnsi="宋体" w:cs="宋体"/>
          <w:color w:val="auto"/>
          <w:sz w:val="24"/>
          <w:szCs w:val="24"/>
          <w:highlight w:val="none"/>
          <w:u w:val="single"/>
        </w:rPr>
        <w:t>L=（1-中标价/最高投标限价）*100%</w:t>
      </w:r>
    </w:p>
    <w:p w14:paraId="4BCB221F">
      <w:pPr>
        <w:keepNext w:val="0"/>
        <w:keepLines w:val="0"/>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承包人在双方确定变更后7天内不向发包人和监理工程师提出工程变更单时，视为该项变更不涉及合同价款的变更。本合同约定的追加合同价款（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val="0"/>
          <w:bCs w:val="0"/>
          <w:color w:val="auto"/>
          <w:sz w:val="24"/>
          <w:szCs w:val="24"/>
          <w:highlight w:val="none"/>
          <w:u w:val="single"/>
        </w:rPr>
        <w:t>由</w:t>
      </w:r>
      <w:r>
        <w:rPr>
          <w:rFonts w:hint="eastAsia" w:ascii="宋体" w:hAnsi="宋体"/>
          <w:b w:val="0"/>
          <w:bCs w:val="0"/>
          <w:color w:val="auto"/>
          <w:sz w:val="24"/>
          <w:szCs w:val="24"/>
          <w:highlight w:val="none"/>
          <w:u w:val="single"/>
          <w:lang w:val="en-US" w:eastAsia="zh-CN"/>
        </w:rPr>
        <w:t>工程所在地管辖权</w:t>
      </w:r>
      <w:r>
        <w:rPr>
          <w:rFonts w:hint="eastAsia" w:ascii="宋体" w:hAnsi="宋体"/>
          <w:b w:val="0"/>
          <w:bCs w:val="0"/>
          <w:color w:val="auto"/>
          <w:sz w:val="24"/>
          <w:szCs w:val="24"/>
          <w:highlight w:val="none"/>
          <w:u w:val="single"/>
        </w:rPr>
        <w:t>人民法院裁决。</w:t>
      </w:r>
      <w:r>
        <w:rPr>
          <w:rFonts w:hint="eastAsia" w:ascii="宋体" w:hAnsi="宋体"/>
          <w:color w:val="auto"/>
          <w:sz w:val="24"/>
          <w:szCs w:val="24"/>
          <w:highlight w:val="none"/>
          <w:u w:val="single"/>
        </w:rPr>
        <w:t>因承包人自身原因导致的工程变更，承包人无权要求追加合同价款。</w:t>
      </w:r>
    </w:p>
    <w:p w14:paraId="658E5F57">
      <w:pPr>
        <w:keepNext w:val="0"/>
        <w:keepLines w:val="0"/>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p>
    <w:p w14:paraId="05AB5955">
      <w:pPr>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工程变更价款的调整：</w:t>
      </w:r>
    </w:p>
    <w:p w14:paraId="1E794F7F">
      <w:pPr>
        <w:pageBreakBefore w:val="0"/>
        <w:widowControl w:val="0"/>
        <w:spacing w:line="360" w:lineRule="auto"/>
        <w:ind w:left="0" w:right="0" w:firstLine="24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4363AFD5">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u w:val="single"/>
        </w:rPr>
        <w:t>(2)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p>
    <w:p w14:paraId="65FFCE2C">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Start w:id="430" w:name="_Toc297216203"/>
      <w:bookmarkStart w:id="431" w:name="_Toc296891237"/>
      <w:bookmarkStart w:id="432" w:name="_Toc297120497"/>
      <w:bookmarkStart w:id="433" w:name="_Toc296891025"/>
      <w:bookmarkStart w:id="434" w:name="_Toc303539150"/>
      <w:bookmarkStart w:id="435" w:name="_Toc297048383"/>
      <w:bookmarkStart w:id="436" w:name="_Toc297123544"/>
      <w:bookmarkStart w:id="437" w:name="_Toc296503197"/>
      <w:bookmarkStart w:id="438" w:name="_Toc296346698"/>
      <w:bookmarkStart w:id="439" w:name="_Toc292559402"/>
      <w:bookmarkStart w:id="440" w:name="_Toc296944536"/>
      <w:bookmarkStart w:id="441" w:name="_Toc292559907"/>
      <w:bookmarkStart w:id="442" w:name="_Toc296347196"/>
      <w:bookmarkStart w:id="443" w:name="_Toc300934993"/>
      <w:bookmarkStart w:id="444" w:name="_Toc304295570"/>
      <w:bookmarkStart w:id="445" w:name="_Toc312677503"/>
      <w:bookmarkStart w:id="446" w:name="_Toc312678029"/>
      <w:r>
        <w:rPr>
          <w:rFonts w:ascii="宋体" w:hAnsi="宋体"/>
          <w:color w:val="auto"/>
          <w:sz w:val="24"/>
          <w:szCs w:val="24"/>
          <w:highlight w:val="none"/>
        </w:rPr>
        <w:t>0.5</w:t>
      </w:r>
      <w:r>
        <w:rPr>
          <w:rFonts w:hint="eastAsia" w:ascii="宋体" w:hAnsi="宋体"/>
          <w:color w:val="auto"/>
          <w:sz w:val="24"/>
          <w:szCs w:val="24"/>
          <w:highlight w:val="none"/>
        </w:rPr>
        <w:t>承</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Start w:id="447" w:name="_Toc292559913"/>
      <w:bookmarkStart w:id="448" w:name="_Toc296944542"/>
      <w:bookmarkStart w:id="449" w:name="_Toc296347202"/>
      <w:bookmarkStart w:id="450" w:name="_Toc296346704"/>
      <w:bookmarkStart w:id="451" w:name="_Toc300934994"/>
      <w:bookmarkStart w:id="452" w:name="_Toc297216204"/>
      <w:bookmarkStart w:id="453" w:name="_Toc292559408"/>
      <w:bookmarkStart w:id="454" w:name="_Toc296503203"/>
      <w:bookmarkStart w:id="455" w:name="_Toc297120503"/>
      <w:bookmarkStart w:id="456" w:name="_Toc296891031"/>
      <w:bookmarkStart w:id="457" w:name="_Toc297123545"/>
      <w:bookmarkStart w:id="458" w:name="_Toc297048389"/>
      <w:bookmarkStart w:id="459" w:name="_Toc296891243"/>
      <w:bookmarkStart w:id="460" w:name="_Toc303539151"/>
      <w:r>
        <w:rPr>
          <w:rFonts w:hint="eastAsia" w:ascii="宋体" w:hAnsi="宋体"/>
          <w:color w:val="auto"/>
          <w:sz w:val="24"/>
          <w:szCs w:val="24"/>
          <w:highlight w:val="none"/>
        </w:rPr>
        <w:t>包人的合理化建议</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14:paraId="5585C993">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监理人审查承包人合理化建议的期限：</w:t>
      </w:r>
      <w:r>
        <w:rPr>
          <w:rFonts w:ascii="宋体" w:hAnsi="宋体"/>
          <w:color w:val="auto"/>
          <w:sz w:val="24"/>
          <w:szCs w:val="24"/>
          <w:highlight w:val="none"/>
          <w:u w:val="single"/>
        </w:rPr>
        <w:t>收到承包人提交的合理化建议后7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w:t>
      </w:r>
      <w:r>
        <w:rPr>
          <w:rFonts w:hint="eastAsia" w:ascii="宋体" w:hAnsi="宋体"/>
          <w:color w:val="auto"/>
          <w:sz w:val="24"/>
          <w:szCs w:val="24"/>
          <w:highlight w:val="none"/>
        </w:rPr>
        <w:t>。</w:t>
      </w:r>
    </w:p>
    <w:p w14:paraId="623CFDC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发包人审批承包人合理化建议的期限：</w:t>
      </w:r>
      <w:r>
        <w:rPr>
          <w:rFonts w:ascii="宋体" w:hAnsi="宋体"/>
          <w:color w:val="auto"/>
          <w:sz w:val="24"/>
          <w:szCs w:val="24"/>
          <w:highlight w:val="none"/>
          <w:u w:val="single"/>
        </w:rPr>
        <w:t>收到监理人报送的合理化建议后7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w:t>
      </w:r>
      <w:r>
        <w:rPr>
          <w:rFonts w:hint="eastAsia" w:ascii="宋体" w:hAnsi="宋体"/>
          <w:color w:val="auto"/>
          <w:sz w:val="24"/>
          <w:szCs w:val="24"/>
          <w:highlight w:val="none"/>
          <w:u w:val="single"/>
        </w:rPr>
        <w:t>。</w:t>
      </w:r>
    </w:p>
    <w:p w14:paraId="7B22EE21">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承</w:t>
      </w:r>
      <w:bookmarkStart w:id="461" w:name="_Toc297120504"/>
      <w:bookmarkStart w:id="462" w:name="_Toc296347203"/>
      <w:bookmarkStart w:id="463" w:name="_Toc296346705"/>
      <w:bookmarkStart w:id="464" w:name="_Toc297216205"/>
      <w:bookmarkStart w:id="465" w:name="_Toc296503204"/>
      <w:bookmarkStart w:id="466" w:name="_Toc300934995"/>
      <w:bookmarkStart w:id="467" w:name="_Toc318581175"/>
      <w:bookmarkStart w:id="468" w:name="_Toc303539152"/>
      <w:bookmarkStart w:id="469" w:name="_Toc304295571"/>
      <w:bookmarkStart w:id="470" w:name="_Toc297048390"/>
      <w:bookmarkStart w:id="471" w:name="_Toc296891032"/>
      <w:bookmarkStart w:id="472" w:name="_Toc312677504"/>
      <w:bookmarkStart w:id="473" w:name="_Toc296891244"/>
      <w:bookmarkStart w:id="474" w:name="_Toc292559409"/>
      <w:bookmarkStart w:id="475" w:name="_Toc297123546"/>
      <w:bookmarkStart w:id="476" w:name="_Toc296944543"/>
      <w:bookmarkStart w:id="477" w:name="_Toc312678030"/>
      <w:bookmarkStart w:id="478" w:name="_Toc292559914"/>
      <w:r>
        <w:rPr>
          <w:rFonts w:hint="eastAsia" w:ascii="宋体" w:hAnsi="宋体"/>
          <w:color w:val="auto"/>
          <w:sz w:val="24"/>
          <w:szCs w:val="24"/>
          <w:highlight w:val="none"/>
        </w:rPr>
        <w:t>包人提出的合理化建议降低了合同价格或者提高了工程经济效益的奖励的方法和金额为：</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5A54F567">
      <w:pPr>
        <w:pageBreakBefore w:val="0"/>
        <w:widowControl w:val="0"/>
        <w:spacing w:line="360" w:lineRule="auto"/>
        <w:ind w:left="0" w:right="0" w:firstLine="480"/>
        <w:outlineLvl w:val="0"/>
        <w:rPr>
          <w:rFonts w:ascii="宋体" w:hAnsi="宋体"/>
          <w:color w:val="auto"/>
          <w:sz w:val="24"/>
          <w:szCs w:val="24"/>
          <w:highlight w:val="none"/>
        </w:rPr>
      </w:pPr>
      <w:bookmarkStart w:id="479" w:name="_Toc26473"/>
      <w:bookmarkStart w:id="480" w:name="_Toc30121"/>
      <w:r>
        <w:rPr>
          <w:rFonts w:ascii="宋体" w:hAnsi="宋体"/>
          <w:color w:val="auto"/>
          <w:sz w:val="24"/>
          <w:szCs w:val="24"/>
          <w:highlight w:val="none"/>
        </w:rPr>
        <w:t>1</w:t>
      </w:r>
      <w:bookmarkStart w:id="481" w:name="_Toc297123548"/>
      <w:bookmarkStart w:id="482" w:name="_Toc297120499"/>
      <w:bookmarkStart w:id="483" w:name="_Toc304295574"/>
      <w:bookmarkStart w:id="484" w:name="_Toc312677507"/>
      <w:bookmarkStart w:id="485" w:name="_Toc292559909"/>
      <w:bookmarkStart w:id="486" w:name="_Toc296346700"/>
      <w:bookmarkStart w:id="487" w:name="_Toc297216207"/>
      <w:bookmarkStart w:id="488" w:name="_Toc292559404"/>
      <w:bookmarkStart w:id="489" w:name="_Toc296891239"/>
      <w:bookmarkStart w:id="490" w:name="_Toc296944538"/>
      <w:bookmarkStart w:id="491" w:name="_Toc296891027"/>
      <w:bookmarkStart w:id="492" w:name="_Toc296347198"/>
      <w:bookmarkStart w:id="493" w:name="_Toc312678033"/>
      <w:bookmarkStart w:id="494" w:name="_Toc297048385"/>
      <w:bookmarkStart w:id="495" w:name="_Toc300934997"/>
      <w:bookmarkStart w:id="496" w:name="_Toc296503199"/>
      <w:bookmarkStart w:id="497" w:name="_Toc303539154"/>
      <w:r>
        <w:rPr>
          <w:rFonts w:ascii="宋体" w:hAnsi="宋体"/>
          <w:color w:val="auto"/>
          <w:sz w:val="24"/>
          <w:szCs w:val="24"/>
          <w:highlight w:val="none"/>
        </w:rPr>
        <w:t>0.7</w:t>
      </w:r>
      <w:r>
        <w:rPr>
          <w:rFonts w:hint="eastAsia" w:ascii="宋体" w:hAnsi="宋体"/>
          <w:color w:val="auto"/>
          <w:sz w:val="24"/>
          <w:szCs w:val="24"/>
          <w:highlight w:val="none"/>
        </w:rPr>
        <w:t>暂估价</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28CCDE3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暂</w:t>
      </w:r>
      <w:bookmarkStart w:id="498" w:name="_Toc318581176"/>
      <w:bookmarkStart w:id="499" w:name="_Toc312678034"/>
      <w:bookmarkStart w:id="500" w:name="_Toc312677508"/>
      <w:r>
        <w:rPr>
          <w:rFonts w:hint="eastAsia" w:ascii="宋体" w:hAnsi="宋体"/>
          <w:color w:val="auto"/>
          <w:sz w:val="24"/>
          <w:szCs w:val="24"/>
          <w:highlight w:val="none"/>
        </w:rPr>
        <w:t>估价材料和工程设备的明细详见附件</w:t>
      </w:r>
      <w:r>
        <w:rPr>
          <w:rFonts w:ascii="宋体" w:hAnsi="宋体"/>
          <w:color w:val="auto"/>
          <w:sz w:val="24"/>
          <w:szCs w:val="24"/>
          <w:highlight w:val="none"/>
        </w:rPr>
        <w:t>11</w:t>
      </w:r>
      <w:r>
        <w:rPr>
          <w:rFonts w:hint="eastAsia" w:ascii="宋体" w:hAnsi="宋体"/>
          <w:color w:val="auto"/>
          <w:sz w:val="24"/>
          <w:szCs w:val="24"/>
          <w:highlight w:val="none"/>
        </w:rPr>
        <w:t>：《暂估价一览表》。</w:t>
      </w:r>
      <w:bookmarkEnd w:id="498"/>
      <w:bookmarkEnd w:id="499"/>
      <w:bookmarkEnd w:id="500"/>
    </w:p>
    <w:p w14:paraId="4BD94DF2">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w:t>
      </w:r>
      <w:bookmarkStart w:id="501" w:name="_Toc312678035"/>
      <w:bookmarkStart w:id="502" w:name="_Toc312677509"/>
      <w:bookmarkStart w:id="503" w:name="_Toc318581177"/>
      <w:r>
        <w:rPr>
          <w:rFonts w:ascii="宋体" w:hAnsi="宋体"/>
          <w:color w:val="auto"/>
          <w:sz w:val="24"/>
          <w:szCs w:val="24"/>
          <w:highlight w:val="none"/>
        </w:rPr>
        <w:t>0.7.1</w:t>
      </w:r>
      <w:r>
        <w:rPr>
          <w:rFonts w:hint="eastAsia" w:ascii="宋体" w:hAnsi="宋体"/>
          <w:color w:val="auto"/>
          <w:sz w:val="24"/>
          <w:szCs w:val="24"/>
          <w:highlight w:val="none"/>
        </w:rPr>
        <w:t>依法必须招标的暂估价项目</w:t>
      </w:r>
      <w:bookmarkEnd w:id="501"/>
      <w:bookmarkEnd w:id="502"/>
      <w:bookmarkEnd w:id="503"/>
    </w:p>
    <w:p w14:paraId="7A20F297">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对于依法必须招标的暂估价项目的由发包人做为招标人负责招标采购事宜。</w:t>
      </w:r>
    </w:p>
    <w:p w14:paraId="47A3CBD1">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10.7.2</w:t>
      </w:r>
      <w:r>
        <w:rPr>
          <w:rFonts w:hint="eastAsia" w:ascii="宋体" w:hAnsi="宋体"/>
          <w:color w:val="auto"/>
          <w:sz w:val="24"/>
          <w:szCs w:val="24"/>
          <w:highlight w:val="none"/>
        </w:rPr>
        <w:t>不属于依法必须招标的暂估价项目</w:t>
      </w:r>
    </w:p>
    <w:p w14:paraId="502FAC0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对于不属于依法必须招标的暂估价项目采用何种方式采购由发包人确定。</w:t>
      </w:r>
    </w:p>
    <w:p w14:paraId="4E4464D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第</w:t>
      </w:r>
      <w:r>
        <w:rPr>
          <w:rFonts w:ascii="宋体" w:hAnsi="宋体"/>
          <w:color w:val="auto"/>
          <w:sz w:val="24"/>
          <w:szCs w:val="24"/>
          <w:highlight w:val="none"/>
        </w:rPr>
        <w:t>3</w:t>
      </w:r>
      <w:r>
        <w:rPr>
          <w:rFonts w:hint="eastAsia" w:ascii="宋体" w:hAnsi="宋体"/>
          <w:color w:val="auto"/>
          <w:sz w:val="24"/>
          <w:szCs w:val="24"/>
          <w:highlight w:val="none"/>
        </w:rPr>
        <w:t>种方式：承包人直接实施的暂估价项目</w:t>
      </w:r>
    </w:p>
    <w:p w14:paraId="0D6DF1A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承包人直接实施的暂估价项目的约定：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4E9EB051">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10.8</w:t>
      </w:r>
      <w:r>
        <w:rPr>
          <w:rFonts w:hint="eastAsia" w:ascii="宋体" w:hAnsi="宋体"/>
          <w:color w:val="auto"/>
          <w:sz w:val="24"/>
          <w:szCs w:val="24"/>
          <w:highlight w:val="none"/>
        </w:rPr>
        <w:t>暂列金额</w:t>
      </w:r>
    </w:p>
    <w:p w14:paraId="73E83D13">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合同当事人关于暂列金额使用的约定：</w:t>
      </w:r>
      <w:r>
        <w:rPr>
          <w:rFonts w:hint="eastAsia" w:ascii="宋体" w:hAnsi="宋体"/>
          <w:color w:val="auto"/>
          <w:sz w:val="24"/>
          <w:szCs w:val="24"/>
          <w:highlight w:val="none"/>
          <w:u w:val="single"/>
        </w:rPr>
        <w:t>由发包人</w:t>
      </w:r>
      <w:r>
        <w:rPr>
          <w:rFonts w:ascii="宋体" w:hAnsi="宋体"/>
          <w:color w:val="auto"/>
          <w:sz w:val="24"/>
          <w:szCs w:val="24"/>
          <w:highlight w:val="none"/>
          <w:u w:val="single"/>
        </w:rPr>
        <w:t>结合工程具体情况</w:t>
      </w:r>
      <w:r>
        <w:rPr>
          <w:rFonts w:hint="eastAsia" w:ascii="宋体" w:hAnsi="宋体"/>
          <w:color w:val="auto"/>
          <w:sz w:val="24"/>
          <w:szCs w:val="24"/>
          <w:highlight w:val="none"/>
          <w:u w:val="single"/>
        </w:rPr>
        <w:t>使用</w:t>
      </w:r>
      <w:r>
        <w:rPr>
          <w:rFonts w:hint="eastAsia" w:ascii="宋体" w:hAnsi="宋体"/>
          <w:color w:val="auto"/>
          <w:sz w:val="24"/>
          <w:szCs w:val="24"/>
          <w:highlight w:val="none"/>
        </w:rPr>
        <w:t>。</w:t>
      </w:r>
    </w:p>
    <w:p w14:paraId="1C374CCB">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504" w:name="_Toc351203643"/>
      <w:r>
        <w:rPr>
          <w:rFonts w:ascii="宋体" w:hAnsi="宋体"/>
          <w:b w:val="0"/>
          <w:color w:val="auto"/>
          <w:sz w:val="24"/>
          <w:szCs w:val="24"/>
          <w:highlight w:val="none"/>
        </w:rPr>
        <w:t>11.</w:t>
      </w:r>
      <w:r>
        <w:rPr>
          <w:rFonts w:hint="eastAsia" w:ascii="宋体" w:hAnsi="宋体"/>
          <w:b w:val="0"/>
          <w:color w:val="auto"/>
          <w:sz w:val="24"/>
          <w:szCs w:val="24"/>
          <w:highlight w:val="none"/>
        </w:rPr>
        <w:t>价格调整</w:t>
      </w:r>
      <w:bookmarkEnd w:id="403"/>
      <w:bookmarkEnd w:id="404"/>
      <w:bookmarkEnd w:id="405"/>
      <w:bookmarkEnd w:id="406"/>
      <w:bookmarkEnd w:id="407"/>
      <w:bookmarkEnd w:id="408"/>
      <w:bookmarkEnd w:id="504"/>
    </w:p>
    <w:p w14:paraId="1EC16356">
      <w:pPr>
        <w:pStyle w:val="173"/>
        <w:pageBreakBefore w:val="0"/>
        <w:widowControl w:val="0"/>
        <w:spacing w:before="0" w:after="0" w:line="360" w:lineRule="auto"/>
        <w:ind w:left="0" w:right="0" w:firstLine="480"/>
        <w:rPr>
          <w:rFonts w:hint="eastAsia" w:ascii="宋体" w:hAnsi="宋体" w:eastAsia="宋体" w:cs="Times New Roman"/>
          <w:b w:val="0"/>
          <w:bCs w:val="0"/>
          <w:color w:val="auto"/>
          <w:sz w:val="24"/>
          <w:szCs w:val="24"/>
          <w:highlight w:val="none"/>
          <w:lang w:val="en-US" w:eastAsia="zh-CN" w:bidi="ar-SA"/>
        </w:rPr>
      </w:pPr>
      <w:bookmarkStart w:id="505" w:name="_Toc296891245"/>
      <w:bookmarkStart w:id="506" w:name="_Toc296503205"/>
      <w:bookmarkStart w:id="507" w:name="_Toc296944544"/>
      <w:bookmarkStart w:id="508" w:name="_Toc292559915"/>
      <w:bookmarkStart w:id="509" w:name="_Toc296891033"/>
      <w:bookmarkStart w:id="510" w:name="_Toc297120505"/>
      <w:bookmarkStart w:id="511" w:name="_Toc296346706"/>
      <w:bookmarkStart w:id="512" w:name="_Toc296347204"/>
      <w:bookmarkStart w:id="513" w:name="_Toc297048391"/>
      <w:bookmarkStart w:id="514" w:name="_Toc292559410"/>
      <w:bookmarkStart w:id="515" w:name="_Toc303539159"/>
      <w:bookmarkStart w:id="516" w:name="_Toc300935002"/>
      <w:bookmarkStart w:id="517" w:name="_Toc297123552"/>
      <w:bookmarkStart w:id="518" w:name="_Toc297216211"/>
      <w:bookmarkStart w:id="519" w:name="_Toc312678040"/>
      <w:bookmarkStart w:id="520" w:name="_Toc351203644"/>
      <w:bookmarkStart w:id="521" w:name="_Toc304295579"/>
      <w:r>
        <w:rPr>
          <w:rFonts w:hint="eastAsia" w:ascii="宋体" w:hAnsi="宋体" w:eastAsia="宋体" w:cs="Times New Roman"/>
          <w:b w:val="0"/>
          <w:bCs w:val="0"/>
          <w:color w:val="auto"/>
          <w:sz w:val="24"/>
          <w:szCs w:val="24"/>
          <w:highlight w:val="none"/>
          <w:lang w:val="en-US" w:eastAsia="zh-CN" w:bidi="ar-SA"/>
        </w:rPr>
        <w:t>11.1市场价格波动引起的调整</w:t>
      </w:r>
    </w:p>
    <w:p w14:paraId="57FCEB38">
      <w:pPr>
        <w:pStyle w:val="173"/>
        <w:pageBreakBefore w:val="0"/>
        <w:widowControl w:val="0"/>
        <w:spacing w:before="0" w:after="0" w:line="360" w:lineRule="auto"/>
        <w:ind w:left="0" w:right="0" w:firstLine="480"/>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市场价格波动调整合同价格的约定：</w:t>
      </w:r>
      <w:r>
        <w:rPr>
          <w:rFonts w:hint="eastAsia" w:ascii="宋体" w:hAnsi="宋体" w:eastAsia="宋体" w:cs="Times New Roman"/>
          <w:b w:val="0"/>
          <w:bCs w:val="0"/>
          <w:color w:val="auto"/>
          <w:sz w:val="24"/>
          <w:szCs w:val="24"/>
          <w:highlight w:val="none"/>
          <w:u w:val="single"/>
          <w:lang w:val="en-US" w:eastAsia="zh-CN" w:bidi="ar-SA"/>
        </w:rPr>
        <w:t>不调整。</w:t>
      </w:r>
    </w:p>
    <w:p w14:paraId="69C4793E">
      <w:pPr>
        <w:pStyle w:val="173"/>
        <w:pageBreakBefore w:val="0"/>
        <w:widowControl w:val="0"/>
        <w:spacing w:before="0" w:after="0" w:line="360" w:lineRule="auto"/>
        <w:ind w:left="0" w:right="0" w:firstLine="480"/>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价格调整方式：</w:t>
      </w:r>
      <w:r>
        <w:rPr>
          <w:rFonts w:hint="eastAsia" w:ascii="宋体" w:hAnsi="宋体" w:eastAsia="宋体" w:cs="Times New Roman"/>
          <w:b w:val="0"/>
          <w:bCs w:val="0"/>
          <w:color w:val="auto"/>
          <w:sz w:val="24"/>
          <w:szCs w:val="24"/>
          <w:highlight w:val="none"/>
          <w:u w:val="single"/>
          <w:lang w:val="en-US" w:eastAsia="zh-CN" w:bidi="ar-SA"/>
        </w:rPr>
        <w:t>/。</w:t>
      </w:r>
    </w:p>
    <w:p w14:paraId="0E4E0A9C">
      <w:pPr>
        <w:pStyle w:val="173"/>
        <w:pageBreakBefore w:val="0"/>
        <w:widowControl w:val="0"/>
        <w:spacing w:before="0" w:after="0" w:line="360" w:lineRule="auto"/>
        <w:ind w:left="0" w:right="0" w:firstLine="0"/>
        <w:rPr>
          <w:rFonts w:ascii="宋体" w:hAnsi="宋体"/>
          <w:b w:val="0"/>
          <w:color w:val="auto"/>
          <w:sz w:val="24"/>
          <w:szCs w:val="24"/>
          <w:highlight w:val="none"/>
        </w:rPr>
      </w:pPr>
      <w:r>
        <w:rPr>
          <w:rFonts w:ascii="宋体" w:hAnsi="宋体"/>
          <w:b w:val="0"/>
          <w:color w:val="auto"/>
          <w:sz w:val="24"/>
          <w:szCs w:val="24"/>
          <w:highlight w:val="none"/>
        </w:rPr>
        <w:t>12.</w:t>
      </w:r>
      <w:bookmarkEnd w:id="505"/>
      <w:bookmarkEnd w:id="506"/>
      <w:bookmarkEnd w:id="507"/>
      <w:bookmarkEnd w:id="508"/>
      <w:bookmarkEnd w:id="509"/>
      <w:bookmarkEnd w:id="510"/>
      <w:bookmarkEnd w:id="511"/>
      <w:bookmarkEnd w:id="512"/>
      <w:bookmarkEnd w:id="513"/>
      <w:bookmarkEnd w:id="514"/>
      <w:r>
        <w:rPr>
          <w:rFonts w:hint="eastAsia" w:ascii="宋体" w:hAnsi="宋体"/>
          <w:b w:val="0"/>
          <w:color w:val="auto"/>
          <w:sz w:val="24"/>
          <w:szCs w:val="24"/>
          <w:highlight w:val="none"/>
        </w:rPr>
        <w:t>合同价格、计量与支付</w:t>
      </w:r>
      <w:bookmarkEnd w:id="515"/>
      <w:bookmarkEnd w:id="516"/>
      <w:bookmarkEnd w:id="517"/>
      <w:bookmarkEnd w:id="518"/>
      <w:bookmarkEnd w:id="519"/>
      <w:bookmarkEnd w:id="520"/>
      <w:bookmarkEnd w:id="521"/>
    </w:p>
    <w:p w14:paraId="1123CE7F">
      <w:pPr>
        <w:pageBreakBefore w:val="0"/>
        <w:widowControl w:val="0"/>
        <w:spacing w:line="360" w:lineRule="auto"/>
        <w:ind w:left="0" w:right="0" w:firstLine="480"/>
        <w:rPr>
          <w:rFonts w:ascii="宋体" w:hAnsi="宋体"/>
          <w:color w:val="auto"/>
          <w:sz w:val="24"/>
          <w:szCs w:val="24"/>
          <w:highlight w:val="none"/>
        </w:rPr>
      </w:pPr>
      <w:bookmarkStart w:id="522" w:name="_Toc267251461"/>
      <w:bookmarkStart w:id="523" w:name="_Toc292559411"/>
      <w:bookmarkStart w:id="524" w:name="_Toc292559916"/>
      <w:bookmarkStart w:id="525" w:name="_Toc296503206"/>
      <w:bookmarkStart w:id="526" w:name="_Toc296346707"/>
      <w:bookmarkStart w:id="527" w:name="_Toc297120506"/>
      <w:bookmarkStart w:id="528" w:name="_Toc296891034"/>
      <w:bookmarkStart w:id="529" w:name="_Toc296347205"/>
      <w:bookmarkStart w:id="530" w:name="_Toc296944545"/>
      <w:bookmarkStart w:id="531" w:name="_Toc296891246"/>
      <w:bookmarkStart w:id="532" w:name="_Toc297048392"/>
      <w:bookmarkStart w:id="533" w:name="_Toc297123553"/>
      <w:bookmarkStart w:id="534" w:name="_Toc304295580"/>
      <w:bookmarkStart w:id="535" w:name="_Toc303539160"/>
      <w:bookmarkStart w:id="536" w:name="_Toc297216212"/>
      <w:bookmarkStart w:id="537" w:name="_Toc312678041"/>
      <w:bookmarkStart w:id="538" w:name="_Toc300935003"/>
      <w:r>
        <w:rPr>
          <w:rFonts w:ascii="宋体" w:hAnsi="宋体"/>
          <w:color w:val="auto"/>
          <w:sz w:val="24"/>
          <w:szCs w:val="24"/>
          <w:highlight w:val="none"/>
        </w:rPr>
        <w:t>12.1</w:t>
      </w:r>
      <w:r>
        <w:rPr>
          <w:rFonts w:hint="eastAsia" w:ascii="宋体" w:hAnsi="宋体"/>
          <w:color w:val="auto"/>
          <w:sz w:val="24"/>
          <w:szCs w:val="24"/>
          <w:highlight w:val="none"/>
        </w:rPr>
        <w:t>合</w:t>
      </w:r>
      <w:bookmarkEnd w:id="522"/>
      <w:bookmarkEnd w:id="523"/>
      <w:bookmarkEnd w:id="524"/>
      <w:r>
        <w:rPr>
          <w:rFonts w:hint="eastAsia" w:ascii="宋体" w:hAnsi="宋体"/>
          <w:color w:val="auto"/>
          <w:sz w:val="24"/>
          <w:szCs w:val="24"/>
          <w:highlight w:val="none"/>
        </w:rPr>
        <w:t>同价</w:t>
      </w:r>
      <w:bookmarkEnd w:id="525"/>
      <w:bookmarkEnd w:id="526"/>
      <w:bookmarkEnd w:id="527"/>
      <w:bookmarkEnd w:id="528"/>
      <w:bookmarkEnd w:id="529"/>
      <w:bookmarkEnd w:id="530"/>
      <w:bookmarkEnd w:id="531"/>
      <w:bookmarkEnd w:id="532"/>
      <w:r>
        <w:rPr>
          <w:rFonts w:hint="eastAsia" w:ascii="宋体" w:hAnsi="宋体"/>
          <w:color w:val="auto"/>
          <w:sz w:val="24"/>
          <w:szCs w:val="24"/>
          <w:highlight w:val="none"/>
        </w:rPr>
        <w:t>格形式</w:t>
      </w:r>
      <w:bookmarkEnd w:id="533"/>
      <w:bookmarkEnd w:id="534"/>
      <w:bookmarkEnd w:id="535"/>
      <w:bookmarkEnd w:id="536"/>
      <w:bookmarkEnd w:id="537"/>
      <w:bookmarkEnd w:id="538"/>
    </w:p>
    <w:p w14:paraId="1FF2A162">
      <w:pPr>
        <w:pageBreakBefore w:val="0"/>
        <w:widowControl w:val="0"/>
        <w:spacing w:line="360" w:lineRule="auto"/>
        <w:ind w:left="0" w:right="0" w:firstLine="480"/>
        <w:jc w:val="left"/>
        <w:rPr>
          <w:rFonts w:hint="eastAsia" w:ascii="宋体" w:hAnsi="宋体" w:eastAsia="宋体" w:cs="Times New Roman"/>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、单价合</w:t>
      </w:r>
      <w:r>
        <w:rPr>
          <w:rFonts w:hint="eastAsia" w:ascii="宋体" w:hAnsi="宋体" w:eastAsia="宋体" w:cs="Times New Roman"/>
          <w:color w:val="auto"/>
          <w:sz w:val="24"/>
          <w:szCs w:val="24"/>
          <w:highlight w:val="none"/>
        </w:rPr>
        <w:t>同</w:t>
      </w:r>
    </w:p>
    <w:p w14:paraId="0803F403">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p>
    <w:p w14:paraId="3A6917C2">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综合单价包含的风险范围：</w:t>
      </w:r>
    </w:p>
    <w:p w14:paraId="24D8F7B5">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承包人风险:除不可抗力、发包人风险以外的其他一切风险。</w:t>
      </w:r>
    </w:p>
    <w:p w14:paraId="6FCEB31E">
      <w:pPr>
        <w:keepNext w:val="0"/>
        <w:keepLines w:val="0"/>
        <w:pageBreakBefore w:val="0"/>
        <w:widowControl w:val="0"/>
        <w:spacing w:line="360" w:lineRule="auto"/>
        <w:ind w:left="0" w:right="0" w:firstLine="480"/>
        <w:jc w:val="lef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发包人风险:1.国家法律、法规、规章和政策发生变化;2.省级或行业建设主管部门发布的人工费调整,但承包人对人工费或人工单价的报价高于发布的除外:3.合同专用条款11.1约定的市场物价波动风险;4.工程量的风险。</w:t>
      </w:r>
    </w:p>
    <w:p w14:paraId="7E951AEA">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风险费用的计算方法：</w:t>
      </w:r>
      <w:r>
        <w:rPr>
          <w:rFonts w:hint="eastAsia" w:ascii="宋体" w:hAnsi="宋体"/>
          <w:color w:val="auto"/>
          <w:sz w:val="24"/>
          <w:szCs w:val="24"/>
          <w:highlight w:val="none"/>
          <w:u w:val="single"/>
        </w:rPr>
        <w:t>承包人投标时应自行充分考虑风险，除不可抗力及发包人风险外，今后不做调整。本工程主要材料风险(本合同第11.1条约定范围)计算方法执行专用条款相关规定。</w:t>
      </w:r>
    </w:p>
    <w:p w14:paraId="44EF4911">
      <w:pPr>
        <w:pageBreakBefore w:val="0"/>
        <w:widowControl w:val="0"/>
        <w:spacing w:line="360" w:lineRule="auto"/>
        <w:ind w:left="0" w:right="0" w:firstLine="48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风险范围以外合同价格的调整方法：</w:t>
      </w:r>
      <w:r>
        <w:rPr>
          <w:rFonts w:hint="eastAsia" w:ascii="宋体" w:hAnsi="宋体"/>
          <w:color w:val="auto"/>
          <w:sz w:val="24"/>
          <w:szCs w:val="24"/>
          <w:highlight w:val="none"/>
          <w:u w:val="single"/>
          <w:lang w:val="en-US" w:eastAsia="zh-CN"/>
        </w:rPr>
        <w:t>/</w:t>
      </w:r>
    </w:p>
    <w:p w14:paraId="2FCE3016">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、总价合同。</w:t>
      </w:r>
    </w:p>
    <w:p w14:paraId="5C23D40F">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总价包含的风险范围：</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29CCAE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风险费用的计算方法：</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C326E6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风险范围以外合同价格的调整方法：</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31CD189">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、其他价格方式：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80D34BF">
      <w:pPr>
        <w:pageBreakBefore w:val="0"/>
        <w:widowControl w:val="0"/>
        <w:spacing w:line="360" w:lineRule="auto"/>
        <w:ind w:left="0" w:right="0" w:firstLine="480"/>
        <w:rPr>
          <w:rFonts w:ascii="宋体" w:hAnsi="宋体"/>
          <w:color w:val="auto"/>
          <w:sz w:val="24"/>
          <w:szCs w:val="24"/>
          <w:highlight w:val="none"/>
        </w:rPr>
      </w:pPr>
      <w:bookmarkStart w:id="539" w:name="_Toc300935004"/>
      <w:bookmarkStart w:id="540" w:name="_Toc303539161"/>
      <w:bookmarkStart w:id="541" w:name="_Toc297216213"/>
      <w:bookmarkStart w:id="542" w:name="_Toc297123554"/>
      <w:bookmarkStart w:id="543" w:name="_Toc304295581"/>
      <w:bookmarkStart w:id="544" w:name="_Toc312678042"/>
      <w:bookmarkStart w:id="545" w:name="_Toc292559412"/>
      <w:bookmarkStart w:id="546" w:name="_Toc296346708"/>
      <w:bookmarkStart w:id="547" w:name="_Toc297048393"/>
      <w:bookmarkStart w:id="548" w:name="_Toc297120507"/>
      <w:bookmarkStart w:id="549" w:name="_Toc296347206"/>
      <w:bookmarkStart w:id="550" w:name="_Toc296891035"/>
      <w:bookmarkStart w:id="551" w:name="_Toc296503207"/>
      <w:bookmarkStart w:id="552" w:name="_Toc292559917"/>
      <w:bookmarkStart w:id="553" w:name="_Toc296891247"/>
      <w:bookmarkStart w:id="554" w:name="_Toc296944546"/>
      <w:r>
        <w:rPr>
          <w:rFonts w:ascii="宋体" w:hAnsi="宋体"/>
          <w:color w:val="auto"/>
          <w:sz w:val="24"/>
          <w:szCs w:val="24"/>
          <w:highlight w:val="none"/>
        </w:rPr>
        <w:t>12.2</w:t>
      </w:r>
      <w:r>
        <w:rPr>
          <w:rFonts w:hint="eastAsia" w:ascii="宋体" w:hAnsi="宋体"/>
          <w:color w:val="auto"/>
          <w:sz w:val="24"/>
          <w:szCs w:val="24"/>
          <w:highlight w:val="none"/>
        </w:rPr>
        <w:t>预付款</w:t>
      </w:r>
      <w:bookmarkEnd w:id="539"/>
      <w:bookmarkEnd w:id="540"/>
      <w:bookmarkEnd w:id="541"/>
      <w:bookmarkEnd w:id="542"/>
      <w:bookmarkEnd w:id="543"/>
      <w:bookmarkEnd w:id="544"/>
    </w:p>
    <w:p w14:paraId="73D3697C">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12.2.1</w:t>
      </w:r>
      <w:r>
        <w:rPr>
          <w:rFonts w:hint="eastAsia" w:ascii="宋体" w:hAnsi="宋体"/>
          <w:color w:val="auto"/>
          <w:sz w:val="24"/>
          <w:szCs w:val="24"/>
          <w:highlight w:val="none"/>
        </w:rPr>
        <w:t>预付款的支付</w:t>
      </w:r>
    </w:p>
    <w:p w14:paraId="7E66B92E">
      <w:pPr>
        <w:keepNext w:val="0"/>
        <w:keepLines w:val="0"/>
        <w:pageBreakBefore w:val="0"/>
        <w:widowControl/>
        <w:spacing w:line="360" w:lineRule="auto"/>
        <w:ind w:left="0" w:right="0" w:firstLine="480"/>
        <w:jc w:val="left"/>
        <w:rPr>
          <w:rFonts w:hint="eastAsia" w:ascii="宋体" w:hAnsi="宋体" w:eastAsia="宋体" w:cs="Times New Roman"/>
          <w:b/>
          <w:bCs/>
          <w:color w:val="auto"/>
          <w:sz w:val="24"/>
          <w:szCs w:val="24"/>
          <w:highlight w:val="none"/>
          <w:lang w:val="en-US" w:eastAsia="zh-CN"/>
        </w:rPr>
      </w:pPr>
      <w:r>
        <w:rPr>
          <w:rFonts w:hint="eastAsia" w:ascii="宋体" w:hAnsi="宋体"/>
          <w:b/>
          <w:bCs/>
          <w:color w:val="auto"/>
          <w:sz w:val="24"/>
          <w:szCs w:val="24"/>
          <w:highlight w:val="none"/>
        </w:rPr>
        <w:t>预付款支付比例或金额：</w:t>
      </w:r>
      <w:r>
        <w:rPr>
          <w:rFonts w:hint="eastAsia" w:ascii="宋体" w:hAnsi="宋体"/>
          <w:b/>
          <w:bCs/>
          <w:color w:val="auto"/>
          <w:sz w:val="24"/>
          <w:szCs w:val="24"/>
          <w:highlight w:val="none"/>
          <w:u w:val="single"/>
          <w:lang w:val="en-US" w:eastAsia="zh-CN"/>
        </w:rPr>
        <w:t>发包人向承包人预付工程款为签约合同价（扣除合同价中暂列金额、暂估价项目）的10%（凭承包人出具正规发票）</w:t>
      </w:r>
    </w:p>
    <w:p w14:paraId="17A1CE2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none"/>
        </w:rPr>
        <w:t>预付款支付期限：</w:t>
      </w:r>
      <w:r>
        <w:rPr>
          <w:rFonts w:hint="eastAsia" w:ascii="宋体" w:hAnsi="宋体" w:eastAsia="宋体" w:cs="宋体"/>
          <w:b/>
          <w:bCs/>
          <w:color w:val="auto"/>
          <w:highlight w:val="none"/>
          <w:u w:val="single"/>
        </w:rPr>
        <w:t>合同签订后，进场后7个工作日内</w:t>
      </w:r>
      <w:r>
        <w:rPr>
          <w:rFonts w:hint="eastAsia" w:ascii="宋体" w:hAnsi="宋体" w:eastAsia="宋体" w:cs="宋体"/>
          <w:b/>
          <w:bCs/>
          <w:color w:val="auto"/>
          <w:highlight w:val="none"/>
          <w:u w:val="none"/>
        </w:rPr>
        <w:t>。</w:t>
      </w:r>
    </w:p>
    <w:p w14:paraId="3583A38F">
      <w:pPr>
        <w:keepNext w:val="0"/>
        <w:keepLines w:val="0"/>
        <w:pageBreakBefore w:val="0"/>
        <w:widowControl w:val="0"/>
        <w:spacing w:line="360" w:lineRule="auto"/>
        <w:ind w:left="0" w:right="0" w:firstLine="480"/>
        <w:jc w:val="left"/>
        <w:rPr>
          <w:rFonts w:ascii="宋体" w:hAnsi="宋体"/>
          <w:b/>
          <w:bCs/>
          <w:color w:val="auto"/>
          <w:sz w:val="24"/>
          <w:szCs w:val="24"/>
          <w:highlight w:val="none"/>
        </w:rPr>
      </w:pPr>
      <w:r>
        <w:rPr>
          <w:rFonts w:hint="eastAsia" w:ascii="宋体" w:hAnsi="宋体"/>
          <w:b/>
          <w:bCs/>
          <w:color w:val="auto"/>
          <w:sz w:val="24"/>
          <w:szCs w:val="24"/>
          <w:highlight w:val="none"/>
        </w:rPr>
        <w:t>预付款扣回的方式：</w:t>
      </w:r>
      <w:r>
        <w:rPr>
          <w:rFonts w:hint="eastAsia" w:ascii="宋体" w:hAnsi="宋体"/>
          <w:b/>
          <w:bCs/>
          <w:color w:val="auto"/>
          <w:sz w:val="24"/>
          <w:szCs w:val="24"/>
          <w:highlight w:val="none"/>
          <w:u w:val="single"/>
        </w:rPr>
        <w:t>不扣回，直接视为进度款</w:t>
      </w:r>
      <w:r>
        <w:rPr>
          <w:rFonts w:hint="eastAsia" w:ascii="宋体" w:hAnsi="宋体"/>
          <w:b/>
          <w:bCs/>
          <w:color w:val="auto"/>
          <w:sz w:val="24"/>
          <w:szCs w:val="24"/>
          <w:highlight w:val="none"/>
        </w:rPr>
        <w:t>。</w:t>
      </w:r>
    </w:p>
    <w:p w14:paraId="1F172661">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12.2.2</w:t>
      </w:r>
      <w:r>
        <w:rPr>
          <w:rFonts w:hint="eastAsia" w:ascii="宋体" w:hAnsi="宋体"/>
          <w:color w:val="auto"/>
          <w:sz w:val="24"/>
          <w:szCs w:val="24"/>
          <w:highlight w:val="none"/>
        </w:rPr>
        <w:t>预付款担保</w:t>
      </w:r>
    </w:p>
    <w:p w14:paraId="62B816AF">
      <w:pPr>
        <w:keepNext w:val="0"/>
        <w:keepLines w:val="0"/>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承包人提交预付款担保的期限</w:t>
      </w:r>
      <w:r>
        <w:rPr>
          <w:rFonts w:hint="eastAsia" w:ascii="宋体" w:hAnsi="宋体"/>
          <w:color w:val="auto"/>
          <w:sz w:val="24"/>
          <w:szCs w:val="24"/>
          <w:highlight w:val="none"/>
          <w:u w:val="single"/>
        </w:rPr>
        <w:t>：</w:t>
      </w:r>
      <w:r>
        <w:rPr>
          <w:rFonts w:hint="eastAsia" w:ascii="宋体" w:hAnsi="宋体"/>
          <w:b/>
          <w:bCs/>
          <w:color w:val="auto"/>
          <w:sz w:val="24"/>
          <w:szCs w:val="24"/>
          <w:highlight w:val="none"/>
          <w:u w:val="single"/>
          <w:lang w:val="en-US" w:eastAsia="zh-CN"/>
        </w:rPr>
        <w:t>/</w:t>
      </w:r>
      <w:r>
        <w:rPr>
          <w:rFonts w:hint="eastAsia" w:ascii="宋体" w:hAnsi="宋体"/>
          <w:b/>
          <w:bCs/>
          <w:color w:val="auto"/>
          <w:sz w:val="24"/>
          <w:szCs w:val="24"/>
          <w:highlight w:val="none"/>
        </w:rPr>
        <w:t>。</w:t>
      </w:r>
    </w:p>
    <w:p w14:paraId="23C4D94A">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预付款担保的形式为：</w:t>
      </w:r>
      <w:r>
        <w:rPr>
          <w:rFonts w:hint="eastAsia" w:ascii="宋体" w:hAnsi="宋体"/>
          <w:b/>
          <w:bCs/>
          <w:color w:val="auto"/>
          <w:sz w:val="24"/>
          <w:szCs w:val="24"/>
          <w:highlight w:val="none"/>
          <w:u w:val="single"/>
          <w:lang w:val="en-US" w:eastAsia="zh-CN"/>
        </w:rPr>
        <w:t>/</w:t>
      </w:r>
      <w:r>
        <w:rPr>
          <w:rFonts w:hint="eastAsia" w:ascii="宋体" w:hAnsi="宋体"/>
          <w:b/>
          <w:bCs/>
          <w:color w:val="auto"/>
          <w:sz w:val="24"/>
          <w:szCs w:val="24"/>
          <w:highlight w:val="none"/>
          <w:u w:val="single"/>
        </w:rPr>
        <w:t>。</w:t>
      </w:r>
      <w:bookmarkEnd w:id="545"/>
      <w:bookmarkEnd w:id="546"/>
      <w:bookmarkEnd w:id="547"/>
      <w:bookmarkEnd w:id="548"/>
      <w:bookmarkEnd w:id="549"/>
      <w:bookmarkEnd w:id="550"/>
      <w:bookmarkEnd w:id="551"/>
      <w:bookmarkEnd w:id="552"/>
      <w:bookmarkEnd w:id="553"/>
      <w:bookmarkEnd w:id="554"/>
    </w:p>
    <w:p w14:paraId="0AE28B26">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12.3</w:t>
      </w:r>
      <w:r>
        <w:rPr>
          <w:rFonts w:hint="eastAsia" w:ascii="宋体" w:hAnsi="宋体"/>
          <w:color w:val="auto"/>
          <w:sz w:val="24"/>
          <w:szCs w:val="24"/>
          <w:highlight w:val="none"/>
        </w:rPr>
        <w:t>计量</w:t>
      </w:r>
    </w:p>
    <w:p w14:paraId="357A9849">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12.3.1</w:t>
      </w:r>
      <w:r>
        <w:rPr>
          <w:rFonts w:hint="eastAsia" w:ascii="宋体" w:hAnsi="宋体"/>
          <w:color w:val="auto"/>
          <w:sz w:val="24"/>
          <w:szCs w:val="24"/>
          <w:highlight w:val="none"/>
        </w:rPr>
        <w:t>计量原则</w:t>
      </w:r>
    </w:p>
    <w:p w14:paraId="7A655A1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工程量计算规则：</w:t>
      </w:r>
      <w:r>
        <w:rPr>
          <w:rFonts w:hint="eastAsia" w:ascii="宋体" w:hAnsi="宋体"/>
          <w:color w:val="auto"/>
          <w:sz w:val="24"/>
          <w:szCs w:val="24"/>
          <w:highlight w:val="none"/>
          <w:u w:val="single"/>
        </w:rPr>
        <w:t>按照《工程量计算规范》执行</w:t>
      </w:r>
      <w:r>
        <w:rPr>
          <w:rFonts w:hint="eastAsia" w:ascii="宋体" w:hAnsi="宋体"/>
          <w:color w:val="auto"/>
          <w:sz w:val="24"/>
          <w:szCs w:val="24"/>
          <w:highlight w:val="none"/>
        </w:rPr>
        <w:t>。</w:t>
      </w:r>
    </w:p>
    <w:p w14:paraId="52708CF4">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12.3.2</w:t>
      </w:r>
      <w:r>
        <w:rPr>
          <w:rFonts w:hint="eastAsia" w:ascii="宋体" w:hAnsi="宋体"/>
          <w:color w:val="auto"/>
          <w:sz w:val="24"/>
          <w:szCs w:val="24"/>
          <w:highlight w:val="none"/>
        </w:rPr>
        <w:t>计量周期</w:t>
      </w:r>
    </w:p>
    <w:p w14:paraId="27B9545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关于计量周期的约定：</w:t>
      </w:r>
      <w:r>
        <w:rPr>
          <w:rFonts w:hint="eastAsia" w:ascii="宋体" w:hAnsi="宋体"/>
          <w:color w:val="auto"/>
          <w:sz w:val="24"/>
          <w:szCs w:val="24"/>
          <w:highlight w:val="none"/>
          <w:u w:val="single"/>
        </w:rPr>
        <w:t>按节点计量</w:t>
      </w:r>
      <w:r>
        <w:rPr>
          <w:rFonts w:hint="eastAsia" w:ascii="宋体" w:hAnsi="宋体"/>
          <w:color w:val="auto"/>
          <w:sz w:val="24"/>
          <w:szCs w:val="24"/>
          <w:highlight w:val="none"/>
        </w:rPr>
        <w:t>。</w:t>
      </w:r>
    </w:p>
    <w:p w14:paraId="6E7AC2C2">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12.3.3</w:t>
      </w:r>
      <w:r>
        <w:rPr>
          <w:rFonts w:hint="eastAsia" w:ascii="宋体" w:hAnsi="宋体"/>
          <w:color w:val="auto"/>
          <w:sz w:val="24"/>
          <w:szCs w:val="24"/>
          <w:highlight w:val="none"/>
        </w:rPr>
        <w:t>单价合同的计量</w:t>
      </w:r>
    </w:p>
    <w:p w14:paraId="03B16C0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关于单价合同计量的约定：</w:t>
      </w:r>
      <w:r>
        <w:rPr>
          <w:rFonts w:hint="eastAsia" w:ascii="宋体" w:hAnsi="宋体"/>
          <w:color w:val="auto"/>
          <w:sz w:val="24"/>
          <w:szCs w:val="24"/>
          <w:highlight w:val="none"/>
          <w:u w:val="single"/>
        </w:rPr>
        <w:t>按照《建设工程工程量清单计价规范》第8.2条执行</w:t>
      </w:r>
      <w:r>
        <w:rPr>
          <w:rFonts w:hint="eastAsia" w:ascii="宋体" w:hAnsi="宋体"/>
          <w:color w:val="auto"/>
          <w:sz w:val="24"/>
          <w:szCs w:val="24"/>
          <w:highlight w:val="none"/>
        </w:rPr>
        <w:t>。</w:t>
      </w:r>
    </w:p>
    <w:p w14:paraId="6527BD93">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12.3.4</w:t>
      </w:r>
      <w:r>
        <w:rPr>
          <w:rFonts w:hint="eastAsia" w:ascii="宋体" w:hAnsi="宋体"/>
          <w:color w:val="auto"/>
          <w:sz w:val="24"/>
          <w:szCs w:val="24"/>
          <w:highlight w:val="none"/>
        </w:rPr>
        <w:t>总价合同的计量</w:t>
      </w:r>
    </w:p>
    <w:p w14:paraId="3E89E36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关于总价合同计量的约定：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4C78A3A4">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12.3.5</w:t>
      </w:r>
      <w:r>
        <w:rPr>
          <w:rFonts w:hint="eastAsia" w:ascii="宋体" w:hAnsi="宋体"/>
          <w:color w:val="auto"/>
          <w:sz w:val="24"/>
          <w:szCs w:val="24"/>
          <w:highlight w:val="none"/>
        </w:rPr>
        <w:t>总价合同采用支付分解表计量支付的，是否适用第</w:t>
      </w:r>
      <w:r>
        <w:rPr>
          <w:rFonts w:ascii="宋体" w:hAnsi="宋体"/>
          <w:color w:val="auto"/>
          <w:sz w:val="24"/>
          <w:szCs w:val="24"/>
          <w:highlight w:val="none"/>
        </w:rPr>
        <w:t>12.3.4</w:t>
      </w:r>
      <w:r>
        <w:rPr>
          <w:rFonts w:hint="eastAsia" w:ascii="宋体" w:hAnsi="宋体"/>
          <w:color w:val="auto"/>
          <w:sz w:val="24"/>
          <w:szCs w:val="24"/>
          <w:highlight w:val="none"/>
        </w:rPr>
        <w:t>项〔总价合同的计量〕约定进行计量：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456CDAB7">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12.3.6</w:t>
      </w:r>
      <w:r>
        <w:rPr>
          <w:rFonts w:hint="eastAsia" w:ascii="宋体" w:hAnsi="宋体"/>
          <w:color w:val="auto"/>
          <w:sz w:val="24"/>
          <w:szCs w:val="24"/>
          <w:highlight w:val="none"/>
        </w:rPr>
        <w:t>其他价格形式合同的计量</w:t>
      </w:r>
    </w:p>
    <w:p w14:paraId="208E519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其他价格形式的计量方式和程序：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981506F">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12.4</w:t>
      </w:r>
      <w:r>
        <w:rPr>
          <w:rFonts w:hint="eastAsia" w:ascii="宋体" w:hAnsi="宋体"/>
          <w:color w:val="auto"/>
          <w:sz w:val="24"/>
          <w:szCs w:val="24"/>
          <w:highlight w:val="none"/>
        </w:rPr>
        <w:t>工程进度款支付</w:t>
      </w:r>
    </w:p>
    <w:p w14:paraId="564A8DFC">
      <w:pPr>
        <w:pageBreakBefore w:val="0"/>
        <w:widowControl w:val="0"/>
        <w:spacing w:line="360" w:lineRule="auto"/>
        <w:ind w:left="0" w:right="0" w:firstLine="480"/>
        <w:jc w:val="left"/>
        <w:rPr>
          <w:rFonts w:ascii="宋体" w:hAnsi="宋体"/>
          <w:color w:val="auto"/>
          <w:sz w:val="24"/>
          <w:szCs w:val="24"/>
          <w:highlight w:val="none"/>
        </w:rPr>
      </w:pPr>
      <w:bookmarkStart w:id="555" w:name="_Toc296503211"/>
      <w:bookmarkStart w:id="556" w:name="_Toc292559416"/>
      <w:bookmarkStart w:id="557" w:name="_Toc296347210"/>
      <w:bookmarkStart w:id="558" w:name="_Toc296891039"/>
      <w:bookmarkStart w:id="559" w:name="_Toc296891251"/>
      <w:bookmarkStart w:id="560" w:name="_Toc296944550"/>
      <w:bookmarkStart w:id="561" w:name="_Toc303539163"/>
      <w:bookmarkStart w:id="562" w:name="_Toc297048397"/>
      <w:bookmarkStart w:id="563" w:name="_Toc297120511"/>
      <w:bookmarkStart w:id="564" w:name="_Toc297216215"/>
      <w:bookmarkStart w:id="565" w:name="_Toc300935006"/>
      <w:bookmarkStart w:id="566" w:name="_Toc297123556"/>
      <w:bookmarkStart w:id="567" w:name="_Toc296346712"/>
      <w:bookmarkStart w:id="568" w:name="_Toc292559921"/>
      <w:r>
        <w:rPr>
          <w:rFonts w:ascii="宋体" w:hAnsi="宋体"/>
          <w:color w:val="auto"/>
          <w:sz w:val="24"/>
          <w:szCs w:val="24"/>
          <w:highlight w:val="none"/>
        </w:rPr>
        <w:t>12.4.1</w:t>
      </w:r>
      <w:r>
        <w:rPr>
          <w:rFonts w:hint="eastAsia" w:ascii="宋体" w:hAnsi="宋体"/>
          <w:color w:val="auto"/>
          <w:sz w:val="24"/>
          <w:szCs w:val="24"/>
          <w:highlight w:val="none"/>
        </w:rPr>
        <w:t>付款周期</w:t>
      </w:r>
    </w:p>
    <w:p w14:paraId="44B4175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关于付款周期的约定：</w:t>
      </w:r>
    </w:p>
    <w:p w14:paraId="3E9D20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2" w:firstLineChars="200"/>
        <w:jc w:val="left"/>
        <w:textAlignment w:val="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合同签订后，进场后7个工作日内，</w:t>
      </w:r>
      <w:r>
        <w:rPr>
          <w:rFonts w:hint="eastAsia" w:ascii="宋体" w:hAnsi="宋体"/>
          <w:b/>
          <w:bCs/>
          <w:color w:val="auto"/>
          <w:sz w:val="24"/>
          <w:szCs w:val="24"/>
          <w:highlight w:val="none"/>
          <w:lang w:val="en-US" w:eastAsia="zh-CN"/>
        </w:rPr>
        <w:t>发包人向承包人预付工程款为签约合同价（扣除合同价中暂列金额、暂估价项目）的10%；</w:t>
      </w:r>
      <w:r>
        <w:rPr>
          <w:rFonts w:hint="eastAsia" w:ascii="宋体" w:hAnsi="宋体"/>
          <w:b/>
          <w:bCs/>
          <w:color w:val="auto"/>
          <w:sz w:val="24"/>
          <w:szCs w:val="24"/>
          <w:highlight w:val="none"/>
          <w:lang w:eastAsia="zh-CN"/>
        </w:rPr>
        <w:t>工程完工并验收合格，承包人必须按发包人要求提供完整、有效的竣工资料交付齐全、正确、有效、手续完备后付至已完成合格工程量价款的80%，审计结束支付至审定价款的97%；留3%质保金，待缺陷责任期满后支付到审计价款的100%。</w:t>
      </w:r>
    </w:p>
    <w:p w14:paraId="34B403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2" w:firstLineChars="200"/>
        <w:jc w:val="left"/>
        <w:textAlignment w:val="auto"/>
        <w:rPr>
          <w:rFonts w:hint="eastAsia" w:ascii="宋体" w:hAnsi="宋体"/>
          <w:color w:val="auto"/>
          <w:sz w:val="24"/>
          <w:szCs w:val="24"/>
          <w:highlight w:val="none"/>
          <w:lang w:eastAsia="zh-CN"/>
        </w:rPr>
      </w:pPr>
      <w:r>
        <w:rPr>
          <w:rFonts w:hint="eastAsia" w:ascii="宋体" w:hAnsi="宋体"/>
          <w:b/>
          <w:bCs/>
          <w:color w:val="auto"/>
          <w:sz w:val="24"/>
          <w:szCs w:val="24"/>
          <w:highlight w:val="none"/>
          <w:lang w:eastAsia="zh-CN"/>
        </w:rPr>
        <w:t>工程施工进行中每笔工程付款承包人必须开具正式增值税发票（自增值税发票日期后10个工作日内付款），否则不予付款。</w:t>
      </w:r>
    </w:p>
    <w:p w14:paraId="3BD72D95">
      <w:pPr>
        <w:pageBreakBefore w:val="0"/>
        <w:widowControl w:val="0"/>
        <w:numPr>
          <w:ilvl w:val="0"/>
          <w:numId w:val="0"/>
        </w:numPr>
        <w:spacing w:line="360" w:lineRule="auto"/>
        <w:ind w:left="360" w:right="0"/>
        <w:jc w:val="left"/>
        <w:rPr>
          <w:rFonts w:ascii="宋体" w:hAnsi="宋体"/>
          <w:color w:val="auto"/>
          <w:sz w:val="24"/>
          <w:szCs w:val="24"/>
          <w:highlight w:val="none"/>
        </w:rPr>
      </w:pPr>
      <w:r>
        <w:rPr>
          <w:rFonts w:ascii="宋体" w:hAnsi="宋体"/>
          <w:color w:val="auto"/>
          <w:sz w:val="24"/>
          <w:szCs w:val="24"/>
          <w:highlight w:val="none"/>
        </w:rPr>
        <w:t>12.4.2</w:t>
      </w:r>
      <w:r>
        <w:rPr>
          <w:rFonts w:hint="eastAsia" w:ascii="宋体" w:hAnsi="宋体"/>
          <w:color w:val="auto"/>
          <w:sz w:val="24"/>
          <w:szCs w:val="24"/>
          <w:highlight w:val="none"/>
        </w:rPr>
        <w:t>进度付款申请单的编制</w:t>
      </w:r>
    </w:p>
    <w:p w14:paraId="2A25AED1">
      <w:pPr>
        <w:pageBreakBefore w:val="0"/>
        <w:widowControl w:val="0"/>
        <w:spacing w:line="360" w:lineRule="auto"/>
        <w:ind w:left="0" w:right="0" w:firstLine="360"/>
        <w:jc w:val="left"/>
        <w:rPr>
          <w:rFonts w:ascii="宋体" w:hAnsi="宋体"/>
          <w:color w:val="auto"/>
          <w:sz w:val="24"/>
          <w:szCs w:val="24"/>
          <w:highlight w:val="none"/>
        </w:rPr>
      </w:pPr>
      <w:r>
        <w:rPr>
          <w:rFonts w:hint="eastAsia" w:ascii="宋体" w:hAnsi="宋体"/>
          <w:color w:val="auto"/>
          <w:sz w:val="24"/>
          <w:szCs w:val="24"/>
          <w:highlight w:val="none"/>
        </w:rPr>
        <w:t>关于进度付款申请单编制的约定：</w:t>
      </w:r>
      <w:r>
        <w:rPr>
          <w:rFonts w:hint="eastAsia" w:ascii="宋体" w:hAnsi="宋体"/>
          <w:color w:val="auto"/>
          <w:sz w:val="24"/>
          <w:szCs w:val="24"/>
          <w:highlight w:val="none"/>
          <w:u w:val="single"/>
        </w:rPr>
        <w:t>不含工程变更、签证、索赔费用</w:t>
      </w:r>
      <w:r>
        <w:rPr>
          <w:rFonts w:hint="eastAsia" w:ascii="宋体" w:hAnsi="宋体"/>
          <w:color w:val="auto"/>
          <w:sz w:val="24"/>
          <w:szCs w:val="24"/>
          <w:highlight w:val="none"/>
        </w:rPr>
        <w:t>。</w:t>
      </w:r>
    </w:p>
    <w:p w14:paraId="2FA067B7">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r>
        <w:rPr>
          <w:rFonts w:ascii="宋体" w:hAnsi="宋体"/>
          <w:color w:val="auto"/>
          <w:sz w:val="24"/>
          <w:szCs w:val="24"/>
          <w:highlight w:val="none"/>
        </w:rPr>
        <w:t>2.4.3</w:t>
      </w:r>
      <w:r>
        <w:rPr>
          <w:rFonts w:hint="eastAsia" w:ascii="宋体" w:hAnsi="宋体"/>
          <w:color w:val="auto"/>
          <w:sz w:val="24"/>
          <w:szCs w:val="24"/>
          <w:highlight w:val="none"/>
        </w:rPr>
        <w:t>进度付款申请单的提交</w:t>
      </w:r>
    </w:p>
    <w:p w14:paraId="37FDD7D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）单价合同进度付款申请单提交的约定：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8FEB84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）总价合同进度付款申请单提交的约定：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E49E22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）其他价格形式合同进度付款申请单提交的约定：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657D6FE">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12.4.4</w:t>
      </w:r>
      <w:r>
        <w:rPr>
          <w:rFonts w:hint="eastAsia" w:ascii="宋体" w:hAnsi="宋体"/>
          <w:color w:val="auto"/>
          <w:sz w:val="24"/>
          <w:szCs w:val="24"/>
          <w:highlight w:val="none"/>
        </w:rPr>
        <w:t>进度款审核和支付</w:t>
      </w:r>
    </w:p>
    <w:p w14:paraId="11BC2B95">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）监理人审查并报送发包人的期限：</w:t>
      </w:r>
      <w:r>
        <w:rPr>
          <w:rFonts w:ascii="宋体" w:hAnsi="宋体"/>
          <w:color w:val="auto"/>
          <w:sz w:val="24"/>
          <w:szCs w:val="24"/>
          <w:highlight w:val="none"/>
          <w:u w:val="single"/>
        </w:rPr>
        <w:t>在收到承包人进度付款申请单以及相关资料后7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内完成</w:t>
      </w:r>
      <w:r>
        <w:rPr>
          <w:rFonts w:hint="eastAsia" w:ascii="宋体" w:hAnsi="宋体"/>
          <w:color w:val="auto"/>
          <w:sz w:val="24"/>
          <w:szCs w:val="24"/>
          <w:highlight w:val="none"/>
        </w:rPr>
        <w:t>。</w:t>
      </w:r>
    </w:p>
    <w:p w14:paraId="48882017">
      <w:pPr>
        <w:pageBreakBefore w:val="0"/>
        <w:widowControl w:val="0"/>
        <w:spacing w:line="360" w:lineRule="auto"/>
        <w:ind w:left="0" w:right="0"/>
        <w:jc w:val="left"/>
        <w:rPr>
          <w:rFonts w:ascii="宋体" w:hAnsi="宋体"/>
          <w:color w:val="auto"/>
          <w:sz w:val="24"/>
          <w:szCs w:val="24"/>
          <w:highlight w:val="none"/>
        </w:rPr>
      </w:pPr>
      <w:r>
        <w:rPr>
          <w:rFonts w:hint="eastAsia" w:ascii="宋体" w:hAnsi="宋体"/>
          <w:color w:val="auto"/>
          <w:sz w:val="24"/>
          <w:szCs w:val="24"/>
          <w:highlight w:val="none"/>
        </w:rPr>
        <w:t>发包人完成审批并签发进度款支付证书的期限：</w:t>
      </w:r>
      <w:r>
        <w:rPr>
          <w:rFonts w:ascii="宋体" w:hAnsi="宋体"/>
          <w:color w:val="auto"/>
          <w:sz w:val="24"/>
          <w:szCs w:val="24"/>
          <w:highlight w:val="none"/>
          <w:u w:val="single"/>
        </w:rPr>
        <w:t>在收到监理人报送的进度付款申请单及相关资料后7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w:t>
      </w:r>
      <w:r>
        <w:rPr>
          <w:rFonts w:ascii="宋体" w:hAnsi="宋体"/>
          <w:color w:val="auto"/>
          <w:sz w:val="24"/>
          <w:szCs w:val="24"/>
          <w:highlight w:val="none"/>
        </w:rPr>
        <w:t>。</w:t>
      </w:r>
    </w:p>
    <w:p w14:paraId="7111A09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）发包人支付进度款的期限：</w:t>
      </w:r>
      <w:r>
        <w:rPr>
          <w:rFonts w:ascii="宋体" w:hAnsi="宋体"/>
          <w:color w:val="auto"/>
          <w:sz w:val="24"/>
          <w:szCs w:val="24"/>
          <w:highlight w:val="none"/>
          <w:u w:val="single"/>
        </w:rPr>
        <w:t>在进度款支付证书签发后14天内完成支付</w:t>
      </w:r>
      <w:r>
        <w:rPr>
          <w:rFonts w:hint="eastAsia" w:ascii="宋体" w:hAnsi="宋体"/>
          <w:color w:val="auto"/>
          <w:sz w:val="24"/>
          <w:szCs w:val="24"/>
          <w:highlight w:val="none"/>
        </w:rPr>
        <w:t>。</w:t>
      </w:r>
    </w:p>
    <w:p w14:paraId="3C53A70A">
      <w:pPr>
        <w:pageBreakBefore w:val="0"/>
        <w:widowControl w:val="0"/>
        <w:spacing w:line="360" w:lineRule="auto"/>
        <w:ind w:left="0" w:right="0" w:firstLine="600"/>
        <w:jc w:val="left"/>
        <w:rPr>
          <w:rFonts w:ascii="宋体" w:hAnsi="宋体"/>
          <w:color w:val="auto"/>
          <w:sz w:val="24"/>
          <w:szCs w:val="24"/>
          <w:highlight w:val="none"/>
        </w:rPr>
      </w:pPr>
      <w:r>
        <w:rPr>
          <w:rFonts w:hint="eastAsia" w:ascii="宋体" w:hAnsi="宋体"/>
          <w:color w:val="auto"/>
          <w:sz w:val="24"/>
          <w:szCs w:val="24"/>
          <w:highlight w:val="none"/>
        </w:rPr>
        <w:t>发包人逾期支付进度款的违约金的计算方式：</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074E1FFB">
      <w:pPr>
        <w:pageBreakBefore w:val="0"/>
        <w:widowControl w:val="0"/>
        <w:spacing w:line="360" w:lineRule="auto"/>
        <w:ind w:left="0" w:right="0" w:firstLine="600"/>
        <w:jc w:val="left"/>
        <w:rPr>
          <w:rFonts w:ascii="宋体" w:hAnsi="宋体"/>
          <w:color w:val="auto"/>
          <w:sz w:val="24"/>
          <w:szCs w:val="24"/>
          <w:highlight w:val="none"/>
        </w:rPr>
      </w:pPr>
      <w:r>
        <w:rPr>
          <w:rFonts w:ascii="宋体" w:hAnsi="宋体"/>
          <w:color w:val="auto"/>
          <w:sz w:val="24"/>
          <w:szCs w:val="24"/>
          <w:highlight w:val="none"/>
        </w:rPr>
        <w:t>12.4.6</w:t>
      </w:r>
      <w:r>
        <w:rPr>
          <w:rFonts w:hint="eastAsia" w:ascii="宋体" w:hAnsi="宋体"/>
          <w:color w:val="auto"/>
          <w:sz w:val="24"/>
          <w:szCs w:val="24"/>
          <w:highlight w:val="none"/>
        </w:rPr>
        <w:t>支付分解表的编制</w:t>
      </w:r>
    </w:p>
    <w:p w14:paraId="236BD715">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、总价合同支付分解表的编制与审批：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5AA3B35">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、单价合同的总价项目支付分解表的编制与审批：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409"/>
    </w:p>
    <w:p w14:paraId="74676749">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569" w:name="_Toc297216223"/>
      <w:bookmarkStart w:id="570" w:name="_Toc296503219"/>
      <w:bookmarkStart w:id="571" w:name="_Toc296347218"/>
      <w:bookmarkStart w:id="572" w:name="_Toc304295593"/>
      <w:bookmarkStart w:id="573" w:name="_Toc292559424"/>
      <w:bookmarkStart w:id="574" w:name="_Toc351203645"/>
      <w:bookmarkStart w:id="575" w:name="_Toc296346720"/>
      <w:bookmarkStart w:id="576" w:name="_Toc292559929"/>
      <w:bookmarkStart w:id="577" w:name="_Toc297123564"/>
      <w:bookmarkStart w:id="578" w:name="_Toc296891259"/>
      <w:bookmarkStart w:id="579" w:name="_Toc297048405"/>
      <w:bookmarkStart w:id="580" w:name="_Toc312678053"/>
      <w:bookmarkStart w:id="581" w:name="_Toc300935015"/>
      <w:bookmarkStart w:id="582" w:name="_Toc296944558"/>
      <w:bookmarkStart w:id="583" w:name="_Toc296891047"/>
      <w:bookmarkStart w:id="584" w:name="_Toc297120519"/>
      <w:bookmarkStart w:id="585" w:name="_Toc303539172"/>
      <w:r>
        <w:rPr>
          <w:rFonts w:ascii="宋体" w:hAnsi="宋体"/>
          <w:b w:val="0"/>
          <w:color w:val="auto"/>
          <w:sz w:val="24"/>
          <w:szCs w:val="24"/>
          <w:highlight w:val="none"/>
        </w:rPr>
        <w:t>13.</w:t>
      </w:r>
      <w:r>
        <w:rPr>
          <w:rFonts w:hint="eastAsia" w:ascii="宋体" w:hAnsi="宋体"/>
          <w:b w:val="0"/>
          <w:color w:val="auto"/>
          <w:sz w:val="24"/>
          <w:szCs w:val="24"/>
          <w:highlight w:val="none"/>
        </w:rPr>
        <w:t>验收和工程试车</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008E998C">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13.1</w:t>
      </w:r>
      <w:r>
        <w:rPr>
          <w:rFonts w:hint="eastAsia" w:ascii="宋体" w:hAnsi="宋体"/>
          <w:color w:val="auto"/>
          <w:sz w:val="24"/>
          <w:szCs w:val="24"/>
          <w:highlight w:val="none"/>
        </w:rPr>
        <w:t>分部分项工程验收</w:t>
      </w:r>
    </w:p>
    <w:p w14:paraId="139972D7">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13.1.2</w:t>
      </w:r>
      <w:r>
        <w:rPr>
          <w:rFonts w:hint="eastAsia" w:ascii="宋体" w:hAnsi="宋体"/>
          <w:color w:val="auto"/>
          <w:sz w:val="24"/>
          <w:szCs w:val="24"/>
          <w:highlight w:val="none"/>
        </w:rPr>
        <w:t>监理人不能按时进行验收时，应提前</w:t>
      </w:r>
      <w:r>
        <w:rPr>
          <w:rFonts w:hint="eastAsia" w:ascii="宋体" w:hAnsi="宋体"/>
          <w:color w:val="auto"/>
          <w:sz w:val="24"/>
          <w:szCs w:val="24"/>
          <w:highlight w:val="none"/>
          <w:u w:val="single"/>
        </w:rPr>
        <w:t>24</w:t>
      </w:r>
      <w:r>
        <w:rPr>
          <w:rFonts w:hint="eastAsia" w:ascii="宋体" w:hAnsi="宋体"/>
          <w:color w:val="auto"/>
          <w:sz w:val="24"/>
          <w:szCs w:val="24"/>
          <w:highlight w:val="none"/>
        </w:rPr>
        <w:t>小时提交书面延期要求。</w:t>
      </w:r>
    </w:p>
    <w:p w14:paraId="791B1675">
      <w:pPr>
        <w:pageBreakBefore w:val="0"/>
        <w:widowControl w:val="0"/>
        <w:spacing w:line="360" w:lineRule="auto"/>
        <w:ind w:left="0" w:right="0" w:firstLine="480"/>
        <w:jc w:val="left"/>
        <w:rPr>
          <w:rFonts w:ascii="宋体" w:hAnsi="宋体"/>
          <w:b/>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48</w:t>
      </w:r>
      <w:r>
        <w:rPr>
          <w:rFonts w:hint="eastAsia" w:ascii="宋体" w:hAnsi="宋体"/>
          <w:color w:val="auto"/>
          <w:sz w:val="24"/>
          <w:szCs w:val="24"/>
          <w:highlight w:val="none"/>
        </w:rPr>
        <w:t>小时。</w:t>
      </w:r>
    </w:p>
    <w:p w14:paraId="45311D40">
      <w:pPr>
        <w:pageBreakBefore w:val="0"/>
        <w:widowControl w:val="0"/>
        <w:spacing w:line="360" w:lineRule="auto"/>
        <w:ind w:left="0" w:right="0" w:firstLine="480"/>
        <w:rPr>
          <w:rFonts w:ascii="宋体" w:hAnsi="宋体"/>
          <w:color w:val="auto"/>
          <w:sz w:val="24"/>
          <w:szCs w:val="24"/>
          <w:highlight w:val="none"/>
        </w:rPr>
      </w:pPr>
      <w:bookmarkStart w:id="586" w:name="_Toc297120523"/>
      <w:bookmarkStart w:id="587" w:name="_Toc300935016"/>
      <w:bookmarkStart w:id="588" w:name="_Toc296891051"/>
      <w:bookmarkStart w:id="589" w:name="_Toc297123565"/>
      <w:bookmarkStart w:id="590" w:name="_Toc292559933"/>
      <w:bookmarkStart w:id="591" w:name="_Toc296944562"/>
      <w:bookmarkStart w:id="592" w:name="_Toc303539173"/>
      <w:bookmarkStart w:id="593" w:name="_Toc297048409"/>
      <w:bookmarkStart w:id="594" w:name="_Toc296891263"/>
      <w:bookmarkStart w:id="595" w:name="_Toc296347222"/>
      <w:bookmarkStart w:id="596" w:name="_Toc292559428"/>
      <w:bookmarkStart w:id="597" w:name="_Toc304295596"/>
      <w:bookmarkStart w:id="598" w:name="_Toc296503223"/>
      <w:bookmarkStart w:id="599" w:name="_Toc297216224"/>
      <w:bookmarkStart w:id="600" w:name="_Toc312678056"/>
      <w:bookmarkStart w:id="601" w:name="_Toc296346724"/>
      <w:bookmarkStart w:id="602" w:name="_Toc267251474"/>
      <w:bookmarkStart w:id="603" w:name="_Toc267251472"/>
      <w:bookmarkStart w:id="604" w:name="_Toc267251476"/>
      <w:bookmarkStart w:id="605" w:name="_Toc267251471"/>
      <w:bookmarkStart w:id="606" w:name="_Toc267251473"/>
      <w:bookmarkStart w:id="607" w:name="_Toc267251475"/>
      <w:bookmarkStart w:id="608" w:name="_Toc267251470"/>
      <w:r>
        <w:rPr>
          <w:rFonts w:ascii="宋体" w:hAnsi="宋体"/>
          <w:color w:val="auto"/>
          <w:sz w:val="24"/>
          <w:szCs w:val="24"/>
          <w:highlight w:val="none"/>
        </w:rPr>
        <w:t>13.2</w:t>
      </w:r>
      <w:r>
        <w:rPr>
          <w:rFonts w:hint="eastAsia" w:ascii="宋体" w:hAnsi="宋体"/>
          <w:color w:val="auto"/>
          <w:sz w:val="24"/>
          <w:szCs w:val="24"/>
          <w:highlight w:val="none"/>
        </w:rPr>
        <w:t>竣工验收</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17163947">
      <w:pPr>
        <w:pageBreakBefore w:val="0"/>
        <w:widowControl w:val="0"/>
        <w:spacing w:line="360" w:lineRule="auto"/>
        <w:ind w:left="0" w:right="0" w:firstLine="480"/>
        <w:jc w:val="left"/>
        <w:rPr>
          <w:rFonts w:ascii="宋体" w:hAnsi="宋体"/>
          <w:color w:val="auto"/>
          <w:sz w:val="24"/>
          <w:szCs w:val="24"/>
          <w:highlight w:val="none"/>
        </w:rPr>
      </w:pPr>
      <w:bookmarkStart w:id="609" w:name="_Toc280868704"/>
      <w:bookmarkStart w:id="610" w:name="_Toc280868705"/>
      <w:bookmarkStart w:id="611" w:name="_Toc280868706"/>
      <w:bookmarkStart w:id="612" w:name="_Toc280868707"/>
      <w:bookmarkStart w:id="613" w:name="_Toc280868708"/>
      <w:bookmarkStart w:id="614" w:name="_Toc280868709"/>
      <w:r>
        <w:rPr>
          <w:rFonts w:ascii="宋体" w:hAnsi="宋体"/>
          <w:color w:val="auto"/>
          <w:sz w:val="24"/>
          <w:szCs w:val="24"/>
          <w:highlight w:val="none"/>
        </w:rPr>
        <w:t>13.2.2</w:t>
      </w:r>
      <w:r>
        <w:rPr>
          <w:rFonts w:hint="eastAsia" w:ascii="宋体" w:hAnsi="宋体"/>
          <w:color w:val="auto"/>
          <w:sz w:val="24"/>
          <w:szCs w:val="24"/>
          <w:highlight w:val="none"/>
        </w:rPr>
        <w:t>竣工验收程序</w:t>
      </w:r>
      <w:bookmarkEnd w:id="609"/>
    </w:p>
    <w:p w14:paraId="6F73CB4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关于竣工验收程序的约定：</w:t>
      </w:r>
      <w:r>
        <w:rPr>
          <w:rFonts w:hint="eastAsia" w:ascii="宋体" w:hAnsi="宋体"/>
          <w:color w:val="auto"/>
          <w:sz w:val="24"/>
          <w:szCs w:val="24"/>
          <w:highlight w:val="none"/>
          <w:u w:val="single"/>
        </w:rPr>
        <w:t>按通用条款执行</w:t>
      </w:r>
      <w:r>
        <w:rPr>
          <w:rFonts w:hint="eastAsia" w:ascii="宋体" w:hAnsi="宋体"/>
          <w:color w:val="auto"/>
          <w:sz w:val="24"/>
          <w:szCs w:val="24"/>
          <w:highlight w:val="none"/>
        </w:rPr>
        <w:t>。</w:t>
      </w:r>
    </w:p>
    <w:p w14:paraId="30D059B1">
      <w:pPr>
        <w:pageBreakBefore w:val="0"/>
        <w:widowControl w:val="0"/>
        <w:spacing w:line="360" w:lineRule="auto"/>
        <w:ind w:left="0" w:right="0" w:firstLine="480"/>
        <w:jc w:val="left"/>
        <w:rPr>
          <w:rFonts w:ascii="宋体" w:hAnsi="宋体"/>
          <w:color w:val="auto"/>
          <w:spacing w:val="-6"/>
          <w:sz w:val="24"/>
          <w:szCs w:val="24"/>
          <w:highlight w:val="none"/>
        </w:rPr>
      </w:pPr>
      <w:r>
        <w:rPr>
          <w:rFonts w:hint="eastAsia" w:ascii="宋体" w:hAnsi="宋体"/>
          <w:color w:val="auto"/>
          <w:spacing w:val="-6"/>
          <w:sz w:val="24"/>
          <w:szCs w:val="24"/>
          <w:highlight w:val="none"/>
        </w:rPr>
        <w:t>发包人不按照本项约定组织竣工验收、颁发工程接收证书的违约金的计算方法：</w:t>
      </w:r>
      <w:r>
        <w:rPr>
          <w:rFonts w:hint="eastAsia" w:ascii="宋体" w:hAnsi="宋体"/>
          <w:color w:val="auto"/>
          <w:spacing w:val="-6"/>
          <w:sz w:val="24"/>
          <w:szCs w:val="24"/>
          <w:highlight w:val="none"/>
          <w:u w:val="single"/>
        </w:rPr>
        <w:t>无</w:t>
      </w:r>
      <w:r>
        <w:rPr>
          <w:rFonts w:hint="eastAsia" w:ascii="宋体" w:hAnsi="宋体"/>
          <w:color w:val="auto"/>
          <w:spacing w:val="-6"/>
          <w:sz w:val="24"/>
          <w:szCs w:val="24"/>
          <w:highlight w:val="none"/>
        </w:rPr>
        <w:t>。</w:t>
      </w:r>
      <w:bookmarkEnd w:id="610"/>
    </w:p>
    <w:p w14:paraId="5719922D">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13.2.5</w:t>
      </w:r>
      <w:r>
        <w:rPr>
          <w:rFonts w:hint="eastAsia" w:ascii="宋体" w:hAnsi="宋体"/>
          <w:color w:val="auto"/>
          <w:sz w:val="24"/>
          <w:szCs w:val="24"/>
          <w:highlight w:val="none"/>
        </w:rPr>
        <w:t>移交、接收全部与部分工程</w:t>
      </w:r>
      <w:bookmarkEnd w:id="611"/>
    </w:p>
    <w:p w14:paraId="2B46113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承包人向发包人移交工程的期限：</w:t>
      </w:r>
      <w:r>
        <w:rPr>
          <w:rFonts w:ascii="宋体" w:hAnsi="宋体"/>
          <w:color w:val="auto"/>
          <w:sz w:val="24"/>
          <w:szCs w:val="24"/>
          <w:highlight w:val="none"/>
          <w:u w:val="single"/>
        </w:rPr>
        <w:t>在颁发工程接收证书</w:t>
      </w:r>
      <w:r>
        <w:rPr>
          <w:rFonts w:hint="eastAsia" w:ascii="宋体" w:hAnsi="宋体"/>
          <w:color w:val="auto"/>
          <w:sz w:val="24"/>
          <w:szCs w:val="24"/>
          <w:highlight w:val="none"/>
          <w:u w:val="single"/>
        </w:rPr>
        <w:t>后7日内</w:t>
      </w:r>
      <w:r>
        <w:rPr>
          <w:rFonts w:ascii="宋体" w:hAnsi="宋体"/>
          <w:color w:val="auto"/>
          <w:sz w:val="24"/>
          <w:szCs w:val="24"/>
          <w:highlight w:val="none"/>
          <w:u w:val="single"/>
        </w:rPr>
        <w:t>完成工程的移交</w:t>
      </w:r>
      <w:r>
        <w:rPr>
          <w:rFonts w:hint="eastAsia" w:ascii="宋体" w:hAnsi="宋体"/>
          <w:color w:val="auto"/>
          <w:sz w:val="24"/>
          <w:szCs w:val="24"/>
          <w:highlight w:val="none"/>
        </w:rPr>
        <w:t>。</w:t>
      </w:r>
    </w:p>
    <w:p w14:paraId="4375B4A2">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发包人未按本合同约定接收全部或部分工程的，违约金的计算方法为：</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bookmarkEnd w:id="612"/>
    </w:p>
    <w:p w14:paraId="5967BC4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承包人未按时移交工程的，违约金的计算方法为：</w:t>
      </w:r>
      <w:r>
        <w:rPr>
          <w:rFonts w:hint="eastAsia" w:ascii="宋体" w:hAnsi="宋体"/>
          <w:color w:val="auto"/>
          <w:sz w:val="24"/>
          <w:szCs w:val="24"/>
          <w:highlight w:val="none"/>
          <w:u w:val="single"/>
        </w:rPr>
        <w:t>每推迟一天，承包人赔偿给发包人合同价千分之二违约金</w:t>
      </w:r>
      <w:r>
        <w:rPr>
          <w:rFonts w:hint="eastAsia" w:ascii="宋体" w:hAnsi="宋体"/>
          <w:color w:val="auto"/>
          <w:sz w:val="24"/>
          <w:szCs w:val="24"/>
          <w:highlight w:val="none"/>
        </w:rPr>
        <w:t>。</w:t>
      </w:r>
    </w:p>
    <w:p w14:paraId="23B0BE33">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13.3</w:t>
      </w:r>
      <w:r>
        <w:rPr>
          <w:rFonts w:hint="eastAsia" w:ascii="宋体" w:hAnsi="宋体"/>
          <w:color w:val="auto"/>
          <w:sz w:val="24"/>
          <w:szCs w:val="24"/>
          <w:highlight w:val="none"/>
        </w:rPr>
        <w:t>工程试车</w:t>
      </w:r>
      <w:bookmarkEnd w:id="613"/>
    </w:p>
    <w:p w14:paraId="551C6FC8">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13.3.1</w:t>
      </w:r>
      <w:r>
        <w:rPr>
          <w:rFonts w:hint="eastAsia" w:ascii="宋体" w:hAnsi="宋体"/>
          <w:color w:val="auto"/>
          <w:sz w:val="24"/>
          <w:szCs w:val="24"/>
          <w:highlight w:val="none"/>
        </w:rPr>
        <w:t>试车程序</w:t>
      </w:r>
    </w:p>
    <w:p w14:paraId="6333416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工程试车内容：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F6E33F8">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）单机无负荷试车费用由</w:t>
      </w:r>
      <w:r>
        <w:rPr>
          <w:rFonts w:hint="eastAsia" w:ascii="宋体" w:hAnsi="宋体"/>
          <w:color w:val="auto"/>
          <w:sz w:val="24"/>
          <w:szCs w:val="24"/>
          <w:highlight w:val="none"/>
          <w:u w:val="single"/>
        </w:rPr>
        <w:t>/</w:t>
      </w:r>
      <w:r>
        <w:rPr>
          <w:rFonts w:hint="eastAsia" w:ascii="宋体" w:hAnsi="宋体"/>
          <w:color w:val="auto"/>
          <w:sz w:val="24"/>
          <w:szCs w:val="24"/>
          <w:highlight w:val="none"/>
        </w:rPr>
        <w:t>承担；</w:t>
      </w:r>
    </w:p>
    <w:p w14:paraId="64BD925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）无负荷联动试车费用由</w:t>
      </w:r>
      <w:r>
        <w:rPr>
          <w:rFonts w:hint="eastAsia" w:ascii="宋体" w:hAnsi="宋体"/>
          <w:color w:val="auto"/>
          <w:sz w:val="24"/>
          <w:szCs w:val="24"/>
          <w:highlight w:val="none"/>
          <w:u w:val="single"/>
        </w:rPr>
        <w:t>/</w:t>
      </w:r>
      <w:r>
        <w:rPr>
          <w:rFonts w:hint="eastAsia" w:ascii="宋体" w:hAnsi="宋体"/>
          <w:color w:val="auto"/>
          <w:sz w:val="24"/>
          <w:szCs w:val="24"/>
          <w:highlight w:val="none"/>
        </w:rPr>
        <w:t>承担。</w:t>
      </w:r>
    </w:p>
    <w:p w14:paraId="414B916C">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13.3.3</w:t>
      </w:r>
      <w:r>
        <w:rPr>
          <w:rFonts w:hint="eastAsia" w:ascii="宋体" w:hAnsi="宋体"/>
          <w:color w:val="auto"/>
          <w:sz w:val="24"/>
          <w:szCs w:val="24"/>
          <w:highlight w:val="none"/>
        </w:rPr>
        <w:t>投料试车</w:t>
      </w:r>
    </w:p>
    <w:p w14:paraId="29F43B0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关于投料试车相关事项的约定：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F346B35">
      <w:pPr>
        <w:pageBreakBefore w:val="0"/>
        <w:widowControl w:val="0"/>
        <w:spacing w:line="360" w:lineRule="auto"/>
        <w:ind w:left="0" w:right="0" w:firstLine="480"/>
        <w:outlineLvl w:val="0"/>
        <w:rPr>
          <w:rFonts w:ascii="宋体" w:hAnsi="宋体"/>
          <w:color w:val="auto"/>
          <w:sz w:val="24"/>
          <w:szCs w:val="24"/>
          <w:highlight w:val="none"/>
        </w:rPr>
      </w:pPr>
      <w:bookmarkStart w:id="615" w:name="_Toc14901"/>
      <w:bookmarkStart w:id="616" w:name="_Toc23978"/>
      <w:r>
        <w:rPr>
          <w:rFonts w:ascii="宋体" w:hAnsi="宋体"/>
          <w:color w:val="auto"/>
          <w:sz w:val="24"/>
          <w:szCs w:val="24"/>
          <w:highlight w:val="none"/>
        </w:rPr>
        <w:t>13.6</w:t>
      </w:r>
      <w:r>
        <w:rPr>
          <w:rFonts w:hint="eastAsia" w:ascii="宋体" w:hAnsi="宋体"/>
          <w:color w:val="auto"/>
          <w:sz w:val="24"/>
          <w:szCs w:val="24"/>
          <w:highlight w:val="none"/>
        </w:rPr>
        <w:t>竣工退场</w:t>
      </w:r>
      <w:bookmarkEnd w:id="615"/>
      <w:bookmarkEnd w:id="616"/>
    </w:p>
    <w:p w14:paraId="72A34F8A">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13.6.1</w:t>
      </w:r>
      <w:r>
        <w:rPr>
          <w:rFonts w:hint="eastAsia" w:ascii="宋体" w:hAnsi="宋体"/>
          <w:color w:val="auto"/>
          <w:sz w:val="24"/>
          <w:szCs w:val="24"/>
          <w:highlight w:val="none"/>
        </w:rPr>
        <w:t>竣工退场</w:t>
      </w:r>
    </w:p>
    <w:p w14:paraId="169C90F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承包人完成竣工退场的期限：</w:t>
      </w:r>
      <w:r>
        <w:rPr>
          <w:rFonts w:hint="eastAsia" w:ascii="宋体" w:hAnsi="宋体"/>
          <w:color w:val="auto"/>
          <w:sz w:val="24"/>
          <w:szCs w:val="24"/>
          <w:highlight w:val="none"/>
          <w:u w:val="single"/>
        </w:rPr>
        <w:t>在移交结束后7日内</w:t>
      </w:r>
      <w:r>
        <w:rPr>
          <w:rFonts w:ascii="宋体" w:hAnsi="宋体"/>
          <w:color w:val="auto"/>
          <w:sz w:val="24"/>
          <w:szCs w:val="24"/>
          <w:highlight w:val="none"/>
          <w:u w:val="single"/>
        </w:rPr>
        <w:t>完成</w:t>
      </w:r>
      <w:r>
        <w:rPr>
          <w:rFonts w:hint="eastAsia" w:ascii="宋体" w:hAnsi="宋体"/>
          <w:color w:val="auto"/>
          <w:sz w:val="24"/>
          <w:szCs w:val="24"/>
          <w:highlight w:val="none"/>
          <w:u w:val="single"/>
        </w:rPr>
        <w:t>竣工退场</w:t>
      </w:r>
      <w:r>
        <w:rPr>
          <w:rFonts w:hint="eastAsia" w:ascii="宋体" w:hAnsi="宋体"/>
          <w:color w:val="auto"/>
          <w:sz w:val="24"/>
          <w:szCs w:val="24"/>
          <w:highlight w:val="none"/>
        </w:rPr>
        <w:t>。</w:t>
      </w:r>
    </w:p>
    <w:p w14:paraId="38C8AAD0">
      <w:pPr>
        <w:pStyle w:val="173"/>
        <w:pageBreakBefore w:val="0"/>
        <w:widowControl w:val="0"/>
        <w:spacing w:before="0" w:after="0" w:line="360" w:lineRule="auto"/>
        <w:ind w:left="0" w:right="0" w:firstLine="0"/>
        <w:rPr>
          <w:rFonts w:hint="eastAsia" w:ascii="宋体" w:hAnsi="宋体" w:eastAsia="Arial" w:cs="Arial"/>
          <w:b w:val="0"/>
          <w:color w:val="auto"/>
          <w:sz w:val="24"/>
          <w:szCs w:val="24"/>
          <w:highlight w:val="none"/>
        </w:rPr>
      </w:pPr>
      <w:bookmarkStart w:id="617" w:name="_Toc351203646"/>
      <w:r>
        <w:rPr>
          <w:rFonts w:ascii="宋体" w:hAnsi="宋体" w:eastAsia="Arial" w:cs="Arial"/>
          <w:b w:val="0"/>
          <w:color w:val="auto"/>
          <w:sz w:val="24"/>
          <w:szCs w:val="24"/>
          <w:highlight w:val="none"/>
        </w:rPr>
        <w:t>14.</w:t>
      </w:r>
      <w:r>
        <w:rPr>
          <w:rFonts w:hint="eastAsia" w:ascii="宋体" w:hAnsi="宋体" w:eastAsia="Arial" w:cs="Arial"/>
          <w:b w:val="0"/>
          <w:color w:val="auto"/>
          <w:sz w:val="24"/>
          <w:szCs w:val="24"/>
          <w:highlight w:val="none"/>
        </w:rPr>
        <w:t>竣工结算</w:t>
      </w:r>
      <w:bookmarkEnd w:id="617"/>
    </w:p>
    <w:p w14:paraId="7CB658C9">
      <w:pPr>
        <w:pageBreakBefore w:val="0"/>
        <w:widowControl w:val="0"/>
        <w:spacing w:line="360" w:lineRule="auto"/>
        <w:ind w:left="0" w:right="0"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竣工结算计价方法和工程量计算规则执行《建设工程工程量清单计价规范》（</w:t>
      </w:r>
      <w:r>
        <w:rPr>
          <w:rFonts w:hint="eastAsia" w:ascii="宋体" w:hAnsi="宋体" w:cs="Times New Roman"/>
          <w:color w:val="auto"/>
          <w:sz w:val="24"/>
          <w:szCs w:val="24"/>
          <w:highlight w:val="none"/>
          <w:lang w:eastAsia="zh-CN"/>
        </w:rPr>
        <w:t>GB/T50500-2024</w:t>
      </w:r>
      <w:r>
        <w:rPr>
          <w:rFonts w:hint="eastAsia" w:ascii="宋体" w:hAnsi="宋体" w:eastAsia="宋体" w:cs="Times New Roman"/>
          <w:color w:val="auto"/>
          <w:sz w:val="24"/>
          <w:szCs w:val="24"/>
          <w:highlight w:val="none"/>
        </w:rPr>
        <w:t>）。承包人应如实申报竣工结算报告，工程结算值经最终审定后，核减率≤5%，审计费用由发包人承担；若核减率＞5%，</w:t>
      </w:r>
      <w:r>
        <w:rPr>
          <w:rFonts w:hint="eastAsia" w:ascii="宋体" w:hAnsi="宋体" w:cs="Times New Roman"/>
          <w:color w:val="auto"/>
          <w:sz w:val="24"/>
          <w:szCs w:val="24"/>
          <w:highlight w:val="none"/>
          <w:lang w:val="en-US" w:eastAsia="zh-CN"/>
        </w:rPr>
        <w:t>全部</w:t>
      </w:r>
      <w:r>
        <w:rPr>
          <w:rFonts w:hint="eastAsia" w:ascii="宋体" w:hAnsi="宋体" w:eastAsia="宋体" w:cs="Times New Roman"/>
          <w:color w:val="auto"/>
          <w:sz w:val="24"/>
          <w:szCs w:val="24"/>
          <w:highlight w:val="none"/>
        </w:rPr>
        <w:t>由承包人承担。</w:t>
      </w:r>
    </w:p>
    <w:p w14:paraId="30D924BF">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14.1</w:t>
      </w:r>
      <w:r>
        <w:rPr>
          <w:rFonts w:hint="eastAsia" w:ascii="宋体" w:hAnsi="宋体"/>
          <w:color w:val="auto"/>
          <w:sz w:val="24"/>
          <w:szCs w:val="24"/>
          <w:highlight w:val="none"/>
        </w:rPr>
        <w:t>竣工结算申请</w:t>
      </w:r>
    </w:p>
    <w:p w14:paraId="6D13E03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承包人提交竣工结算申请单的期限：</w:t>
      </w:r>
      <w:r>
        <w:rPr>
          <w:rFonts w:ascii="宋体" w:hAnsi="宋体"/>
          <w:color w:val="auto"/>
          <w:sz w:val="24"/>
          <w:szCs w:val="24"/>
          <w:highlight w:val="none"/>
          <w:u w:val="single"/>
        </w:rPr>
        <w:t>在工程竣工验收合格后28天内向发包人和监理人提交竣工结算申请单</w:t>
      </w:r>
      <w:r>
        <w:rPr>
          <w:rFonts w:hint="eastAsia" w:ascii="宋体" w:hAnsi="宋体"/>
          <w:color w:val="auto"/>
          <w:sz w:val="24"/>
          <w:szCs w:val="24"/>
          <w:highlight w:val="none"/>
        </w:rPr>
        <w:t>。</w:t>
      </w:r>
    </w:p>
    <w:p w14:paraId="3952EADF">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竣工结算申请单应包括的内容：</w:t>
      </w:r>
    </w:p>
    <w:p w14:paraId="23E74AA9">
      <w:pPr>
        <w:pageBreakBefore w:val="0"/>
        <w:widowControl w:val="0"/>
        <w:spacing w:line="360" w:lineRule="auto"/>
        <w:ind w:left="0" w:right="0" w:firstLine="480"/>
        <w:jc w:val="left"/>
        <w:rPr>
          <w:rFonts w:ascii="宋体" w:hAnsi="宋体"/>
          <w:color w:val="auto"/>
          <w:sz w:val="24"/>
          <w:szCs w:val="24"/>
          <w:highlight w:val="none"/>
          <w:u w:val="single"/>
        </w:rPr>
      </w:pPr>
      <w:r>
        <w:rPr>
          <w:rFonts w:ascii="宋体" w:hAnsi="宋体"/>
          <w:color w:val="auto"/>
          <w:sz w:val="24"/>
          <w:szCs w:val="24"/>
          <w:highlight w:val="none"/>
          <w:u w:val="single"/>
        </w:rPr>
        <w:t>（1）竣工结算合同价格；</w:t>
      </w:r>
    </w:p>
    <w:p w14:paraId="1EBACC3F">
      <w:pPr>
        <w:pageBreakBefore w:val="0"/>
        <w:widowControl w:val="0"/>
        <w:spacing w:line="360" w:lineRule="auto"/>
        <w:ind w:left="0" w:right="0" w:firstLine="480"/>
        <w:jc w:val="left"/>
        <w:rPr>
          <w:rFonts w:ascii="宋体" w:hAnsi="宋体"/>
          <w:color w:val="auto"/>
          <w:sz w:val="24"/>
          <w:szCs w:val="24"/>
          <w:highlight w:val="none"/>
          <w:u w:val="single"/>
        </w:rPr>
      </w:pPr>
      <w:r>
        <w:rPr>
          <w:rFonts w:ascii="宋体" w:hAnsi="宋体"/>
          <w:color w:val="auto"/>
          <w:sz w:val="24"/>
          <w:szCs w:val="24"/>
          <w:highlight w:val="none"/>
          <w:u w:val="single"/>
        </w:rPr>
        <w:t>（2）发包人已支付承包人的款项；</w:t>
      </w:r>
    </w:p>
    <w:p w14:paraId="67A9FE04">
      <w:pPr>
        <w:pageBreakBefore w:val="0"/>
        <w:widowControl w:val="0"/>
        <w:spacing w:line="360" w:lineRule="auto"/>
        <w:ind w:left="0" w:right="0" w:firstLine="480"/>
        <w:jc w:val="left"/>
        <w:rPr>
          <w:rFonts w:hint="eastAsia" w:ascii="宋体" w:hAnsi="宋体" w:eastAsia="宋体"/>
          <w:color w:val="auto"/>
          <w:sz w:val="24"/>
          <w:szCs w:val="24"/>
          <w:highlight w:val="none"/>
          <w:u w:val="single"/>
          <w:lang w:eastAsia="zh-CN"/>
        </w:rPr>
      </w:pPr>
      <w:r>
        <w:rPr>
          <w:rFonts w:ascii="宋体" w:hAnsi="宋体"/>
          <w:color w:val="auto"/>
          <w:sz w:val="24"/>
          <w:szCs w:val="24"/>
          <w:highlight w:val="none"/>
          <w:u w:val="single"/>
        </w:rPr>
        <w:t>（3）应扣留的质量保证金；</w:t>
      </w:r>
    </w:p>
    <w:p w14:paraId="32BEA15C">
      <w:pPr>
        <w:pageBreakBefore w:val="0"/>
        <w:widowControl w:val="0"/>
        <w:spacing w:line="360" w:lineRule="auto"/>
        <w:ind w:left="0" w:right="0" w:firstLine="480"/>
        <w:jc w:val="left"/>
        <w:rPr>
          <w:rFonts w:hint="eastAsia" w:ascii="宋体" w:hAnsi="宋体" w:eastAsia="宋体"/>
          <w:color w:val="auto"/>
          <w:sz w:val="24"/>
          <w:szCs w:val="24"/>
          <w:highlight w:val="none"/>
          <w:lang w:eastAsia="zh-CN"/>
        </w:rPr>
      </w:pPr>
      <w:r>
        <w:rPr>
          <w:rFonts w:ascii="宋体" w:hAnsi="宋体"/>
          <w:color w:val="auto"/>
          <w:sz w:val="24"/>
          <w:szCs w:val="24"/>
          <w:highlight w:val="none"/>
          <w:u w:val="single"/>
        </w:rPr>
        <w:t>（4）发包人应支付承包人的合同价款。</w:t>
      </w:r>
    </w:p>
    <w:p w14:paraId="5C68C9DF">
      <w:pPr>
        <w:pageBreakBefore w:val="0"/>
        <w:widowControl w:val="0"/>
        <w:spacing w:line="360" w:lineRule="auto"/>
        <w:ind w:left="0" w:right="0" w:firstLine="480"/>
        <w:outlineLvl w:val="0"/>
        <w:rPr>
          <w:rFonts w:ascii="宋体" w:hAnsi="宋体"/>
          <w:color w:val="auto"/>
          <w:sz w:val="24"/>
          <w:szCs w:val="24"/>
          <w:highlight w:val="none"/>
        </w:rPr>
      </w:pPr>
      <w:bookmarkStart w:id="618" w:name="_Toc28937"/>
      <w:bookmarkStart w:id="619" w:name="_Toc22987"/>
      <w:r>
        <w:rPr>
          <w:rFonts w:ascii="宋体" w:hAnsi="宋体"/>
          <w:color w:val="auto"/>
          <w:sz w:val="24"/>
          <w:szCs w:val="24"/>
          <w:highlight w:val="none"/>
        </w:rPr>
        <w:t>14.2</w:t>
      </w:r>
      <w:r>
        <w:rPr>
          <w:rFonts w:hint="eastAsia" w:ascii="宋体" w:hAnsi="宋体"/>
          <w:color w:val="auto"/>
          <w:sz w:val="24"/>
          <w:szCs w:val="24"/>
          <w:highlight w:val="none"/>
        </w:rPr>
        <w:t>竣工结算审核</w:t>
      </w:r>
      <w:bookmarkEnd w:id="618"/>
      <w:bookmarkEnd w:id="619"/>
    </w:p>
    <w:p w14:paraId="5730CFA5">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发包人审批竣工付款申请单的期限：</w:t>
      </w:r>
      <w:r>
        <w:rPr>
          <w:rFonts w:hint="eastAsia" w:ascii="宋体" w:hAnsi="宋体"/>
          <w:color w:val="auto"/>
          <w:sz w:val="24"/>
          <w:szCs w:val="24"/>
          <w:highlight w:val="none"/>
          <w:u w:val="single"/>
        </w:rPr>
        <w:t>发包人</w:t>
      </w:r>
      <w:r>
        <w:rPr>
          <w:rFonts w:ascii="宋体" w:hAnsi="宋体"/>
          <w:color w:val="auto"/>
          <w:sz w:val="24"/>
          <w:szCs w:val="24"/>
          <w:highlight w:val="none"/>
          <w:u w:val="single"/>
        </w:rPr>
        <w:t>收到承包人递交的竣工结算报告及完整</w:t>
      </w:r>
      <w:r>
        <w:rPr>
          <w:rFonts w:hint="eastAsia" w:ascii="宋体" w:hAnsi="宋体"/>
          <w:color w:val="auto"/>
          <w:sz w:val="24"/>
          <w:szCs w:val="24"/>
          <w:highlight w:val="none"/>
          <w:u w:val="single"/>
        </w:rPr>
        <w:t>的</w:t>
      </w:r>
      <w:r>
        <w:rPr>
          <w:rFonts w:ascii="宋体" w:hAnsi="宋体"/>
          <w:color w:val="auto"/>
          <w:sz w:val="24"/>
          <w:szCs w:val="24"/>
          <w:highlight w:val="none"/>
          <w:u w:val="single"/>
        </w:rPr>
        <w:t>竣工结算资料后</w:t>
      </w:r>
      <w:r>
        <w:rPr>
          <w:rFonts w:hint="eastAsia" w:ascii="宋体" w:hAnsi="宋体"/>
          <w:color w:val="auto"/>
          <w:sz w:val="24"/>
          <w:szCs w:val="24"/>
          <w:highlight w:val="none"/>
          <w:u w:val="single"/>
        </w:rPr>
        <w:t>应当在</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个月</w:t>
      </w:r>
      <w:r>
        <w:rPr>
          <w:rFonts w:ascii="宋体" w:hAnsi="宋体"/>
          <w:color w:val="auto"/>
          <w:sz w:val="24"/>
          <w:szCs w:val="24"/>
          <w:highlight w:val="none"/>
          <w:u w:val="single"/>
        </w:rPr>
        <w:t>内</w:t>
      </w:r>
      <w:r>
        <w:rPr>
          <w:rFonts w:hint="eastAsia" w:ascii="宋体" w:hAnsi="宋体"/>
          <w:color w:val="auto"/>
          <w:sz w:val="24"/>
          <w:szCs w:val="24"/>
          <w:highlight w:val="none"/>
          <w:u w:val="single"/>
        </w:rPr>
        <w:t>审核完毕</w:t>
      </w:r>
      <w:r>
        <w:rPr>
          <w:rFonts w:ascii="宋体" w:hAnsi="宋体"/>
          <w:color w:val="auto"/>
          <w:sz w:val="24"/>
          <w:szCs w:val="24"/>
          <w:highlight w:val="none"/>
          <w:u w:val="single"/>
        </w:rPr>
        <w:t>，</w:t>
      </w:r>
      <w:r>
        <w:rPr>
          <w:rFonts w:hint="eastAsia" w:ascii="宋体" w:hAnsi="宋体"/>
          <w:color w:val="auto"/>
          <w:sz w:val="24"/>
          <w:szCs w:val="24"/>
          <w:highlight w:val="none"/>
          <w:u w:val="single"/>
        </w:rPr>
        <w:t>但在</w:t>
      </w:r>
      <w:r>
        <w:rPr>
          <w:rFonts w:ascii="宋体" w:hAnsi="宋体"/>
          <w:color w:val="auto"/>
          <w:sz w:val="24"/>
          <w:szCs w:val="24"/>
          <w:highlight w:val="none"/>
          <w:u w:val="single"/>
        </w:rPr>
        <w:t>该期限内</w:t>
      </w:r>
      <w:r>
        <w:rPr>
          <w:rFonts w:hint="eastAsia" w:ascii="宋体" w:hAnsi="宋体"/>
          <w:color w:val="auto"/>
          <w:sz w:val="24"/>
          <w:szCs w:val="24"/>
          <w:highlight w:val="none"/>
          <w:u w:val="single"/>
        </w:rPr>
        <w:t>如</w:t>
      </w:r>
      <w:r>
        <w:rPr>
          <w:rFonts w:ascii="宋体" w:hAnsi="宋体"/>
          <w:color w:val="auto"/>
          <w:sz w:val="24"/>
          <w:szCs w:val="24"/>
          <w:highlight w:val="none"/>
          <w:u w:val="single"/>
        </w:rPr>
        <w:t>不能审核完毕的，审核</w:t>
      </w:r>
      <w:r>
        <w:rPr>
          <w:rFonts w:hint="eastAsia" w:ascii="宋体" w:hAnsi="宋体"/>
          <w:color w:val="auto"/>
          <w:sz w:val="24"/>
          <w:szCs w:val="24"/>
          <w:highlight w:val="none"/>
          <w:u w:val="single"/>
        </w:rPr>
        <w:t>期限</w:t>
      </w:r>
      <w:r>
        <w:rPr>
          <w:rFonts w:ascii="宋体" w:hAnsi="宋体"/>
          <w:color w:val="auto"/>
          <w:sz w:val="24"/>
          <w:szCs w:val="24"/>
          <w:highlight w:val="none"/>
          <w:u w:val="single"/>
        </w:rPr>
        <w:t>可以顺延</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个月</w:t>
      </w:r>
      <w:r>
        <w:rPr>
          <w:rFonts w:ascii="宋体" w:hAnsi="宋体"/>
          <w:color w:val="auto"/>
          <w:sz w:val="24"/>
          <w:szCs w:val="24"/>
          <w:highlight w:val="none"/>
          <w:u w:val="single"/>
        </w:rPr>
        <w:t>，</w:t>
      </w:r>
      <w:r>
        <w:rPr>
          <w:rFonts w:hint="eastAsia" w:ascii="宋体" w:hAnsi="宋体"/>
          <w:color w:val="auto"/>
          <w:sz w:val="24"/>
          <w:szCs w:val="24"/>
          <w:highlight w:val="none"/>
          <w:u w:val="single"/>
        </w:rPr>
        <w:t>审核</w:t>
      </w:r>
      <w:r>
        <w:rPr>
          <w:rFonts w:ascii="宋体" w:hAnsi="宋体"/>
          <w:color w:val="auto"/>
          <w:sz w:val="24"/>
          <w:szCs w:val="24"/>
          <w:highlight w:val="none"/>
          <w:u w:val="single"/>
        </w:rPr>
        <w:t>结果作为</w:t>
      </w:r>
      <w:r>
        <w:rPr>
          <w:rFonts w:hint="eastAsia" w:ascii="宋体" w:hAnsi="宋体"/>
          <w:color w:val="auto"/>
          <w:sz w:val="24"/>
          <w:szCs w:val="24"/>
          <w:highlight w:val="none"/>
          <w:u w:val="single"/>
        </w:rPr>
        <w:t>本工程</w:t>
      </w:r>
      <w:r>
        <w:rPr>
          <w:rFonts w:ascii="宋体" w:hAnsi="宋体"/>
          <w:color w:val="auto"/>
          <w:sz w:val="24"/>
          <w:szCs w:val="24"/>
          <w:highlight w:val="none"/>
          <w:u w:val="single"/>
        </w:rPr>
        <w:t>竣工结算</w:t>
      </w:r>
      <w:r>
        <w:rPr>
          <w:rFonts w:hint="eastAsia" w:ascii="宋体" w:hAnsi="宋体"/>
          <w:color w:val="auto"/>
          <w:sz w:val="24"/>
          <w:szCs w:val="24"/>
          <w:highlight w:val="none"/>
          <w:u w:val="single"/>
        </w:rPr>
        <w:t>价</w:t>
      </w:r>
      <w:r>
        <w:rPr>
          <w:rFonts w:ascii="宋体" w:hAnsi="宋体"/>
          <w:color w:val="auto"/>
          <w:sz w:val="24"/>
          <w:szCs w:val="24"/>
          <w:highlight w:val="none"/>
          <w:u w:val="single"/>
        </w:rPr>
        <w:t>。</w:t>
      </w:r>
      <w:r>
        <w:rPr>
          <w:rFonts w:hint="eastAsia" w:ascii="宋体" w:hAnsi="宋体"/>
          <w:color w:val="auto"/>
          <w:sz w:val="24"/>
          <w:szCs w:val="24"/>
          <w:highlight w:val="none"/>
          <w:u w:val="single"/>
        </w:rPr>
        <w:t>如因承包人</w:t>
      </w:r>
      <w:r>
        <w:rPr>
          <w:rFonts w:hint="eastAsia" w:ascii="宋体" w:hAnsi="宋体"/>
          <w:color w:val="auto"/>
          <w:sz w:val="24"/>
          <w:szCs w:val="24"/>
          <w:highlight w:val="none"/>
          <w:u w:val="single"/>
          <w:lang w:eastAsia="zh-CN"/>
        </w:rPr>
        <w:t>提供资料不齐全或</w:t>
      </w:r>
      <w:r>
        <w:rPr>
          <w:rFonts w:hint="eastAsia" w:ascii="宋体" w:hAnsi="宋体"/>
          <w:color w:val="auto"/>
          <w:sz w:val="24"/>
          <w:szCs w:val="24"/>
          <w:highlight w:val="none"/>
          <w:u w:val="single"/>
        </w:rPr>
        <w:t>不配合审核，致使</w:t>
      </w:r>
      <w:r>
        <w:rPr>
          <w:rFonts w:ascii="宋体" w:hAnsi="宋体"/>
          <w:color w:val="auto"/>
          <w:sz w:val="24"/>
          <w:szCs w:val="24"/>
          <w:highlight w:val="none"/>
          <w:u w:val="single"/>
        </w:rPr>
        <w:t>发包人不能在上述期限内审核完毕</w:t>
      </w:r>
      <w:r>
        <w:rPr>
          <w:rFonts w:hint="eastAsia" w:ascii="宋体" w:hAnsi="宋体"/>
          <w:color w:val="auto"/>
          <w:sz w:val="24"/>
          <w:szCs w:val="24"/>
          <w:highlight w:val="none"/>
          <w:u w:val="single"/>
        </w:rPr>
        <w:t>而</w:t>
      </w:r>
      <w:r>
        <w:rPr>
          <w:rFonts w:ascii="宋体" w:hAnsi="宋体"/>
          <w:color w:val="auto"/>
          <w:sz w:val="24"/>
          <w:szCs w:val="24"/>
          <w:highlight w:val="none"/>
          <w:u w:val="single"/>
        </w:rPr>
        <w:t>产生的后果由承包人承担</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eastAsia="zh-CN"/>
        </w:rPr>
        <w:t>发包人有权自行或委托第三方审计单位进行竣工结算审核，委托第三方审计单位的，由发包人与第三方审计单位签订相关造价咨询合同。</w:t>
      </w:r>
    </w:p>
    <w:p w14:paraId="5032C6ED">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发包人完成竣工付款的期限：</w:t>
      </w:r>
      <w:r>
        <w:rPr>
          <w:rFonts w:hint="eastAsia" w:ascii="宋体" w:hAnsi="宋体"/>
          <w:color w:val="auto"/>
          <w:sz w:val="24"/>
          <w:szCs w:val="24"/>
          <w:highlight w:val="none"/>
          <w:u w:val="single"/>
        </w:rPr>
        <w:t>付款比例按照12.4.1条执行</w:t>
      </w:r>
      <w:r>
        <w:rPr>
          <w:rFonts w:hint="eastAsia" w:ascii="宋体" w:hAnsi="宋体"/>
          <w:color w:val="auto"/>
          <w:sz w:val="24"/>
          <w:szCs w:val="24"/>
          <w:highlight w:val="none"/>
        </w:rPr>
        <w:t>。</w:t>
      </w:r>
    </w:p>
    <w:p w14:paraId="5657401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关于竣工付款证书异议部分复核的方式和程序：</w:t>
      </w:r>
      <w:r>
        <w:rPr>
          <w:rFonts w:ascii="宋体" w:hAnsi="宋体"/>
          <w:color w:val="auto"/>
          <w:sz w:val="24"/>
          <w:szCs w:val="24"/>
          <w:highlight w:val="none"/>
          <w:u w:val="single"/>
        </w:rPr>
        <w:t>按照第20条</w:t>
      </w:r>
      <w:r>
        <w:rPr>
          <w:rFonts w:hint="eastAsia" w:ascii="宋体" w:hAnsi="宋体"/>
          <w:color w:val="auto"/>
          <w:sz w:val="24"/>
          <w:szCs w:val="24"/>
          <w:highlight w:val="none"/>
          <w:u w:val="single"/>
        </w:rPr>
        <w:t>〔</w:t>
      </w:r>
      <w:r>
        <w:rPr>
          <w:rFonts w:ascii="宋体" w:hAnsi="宋体"/>
          <w:color w:val="auto"/>
          <w:sz w:val="24"/>
          <w:szCs w:val="24"/>
          <w:highlight w:val="none"/>
          <w:u w:val="single"/>
        </w:rPr>
        <w:t>争议解决</w:t>
      </w:r>
      <w:r>
        <w:rPr>
          <w:rFonts w:hint="eastAsia" w:ascii="宋体" w:hAnsi="宋体"/>
          <w:color w:val="auto"/>
          <w:sz w:val="24"/>
          <w:szCs w:val="24"/>
          <w:highlight w:val="none"/>
          <w:u w:val="single"/>
        </w:rPr>
        <w:t>〕</w:t>
      </w:r>
      <w:r>
        <w:rPr>
          <w:rFonts w:ascii="宋体" w:hAnsi="宋体"/>
          <w:color w:val="auto"/>
          <w:sz w:val="24"/>
          <w:szCs w:val="24"/>
          <w:highlight w:val="none"/>
          <w:u w:val="single"/>
        </w:rPr>
        <w:t>约定处理</w:t>
      </w:r>
      <w:r>
        <w:rPr>
          <w:rFonts w:hint="eastAsia" w:ascii="宋体" w:hAnsi="宋体"/>
          <w:color w:val="auto"/>
          <w:sz w:val="24"/>
          <w:szCs w:val="24"/>
          <w:highlight w:val="none"/>
        </w:rPr>
        <w:t>。</w:t>
      </w:r>
    </w:p>
    <w:p w14:paraId="4712468F">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14.4</w:t>
      </w:r>
      <w:r>
        <w:rPr>
          <w:rFonts w:hint="eastAsia" w:ascii="宋体" w:hAnsi="宋体"/>
          <w:color w:val="auto"/>
          <w:sz w:val="24"/>
          <w:szCs w:val="24"/>
          <w:highlight w:val="none"/>
        </w:rPr>
        <w:t>最终结清</w:t>
      </w:r>
    </w:p>
    <w:p w14:paraId="647345AD">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14.4.1</w:t>
      </w:r>
      <w:r>
        <w:rPr>
          <w:rFonts w:hint="eastAsia" w:ascii="宋体" w:hAnsi="宋体"/>
          <w:color w:val="auto"/>
          <w:sz w:val="24"/>
          <w:szCs w:val="24"/>
          <w:highlight w:val="none"/>
        </w:rPr>
        <w:t>最终结清申请单</w:t>
      </w:r>
    </w:p>
    <w:p w14:paraId="6574A08D">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承包人提交最终结清申请单的份数：</w:t>
      </w:r>
      <w:r>
        <w:rPr>
          <w:rFonts w:hint="eastAsia" w:ascii="宋体" w:hAnsi="宋体"/>
          <w:color w:val="auto"/>
          <w:sz w:val="24"/>
          <w:szCs w:val="24"/>
          <w:highlight w:val="none"/>
          <w:u w:val="single"/>
        </w:rPr>
        <w:t>叁份</w:t>
      </w:r>
      <w:r>
        <w:rPr>
          <w:rFonts w:hint="eastAsia" w:ascii="宋体" w:hAnsi="宋体"/>
          <w:color w:val="auto"/>
          <w:sz w:val="24"/>
          <w:szCs w:val="24"/>
          <w:highlight w:val="none"/>
        </w:rPr>
        <w:t>。</w:t>
      </w:r>
    </w:p>
    <w:p w14:paraId="77B927E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承包人提交最终结算申请单的期限：</w:t>
      </w:r>
      <w:r>
        <w:rPr>
          <w:rFonts w:hint="eastAsia" w:ascii="宋体" w:hAnsi="宋体"/>
          <w:color w:val="auto"/>
          <w:sz w:val="24"/>
          <w:szCs w:val="24"/>
          <w:highlight w:val="none"/>
          <w:u w:val="single"/>
        </w:rPr>
        <w:t>按照12.4.1条执行</w:t>
      </w:r>
      <w:r>
        <w:rPr>
          <w:rFonts w:hint="eastAsia" w:ascii="宋体" w:hAnsi="宋体"/>
          <w:color w:val="auto"/>
          <w:sz w:val="24"/>
          <w:szCs w:val="24"/>
          <w:highlight w:val="none"/>
        </w:rPr>
        <w:t>。</w:t>
      </w:r>
    </w:p>
    <w:p w14:paraId="21DC935A">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14.4.2</w:t>
      </w:r>
      <w:r>
        <w:rPr>
          <w:rFonts w:hint="eastAsia" w:ascii="宋体" w:hAnsi="宋体"/>
          <w:color w:val="auto"/>
          <w:sz w:val="24"/>
          <w:szCs w:val="24"/>
          <w:highlight w:val="none"/>
        </w:rPr>
        <w:t>最终结清证书和支付</w:t>
      </w:r>
    </w:p>
    <w:p w14:paraId="419024C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）发包人完成最终结清申请单的审批并颁发最终结清证书的期限：</w:t>
      </w:r>
      <w:r>
        <w:rPr>
          <w:rFonts w:ascii="宋体" w:hAnsi="宋体"/>
          <w:color w:val="auto"/>
          <w:sz w:val="24"/>
          <w:szCs w:val="24"/>
          <w:highlight w:val="none"/>
          <w:u w:val="single"/>
        </w:rPr>
        <w:t>在收到承包人提交的最终结清申请单后14天内</w:t>
      </w:r>
      <w:r>
        <w:rPr>
          <w:rFonts w:hint="eastAsia" w:ascii="宋体" w:hAnsi="宋体"/>
          <w:color w:val="auto"/>
          <w:sz w:val="24"/>
          <w:szCs w:val="24"/>
          <w:highlight w:val="none"/>
        </w:rPr>
        <w:t>。</w:t>
      </w:r>
    </w:p>
    <w:p w14:paraId="51717C9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）发包人完成支付的期限：</w:t>
      </w:r>
      <w:r>
        <w:rPr>
          <w:rFonts w:ascii="宋体" w:hAnsi="宋体"/>
          <w:color w:val="auto"/>
          <w:sz w:val="24"/>
          <w:szCs w:val="24"/>
          <w:highlight w:val="none"/>
          <w:u w:val="single"/>
        </w:rPr>
        <w:t>在颁发最终结清证书后</w:t>
      </w:r>
      <w:r>
        <w:rPr>
          <w:rFonts w:hint="eastAsia" w:ascii="宋体" w:hAnsi="宋体"/>
          <w:color w:val="auto"/>
          <w:sz w:val="24"/>
          <w:szCs w:val="24"/>
          <w:highlight w:val="none"/>
          <w:u w:val="single"/>
        </w:rPr>
        <w:t>30日</w:t>
      </w:r>
      <w:r>
        <w:rPr>
          <w:rFonts w:ascii="宋体" w:hAnsi="宋体"/>
          <w:color w:val="auto"/>
          <w:sz w:val="24"/>
          <w:szCs w:val="24"/>
          <w:highlight w:val="none"/>
          <w:u w:val="single"/>
        </w:rPr>
        <w:t>内完成支付</w:t>
      </w:r>
      <w:r>
        <w:rPr>
          <w:rFonts w:hint="eastAsia" w:ascii="宋体" w:hAnsi="宋体"/>
          <w:color w:val="auto"/>
          <w:sz w:val="24"/>
          <w:szCs w:val="24"/>
          <w:highlight w:val="none"/>
        </w:rPr>
        <w:t>。</w:t>
      </w:r>
      <w:bookmarkEnd w:id="602"/>
      <w:bookmarkEnd w:id="603"/>
      <w:bookmarkEnd w:id="604"/>
      <w:bookmarkEnd w:id="605"/>
      <w:bookmarkEnd w:id="606"/>
      <w:bookmarkEnd w:id="607"/>
      <w:bookmarkEnd w:id="608"/>
      <w:bookmarkEnd w:id="614"/>
    </w:p>
    <w:p w14:paraId="2B845C8C">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620" w:name="_Toc351203647"/>
      <w:bookmarkStart w:id="621" w:name="_Toc267251483"/>
      <w:bookmarkStart w:id="622" w:name="_Toc267251482"/>
      <w:bookmarkStart w:id="623" w:name="_Toc267251484"/>
      <w:bookmarkStart w:id="624" w:name="_Toc267251485"/>
      <w:bookmarkStart w:id="625" w:name="_Toc267251489"/>
      <w:bookmarkStart w:id="626" w:name="_Toc267251488"/>
      <w:bookmarkStart w:id="627" w:name="_Toc267251490"/>
      <w:bookmarkStart w:id="628" w:name="_Toc267251486"/>
      <w:bookmarkStart w:id="629" w:name="_Toc267251492"/>
      <w:bookmarkStart w:id="630" w:name="_Toc267251491"/>
      <w:bookmarkStart w:id="631" w:name="_Toc267251494"/>
      <w:bookmarkStart w:id="632" w:name="_Toc267251501"/>
      <w:bookmarkStart w:id="633" w:name="_Toc267251498"/>
      <w:bookmarkStart w:id="634" w:name="_Toc267251502"/>
      <w:bookmarkStart w:id="635" w:name="_Toc267251499"/>
      <w:bookmarkStart w:id="636" w:name="_Toc267251493"/>
      <w:bookmarkStart w:id="637" w:name="_Toc267251497"/>
      <w:bookmarkStart w:id="638" w:name="_Toc267251503"/>
      <w:bookmarkStart w:id="639" w:name="_Toc267251495"/>
      <w:bookmarkStart w:id="640" w:name="_Toc267251496"/>
      <w:bookmarkStart w:id="641" w:name="_Toc267251504"/>
      <w:bookmarkStart w:id="642" w:name="_Toc267251506"/>
      <w:bookmarkStart w:id="643" w:name="_Toc267251507"/>
      <w:bookmarkStart w:id="644" w:name="_Toc267251508"/>
      <w:bookmarkStart w:id="645" w:name="_Toc267251513"/>
      <w:bookmarkStart w:id="646" w:name="_Toc267251510"/>
      <w:bookmarkStart w:id="647" w:name="_Toc267251515"/>
      <w:bookmarkStart w:id="648" w:name="_Toc267251514"/>
      <w:bookmarkStart w:id="649" w:name="_Toc267251509"/>
      <w:bookmarkStart w:id="650" w:name="_Toc267251511"/>
      <w:r>
        <w:rPr>
          <w:rFonts w:ascii="宋体" w:hAnsi="宋体"/>
          <w:b w:val="0"/>
          <w:color w:val="auto"/>
          <w:sz w:val="24"/>
          <w:szCs w:val="24"/>
          <w:highlight w:val="none"/>
        </w:rPr>
        <w:t>15.</w:t>
      </w:r>
      <w:r>
        <w:rPr>
          <w:rFonts w:hint="eastAsia" w:ascii="宋体" w:hAnsi="宋体"/>
          <w:b w:val="0"/>
          <w:color w:val="auto"/>
          <w:sz w:val="24"/>
          <w:szCs w:val="24"/>
          <w:highlight w:val="none"/>
        </w:rPr>
        <w:t>缺陷责任期与保修</w:t>
      </w:r>
      <w:bookmarkEnd w:id="620"/>
    </w:p>
    <w:p w14:paraId="4DF37166">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15.2</w:t>
      </w:r>
      <w:r>
        <w:rPr>
          <w:rFonts w:hint="eastAsia" w:ascii="宋体" w:hAnsi="宋体"/>
          <w:color w:val="auto"/>
          <w:sz w:val="24"/>
          <w:szCs w:val="24"/>
          <w:highlight w:val="none"/>
        </w:rPr>
        <w:t>缺陷责任期</w:t>
      </w:r>
      <w:bookmarkEnd w:id="621"/>
    </w:p>
    <w:p w14:paraId="047DD3CD">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缺陷责任期的具体期限：</w:t>
      </w:r>
      <w:r>
        <w:rPr>
          <w:rFonts w:ascii="宋体" w:hAnsi="宋体"/>
          <w:color w:val="auto"/>
          <w:sz w:val="24"/>
          <w:szCs w:val="24"/>
          <w:highlight w:val="none"/>
          <w:u w:val="single"/>
        </w:rPr>
        <w:t>自</w:t>
      </w:r>
      <w:r>
        <w:rPr>
          <w:rFonts w:hint="eastAsia" w:ascii="宋体" w:hAnsi="宋体"/>
          <w:color w:val="auto"/>
          <w:sz w:val="24"/>
          <w:szCs w:val="24"/>
          <w:highlight w:val="none"/>
          <w:u w:val="single"/>
        </w:rPr>
        <w:t>实际竣工</w:t>
      </w:r>
      <w:r>
        <w:rPr>
          <w:rFonts w:hint="eastAsia" w:ascii="宋体" w:hAnsi="宋体"/>
          <w:color w:val="auto"/>
          <w:sz w:val="24"/>
          <w:szCs w:val="24"/>
          <w:highlight w:val="none"/>
          <w:u w:val="single"/>
          <w:lang w:val="en-US" w:eastAsia="zh-CN"/>
        </w:rPr>
        <w:t>验收合格之</w:t>
      </w:r>
      <w:r>
        <w:rPr>
          <w:rFonts w:hint="eastAsia" w:ascii="宋体" w:hAnsi="宋体"/>
          <w:color w:val="auto"/>
          <w:sz w:val="24"/>
          <w:szCs w:val="24"/>
          <w:highlight w:val="none"/>
          <w:u w:val="single"/>
        </w:rPr>
        <w:t>日</w:t>
      </w:r>
      <w:r>
        <w:rPr>
          <w:rFonts w:ascii="宋体" w:hAnsi="宋体"/>
          <w:color w:val="auto"/>
          <w:sz w:val="24"/>
          <w:szCs w:val="24"/>
          <w:highlight w:val="none"/>
          <w:u w:val="single"/>
        </w:rPr>
        <w:t>起</w:t>
      </w:r>
      <w:r>
        <w:rPr>
          <w:rFonts w:hint="eastAsia" w:ascii="宋体" w:hAnsi="宋体"/>
          <w:b/>
          <w:color w:val="auto"/>
          <w:sz w:val="24"/>
          <w:szCs w:val="24"/>
          <w:highlight w:val="none"/>
          <w:u w:val="single"/>
        </w:rPr>
        <w:t>24个月</w:t>
      </w:r>
      <w:r>
        <w:rPr>
          <w:rFonts w:hint="eastAsia" w:ascii="宋体" w:hAnsi="宋体"/>
          <w:color w:val="auto"/>
          <w:sz w:val="24"/>
          <w:szCs w:val="24"/>
          <w:highlight w:val="none"/>
        </w:rPr>
        <w:t>。</w:t>
      </w:r>
    </w:p>
    <w:p w14:paraId="3E7A5DAB">
      <w:pPr>
        <w:pageBreakBefore w:val="0"/>
        <w:widowControl w:val="0"/>
        <w:spacing w:line="360" w:lineRule="auto"/>
        <w:ind w:left="0" w:right="0" w:firstLine="480"/>
        <w:outlineLvl w:val="0"/>
        <w:rPr>
          <w:rFonts w:ascii="宋体" w:hAnsi="宋体"/>
          <w:color w:val="auto"/>
          <w:sz w:val="24"/>
          <w:szCs w:val="24"/>
          <w:highlight w:val="none"/>
        </w:rPr>
      </w:pPr>
      <w:bookmarkStart w:id="651" w:name="_Toc8539"/>
      <w:bookmarkStart w:id="652" w:name="_Toc13420"/>
      <w:r>
        <w:rPr>
          <w:rFonts w:ascii="宋体" w:hAnsi="宋体"/>
          <w:color w:val="auto"/>
          <w:sz w:val="24"/>
          <w:szCs w:val="24"/>
          <w:highlight w:val="none"/>
        </w:rPr>
        <w:t>15.3</w:t>
      </w:r>
      <w:r>
        <w:rPr>
          <w:rFonts w:hint="eastAsia" w:ascii="宋体" w:hAnsi="宋体"/>
          <w:color w:val="auto"/>
          <w:sz w:val="24"/>
          <w:szCs w:val="24"/>
          <w:highlight w:val="none"/>
        </w:rPr>
        <w:t>质量保证金</w:t>
      </w:r>
      <w:bookmarkEnd w:id="651"/>
      <w:bookmarkEnd w:id="652"/>
    </w:p>
    <w:p w14:paraId="5455DCFF">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关于是否扣留质量保证金的约定：</w:t>
      </w:r>
      <w:r>
        <w:rPr>
          <w:rFonts w:hint="eastAsia" w:ascii="宋体" w:hAnsi="宋体"/>
          <w:color w:val="auto"/>
          <w:sz w:val="24"/>
          <w:szCs w:val="24"/>
          <w:highlight w:val="none"/>
          <w:u w:val="single"/>
        </w:rPr>
        <w:t>扣留质量保证金</w:t>
      </w:r>
      <w:r>
        <w:rPr>
          <w:rFonts w:hint="eastAsia" w:ascii="宋体" w:hAnsi="宋体"/>
          <w:color w:val="auto"/>
          <w:sz w:val="24"/>
          <w:szCs w:val="24"/>
          <w:highlight w:val="none"/>
        </w:rPr>
        <w:t>。在工程项目竣工前，承包人按专用合同条款第</w:t>
      </w:r>
      <w:r>
        <w:rPr>
          <w:rFonts w:ascii="宋体" w:hAnsi="宋体"/>
          <w:color w:val="auto"/>
          <w:sz w:val="24"/>
          <w:szCs w:val="24"/>
          <w:highlight w:val="none"/>
        </w:rPr>
        <w:t>3.7</w:t>
      </w:r>
      <w:r>
        <w:rPr>
          <w:rFonts w:hint="eastAsia" w:ascii="宋体" w:hAnsi="宋体"/>
          <w:color w:val="auto"/>
          <w:sz w:val="24"/>
          <w:szCs w:val="24"/>
          <w:highlight w:val="none"/>
        </w:rPr>
        <w:t>条提供履约担保的，发包人不得同时预留工程质量保证金。</w:t>
      </w:r>
    </w:p>
    <w:p w14:paraId="79EDF59C">
      <w:pPr>
        <w:pageBreakBefore w:val="0"/>
        <w:widowControl w:val="0"/>
        <w:spacing w:line="360" w:lineRule="auto"/>
        <w:ind w:left="0" w:right="0" w:firstLine="480"/>
        <w:jc w:val="left"/>
        <w:outlineLvl w:val="0"/>
        <w:rPr>
          <w:rFonts w:ascii="宋体" w:hAnsi="宋体"/>
          <w:color w:val="auto"/>
          <w:sz w:val="24"/>
          <w:szCs w:val="24"/>
          <w:highlight w:val="none"/>
        </w:rPr>
      </w:pPr>
      <w:bookmarkStart w:id="653" w:name="_Toc13613"/>
      <w:bookmarkStart w:id="654" w:name="_Toc10922"/>
      <w:r>
        <w:rPr>
          <w:rFonts w:ascii="宋体" w:hAnsi="宋体"/>
          <w:color w:val="auto"/>
          <w:sz w:val="24"/>
          <w:szCs w:val="24"/>
          <w:highlight w:val="none"/>
        </w:rPr>
        <w:t>15.3.1</w:t>
      </w:r>
      <w:r>
        <w:rPr>
          <w:rFonts w:hint="eastAsia" w:ascii="宋体" w:hAnsi="宋体"/>
          <w:color w:val="auto"/>
          <w:sz w:val="24"/>
          <w:szCs w:val="24"/>
          <w:highlight w:val="none"/>
        </w:rPr>
        <w:t>承包人提供质量保证金的方式</w:t>
      </w:r>
      <w:bookmarkEnd w:id="653"/>
      <w:bookmarkEnd w:id="654"/>
    </w:p>
    <w:p w14:paraId="753A591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质量保证金采用以下第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w:t>
      </w:r>
    </w:p>
    <w:p w14:paraId="57717EE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）质量保证金保函，保证金额为：</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7C2746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w:t>
      </w:r>
      <w:r>
        <w:rPr>
          <w:rFonts w:hint="eastAsia" w:ascii="宋体" w:hAnsi="宋体"/>
          <w:color w:val="auto"/>
          <w:sz w:val="24"/>
          <w:szCs w:val="24"/>
          <w:highlight w:val="none"/>
          <w:u w:val="single"/>
        </w:rPr>
        <w:t>3</w:t>
      </w:r>
      <w:r>
        <w:rPr>
          <w:rFonts w:ascii="宋体" w:hAnsi="宋体"/>
          <w:color w:val="auto"/>
          <w:sz w:val="24"/>
          <w:szCs w:val="24"/>
          <w:highlight w:val="none"/>
        </w:rPr>
        <w:t>%</w:t>
      </w:r>
      <w:r>
        <w:rPr>
          <w:rFonts w:hint="eastAsia" w:ascii="宋体" w:hAnsi="宋体"/>
          <w:color w:val="auto"/>
          <w:sz w:val="24"/>
          <w:szCs w:val="24"/>
          <w:highlight w:val="none"/>
        </w:rPr>
        <w:t>的审定总价款；</w:t>
      </w:r>
    </w:p>
    <w:p w14:paraId="21AA742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）其他方式</w:t>
      </w:r>
      <w:r>
        <w:rPr>
          <w:rFonts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34F61F0">
      <w:pPr>
        <w:pageBreakBefore w:val="0"/>
        <w:widowControl w:val="0"/>
        <w:spacing w:line="360" w:lineRule="auto"/>
        <w:ind w:left="0" w:right="0" w:firstLine="480"/>
        <w:jc w:val="left"/>
        <w:outlineLvl w:val="0"/>
        <w:rPr>
          <w:rFonts w:ascii="宋体" w:hAnsi="宋体"/>
          <w:color w:val="auto"/>
          <w:sz w:val="24"/>
          <w:szCs w:val="24"/>
          <w:highlight w:val="none"/>
        </w:rPr>
      </w:pPr>
      <w:bookmarkStart w:id="655" w:name="_Toc13791"/>
      <w:bookmarkStart w:id="656" w:name="_Toc18413"/>
      <w:r>
        <w:rPr>
          <w:rFonts w:ascii="宋体" w:hAnsi="宋体"/>
          <w:color w:val="auto"/>
          <w:sz w:val="24"/>
          <w:szCs w:val="24"/>
          <w:highlight w:val="none"/>
        </w:rPr>
        <w:t>15.3.2</w:t>
      </w:r>
      <w:r>
        <w:rPr>
          <w:rFonts w:hint="eastAsia" w:ascii="宋体" w:hAnsi="宋体"/>
          <w:color w:val="auto"/>
          <w:sz w:val="24"/>
          <w:szCs w:val="24"/>
          <w:highlight w:val="none"/>
        </w:rPr>
        <w:t>质量保证金的扣留</w:t>
      </w:r>
      <w:bookmarkEnd w:id="655"/>
      <w:bookmarkEnd w:id="656"/>
    </w:p>
    <w:p w14:paraId="407FDACC">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质量保证金的扣留采取以下第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w:t>
      </w:r>
    </w:p>
    <w:p w14:paraId="64A912F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）在支付工程进度款时逐次扣留，在此情形下，质量保证金的计算基数不包括预付款的支付、扣回以及价格调整的金额；</w:t>
      </w:r>
    </w:p>
    <w:p w14:paraId="3B4F8D26">
      <w:pPr>
        <w:pageBreakBefore w:val="0"/>
        <w:widowControl w:val="0"/>
        <w:spacing w:line="360" w:lineRule="auto"/>
        <w:ind w:left="0" w:right="0" w:firstLine="484"/>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）工程竣工结算时一次性扣留质量保证金；</w:t>
      </w:r>
    </w:p>
    <w:p w14:paraId="2507B21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）其他扣留方式</w:t>
      </w:r>
      <w:r>
        <w:rPr>
          <w:rFonts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F1A6DC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关于质量保证金的补充约定：</w:t>
      </w:r>
      <w:r>
        <w:rPr>
          <w:rFonts w:hint="eastAsia" w:ascii="宋体" w:hAnsi="宋体"/>
          <w:color w:val="auto"/>
          <w:sz w:val="24"/>
          <w:szCs w:val="24"/>
          <w:highlight w:val="none"/>
          <w:u w:val="single"/>
        </w:rPr>
        <w:t>待</w:t>
      </w:r>
      <w:r>
        <w:rPr>
          <w:rFonts w:hint="eastAsia" w:ascii="宋体" w:hAnsi="宋体"/>
          <w:color w:val="auto"/>
          <w:sz w:val="24"/>
          <w:szCs w:val="24"/>
          <w:highlight w:val="none"/>
          <w:u w:val="single"/>
          <w:lang w:val="en-US" w:eastAsia="zh-CN"/>
        </w:rPr>
        <w:t>缺陷责任期</w:t>
      </w:r>
      <w:r>
        <w:rPr>
          <w:rFonts w:hint="eastAsia" w:ascii="宋体" w:hAnsi="宋体"/>
          <w:color w:val="auto"/>
          <w:sz w:val="24"/>
          <w:szCs w:val="24"/>
          <w:highlight w:val="none"/>
          <w:u w:val="single"/>
        </w:rPr>
        <w:t>满后（无质量问题）30日</w:t>
      </w:r>
      <w:r>
        <w:rPr>
          <w:rFonts w:ascii="宋体" w:hAnsi="宋体"/>
          <w:color w:val="auto"/>
          <w:sz w:val="24"/>
          <w:szCs w:val="24"/>
          <w:highlight w:val="none"/>
          <w:u w:val="single"/>
        </w:rPr>
        <w:t>内</w:t>
      </w:r>
      <w:r>
        <w:rPr>
          <w:rFonts w:hint="eastAsia" w:ascii="宋体" w:hAnsi="宋体"/>
          <w:color w:val="auto"/>
          <w:sz w:val="24"/>
          <w:szCs w:val="24"/>
          <w:highlight w:val="none"/>
          <w:u w:val="single"/>
        </w:rPr>
        <w:t>退还</w:t>
      </w:r>
      <w:r>
        <w:rPr>
          <w:rFonts w:hint="eastAsia" w:ascii="宋体" w:hAnsi="宋体"/>
          <w:color w:val="auto"/>
          <w:sz w:val="24"/>
          <w:szCs w:val="24"/>
          <w:highlight w:val="none"/>
        </w:rPr>
        <w:t>。</w:t>
      </w:r>
      <w:bookmarkEnd w:id="622"/>
      <w:bookmarkEnd w:id="623"/>
    </w:p>
    <w:p w14:paraId="6A76AD7C">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15.4</w:t>
      </w:r>
      <w:r>
        <w:rPr>
          <w:rFonts w:hint="eastAsia" w:ascii="宋体" w:hAnsi="宋体"/>
          <w:color w:val="auto"/>
          <w:sz w:val="24"/>
          <w:szCs w:val="24"/>
          <w:highlight w:val="none"/>
        </w:rPr>
        <w:t>保修</w:t>
      </w:r>
      <w:bookmarkEnd w:id="624"/>
    </w:p>
    <w:p w14:paraId="33E181FC">
      <w:pPr>
        <w:pageBreakBefore w:val="0"/>
        <w:widowControl w:val="0"/>
        <w:spacing w:line="360" w:lineRule="auto"/>
        <w:ind w:left="0" w:right="0" w:firstLine="468"/>
        <w:jc w:val="left"/>
        <w:rPr>
          <w:rFonts w:ascii="宋体" w:hAnsi="宋体"/>
          <w:color w:val="auto"/>
          <w:sz w:val="24"/>
          <w:szCs w:val="24"/>
          <w:highlight w:val="none"/>
        </w:rPr>
      </w:pPr>
      <w:r>
        <w:rPr>
          <w:rFonts w:ascii="宋体" w:hAnsi="宋体"/>
          <w:color w:val="auto"/>
          <w:sz w:val="24"/>
          <w:szCs w:val="24"/>
          <w:highlight w:val="none"/>
        </w:rPr>
        <w:t>15.4.1</w:t>
      </w:r>
      <w:r>
        <w:rPr>
          <w:rFonts w:hint="eastAsia" w:ascii="宋体" w:hAnsi="宋体"/>
          <w:color w:val="auto"/>
          <w:sz w:val="24"/>
          <w:szCs w:val="24"/>
          <w:highlight w:val="none"/>
        </w:rPr>
        <w:t>保修责任</w:t>
      </w:r>
    </w:p>
    <w:p w14:paraId="39475E0F">
      <w:pPr>
        <w:pageBreakBefore w:val="0"/>
        <w:widowControl w:val="0"/>
        <w:spacing w:line="360" w:lineRule="auto"/>
        <w:ind w:left="0" w:right="0" w:firstLine="468"/>
        <w:jc w:val="left"/>
        <w:rPr>
          <w:rFonts w:ascii="宋体" w:hAnsi="宋体"/>
          <w:color w:val="auto"/>
          <w:sz w:val="24"/>
          <w:szCs w:val="24"/>
          <w:highlight w:val="none"/>
        </w:rPr>
      </w:pPr>
      <w:r>
        <w:rPr>
          <w:rFonts w:hint="eastAsia" w:ascii="宋体" w:hAnsi="宋体"/>
          <w:color w:val="auto"/>
          <w:sz w:val="24"/>
          <w:szCs w:val="24"/>
          <w:highlight w:val="none"/>
        </w:rPr>
        <w:t>工程保修期为：</w:t>
      </w:r>
      <w:r>
        <w:rPr>
          <w:rFonts w:hint="eastAsia" w:ascii="宋体" w:hAnsi="宋体"/>
          <w:color w:val="auto"/>
          <w:sz w:val="24"/>
          <w:szCs w:val="24"/>
          <w:highlight w:val="none"/>
          <w:u w:val="single"/>
        </w:rPr>
        <w:t>按国家有关规定</w:t>
      </w:r>
      <w:r>
        <w:rPr>
          <w:rFonts w:hint="eastAsia" w:ascii="宋体" w:hAnsi="宋体"/>
          <w:color w:val="auto"/>
          <w:sz w:val="24"/>
          <w:szCs w:val="24"/>
          <w:highlight w:val="none"/>
        </w:rPr>
        <w:t>。</w:t>
      </w:r>
    </w:p>
    <w:p w14:paraId="5369E791">
      <w:pPr>
        <w:pageBreakBefore w:val="0"/>
        <w:widowControl w:val="0"/>
        <w:spacing w:line="360" w:lineRule="auto"/>
        <w:ind w:left="0" w:right="0" w:firstLine="468"/>
        <w:jc w:val="left"/>
        <w:rPr>
          <w:rFonts w:ascii="宋体" w:hAnsi="宋体"/>
          <w:color w:val="auto"/>
          <w:sz w:val="24"/>
          <w:szCs w:val="24"/>
          <w:highlight w:val="none"/>
        </w:rPr>
      </w:pPr>
      <w:r>
        <w:rPr>
          <w:rFonts w:ascii="宋体" w:hAnsi="宋体"/>
          <w:color w:val="auto"/>
          <w:sz w:val="24"/>
          <w:szCs w:val="24"/>
          <w:highlight w:val="none"/>
        </w:rPr>
        <w:t>15.4.3</w:t>
      </w:r>
      <w:r>
        <w:rPr>
          <w:rFonts w:hint="eastAsia" w:ascii="宋体" w:hAnsi="宋体"/>
          <w:color w:val="auto"/>
          <w:sz w:val="24"/>
          <w:szCs w:val="24"/>
          <w:highlight w:val="none"/>
        </w:rPr>
        <w:t>修复通知</w:t>
      </w:r>
    </w:p>
    <w:p w14:paraId="6049DA63">
      <w:pPr>
        <w:pageBreakBefore w:val="0"/>
        <w:widowControl w:val="0"/>
        <w:spacing w:line="360" w:lineRule="auto"/>
        <w:ind w:left="0" w:right="0" w:firstLine="468"/>
        <w:jc w:val="left"/>
        <w:rPr>
          <w:rFonts w:ascii="宋体" w:hAnsi="宋体"/>
          <w:color w:val="auto"/>
          <w:sz w:val="24"/>
          <w:szCs w:val="24"/>
          <w:highlight w:val="none"/>
        </w:rPr>
      </w:pPr>
      <w:r>
        <w:rPr>
          <w:rFonts w:hint="eastAsia" w:ascii="宋体" w:hAnsi="宋体"/>
          <w:color w:val="auto"/>
          <w:sz w:val="24"/>
          <w:szCs w:val="24"/>
          <w:highlight w:val="none"/>
        </w:rPr>
        <w:t>承包人收到保修通知并到达工程现场</w:t>
      </w:r>
      <w:r>
        <w:rPr>
          <w:rFonts w:hint="eastAsia" w:ascii="宋体" w:hAnsi="宋体" w:cs="宋体"/>
          <w:color w:val="auto"/>
          <w:sz w:val="24"/>
          <w:szCs w:val="24"/>
          <w:highlight w:val="none"/>
        </w:rPr>
        <w:t>且修理完成</w:t>
      </w:r>
      <w:r>
        <w:rPr>
          <w:rFonts w:hint="eastAsia" w:ascii="宋体" w:hAnsi="宋体"/>
          <w:color w:val="auto"/>
          <w:sz w:val="24"/>
          <w:szCs w:val="24"/>
          <w:highlight w:val="none"/>
        </w:rPr>
        <w:t>的合理时间：</w:t>
      </w:r>
      <w:r>
        <w:rPr>
          <w:rFonts w:ascii="宋体" w:hAnsi="宋体"/>
          <w:color w:val="auto"/>
          <w:sz w:val="24"/>
          <w:szCs w:val="24"/>
          <w:highlight w:val="none"/>
          <w:u w:val="single"/>
        </w:rPr>
        <w:t>收到保修</w:t>
      </w:r>
      <w:r>
        <w:rPr>
          <w:rFonts w:hint="eastAsia" w:ascii="宋体" w:hAnsi="宋体"/>
          <w:color w:val="auto"/>
          <w:sz w:val="24"/>
          <w:szCs w:val="24"/>
          <w:highlight w:val="none"/>
          <w:u w:val="single"/>
          <w:lang w:val="en-US" w:eastAsia="zh-CN"/>
        </w:rPr>
        <w:t>书面通知</w:t>
      </w:r>
      <w:r>
        <w:rPr>
          <w:rFonts w:ascii="宋体" w:hAnsi="宋体"/>
          <w:color w:val="auto"/>
          <w:sz w:val="24"/>
          <w:szCs w:val="24"/>
          <w:highlight w:val="none"/>
          <w:u w:val="single"/>
        </w:rPr>
        <w:t>后</w:t>
      </w:r>
      <w:r>
        <w:rPr>
          <w:rFonts w:hint="eastAsia" w:ascii="宋体" w:hAnsi="宋体"/>
          <w:color w:val="auto"/>
          <w:sz w:val="24"/>
          <w:szCs w:val="24"/>
          <w:highlight w:val="none"/>
          <w:u w:val="single"/>
        </w:rPr>
        <w:t>48小时内</w:t>
      </w:r>
      <w:r>
        <w:rPr>
          <w:rFonts w:hint="eastAsia" w:ascii="宋体" w:hAnsi="宋体"/>
          <w:color w:val="auto"/>
          <w:sz w:val="24"/>
          <w:szCs w:val="24"/>
          <w:highlight w:val="none"/>
        </w:rPr>
        <w:t>。</w:t>
      </w:r>
      <w:bookmarkEnd w:id="625"/>
      <w:bookmarkEnd w:id="626"/>
      <w:bookmarkEnd w:id="627"/>
      <w:bookmarkEnd w:id="628"/>
    </w:p>
    <w:p w14:paraId="3D84AD0E">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657" w:name="_Toc351203648"/>
      <w:bookmarkStart w:id="658" w:name="_Toc280868717"/>
      <w:bookmarkStart w:id="659" w:name="_Toc280868718"/>
      <w:r>
        <w:rPr>
          <w:rFonts w:ascii="宋体" w:hAnsi="宋体"/>
          <w:b w:val="0"/>
          <w:color w:val="auto"/>
          <w:sz w:val="24"/>
          <w:szCs w:val="24"/>
          <w:highlight w:val="none"/>
        </w:rPr>
        <w:t>16.</w:t>
      </w:r>
      <w:r>
        <w:rPr>
          <w:rFonts w:hint="eastAsia" w:ascii="宋体" w:hAnsi="宋体"/>
          <w:b w:val="0"/>
          <w:color w:val="auto"/>
          <w:sz w:val="24"/>
          <w:szCs w:val="24"/>
          <w:highlight w:val="none"/>
        </w:rPr>
        <w:t>违约</w:t>
      </w:r>
      <w:bookmarkEnd w:id="657"/>
    </w:p>
    <w:p w14:paraId="749E7F7D">
      <w:pPr>
        <w:pageBreakBefore w:val="0"/>
        <w:widowControl w:val="0"/>
        <w:spacing w:line="360" w:lineRule="auto"/>
        <w:ind w:left="0" w:right="0" w:firstLine="480"/>
        <w:outlineLvl w:val="0"/>
        <w:rPr>
          <w:rFonts w:ascii="宋体" w:hAnsi="宋体"/>
          <w:color w:val="auto"/>
          <w:sz w:val="24"/>
          <w:szCs w:val="24"/>
          <w:highlight w:val="none"/>
        </w:rPr>
      </w:pPr>
      <w:bookmarkStart w:id="660" w:name="_Toc32010"/>
      <w:bookmarkStart w:id="661" w:name="_Toc15321"/>
      <w:r>
        <w:rPr>
          <w:rFonts w:ascii="宋体" w:hAnsi="宋体"/>
          <w:color w:val="auto"/>
          <w:sz w:val="24"/>
          <w:szCs w:val="24"/>
          <w:highlight w:val="none"/>
        </w:rPr>
        <w:t>16.1</w:t>
      </w:r>
      <w:r>
        <w:rPr>
          <w:rFonts w:hint="eastAsia" w:ascii="宋体" w:hAnsi="宋体"/>
          <w:color w:val="auto"/>
          <w:sz w:val="24"/>
          <w:szCs w:val="24"/>
          <w:highlight w:val="none"/>
        </w:rPr>
        <w:t>发包人违约</w:t>
      </w:r>
      <w:bookmarkEnd w:id="660"/>
      <w:bookmarkEnd w:id="661"/>
    </w:p>
    <w:p w14:paraId="7527212B">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16.1.1</w:t>
      </w:r>
      <w:r>
        <w:rPr>
          <w:rFonts w:hint="eastAsia" w:ascii="宋体" w:hAnsi="宋体"/>
          <w:color w:val="auto"/>
          <w:sz w:val="24"/>
          <w:szCs w:val="24"/>
          <w:highlight w:val="none"/>
        </w:rPr>
        <w:t>发包人违约的情形</w:t>
      </w:r>
    </w:p>
    <w:p w14:paraId="4DB8A1B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发包人违约的其他情形：</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7A8A191F">
      <w:pPr>
        <w:pageBreakBefore w:val="0"/>
        <w:widowControl w:val="0"/>
        <w:spacing w:line="360" w:lineRule="auto"/>
        <w:ind w:left="1200" w:right="0" w:hanging="1200"/>
        <w:jc w:val="left"/>
        <w:rPr>
          <w:rFonts w:ascii="宋体" w:hAnsi="宋体"/>
          <w:color w:val="auto"/>
          <w:sz w:val="24"/>
          <w:szCs w:val="24"/>
          <w:highlight w:val="none"/>
        </w:rPr>
      </w:pPr>
      <w:r>
        <w:rPr>
          <w:rFonts w:ascii="宋体" w:hAnsi="宋体"/>
          <w:color w:val="auto"/>
          <w:sz w:val="24"/>
          <w:szCs w:val="24"/>
          <w:highlight w:val="none"/>
        </w:rPr>
        <w:t>16.1.2</w:t>
      </w:r>
      <w:r>
        <w:rPr>
          <w:rFonts w:hint="eastAsia" w:ascii="宋体" w:hAnsi="宋体"/>
          <w:color w:val="auto"/>
          <w:sz w:val="24"/>
          <w:szCs w:val="24"/>
          <w:highlight w:val="none"/>
        </w:rPr>
        <w:t>发包人违约的责任</w:t>
      </w:r>
    </w:p>
    <w:p w14:paraId="3E793BA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发包人违约责任的承担方式和计算方法：</w:t>
      </w:r>
    </w:p>
    <w:p w14:paraId="27973B23">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）因发包人原因未能在计划开工日期前</w:t>
      </w:r>
      <w:r>
        <w:rPr>
          <w:rFonts w:ascii="宋体" w:hAnsi="宋体"/>
          <w:color w:val="auto"/>
          <w:sz w:val="24"/>
          <w:szCs w:val="24"/>
          <w:highlight w:val="none"/>
        </w:rPr>
        <w:t>7</w:t>
      </w:r>
      <w:r>
        <w:rPr>
          <w:rFonts w:hint="eastAsia" w:ascii="宋体" w:hAnsi="宋体"/>
          <w:color w:val="auto"/>
          <w:sz w:val="24"/>
          <w:szCs w:val="24"/>
          <w:highlight w:val="none"/>
        </w:rPr>
        <w:t>天内下达开工通知的违约责任：</w:t>
      </w:r>
      <w:r>
        <w:rPr>
          <w:rFonts w:hint="eastAsia" w:ascii="宋体" w:hAnsi="宋体"/>
          <w:color w:val="auto"/>
          <w:sz w:val="24"/>
          <w:szCs w:val="24"/>
          <w:highlight w:val="none"/>
          <w:u w:val="single"/>
        </w:rPr>
        <w:t>发包人顺延工期</w:t>
      </w:r>
      <w:r>
        <w:rPr>
          <w:rFonts w:hint="eastAsia" w:ascii="宋体" w:hAnsi="宋体"/>
          <w:color w:val="auto"/>
          <w:sz w:val="24"/>
          <w:szCs w:val="24"/>
          <w:highlight w:val="none"/>
        </w:rPr>
        <w:t>。</w:t>
      </w:r>
    </w:p>
    <w:p w14:paraId="6B47CFE3">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）因发包人原因未能按合同约定支付合同价款的违约责任：</w:t>
      </w:r>
      <w:r>
        <w:rPr>
          <w:rFonts w:hint="eastAsia" w:ascii="宋体" w:hAnsi="宋体"/>
          <w:color w:val="auto"/>
          <w:sz w:val="24"/>
          <w:szCs w:val="24"/>
          <w:highlight w:val="none"/>
          <w:u w:val="single"/>
          <w:lang w:val="en-US" w:eastAsia="zh-CN"/>
        </w:rPr>
        <w:t>无</w:t>
      </w:r>
      <w:r>
        <w:rPr>
          <w:rFonts w:hint="eastAsia" w:ascii="宋体" w:hAnsi="宋体"/>
          <w:color w:val="auto"/>
          <w:sz w:val="24"/>
          <w:szCs w:val="24"/>
          <w:highlight w:val="none"/>
        </w:rPr>
        <w:t>。</w:t>
      </w:r>
    </w:p>
    <w:p w14:paraId="5DD7AF8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）发包人违反第</w:t>
      </w:r>
      <w:r>
        <w:rPr>
          <w:rFonts w:ascii="宋体" w:hAnsi="宋体"/>
          <w:color w:val="auto"/>
          <w:sz w:val="24"/>
          <w:szCs w:val="24"/>
          <w:highlight w:val="none"/>
        </w:rPr>
        <w:t>10.1</w:t>
      </w:r>
      <w:r>
        <w:rPr>
          <w:rFonts w:hint="eastAsia" w:ascii="宋体" w:hAnsi="宋体"/>
          <w:color w:val="auto"/>
          <w:sz w:val="24"/>
          <w:szCs w:val="24"/>
          <w:highlight w:val="none"/>
        </w:rPr>
        <w:t>款〔变更的范围〕第（</w:t>
      </w:r>
      <w:r>
        <w:rPr>
          <w:rFonts w:ascii="宋体" w:hAnsi="宋体"/>
          <w:color w:val="auto"/>
          <w:sz w:val="24"/>
          <w:szCs w:val="24"/>
          <w:highlight w:val="none"/>
        </w:rPr>
        <w:t>2</w:t>
      </w:r>
      <w:r>
        <w:rPr>
          <w:rFonts w:hint="eastAsia" w:ascii="宋体" w:hAnsi="宋体"/>
          <w:color w:val="auto"/>
          <w:sz w:val="24"/>
          <w:szCs w:val="24"/>
          <w:highlight w:val="none"/>
        </w:rPr>
        <w:t>）项约定，自行实施被取消的工作或转由他人实施的违约责任：</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744B0F8C">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48FB4658">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5</w:t>
      </w:r>
      <w:r>
        <w:rPr>
          <w:rFonts w:hint="eastAsia" w:ascii="宋体" w:hAnsi="宋体"/>
          <w:color w:val="auto"/>
          <w:sz w:val="24"/>
          <w:szCs w:val="24"/>
          <w:highlight w:val="none"/>
        </w:rPr>
        <w:t>）因发包人违反合同约定造成暂停施工的违约责任：</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5DB9160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6</w:t>
      </w:r>
      <w:r>
        <w:rPr>
          <w:rFonts w:hint="eastAsia" w:ascii="宋体" w:hAnsi="宋体"/>
          <w:color w:val="auto"/>
          <w:sz w:val="24"/>
          <w:szCs w:val="24"/>
          <w:highlight w:val="none"/>
        </w:rPr>
        <w:t>）发包人无正当理由没有在约定期限内发出复工指示，导致承包人无法复工的违约责任：</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2005BBFC">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7</w:t>
      </w:r>
      <w:r>
        <w:rPr>
          <w:rFonts w:hint="eastAsia" w:ascii="宋体" w:hAnsi="宋体"/>
          <w:color w:val="auto"/>
          <w:sz w:val="24"/>
          <w:szCs w:val="24"/>
          <w:highlight w:val="none"/>
        </w:rPr>
        <w:t>）其他：</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2A64D9B">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16.1.3</w:t>
      </w:r>
      <w:r>
        <w:rPr>
          <w:rFonts w:hint="eastAsia" w:ascii="宋体" w:hAnsi="宋体"/>
          <w:color w:val="auto"/>
          <w:sz w:val="24"/>
          <w:szCs w:val="24"/>
          <w:highlight w:val="none"/>
        </w:rPr>
        <w:t>因发包人违约解除合同</w:t>
      </w:r>
    </w:p>
    <w:p w14:paraId="6071874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承包人按</w:t>
      </w:r>
      <w:r>
        <w:rPr>
          <w:rFonts w:ascii="宋体" w:hAnsi="宋体"/>
          <w:color w:val="auto"/>
          <w:sz w:val="24"/>
          <w:szCs w:val="24"/>
          <w:highlight w:val="none"/>
        </w:rPr>
        <w:t>16.1.1</w:t>
      </w:r>
      <w:r>
        <w:rPr>
          <w:rFonts w:hint="eastAsia" w:ascii="宋体" w:hAnsi="宋体"/>
          <w:color w:val="auto"/>
          <w:sz w:val="24"/>
          <w:szCs w:val="24"/>
          <w:highlight w:val="none"/>
        </w:rPr>
        <w:t>项〔发包人违约的情形〕约定暂停施工满</w:t>
      </w:r>
      <w:r>
        <w:rPr>
          <w:rFonts w:hint="eastAsia" w:ascii="宋体" w:hAnsi="宋体"/>
          <w:color w:val="auto"/>
          <w:sz w:val="24"/>
          <w:szCs w:val="24"/>
          <w:highlight w:val="none"/>
          <w:u w:val="single"/>
        </w:rPr>
        <w:t>90</w:t>
      </w:r>
      <w:r>
        <w:rPr>
          <w:rFonts w:hint="eastAsia" w:ascii="宋体" w:hAnsi="宋体"/>
          <w:color w:val="auto"/>
          <w:sz w:val="24"/>
          <w:szCs w:val="24"/>
          <w:highlight w:val="none"/>
        </w:rPr>
        <w:t>天后发包人仍不纠正其违约行为并致使合同目的不能实现的，承包人有权解除合同。</w:t>
      </w:r>
    </w:p>
    <w:p w14:paraId="4231C26A">
      <w:pPr>
        <w:pageBreakBefore w:val="0"/>
        <w:widowControl w:val="0"/>
        <w:spacing w:line="360" w:lineRule="auto"/>
        <w:ind w:left="0" w:right="0" w:firstLine="480"/>
        <w:outlineLvl w:val="0"/>
        <w:rPr>
          <w:rFonts w:ascii="宋体" w:hAnsi="宋体"/>
          <w:color w:val="auto"/>
          <w:sz w:val="24"/>
          <w:szCs w:val="24"/>
          <w:highlight w:val="none"/>
        </w:rPr>
      </w:pPr>
      <w:bookmarkStart w:id="662" w:name="_Toc23037"/>
      <w:bookmarkStart w:id="663" w:name="_Toc4760"/>
      <w:r>
        <w:rPr>
          <w:rFonts w:ascii="宋体" w:hAnsi="宋体"/>
          <w:color w:val="auto"/>
          <w:sz w:val="24"/>
          <w:szCs w:val="24"/>
          <w:highlight w:val="none"/>
        </w:rPr>
        <w:t>16.2</w:t>
      </w:r>
      <w:r>
        <w:rPr>
          <w:rFonts w:hint="eastAsia" w:ascii="宋体" w:hAnsi="宋体"/>
          <w:color w:val="auto"/>
          <w:sz w:val="24"/>
          <w:szCs w:val="24"/>
          <w:highlight w:val="none"/>
        </w:rPr>
        <w:t>承包人违约</w:t>
      </w:r>
      <w:bookmarkEnd w:id="662"/>
      <w:bookmarkEnd w:id="663"/>
    </w:p>
    <w:p w14:paraId="771A181C">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16.2.1</w:t>
      </w:r>
      <w:r>
        <w:rPr>
          <w:rFonts w:hint="eastAsia" w:ascii="宋体" w:hAnsi="宋体"/>
          <w:color w:val="auto"/>
          <w:sz w:val="24"/>
          <w:szCs w:val="24"/>
          <w:highlight w:val="none"/>
        </w:rPr>
        <w:t>承包人违约的情形</w:t>
      </w:r>
    </w:p>
    <w:p w14:paraId="6A535D5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承包人违约的其他情形：</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w:t>
      </w:r>
    </w:p>
    <w:p w14:paraId="6DACE621">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16.2.2</w:t>
      </w:r>
      <w:r>
        <w:rPr>
          <w:rFonts w:hint="eastAsia" w:ascii="宋体" w:hAnsi="宋体"/>
          <w:color w:val="auto"/>
          <w:sz w:val="24"/>
          <w:szCs w:val="24"/>
          <w:highlight w:val="none"/>
        </w:rPr>
        <w:t>承包人违约的责任</w:t>
      </w:r>
    </w:p>
    <w:p w14:paraId="36B22911">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承包人违约责任的承担方式和计算方法：</w:t>
      </w:r>
      <w:r>
        <w:rPr>
          <w:rFonts w:hint="eastAsia" w:ascii="宋体" w:hAnsi="宋体"/>
          <w:color w:val="auto"/>
          <w:sz w:val="24"/>
          <w:szCs w:val="24"/>
          <w:highlight w:val="none"/>
          <w:u w:val="single"/>
        </w:rPr>
        <w:t>承包人承担全部费用，费用工期不顺延。工期延误每延误一天，承包人赔偿给发包人合同总价的千分之二违约金</w:t>
      </w:r>
      <w:r>
        <w:rPr>
          <w:rFonts w:hint="eastAsia" w:ascii="宋体" w:hAnsi="宋体"/>
          <w:color w:val="auto"/>
          <w:sz w:val="24"/>
          <w:szCs w:val="24"/>
          <w:highlight w:val="none"/>
        </w:rPr>
        <w:t>。</w:t>
      </w:r>
    </w:p>
    <w:p w14:paraId="5B36311A">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16.2.3</w:t>
      </w:r>
      <w:r>
        <w:rPr>
          <w:rFonts w:hint="eastAsia" w:ascii="宋体" w:hAnsi="宋体"/>
          <w:color w:val="auto"/>
          <w:sz w:val="24"/>
          <w:szCs w:val="24"/>
          <w:highlight w:val="none"/>
        </w:rPr>
        <w:t>因承包人违约解除合同</w:t>
      </w:r>
    </w:p>
    <w:p w14:paraId="4AA528B0">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关于承包人违约解除合同的特别约定：</w:t>
      </w:r>
      <w:r>
        <w:rPr>
          <w:rFonts w:hint="eastAsia" w:ascii="宋体" w:hAnsi="宋体"/>
          <w:color w:val="auto"/>
          <w:sz w:val="24"/>
          <w:szCs w:val="24"/>
          <w:highlight w:val="none"/>
          <w:u w:val="single"/>
        </w:rPr>
        <w:t>发包人没收全部履约保证金并</w:t>
      </w:r>
      <w:r>
        <w:rPr>
          <w:rFonts w:ascii="宋体" w:hAnsi="宋体"/>
          <w:color w:val="auto"/>
          <w:sz w:val="24"/>
          <w:szCs w:val="24"/>
          <w:highlight w:val="none"/>
          <w:u w:val="single"/>
        </w:rPr>
        <w:t>暂停对承包人的付款</w:t>
      </w:r>
      <w:r>
        <w:rPr>
          <w:rFonts w:ascii="宋体" w:hAnsi="宋体"/>
          <w:color w:val="auto"/>
          <w:sz w:val="24"/>
          <w:szCs w:val="24"/>
          <w:highlight w:val="none"/>
        </w:rPr>
        <w:t>。</w:t>
      </w:r>
    </w:p>
    <w:p w14:paraId="611E3990">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施工现场的材料、设备</w:t>
      </w:r>
      <w:r>
        <w:rPr>
          <w:rFonts w:hint="eastAsia" w:ascii="宋体" w:hAnsi="宋体"/>
          <w:color w:val="auto"/>
          <w:sz w:val="24"/>
          <w:szCs w:val="24"/>
          <w:highlight w:val="none"/>
          <w:u w:val="single"/>
        </w:rPr>
        <w:t>由发包人承担费用，其他费用由承包人承担</w:t>
      </w:r>
      <w:r>
        <w:rPr>
          <w:rFonts w:hint="eastAsia" w:ascii="宋体" w:hAnsi="宋体"/>
          <w:color w:val="auto"/>
          <w:sz w:val="24"/>
          <w:szCs w:val="24"/>
          <w:highlight w:val="none"/>
        </w:rPr>
        <w:t>。</w:t>
      </w:r>
    </w:p>
    <w:p w14:paraId="7577E914">
      <w:pPr>
        <w:pageBreakBefore w:val="0"/>
        <w:widowControl w:val="0"/>
        <w:spacing w:line="360" w:lineRule="auto"/>
        <w:ind w:left="0" w:right="0" w:firstLine="482"/>
        <w:rPr>
          <w:rFonts w:ascii="宋体" w:hAnsi="宋体"/>
          <w:color w:val="auto"/>
          <w:sz w:val="24"/>
          <w:szCs w:val="24"/>
          <w:highlight w:val="none"/>
        </w:rPr>
      </w:pPr>
      <w:r>
        <w:rPr>
          <w:rFonts w:hint="eastAsia"/>
          <w:b/>
          <w:color w:val="auto"/>
          <w:sz w:val="24"/>
          <w:szCs w:val="24"/>
          <w:highlight w:val="none"/>
        </w:rPr>
        <w:t>签订合同后被发现存在出借（挂靠）资质的行为，愿意无条件接受被取消中标（承包）资格、投标保证金不予退还、履约保证金不予退还、合同解除及清除出场，一切损失自行承担。</w:t>
      </w:r>
    </w:p>
    <w:p w14:paraId="133C3264">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664" w:name="_Toc351203649"/>
      <w:r>
        <w:rPr>
          <w:rFonts w:ascii="宋体" w:hAnsi="宋体"/>
          <w:b w:val="0"/>
          <w:color w:val="auto"/>
          <w:sz w:val="24"/>
          <w:szCs w:val="24"/>
          <w:highlight w:val="none"/>
        </w:rPr>
        <w:t>17.</w:t>
      </w:r>
      <w:r>
        <w:rPr>
          <w:rFonts w:hint="eastAsia" w:ascii="宋体" w:hAnsi="宋体"/>
          <w:b w:val="0"/>
          <w:color w:val="auto"/>
          <w:sz w:val="24"/>
          <w:szCs w:val="24"/>
          <w:highlight w:val="none"/>
        </w:rPr>
        <w:t>不可抗力</w:t>
      </w:r>
      <w:bookmarkEnd w:id="658"/>
      <w:bookmarkEnd w:id="664"/>
    </w:p>
    <w:p w14:paraId="79A830BC">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17.1</w:t>
      </w:r>
      <w:r>
        <w:rPr>
          <w:rFonts w:hint="eastAsia" w:ascii="宋体" w:hAnsi="宋体"/>
          <w:color w:val="auto"/>
          <w:sz w:val="24"/>
          <w:szCs w:val="24"/>
          <w:highlight w:val="none"/>
        </w:rPr>
        <w:t>不可抗力的确认</w:t>
      </w:r>
    </w:p>
    <w:p w14:paraId="4E856BCC">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除通用合同条款约定的不可抗力事件之外，视为不可抗力的其他情形：</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6290FB04">
      <w:pPr>
        <w:pageBreakBefore w:val="0"/>
        <w:widowControl w:val="0"/>
        <w:spacing w:line="360" w:lineRule="auto"/>
        <w:ind w:left="0" w:right="0" w:firstLine="480"/>
        <w:outlineLvl w:val="0"/>
        <w:rPr>
          <w:rFonts w:ascii="宋体" w:hAnsi="宋体"/>
          <w:color w:val="auto"/>
          <w:sz w:val="24"/>
          <w:szCs w:val="24"/>
          <w:highlight w:val="none"/>
        </w:rPr>
      </w:pPr>
      <w:bookmarkStart w:id="665" w:name="_Toc22150"/>
      <w:bookmarkStart w:id="666" w:name="_Toc24685"/>
      <w:r>
        <w:rPr>
          <w:rFonts w:ascii="宋体" w:hAnsi="宋体"/>
          <w:color w:val="auto"/>
          <w:sz w:val="24"/>
          <w:szCs w:val="24"/>
          <w:highlight w:val="none"/>
        </w:rPr>
        <w:t>17.4</w:t>
      </w:r>
      <w:r>
        <w:rPr>
          <w:rFonts w:hint="eastAsia" w:ascii="宋体" w:hAnsi="宋体"/>
          <w:color w:val="auto"/>
          <w:sz w:val="24"/>
          <w:szCs w:val="24"/>
          <w:highlight w:val="none"/>
        </w:rPr>
        <w:t>因不可抗力解除合同</w:t>
      </w:r>
      <w:bookmarkEnd w:id="665"/>
      <w:bookmarkEnd w:id="666"/>
    </w:p>
    <w:p w14:paraId="0BBAE53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合同解除后，发包人应在商定或确定发包人应支付款项后</w:t>
      </w:r>
      <w:r>
        <w:rPr>
          <w:rFonts w:hint="eastAsia" w:ascii="宋体" w:hAnsi="宋体"/>
          <w:color w:val="auto"/>
          <w:sz w:val="24"/>
          <w:szCs w:val="24"/>
          <w:highlight w:val="none"/>
          <w:u w:val="single"/>
        </w:rPr>
        <w:t>28</w:t>
      </w:r>
      <w:r>
        <w:rPr>
          <w:rFonts w:hint="eastAsia" w:ascii="宋体" w:hAnsi="宋体"/>
          <w:color w:val="auto"/>
          <w:sz w:val="24"/>
          <w:szCs w:val="24"/>
          <w:highlight w:val="none"/>
        </w:rPr>
        <w:t>天内完成</w:t>
      </w:r>
      <w:r>
        <w:rPr>
          <w:rFonts w:hint="eastAsia" w:ascii="宋体" w:hAnsi="宋体"/>
          <w:color w:val="auto"/>
          <w:sz w:val="24"/>
          <w:szCs w:val="24"/>
          <w:highlight w:val="none"/>
          <w:lang w:val="en-US" w:eastAsia="zh-CN"/>
        </w:rPr>
        <w:t>相应</w:t>
      </w:r>
      <w:r>
        <w:rPr>
          <w:rFonts w:hint="eastAsia" w:ascii="宋体" w:hAnsi="宋体"/>
          <w:color w:val="auto"/>
          <w:sz w:val="24"/>
          <w:szCs w:val="24"/>
          <w:highlight w:val="none"/>
        </w:rPr>
        <w:t>款项的支付。</w:t>
      </w:r>
    </w:p>
    <w:p w14:paraId="53E023E7">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667" w:name="_Toc351203650"/>
      <w:r>
        <w:rPr>
          <w:rFonts w:ascii="宋体" w:hAnsi="宋体"/>
          <w:b w:val="0"/>
          <w:color w:val="auto"/>
          <w:sz w:val="24"/>
          <w:szCs w:val="24"/>
          <w:highlight w:val="none"/>
        </w:rPr>
        <w:t>18.</w:t>
      </w:r>
      <w:r>
        <w:rPr>
          <w:rFonts w:hint="eastAsia" w:ascii="宋体" w:hAnsi="宋体"/>
          <w:b w:val="0"/>
          <w:color w:val="auto"/>
          <w:sz w:val="24"/>
          <w:szCs w:val="24"/>
          <w:highlight w:val="none"/>
        </w:rPr>
        <w:t>保险</w:t>
      </w:r>
      <w:bookmarkEnd w:id="659"/>
      <w:bookmarkEnd w:id="667"/>
    </w:p>
    <w:p w14:paraId="06A9AC9F">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18.1</w:t>
      </w:r>
      <w:r>
        <w:rPr>
          <w:rFonts w:hint="eastAsia" w:ascii="宋体" w:hAnsi="宋体"/>
          <w:color w:val="auto"/>
          <w:sz w:val="24"/>
          <w:szCs w:val="24"/>
          <w:highlight w:val="none"/>
        </w:rPr>
        <w:t>工程保险</w:t>
      </w:r>
    </w:p>
    <w:p w14:paraId="544FA98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关于工程保险的特别约定：</w:t>
      </w:r>
      <w:r>
        <w:rPr>
          <w:rFonts w:ascii="宋体" w:hAnsi="宋体"/>
          <w:color w:val="auto"/>
          <w:sz w:val="24"/>
          <w:szCs w:val="24"/>
          <w:highlight w:val="none"/>
          <w:u w:val="single"/>
        </w:rPr>
        <w:t>为工程购买房屋建筑工程一切险，保险费用由承包人支付</w:t>
      </w:r>
      <w:r>
        <w:rPr>
          <w:rFonts w:hint="eastAsia" w:ascii="宋体" w:hAnsi="宋体"/>
          <w:color w:val="auto"/>
          <w:sz w:val="24"/>
          <w:szCs w:val="24"/>
          <w:highlight w:val="none"/>
        </w:rPr>
        <w:t>。</w:t>
      </w:r>
    </w:p>
    <w:p w14:paraId="431FC1A4">
      <w:pPr>
        <w:pageBreakBefore w:val="0"/>
        <w:widowControl w:val="0"/>
        <w:spacing w:line="360" w:lineRule="auto"/>
        <w:ind w:left="0" w:right="0" w:firstLine="480"/>
        <w:outlineLvl w:val="0"/>
        <w:rPr>
          <w:rFonts w:ascii="宋体" w:hAnsi="宋体"/>
          <w:color w:val="auto"/>
          <w:sz w:val="24"/>
          <w:szCs w:val="24"/>
          <w:highlight w:val="none"/>
        </w:rPr>
      </w:pPr>
      <w:bookmarkStart w:id="668" w:name="_Toc7264"/>
      <w:bookmarkStart w:id="669" w:name="_Toc19966"/>
      <w:r>
        <w:rPr>
          <w:rFonts w:ascii="宋体" w:hAnsi="宋体"/>
          <w:color w:val="auto"/>
          <w:sz w:val="24"/>
          <w:szCs w:val="24"/>
          <w:highlight w:val="none"/>
        </w:rPr>
        <w:t>18.3</w:t>
      </w:r>
      <w:r>
        <w:rPr>
          <w:rFonts w:hint="eastAsia" w:ascii="宋体" w:hAnsi="宋体"/>
          <w:color w:val="auto"/>
          <w:sz w:val="24"/>
          <w:szCs w:val="24"/>
          <w:highlight w:val="none"/>
        </w:rPr>
        <w:t>其他保险</w:t>
      </w:r>
      <w:bookmarkEnd w:id="668"/>
      <w:bookmarkEnd w:id="669"/>
    </w:p>
    <w:p w14:paraId="354147D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关于其他保险的约定：</w:t>
      </w:r>
      <w:r>
        <w:rPr>
          <w:rFonts w:hint="eastAsia" w:ascii="宋体" w:hAnsi="宋体"/>
          <w:color w:val="auto"/>
          <w:sz w:val="24"/>
          <w:szCs w:val="24"/>
          <w:highlight w:val="none"/>
          <w:u w:val="single"/>
        </w:rPr>
        <w:t>承包人为</w:t>
      </w:r>
      <w:r>
        <w:rPr>
          <w:rFonts w:ascii="宋体" w:hAnsi="宋体"/>
          <w:color w:val="auto"/>
          <w:sz w:val="24"/>
          <w:szCs w:val="24"/>
          <w:highlight w:val="none"/>
          <w:u w:val="single"/>
        </w:rPr>
        <w:t>施工现场的全部人员办理意外伤害保险</w:t>
      </w:r>
      <w:r>
        <w:rPr>
          <w:rFonts w:hint="eastAsia" w:ascii="宋体" w:hAnsi="宋体"/>
          <w:color w:val="auto"/>
          <w:sz w:val="24"/>
          <w:szCs w:val="24"/>
          <w:highlight w:val="none"/>
          <w:u w:val="single"/>
        </w:rPr>
        <w:t>、</w:t>
      </w:r>
      <w:r>
        <w:rPr>
          <w:rFonts w:ascii="宋体" w:hAnsi="宋体"/>
          <w:color w:val="auto"/>
          <w:sz w:val="24"/>
          <w:szCs w:val="24"/>
          <w:highlight w:val="none"/>
          <w:u w:val="single"/>
        </w:rPr>
        <w:t>工程事故保险。一切事故均与发包方无关</w:t>
      </w:r>
      <w:r>
        <w:rPr>
          <w:rFonts w:hint="eastAsia" w:ascii="宋体" w:hAnsi="宋体"/>
          <w:color w:val="auto"/>
          <w:sz w:val="24"/>
          <w:szCs w:val="24"/>
          <w:highlight w:val="none"/>
        </w:rPr>
        <w:t>。</w:t>
      </w:r>
    </w:p>
    <w:p w14:paraId="3CB1FCE1">
      <w:pPr>
        <w:pageBreakBefore w:val="0"/>
        <w:widowControl w:val="0"/>
        <w:spacing w:line="360" w:lineRule="auto"/>
        <w:ind w:left="0" w:right="0" w:firstLine="480"/>
        <w:jc w:val="left"/>
        <w:rPr>
          <w:rFonts w:ascii="宋体" w:hAnsi="宋体"/>
          <w:color w:val="auto"/>
          <w:spacing w:val="-6"/>
          <w:sz w:val="24"/>
          <w:szCs w:val="24"/>
          <w:highlight w:val="none"/>
          <w:u w:val="single"/>
        </w:rPr>
      </w:pPr>
      <w:r>
        <w:rPr>
          <w:rFonts w:hint="eastAsia" w:ascii="宋体" w:hAnsi="宋体"/>
          <w:color w:val="auto"/>
          <w:spacing w:val="-6"/>
          <w:sz w:val="24"/>
          <w:szCs w:val="24"/>
          <w:highlight w:val="none"/>
        </w:rPr>
        <w:t>承包人是否应为其施工设备等办理财产保险：</w:t>
      </w:r>
      <w:r>
        <w:rPr>
          <w:rFonts w:ascii="宋体" w:hAnsi="宋体"/>
          <w:color w:val="auto"/>
          <w:spacing w:val="-6"/>
          <w:sz w:val="24"/>
          <w:szCs w:val="24"/>
          <w:highlight w:val="none"/>
          <w:u w:val="single"/>
        </w:rPr>
        <w:t>承包人为其施工设备等办理财产保险</w:t>
      </w:r>
      <w:r>
        <w:rPr>
          <w:rFonts w:ascii="宋体" w:hAnsi="宋体"/>
          <w:color w:val="auto"/>
          <w:spacing w:val="-6"/>
          <w:sz w:val="24"/>
          <w:szCs w:val="24"/>
          <w:highlight w:val="none"/>
        </w:rPr>
        <w:t>。</w:t>
      </w:r>
    </w:p>
    <w:p w14:paraId="5B8E1D4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18.7</w:t>
      </w:r>
      <w:r>
        <w:rPr>
          <w:rFonts w:hint="eastAsia" w:ascii="宋体" w:hAnsi="宋体"/>
          <w:color w:val="auto"/>
          <w:sz w:val="24"/>
          <w:szCs w:val="24"/>
          <w:highlight w:val="none"/>
        </w:rPr>
        <w:t>通知义务</w:t>
      </w:r>
    </w:p>
    <w:p w14:paraId="147117D6">
      <w:pPr>
        <w:pageBreakBefore w:val="0"/>
        <w:widowControl w:val="0"/>
        <w:spacing w:line="360" w:lineRule="auto"/>
        <w:ind w:left="0" w:right="0" w:firstLine="480"/>
        <w:jc w:val="left"/>
        <w:rPr>
          <w:rFonts w:ascii="宋体" w:hAnsi="宋体"/>
          <w:color w:val="auto"/>
          <w:spacing w:val="-6"/>
          <w:sz w:val="24"/>
          <w:szCs w:val="24"/>
          <w:highlight w:val="none"/>
        </w:rPr>
      </w:pPr>
      <w:r>
        <w:rPr>
          <w:rFonts w:hint="eastAsia" w:ascii="宋体" w:hAnsi="宋体"/>
          <w:color w:val="auto"/>
          <w:spacing w:val="-6"/>
          <w:sz w:val="24"/>
          <w:szCs w:val="24"/>
          <w:highlight w:val="none"/>
        </w:rPr>
        <w:t>关于变更保险合同时的通知义务的约定：</w:t>
      </w:r>
      <w:r>
        <w:rPr>
          <w:rFonts w:hint="eastAsia" w:ascii="宋体" w:hAnsi="宋体"/>
          <w:color w:val="auto"/>
          <w:spacing w:val="-6"/>
          <w:sz w:val="24"/>
          <w:szCs w:val="24"/>
          <w:highlight w:val="none"/>
          <w:u w:val="single"/>
        </w:rPr>
        <w:t>变更前应</w:t>
      </w:r>
      <w:r>
        <w:rPr>
          <w:rFonts w:ascii="宋体" w:hAnsi="宋体"/>
          <w:color w:val="auto"/>
          <w:spacing w:val="-6"/>
          <w:sz w:val="24"/>
          <w:szCs w:val="24"/>
          <w:highlight w:val="none"/>
          <w:u w:val="single"/>
        </w:rPr>
        <w:t>事先征得</w:t>
      </w:r>
      <w:r>
        <w:rPr>
          <w:rFonts w:hint="eastAsia" w:ascii="宋体" w:hAnsi="宋体"/>
          <w:color w:val="auto"/>
          <w:spacing w:val="-6"/>
          <w:sz w:val="24"/>
          <w:szCs w:val="24"/>
          <w:highlight w:val="none"/>
          <w:u w:val="single"/>
        </w:rPr>
        <w:t>对方</w:t>
      </w:r>
      <w:r>
        <w:rPr>
          <w:rFonts w:ascii="宋体" w:hAnsi="宋体"/>
          <w:color w:val="auto"/>
          <w:spacing w:val="-6"/>
          <w:sz w:val="24"/>
          <w:szCs w:val="24"/>
          <w:highlight w:val="none"/>
          <w:u w:val="single"/>
        </w:rPr>
        <w:t>同意</w:t>
      </w:r>
      <w:r>
        <w:rPr>
          <w:rFonts w:hint="eastAsia" w:ascii="宋体" w:hAnsi="宋体"/>
          <w:color w:val="auto"/>
          <w:spacing w:val="-6"/>
          <w:sz w:val="24"/>
          <w:szCs w:val="24"/>
          <w:highlight w:val="none"/>
          <w:u w:val="single"/>
        </w:rPr>
        <w:t>并通知监理人</w:t>
      </w:r>
      <w:r>
        <w:rPr>
          <w:rFonts w:hint="eastAsia" w:ascii="宋体" w:hAnsi="宋体"/>
          <w:color w:val="auto"/>
          <w:spacing w:val="-6"/>
          <w:sz w:val="24"/>
          <w:szCs w:val="24"/>
          <w:highlight w:val="none"/>
        </w:rPr>
        <w:t>。</w:t>
      </w:r>
      <w:bookmarkEnd w:id="629"/>
      <w:bookmarkEnd w:id="630"/>
      <w:bookmarkEnd w:id="631"/>
      <w:bookmarkEnd w:id="632"/>
      <w:bookmarkEnd w:id="633"/>
      <w:bookmarkEnd w:id="634"/>
      <w:bookmarkEnd w:id="635"/>
      <w:bookmarkEnd w:id="636"/>
      <w:bookmarkEnd w:id="637"/>
      <w:bookmarkEnd w:id="638"/>
      <w:bookmarkEnd w:id="639"/>
      <w:bookmarkEnd w:id="640"/>
    </w:p>
    <w:p w14:paraId="6661812A">
      <w:pPr>
        <w:pStyle w:val="173"/>
        <w:pageBreakBefore w:val="0"/>
        <w:widowControl w:val="0"/>
        <w:spacing w:before="0" w:after="0" w:line="360" w:lineRule="auto"/>
        <w:ind w:left="0" w:right="0" w:firstLine="0"/>
        <w:rPr>
          <w:rFonts w:ascii="宋体" w:hAnsi="宋体"/>
          <w:b w:val="0"/>
          <w:color w:val="auto"/>
          <w:sz w:val="24"/>
          <w:szCs w:val="24"/>
          <w:highlight w:val="none"/>
        </w:rPr>
      </w:pPr>
      <w:bookmarkStart w:id="670" w:name="_Toc351203651"/>
      <w:r>
        <w:rPr>
          <w:rFonts w:ascii="宋体" w:hAnsi="宋体"/>
          <w:b w:val="0"/>
          <w:color w:val="auto"/>
          <w:sz w:val="24"/>
          <w:szCs w:val="24"/>
          <w:highlight w:val="none"/>
        </w:rPr>
        <w:t>20.</w:t>
      </w:r>
      <w:r>
        <w:rPr>
          <w:rFonts w:hint="eastAsia" w:ascii="宋体" w:hAnsi="宋体"/>
          <w:b w:val="0"/>
          <w:color w:val="auto"/>
          <w:sz w:val="24"/>
          <w:szCs w:val="24"/>
          <w:highlight w:val="none"/>
        </w:rPr>
        <w:t>争议解决</w:t>
      </w:r>
      <w:bookmarkEnd w:id="641"/>
      <w:bookmarkEnd w:id="642"/>
      <w:bookmarkEnd w:id="670"/>
    </w:p>
    <w:p w14:paraId="0BA31EF6">
      <w:pPr>
        <w:pageBreakBefore w:val="0"/>
        <w:widowControl w:val="0"/>
        <w:spacing w:line="360" w:lineRule="auto"/>
        <w:ind w:left="0" w:right="0" w:firstLine="480"/>
        <w:outlineLvl w:val="0"/>
        <w:rPr>
          <w:rFonts w:ascii="宋体" w:hAnsi="宋体"/>
          <w:color w:val="auto"/>
          <w:sz w:val="24"/>
          <w:szCs w:val="24"/>
          <w:highlight w:val="none"/>
        </w:rPr>
      </w:pPr>
      <w:bookmarkStart w:id="671" w:name="_Toc2697"/>
      <w:bookmarkStart w:id="672" w:name="_Toc17761"/>
      <w:r>
        <w:rPr>
          <w:rFonts w:ascii="宋体" w:hAnsi="宋体"/>
          <w:color w:val="auto"/>
          <w:sz w:val="24"/>
          <w:szCs w:val="24"/>
          <w:highlight w:val="none"/>
        </w:rPr>
        <w:t>20.3</w:t>
      </w:r>
      <w:r>
        <w:rPr>
          <w:rFonts w:hint="eastAsia" w:ascii="宋体" w:hAnsi="宋体"/>
          <w:color w:val="auto"/>
          <w:sz w:val="24"/>
          <w:szCs w:val="24"/>
          <w:highlight w:val="none"/>
        </w:rPr>
        <w:t>争</w:t>
      </w:r>
      <w:bookmarkEnd w:id="643"/>
      <w:r>
        <w:rPr>
          <w:rFonts w:hint="eastAsia" w:ascii="宋体" w:hAnsi="宋体"/>
          <w:color w:val="auto"/>
          <w:sz w:val="24"/>
          <w:szCs w:val="24"/>
          <w:highlight w:val="none"/>
        </w:rPr>
        <w:t>议评审</w:t>
      </w:r>
      <w:bookmarkEnd w:id="671"/>
      <w:bookmarkEnd w:id="672"/>
    </w:p>
    <w:p w14:paraId="4EBD7B63">
      <w:pPr>
        <w:pageBreakBefore w:val="0"/>
        <w:widowControl w:val="0"/>
        <w:spacing w:line="360" w:lineRule="auto"/>
        <w:ind w:left="0" w:right="0" w:firstLine="360"/>
        <w:jc w:val="left"/>
        <w:rPr>
          <w:rFonts w:ascii="宋体" w:hAnsi="宋体"/>
          <w:color w:val="auto"/>
          <w:sz w:val="24"/>
          <w:szCs w:val="24"/>
          <w:highlight w:val="none"/>
        </w:rPr>
      </w:pPr>
      <w:r>
        <w:rPr>
          <w:rFonts w:hint="eastAsia" w:ascii="宋体" w:hAnsi="宋体"/>
          <w:color w:val="auto"/>
          <w:sz w:val="24"/>
          <w:szCs w:val="24"/>
          <w:highlight w:val="none"/>
        </w:rPr>
        <w:t>合同当事人是否同意将工程争议提交争议评审小组决定：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3F88DB3">
      <w:pPr>
        <w:pageBreakBefore w:val="0"/>
        <w:widowControl w:val="0"/>
        <w:spacing w:line="360" w:lineRule="auto"/>
        <w:ind w:left="0" w:right="0" w:firstLine="480"/>
        <w:jc w:val="left"/>
        <w:outlineLvl w:val="0"/>
        <w:rPr>
          <w:rFonts w:ascii="宋体" w:hAnsi="宋体"/>
          <w:color w:val="auto"/>
          <w:sz w:val="24"/>
          <w:szCs w:val="24"/>
          <w:highlight w:val="none"/>
        </w:rPr>
      </w:pPr>
      <w:bookmarkStart w:id="673" w:name="_Toc3132"/>
      <w:bookmarkStart w:id="674" w:name="_Toc28035"/>
      <w:r>
        <w:rPr>
          <w:rFonts w:ascii="宋体" w:hAnsi="宋体"/>
          <w:color w:val="auto"/>
          <w:sz w:val="24"/>
          <w:szCs w:val="24"/>
          <w:highlight w:val="none"/>
        </w:rPr>
        <w:t>20.3.1</w:t>
      </w:r>
      <w:r>
        <w:rPr>
          <w:rFonts w:hint="eastAsia" w:ascii="宋体" w:hAnsi="宋体"/>
          <w:color w:val="auto"/>
          <w:sz w:val="24"/>
          <w:szCs w:val="24"/>
          <w:highlight w:val="none"/>
        </w:rPr>
        <w:t>争议评审小组的确定</w:t>
      </w:r>
      <w:bookmarkEnd w:id="673"/>
      <w:bookmarkEnd w:id="674"/>
    </w:p>
    <w:p w14:paraId="254523A3">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争议评审小组成员的确定：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52CD610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选定争议评审员的期限：</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733CF2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争议评审小组成员的报酬承担方式：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549DE6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其他事项的约定：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B4D82BD">
      <w:pPr>
        <w:pageBreakBefore w:val="0"/>
        <w:widowControl w:val="0"/>
        <w:spacing w:line="360" w:lineRule="auto"/>
        <w:ind w:left="0" w:right="0" w:firstLine="480"/>
        <w:jc w:val="left"/>
        <w:outlineLvl w:val="0"/>
        <w:rPr>
          <w:rFonts w:ascii="宋体" w:hAnsi="宋体"/>
          <w:color w:val="auto"/>
          <w:sz w:val="24"/>
          <w:szCs w:val="24"/>
          <w:highlight w:val="none"/>
        </w:rPr>
      </w:pPr>
      <w:bookmarkStart w:id="675" w:name="_Toc10435"/>
      <w:bookmarkStart w:id="676" w:name="_Toc13941"/>
      <w:r>
        <w:rPr>
          <w:rFonts w:ascii="宋体" w:hAnsi="宋体"/>
          <w:color w:val="auto"/>
          <w:sz w:val="24"/>
          <w:szCs w:val="24"/>
          <w:highlight w:val="none"/>
        </w:rPr>
        <w:t>20.3.2</w:t>
      </w:r>
      <w:r>
        <w:rPr>
          <w:rFonts w:hint="eastAsia" w:ascii="宋体" w:hAnsi="宋体"/>
          <w:color w:val="auto"/>
          <w:sz w:val="24"/>
          <w:szCs w:val="24"/>
          <w:highlight w:val="none"/>
        </w:rPr>
        <w:t>争议评审小组的决定</w:t>
      </w:r>
      <w:bookmarkEnd w:id="675"/>
      <w:bookmarkEnd w:id="676"/>
    </w:p>
    <w:p w14:paraId="2B1911B8">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合同当事人关于本项的约定：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1DDE8ED">
      <w:pPr>
        <w:pageBreakBefore w:val="0"/>
        <w:widowControl w:val="0"/>
        <w:spacing w:line="360" w:lineRule="auto"/>
        <w:ind w:left="0" w:right="0" w:firstLine="480"/>
        <w:outlineLvl w:val="0"/>
        <w:rPr>
          <w:rFonts w:ascii="宋体" w:hAnsi="宋体"/>
          <w:color w:val="auto"/>
          <w:sz w:val="24"/>
          <w:szCs w:val="24"/>
          <w:highlight w:val="none"/>
        </w:rPr>
      </w:pPr>
      <w:bookmarkStart w:id="677" w:name="_Toc4852"/>
      <w:bookmarkStart w:id="678" w:name="_Toc7132"/>
      <w:r>
        <w:rPr>
          <w:rFonts w:ascii="宋体" w:hAnsi="宋体"/>
          <w:color w:val="auto"/>
          <w:sz w:val="24"/>
          <w:szCs w:val="24"/>
          <w:highlight w:val="none"/>
        </w:rPr>
        <w:t>20.4</w:t>
      </w:r>
      <w:r>
        <w:rPr>
          <w:rFonts w:hint="eastAsia" w:ascii="宋体" w:hAnsi="宋体"/>
          <w:color w:val="auto"/>
          <w:sz w:val="24"/>
          <w:szCs w:val="24"/>
          <w:highlight w:val="none"/>
        </w:rPr>
        <w:t>仲裁或诉讼</w:t>
      </w:r>
      <w:bookmarkEnd w:id="644"/>
      <w:bookmarkEnd w:id="677"/>
      <w:bookmarkEnd w:id="678"/>
    </w:p>
    <w:p w14:paraId="2DD15C22">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因合同及合同有关事项发生的争议，按下列第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种方式解决：</w:t>
      </w:r>
    </w:p>
    <w:p w14:paraId="283E313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）向</w:t>
      </w:r>
      <w:r>
        <w:rPr>
          <w:rFonts w:hint="eastAsia" w:ascii="宋体" w:hAnsi="宋体"/>
          <w:color w:val="auto"/>
          <w:sz w:val="24"/>
          <w:szCs w:val="24"/>
          <w:highlight w:val="none"/>
          <w:u w:val="single"/>
        </w:rPr>
        <w:t>/</w:t>
      </w:r>
      <w:r>
        <w:rPr>
          <w:rFonts w:hint="eastAsia" w:ascii="宋体" w:hAnsi="宋体"/>
          <w:color w:val="auto"/>
          <w:sz w:val="24"/>
          <w:szCs w:val="24"/>
          <w:highlight w:val="none"/>
        </w:rPr>
        <w:t>仲裁委员会申请仲裁；</w:t>
      </w:r>
    </w:p>
    <w:p w14:paraId="0908AB32">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工程所在地由管辖权</w:t>
      </w:r>
      <w:r>
        <w:rPr>
          <w:rFonts w:hint="eastAsia" w:ascii="宋体" w:hAnsi="宋体" w:eastAsia="宋体" w:cs="宋体"/>
          <w:color w:val="auto"/>
          <w:sz w:val="24"/>
          <w:szCs w:val="24"/>
          <w:highlight w:val="none"/>
        </w:rPr>
        <w:t>人民法院起诉</w:t>
      </w:r>
      <w:r>
        <w:rPr>
          <w:rFonts w:hint="eastAsia" w:ascii="宋体" w:hAnsi="宋体"/>
          <w:color w:val="auto"/>
          <w:sz w:val="24"/>
          <w:szCs w:val="24"/>
          <w:highlight w:val="none"/>
        </w:rPr>
        <w:t>。</w:t>
      </w:r>
      <w:bookmarkEnd w:id="645"/>
      <w:bookmarkEnd w:id="646"/>
      <w:bookmarkEnd w:id="647"/>
      <w:bookmarkEnd w:id="648"/>
      <w:bookmarkEnd w:id="649"/>
      <w:bookmarkEnd w:id="650"/>
    </w:p>
    <w:p w14:paraId="738BBAE4">
      <w:pPr>
        <w:pageBreakBefore w:val="0"/>
        <w:widowControl w:val="0"/>
        <w:spacing w:line="360" w:lineRule="auto"/>
        <w:ind w:left="0" w:right="0" w:firstLine="0"/>
        <w:rPr>
          <w:rFonts w:ascii="宋体" w:hAnsi="宋体"/>
          <w:color w:val="auto"/>
          <w:sz w:val="24"/>
          <w:szCs w:val="24"/>
          <w:highlight w:val="none"/>
        </w:rPr>
      </w:pPr>
      <w:r>
        <w:rPr>
          <w:rFonts w:hint="eastAsia" w:ascii="宋体" w:hAnsi="宋体"/>
          <w:color w:val="auto"/>
          <w:sz w:val="24"/>
          <w:szCs w:val="24"/>
          <w:highlight w:val="none"/>
        </w:rPr>
        <w:t>21、补充条款：</w:t>
      </w:r>
    </w:p>
    <w:p w14:paraId="063338CD">
      <w:pPr>
        <w:pageBreakBefore w:val="0"/>
        <w:widowControl w:val="0"/>
        <w:spacing w:line="360" w:lineRule="auto"/>
        <w:ind w:left="0" w:right="0" w:firstLine="480"/>
        <w:jc w:val="left"/>
        <w:rPr>
          <w:rFonts w:hint="eastAsia"/>
          <w:color w:val="auto"/>
          <w:sz w:val="24"/>
          <w:szCs w:val="24"/>
          <w:highlight w:val="none"/>
        </w:rPr>
      </w:pPr>
      <w:r>
        <w:rPr>
          <w:rFonts w:hint="eastAsia" w:ascii="宋体" w:hAnsi="宋体" w:cs="宋体"/>
          <w:color w:val="auto"/>
          <w:sz w:val="24"/>
          <w:szCs w:val="24"/>
          <w:highlight w:val="none"/>
          <w:lang w:bidi="ar"/>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6522C871">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25387674">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1A20B042">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p>
    <w:p w14:paraId="2E4581DC">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21.5、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2C3E9097">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21.6、无论任何时期，发包人有权在本合同所属工程范围内根据整个项目的实际施工进度，将工程分阶段开工与竣工。承包人已被视为在报价中考虑此因素。</w:t>
      </w:r>
    </w:p>
    <w:p w14:paraId="16E0EF0F">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3EB9836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0D0DC26A">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21.9、除不可抗力因素外，本合同价中应包括防洪、防风、暴雨措施所需要的一切费用。</w:t>
      </w:r>
    </w:p>
    <w:p w14:paraId="462ECFAF">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21.10、施工过程中与周围发生的纠纷由承包人自行协商解决，费用由承包人自理，该费用应包含在合同价中。</w:t>
      </w:r>
    </w:p>
    <w:p w14:paraId="25AE922A">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793EFC10">
      <w:pPr>
        <w:pageBreakBefore w:val="0"/>
        <w:widowControl w:val="0"/>
        <w:spacing w:line="360" w:lineRule="auto"/>
        <w:ind w:left="0" w:right="0" w:firstLine="480"/>
        <w:jc w:val="left"/>
        <w:rPr>
          <w:rFonts w:hint="eastAsia" w:ascii="宋体" w:hAnsi="宋体" w:eastAsia="宋体" w:cs="Times New Roman"/>
          <w:color w:val="auto"/>
          <w:sz w:val="24"/>
          <w:szCs w:val="24"/>
          <w:highlight w:val="none"/>
        </w:rPr>
      </w:pPr>
      <w:r>
        <w:rPr>
          <w:rFonts w:hint="eastAsia" w:ascii="宋体" w:hAnsi="宋体" w:cs="宋体"/>
          <w:b/>
          <w:bCs/>
          <w:color w:val="auto"/>
          <w:sz w:val="24"/>
          <w:szCs w:val="24"/>
          <w:highlight w:val="none"/>
          <w:lang w:bidi="ar"/>
        </w:rPr>
        <w:t>21.12、</w:t>
      </w:r>
      <w:r>
        <w:rPr>
          <w:rFonts w:hint="eastAsia" w:ascii="宋体" w:hAnsi="宋体" w:eastAsia="宋体" w:cs="Times New Roman"/>
          <w:b/>
          <w:bCs/>
          <w:color w:val="auto"/>
          <w:sz w:val="24"/>
          <w:szCs w:val="24"/>
          <w:highlight w:val="none"/>
        </w:rPr>
        <w:t>竣工结算计价方法和工程量计算规则执行《建设工程工程量清单计价规范》（</w:t>
      </w:r>
      <w:r>
        <w:rPr>
          <w:rFonts w:hint="eastAsia" w:ascii="宋体" w:hAnsi="宋体" w:cs="Times New Roman"/>
          <w:b/>
          <w:bCs/>
          <w:color w:val="auto"/>
          <w:sz w:val="24"/>
          <w:szCs w:val="24"/>
          <w:highlight w:val="none"/>
          <w:lang w:eastAsia="zh-CN"/>
        </w:rPr>
        <w:t>GB/T50500-2024</w:t>
      </w:r>
      <w:r>
        <w:rPr>
          <w:rFonts w:hint="eastAsia" w:ascii="宋体" w:hAnsi="宋体" w:eastAsia="宋体" w:cs="Times New Roman"/>
          <w:b/>
          <w:bCs/>
          <w:color w:val="auto"/>
          <w:sz w:val="24"/>
          <w:szCs w:val="24"/>
          <w:highlight w:val="none"/>
        </w:rPr>
        <w:t>）。承包人应如实申报竣工结算报告，工程结算值经最终审定后，核减率≤5%，审计费用由发包人承担；若核减率＞5%，</w:t>
      </w:r>
      <w:r>
        <w:rPr>
          <w:rFonts w:hint="eastAsia" w:ascii="宋体" w:hAnsi="宋体" w:cs="Times New Roman"/>
          <w:b/>
          <w:bCs/>
          <w:color w:val="auto"/>
          <w:sz w:val="24"/>
          <w:szCs w:val="24"/>
          <w:highlight w:val="none"/>
          <w:lang w:val="en-US" w:eastAsia="zh-CN"/>
        </w:rPr>
        <w:t>全部</w:t>
      </w:r>
      <w:r>
        <w:rPr>
          <w:rFonts w:hint="eastAsia" w:ascii="宋体" w:hAnsi="宋体" w:eastAsia="宋体" w:cs="Times New Roman"/>
          <w:b/>
          <w:bCs/>
          <w:color w:val="auto"/>
          <w:sz w:val="24"/>
          <w:szCs w:val="24"/>
          <w:highlight w:val="none"/>
        </w:rPr>
        <w:t>由承包人承担。</w:t>
      </w:r>
    </w:p>
    <w:p w14:paraId="4C23A7F9">
      <w:pPr>
        <w:pageBreakBefore w:val="0"/>
        <w:widowControl w:val="0"/>
        <w:tabs>
          <w:tab w:val="left" w:pos="1385"/>
        </w:tabs>
        <w:spacing w:line="360" w:lineRule="auto"/>
        <w:ind w:left="0" w:right="0" w:firstLine="480"/>
        <w:rPr>
          <w:rFonts w:hint="eastAsia" w:ascii="宋体" w:hAnsi="宋体" w:cs="宋体"/>
          <w:b/>
          <w:bCs/>
          <w:color w:val="auto"/>
          <w:sz w:val="24"/>
          <w:szCs w:val="24"/>
          <w:highlight w:val="none"/>
          <w:lang w:val="zh-CN" w:bidi="zh-CN"/>
        </w:rPr>
      </w:pPr>
      <w:r>
        <w:rPr>
          <w:rFonts w:hint="eastAsia" w:ascii="宋体" w:hAnsi="宋体" w:cs="宋体"/>
          <w:b/>
          <w:bCs/>
          <w:color w:val="auto"/>
          <w:sz w:val="24"/>
          <w:szCs w:val="24"/>
          <w:highlight w:val="none"/>
          <w:lang w:val="zh-CN" w:bidi="zh-CN"/>
        </w:rPr>
        <w:t>（</w:t>
      </w:r>
      <w:r>
        <w:rPr>
          <w:rFonts w:hint="eastAsia" w:ascii="宋体" w:hAnsi="宋体" w:cs="宋体"/>
          <w:b/>
          <w:bCs/>
          <w:color w:val="auto"/>
          <w:sz w:val="24"/>
          <w:szCs w:val="24"/>
          <w:highlight w:val="none"/>
          <w:lang w:bidi="zh-CN"/>
        </w:rPr>
        <w:t>注：建设单位有权保留对本项目进行二次或多次结算审计的</w:t>
      </w:r>
      <w:r>
        <w:rPr>
          <w:rFonts w:hint="eastAsia" w:ascii="宋体" w:hAnsi="宋体" w:cs="宋体"/>
          <w:b/>
          <w:bCs/>
          <w:color w:val="auto"/>
          <w:sz w:val="24"/>
          <w:szCs w:val="24"/>
          <w:highlight w:val="none"/>
          <w:lang w:val="en-US" w:bidi="zh-CN"/>
        </w:rPr>
        <w:t>权利</w:t>
      </w:r>
      <w:r>
        <w:rPr>
          <w:rFonts w:hint="eastAsia" w:ascii="宋体" w:hAnsi="宋体" w:cs="宋体"/>
          <w:b/>
          <w:bCs/>
          <w:color w:val="auto"/>
          <w:sz w:val="24"/>
          <w:szCs w:val="24"/>
          <w:highlight w:val="none"/>
          <w:lang w:bidi="zh-CN"/>
        </w:rPr>
        <w:t>，承包人不得干涉。</w:t>
      </w:r>
      <w:r>
        <w:rPr>
          <w:rFonts w:hint="eastAsia" w:ascii="宋体" w:hAnsi="宋体" w:cs="宋体"/>
          <w:b/>
          <w:bCs/>
          <w:color w:val="auto"/>
          <w:sz w:val="24"/>
          <w:szCs w:val="24"/>
          <w:highlight w:val="none"/>
          <w:lang w:val="zh-CN" w:bidi="zh-CN"/>
        </w:rPr>
        <w:t>）</w:t>
      </w:r>
    </w:p>
    <w:p w14:paraId="50EB98C6">
      <w:pPr>
        <w:pageBreakBefore w:val="0"/>
        <w:widowControl w:val="0"/>
        <w:spacing w:line="360" w:lineRule="auto"/>
        <w:ind w:left="0" w:right="0" w:firstLine="480"/>
        <w:jc w:val="left"/>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p>
    <w:p w14:paraId="45496D9C">
      <w:pPr>
        <w:pageBreakBefore w:val="0"/>
        <w:widowControl w:val="0"/>
        <w:spacing w:line="360" w:lineRule="auto"/>
        <w:ind w:left="0" w:right="0" w:firstLine="48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21.14、中标后需提交本项目项目负责人职称证至发包人，待工程竣工验收合格后退还。</w:t>
      </w:r>
    </w:p>
    <w:p w14:paraId="49631AA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21.15、项目部的搭设要求：需服从发包人及连云港市有关规定。</w:t>
      </w:r>
    </w:p>
    <w:p w14:paraId="124D29C6">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w:t>
      </w:r>
    </w:p>
    <w:p w14:paraId="5742183F">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①明确表示或者以行为表明不履行合同主要义务，又不遵照发包人和监理人的要求，在约定的合理时间内改正此类过失或违约行为；</w:t>
      </w:r>
    </w:p>
    <w:p w14:paraId="5617A8EE">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②无正当理由而未能进场开工，又不能遵照发包人和监理人要求在约定的合理时间内改正此类过失或违约行为；</w:t>
      </w:r>
    </w:p>
    <w:p w14:paraId="434045B4">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③工程材料、设备、工艺质量或工程不符合本招标文件的规定及本合同约定的，承包人未能在收到发包人或监理人通知和指令后14天内进行调换或重新施工的；</w:t>
      </w:r>
    </w:p>
    <w:p w14:paraId="304B9FCD">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④将承包的建设工程转包、违法分包的；</w:t>
      </w:r>
    </w:p>
    <w:p w14:paraId="4A5EA16A">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⑤已完成的建设工程质量不合格，并拒绝修复的；</w:t>
      </w:r>
    </w:p>
    <w:p w14:paraId="4AA0C4A1">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⑥违反建设及相关部门关于安全防护、文明施工和环境保护工作的要求。</w:t>
      </w:r>
    </w:p>
    <w:p w14:paraId="251E22A9">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如果承包人破产、无力偿还债务、发生非重组重建或合并时、失去政府所颁发的实施本合同工作所必须的资质或资格，则发包人有权立即解除本合同。</w:t>
      </w:r>
    </w:p>
    <w:p w14:paraId="66E57A62">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21.17、项目实施过程中如突发公共卫生事件，则根据国家、省、市及地方相关文件执行</w:t>
      </w:r>
      <w:r>
        <w:rPr>
          <w:rFonts w:hint="eastAsia" w:ascii="宋体" w:hAnsi="宋体"/>
          <w:color w:val="auto"/>
          <w:sz w:val="24"/>
          <w:szCs w:val="24"/>
          <w:highlight w:val="none"/>
        </w:rPr>
        <w:t>，建筑工地需采取相应的消毒防控措施：完善工地封闭措施，完善人员防护措施，日常监测监控等。</w:t>
      </w:r>
    </w:p>
    <w:p w14:paraId="1B380EF8">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s="宋体"/>
          <w:color w:val="auto"/>
          <w:sz w:val="24"/>
          <w:szCs w:val="24"/>
          <w:highlight w:val="none"/>
          <w:lang w:bidi="ar"/>
        </w:rPr>
        <w:t>21.18、中标人中标后不得因企业资质核验影响办理工程建设手续（如合同签订、合同备案等），否则发包人有权没收投标保</w:t>
      </w:r>
      <w:r>
        <w:rPr>
          <w:rFonts w:hint="eastAsia" w:ascii="宋体" w:hAnsi="宋体"/>
          <w:color w:val="auto"/>
          <w:sz w:val="24"/>
          <w:szCs w:val="24"/>
          <w:highlight w:val="none"/>
        </w:rPr>
        <w:t>证金（或履约保证金），情节严重的可以取消其中标人资格，因此产生的一切损失由中标人承担。</w:t>
      </w:r>
    </w:p>
    <w:p w14:paraId="3D3C18F6">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21.19、按照《保障农民工工资支付条例》、《江苏省工程建设领域农民工工资支付管理办法》苏建建管〔2016〕707号及《关于落实建设领域治理拖欠农民工工资问题有关规定的通知》连建管〔2017〕83号、苏政办发〔2016〕85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p>
    <w:p w14:paraId="11034B1D">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21.20、工程付款时，承包人应首先确保农民工工资的发放，同时应充分考虑农忙、学生开学及重要节假日等费用的支出，发包人不另行支付相关费用。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p>
    <w:p w14:paraId="6578B293">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p>
    <w:p w14:paraId="05DD5529">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p>
    <w:p w14:paraId="6C7C280F">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21.23、承包人已充分考虑各专业工程交叉作业所带来的工效降低，作业难度增大，其费用在报价中充分考虑。</w:t>
      </w:r>
    </w:p>
    <w:p w14:paraId="128B9228">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bidi="ar"/>
        </w:rPr>
        <w:t>、承包人有义务配合发包人进行审计工作，并按发包人的要求及时提供相关审计资料，若因承包人未按要求及时提供相关审计资料，造成的影响审计进度及工程款支付进度等相关责任由承包人承担。</w:t>
      </w:r>
    </w:p>
    <w:p w14:paraId="50773106">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、因发包人项目调整、设计变更等原因造成工程中途停建、缓建，发包人不承担任何违约责任及赔偿。</w:t>
      </w:r>
    </w:p>
    <w:p w14:paraId="2D4B97A9">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w:t>
      </w:r>
      <w:r>
        <w:rPr>
          <w:rFonts w:hint="eastAsia" w:ascii="宋体" w:hAnsi="宋体" w:cs="宋体"/>
          <w:color w:val="auto"/>
          <w:sz w:val="24"/>
          <w:szCs w:val="24"/>
          <w:highlight w:val="none"/>
          <w:lang w:val="en-US" w:eastAsia="zh-CN" w:bidi="ar"/>
        </w:rPr>
        <w:t>26</w:t>
      </w:r>
      <w:r>
        <w:rPr>
          <w:rFonts w:hint="eastAsia" w:ascii="宋体" w:hAnsi="宋体" w:cs="宋体"/>
          <w:color w:val="auto"/>
          <w:sz w:val="24"/>
          <w:szCs w:val="24"/>
          <w:highlight w:val="none"/>
          <w:lang w:bidi="ar"/>
        </w:rPr>
        <w:t>若承包人在施工过程中没有能力继续履约，经相关部门认定后，发包人有权单方面解除本项目施工合同，且不承担任何责任，承包人需赔偿发包人一切经济损失并承担相应责任。</w:t>
      </w:r>
    </w:p>
    <w:p w14:paraId="5FFE7F4B">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7</w:t>
      </w:r>
      <w:r>
        <w:rPr>
          <w:rFonts w:hint="eastAsia" w:ascii="宋体" w:hAnsi="宋体" w:cs="宋体"/>
          <w:color w:val="auto"/>
          <w:sz w:val="24"/>
          <w:szCs w:val="24"/>
          <w:highlight w:val="none"/>
          <w:lang w:bidi="ar"/>
        </w:rPr>
        <w:t>、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w:t>
      </w:r>
    </w:p>
    <w:p w14:paraId="6FF58777">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8</w:t>
      </w:r>
      <w:r>
        <w:rPr>
          <w:rFonts w:hint="eastAsia" w:ascii="宋体" w:hAnsi="宋体" w:cs="宋体"/>
          <w:color w:val="auto"/>
          <w:sz w:val="24"/>
          <w:szCs w:val="24"/>
          <w:highlight w:val="none"/>
          <w:lang w:bidi="ar"/>
        </w:rPr>
        <w:t>、中标前，承包人已充分踏勘工地并了解工地位置、情况、道路、储存空间、装卸限制及任何其它足以影响价格的情况等。任何因忽视或误解工地情况而导致的索赔申请将不被批准。</w:t>
      </w:r>
    </w:p>
    <w:p w14:paraId="40874748">
      <w:pPr>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21.</w:t>
      </w:r>
      <w:r>
        <w:rPr>
          <w:rFonts w:hint="eastAsia" w:ascii="宋体" w:hAnsi="宋体" w:cs="宋体"/>
          <w:color w:val="auto"/>
          <w:sz w:val="24"/>
          <w:szCs w:val="24"/>
          <w:highlight w:val="none"/>
          <w:lang w:val="en-US" w:eastAsia="zh-CN" w:bidi="ar"/>
        </w:rPr>
        <w:t>29</w:t>
      </w:r>
      <w:r>
        <w:rPr>
          <w:rFonts w:hint="eastAsia" w:ascii="宋体" w:hAnsi="宋体" w:cs="宋体"/>
          <w:color w:val="auto"/>
          <w:sz w:val="24"/>
          <w:szCs w:val="24"/>
          <w:highlight w:val="none"/>
          <w:lang w:bidi="ar"/>
        </w:rPr>
        <w:t>、承包人要将潮汐、雨季对应急事故池及其他工序施工进度和质量的影响充分综合考虑在投标报价中，在整个施工期间及竣工结算时不得就潮汐和雨季的影响向发包人提出任何索赔，由此产生的所有损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失由承包人自行承担。</w:t>
      </w:r>
    </w:p>
    <w:p w14:paraId="62C2CDBC">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21.30施工人员、进出人员必须按照正确的方式佩带安全帽，佩戴胸卡，施工人员着装统一。</w:t>
      </w:r>
    </w:p>
    <w:p w14:paraId="71E0A317">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21.31乙方需配合相关政府部门检查验收，并与其保持良好沟通，相关费用需考虑。</w:t>
      </w:r>
    </w:p>
    <w:p w14:paraId="4247DA5D">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21.32乙方不论何种原因，出现劳资纠纷，每出现一次，罚款100000元。</w:t>
      </w:r>
    </w:p>
    <w:p w14:paraId="1460F03D">
      <w:pPr>
        <w:pageBreakBefore w:val="0"/>
        <w:widowControl w:val="0"/>
        <w:spacing w:line="360" w:lineRule="auto"/>
        <w:ind w:left="0" w:right="0" w:firstLine="480"/>
        <w:jc w:val="left"/>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21.33本合同范围内的与所有甲供材或甲分包工作面交界处的最后收口或打胶需由承包单位完成，费用包含在投标报价中。</w:t>
      </w:r>
    </w:p>
    <w:p w14:paraId="0078EE2E">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b/>
          <w:bCs/>
          <w:color w:val="auto"/>
          <w:sz w:val="24"/>
          <w:szCs w:val="24"/>
          <w:highlight w:val="none"/>
          <w:lang w:bidi="ar"/>
        </w:rPr>
        <w:t>附件：</w:t>
      </w:r>
    </w:p>
    <w:p w14:paraId="65B054F3">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附件1：承包人承揽工程项目一览表</w:t>
      </w:r>
    </w:p>
    <w:p w14:paraId="27F4ED63">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附件2：发包人供应材料设备一览表</w:t>
      </w:r>
    </w:p>
    <w:p w14:paraId="2F256960">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附件3：承包人用于本工程施工的机械设备表</w:t>
      </w:r>
    </w:p>
    <w:p w14:paraId="51A3638B">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附件4：承包人主要施工管理人员表</w:t>
      </w:r>
    </w:p>
    <w:p w14:paraId="1C28CDE6">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附件5：工程质量保修书</w:t>
      </w:r>
    </w:p>
    <w:p w14:paraId="10B8C682">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附件6：工程安全环境管理协议</w:t>
      </w:r>
    </w:p>
    <w:p w14:paraId="0DAF8D7B">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附件7：工程廉政协议</w:t>
      </w:r>
    </w:p>
    <w:p w14:paraId="4E56A2E4">
      <w:pPr>
        <w:pageBreakBefore w:val="0"/>
        <w:widowControl w:val="0"/>
        <w:spacing w:line="360" w:lineRule="auto"/>
        <w:ind w:left="0" w:right="0"/>
        <w:jc w:val="left"/>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附件8：不拖欠农民工工资</w:t>
      </w:r>
    </w:p>
    <w:p w14:paraId="2036F68B">
      <w:pPr>
        <w:pageBreakBefore w:val="0"/>
        <w:widowControl w:val="0"/>
        <w:spacing w:line="360" w:lineRule="auto"/>
        <w:ind w:left="0" w:right="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附件9：中标人诚信承诺书</w:t>
      </w:r>
    </w:p>
    <w:p w14:paraId="2DC41C31">
      <w:pPr>
        <w:pageBreakBefore w:val="0"/>
        <w:widowControl w:val="0"/>
        <w:spacing w:line="360" w:lineRule="auto"/>
        <w:ind w:left="0" w:right="0"/>
        <w:jc w:val="left"/>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附件10：安全生产责任承诺书</w:t>
      </w:r>
    </w:p>
    <w:p w14:paraId="02F94EA3">
      <w:pPr>
        <w:pageBreakBefore w:val="0"/>
        <w:widowControl w:val="0"/>
        <w:spacing w:line="360" w:lineRule="auto"/>
        <w:ind w:left="0" w:right="0"/>
        <w:jc w:val="left"/>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附件11：成交供应商诚信承诺书</w:t>
      </w:r>
    </w:p>
    <w:p w14:paraId="00AADFE1">
      <w:pPr>
        <w:pageBreakBefore w:val="0"/>
        <w:widowControl w:val="0"/>
        <w:spacing w:line="360" w:lineRule="auto"/>
        <w:ind w:left="0" w:right="0"/>
        <w:jc w:val="left"/>
        <w:rPr>
          <w:rFonts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附件12：项目周边成品保护承诺书</w:t>
      </w:r>
    </w:p>
    <w:p w14:paraId="59ACA688">
      <w:pPr>
        <w:spacing w:before="54"/>
        <w:ind w:left="880"/>
        <w:jc w:val="left"/>
        <w:rPr>
          <w:color w:val="auto"/>
          <w:sz w:val="22"/>
          <w:highlight w:val="none"/>
        </w:rPr>
      </w:pPr>
    </w:p>
    <w:p w14:paraId="6FC246BE">
      <w:pPr>
        <w:spacing w:before="54"/>
        <w:ind w:left="880"/>
        <w:jc w:val="left"/>
        <w:rPr>
          <w:color w:val="auto"/>
          <w:sz w:val="22"/>
          <w:highlight w:val="none"/>
        </w:rPr>
      </w:pPr>
    </w:p>
    <w:p w14:paraId="39338701">
      <w:pPr>
        <w:spacing w:before="54"/>
        <w:ind w:left="880"/>
        <w:jc w:val="left"/>
        <w:rPr>
          <w:color w:val="auto"/>
          <w:sz w:val="22"/>
          <w:highlight w:val="none"/>
        </w:rPr>
      </w:pPr>
    </w:p>
    <w:p w14:paraId="4CD8C705">
      <w:pPr>
        <w:spacing w:before="54"/>
        <w:ind w:left="880"/>
        <w:jc w:val="left"/>
        <w:rPr>
          <w:color w:val="auto"/>
          <w:sz w:val="22"/>
          <w:highlight w:val="none"/>
        </w:rPr>
      </w:pPr>
    </w:p>
    <w:p w14:paraId="45758453">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br w:type="page" w:clear="all"/>
      </w:r>
    </w:p>
    <w:p w14:paraId="279D3359">
      <w:pPr>
        <w:ind w:left="0" w:firstLine="0"/>
        <w:rPr>
          <w:color w:val="auto"/>
          <w:sz w:val="22"/>
          <w:highlight w:val="none"/>
        </w:rPr>
      </w:pPr>
      <w:r>
        <w:rPr>
          <w:rFonts w:ascii="Times New Roman" w:hAnsi="Times New Roman" w:eastAsia="宋体" w:cs="Times New Roman"/>
          <w:color w:val="auto"/>
          <w:highlight w:val="none"/>
        </w:rPr>
        <w:t>附件1：</w:t>
      </w:r>
    </w:p>
    <w:p w14:paraId="5AE1A7F7">
      <w:pPr>
        <w:pStyle w:val="200"/>
        <w:tabs>
          <w:tab w:val="left" w:pos="1160"/>
          <w:tab w:val="left" w:pos="2423"/>
        </w:tabs>
        <w:spacing w:before="11"/>
        <w:ind w:left="63" w:right="63"/>
        <w:rPr>
          <w:color w:val="auto"/>
          <w:sz w:val="18"/>
          <w:highlight w:val="none"/>
        </w:rPr>
      </w:pPr>
    </w:p>
    <w:p w14:paraId="4022C3CA">
      <w:pPr>
        <w:pStyle w:val="200"/>
        <w:tabs>
          <w:tab w:val="left" w:pos="1160"/>
          <w:tab w:val="left" w:pos="2423"/>
        </w:tabs>
        <w:spacing w:before="70"/>
        <w:ind w:left="0" w:right="63" w:firstLine="0"/>
        <w:jc w:val="center"/>
        <w:rPr>
          <w:color w:val="auto"/>
          <w:highlight w:val="none"/>
        </w:rPr>
      </w:pPr>
      <w:r>
        <w:rPr>
          <w:color w:val="auto"/>
          <w:highlight w:val="none"/>
        </w:rPr>
        <w:t>承包人承揽工程项目一览表</w:t>
      </w:r>
    </w:p>
    <w:p w14:paraId="0453AED3">
      <w:pPr>
        <w:pStyle w:val="200"/>
        <w:tabs>
          <w:tab w:val="left" w:pos="1160"/>
          <w:tab w:val="left" w:pos="2423"/>
        </w:tabs>
        <w:spacing w:before="8" w:after="1"/>
        <w:ind w:left="0" w:right="63"/>
        <w:jc w:val="both"/>
        <w:rPr>
          <w:color w:val="auto"/>
          <w:sz w:val="20"/>
          <w:highlight w:val="none"/>
        </w:rPr>
      </w:pPr>
    </w:p>
    <w:tbl>
      <w:tblPr>
        <w:tblStyle w:val="30"/>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87"/>
        <w:gridCol w:w="1003"/>
        <w:gridCol w:w="1191"/>
        <w:gridCol w:w="610"/>
        <w:gridCol w:w="463"/>
        <w:gridCol w:w="1149"/>
        <w:gridCol w:w="853"/>
        <w:gridCol w:w="1088"/>
        <w:gridCol w:w="787"/>
        <w:gridCol w:w="1087"/>
      </w:tblGrid>
      <w:tr w14:paraId="6C611A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19" w:hRule="atLeast"/>
        </w:trPr>
        <w:tc>
          <w:tcPr>
            <w:tcW w:w="1087" w:type="dxa"/>
            <w:noWrap w:val="0"/>
            <w:vAlign w:val="center"/>
          </w:tcPr>
          <w:p w14:paraId="1A6441A4">
            <w:pPr>
              <w:pStyle w:val="539"/>
              <w:spacing w:line="391" w:lineRule="auto"/>
              <w:ind w:left="0" w:right="131" w:firstLine="0"/>
              <w:jc w:val="center"/>
              <w:rPr>
                <w:color w:val="auto"/>
                <w:sz w:val="21"/>
                <w:highlight w:val="none"/>
              </w:rPr>
            </w:pPr>
            <w:r>
              <w:rPr>
                <w:color w:val="auto"/>
                <w:sz w:val="21"/>
                <w:highlight w:val="none"/>
              </w:rPr>
              <w:t>单位工程名称</w:t>
            </w:r>
          </w:p>
        </w:tc>
        <w:tc>
          <w:tcPr>
            <w:tcW w:w="1003" w:type="dxa"/>
            <w:noWrap w:val="0"/>
            <w:vAlign w:val="center"/>
          </w:tcPr>
          <w:p w14:paraId="7122E2DB">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建设规模</w:t>
            </w:r>
          </w:p>
        </w:tc>
        <w:tc>
          <w:tcPr>
            <w:tcW w:w="1191" w:type="dxa"/>
            <w:noWrap w:val="0"/>
            <w:vAlign w:val="center"/>
          </w:tcPr>
          <w:p w14:paraId="00DB34F9">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建筑面积(平方米)</w:t>
            </w:r>
          </w:p>
        </w:tc>
        <w:tc>
          <w:tcPr>
            <w:tcW w:w="610" w:type="dxa"/>
            <w:noWrap w:val="0"/>
            <w:vAlign w:val="center"/>
          </w:tcPr>
          <w:p w14:paraId="6003BA67">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结构形式</w:t>
            </w:r>
          </w:p>
        </w:tc>
        <w:tc>
          <w:tcPr>
            <w:tcW w:w="463" w:type="dxa"/>
            <w:noWrap w:val="0"/>
            <w:vAlign w:val="center"/>
          </w:tcPr>
          <w:p w14:paraId="5738029F">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层数</w:t>
            </w:r>
          </w:p>
        </w:tc>
        <w:tc>
          <w:tcPr>
            <w:tcW w:w="1149" w:type="dxa"/>
            <w:noWrap w:val="0"/>
            <w:vAlign w:val="center"/>
          </w:tcPr>
          <w:p w14:paraId="23DABD5B">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生产能力</w:t>
            </w:r>
          </w:p>
        </w:tc>
        <w:tc>
          <w:tcPr>
            <w:tcW w:w="853" w:type="dxa"/>
            <w:noWrap w:val="0"/>
            <w:vAlign w:val="center"/>
          </w:tcPr>
          <w:p w14:paraId="09101E98">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设备安装内容</w:t>
            </w:r>
          </w:p>
        </w:tc>
        <w:tc>
          <w:tcPr>
            <w:tcW w:w="1088" w:type="dxa"/>
            <w:noWrap w:val="0"/>
            <w:vAlign w:val="center"/>
          </w:tcPr>
          <w:p w14:paraId="09DD2000">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合同价格（元）</w:t>
            </w:r>
          </w:p>
        </w:tc>
        <w:tc>
          <w:tcPr>
            <w:tcW w:w="787" w:type="dxa"/>
            <w:noWrap w:val="0"/>
            <w:vAlign w:val="center"/>
          </w:tcPr>
          <w:p w14:paraId="49605632">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开工日期</w:t>
            </w:r>
          </w:p>
        </w:tc>
        <w:tc>
          <w:tcPr>
            <w:tcW w:w="1087" w:type="dxa"/>
            <w:noWrap w:val="0"/>
            <w:vAlign w:val="center"/>
          </w:tcPr>
          <w:p w14:paraId="001A320B">
            <w:pPr>
              <w:pStyle w:val="539"/>
              <w:spacing w:line="391" w:lineRule="auto"/>
              <w:ind w:left="0" w:right="131" w:firstLine="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竣工日期</w:t>
            </w:r>
          </w:p>
        </w:tc>
      </w:tr>
      <w:tr w14:paraId="2C6A40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0" w:hRule="atLeast"/>
        </w:trPr>
        <w:tc>
          <w:tcPr>
            <w:tcW w:w="1087" w:type="dxa"/>
            <w:noWrap w:val="0"/>
            <w:vAlign w:val="top"/>
          </w:tcPr>
          <w:p w14:paraId="4FC6ED4C">
            <w:pPr>
              <w:pStyle w:val="539"/>
              <w:rPr>
                <w:rFonts w:ascii="Times New Roman"/>
                <w:color w:val="auto"/>
                <w:sz w:val="20"/>
                <w:highlight w:val="none"/>
              </w:rPr>
            </w:pPr>
          </w:p>
        </w:tc>
        <w:tc>
          <w:tcPr>
            <w:tcW w:w="1003" w:type="dxa"/>
            <w:noWrap w:val="0"/>
            <w:vAlign w:val="top"/>
          </w:tcPr>
          <w:p w14:paraId="6403FAAE">
            <w:pPr>
              <w:pStyle w:val="539"/>
              <w:rPr>
                <w:rFonts w:ascii="Times New Roman"/>
                <w:color w:val="auto"/>
                <w:sz w:val="20"/>
                <w:highlight w:val="none"/>
              </w:rPr>
            </w:pPr>
          </w:p>
        </w:tc>
        <w:tc>
          <w:tcPr>
            <w:tcW w:w="1191" w:type="dxa"/>
            <w:noWrap w:val="0"/>
            <w:vAlign w:val="top"/>
          </w:tcPr>
          <w:p w14:paraId="3157A235">
            <w:pPr>
              <w:pStyle w:val="539"/>
              <w:rPr>
                <w:rFonts w:ascii="Times New Roman"/>
                <w:color w:val="auto"/>
                <w:sz w:val="20"/>
                <w:highlight w:val="none"/>
              </w:rPr>
            </w:pPr>
          </w:p>
        </w:tc>
        <w:tc>
          <w:tcPr>
            <w:tcW w:w="610" w:type="dxa"/>
            <w:noWrap w:val="0"/>
            <w:vAlign w:val="top"/>
          </w:tcPr>
          <w:p w14:paraId="3E1FA316">
            <w:pPr>
              <w:pStyle w:val="539"/>
              <w:rPr>
                <w:rFonts w:ascii="Times New Roman"/>
                <w:color w:val="auto"/>
                <w:sz w:val="20"/>
                <w:highlight w:val="none"/>
              </w:rPr>
            </w:pPr>
          </w:p>
        </w:tc>
        <w:tc>
          <w:tcPr>
            <w:tcW w:w="463" w:type="dxa"/>
            <w:noWrap w:val="0"/>
            <w:vAlign w:val="top"/>
          </w:tcPr>
          <w:p w14:paraId="2E541A93">
            <w:pPr>
              <w:pStyle w:val="539"/>
              <w:rPr>
                <w:rFonts w:ascii="Times New Roman"/>
                <w:color w:val="auto"/>
                <w:sz w:val="20"/>
                <w:highlight w:val="none"/>
              </w:rPr>
            </w:pPr>
          </w:p>
        </w:tc>
        <w:tc>
          <w:tcPr>
            <w:tcW w:w="1149" w:type="dxa"/>
            <w:noWrap w:val="0"/>
            <w:vAlign w:val="top"/>
          </w:tcPr>
          <w:p w14:paraId="7B07C57A">
            <w:pPr>
              <w:pStyle w:val="539"/>
              <w:rPr>
                <w:rFonts w:ascii="Times New Roman"/>
                <w:color w:val="auto"/>
                <w:sz w:val="20"/>
                <w:highlight w:val="none"/>
              </w:rPr>
            </w:pPr>
          </w:p>
        </w:tc>
        <w:tc>
          <w:tcPr>
            <w:tcW w:w="853" w:type="dxa"/>
            <w:noWrap w:val="0"/>
            <w:vAlign w:val="top"/>
          </w:tcPr>
          <w:p w14:paraId="1AFEA562">
            <w:pPr>
              <w:pStyle w:val="539"/>
              <w:rPr>
                <w:rFonts w:ascii="Times New Roman"/>
                <w:color w:val="auto"/>
                <w:sz w:val="20"/>
                <w:highlight w:val="none"/>
              </w:rPr>
            </w:pPr>
          </w:p>
        </w:tc>
        <w:tc>
          <w:tcPr>
            <w:tcW w:w="1088" w:type="dxa"/>
            <w:noWrap w:val="0"/>
            <w:vAlign w:val="top"/>
          </w:tcPr>
          <w:p w14:paraId="7ED5DB51">
            <w:pPr>
              <w:pStyle w:val="539"/>
              <w:rPr>
                <w:rFonts w:ascii="Times New Roman"/>
                <w:color w:val="auto"/>
                <w:sz w:val="20"/>
                <w:highlight w:val="none"/>
              </w:rPr>
            </w:pPr>
          </w:p>
        </w:tc>
        <w:tc>
          <w:tcPr>
            <w:tcW w:w="787" w:type="dxa"/>
            <w:noWrap w:val="0"/>
            <w:vAlign w:val="top"/>
          </w:tcPr>
          <w:p w14:paraId="70AF9E7E">
            <w:pPr>
              <w:pStyle w:val="539"/>
              <w:rPr>
                <w:rFonts w:ascii="Times New Roman"/>
                <w:color w:val="auto"/>
                <w:sz w:val="20"/>
                <w:highlight w:val="none"/>
              </w:rPr>
            </w:pPr>
          </w:p>
        </w:tc>
        <w:tc>
          <w:tcPr>
            <w:tcW w:w="1087" w:type="dxa"/>
            <w:noWrap w:val="0"/>
            <w:vAlign w:val="top"/>
          </w:tcPr>
          <w:p w14:paraId="23FC1874">
            <w:pPr>
              <w:pStyle w:val="539"/>
              <w:rPr>
                <w:rFonts w:ascii="Times New Roman"/>
                <w:color w:val="auto"/>
                <w:sz w:val="20"/>
                <w:highlight w:val="none"/>
              </w:rPr>
            </w:pPr>
          </w:p>
        </w:tc>
      </w:tr>
      <w:tr w14:paraId="3E2D1A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0" w:hRule="atLeast"/>
        </w:trPr>
        <w:tc>
          <w:tcPr>
            <w:tcW w:w="1087" w:type="dxa"/>
            <w:noWrap w:val="0"/>
            <w:vAlign w:val="top"/>
          </w:tcPr>
          <w:p w14:paraId="0383280C">
            <w:pPr>
              <w:pStyle w:val="539"/>
              <w:rPr>
                <w:rFonts w:ascii="Times New Roman"/>
                <w:color w:val="auto"/>
                <w:sz w:val="20"/>
                <w:highlight w:val="none"/>
              </w:rPr>
            </w:pPr>
          </w:p>
        </w:tc>
        <w:tc>
          <w:tcPr>
            <w:tcW w:w="1003" w:type="dxa"/>
            <w:noWrap w:val="0"/>
            <w:vAlign w:val="top"/>
          </w:tcPr>
          <w:p w14:paraId="7AD60B5B">
            <w:pPr>
              <w:pStyle w:val="539"/>
              <w:rPr>
                <w:rFonts w:ascii="Times New Roman"/>
                <w:color w:val="auto"/>
                <w:sz w:val="20"/>
                <w:highlight w:val="none"/>
              </w:rPr>
            </w:pPr>
          </w:p>
        </w:tc>
        <w:tc>
          <w:tcPr>
            <w:tcW w:w="1191" w:type="dxa"/>
            <w:noWrap w:val="0"/>
            <w:vAlign w:val="top"/>
          </w:tcPr>
          <w:p w14:paraId="4AF184F0">
            <w:pPr>
              <w:pStyle w:val="539"/>
              <w:rPr>
                <w:rFonts w:ascii="Times New Roman"/>
                <w:color w:val="auto"/>
                <w:sz w:val="20"/>
                <w:highlight w:val="none"/>
              </w:rPr>
            </w:pPr>
          </w:p>
        </w:tc>
        <w:tc>
          <w:tcPr>
            <w:tcW w:w="610" w:type="dxa"/>
            <w:noWrap w:val="0"/>
            <w:vAlign w:val="top"/>
          </w:tcPr>
          <w:p w14:paraId="0DCAED02">
            <w:pPr>
              <w:pStyle w:val="539"/>
              <w:rPr>
                <w:rFonts w:ascii="Times New Roman"/>
                <w:color w:val="auto"/>
                <w:sz w:val="20"/>
                <w:highlight w:val="none"/>
              </w:rPr>
            </w:pPr>
          </w:p>
        </w:tc>
        <w:tc>
          <w:tcPr>
            <w:tcW w:w="463" w:type="dxa"/>
            <w:noWrap w:val="0"/>
            <w:vAlign w:val="top"/>
          </w:tcPr>
          <w:p w14:paraId="121D9C3F">
            <w:pPr>
              <w:pStyle w:val="539"/>
              <w:rPr>
                <w:rFonts w:ascii="Times New Roman"/>
                <w:color w:val="auto"/>
                <w:sz w:val="20"/>
                <w:highlight w:val="none"/>
              </w:rPr>
            </w:pPr>
          </w:p>
        </w:tc>
        <w:tc>
          <w:tcPr>
            <w:tcW w:w="1149" w:type="dxa"/>
            <w:noWrap w:val="0"/>
            <w:vAlign w:val="top"/>
          </w:tcPr>
          <w:p w14:paraId="1DB49941">
            <w:pPr>
              <w:pStyle w:val="539"/>
              <w:rPr>
                <w:rFonts w:ascii="Times New Roman"/>
                <w:color w:val="auto"/>
                <w:sz w:val="20"/>
                <w:highlight w:val="none"/>
              </w:rPr>
            </w:pPr>
          </w:p>
        </w:tc>
        <w:tc>
          <w:tcPr>
            <w:tcW w:w="853" w:type="dxa"/>
            <w:noWrap w:val="0"/>
            <w:vAlign w:val="top"/>
          </w:tcPr>
          <w:p w14:paraId="37947DF1">
            <w:pPr>
              <w:pStyle w:val="539"/>
              <w:rPr>
                <w:rFonts w:ascii="Times New Roman"/>
                <w:color w:val="auto"/>
                <w:sz w:val="20"/>
                <w:highlight w:val="none"/>
              </w:rPr>
            </w:pPr>
          </w:p>
        </w:tc>
        <w:tc>
          <w:tcPr>
            <w:tcW w:w="1088" w:type="dxa"/>
            <w:noWrap w:val="0"/>
            <w:vAlign w:val="top"/>
          </w:tcPr>
          <w:p w14:paraId="322118B1">
            <w:pPr>
              <w:pStyle w:val="539"/>
              <w:rPr>
                <w:rFonts w:ascii="Times New Roman"/>
                <w:color w:val="auto"/>
                <w:sz w:val="20"/>
                <w:highlight w:val="none"/>
              </w:rPr>
            </w:pPr>
          </w:p>
        </w:tc>
        <w:tc>
          <w:tcPr>
            <w:tcW w:w="787" w:type="dxa"/>
            <w:noWrap w:val="0"/>
            <w:vAlign w:val="top"/>
          </w:tcPr>
          <w:p w14:paraId="17089C1E">
            <w:pPr>
              <w:pStyle w:val="539"/>
              <w:rPr>
                <w:rFonts w:ascii="Times New Roman"/>
                <w:color w:val="auto"/>
                <w:sz w:val="20"/>
                <w:highlight w:val="none"/>
              </w:rPr>
            </w:pPr>
          </w:p>
        </w:tc>
        <w:tc>
          <w:tcPr>
            <w:tcW w:w="1087" w:type="dxa"/>
            <w:noWrap w:val="0"/>
            <w:vAlign w:val="top"/>
          </w:tcPr>
          <w:p w14:paraId="66FDC19A">
            <w:pPr>
              <w:pStyle w:val="539"/>
              <w:rPr>
                <w:rFonts w:ascii="Times New Roman"/>
                <w:color w:val="auto"/>
                <w:sz w:val="20"/>
                <w:highlight w:val="none"/>
              </w:rPr>
            </w:pPr>
          </w:p>
        </w:tc>
      </w:tr>
      <w:tr w14:paraId="72D7224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1" w:hRule="atLeast"/>
        </w:trPr>
        <w:tc>
          <w:tcPr>
            <w:tcW w:w="1087" w:type="dxa"/>
            <w:noWrap w:val="0"/>
            <w:vAlign w:val="top"/>
          </w:tcPr>
          <w:p w14:paraId="15B27AF5">
            <w:pPr>
              <w:pStyle w:val="539"/>
              <w:rPr>
                <w:rFonts w:ascii="Times New Roman"/>
                <w:color w:val="auto"/>
                <w:sz w:val="20"/>
                <w:highlight w:val="none"/>
              </w:rPr>
            </w:pPr>
          </w:p>
        </w:tc>
        <w:tc>
          <w:tcPr>
            <w:tcW w:w="1003" w:type="dxa"/>
            <w:noWrap w:val="0"/>
            <w:vAlign w:val="top"/>
          </w:tcPr>
          <w:p w14:paraId="61669D5E">
            <w:pPr>
              <w:pStyle w:val="539"/>
              <w:rPr>
                <w:rFonts w:ascii="Times New Roman"/>
                <w:color w:val="auto"/>
                <w:sz w:val="20"/>
                <w:highlight w:val="none"/>
              </w:rPr>
            </w:pPr>
          </w:p>
        </w:tc>
        <w:tc>
          <w:tcPr>
            <w:tcW w:w="1191" w:type="dxa"/>
            <w:noWrap w:val="0"/>
            <w:vAlign w:val="top"/>
          </w:tcPr>
          <w:p w14:paraId="19851031">
            <w:pPr>
              <w:pStyle w:val="539"/>
              <w:rPr>
                <w:rFonts w:ascii="Times New Roman"/>
                <w:color w:val="auto"/>
                <w:sz w:val="20"/>
                <w:highlight w:val="none"/>
              </w:rPr>
            </w:pPr>
          </w:p>
        </w:tc>
        <w:tc>
          <w:tcPr>
            <w:tcW w:w="610" w:type="dxa"/>
            <w:noWrap w:val="0"/>
            <w:vAlign w:val="top"/>
          </w:tcPr>
          <w:p w14:paraId="56EEF923">
            <w:pPr>
              <w:pStyle w:val="539"/>
              <w:rPr>
                <w:rFonts w:ascii="Times New Roman"/>
                <w:color w:val="auto"/>
                <w:sz w:val="20"/>
                <w:highlight w:val="none"/>
              </w:rPr>
            </w:pPr>
          </w:p>
        </w:tc>
        <w:tc>
          <w:tcPr>
            <w:tcW w:w="463" w:type="dxa"/>
            <w:noWrap w:val="0"/>
            <w:vAlign w:val="top"/>
          </w:tcPr>
          <w:p w14:paraId="5F890184">
            <w:pPr>
              <w:pStyle w:val="539"/>
              <w:rPr>
                <w:rFonts w:ascii="Times New Roman"/>
                <w:color w:val="auto"/>
                <w:sz w:val="20"/>
                <w:highlight w:val="none"/>
              </w:rPr>
            </w:pPr>
          </w:p>
        </w:tc>
        <w:tc>
          <w:tcPr>
            <w:tcW w:w="1149" w:type="dxa"/>
            <w:noWrap w:val="0"/>
            <w:vAlign w:val="top"/>
          </w:tcPr>
          <w:p w14:paraId="14F75033">
            <w:pPr>
              <w:pStyle w:val="539"/>
              <w:rPr>
                <w:rFonts w:ascii="Times New Roman"/>
                <w:color w:val="auto"/>
                <w:sz w:val="20"/>
                <w:highlight w:val="none"/>
              </w:rPr>
            </w:pPr>
          </w:p>
        </w:tc>
        <w:tc>
          <w:tcPr>
            <w:tcW w:w="853" w:type="dxa"/>
            <w:noWrap w:val="0"/>
            <w:vAlign w:val="top"/>
          </w:tcPr>
          <w:p w14:paraId="72A56862">
            <w:pPr>
              <w:pStyle w:val="539"/>
              <w:rPr>
                <w:rFonts w:ascii="Times New Roman"/>
                <w:color w:val="auto"/>
                <w:sz w:val="20"/>
                <w:highlight w:val="none"/>
              </w:rPr>
            </w:pPr>
          </w:p>
        </w:tc>
        <w:tc>
          <w:tcPr>
            <w:tcW w:w="1088" w:type="dxa"/>
            <w:noWrap w:val="0"/>
            <w:vAlign w:val="top"/>
          </w:tcPr>
          <w:p w14:paraId="29C78161">
            <w:pPr>
              <w:pStyle w:val="539"/>
              <w:rPr>
                <w:rFonts w:ascii="Times New Roman"/>
                <w:color w:val="auto"/>
                <w:sz w:val="20"/>
                <w:highlight w:val="none"/>
              </w:rPr>
            </w:pPr>
          </w:p>
        </w:tc>
        <w:tc>
          <w:tcPr>
            <w:tcW w:w="787" w:type="dxa"/>
            <w:noWrap w:val="0"/>
            <w:vAlign w:val="top"/>
          </w:tcPr>
          <w:p w14:paraId="1D7691E2">
            <w:pPr>
              <w:pStyle w:val="539"/>
              <w:rPr>
                <w:rFonts w:ascii="Times New Roman"/>
                <w:color w:val="auto"/>
                <w:sz w:val="20"/>
                <w:highlight w:val="none"/>
              </w:rPr>
            </w:pPr>
          </w:p>
        </w:tc>
        <w:tc>
          <w:tcPr>
            <w:tcW w:w="1087" w:type="dxa"/>
            <w:noWrap w:val="0"/>
            <w:vAlign w:val="top"/>
          </w:tcPr>
          <w:p w14:paraId="3986A8C7">
            <w:pPr>
              <w:pStyle w:val="539"/>
              <w:rPr>
                <w:rFonts w:ascii="Times New Roman"/>
                <w:color w:val="auto"/>
                <w:sz w:val="20"/>
                <w:highlight w:val="none"/>
              </w:rPr>
            </w:pPr>
          </w:p>
        </w:tc>
      </w:tr>
      <w:tr w14:paraId="1FBAD61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0" w:hRule="atLeast"/>
        </w:trPr>
        <w:tc>
          <w:tcPr>
            <w:tcW w:w="1087" w:type="dxa"/>
            <w:noWrap w:val="0"/>
            <w:vAlign w:val="top"/>
          </w:tcPr>
          <w:p w14:paraId="2BC2B8D4">
            <w:pPr>
              <w:pStyle w:val="539"/>
              <w:rPr>
                <w:rFonts w:ascii="Times New Roman"/>
                <w:color w:val="auto"/>
                <w:sz w:val="20"/>
                <w:highlight w:val="none"/>
              </w:rPr>
            </w:pPr>
          </w:p>
        </w:tc>
        <w:tc>
          <w:tcPr>
            <w:tcW w:w="1003" w:type="dxa"/>
            <w:noWrap w:val="0"/>
            <w:vAlign w:val="top"/>
          </w:tcPr>
          <w:p w14:paraId="7CF7C8B3">
            <w:pPr>
              <w:pStyle w:val="539"/>
              <w:rPr>
                <w:rFonts w:ascii="Times New Roman"/>
                <w:color w:val="auto"/>
                <w:sz w:val="20"/>
                <w:highlight w:val="none"/>
              </w:rPr>
            </w:pPr>
          </w:p>
        </w:tc>
        <w:tc>
          <w:tcPr>
            <w:tcW w:w="1191" w:type="dxa"/>
            <w:noWrap w:val="0"/>
            <w:vAlign w:val="top"/>
          </w:tcPr>
          <w:p w14:paraId="37EE044E">
            <w:pPr>
              <w:pStyle w:val="539"/>
              <w:rPr>
                <w:rFonts w:ascii="Times New Roman"/>
                <w:color w:val="auto"/>
                <w:sz w:val="20"/>
                <w:highlight w:val="none"/>
              </w:rPr>
            </w:pPr>
          </w:p>
        </w:tc>
        <w:tc>
          <w:tcPr>
            <w:tcW w:w="610" w:type="dxa"/>
            <w:noWrap w:val="0"/>
            <w:vAlign w:val="top"/>
          </w:tcPr>
          <w:p w14:paraId="4ABF9EC0">
            <w:pPr>
              <w:pStyle w:val="539"/>
              <w:rPr>
                <w:rFonts w:ascii="Times New Roman"/>
                <w:color w:val="auto"/>
                <w:sz w:val="20"/>
                <w:highlight w:val="none"/>
              </w:rPr>
            </w:pPr>
          </w:p>
        </w:tc>
        <w:tc>
          <w:tcPr>
            <w:tcW w:w="463" w:type="dxa"/>
            <w:noWrap w:val="0"/>
            <w:vAlign w:val="top"/>
          </w:tcPr>
          <w:p w14:paraId="4101BF51">
            <w:pPr>
              <w:pStyle w:val="539"/>
              <w:rPr>
                <w:rFonts w:ascii="Times New Roman"/>
                <w:color w:val="auto"/>
                <w:sz w:val="20"/>
                <w:highlight w:val="none"/>
              </w:rPr>
            </w:pPr>
          </w:p>
        </w:tc>
        <w:tc>
          <w:tcPr>
            <w:tcW w:w="1149" w:type="dxa"/>
            <w:noWrap w:val="0"/>
            <w:vAlign w:val="top"/>
          </w:tcPr>
          <w:p w14:paraId="336A102E">
            <w:pPr>
              <w:pStyle w:val="539"/>
              <w:rPr>
                <w:rFonts w:ascii="Times New Roman"/>
                <w:color w:val="auto"/>
                <w:sz w:val="20"/>
                <w:highlight w:val="none"/>
              </w:rPr>
            </w:pPr>
          </w:p>
        </w:tc>
        <w:tc>
          <w:tcPr>
            <w:tcW w:w="853" w:type="dxa"/>
            <w:noWrap w:val="0"/>
            <w:vAlign w:val="top"/>
          </w:tcPr>
          <w:p w14:paraId="2710412F">
            <w:pPr>
              <w:pStyle w:val="539"/>
              <w:rPr>
                <w:rFonts w:ascii="Times New Roman"/>
                <w:color w:val="auto"/>
                <w:sz w:val="20"/>
                <w:highlight w:val="none"/>
              </w:rPr>
            </w:pPr>
          </w:p>
        </w:tc>
        <w:tc>
          <w:tcPr>
            <w:tcW w:w="1088" w:type="dxa"/>
            <w:noWrap w:val="0"/>
            <w:vAlign w:val="top"/>
          </w:tcPr>
          <w:p w14:paraId="1CFE1CA9">
            <w:pPr>
              <w:pStyle w:val="539"/>
              <w:rPr>
                <w:rFonts w:ascii="Times New Roman"/>
                <w:color w:val="auto"/>
                <w:sz w:val="20"/>
                <w:highlight w:val="none"/>
              </w:rPr>
            </w:pPr>
          </w:p>
        </w:tc>
        <w:tc>
          <w:tcPr>
            <w:tcW w:w="787" w:type="dxa"/>
            <w:noWrap w:val="0"/>
            <w:vAlign w:val="top"/>
          </w:tcPr>
          <w:p w14:paraId="24E7867C">
            <w:pPr>
              <w:pStyle w:val="539"/>
              <w:rPr>
                <w:rFonts w:ascii="Times New Roman"/>
                <w:color w:val="auto"/>
                <w:sz w:val="20"/>
                <w:highlight w:val="none"/>
              </w:rPr>
            </w:pPr>
          </w:p>
        </w:tc>
        <w:tc>
          <w:tcPr>
            <w:tcW w:w="1087" w:type="dxa"/>
            <w:noWrap w:val="0"/>
            <w:vAlign w:val="top"/>
          </w:tcPr>
          <w:p w14:paraId="2857A07F">
            <w:pPr>
              <w:pStyle w:val="539"/>
              <w:rPr>
                <w:rFonts w:ascii="Times New Roman"/>
                <w:color w:val="auto"/>
                <w:sz w:val="20"/>
                <w:highlight w:val="none"/>
              </w:rPr>
            </w:pPr>
          </w:p>
        </w:tc>
      </w:tr>
    </w:tbl>
    <w:p w14:paraId="6754EAE7">
      <w:pPr>
        <w:ind w:left="0" w:firstLine="0"/>
        <w:rPr>
          <w:color w:val="auto"/>
          <w:highlight w:val="none"/>
        </w:rPr>
      </w:pPr>
      <w:r>
        <w:rPr>
          <w:color w:val="auto"/>
          <w:highlight w:val="none"/>
        </w:rPr>
        <w:br w:type="page" w:clear="all"/>
      </w:r>
      <w:r>
        <w:rPr>
          <w:color w:val="auto"/>
          <w:highlight w:val="none"/>
        </w:rPr>
        <w:t>附件2：</w:t>
      </w:r>
    </w:p>
    <w:p w14:paraId="16F168DF">
      <w:pPr>
        <w:pStyle w:val="200"/>
        <w:tabs>
          <w:tab w:val="left" w:pos="1160"/>
          <w:tab w:val="left" w:pos="2423"/>
        </w:tabs>
        <w:spacing w:before="70"/>
        <w:ind w:left="0" w:right="63" w:firstLine="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发包人供应材料设备一览表</w:t>
      </w:r>
    </w:p>
    <w:tbl>
      <w:tblPr>
        <w:tblStyle w:val="30"/>
        <w:tblpPr w:leftFromText="180" w:rightFromText="180" w:vertAnchor="text" w:horzAnchor="page" w:tblpX="1182" w:tblpY="284"/>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70"/>
        <w:gridCol w:w="1079"/>
        <w:gridCol w:w="1018"/>
        <w:gridCol w:w="872"/>
        <w:gridCol w:w="1014"/>
        <w:gridCol w:w="1187"/>
        <w:gridCol w:w="804"/>
        <w:gridCol w:w="723"/>
        <w:gridCol w:w="1104"/>
        <w:gridCol w:w="877"/>
      </w:tblGrid>
      <w:tr w14:paraId="174B030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90" w:hRule="atLeast"/>
        </w:trPr>
        <w:tc>
          <w:tcPr>
            <w:tcW w:w="770" w:type="dxa"/>
            <w:noWrap w:val="0"/>
            <w:vAlign w:val="center"/>
          </w:tcPr>
          <w:p w14:paraId="05A5FC48">
            <w:pPr>
              <w:pStyle w:val="539"/>
              <w:ind w:left="0" w:firstLine="0"/>
              <w:jc w:val="center"/>
              <w:rPr>
                <w:color w:val="auto"/>
                <w:sz w:val="21"/>
                <w:highlight w:val="none"/>
              </w:rPr>
            </w:pPr>
            <w:r>
              <w:rPr>
                <w:color w:val="auto"/>
                <w:sz w:val="21"/>
                <w:highlight w:val="none"/>
              </w:rPr>
              <w:t>序号</w:t>
            </w:r>
          </w:p>
        </w:tc>
        <w:tc>
          <w:tcPr>
            <w:tcW w:w="1079" w:type="dxa"/>
            <w:noWrap w:val="0"/>
            <w:vAlign w:val="center"/>
          </w:tcPr>
          <w:p w14:paraId="5A3C936C">
            <w:pPr>
              <w:pStyle w:val="539"/>
              <w:spacing w:before="2" w:line="442" w:lineRule="exact"/>
              <w:ind w:left="0" w:right="134" w:firstLine="0"/>
              <w:jc w:val="center"/>
              <w:rPr>
                <w:color w:val="auto"/>
                <w:sz w:val="21"/>
                <w:highlight w:val="none"/>
              </w:rPr>
            </w:pPr>
            <w:r>
              <w:rPr>
                <w:color w:val="auto"/>
                <w:sz w:val="21"/>
                <w:highlight w:val="none"/>
              </w:rPr>
              <w:t>材料、设备品种</w:t>
            </w:r>
          </w:p>
        </w:tc>
        <w:tc>
          <w:tcPr>
            <w:tcW w:w="1018" w:type="dxa"/>
            <w:noWrap w:val="0"/>
            <w:vAlign w:val="center"/>
          </w:tcPr>
          <w:p w14:paraId="24FD6963">
            <w:pPr>
              <w:pStyle w:val="539"/>
              <w:ind w:left="0" w:firstLine="0"/>
              <w:jc w:val="center"/>
              <w:rPr>
                <w:color w:val="auto"/>
                <w:sz w:val="21"/>
                <w:highlight w:val="none"/>
              </w:rPr>
            </w:pPr>
            <w:r>
              <w:rPr>
                <w:color w:val="auto"/>
                <w:sz w:val="21"/>
                <w:highlight w:val="none"/>
              </w:rPr>
              <w:t>规格型号</w:t>
            </w:r>
          </w:p>
        </w:tc>
        <w:tc>
          <w:tcPr>
            <w:tcW w:w="872" w:type="dxa"/>
            <w:noWrap w:val="0"/>
            <w:vAlign w:val="center"/>
          </w:tcPr>
          <w:p w14:paraId="49D25B2C">
            <w:pPr>
              <w:pStyle w:val="539"/>
              <w:ind w:left="0" w:firstLine="0"/>
              <w:jc w:val="center"/>
              <w:rPr>
                <w:color w:val="auto"/>
                <w:sz w:val="21"/>
                <w:highlight w:val="none"/>
              </w:rPr>
            </w:pPr>
            <w:r>
              <w:rPr>
                <w:color w:val="auto"/>
                <w:sz w:val="21"/>
                <w:highlight w:val="none"/>
              </w:rPr>
              <w:t>单位</w:t>
            </w:r>
          </w:p>
        </w:tc>
        <w:tc>
          <w:tcPr>
            <w:tcW w:w="1014" w:type="dxa"/>
            <w:noWrap w:val="0"/>
            <w:vAlign w:val="center"/>
          </w:tcPr>
          <w:p w14:paraId="5F599881">
            <w:pPr>
              <w:pStyle w:val="539"/>
              <w:ind w:left="0" w:firstLine="0"/>
              <w:jc w:val="center"/>
              <w:rPr>
                <w:color w:val="auto"/>
                <w:sz w:val="21"/>
                <w:highlight w:val="none"/>
              </w:rPr>
            </w:pPr>
            <w:r>
              <w:rPr>
                <w:color w:val="auto"/>
                <w:sz w:val="21"/>
                <w:highlight w:val="none"/>
              </w:rPr>
              <w:t>数量</w:t>
            </w:r>
          </w:p>
        </w:tc>
        <w:tc>
          <w:tcPr>
            <w:tcW w:w="1187" w:type="dxa"/>
            <w:noWrap w:val="0"/>
            <w:vAlign w:val="center"/>
          </w:tcPr>
          <w:p w14:paraId="5BE01608">
            <w:pPr>
              <w:pStyle w:val="539"/>
              <w:spacing w:before="146"/>
              <w:ind w:left="0" w:right="117" w:firstLine="0"/>
              <w:jc w:val="center"/>
              <w:rPr>
                <w:color w:val="auto"/>
                <w:sz w:val="21"/>
                <w:highlight w:val="none"/>
              </w:rPr>
            </w:pPr>
            <w:r>
              <w:rPr>
                <w:rFonts w:hint="eastAsia"/>
                <w:color w:val="auto"/>
                <w:sz w:val="21"/>
                <w:highlight w:val="none"/>
                <w:lang w:val="en-US" w:eastAsia="zh-CN"/>
              </w:rPr>
              <w:t>单</w:t>
            </w:r>
            <w:r>
              <w:rPr>
                <w:color w:val="auto"/>
                <w:sz w:val="21"/>
                <w:highlight w:val="none"/>
              </w:rPr>
              <w:t>价（元）</w:t>
            </w:r>
          </w:p>
        </w:tc>
        <w:tc>
          <w:tcPr>
            <w:tcW w:w="804" w:type="dxa"/>
            <w:noWrap w:val="0"/>
            <w:vAlign w:val="center"/>
          </w:tcPr>
          <w:p w14:paraId="46853E50">
            <w:pPr>
              <w:pStyle w:val="539"/>
              <w:ind w:left="0" w:firstLine="0"/>
              <w:jc w:val="center"/>
              <w:rPr>
                <w:color w:val="auto"/>
                <w:sz w:val="21"/>
                <w:highlight w:val="none"/>
              </w:rPr>
            </w:pPr>
            <w:r>
              <w:rPr>
                <w:color w:val="auto"/>
                <w:sz w:val="21"/>
                <w:highlight w:val="none"/>
              </w:rPr>
              <w:t>质量等级</w:t>
            </w:r>
          </w:p>
        </w:tc>
        <w:tc>
          <w:tcPr>
            <w:tcW w:w="723" w:type="dxa"/>
            <w:noWrap w:val="0"/>
            <w:vAlign w:val="center"/>
          </w:tcPr>
          <w:p w14:paraId="54302420">
            <w:pPr>
              <w:pStyle w:val="539"/>
              <w:spacing w:before="2" w:line="442" w:lineRule="exact"/>
              <w:ind w:left="0" w:right="154" w:firstLine="0"/>
              <w:jc w:val="center"/>
              <w:rPr>
                <w:color w:val="auto"/>
                <w:sz w:val="21"/>
                <w:highlight w:val="none"/>
              </w:rPr>
            </w:pPr>
            <w:r>
              <w:rPr>
                <w:color w:val="auto"/>
                <w:sz w:val="21"/>
                <w:highlight w:val="none"/>
              </w:rPr>
              <w:t>供应时间</w:t>
            </w:r>
          </w:p>
        </w:tc>
        <w:tc>
          <w:tcPr>
            <w:tcW w:w="1104" w:type="dxa"/>
            <w:noWrap w:val="0"/>
            <w:vAlign w:val="center"/>
          </w:tcPr>
          <w:p w14:paraId="140E5529">
            <w:pPr>
              <w:pStyle w:val="539"/>
              <w:ind w:left="0" w:firstLine="0"/>
              <w:jc w:val="center"/>
              <w:rPr>
                <w:color w:val="auto"/>
                <w:sz w:val="21"/>
                <w:highlight w:val="none"/>
              </w:rPr>
            </w:pPr>
            <w:r>
              <w:rPr>
                <w:color w:val="auto"/>
                <w:sz w:val="21"/>
                <w:highlight w:val="none"/>
              </w:rPr>
              <w:t>送达地点</w:t>
            </w:r>
          </w:p>
        </w:tc>
        <w:tc>
          <w:tcPr>
            <w:tcW w:w="877" w:type="dxa"/>
            <w:noWrap w:val="0"/>
            <w:vAlign w:val="center"/>
          </w:tcPr>
          <w:p w14:paraId="17003F8D">
            <w:pPr>
              <w:pStyle w:val="539"/>
              <w:ind w:left="0" w:firstLine="0"/>
              <w:jc w:val="center"/>
              <w:rPr>
                <w:color w:val="auto"/>
                <w:sz w:val="21"/>
                <w:highlight w:val="none"/>
              </w:rPr>
            </w:pPr>
            <w:r>
              <w:rPr>
                <w:color w:val="auto"/>
                <w:sz w:val="21"/>
                <w:highlight w:val="none"/>
              </w:rPr>
              <w:t>备注</w:t>
            </w:r>
          </w:p>
        </w:tc>
      </w:tr>
      <w:tr w14:paraId="4CD6831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0" w:hRule="atLeast"/>
        </w:trPr>
        <w:tc>
          <w:tcPr>
            <w:tcW w:w="770" w:type="dxa"/>
            <w:noWrap w:val="0"/>
            <w:vAlign w:val="top"/>
          </w:tcPr>
          <w:p w14:paraId="750D7AD7">
            <w:pPr>
              <w:pStyle w:val="539"/>
              <w:rPr>
                <w:rFonts w:ascii="Times New Roman"/>
                <w:color w:val="auto"/>
                <w:sz w:val="20"/>
                <w:highlight w:val="none"/>
              </w:rPr>
            </w:pPr>
          </w:p>
        </w:tc>
        <w:tc>
          <w:tcPr>
            <w:tcW w:w="1079" w:type="dxa"/>
            <w:noWrap w:val="0"/>
            <w:vAlign w:val="top"/>
          </w:tcPr>
          <w:p w14:paraId="55DD65D1">
            <w:pPr>
              <w:pStyle w:val="539"/>
              <w:rPr>
                <w:rFonts w:ascii="Times New Roman"/>
                <w:color w:val="auto"/>
                <w:sz w:val="20"/>
                <w:highlight w:val="none"/>
              </w:rPr>
            </w:pPr>
          </w:p>
        </w:tc>
        <w:tc>
          <w:tcPr>
            <w:tcW w:w="1018" w:type="dxa"/>
            <w:noWrap w:val="0"/>
            <w:vAlign w:val="top"/>
          </w:tcPr>
          <w:p w14:paraId="7E5AC8D1">
            <w:pPr>
              <w:pStyle w:val="539"/>
              <w:rPr>
                <w:rFonts w:ascii="Times New Roman"/>
                <w:color w:val="auto"/>
                <w:sz w:val="20"/>
                <w:highlight w:val="none"/>
              </w:rPr>
            </w:pPr>
          </w:p>
        </w:tc>
        <w:tc>
          <w:tcPr>
            <w:tcW w:w="872" w:type="dxa"/>
            <w:noWrap w:val="0"/>
            <w:vAlign w:val="top"/>
          </w:tcPr>
          <w:p w14:paraId="74F33FD5">
            <w:pPr>
              <w:pStyle w:val="539"/>
              <w:rPr>
                <w:rFonts w:ascii="Times New Roman"/>
                <w:color w:val="auto"/>
                <w:sz w:val="20"/>
                <w:highlight w:val="none"/>
              </w:rPr>
            </w:pPr>
          </w:p>
        </w:tc>
        <w:tc>
          <w:tcPr>
            <w:tcW w:w="1014" w:type="dxa"/>
            <w:noWrap w:val="0"/>
            <w:vAlign w:val="top"/>
          </w:tcPr>
          <w:p w14:paraId="66B95816">
            <w:pPr>
              <w:pStyle w:val="539"/>
              <w:rPr>
                <w:rFonts w:ascii="Times New Roman"/>
                <w:color w:val="auto"/>
                <w:sz w:val="20"/>
                <w:highlight w:val="none"/>
              </w:rPr>
            </w:pPr>
          </w:p>
        </w:tc>
        <w:tc>
          <w:tcPr>
            <w:tcW w:w="1187" w:type="dxa"/>
            <w:noWrap w:val="0"/>
            <w:vAlign w:val="top"/>
          </w:tcPr>
          <w:p w14:paraId="0914F151">
            <w:pPr>
              <w:pStyle w:val="539"/>
              <w:rPr>
                <w:rFonts w:ascii="Times New Roman"/>
                <w:color w:val="auto"/>
                <w:sz w:val="20"/>
                <w:highlight w:val="none"/>
              </w:rPr>
            </w:pPr>
          </w:p>
        </w:tc>
        <w:tc>
          <w:tcPr>
            <w:tcW w:w="804" w:type="dxa"/>
            <w:noWrap w:val="0"/>
            <w:vAlign w:val="top"/>
          </w:tcPr>
          <w:p w14:paraId="630DF88C">
            <w:pPr>
              <w:pStyle w:val="539"/>
              <w:rPr>
                <w:rFonts w:ascii="Times New Roman"/>
                <w:color w:val="auto"/>
                <w:sz w:val="20"/>
                <w:highlight w:val="none"/>
              </w:rPr>
            </w:pPr>
          </w:p>
        </w:tc>
        <w:tc>
          <w:tcPr>
            <w:tcW w:w="723" w:type="dxa"/>
            <w:noWrap w:val="0"/>
            <w:vAlign w:val="top"/>
          </w:tcPr>
          <w:p w14:paraId="4C06BD15">
            <w:pPr>
              <w:pStyle w:val="539"/>
              <w:rPr>
                <w:rFonts w:ascii="Times New Roman"/>
                <w:color w:val="auto"/>
                <w:sz w:val="20"/>
                <w:highlight w:val="none"/>
              </w:rPr>
            </w:pPr>
          </w:p>
        </w:tc>
        <w:tc>
          <w:tcPr>
            <w:tcW w:w="1104" w:type="dxa"/>
            <w:noWrap w:val="0"/>
            <w:vAlign w:val="top"/>
          </w:tcPr>
          <w:p w14:paraId="240B74F7">
            <w:pPr>
              <w:pStyle w:val="539"/>
              <w:rPr>
                <w:rFonts w:ascii="Times New Roman"/>
                <w:color w:val="auto"/>
                <w:sz w:val="20"/>
                <w:highlight w:val="none"/>
              </w:rPr>
            </w:pPr>
          </w:p>
        </w:tc>
        <w:tc>
          <w:tcPr>
            <w:tcW w:w="877" w:type="dxa"/>
            <w:noWrap w:val="0"/>
            <w:vAlign w:val="top"/>
          </w:tcPr>
          <w:p w14:paraId="2E82D4D0">
            <w:pPr>
              <w:pStyle w:val="539"/>
              <w:rPr>
                <w:rFonts w:ascii="Times New Roman"/>
                <w:color w:val="auto"/>
                <w:sz w:val="20"/>
                <w:highlight w:val="none"/>
              </w:rPr>
            </w:pPr>
          </w:p>
        </w:tc>
      </w:tr>
      <w:tr w14:paraId="3147B47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770" w:type="dxa"/>
            <w:noWrap w:val="0"/>
            <w:vAlign w:val="top"/>
          </w:tcPr>
          <w:p w14:paraId="318223E7">
            <w:pPr>
              <w:pStyle w:val="539"/>
              <w:rPr>
                <w:rFonts w:ascii="Times New Roman"/>
                <w:color w:val="auto"/>
                <w:sz w:val="20"/>
                <w:highlight w:val="none"/>
              </w:rPr>
            </w:pPr>
          </w:p>
        </w:tc>
        <w:tc>
          <w:tcPr>
            <w:tcW w:w="1079" w:type="dxa"/>
            <w:noWrap w:val="0"/>
            <w:vAlign w:val="top"/>
          </w:tcPr>
          <w:p w14:paraId="07FD57FC">
            <w:pPr>
              <w:pStyle w:val="539"/>
              <w:rPr>
                <w:rFonts w:ascii="Times New Roman"/>
                <w:color w:val="auto"/>
                <w:sz w:val="20"/>
                <w:highlight w:val="none"/>
              </w:rPr>
            </w:pPr>
          </w:p>
        </w:tc>
        <w:tc>
          <w:tcPr>
            <w:tcW w:w="1018" w:type="dxa"/>
            <w:noWrap w:val="0"/>
            <w:vAlign w:val="top"/>
          </w:tcPr>
          <w:p w14:paraId="2607F6A1">
            <w:pPr>
              <w:pStyle w:val="539"/>
              <w:rPr>
                <w:rFonts w:ascii="Times New Roman"/>
                <w:color w:val="auto"/>
                <w:sz w:val="20"/>
                <w:highlight w:val="none"/>
              </w:rPr>
            </w:pPr>
          </w:p>
        </w:tc>
        <w:tc>
          <w:tcPr>
            <w:tcW w:w="872" w:type="dxa"/>
            <w:noWrap w:val="0"/>
            <w:vAlign w:val="top"/>
          </w:tcPr>
          <w:p w14:paraId="624020C7">
            <w:pPr>
              <w:pStyle w:val="539"/>
              <w:rPr>
                <w:rFonts w:ascii="Times New Roman"/>
                <w:color w:val="auto"/>
                <w:sz w:val="20"/>
                <w:highlight w:val="none"/>
              </w:rPr>
            </w:pPr>
          </w:p>
        </w:tc>
        <w:tc>
          <w:tcPr>
            <w:tcW w:w="1014" w:type="dxa"/>
            <w:noWrap w:val="0"/>
            <w:vAlign w:val="top"/>
          </w:tcPr>
          <w:p w14:paraId="3AB99A62">
            <w:pPr>
              <w:pStyle w:val="539"/>
              <w:rPr>
                <w:rFonts w:ascii="Times New Roman"/>
                <w:color w:val="auto"/>
                <w:sz w:val="20"/>
                <w:highlight w:val="none"/>
              </w:rPr>
            </w:pPr>
          </w:p>
        </w:tc>
        <w:tc>
          <w:tcPr>
            <w:tcW w:w="1187" w:type="dxa"/>
            <w:noWrap w:val="0"/>
            <w:vAlign w:val="top"/>
          </w:tcPr>
          <w:p w14:paraId="18F533A6">
            <w:pPr>
              <w:pStyle w:val="539"/>
              <w:rPr>
                <w:rFonts w:ascii="Times New Roman"/>
                <w:color w:val="auto"/>
                <w:sz w:val="20"/>
                <w:highlight w:val="none"/>
              </w:rPr>
            </w:pPr>
          </w:p>
        </w:tc>
        <w:tc>
          <w:tcPr>
            <w:tcW w:w="804" w:type="dxa"/>
            <w:noWrap w:val="0"/>
            <w:vAlign w:val="top"/>
          </w:tcPr>
          <w:p w14:paraId="33C78205">
            <w:pPr>
              <w:pStyle w:val="539"/>
              <w:rPr>
                <w:rFonts w:ascii="Times New Roman"/>
                <w:color w:val="auto"/>
                <w:sz w:val="20"/>
                <w:highlight w:val="none"/>
              </w:rPr>
            </w:pPr>
          </w:p>
        </w:tc>
        <w:tc>
          <w:tcPr>
            <w:tcW w:w="723" w:type="dxa"/>
            <w:noWrap w:val="0"/>
            <w:vAlign w:val="top"/>
          </w:tcPr>
          <w:p w14:paraId="0ED409B5">
            <w:pPr>
              <w:pStyle w:val="539"/>
              <w:rPr>
                <w:rFonts w:ascii="Times New Roman"/>
                <w:color w:val="auto"/>
                <w:sz w:val="20"/>
                <w:highlight w:val="none"/>
              </w:rPr>
            </w:pPr>
          </w:p>
        </w:tc>
        <w:tc>
          <w:tcPr>
            <w:tcW w:w="1104" w:type="dxa"/>
            <w:noWrap w:val="0"/>
            <w:vAlign w:val="top"/>
          </w:tcPr>
          <w:p w14:paraId="043464DA">
            <w:pPr>
              <w:pStyle w:val="539"/>
              <w:rPr>
                <w:rFonts w:ascii="Times New Roman"/>
                <w:color w:val="auto"/>
                <w:sz w:val="20"/>
                <w:highlight w:val="none"/>
              </w:rPr>
            </w:pPr>
          </w:p>
        </w:tc>
        <w:tc>
          <w:tcPr>
            <w:tcW w:w="877" w:type="dxa"/>
            <w:noWrap w:val="0"/>
            <w:vAlign w:val="top"/>
          </w:tcPr>
          <w:p w14:paraId="6FC55FA6">
            <w:pPr>
              <w:pStyle w:val="539"/>
              <w:rPr>
                <w:rFonts w:ascii="Times New Roman"/>
                <w:color w:val="auto"/>
                <w:sz w:val="20"/>
                <w:highlight w:val="none"/>
              </w:rPr>
            </w:pPr>
          </w:p>
        </w:tc>
      </w:tr>
      <w:tr w14:paraId="4DCDA8E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770" w:type="dxa"/>
            <w:noWrap w:val="0"/>
            <w:vAlign w:val="top"/>
          </w:tcPr>
          <w:p w14:paraId="628C1EA9">
            <w:pPr>
              <w:pStyle w:val="539"/>
              <w:rPr>
                <w:rFonts w:ascii="Times New Roman"/>
                <w:color w:val="auto"/>
                <w:sz w:val="20"/>
                <w:highlight w:val="none"/>
              </w:rPr>
            </w:pPr>
          </w:p>
        </w:tc>
        <w:tc>
          <w:tcPr>
            <w:tcW w:w="1079" w:type="dxa"/>
            <w:noWrap w:val="0"/>
            <w:vAlign w:val="top"/>
          </w:tcPr>
          <w:p w14:paraId="236A7C91">
            <w:pPr>
              <w:pStyle w:val="539"/>
              <w:rPr>
                <w:rFonts w:ascii="Times New Roman"/>
                <w:color w:val="auto"/>
                <w:sz w:val="20"/>
                <w:highlight w:val="none"/>
              </w:rPr>
            </w:pPr>
          </w:p>
        </w:tc>
        <w:tc>
          <w:tcPr>
            <w:tcW w:w="1018" w:type="dxa"/>
            <w:noWrap w:val="0"/>
            <w:vAlign w:val="top"/>
          </w:tcPr>
          <w:p w14:paraId="7FEED26B">
            <w:pPr>
              <w:pStyle w:val="539"/>
              <w:rPr>
                <w:rFonts w:ascii="Times New Roman"/>
                <w:color w:val="auto"/>
                <w:sz w:val="20"/>
                <w:highlight w:val="none"/>
              </w:rPr>
            </w:pPr>
          </w:p>
        </w:tc>
        <w:tc>
          <w:tcPr>
            <w:tcW w:w="872" w:type="dxa"/>
            <w:noWrap w:val="0"/>
            <w:vAlign w:val="top"/>
          </w:tcPr>
          <w:p w14:paraId="35789919">
            <w:pPr>
              <w:pStyle w:val="539"/>
              <w:rPr>
                <w:rFonts w:ascii="Times New Roman"/>
                <w:color w:val="auto"/>
                <w:sz w:val="20"/>
                <w:highlight w:val="none"/>
              </w:rPr>
            </w:pPr>
          </w:p>
        </w:tc>
        <w:tc>
          <w:tcPr>
            <w:tcW w:w="1014" w:type="dxa"/>
            <w:noWrap w:val="0"/>
            <w:vAlign w:val="top"/>
          </w:tcPr>
          <w:p w14:paraId="3E45D6F7">
            <w:pPr>
              <w:pStyle w:val="539"/>
              <w:rPr>
                <w:rFonts w:ascii="Times New Roman"/>
                <w:color w:val="auto"/>
                <w:sz w:val="20"/>
                <w:highlight w:val="none"/>
              </w:rPr>
            </w:pPr>
          </w:p>
        </w:tc>
        <w:tc>
          <w:tcPr>
            <w:tcW w:w="1187" w:type="dxa"/>
            <w:noWrap w:val="0"/>
            <w:vAlign w:val="top"/>
          </w:tcPr>
          <w:p w14:paraId="2363B8AC">
            <w:pPr>
              <w:pStyle w:val="539"/>
              <w:rPr>
                <w:rFonts w:ascii="Times New Roman"/>
                <w:color w:val="auto"/>
                <w:sz w:val="20"/>
                <w:highlight w:val="none"/>
              </w:rPr>
            </w:pPr>
          </w:p>
        </w:tc>
        <w:tc>
          <w:tcPr>
            <w:tcW w:w="804" w:type="dxa"/>
            <w:noWrap w:val="0"/>
            <w:vAlign w:val="top"/>
          </w:tcPr>
          <w:p w14:paraId="322BF005">
            <w:pPr>
              <w:pStyle w:val="539"/>
              <w:rPr>
                <w:rFonts w:ascii="Times New Roman"/>
                <w:color w:val="auto"/>
                <w:sz w:val="20"/>
                <w:highlight w:val="none"/>
              </w:rPr>
            </w:pPr>
          </w:p>
        </w:tc>
        <w:tc>
          <w:tcPr>
            <w:tcW w:w="723" w:type="dxa"/>
            <w:noWrap w:val="0"/>
            <w:vAlign w:val="top"/>
          </w:tcPr>
          <w:p w14:paraId="4C44BB3C">
            <w:pPr>
              <w:pStyle w:val="539"/>
              <w:rPr>
                <w:rFonts w:ascii="Times New Roman"/>
                <w:color w:val="auto"/>
                <w:sz w:val="20"/>
                <w:highlight w:val="none"/>
              </w:rPr>
            </w:pPr>
          </w:p>
        </w:tc>
        <w:tc>
          <w:tcPr>
            <w:tcW w:w="1104" w:type="dxa"/>
            <w:noWrap w:val="0"/>
            <w:vAlign w:val="top"/>
          </w:tcPr>
          <w:p w14:paraId="710196EA">
            <w:pPr>
              <w:pStyle w:val="539"/>
              <w:rPr>
                <w:rFonts w:ascii="Times New Roman"/>
                <w:color w:val="auto"/>
                <w:sz w:val="20"/>
                <w:highlight w:val="none"/>
              </w:rPr>
            </w:pPr>
          </w:p>
        </w:tc>
        <w:tc>
          <w:tcPr>
            <w:tcW w:w="877" w:type="dxa"/>
            <w:noWrap w:val="0"/>
            <w:vAlign w:val="top"/>
          </w:tcPr>
          <w:p w14:paraId="395832C5">
            <w:pPr>
              <w:pStyle w:val="539"/>
              <w:rPr>
                <w:rFonts w:ascii="Times New Roman"/>
                <w:color w:val="auto"/>
                <w:sz w:val="20"/>
                <w:highlight w:val="none"/>
              </w:rPr>
            </w:pPr>
          </w:p>
        </w:tc>
      </w:tr>
      <w:tr w14:paraId="2995073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770" w:type="dxa"/>
            <w:noWrap w:val="0"/>
            <w:vAlign w:val="top"/>
          </w:tcPr>
          <w:p w14:paraId="7BBFA85E">
            <w:pPr>
              <w:pStyle w:val="539"/>
              <w:rPr>
                <w:rFonts w:ascii="Times New Roman"/>
                <w:color w:val="auto"/>
                <w:sz w:val="20"/>
                <w:highlight w:val="none"/>
              </w:rPr>
            </w:pPr>
          </w:p>
        </w:tc>
        <w:tc>
          <w:tcPr>
            <w:tcW w:w="1079" w:type="dxa"/>
            <w:noWrap w:val="0"/>
            <w:vAlign w:val="top"/>
          </w:tcPr>
          <w:p w14:paraId="4AA97696">
            <w:pPr>
              <w:pStyle w:val="539"/>
              <w:rPr>
                <w:rFonts w:ascii="Times New Roman"/>
                <w:color w:val="auto"/>
                <w:sz w:val="20"/>
                <w:highlight w:val="none"/>
              </w:rPr>
            </w:pPr>
          </w:p>
        </w:tc>
        <w:tc>
          <w:tcPr>
            <w:tcW w:w="1018" w:type="dxa"/>
            <w:noWrap w:val="0"/>
            <w:vAlign w:val="top"/>
          </w:tcPr>
          <w:p w14:paraId="478B3390">
            <w:pPr>
              <w:pStyle w:val="539"/>
              <w:rPr>
                <w:rFonts w:ascii="Times New Roman"/>
                <w:color w:val="auto"/>
                <w:sz w:val="20"/>
                <w:highlight w:val="none"/>
              </w:rPr>
            </w:pPr>
          </w:p>
        </w:tc>
        <w:tc>
          <w:tcPr>
            <w:tcW w:w="872" w:type="dxa"/>
            <w:noWrap w:val="0"/>
            <w:vAlign w:val="top"/>
          </w:tcPr>
          <w:p w14:paraId="5A5A9F1D">
            <w:pPr>
              <w:pStyle w:val="539"/>
              <w:rPr>
                <w:rFonts w:ascii="Times New Roman"/>
                <w:color w:val="auto"/>
                <w:sz w:val="20"/>
                <w:highlight w:val="none"/>
              </w:rPr>
            </w:pPr>
          </w:p>
        </w:tc>
        <w:tc>
          <w:tcPr>
            <w:tcW w:w="1014" w:type="dxa"/>
            <w:noWrap w:val="0"/>
            <w:vAlign w:val="top"/>
          </w:tcPr>
          <w:p w14:paraId="7ED34E6A">
            <w:pPr>
              <w:pStyle w:val="539"/>
              <w:rPr>
                <w:rFonts w:ascii="Times New Roman"/>
                <w:color w:val="auto"/>
                <w:sz w:val="20"/>
                <w:highlight w:val="none"/>
              </w:rPr>
            </w:pPr>
          </w:p>
        </w:tc>
        <w:tc>
          <w:tcPr>
            <w:tcW w:w="1187" w:type="dxa"/>
            <w:noWrap w:val="0"/>
            <w:vAlign w:val="top"/>
          </w:tcPr>
          <w:p w14:paraId="7C31BEC8">
            <w:pPr>
              <w:pStyle w:val="539"/>
              <w:rPr>
                <w:rFonts w:ascii="Times New Roman"/>
                <w:color w:val="auto"/>
                <w:sz w:val="20"/>
                <w:highlight w:val="none"/>
              </w:rPr>
            </w:pPr>
          </w:p>
        </w:tc>
        <w:tc>
          <w:tcPr>
            <w:tcW w:w="804" w:type="dxa"/>
            <w:noWrap w:val="0"/>
            <w:vAlign w:val="top"/>
          </w:tcPr>
          <w:p w14:paraId="06DA611C">
            <w:pPr>
              <w:pStyle w:val="539"/>
              <w:rPr>
                <w:rFonts w:ascii="Times New Roman"/>
                <w:color w:val="auto"/>
                <w:sz w:val="20"/>
                <w:highlight w:val="none"/>
              </w:rPr>
            </w:pPr>
          </w:p>
        </w:tc>
        <w:tc>
          <w:tcPr>
            <w:tcW w:w="723" w:type="dxa"/>
            <w:noWrap w:val="0"/>
            <w:vAlign w:val="top"/>
          </w:tcPr>
          <w:p w14:paraId="52F7801E">
            <w:pPr>
              <w:pStyle w:val="539"/>
              <w:rPr>
                <w:rFonts w:ascii="Times New Roman"/>
                <w:color w:val="auto"/>
                <w:sz w:val="20"/>
                <w:highlight w:val="none"/>
              </w:rPr>
            </w:pPr>
          </w:p>
        </w:tc>
        <w:tc>
          <w:tcPr>
            <w:tcW w:w="1104" w:type="dxa"/>
            <w:noWrap w:val="0"/>
            <w:vAlign w:val="top"/>
          </w:tcPr>
          <w:p w14:paraId="764E950A">
            <w:pPr>
              <w:pStyle w:val="539"/>
              <w:rPr>
                <w:rFonts w:ascii="Times New Roman"/>
                <w:color w:val="auto"/>
                <w:sz w:val="20"/>
                <w:highlight w:val="none"/>
              </w:rPr>
            </w:pPr>
          </w:p>
        </w:tc>
        <w:tc>
          <w:tcPr>
            <w:tcW w:w="877" w:type="dxa"/>
            <w:noWrap w:val="0"/>
            <w:vAlign w:val="top"/>
          </w:tcPr>
          <w:p w14:paraId="75125159">
            <w:pPr>
              <w:pStyle w:val="539"/>
              <w:rPr>
                <w:rFonts w:ascii="Times New Roman"/>
                <w:color w:val="auto"/>
                <w:sz w:val="20"/>
                <w:highlight w:val="none"/>
              </w:rPr>
            </w:pPr>
          </w:p>
        </w:tc>
      </w:tr>
      <w:tr w14:paraId="4A9B671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770" w:type="dxa"/>
            <w:noWrap w:val="0"/>
            <w:vAlign w:val="top"/>
          </w:tcPr>
          <w:p w14:paraId="49653202">
            <w:pPr>
              <w:pStyle w:val="539"/>
              <w:rPr>
                <w:rFonts w:ascii="Times New Roman"/>
                <w:color w:val="auto"/>
                <w:sz w:val="20"/>
                <w:highlight w:val="none"/>
              </w:rPr>
            </w:pPr>
          </w:p>
        </w:tc>
        <w:tc>
          <w:tcPr>
            <w:tcW w:w="1079" w:type="dxa"/>
            <w:noWrap w:val="0"/>
            <w:vAlign w:val="top"/>
          </w:tcPr>
          <w:p w14:paraId="42BDAED1">
            <w:pPr>
              <w:pStyle w:val="539"/>
              <w:rPr>
                <w:rFonts w:ascii="Times New Roman"/>
                <w:color w:val="auto"/>
                <w:sz w:val="20"/>
                <w:highlight w:val="none"/>
              </w:rPr>
            </w:pPr>
          </w:p>
        </w:tc>
        <w:tc>
          <w:tcPr>
            <w:tcW w:w="1018" w:type="dxa"/>
            <w:noWrap w:val="0"/>
            <w:vAlign w:val="top"/>
          </w:tcPr>
          <w:p w14:paraId="191AD001">
            <w:pPr>
              <w:pStyle w:val="539"/>
              <w:rPr>
                <w:rFonts w:ascii="Times New Roman"/>
                <w:color w:val="auto"/>
                <w:sz w:val="20"/>
                <w:highlight w:val="none"/>
              </w:rPr>
            </w:pPr>
          </w:p>
        </w:tc>
        <w:tc>
          <w:tcPr>
            <w:tcW w:w="872" w:type="dxa"/>
            <w:noWrap w:val="0"/>
            <w:vAlign w:val="top"/>
          </w:tcPr>
          <w:p w14:paraId="11179A46">
            <w:pPr>
              <w:pStyle w:val="539"/>
              <w:rPr>
                <w:rFonts w:ascii="Times New Roman"/>
                <w:color w:val="auto"/>
                <w:sz w:val="20"/>
                <w:highlight w:val="none"/>
              </w:rPr>
            </w:pPr>
          </w:p>
        </w:tc>
        <w:tc>
          <w:tcPr>
            <w:tcW w:w="1014" w:type="dxa"/>
            <w:noWrap w:val="0"/>
            <w:vAlign w:val="top"/>
          </w:tcPr>
          <w:p w14:paraId="1F6D4634">
            <w:pPr>
              <w:pStyle w:val="539"/>
              <w:rPr>
                <w:rFonts w:ascii="Times New Roman"/>
                <w:color w:val="auto"/>
                <w:sz w:val="20"/>
                <w:highlight w:val="none"/>
              </w:rPr>
            </w:pPr>
          </w:p>
        </w:tc>
        <w:tc>
          <w:tcPr>
            <w:tcW w:w="1187" w:type="dxa"/>
            <w:noWrap w:val="0"/>
            <w:vAlign w:val="top"/>
          </w:tcPr>
          <w:p w14:paraId="2535B443">
            <w:pPr>
              <w:pStyle w:val="539"/>
              <w:rPr>
                <w:rFonts w:ascii="Times New Roman"/>
                <w:color w:val="auto"/>
                <w:sz w:val="20"/>
                <w:highlight w:val="none"/>
              </w:rPr>
            </w:pPr>
          </w:p>
        </w:tc>
        <w:tc>
          <w:tcPr>
            <w:tcW w:w="804" w:type="dxa"/>
            <w:noWrap w:val="0"/>
            <w:vAlign w:val="top"/>
          </w:tcPr>
          <w:p w14:paraId="673D17CC">
            <w:pPr>
              <w:pStyle w:val="539"/>
              <w:rPr>
                <w:rFonts w:ascii="Times New Roman"/>
                <w:color w:val="auto"/>
                <w:sz w:val="20"/>
                <w:highlight w:val="none"/>
              </w:rPr>
            </w:pPr>
          </w:p>
        </w:tc>
        <w:tc>
          <w:tcPr>
            <w:tcW w:w="723" w:type="dxa"/>
            <w:noWrap w:val="0"/>
            <w:vAlign w:val="top"/>
          </w:tcPr>
          <w:p w14:paraId="45B2EB1D">
            <w:pPr>
              <w:pStyle w:val="539"/>
              <w:rPr>
                <w:rFonts w:ascii="Times New Roman"/>
                <w:color w:val="auto"/>
                <w:sz w:val="20"/>
                <w:highlight w:val="none"/>
              </w:rPr>
            </w:pPr>
          </w:p>
        </w:tc>
        <w:tc>
          <w:tcPr>
            <w:tcW w:w="1104" w:type="dxa"/>
            <w:noWrap w:val="0"/>
            <w:vAlign w:val="top"/>
          </w:tcPr>
          <w:p w14:paraId="073EA625">
            <w:pPr>
              <w:pStyle w:val="539"/>
              <w:rPr>
                <w:rFonts w:ascii="Times New Roman"/>
                <w:color w:val="auto"/>
                <w:sz w:val="20"/>
                <w:highlight w:val="none"/>
              </w:rPr>
            </w:pPr>
          </w:p>
        </w:tc>
        <w:tc>
          <w:tcPr>
            <w:tcW w:w="877" w:type="dxa"/>
            <w:noWrap w:val="0"/>
            <w:vAlign w:val="top"/>
          </w:tcPr>
          <w:p w14:paraId="56168D28">
            <w:pPr>
              <w:pStyle w:val="539"/>
              <w:rPr>
                <w:rFonts w:ascii="Times New Roman"/>
                <w:color w:val="auto"/>
                <w:sz w:val="20"/>
                <w:highlight w:val="none"/>
              </w:rPr>
            </w:pPr>
          </w:p>
        </w:tc>
      </w:tr>
      <w:tr w14:paraId="313B374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9" w:hRule="atLeast"/>
        </w:trPr>
        <w:tc>
          <w:tcPr>
            <w:tcW w:w="770" w:type="dxa"/>
            <w:noWrap w:val="0"/>
            <w:vAlign w:val="top"/>
          </w:tcPr>
          <w:p w14:paraId="0E2399F0">
            <w:pPr>
              <w:pStyle w:val="539"/>
              <w:rPr>
                <w:rFonts w:ascii="Times New Roman"/>
                <w:color w:val="auto"/>
                <w:sz w:val="20"/>
                <w:highlight w:val="none"/>
              </w:rPr>
            </w:pPr>
          </w:p>
        </w:tc>
        <w:tc>
          <w:tcPr>
            <w:tcW w:w="1079" w:type="dxa"/>
            <w:noWrap w:val="0"/>
            <w:vAlign w:val="top"/>
          </w:tcPr>
          <w:p w14:paraId="5CE273D5">
            <w:pPr>
              <w:pStyle w:val="539"/>
              <w:rPr>
                <w:rFonts w:ascii="Times New Roman"/>
                <w:color w:val="auto"/>
                <w:sz w:val="20"/>
                <w:highlight w:val="none"/>
              </w:rPr>
            </w:pPr>
          </w:p>
        </w:tc>
        <w:tc>
          <w:tcPr>
            <w:tcW w:w="1018" w:type="dxa"/>
            <w:noWrap w:val="0"/>
            <w:vAlign w:val="top"/>
          </w:tcPr>
          <w:p w14:paraId="718F50E5">
            <w:pPr>
              <w:pStyle w:val="539"/>
              <w:rPr>
                <w:rFonts w:ascii="Times New Roman"/>
                <w:color w:val="auto"/>
                <w:sz w:val="20"/>
                <w:highlight w:val="none"/>
              </w:rPr>
            </w:pPr>
          </w:p>
        </w:tc>
        <w:tc>
          <w:tcPr>
            <w:tcW w:w="872" w:type="dxa"/>
            <w:noWrap w:val="0"/>
            <w:vAlign w:val="top"/>
          </w:tcPr>
          <w:p w14:paraId="67FFB947">
            <w:pPr>
              <w:pStyle w:val="539"/>
              <w:rPr>
                <w:rFonts w:ascii="Times New Roman"/>
                <w:color w:val="auto"/>
                <w:sz w:val="20"/>
                <w:highlight w:val="none"/>
              </w:rPr>
            </w:pPr>
          </w:p>
        </w:tc>
        <w:tc>
          <w:tcPr>
            <w:tcW w:w="1014" w:type="dxa"/>
            <w:noWrap w:val="0"/>
            <w:vAlign w:val="top"/>
          </w:tcPr>
          <w:p w14:paraId="691BB0F3">
            <w:pPr>
              <w:pStyle w:val="539"/>
              <w:rPr>
                <w:rFonts w:ascii="Times New Roman"/>
                <w:color w:val="auto"/>
                <w:sz w:val="20"/>
                <w:highlight w:val="none"/>
              </w:rPr>
            </w:pPr>
          </w:p>
        </w:tc>
        <w:tc>
          <w:tcPr>
            <w:tcW w:w="1187" w:type="dxa"/>
            <w:noWrap w:val="0"/>
            <w:vAlign w:val="top"/>
          </w:tcPr>
          <w:p w14:paraId="4FF8F93A">
            <w:pPr>
              <w:pStyle w:val="539"/>
              <w:rPr>
                <w:rFonts w:ascii="Times New Roman"/>
                <w:color w:val="auto"/>
                <w:sz w:val="20"/>
                <w:highlight w:val="none"/>
              </w:rPr>
            </w:pPr>
          </w:p>
        </w:tc>
        <w:tc>
          <w:tcPr>
            <w:tcW w:w="804" w:type="dxa"/>
            <w:noWrap w:val="0"/>
            <w:vAlign w:val="top"/>
          </w:tcPr>
          <w:p w14:paraId="192AC197">
            <w:pPr>
              <w:pStyle w:val="539"/>
              <w:rPr>
                <w:rFonts w:ascii="Times New Roman"/>
                <w:color w:val="auto"/>
                <w:sz w:val="20"/>
                <w:highlight w:val="none"/>
              </w:rPr>
            </w:pPr>
          </w:p>
        </w:tc>
        <w:tc>
          <w:tcPr>
            <w:tcW w:w="723" w:type="dxa"/>
            <w:noWrap w:val="0"/>
            <w:vAlign w:val="top"/>
          </w:tcPr>
          <w:p w14:paraId="17AD86E8">
            <w:pPr>
              <w:pStyle w:val="539"/>
              <w:rPr>
                <w:rFonts w:ascii="Times New Roman"/>
                <w:color w:val="auto"/>
                <w:sz w:val="20"/>
                <w:highlight w:val="none"/>
              </w:rPr>
            </w:pPr>
          </w:p>
        </w:tc>
        <w:tc>
          <w:tcPr>
            <w:tcW w:w="1104" w:type="dxa"/>
            <w:noWrap w:val="0"/>
            <w:vAlign w:val="top"/>
          </w:tcPr>
          <w:p w14:paraId="3986CDE4">
            <w:pPr>
              <w:pStyle w:val="539"/>
              <w:rPr>
                <w:rFonts w:ascii="Times New Roman"/>
                <w:color w:val="auto"/>
                <w:sz w:val="20"/>
                <w:highlight w:val="none"/>
              </w:rPr>
            </w:pPr>
          </w:p>
        </w:tc>
        <w:tc>
          <w:tcPr>
            <w:tcW w:w="877" w:type="dxa"/>
            <w:noWrap w:val="0"/>
            <w:vAlign w:val="top"/>
          </w:tcPr>
          <w:p w14:paraId="175C058D">
            <w:pPr>
              <w:pStyle w:val="539"/>
              <w:rPr>
                <w:rFonts w:ascii="Times New Roman"/>
                <w:color w:val="auto"/>
                <w:sz w:val="20"/>
                <w:highlight w:val="none"/>
              </w:rPr>
            </w:pPr>
          </w:p>
        </w:tc>
      </w:tr>
    </w:tbl>
    <w:p w14:paraId="34677A01">
      <w:pPr>
        <w:pStyle w:val="200"/>
        <w:tabs>
          <w:tab w:val="left" w:pos="1160"/>
          <w:tab w:val="left" w:pos="2423"/>
        </w:tabs>
        <w:spacing w:before="5"/>
        <w:ind w:left="63" w:right="63"/>
        <w:rPr>
          <w:color w:val="auto"/>
          <w:sz w:val="14"/>
          <w:highlight w:val="none"/>
        </w:rPr>
      </w:pPr>
    </w:p>
    <w:p w14:paraId="2448F9B9">
      <w:pPr>
        <w:pStyle w:val="200"/>
        <w:tabs>
          <w:tab w:val="left" w:pos="1160"/>
          <w:tab w:val="left" w:pos="2423"/>
        </w:tabs>
        <w:spacing w:before="43"/>
        <w:ind w:left="0" w:right="63" w:firstLine="0"/>
        <w:jc w:val="left"/>
        <w:rPr>
          <w:color w:val="auto"/>
          <w:highlight w:val="none"/>
        </w:rPr>
      </w:pPr>
      <w:r>
        <w:rPr>
          <w:color w:val="auto"/>
          <w:highlight w:val="none"/>
        </w:rPr>
        <w:br w:type="page" w:clear="all"/>
      </w:r>
      <w:r>
        <w:rPr>
          <w:color w:val="auto"/>
          <w:highlight w:val="none"/>
        </w:rPr>
        <w:t>附件3：</w:t>
      </w:r>
    </w:p>
    <w:p w14:paraId="1C24680C">
      <w:pPr>
        <w:pStyle w:val="200"/>
        <w:tabs>
          <w:tab w:val="left" w:pos="1160"/>
          <w:tab w:val="left" w:pos="2423"/>
        </w:tabs>
        <w:spacing w:before="70"/>
        <w:ind w:left="0" w:right="63" w:firstLine="0"/>
        <w:jc w:val="center"/>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承包人用于本工程施工的机械设备表</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AF46C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0"/>
            <w:vAlign w:val="center"/>
          </w:tcPr>
          <w:p w14:paraId="1093BC27">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1418" w:type="dxa"/>
            <w:noWrap w:val="0"/>
            <w:vAlign w:val="center"/>
          </w:tcPr>
          <w:p w14:paraId="0FB15DF5">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机械或设备名称</w:t>
            </w:r>
          </w:p>
        </w:tc>
        <w:tc>
          <w:tcPr>
            <w:tcW w:w="850" w:type="dxa"/>
            <w:noWrap w:val="0"/>
            <w:vAlign w:val="center"/>
          </w:tcPr>
          <w:p w14:paraId="3CD30227">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规格型号</w:t>
            </w:r>
          </w:p>
        </w:tc>
        <w:tc>
          <w:tcPr>
            <w:tcW w:w="1058" w:type="dxa"/>
            <w:noWrap w:val="0"/>
            <w:vAlign w:val="center"/>
          </w:tcPr>
          <w:p w14:paraId="015AC38E">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880" w:type="dxa"/>
            <w:noWrap w:val="0"/>
            <w:vAlign w:val="center"/>
          </w:tcPr>
          <w:p w14:paraId="32292FD7">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产地</w:t>
            </w:r>
          </w:p>
        </w:tc>
        <w:tc>
          <w:tcPr>
            <w:tcW w:w="1020" w:type="dxa"/>
            <w:noWrap w:val="0"/>
            <w:vAlign w:val="center"/>
          </w:tcPr>
          <w:p w14:paraId="0D9D1BB5">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制造年份</w:t>
            </w:r>
          </w:p>
        </w:tc>
        <w:tc>
          <w:tcPr>
            <w:tcW w:w="1480" w:type="dxa"/>
            <w:noWrap w:val="0"/>
            <w:vAlign w:val="center"/>
          </w:tcPr>
          <w:p w14:paraId="20000307">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额定功率（kW）</w:t>
            </w:r>
          </w:p>
        </w:tc>
        <w:tc>
          <w:tcPr>
            <w:tcW w:w="1020" w:type="dxa"/>
            <w:noWrap w:val="0"/>
            <w:vAlign w:val="center"/>
          </w:tcPr>
          <w:p w14:paraId="543A4359">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生产能力</w:t>
            </w:r>
          </w:p>
        </w:tc>
        <w:tc>
          <w:tcPr>
            <w:tcW w:w="921" w:type="dxa"/>
            <w:noWrap w:val="0"/>
            <w:vAlign w:val="center"/>
          </w:tcPr>
          <w:p w14:paraId="1148F315">
            <w:pPr>
              <w:pStyle w:val="200"/>
              <w:keepNext/>
              <w:pageBreakBefore w:val="0"/>
              <w:widowControl w:val="0"/>
              <w:spacing w:after="0" w:line="360" w:lineRule="auto"/>
              <w:ind w:left="0" w:right="63" w:firstLine="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tc>
      </w:tr>
      <w:tr w14:paraId="7E70A4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3CCB4A3">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20E0FF7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63D6EE4B">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53606E55">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2EE58B37">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6C351293">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6E80F8FF">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16E58A43">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3333400C">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5808F8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0894FD3">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51D39D6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6EE59B5F">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17C6756B">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2BE64401">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7846908A">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265EAC8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0B1ED289">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4649840F">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4F137C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B0AA2AC">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1F5EA705">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6AD86B9B">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5124196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24DB9FB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243B6089">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2A15B177">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545A458E">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4DDB1C51">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321DC2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E45B76E">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5B1B04EC">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168CEBF5">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1E3C685C">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1D829FE9">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1D79E57A">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20BA68D1">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2C7512BA">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0A1BB589">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03C80F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C85662B">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19FDD99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6BB77E0F">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10B2199E">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2D9404A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47AC1DE9">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71DC0DF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755A0BD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31AD2917">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05985F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36DE4C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28242D7F">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44C2FC5D">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40E126A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13719D56">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04C1847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6EFCBD86">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4D843B26">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0ADBD879">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03B890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2381A5E">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38B138CC">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0E8670E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380D076A">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4566CAB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1A876214">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56227DF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6BDB8B0A">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44E91E01">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1DE296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726A25C">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0270361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0EAE9A82">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313219BF">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30F1922A">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0BBB9C7F">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214F8FD6">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39717BB1">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14FCB0EE">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7E8BF3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594334CB">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30701955">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6F766E54">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175864BF">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72706E42">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34A97669">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7DBB56B6">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6A61B170">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1AAC046B">
            <w:pPr>
              <w:pageBreakBefore w:val="0"/>
              <w:widowControl w:val="0"/>
              <w:spacing w:line="360" w:lineRule="auto"/>
              <w:outlineLvl w:val="9"/>
              <w:rPr>
                <w:rFonts w:hint="eastAsia" w:ascii="宋体" w:hAnsi="宋体" w:eastAsia="宋体" w:cs="宋体"/>
                <w:color w:val="auto"/>
                <w:sz w:val="21"/>
                <w:szCs w:val="21"/>
                <w:highlight w:val="none"/>
              </w:rPr>
            </w:pPr>
          </w:p>
        </w:tc>
      </w:tr>
      <w:tr w14:paraId="5FD370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34A74E3">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18" w:type="dxa"/>
            <w:noWrap w:val="0"/>
            <w:vAlign w:val="center"/>
          </w:tcPr>
          <w:p w14:paraId="16AC1B5E">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50" w:type="dxa"/>
            <w:noWrap w:val="0"/>
            <w:vAlign w:val="center"/>
          </w:tcPr>
          <w:p w14:paraId="2F308221">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58" w:type="dxa"/>
            <w:noWrap w:val="0"/>
            <w:vAlign w:val="center"/>
          </w:tcPr>
          <w:p w14:paraId="3EB08CD2">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880" w:type="dxa"/>
            <w:noWrap w:val="0"/>
            <w:vAlign w:val="center"/>
          </w:tcPr>
          <w:p w14:paraId="60E78759">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02E4670E">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480" w:type="dxa"/>
            <w:noWrap w:val="0"/>
            <w:vAlign w:val="center"/>
          </w:tcPr>
          <w:p w14:paraId="718EEEF0">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1020" w:type="dxa"/>
            <w:noWrap w:val="0"/>
            <w:vAlign w:val="center"/>
          </w:tcPr>
          <w:p w14:paraId="1E5B92F3">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c>
          <w:tcPr>
            <w:tcW w:w="921" w:type="dxa"/>
            <w:noWrap w:val="0"/>
            <w:vAlign w:val="center"/>
          </w:tcPr>
          <w:p w14:paraId="49868B42">
            <w:pPr>
              <w:pStyle w:val="200"/>
              <w:keepNext/>
              <w:pageBreakBefore w:val="0"/>
              <w:widowControl w:val="0"/>
              <w:spacing w:after="0" w:line="360" w:lineRule="auto"/>
              <w:ind w:left="63" w:right="63"/>
              <w:outlineLvl w:val="9"/>
              <w:rPr>
                <w:rFonts w:hint="eastAsia" w:ascii="宋体" w:hAnsi="宋体" w:eastAsia="宋体" w:cs="宋体"/>
                <w:color w:val="auto"/>
                <w:sz w:val="21"/>
                <w:szCs w:val="21"/>
                <w:highlight w:val="none"/>
                <w:lang w:val="en-US" w:eastAsia="zh-CN"/>
              </w:rPr>
            </w:pPr>
          </w:p>
        </w:tc>
      </w:tr>
      <w:tr w14:paraId="498ACB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097D006">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5826F213">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19AD4309">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10D40467">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313B559B">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14323E24">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2959F7D3">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4680019E">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7F7AFCD6">
            <w:pPr>
              <w:pageBreakBefore w:val="0"/>
              <w:widowControl w:val="0"/>
              <w:spacing w:line="360" w:lineRule="auto"/>
              <w:outlineLvl w:val="9"/>
              <w:rPr>
                <w:rFonts w:hint="eastAsia" w:ascii="宋体" w:hAnsi="宋体" w:eastAsia="宋体" w:cs="宋体"/>
                <w:color w:val="auto"/>
                <w:sz w:val="21"/>
                <w:szCs w:val="21"/>
                <w:highlight w:val="none"/>
              </w:rPr>
            </w:pPr>
          </w:p>
        </w:tc>
      </w:tr>
      <w:tr w14:paraId="31B12C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5EE48308">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04D35AE5">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69A5357F">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2EC1BCAD">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6F0029C9">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00AF5090">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437E13EF">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5A2CB981">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1C20837A">
            <w:pPr>
              <w:pageBreakBefore w:val="0"/>
              <w:widowControl w:val="0"/>
              <w:spacing w:line="360" w:lineRule="auto"/>
              <w:outlineLvl w:val="9"/>
              <w:rPr>
                <w:rFonts w:hint="eastAsia" w:ascii="宋体" w:hAnsi="宋体" w:eastAsia="宋体" w:cs="宋体"/>
                <w:color w:val="auto"/>
                <w:sz w:val="21"/>
                <w:szCs w:val="21"/>
                <w:highlight w:val="none"/>
              </w:rPr>
            </w:pPr>
          </w:p>
        </w:tc>
      </w:tr>
      <w:tr w14:paraId="39CFA8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3E31C6F">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5AFAF59E">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43A54070">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3BBFD817">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63B68FCE">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7A048930">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497820C3">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26B6C1F7">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21B1C793">
            <w:pPr>
              <w:pageBreakBefore w:val="0"/>
              <w:widowControl w:val="0"/>
              <w:spacing w:line="360" w:lineRule="auto"/>
              <w:outlineLvl w:val="9"/>
              <w:rPr>
                <w:rFonts w:hint="eastAsia" w:ascii="宋体" w:hAnsi="宋体" w:eastAsia="宋体" w:cs="宋体"/>
                <w:color w:val="auto"/>
                <w:sz w:val="21"/>
                <w:szCs w:val="21"/>
                <w:highlight w:val="none"/>
              </w:rPr>
            </w:pPr>
          </w:p>
        </w:tc>
      </w:tr>
      <w:tr w14:paraId="38D0A3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A80168A">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6440EE55">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27129F66">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151CFE90">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1855D1E2">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4D223FBD">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34B95601">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600AF38D">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53AEC398">
            <w:pPr>
              <w:pageBreakBefore w:val="0"/>
              <w:widowControl w:val="0"/>
              <w:spacing w:line="360" w:lineRule="auto"/>
              <w:outlineLvl w:val="9"/>
              <w:rPr>
                <w:rFonts w:hint="eastAsia" w:ascii="宋体" w:hAnsi="宋体" w:eastAsia="宋体" w:cs="宋体"/>
                <w:color w:val="auto"/>
                <w:sz w:val="21"/>
                <w:szCs w:val="21"/>
                <w:highlight w:val="none"/>
              </w:rPr>
            </w:pPr>
          </w:p>
        </w:tc>
      </w:tr>
      <w:tr w14:paraId="5B4089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40686DAB">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2A3CB84D">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443EE00D">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70E3BA0B">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48B7D579">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3A65667A">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3CC0FB1D">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34446FC4">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0903A4A5">
            <w:pPr>
              <w:pageBreakBefore w:val="0"/>
              <w:widowControl w:val="0"/>
              <w:spacing w:line="360" w:lineRule="auto"/>
              <w:outlineLvl w:val="9"/>
              <w:rPr>
                <w:rFonts w:hint="eastAsia" w:ascii="宋体" w:hAnsi="宋体" w:eastAsia="宋体" w:cs="宋体"/>
                <w:color w:val="auto"/>
                <w:sz w:val="21"/>
                <w:szCs w:val="21"/>
                <w:highlight w:val="none"/>
              </w:rPr>
            </w:pPr>
          </w:p>
        </w:tc>
      </w:tr>
      <w:tr w14:paraId="7ECD00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5694BB82">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27C0B820">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509BB1DA">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12C17A3F">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465D5EB3">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37BB377C">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6A1DB8F5">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5CB8C138">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380C1A8A">
            <w:pPr>
              <w:pageBreakBefore w:val="0"/>
              <w:widowControl w:val="0"/>
              <w:spacing w:line="360" w:lineRule="auto"/>
              <w:outlineLvl w:val="9"/>
              <w:rPr>
                <w:rFonts w:hint="eastAsia" w:ascii="宋体" w:hAnsi="宋体" w:eastAsia="宋体" w:cs="宋体"/>
                <w:color w:val="auto"/>
                <w:sz w:val="21"/>
                <w:szCs w:val="21"/>
                <w:highlight w:val="none"/>
              </w:rPr>
            </w:pPr>
          </w:p>
        </w:tc>
      </w:tr>
      <w:tr w14:paraId="6D88FE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E0D048E">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200D2DD6">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1DCA0A87">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2E1963AA">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545CBA2F">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788385B6">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7A4F3CDE">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3B83BD0B">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092F5517">
            <w:pPr>
              <w:pageBreakBefore w:val="0"/>
              <w:widowControl w:val="0"/>
              <w:spacing w:line="360" w:lineRule="auto"/>
              <w:outlineLvl w:val="9"/>
              <w:rPr>
                <w:rFonts w:hint="eastAsia" w:ascii="宋体" w:hAnsi="宋体" w:eastAsia="宋体" w:cs="宋体"/>
                <w:color w:val="auto"/>
                <w:sz w:val="21"/>
                <w:szCs w:val="21"/>
                <w:highlight w:val="none"/>
              </w:rPr>
            </w:pPr>
          </w:p>
        </w:tc>
      </w:tr>
      <w:tr w14:paraId="37B154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722C3BB3">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42679C94">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685E0445">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08C44220">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31FD2EEE">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727F02C1">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6436B602">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2F27C191">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48D3B529">
            <w:pPr>
              <w:pageBreakBefore w:val="0"/>
              <w:widowControl w:val="0"/>
              <w:spacing w:line="360" w:lineRule="auto"/>
              <w:outlineLvl w:val="9"/>
              <w:rPr>
                <w:rFonts w:hint="eastAsia" w:ascii="宋体" w:hAnsi="宋体" w:eastAsia="宋体" w:cs="宋体"/>
                <w:color w:val="auto"/>
                <w:sz w:val="21"/>
                <w:szCs w:val="21"/>
                <w:highlight w:val="none"/>
              </w:rPr>
            </w:pPr>
          </w:p>
        </w:tc>
      </w:tr>
      <w:tr w14:paraId="22521F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5C31D7A4">
            <w:pPr>
              <w:pageBreakBefore w:val="0"/>
              <w:widowControl w:val="0"/>
              <w:spacing w:line="360" w:lineRule="auto"/>
              <w:outlineLvl w:val="9"/>
              <w:rPr>
                <w:rFonts w:hint="eastAsia" w:ascii="宋体" w:hAnsi="宋体" w:eastAsia="宋体" w:cs="宋体"/>
                <w:color w:val="auto"/>
                <w:sz w:val="21"/>
                <w:szCs w:val="21"/>
                <w:highlight w:val="none"/>
              </w:rPr>
            </w:pPr>
          </w:p>
        </w:tc>
        <w:tc>
          <w:tcPr>
            <w:tcW w:w="1418" w:type="dxa"/>
            <w:noWrap w:val="0"/>
            <w:vAlign w:val="top"/>
          </w:tcPr>
          <w:p w14:paraId="09F084E9">
            <w:pPr>
              <w:pageBreakBefore w:val="0"/>
              <w:widowControl w:val="0"/>
              <w:spacing w:line="360" w:lineRule="auto"/>
              <w:outlineLvl w:val="9"/>
              <w:rPr>
                <w:rFonts w:hint="eastAsia" w:ascii="宋体" w:hAnsi="宋体" w:eastAsia="宋体" w:cs="宋体"/>
                <w:color w:val="auto"/>
                <w:sz w:val="21"/>
                <w:szCs w:val="21"/>
                <w:highlight w:val="none"/>
              </w:rPr>
            </w:pPr>
          </w:p>
        </w:tc>
        <w:tc>
          <w:tcPr>
            <w:tcW w:w="850" w:type="dxa"/>
            <w:noWrap w:val="0"/>
            <w:vAlign w:val="top"/>
          </w:tcPr>
          <w:p w14:paraId="0D564598">
            <w:pPr>
              <w:pageBreakBefore w:val="0"/>
              <w:widowControl w:val="0"/>
              <w:spacing w:line="360" w:lineRule="auto"/>
              <w:outlineLvl w:val="9"/>
              <w:rPr>
                <w:rFonts w:hint="eastAsia" w:ascii="宋体" w:hAnsi="宋体" w:eastAsia="宋体" w:cs="宋体"/>
                <w:color w:val="auto"/>
                <w:sz w:val="21"/>
                <w:szCs w:val="21"/>
                <w:highlight w:val="none"/>
              </w:rPr>
            </w:pPr>
          </w:p>
        </w:tc>
        <w:tc>
          <w:tcPr>
            <w:tcW w:w="1058" w:type="dxa"/>
            <w:noWrap w:val="0"/>
            <w:vAlign w:val="top"/>
          </w:tcPr>
          <w:p w14:paraId="0E1FAC4E">
            <w:pPr>
              <w:pageBreakBefore w:val="0"/>
              <w:widowControl w:val="0"/>
              <w:spacing w:line="360" w:lineRule="auto"/>
              <w:outlineLvl w:val="9"/>
              <w:rPr>
                <w:rFonts w:hint="eastAsia" w:ascii="宋体" w:hAnsi="宋体" w:eastAsia="宋体" w:cs="宋体"/>
                <w:color w:val="auto"/>
                <w:sz w:val="21"/>
                <w:szCs w:val="21"/>
                <w:highlight w:val="none"/>
              </w:rPr>
            </w:pPr>
          </w:p>
        </w:tc>
        <w:tc>
          <w:tcPr>
            <w:tcW w:w="880" w:type="dxa"/>
            <w:noWrap w:val="0"/>
            <w:vAlign w:val="top"/>
          </w:tcPr>
          <w:p w14:paraId="0DDD7252">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3FD5BE67">
            <w:pPr>
              <w:pageBreakBefore w:val="0"/>
              <w:widowControl w:val="0"/>
              <w:spacing w:line="360" w:lineRule="auto"/>
              <w:outlineLvl w:val="9"/>
              <w:rPr>
                <w:rFonts w:hint="eastAsia" w:ascii="宋体" w:hAnsi="宋体" w:eastAsia="宋体" w:cs="宋体"/>
                <w:color w:val="auto"/>
                <w:sz w:val="21"/>
                <w:szCs w:val="21"/>
                <w:highlight w:val="none"/>
              </w:rPr>
            </w:pPr>
          </w:p>
        </w:tc>
        <w:tc>
          <w:tcPr>
            <w:tcW w:w="1480" w:type="dxa"/>
            <w:noWrap w:val="0"/>
            <w:vAlign w:val="top"/>
          </w:tcPr>
          <w:p w14:paraId="79B3238A">
            <w:pPr>
              <w:pageBreakBefore w:val="0"/>
              <w:widowControl w:val="0"/>
              <w:spacing w:line="360" w:lineRule="auto"/>
              <w:outlineLvl w:val="9"/>
              <w:rPr>
                <w:rFonts w:hint="eastAsia" w:ascii="宋体" w:hAnsi="宋体" w:eastAsia="宋体" w:cs="宋体"/>
                <w:color w:val="auto"/>
                <w:sz w:val="21"/>
                <w:szCs w:val="21"/>
                <w:highlight w:val="none"/>
              </w:rPr>
            </w:pPr>
          </w:p>
        </w:tc>
        <w:tc>
          <w:tcPr>
            <w:tcW w:w="1020" w:type="dxa"/>
            <w:noWrap w:val="0"/>
            <w:vAlign w:val="top"/>
          </w:tcPr>
          <w:p w14:paraId="6F3913D3">
            <w:pPr>
              <w:pageBreakBefore w:val="0"/>
              <w:widowControl w:val="0"/>
              <w:spacing w:line="360" w:lineRule="auto"/>
              <w:outlineLvl w:val="9"/>
              <w:rPr>
                <w:rFonts w:hint="eastAsia" w:ascii="宋体" w:hAnsi="宋体" w:eastAsia="宋体" w:cs="宋体"/>
                <w:color w:val="auto"/>
                <w:sz w:val="21"/>
                <w:szCs w:val="21"/>
                <w:highlight w:val="none"/>
              </w:rPr>
            </w:pPr>
          </w:p>
        </w:tc>
        <w:tc>
          <w:tcPr>
            <w:tcW w:w="921" w:type="dxa"/>
            <w:noWrap w:val="0"/>
            <w:vAlign w:val="top"/>
          </w:tcPr>
          <w:p w14:paraId="2CEA51E4">
            <w:pPr>
              <w:pageBreakBefore w:val="0"/>
              <w:widowControl w:val="0"/>
              <w:spacing w:line="360" w:lineRule="auto"/>
              <w:outlineLvl w:val="9"/>
              <w:rPr>
                <w:rFonts w:hint="eastAsia" w:ascii="宋体" w:hAnsi="宋体" w:eastAsia="宋体" w:cs="宋体"/>
                <w:color w:val="auto"/>
                <w:sz w:val="21"/>
                <w:szCs w:val="21"/>
                <w:highlight w:val="none"/>
              </w:rPr>
            </w:pPr>
          </w:p>
        </w:tc>
      </w:tr>
    </w:tbl>
    <w:p w14:paraId="68D3865C">
      <w:pPr>
        <w:pStyle w:val="200"/>
        <w:tabs>
          <w:tab w:val="left" w:pos="1160"/>
          <w:tab w:val="left" w:pos="2423"/>
        </w:tabs>
        <w:spacing w:before="5"/>
        <w:ind w:left="63" w:right="63"/>
        <w:rPr>
          <w:color w:val="auto"/>
          <w:sz w:val="14"/>
          <w:highlight w:val="none"/>
        </w:rPr>
      </w:pPr>
    </w:p>
    <w:p w14:paraId="6A609664">
      <w:pPr>
        <w:pStyle w:val="200"/>
        <w:tabs>
          <w:tab w:val="left" w:pos="1160"/>
          <w:tab w:val="left" w:pos="2423"/>
        </w:tabs>
        <w:spacing w:before="43"/>
        <w:ind w:left="0" w:right="63" w:firstLine="0"/>
        <w:jc w:val="left"/>
        <w:rPr>
          <w:color w:val="auto"/>
          <w:highlight w:val="none"/>
        </w:rPr>
      </w:pPr>
      <w:r>
        <w:rPr>
          <w:color w:val="auto"/>
          <w:highlight w:val="none"/>
        </w:rPr>
        <w:br w:type="page" w:clear="all"/>
      </w:r>
      <w:r>
        <w:rPr>
          <w:color w:val="auto"/>
          <w:highlight w:val="none"/>
        </w:rPr>
        <w:t>附件4：</w:t>
      </w:r>
    </w:p>
    <w:p w14:paraId="62141040">
      <w:pPr>
        <w:pStyle w:val="200"/>
        <w:tabs>
          <w:tab w:val="left" w:pos="1160"/>
          <w:tab w:val="left" w:pos="2423"/>
        </w:tabs>
        <w:spacing w:before="70"/>
        <w:ind w:left="0" w:right="63" w:firstLine="0"/>
        <w:jc w:val="center"/>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承包人主要施工管理人员表</w:t>
      </w:r>
    </w:p>
    <w:tbl>
      <w:tblPr>
        <w:tblStyle w:val="30"/>
        <w:tblpPr w:leftFromText="180" w:rightFromText="180" w:vertAnchor="text" w:horzAnchor="page" w:tblpX="1116" w:tblpY="166"/>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871"/>
        <w:gridCol w:w="1418"/>
        <w:gridCol w:w="1134"/>
        <w:gridCol w:w="1134"/>
        <w:gridCol w:w="4252"/>
      </w:tblGrid>
      <w:tr w14:paraId="25796F1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9" w:hRule="atLeast"/>
        </w:trPr>
        <w:tc>
          <w:tcPr>
            <w:tcW w:w="1871" w:type="dxa"/>
            <w:noWrap w:val="0"/>
            <w:vAlign w:val="top"/>
          </w:tcPr>
          <w:p w14:paraId="0205E65D">
            <w:pPr>
              <w:pStyle w:val="539"/>
              <w:tabs>
                <w:tab w:val="left" w:pos="599"/>
              </w:tabs>
              <w:spacing w:before="154"/>
              <w:ind w:left="0" w:right="512" w:firstLine="0"/>
              <w:jc w:val="center"/>
              <w:rPr>
                <w:color w:val="auto"/>
                <w:sz w:val="20"/>
                <w:highlight w:val="none"/>
              </w:rPr>
            </w:pPr>
            <w:r>
              <w:rPr>
                <w:color w:val="auto"/>
                <w:sz w:val="20"/>
                <w:highlight w:val="none"/>
              </w:rPr>
              <w:t>名</w:t>
            </w:r>
            <w:r>
              <w:rPr>
                <w:color w:val="auto"/>
                <w:sz w:val="20"/>
                <w:highlight w:val="none"/>
              </w:rPr>
              <w:tab/>
            </w:r>
            <w:r>
              <w:rPr>
                <w:color w:val="auto"/>
                <w:spacing w:val="-1"/>
                <w:sz w:val="20"/>
                <w:highlight w:val="none"/>
              </w:rPr>
              <w:t>称</w:t>
            </w:r>
          </w:p>
        </w:tc>
        <w:tc>
          <w:tcPr>
            <w:tcW w:w="1418" w:type="dxa"/>
            <w:noWrap w:val="0"/>
            <w:vAlign w:val="top"/>
          </w:tcPr>
          <w:p w14:paraId="7B24D82B">
            <w:pPr>
              <w:pStyle w:val="539"/>
              <w:spacing w:before="154"/>
              <w:ind w:left="0" w:right="469" w:firstLine="0"/>
              <w:jc w:val="center"/>
              <w:rPr>
                <w:color w:val="auto"/>
                <w:sz w:val="20"/>
                <w:highlight w:val="none"/>
              </w:rPr>
            </w:pPr>
            <w:r>
              <w:rPr>
                <w:color w:val="auto"/>
                <w:sz w:val="20"/>
                <w:highlight w:val="none"/>
              </w:rPr>
              <w:t>姓名</w:t>
            </w:r>
          </w:p>
        </w:tc>
        <w:tc>
          <w:tcPr>
            <w:tcW w:w="1134" w:type="dxa"/>
            <w:noWrap w:val="0"/>
            <w:vAlign w:val="top"/>
          </w:tcPr>
          <w:p w14:paraId="187CA5D2">
            <w:pPr>
              <w:pStyle w:val="539"/>
              <w:spacing w:before="154"/>
              <w:ind w:left="0" w:firstLine="0"/>
              <w:jc w:val="center"/>
              <w:rPr>
                <w:color w:val="auto"/>
                <w:sz w:val="20"/>
                <w:highlight w:val="none"/>
              </w:rPr>
            </w:pPr>
            <w:r>
              <w:rPr>
                <w:color w:val="auto"/>
                <w:sz w:val="20"/>
                <w:highlight w:val="none"/>
              </w:rPr>
              <w:t>职务</w:t>
            </w:r>
          </w:p>
        </w:tc>
        <w:tc>
          <w:tcPr>
            <w:tcW w:w="1134" w:type="dxa"/>
            <w:noWrap w:val="0"/>
            <w:vAlign w:val="top"/>
          </w:tcPr>
          <w:p w14:paraId="64A357B9">
            <w:pPr>
              <w:pStyle w:val="539"/>
              <w:spacing w:before="154"/>
              <w:ind w:left="0" w:firstLine="0"/>
              <w:jc w:val="center"/>
              <w:rPr>
                <w:color w:val="auto"/>
                <w:sz w:val="20"/>
                <w:highlight w:val="none"/>
              </w:rPr>
            </w:pPr>
            <w:r>
              <w:rPr>
                <w:color w:val="auto"/>
                <w:sz w:val="20"/>
                <w:highlight w:val="none"/>
              </w:rPr>
              <w:t>职称</w:t>
            </w:r>
          </w:p>
        </w:tc>
        <w:tc>
          <w:tcPr>
            <w:tcW w:w="4252" w:type="dxa"/>
            <w:noWrap w:val="0"/>
            <w:vAlign w:val="top"/>
          </w:tcPr>
          <w:p w14:paraId="52DC743C">
            <w:pPr>
              <w:pStyle w:val="539"/>
              <w:spacing w:before="154"/>
              <w:ind w:left="0" w:firstLine="0"/>
              <w:jc w:val="center"/>
              <w:rPr>
                <w:color w:val="auto"/>
                <w:sz w:val="20"/>
                <w:highlight w:val="none"/>
                <w:lang w:eastAsia="zh-CN"/>
              </w:rPr>
            </w:pPr>
            <w:r>
              <w:rPr>
                <w:color w:val="auto"/>
                <w:sz w:val="20"/>
                <w:highlight w:val="none"/>
                <w:lang w:eastAsia="zh-CN"/>
              </w:rPr>
              <w:t>主要资历、经验及承担过的项目</w:t>
            </w:r>
          </w:p>
        </w:tc>
      </w:tr>
      <w:tr w14:paraId="48D261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9809" w:type="dxa"/>
            <w:gridSpan w:val="5"/>
            <w:noWrap w:val="0"/>
            <w:vAlign w:val="top"/>
          </w:tcPr>
          <w:p w14:paraId="4BF6526E">
            <w:pPr>
              <w:pStyle w:val="539"/>
              <w:spacing w:before="154"/>
              <w:ind w:left="0" w:right="4256" w:firstLine="0"/>
              <w:jc w:val="both"/>
              <w:rPr>
                <w:color w:val="auto"/>
                <w:sz w:val="20"/>
                <w:highlight w:val="none"/>
              </w:rPr>
            </w:pPr>
            <w:r>
              <w:rPr>
                <w:color w:val="auto"/>
                <w:sz w:val="20"/>
                <w:highlight w:val="none"/>
              </w:rPr>
              <w:t>一、总部人员</w:t>
            </w:r>
          </w:p>
        </w:tc>
      </w:tr>
      <w:tr w14:paraId="6C6A8EB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04C3DA9A">
            <w:pPr>
              <w:pStyle w:val="539"/>
              <w:rPr>
                <w:rFonts w:ascii="Times New Roman"/>
                <w:color w:val="auto"/>
                <w:sz w:val="20"/>
                <w:highlight w:val="none"/>
              </w:rPr>
            </w:pPr>
          </w:p>
        </w:tc>
        <w:tc>
          <w:tcPr>
            <w:tcW w:w="1418" w:type="dxa"/>
            <w:noWrap w:val="0"/>
            <w:vAlign w:val="top"/>
          </w:tcPr>
          <w:p w14:paraId="4D0EDA05">
            <w:pPr>
              <w:pStyle w:val="539"/>
              <w:rPr>
                <w:rFonts w:ascii="Times New Roman"/>
                <w:color w:val="auto"/>
                <w:sz w:val="20"/>
                <w:highlight w:val="none"/>
              </w:rPr>
            </w:pPr>
          </w:p>
        </w:tc>
        <w:tc>
          <w:tcPr>
            <w:tcW w:w="1134" w:type="dxa"/>
            <w:noWrap w:val="0"/>
            <w:vAlign w:val="top"/>
          </w:tcPr>
          <w:p w14:paraId="27603E27">
            <w:pPr>
              <w:pStyle w:val="539"/>
              <w:rPr>
                <w:rFonts w:ascii="Times New Roman"/>
                <w:color w:val="auto"/>
                <w:sz w:val="20"/>
                <w:highlight w:val="none"/>
              </w:rPr>
            </w:pPr>
          </w:p>
        </w:tc>
        <w:tc>
          <w:tcPr>
            <w:tcW w:w="1134" w:type="dxa"/>
            <w:noWrap w:val="0"/>
            <w:vAlign w:val="top"/>
          </w:tcPr>
          <w:p w14:paraId="0A235A12">
            <w:pPr>
              <w:pStyle w:val="539"/>
              <w:rPr>
                <w:rFonts w:ascii="Times New Roman"/>
                <w:color w:val="auto"/>
                <w:sz w:val="20"/>
                <w:highlight w:val="none"/>
              </w:rPr>
            </w:pPr>
          </w:p>
        </w:tc>
        <w:tc>
          <w:tcPr>
            <w:tcW w:w="4252" w:type="dxa"/>
            <w:noWrap w:val="0"/>
            <w:vAlign w:val="top"/>
          </w:tcPr>
          <w:p w14:paraId="4C736A76">
            <w:pPr>
              <w:pStyle w:val="539"/>
              <w:rPr>
                <w:rFonts w:ascii="Times New Roman"/>
                <w:color w:val="auto"/>
                <w:sz w:val="20"/>
                <w:highlight w:val="none"/>
              </w:rPr>
            </w:pPr>
          </w:p>
        </w:tc>
      </w:tr>
      <w:tr w14:paraId="5EF3018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vMerge w:val="restart"/>
            <w:noWrap w:val="0"/>
            <w:vAlign w:val="top"/>
          </w:tcPr>
          <w:p w14:paraId="715C6578">
            <w:pPr>
              <w:pStyle w:val="539"/>
              <w:rPr>
                <w:rFonts w:ascii="Times New Roman"/>
                <w:color w:val="auto"/>
                <w:sz w:val="20"/>
                <w:highlight w:val="none"/>
              </w:rPr>
            </w:pPr>
          </w:p>
        </w:tc>
        <w:tc>
          <w:tcPr>
            <w:tcW w:w="1418" w:type="dxa"/>
            <w:noWrap w:val="0"/>
            <w:vAlign w:val="top"/>
          </w:tcPr>
          <w:p w14:paraId="3D7E9506">
            <w:pPr>
              <w:pStyle w:val="539"/>
              <w:rPr>
                <w:rFonts w:ascii="Times New Roman"/>
                <w:color w:val="auto"/>
                <w:sz w:val="20"/>
                <w:highlight w:val="none"/>
              </w:rPr>
            </w:pPr>
          </w:p>
        </w:tc>
        <w:tc>
          <w:tcPr>
            <w:tcW w:w="1134" w:type="dxa"/>
            <w:noWrap w:val="0"/>
            <w:vAlign w:val="top"/>
          </w:tcPr>
          <w:p w14:paraId="1BD71D1A">
            <w:pPr>
              <w:pStyle w:val="539"/>
              <w:rPr>
                <w:rFonts w:ascii="Times New Roman"/>
                <w:color w:val="auto"/>
                <w:sz w:val="20"/>
                <w:highlight w:val="none"/>
              </w:rPr>
            </w:pPr>
          </w:p>
        </w:tc>
        <w:tc>
          <w:tcPr>
            <w:tcW w:w="1134" w:type="dxa"/>
            <w:noWrap w:val="0"/>
            <w:vAlign w:val="top"/>
          </w:tcPr>
          <w:p w14:paraId="5A64A977">
            <w:pPr>
              <w:pStyle w:val="539"/>
              <w:rPr>
                <w:rFonts w:ascii="Times New Roman"/>
                <w:color w:val="auto"/>
                <w:sz w:val="20"/>
                <w:highlight w:val="none"/>
              </w:rPr>
            </w:pPr>
          </w:p>
        </w:tc>
        <w:tc>
          <w:tcPr>
            <w:tcW w:w="4252" w:type="dxa"/>
            <w:noWrap w:val="0"/>
            <w:vAlign w:val="top"/>
          </w:tcPr>
          <w:p w14:paraId="3AEDF74B">
            <w:pPr>
              <w:pStyle w:val="539"/>
              <w:rPr>
                <w:rFonts w:ascii="Times New Roman"/>
                <w:color w:val="auto"/>
                <w:sz w:val="20"/>
                <w:highlight w:val="none"/>
              </w:rPr>
            </w:pPr>
          </w:p>
        </w:tc>
      </w:tr>
      <w:tr w14:paraId="5E84349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9" w:hRule="atLeast"/>
        </w:trPr>
        <w:tc>
          <w:tcPr>
            <w:tcW w:w="1871" w:type="dxa"/>
            <w:vMerge w:val="continue"/>
            <w:noWrap w:val="0"/>
            <w:vAlign w:val="top"/>
          </w:tcPr>
          <w:p w14:paraId="7A3F6883">
            <w:pPr>
              <w:rPr>
                <w:color w:val="auto"/>
                <w:sz w:val="2"/>
                <w:szCs w:val="2"/>
                <w:highlight w:val="none"/>
              </w:rPr>
            </w:pPr>
          </w:p>
        </w:tc>
        <w:tc>
          <w:tcPr>
            <w:tcW w:w="1418" w:type="dxa"/>
            <w:noWrap w:val="0"/>
            <w:vAlign w:val="top"/>
          </w:tcPr>
          <w:p w14:paraId="4F9612C8">
            <w:pPr>
              <w:pStyle w:val="539"/>
              <w:rPr>
                <w:rFonts w:ascii="Times New Roman"/>
                <w:color w:val="auto"/>
                <w:sz w:val="20"/>
                <w:highlight w:val="none"/>
              </w:rPr>
            </w:pPr>
          </w:p>
        </w:tc>
        <w:tc>
          <w:tcPr>
            <w:tcW w:w="1134" w:type="dxa"/>
            <w:noWrap w:val="0"/>
            <w:vAlign w:val="top"/>
          </w:tcPr>
          <w:p w14:paraId="65D2787E">
            <w:pPr>
              <w:pStyle w:val="539"/>
              <w:rPr>
                <w:rFonts w:ascii="Times New Roman"/>
                <w:color w:val="auto"/>
                <w:sz w:val="20"/>
                <w:highlight w:val="none"/>
              </w:rPr>
            </w:pPr>
          </w:p>
        </w:tc>
        <w:tc>
          <w:tcPr>
            <w:tcW w:w="1134" w:type="dxa"/>
            <w:noWrap w:val="0"/>
            <w:vAlign w:val="top"/>
          </w:tcPr>
          <w:p w14:paraId="42746080">
            <w:pPr>
              <w:pStyle w:val="539"/>
              <w:rPr>
                <w:rFonts w:ascii="Times New Roman"/>
                <w:color w:val="auto"/>
                <w:sz w:val="20"/>
                <w:highlight w:val="none"/>
              </w:rPr>
            </w:pPr>
          </w:p>
        </w:tc>
        <w:tc>
          <w:tcPr>
            <w:tcW w:w="4252" w:type="dxa"/>
            <w:noWrap w:val="0"/>
            <w:vAlign w:val="top"/>
          </w:tcPr>
          <w:p w14:paraId="7FD8A9C2">
            <w:pPr>
              <w:pStyle w:val="539"/>
              <w:rPr>
                <w:rFonts w:ascii="Times New Roman"/>
                <w:color w:val="auto"/>
                <w:sz w:val="20"/>
                <w:highlight w:val="none"/>
              </w:rPr>
            </w:pPr>
          </w:p>
        </w:tc>
      </w:tr>
      <w:tr w14:paraId="36E8BAB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vMerge w:val="continue"/>
            <w:noWrap w:val="0"/>
            <w:vAlign w:val="top"/>
          </w:tcPr>
          <w:p w14:paraId="0F52BDBB">
            <w:pPr>
              <w:rPr>
                <w:color w:val="auto"/>
                <w:sz w:val="2"/>
                <w:szCs w:val="2"/>
                <w:highlight w:val="none"/>
              </w:rPr>
            </w:pPr>
          </w:p>
        </w:tc>
        <w:tc>
          <w:tcPr>
            <w:tcW w:w="1418" w:type="dxa"/>
            <w:noWrap w:val="0"/>
            <w:vAlign w:val="top"/>
          </w:tcPr>
          <w:p w14:paraId="24EF49C3">
            <w:pPr>
              <w:pStyle w:val="539"/>
              <w:rPr>
                <w:rFonts w:ascii="Times New Roman"/>
                <w:color w:val="auto"/>
                <w:sz w:val="20"/>
                <w:highlight w:val="none"/>
              </w:rPr>
            </w:pPr>
          </w:p>
        </w:tc>
        <w:tc>
          <w:tcPr>
            <w:tcW w:w="1134" w:type="dxa"/>
            <w:noWrap w:val="0"/>
            <w:vAlign w:val="top"/>
          </w:tcPr>
          <w:p w14:paraId="738CEEF9">
            <w:pPr>
              <w:pStyle w:val="539"/>
              <w:rPr>
                <w:rFonts w:ascii="Times New Roman"/>
                <w:color w:val="auto"/>
                <w:sz w:val="20"/>
                <w:highlight w:val="none"/>
              </w:rPr>
            </w:pPr>
          </w:p>
        </w:tc>
        <w:tc>
          <w:tcPr>
            <w:tcW w:w="1134" w:type="dxa"/>
            <w:noWrap w:val="0"/>
            <w:vAlign w:val="top"/>
          </w:tcPr>
          <w:p w14:paraId="68D13C73">
            <w:pPr>
              <w:pStyle w:val="539"/>
              <w:rPr>
                <w:rFonts w:ascii="Times New Roman"/>
                <w:color w:val="auto"/>
                <w:sz w:val="20"/>
                <w:highlight w:val="none"/>
              </w:rPr>
            </w:pPr>
          </w:p>
        </w:tc>
        <w:tc>
          <w:tcPr>
            <w:tcW w:w="4252" w:type="dxa"/>
            <w:noWrap w:val="0"/>
            <w:vAlign w:val="top"/>
          </w:tcPr>
          <w:p w14:paraId="77580EB1">
            <w:pPr>
              <w:pStyle w:val="539"/>
              <w:rPr>
                <w:rFonts w:ascii="Times New Roman"/>
                <w:color w:val="auto"/>
                <w:sz w:val="20"/>
                <w:highlight w:val="none"/>
              </w:rPr>
            </w:pPr>
          </w:p>
        </w:tc>
      </w:tr>
      <w:tr w14:paraId="1838D1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9809" w:type="dxa"/>
            <w:gridSpan w:val="5"/>
            <w:noWrap w:val="0"/>
            <w:vAlign w:val="top"/>
          </w:tcPr>
          <w:p w14:paraId="2683178F">
            <w:pPr>
              <w:pStyle w:val="539"/>
              <w:spacing w:before="153"/>
              <w:ind w:left="0" w:right="4256" w:firstLine="0"/>
              <w:jc w:val="both"/>
              <w:rPr>
                <w:color w:val="auto"/>
                <w:sz w:val="20"/>
                <w:highlight w:val="none"/>
              </w:rPr>
            </w:pPr>
            <w:r>
              <w:rPr>
                <w:color w:val="auto"/>
                <w:sz w:val="20"/>
                <w:highlight w:val="none"/>
              </w:rPr>
              <w:t>二、现场人员</w:t>
            </w:r>
          </w:p>
        </w:tc>
      </w:tr>
      <w:tr w14:paraId="247DF3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2F817B4C">
            <w:pPr>
              <w:pStyle w:val="539"/>
              <w:spacing w:before="152"/>
              <w:ind w:left="0" w:right="512" w:firstLine="0"/>
              <w:jc w:val="both"/>
              <w:rPr>
                <w:color w:val="auto"/>
                <w:sz w:val="20"/>
                <w:highlight w:val="none"/>
              </w:rPr>
            </w:pPr>
            <w:r>
              <w:rPr>
                <w:color w:val="auto"/>
                <w:sz w:val="20"/>
                <w:highlight w:val="none"/>
              </w:rPr>
              <w:t>项目经理</w:t>
            </w:r>
          </w:p>
        </w:tc>
        <w:tc>
          <w:tcPr>
            <w:tcW w:w="1418" w:type="dxa"/>
            <w:noWrap w:val="0"/>
            <w:vAlign w:val="top"/>
          </w:tcPr>
          <w:p w14:paraId="29688021">
            <w:pPr>
              <w:pStyle w:val="539"/>
              <w:rPr>
                <w:rFonts w:ascii="Times New Roman"/>
                <w:color w:val="auto"/>
                <w:sz w:val="20"/>
                <w:highlight w:val="none"/>
              </w:rPr>
            </w:pPr>
          </w:p>
        </w:tc>
        <w:tc>
          <w:tcPr>
            <w:tcW w:w="1134" w:type="dxa"/>
            <w:noWrap w:val="0"/>
            <w:vAlign w:val="top"/>
          </w:tcPr>
          <w:p w14:paraId="4A4864AE">
            <w:pPr>
              <w:pStyle w:val="539"/>
              <w:rPr>
                <w:rFonts w:ascii="Times New Roman"/>
                <w:color w:val="auto"/>
                <w:sz w:val="20"/>
                <w:highlight w:val="none"/>
              </w:rPr>
            </w:pPr>
          </w:p>
        </w:tc>
        <w:tc>
          <w:tcPr>
            <w:tcW w:w="1134" w:type="dxa"/>
            <w:noWrap w:val="0"/>
            <w:vAlign w:val="top"/>
          </w:tcPr>
          <w:p w14:paraId="0681E716">
            <w:pPr>
              <w:pStyle w:val="539"/>
              <w:rPr>
                <w:rFonts w:ascii="Times New Roman"/>
                <w:color w:val="auto"/>
                <w:sz w:val="20"/>
                <w:highlight w:val="none"/>
              </w:rPr>
            </w:pPr>
          </w:p>
        </w:tc>
        <w:tc>
          <w:tcPr>
            <w:tcW w:w="4252" w:type="dxa"/>
            <w:noWrap w:val="0"/>
            <w:vAlign w:val="top"/>
          </w:tcPr>
          <w:p w14:paraId="09F8D0AE">
            <w:pPr>
              <w:pStyle w:val="539"/>
              <w:rPr>
                <w:rFonts w:ascii="Times New Roman"/>
                <w:color w:val="auto"/>
                <w:sz w:val="20"/>
                <w:highlight w:val="none"/>
              </w:rPr>
            </w:pPr>
          </w:p>
        </w:tc>
      </w:tr>
      <w:tr w14:paraId="094EFB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5E6CB75F">
            <w:pPr>
              <w:pStyle w:val="539"/>
              <w:rPr>
                <w:rFonts w:ascii="Times New Roman"/>
                <w:color w:val="auto"/>
                <w:sz w:val="20"/>
                <w:highlight w:val="none"/>
              </w:rPr>
            </w:pPr>
          </w:p>
        </w:tc>
        <w:tc>
          <w:tcPr>
            <w:tcW w:w="1418" w:type="dxa"/>
            <w:noWrap w:val="0"/>
            <w:vAlign w:val="top"/>
          </w:tcPr>
          <w:p w14:paraId="71BECEDD">
            <w:pPr>
              <w:pStyle w:val="539"/>
              <w:rPr>
                <w:rFonts w:ascii="Times New Roman"/>
                <w:color w:val="auto"/>
                <w:sz w:val="20"/>
                <w:highlight w:val="none"/>
              </w:rPr>
            </w:pPr>
          </w:p>
        </w:tc>
        <w:tc>
          <w:tcPr>
            <w:tcW w:w="1134" w:type="dxa"/>
            <w:noWrap w:val="0"/>
            <w:vAlign w:val="top"/>
          </w:tcPr>
          <w:p w14:paraId="17DE90F3">
            <w:pPr>
              <w:pStyle w:val="539"/>
              <w:rPr>
                <w:rFonts w:ascii="Times New Roman"/>
                <w:color w:val="auto"/>
                <w:sz w:val="20"/>
                <w:highlight w:val="none"/>
              </w:rPr>
            </w:pPr>
          </w:p>
        </w:tc>
        <w:tc>
          <w:tcPr>
            <w:tcW w:w="1134" w:type="dxa"/>
            <w:noWrap w:val="0"/>
            <w:vAlign w:val="top"/>
          </w:tcPr>
          <w:p w14:paraId="4EA120E0">
            <w:pPr>
              <w:pStyle w:val="539"/>
              <w:rPr>
                <w:rFonts w:ascii="Times New Roman"/>
                <w:color w:val="auto"/>
                <w:sz w:val="20"/>
                <w:highlight w:val="none"/>
              </w:rPr>
            </w:pPr>
          </w:p>
        </w:tc>
        <w:tc>
          <w:tcPr>
            <w:tcW w:w="4252" w:type="dxa"/>
            <w:noWrap w:val="0"/>
            <w:vAlign w:val="top"/>
          </w:tcPr>
          <w:p w14:paraId="426F071A">
            <w:pPr>
              <w:pStyle w:val="539"/>
              <w:rPr>
                <w:rFonts w:ascii="Times New Roman"/>
                <w:color w:val="auto"/>
                <w:sz w:val="20"/>
                <w:highlight w:val="none"/>
              </w:rPr>
            </w:pPr>
          </w:p>
        </w:tc>
      </w:tr>
      <w:tr w14:paraId="09DCC14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71C15EBD">
            <w:pPr>
              <w:pStyle w:val="539"/>
              <w:rPr>
                <w:rFonts w:ascii="Times New Roman"/>
                <w:color w:val="auto"/>
                <w:sz w:val="20"/>
                <w:highlight w:val="none"/>
              </w:rPr>
            </w:pPr>
          </w:p>
        </w:tc>
        <w:tc>
          <w:tcPr>
            <w:tcW w:w="1418" w:type="dxa"/>
            <w:noWrap w:val="0"/>
            <w:vAlign w:val="top"/>
          </w:tcPr>
          <w:p w14:paraId="456FD5CE">
            <w:pPr>
              <w:pStyle w:val="539"/>
              <w:rPr>
                <w:rFonts w:ascii="Times New Roman"/>
                <w:color w:val="auto"/>
                <w:sz w:val="20"/>
                <w:highlight w:val="none"/>
              </w:rPr>
            </w:pPr>
          </w:p>
        </w:tc>
        <w:tc>
          <w:tcPr>
            <w:tcW w:w="1134" w:type="dxa"/>
            <w:noWrap w:val="0"/>
            <w:vAlign w:val="top"/>
          </w:tcPr>
          <w:p w14:paraId="3A0B1A18">
            <w:pPr>
              <w:pStyle w:val="539"/>
              <w:rPr>
                <w:rFonts w:ascii="Times New Roman"/>
                <w:color w:val="auto"/>
                <w:sz w:val="20"/>
                <w:highlight w:val="none"/>
              </w:rPr>
            </w:pPr>
          </w:p>
        </w:tc>
        <w:tc>
          <w:tcPr>
            <w:tcW w:w="1134" w:type="dxa"/>
            <w:noWrap w:val="0"/>
            <w:vAlign w:val="top"/>
          </w:tcPr>
          <w:p w14:paraId="417BCB79">
            <w:pPr>
              <w:pStyle w:val="539"/>
              <w:rPr>
                <w:rFonts w:ascii="Times New Roman"/>
                <w:color w:val="auto"/>
                <w:sz w:val="20"/>
                <w:highlight w:val="none"/>
              </w:rPr>
            </w:pPr>
          </w:p>
        </w:tc>
        <w:tc>
          <w:tcPr>
            <w:tcW w:w="4252" w:type="dxa"/>
            <w:noWrap w:val="0"/>
            <w:vAlign w:val="top"/>
          </w:tcPr>
          <w:p w14:paraId="77464432">
            <w:pPr>
              <w:pStyle w:val="539"/>
              <w:rPr>
                <w:rFonts w:ascii="Times New Roman"/>
                <w:color w:val="auto"/>
                <w:sz w:val="20"/>
                <w:highlight w:val="none"/>
              </w:rPr>
            </w:pPr>
          </w:p>
        </w:tc>
      </w:tr>
      <w:tr w14:paraId="440BFB8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2F1D95B1">
            <w:pPr>
              <w:pStyle w:val="539"/>
              <w:rPr>
                <w:rFonts w:ascii="Times New Roman"/>
                <w:color w:val="auto"/>
                <w:sz w:val="20"/>
                <w:highlight w:val="none"/>
              </w:rPr>
            </w:pPr>
          </w:p>
        </w:tc>
        <w:tc>
          <w:tcPr>
            <w:tcW w:w="1418" w:type="dxa"/>
            <w:noWrap w:val="0"/>
            <w:vAlign w:val="top"/>
          </w:tcPr>
          <w:p w14:paraId="0FF15724">
            <w:pPr>
              <w:pStyle w:val="539"/>
              <w:rPr>
                <w:rFonts w:ascii="Times New Roman"/>
                <w:color w:val="auto"/>
                <w:sz w:val="20"/>
                <w:highlight w:val="none"/>
              </w:rPr>
            </w:pPr>
          </w:p>
        </w:tc>
        <w:tc>
          <w:tcPr>
            <w:tcW w:w="1134" w:type="dxa"/>
            <w:noWrap w:val="0"/>
            <w:vAlign w:val="top"/>
          </w:tcPr>
          <w:p w14:paraId="566B7D0C">
            <w:pPr>
              <w:pStyle w:val="539"/>
              <w:rPr>
                <w:rFonts w:ascii="Times New Roman"/>
                <w:color w:val="auto"/>
                <w:sz w:val="20"/>
                <w:highlight w:val="none"/>
              </w:rPr>
            </w:pPr>
          </w:p>
        </w:tc>
        <w:tc>
          <w:tcPr>
            <w:tcW w:w="1134" w:type="dxa"/>
            <w:noWrap w:val="0"/>
            <w:vAlign w:val="top"/>
          </w:tcPr>
          <w:p w14:paraId="29D21680">
            <w:pPr>
              <w:pStyle w:val="539"/>
              <w:rPr>
                <w:rFonts w:ascii="Times New Roman"/>
                <w:color w:val="auto"/>
                <w:sz w:val="20"/>
                <w:highlight w:val="none"/>
              </w:rPr>
            </w:pPr>
          </w:p>
        </w:tc>
        <w:tc>
          <w:tcPr>
            <w:tcW w:w="4252" w:type="dxa"/>
            <w:noWrap w:val="0"/>
            <w:vAlign w:val="top"/>
          </w:tcPr>
          <w:p w14:paraId="31A83A5F">
            <w:pPr>
              <w:pStyle w:val="539"/>
              <w:rPr>
                <w:rFonts w:ascii="Times New Roman"/>
                <w:color w:val="auto"/>
                <w:sz w:val="20"/>
                <w:highlight w:val="none"/>
              </w:rPr>
            </w:pPr>
          </w:p>
        </w:tc>
      </w:tr>
      <w:tr w14:paraId="1F80066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73185D93">
            <w:pPr>
              <w:pStyle w:val="539"/>
              <w:rPr>
                <w:rFonts w:ascii="Times New Roman"/>
                <w:color w:val="auto"/>
                <w:sz w:val="20"/>
                <w:highlight w:val="none"/>
              </w:rPr>
            </w:pPr>
          </w:p>
        </w:tc>
        <w:tc>
          <w:tcPr>
            <w:tcW w:w="1418" w:type="dxa"/>
            <w:noWrap w:val="0"/>
            <w:vAlign w:val="top"/>
          </w:tcPr>
          <w:p w14:paraId="080F131F">
            <w:pPr>
              <w:pStyle w:val="539"/>
              <w:rPr>
                <w:rFonts w:ascii="Times New Roman"/>
                <w:color w:val="auto"/>
                <w:sz w:val="20"/>
                <w:highlight w:val="none"/>
              </w:rPr>
            </w:pPr>
          </w:p>
        </w:tc>
        <w:tc>
          <w:tcPr>
            <w:tcW w:w="1134" w:type="dxa"/>
            <w:noWrap w:val="0"/>
            <w:vAlign w:val="top"/>
          </w:tcPr>
          <w:p w14:paraId="16529335">
            <w:pPr>
              <w:pStyle w:val="539"/>
              <w:rPr>
                <w:rFonts w:ascii="Times New Roman"/>
                <w:color w:val="auto"/>
                <w:sz w:val="20"/>
                <w:highlight w:val="none"/>
              </w:rPr>
            </w:pPr>
          </w:p>
        </w:tc>
        <w:tc>
          <w:tcPr>
            <w:tcW w:w="1134" w:type="dxa"/>
            <w:noWrap w:val="0"/>
            <w:vAlign w:val="top"/>
          </w:tcPr>
          <w:p w14:paraId="3D5C6180">
            <w:pPr>
              <w:pStyle w:val="539"/>
              <w:rPr>
                <w:rFonts w:ascii="Times New Roman"/>
                <w:color w:val="auto"/>
                <w:sz w:val="20"/>
                <w:highlight w:val="none"/>
              </w:rPr>
            </w:pPr>
          </w:p>
        </w:tc>
        <w:tc>
          <w:tcPr>
            <w:tcW w:w="4252" w:type="dxa"/>
            <w:noWrap w:val="0"/>
            <w:vAlign w:val="top"/>
          </w:tcPr>
          <w:p w14:paraId="258A8F01">
            <w:pPr>
              <w:pStyle w:val="539"/>
              <w:rPr>
                <w:rFonts w:ascii="Times New Roman"/>
                <w:color w:val="auto"/>
                <w:sz w:val="20"/>
                <w:highlight w:val="none"/>
              </w:rPr>
            </w:pPr>
          </w:p>
        </w:tc>
      </w:tr>
      <w:tr w14:paraId="1E3429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00" w:hRule="atLeast"/>
        </w:trPr>
        <w:tc>
          <w:tcPr>
            <w:tcW w:w="1871" w:type="dxa"/>
            <w:noWrap w:val="0"/>
            <w:vAlign w:val="top"/>
          </w:tcPr>
          <w:p w14:paraId="122D8576">
            <w:pPr>
              <w:pStyle w:val="539"/>
              <w:rPr>
                <w:rFonts w:ascii="Times New Roman"/>
                <w:color w:val="auto"/>
                <w:sz w:val="20"/>
                <w:highlight w:val="none"/>
              </w:rPr>
            </w:pPr>
          </w:p>
        </w:tc>
        <w:tc>
          <w:tcPr>
            <w:tcW w:w="1418" w:type="dxa"/>
            <w:noWrap w:val="0"/>
            <w:vAlign w:val="top"/>
          </w:tcPr>
          <w:p w14:paraId="0EACAF78">
            <w:pPr>
              <w:pStyle w:val="539"/>
              <w:rPr>
                <w:rFonts w:ascii="Times New Roman"/>
                <w:color w:val="auto"/>
                <w:sz w:val="20"/>
                <w:highlight w:val="none"/>
              </w:rPr>
            </w:pPr>
          </w:p>
        </w:tc>
        <w:tc>
          <w:tcPr>
            <w:tcW w:w="1134" w:type="dxa"/>
            <w:noWrap w:val="0"/>
            <w:vAlign w:val="top"/>
          </w:tcPr>
          <w:p w14:paraId="5EF6103C">
            <w:pPr>
              <w:pStyle w:val="539"/>
              <w:rPr>
                <w:rFonts w:ascii="Times New Roman"/>
                <w:color w:val="auto"/>
                <w:sz w:val="20"/>
                <w:highlight w:val="none"/>
              </w:rPr>
            </w:pPr>
          </w:p>
        </w:tc>
        <w:tc>
          <w:tcPr>
            <w:tcW w:w="1134" w:type="dxa"/>
            <w:noWrap w:val="0"/>
            <w:vAlign w:val="top"/>
          </w:tcPr>
          <w:p w14:paraId="1893D596">
            <w:pPr>
              <w:pStyle w:val="539"/>
              <w:rPr>
                <w:rFonts w:ascii="Times New Roman"/>
                <w:color w:val="auto"/>
                <w:sz w:val="20"/>
                <w:highlight w:val="none"/>
              </w:rPr>
            </w:pPr>
          </w:p>
        </w:tc>
        <w:tc>
          <w:tcPr>
            <w:tcW w:w="4252" w:type="dxa"/>
            <w:noWrap w:val="0"/>
            <w:vAlign w:val="top"/>
          </w:tcPr>
          <w:p w14:paraId="2513B58C">
            <w:pPr>
              <w:pStyle w:val="539"/>
              <w:rPr>
                <w:rFonts w:ascii="Times New Roman"/>
                <w:color w:val="auto"/>
                <w:sz w:val="20"/>
                <w:highlight w:val="none"/>
              </w:rPr>
            </w:pPr>
          </w:p>
        </w:tc>
      </w:tr>
      <w:tr w14:paraId="6CF0AFF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33CE9F60">
            <w:pPr>
              <w:pStyle w:val="539"/>
              <w:rPr>
                <w:rFonts w:ascii="Times New Roman"/>
                <w:color w:val="auto"/>
                <w:sz w:val="20"/>
                <w:highlight w:val="none"/>
              </w:rPr>
            </w:pPr>
          </w:p>
        </w:tc>
        <w:tc>
          <w:tcPr>
            <w:tcW w:w="1418" w:type="dxa"/>
            <w:noWrap w:val="0"/>
            <w:vAlign w:val="top"/>
          </w:tcPr>
          <w:p w14:paraId="6C9A1B73">
            <w:pPr>
              <w:pStyle w:val="539"/>
              <w:rPr>
                <w:rFonts w:ascii="Times New Roman"/>
                <w:color w:val="auto"/>
                <w:sz w:val="20"/>
                <w:highlight w:val="none"/>
              </w:rPr>
            </w:pPr>
          </w:p>
        </w:tc>
        <w:tc>
          <w:tcPr>
            <w:tcW w:w="1134" w:type="dxa"/>
            <w:noWrap w:val="0"/>
            <w:vAlign w:val="top"/>
          </w:tcPr>
          <w:p w14:paraId="1BD9DF7E">
            <w:pPr>
              <w:pStyle w:val="539"/>
              <w:rPr>
                <w:rFonts w:ascii="Times New Roman"/>
                <w:color w:val="auto"/>
                <w:sz w:val="20"/>
                <w:highlight w:val="none"/>
              </w:rPr>
            </w:pPr>
          </w:p>
        </w:tc>
        <w:tc>
          <w:tcPr>
            <w:tcW w:w="1134" w:type="dxa"/>
            <w:noWrap w:val="0"/>
            <w:vAlign w:val="top"/>
          </w:tcPr>
          <w:p w14:paraId="2FEA3EE2">
            <w:pPr>
              <w:pStyle w:val="539"/>
              <w:rPr>
                <w:rFonts w:ascii="Times New Roman"/>
                <w:color w:val="auto"/>
                <w:sz w:val="20"/>
                <w:highlight w:val="none"/>
              </w:rPr>
            </w:pPr>
          </w:p>
        </w:tc>
        <w:tc>
          <w:tcPr>
            <w:tcW w:w="4252" w:type="dxa"/>
            <w:noWrap w:val="0"/>
            <w:vAlign w:val="top"/>
          </w:tcPr>
          <w:p w14:paraId="51155882">
            <w:pPr>
              <w:pStyle w:val="539"/>
              <w:rPr>
                <w:rFonts w:ascii="Times New Roman"/>
                <w:color w:val="auto"/>
                <w:sz w:val="20"/>
                <w:highlight w:val="none"/>
              </w:rPr>
            </w:pPr>
          </w:p>
        </w:tc>
      </w:tr>
      <w:tr w14:paraId="19E70FF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0" w:hRule="atLeast"/>
        </w:trPr>
        <w:tc>
          <w:tcPr>
            <w:tcW w:w="1871" w:type="dxa"/>
            <w:noWrap w:val="0"/>
            <w:vAlign w:val="top"/>
          </w:tcPr>
          <w:p w14:paraId="50FF5DC4">
            <w:pPr>
              <w:pStyle w:val="539"/>
              <w:rPr>
                <w:rFonts w:ascii="Times New Roman"/>
                <w:color w:val="auto"/>
                <w:sz w:val="20"/>
                <w:highlight w:val="none"/>
              </w:rPr>
            </w:pPr>
          </w:p>
        </w:tc>
        <w:tc>
          <w:tcPr>
            <w:tcW w:w="1418" w:type="dxa"/>
            <w:noWrap w:val="0"/>
            <w:vAlign w:val="top"/>
          </w:tcPr>
          <w:p w14:paraId="690386E1">
            <w:pPr>
              <w:pStyle w:val="539"/>
              <w:rPr>
                <w:rFonts w:ascii="Times New Roman"/>
                <w:color w:val="auto"/>
                <w:sz w:val="20"/>
                <w:highlight w:val="none"/>
              </w:rPr>
            </w:pPr>
          </w:p>
        </w:tc>
        <w:tc>
          <w:tcPr>
            <w:tcW w:w="1134" w:type="dxa"/>
            <w:noWrap w:val="0"/>
            <w:vAlign w:val="top"/>
          </w:tcPr>
          <w:p w14:paraId="34B73089">
            <w:pPr>
              <w:pStyle w:val="539"/>
              <w:rPr>
                <w:rFonts w:ascii="Times New Roman"/>
                <w:color w:val="auto"/>
                <w:sz w:val="20"/>
                <w:highlight w:val="none"/>
              </w:rPr>
            </w:pPr>
          </w:p>
        </w:tc>
        <w:tc>
          <w:tcPr>
            <w:tcW w:w="1134" w:type="dxa"/>
            <w:noWrap w:val="0"/>
            <w:vAlign w:val="top"/>
          </w:tcPr>
          <w:p w14:paraId="68A1D1FD">
            <w:pPr>
              <w:pStyle w:val="539"/>
              <w:rPr>
                <w:rFonts w:ascii="Times New Roman"/>
                <w:color w:val="auto"/>
                <w:sz w:val="20"/>
                <w:highlight w:val="none"/>
              </w:rPr>
            </w:pPr>
          </w:p>
        </w:tc>
        <w:tc>
          <w:tcPr>
            <w:tcW w:w="4252" w:type="dxa"/>
            <w:noWrap w:val="0"/>
            <w:vAlign w:val="top"/>
          </w:tcPr>
          <w:p w14:paraId="15834E8D">
            <w:pPr>
              <w:pStyle w:val="539"/>
              <w:rPr>
                <w:rFonts w:ascii="Times New Roman"/>
                <w:color w:val="auto"/>
                <w:sz w:val="20"/>
                <w:highlight w:val="none"/>
              </w:rPr>
            </w:pPr>
          </w:p>
        </w:tc>
      </w:tr>
      <w:tr w14:paraId="0227E62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92" w:hRule="atLeast"/>
        </w:trPr>
        <w:tc>
          <w:tcPr>
            <w:tcW w:w="1871" w:type="dxa"/>
            <w:vMerge w:val="restart"/>
            <w:noWrap w:val="0"/>
            <w:vAlign w:val="center"/>
          </w:tcPr>
          <w:p w14:paraId="0A3E7418">
            <w:pPr>
              <w:pStyle w:val="539"/>
              <w:spacing w:before="158"/>
              <w:ind w:left="0" w:firstLine="0"/>
              <w:jc w:val="both"/>
              <w:rPr>
                <w:color w:val="auto"/>
                <w:sz w:val="20"/>
                <w:highlight w:val="none"/>
              </w:rPr>
            </w:pPr>
            <w:r>
              <w:rPr>
                <w:color w:val="auto"/>
                <w:sz w:val="20"/>
                <w:highlight w:val="none"/>
              </w:rPr>
              <w:t>其他人员</w:t>
            </w:r>
          </w:p>
        </w:tc>
        <w:tc>
          <w:tcPr>
            <w:tcW w:w="1418" w:type="dxa"/>
            <w:noWrap w:val="0"/>
            <w:vAlign w:val="top"/>
          </w:tcPr>
          <w:p w14:paraId="1B389E85">
            <w:pPr>
              <w:pStyle w:val="539"/>
              <w:rPr>
                <w:rFonts w:ascii="Times New Roman"/>
                <w:color w:val="auto"/>
                <w:sz w:val="20"/>
                <w:highlight w:val="none"/>
              </w:rPr>
            </w:pPr>
          </w:p>
        </w:tc>
        <w:tc>
          <w:tcPr>
            <w:tcW w:w="1134" w:type="dxa"/>
            <w:noWrap w:val="0"/>
            <w:vAlign w:val="top"/>
          </w:tcPr>
          <w:p w14:paraId="23228CCE">
            <w:pPr>
              <w:pStyle w:val="539"/>
              <w:rPr>
                <w:rFonts w:ascii="Times New Roman"/>
                <w:color w:val="auto"/>
                <w:sz w:val="20"/>
                <w:highlight w:val="none"/>
              </w:rPr>
            </w:pPr>
          </w:p>
        </w:tc>
        <w:tc>
          <w:tcPr>
            <w:tcW w:w="1134" w:type="dxa"/>
            <w:noWrap w:val="0"/>
            <w:vAlign w:val="top"/>
          </w:tcPr>
          <w:p w14:paraId="2050786F">
            <w:pPr>
              <w:pStyle w:val="539"/>
              <w:rPr>
                <w:rFonts w:ascii="Times New Roman"/>
                <w:color w:val="auto"/>
                <w:sz w:val="20"/>
                <w:highlight w:val="none"/>
              </w:rPr>
            </w:pPr>
          </w:p>
        </w:tc>
        <w:tc>
          <w:tcPr>
            <w:tcW w:w="4252" w:type="dxa"/>
            <w:noWrap w:val="0"/>
            <w:vAlign w:val="top"/>
          </w:tcPr>
          <w:p w14:paraId="0FFF4B0B">
            <w:pPr>
              <w:pStyle w:val="539"/>
              <w:rPr>
                <w:rFonts w:ascii="Times New Roman"/>
                <w:color w:val="auto"/>
                <w:sz w:val="20"/>
                <w:highlight w:val="none"/>
              </w:rPr>
            </w:pPr>
          </w:p>
        </w:tc>
      </w:tr>
      <w:tr w14:paraId="44989B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5" w:hRule="atLeast"/>
        </w:trPr>
        <w:tc>
          <w:tcPr>
            <w:tcW w:w="1871" w:type="dxa"/>
            <w:vMerge w:val="continue"/>
            <w:noWrap w:val="0"/>
            <w:vAlign w:val="top"/>
          </w:tcPr>
          <w:p w14:paraId="256E7B3D">
            <w:pPr>
              <w:rPr>
                <w:color w:val="auto"/>
                <w:sz w:val="2"/>
                <w:szCs w:val="2"/>
                <w:highlight w:val="none"/>
              </w:rPr>
            </w:pPr>
          </w:p>
        </w:tc>
        <w:tc>
          <w:tcPr>
            <w:tcW w:w="1418" w:type="dxa"/>
            <w:noWrap w:val="0"/>
            <w:vAlign w:val="top"/>
          </w:tcPr>
          <w:p w14:paraId="519D5506">
            <w:pPr>
              <w:pStyle w:val="539"/>
              <w:rPr>
                <w:rFonts w:ascii="Times New Roman"/>
                <w:color w:val="auto"/>
                <w:sz w:val="20"/>
                <w:highlight w:val="none"/>
              </w:rPr>
            </w:pPr>
          </w:p>
        </w:tc>
        <w:tc>
          <w:tcPr>
            <w:tcW w:w="1134" w:type="dxa"/>
            <w:noWrap w:val="0"/>
            <w:vAlign w:val="top"/>
          </w:tcPr>
          <w:p w14:paraId="691C7557">
            <w:pPr>
              <w:pStyle w:val="539"/>
              <w:rPr>
                <w:rFonts w:ascii="Times New Roman"/>
                <w:color w:val="auto"/>
                <w:sz w:val="20"/>
                <w:highlight w:val="none"/>
              </w:rPr>
            </w:pPr>
          </w:p>
        </w:tc>
        <w:tc>
          <w:tcPr>
            <w:tcW w:w="1134" w:type="dxa"/>
            <w:noWrap w:val="0"/>
            <w:vAlign w:val="top"/>
          </w:tcPr>
          <w:p w14:paraId="0FA10767">
            <w:pPr>
              <w:pStyle w:val="539"/>
              <w:rPr>
                <w:rFonts w:ascii="Times New Roman"/>
                <w:color w:val="auto"/>
                <w:sz w:val="20"/>
                <w:highlight w:val="none"/>
              </w:rPr>
            </w:pPr>
          </w:p>
        </w:tc>
        <w:tc>
          <w:tcPr>
            <w:tcW w:w="4252" w:type="dxa"/>
            <w:noWrap w:val="0"/>
            <w:vAlign w:val="top"/>
          </w:tcPr>
          <w:p w14:paraId="11B3B831">
            <w:pPr>
              <w:pStyle w:val="539"/>
              <w:rPr>
                <w:rFonts w:ascii="Times New Roman"/>
                <w:color w:val="auto"/>
                <w:sz w:val="20"/>
                <w:highlight w:val="none"/>
              </w:rPr>
            </w:pPr>
          </w:p>
        </w:tc>
      </w:tr>
      <w:tr w14:paraId="2193A83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5" w:hRule="atLeast"/>
        </w:trPr>
        <w:tc>
          <w:tcPr>
            <w:tcW w:w="1871" w:type="dxa"/>
            <w:vMerge w:val="continue"/>
            <w:noWrap w:val="0"/>
            <w:vAlign w:val="top"/>
          </w:tcPr>
          <w:p w14:paraId="4CF2F940">
            <w:pPr>
              <w:rPr>
                <w:color w:val="auto"/>
                <w:sz w:val="2"/>
                <w:szCs w:val="2"/>
                <w:highlight w:val="none"/>
              </w:rPr>
            </w:pPr>
          </w:p>
        </w:tc>
        <w:tc>
          <w:tcPr>
            <w:tcW w:w="1418" w:type="dxa"/>
            <w:noWrap w:val="0"/>
            <w:vAlign w:val="top"/>
          </w:tcPr>
          <w:p w14:paraId="509AA4D7">
            <w:pPr>
              <w:pStyle w:val="539"/>
              <w:rPr>
                <w:rFonts w:ascii="Times New Roman"/>
                <w:color w:val="auto"/>
                <w:sz w:val="20"/>
                <w:highlight w:val="none"/>
              </w:rPr>
            </w:pPr>
          </w:p>
        </w:tc>
        <w:tc>
          <w:tcPr>
            <w:tcW w:w="1134" w:type="dxa"/>
            <w:noWrap w:val="0"/>
            <w:vAlign w:val="top"/>
          </w:tcPr>
          <w:p w14:paraId="206D492C">
            <w:pPr>
              <w:pStyle w:val="539"/>
              <w:rPr>
                <w:rFonts w:ascii="Times New Roman"/>
                <w:color w:val="auto"/>
                <w:sz w:val="20"/>
                <w:highlight w:val="none"/>
              </w:rPr>
            </w:pPr>
          </w:p>
        </w:tc>
        <w:tc>
          <w:tcPr>
            <w:tcW w:w="1134" w:type="dxa"/>
            <w:noWrap w:val="0"/>
            <w:vAlign w:val="top"/>
          </w:tcPr>
          <w:p w14:paraId="4EC31FF3">
            <w:pPr>
              <w:pStyle w:val="539"/>
              <w:rPr>
                <w:rFonts w:ascii="Times New Roman"/>
                <w:color w:val="auto"/>
                <w:sz w:val="20"/>
                <w:highlight w:val="none"/>
              </w:rPr>
            </w:pPr>
          </w:p>
        </w:tc>
        <w:tc>
          <w:tcPr>
            <w:tcW w:w="4252" w:type="dxa"/>
            <w:noWrap w:val="0"/>
            <w:vAlign w:val="top"/>
          </w:tcPr>
          <w:p w14:paraId="2EADAC96">
            <w:pPr>
              <w:pStyle w:val="539"/>
              <w:rPr>
                <w:rFonts w:ascii="Times New Roman"/>
                <w:color w:val="auto"/>
                <w:sz w:val="20"/>
                <w:highlight w:val="none"/>
              </w:rPr>
            </w:pPr>
          </w:p>
        </w:tc>
      </w:tr>
      <w:tr w14:paraId="44A40A0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5" w:hRule="atLeast"/>
        </w:trPr>
        <w:tc>
          <w:tcPr>
            <w:tcW w:w="1871" w:type="dxa"/>
            <w:vMerge w:val="continue"/>
            <w:noWrap w:val="0"/>
            <w:vAlign w:val="top"/>
          </w:tcPr>
          <w:p w14:paraId="615BC5BB">
            <w:pPr>
              <w:rPr>
                <w:color w:val="auto"/>
                <w:sz w:val="2"/>
                <w:szCs w:val="2"/>
                <w:highlight w:val="none"/>
              </w:rPr>
            </w:pPr>
          </w:p>
        </w:tc>
        <w:tc>
          <w:tcPr>
            <w:tcW w:w="1418" w:type="dxa"/>
            <w:noWrap w:val="0"/>
            <w:vAlign w:val="top"/>
          </w:tcPr>
          <w:p w14:paraId="67A70454">
            <w:pPr>
              <w:pStyle w:val="539"/>
              <w:rPr>
                <w:rFonts w:ascii="Times New Roman"/>
                <w:color w:val="auto"/>
                <w:sz w:val="20"/>
                <w:highlight w:val="none"/>
              </w:rPr>
            </w:pPr>
          </w:p>
        </w:tc>
        <w:tc>
          <w:tcPr>
            <w:tcW w:w="1134" w:type="dxa"/>
            <w:noWrap w:val="0"/>
            <w:vAlign w:val="top"/>
          </w:tcPr>
          <w:p w14:paraId="21C81D52">
            <w:pPr>
              <w:pStyle w:val="539"/>
              <w:rPr>
                <w:rFonts w:ascii="Times New Roman"/>
                <w:color w:val="auto"/>
                <w:sz w:val="20"/>
                <w:highlight w:val="none"/>
              </w:rPr>
            </w:pPr>
          </w:p>
        </w:tc>
        <w:tc>
          <w:tcPr>
            <w:tcW w:w="1134" w:type="dxa"/>
            <w:noWrap w:val="0"/>
            <w:vAlign w:val="top"/>
          </w:tcPr>
          <w:p w14:paraId="040DB287">
            <w:pPr>
              <w:pStyle w:val="539"/>
              <w:rPr>
                <w:rFonts w:ascii="Times New Roman"/>
                <w:color w:val="auto"/>
                <w:sz w:val="20"/>
                <w:highlight w:val="none"/>
              </w:rPr>
            </w:pPr>
          </w:p>
        </w:tc>
        <w:tc>
          <w:tcPr>
            <w:tcW w:w="4252" w:type="dxa"/>
            <w:noWrap w:val="0"/>
            <w:vAlign w:val="top"/>
          </w:tcPr>
          <w:p w14:paraId="4A2D3D3B">
            <w:pPr>
              <w:pStyle w:val="539"/>
              <w:rPr>
                <w:rFonts w:ascii="Times New Roman"/>
                <w:color w:val="auto"/>
                <w:sz w:val="20"/>
                <w:highlight w:val="none"/>
              </w:rPr>
            </w:pPr>
          </w:p>
        </w:tc>
      </w:tr>
      <w:tr w14:paraId="0CECBA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5" w:hRule="atLeast"/>
        </w:trPr>
        <w:tc>
          <w:tcPr>
            <w:tcW w:w="1871" w:type="dxa"/>
            <w:vMerge w:val="continue"/>
            <w:noWrap w:val="0"/>
            <w:vAlign w:val="top"/>
          </w:tcPr>
          <w:p w14:paraId="0BA43F67">
            <w:pPr>
              <w:rPr>
                <w:color w:val="auto"/>
                <w:sz w:val="2"/>
                <w:szCs w:val="2"/>
                <w:highlight w:val="none"/>
              </w:rPr>
            </w:pPr>
          </w:p>
        </w:tc>
        <w:tc>
          <w:tcPr>
            <w:tcW w:w="1418" w:type="dxa"/>
            <w:noWrap w:val="0"/>
            <w:vAlign w:val="top"/>
          </w:tcPr>
          <w:p w14:paraId="4A6373BF">
            <w:pPr>
              <w:pStyle w:val="539"/>
              <w:rPr>
                <w:rFonts w:ascii="Times New Roman"/>
                <w:color w:val="auto"/>
                <w:sz w:val="20"/>
                <w:highlight w:val="none"/>
              </w:rPr>
            </w:pPr>
          </w:p>
        </w:tc>
        <w:tc>
          <w:tcPr>
            <w:tcW w:w="1134" w:type="dxa"/>
            <w:noWrap w:val="0"/>
            <w:vAlign w:val="top"/>
          </w:tcPr>
          <w:p w14:paraId="18948970">
            <w:pPr>
              <w:pStyle w:val="539"/>
              <w:rPr>
                <w:rFonts w:ascii="Times New Roman"/>
                <w:color w:val="auto"/>
                <w:sz w:val="20"/>
                <w:highlight w:val="none"/>
              </w:rPr>
            </w:pPr>
          </w:p>
        </w:tc>
        <w:tc>
          <w:tcPr>
            <w:tcW w:w="1134" w:type="dxa"/>
            <w:noWrap w:val="0"/>
            <w:vAlign w:val="top"/>
          </w:tcPr>
          <w:p w14:paraId="2A02A8BC">
            <w:pPr>
              <w:pStyle w:val="539"/>
              <w:rPr>
                <w:rFonts w:ascii="Times New Roman"/>
                <w:color w:val="auto"/>
                <w:sz w:val="20"/>
                <w:highlight w:val="none"/>
              </w:rPr>
            </w:pPr>
          </w:p>
        </w:tc>
        <w:tc>
          <w:tcPr>
            <w:tcW w:w="4252" w:type="dxa"/>
            <w:noWrap w:val="0"/>
            <w:vAlign w:val="top"/>
          </w:tcPr>
          <w:p w14:paraId="04FFA4DD">
            <w:pPr>
              <w:pStyle w:val="539"/>
              <w:rPr>
                <w:rFonts w:ascii="Times New Roman"/>
                <w:color w:val="auto"/>
                <w:sz w:val="20"/>
                <w:highlight w:val="none"/>
              </w:rPr>
            </w:pPr>
          </w:p>
        </w:tc>
      </w:tr>
      <w:tr w14:paraId="686BEE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2" w:hRule="atLeast"/>
        </w:trPr>
        <w:tc>
          <w:tcPr>
            <w:tcW w:w="1871" w:type="dxa"/>
            <w:vMerge w:val="continue"/>
            <w:noWrap w:val="0"/>
            <w:vAlign w:val="top"/>
          </w:tcPr>
          <w:p w14:paraId="6F25BF54">
            <w:pPr>
              <w:rPr>
                <w:color w:val="auto"/>
                <w:sz w:val="2"/>
                <w:szCs w:val="2"/>
                <w:highlight w:val="none"/>
              </w:rPr>
            </w:pPr>
          </w:p>
        </w:tc>
        <w:tc>
          <w:tcPr>
            <w:tcW w:w="1418" w:type="dxa"/>
            <w:noWrap w:val="0"/>
            <w:vAlign w:val="top"/>
          </w:tcPr>
          <w:p w14:paraId="27C38037">
            <w:pPr>
              <w:pStyle w:val="539"/>
              <w:rPr>
                <w:rFonts w:ascii="Times New Roman"/>
                <w:color w:val="auto"/>
                <w:sz w:val="20"/>
                <w:highlight w:val="none"/>
              </w:rPr>
            </w:pPr>
          </w:p>
        </w:tc>
        <w:tc>
          <w:tcPr>
            <w:tcW w:w="1134" w:type="dxa"/>
            <w:noWrap w:val="0"/>
            <w:vAlign w:val="top"/>
          </w:tcPr>
          <w:p w14:paraId="5CC5A9F7">
            <w:pPr>
              <w:pStyle w:val="539"/>
              <w:rPr>
                <w:rFonts w:ascii="Times New Roman"/>
                <w:color w:val="auto"/>
                <w:sz w:val="20"/>
                <w:highlight w:val="none"/>
              </w:rPr>
            </w:pPr>
          </w:p>
        </w:tc>
        <w:tc>
          <w:tcPr>
            <w:tcW w:w="1134" w:type="dxa"/>
            <w:noWrap w:val="0"/>
            <w:vAlign w:val="top"/>
          </w:tcPr>
          <w:p w14:paraId="6CD7E38E">
            <w:pPr>
              <w:pStyle w:val="539"/>
              <w:rPr>
                <w:rFonts w:ascii="Times New Roman"/>
                <w:color w:val="auto"/>
                <w:sz w:val="20"/>
                <w:highlight w:val="none"/>
              </w:rPr>
            </w:pPr>
          </w:p>
        </w:tc>
        <w:tc>
          <w:tcPr>
            <w:tcW w:w="4252" w:type="dxa"/>
            <w:noWrap w:val="0"/>
            <w:vAlign w:val="top"/>
          </w:tcPr>
          <w:p w14:paraId="42EA53F0">
            <w:pPr>
              <w:pStyle w:val="539"/>
              <w:rPr>
                <w:rFonts w:ascii="Times New Roman"/>
                <w:color w:val="auto"/>
                <w:sz w:val="20"/>
                <w:highlight w:val="none"/>
              </w:rPr>
            </w:pPr>
          </w:p>
        </w:tc>
      </w:tr>
    </w:tbl>
    <w:p w14:paraId="2D834D67">
      <w:pPr>
        <w:pStyle w:val="200"/>
        <w:tabs>
          <w:tab w:val="left" w:pos="1160"/>
          <w:tab w:val="left" w:pos="2423"/>
        </w:tabs>
        <w:spacing w:before="5"/>
        <w:ind w:left="63" w:right="63"/>
        <w:rPr>
          <w:color w:val="auto"/>
          <w:sz w:val="14"/>
          <w:highlight w:val="none"/>
        </w:rPr>
      </w:pPr>
    </w:p>
    <w:p w14:paraId="67B6E809">
      <w:pPr>
        <w:widowControl/>
        <w:ind w:left="0" w:firstLine="0"/>
        <w:jc w:val="left"/>
        <w:rPr>
          <w:rFonts w:hint="eastAsia" w:ascii="宋体" w:hAnsi="宋体" w:eastAsia="宋体" w:cs="宋体"/>
          <w:b/>
          <w:color w:val="auto"/>
          <w:szCs w:val="21"/>
          <w:highlight w:val="none"/>
          <w:lang w:eastAsia="zh-CN" w:bidi="ar"/>
        </w:rPr>
      </w:pPr>
      <w:r>
        <w:rPr>
          <w:rFonts w:ascii="宋体" w:hAnsi="宋体"/>
          <w:color w:val="auto"/>
          <w:szCs w:val="21"/>
          <w:highlight w:val="none"/>
        </w:rPr>
        <w:br w:type="page" w:clear="all"/>
      </w:r>
      <w:r>
        <w:rPr>
          <w:rFonts w:hint="eastAsia" w:ascii="宋体" w:hAnsi="宋体" w:cs="宋体"/>
          <w:b/>
          <w:color w:val="auto"/>
          <w:szCs w:val="21"/>
          <w:highlight w:val="none"/>
          <w:lang w:bidi="ar"/>
        </w:rPr>
        <w:t>附件5：</w:t>
      </w:r>
    </w:p>
    <w:p w14:paraId="4A669EB8">
      <w:pPr>
        <w:pStyle w:val="200"/>
        <w:tabs>
          <w:tab w:val="left" w:pos="1160"/>
          <w:tab w:val="left" w:pos="2423"/>
        </w:tabs>
        <w:spacing w:before="70"/>
        <w:ind w:left="0" w:right="63" w:firstLine="0"/>
        <w:jc w:val="center"/>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工程质量保修书</w:t>
      </w:r>
    </w:p>
    <w:p w14:paraId="6B551790">
      <w:pPr>
        <w:keepNext w:val="0"/>
        <w:keepLines w:val="0"/>
        <w:pageBreakBefore w:val="0"/>
        <w:widowControl w:val="0"/>
        <w:spacing w:line="360" w:lineRule="auto"/>
        <w:ind w:left="0" w:firstLine="480"/>
        <w:rPr>
          <w:rFonts w:hint="eastAsia" w:ascii="宋体" w:hAnsi="宋体" w:eastAsia="宋体"/>
          <w:color w:val="auto"/>
          <w:szCs w:val="21"/>
          <w:highlight w:val="none"/>
          <w:lang w:eastAsia="zh-CN"/>
        </w:rPr>
      </w:pPr>
      <w:r>
        <w:rPr>
          <w:rFonts w:ascii="宋体" w:hAnsi="宋体"/>
          <w:color w:val="auto"/>
          <w:szCs w:val="21"/>
          <w:highlight w:val="none"/>
        </w:rPr>
        <w:t>发包人（全称）：</w:t>
      </w:r>
      <w:r>
        <w:rPr>
          <w:rFonts w:hint="eastAsia" w:ascii="宋体" w:hAnsi="宋体" w:cs="宋体"/>
          <w:b w:val="0"/>
          <w:color w:val="auto"/>
          <w:sz w:val="22"/>
          <w:szCs w:val="22"/>
          <w:highlight w:val="none"/>
          <w:u w:val="single"/>
          <w:lang w:val="en-US" w:eastAsia="zh-CN"/>
        </w:rPr>
        <w:t>连云港市赣马高级中学</w:t>
      </w:r>
    </w:p>
    <w:p w14:paraId="2BCA54C5">
      <w:pPr>
        <w:keepNext w:val="0"/>
        <w:keepLines w:val="0"/>
        <w:pageBreakBefore w:val="0"/>
        <w:widowControl w:val="0"/>
        <w:spacing w:line="360" w:lineRule="auto"/>
        <w:ind w:left="0" w:firstLine="480"/>
        <w:rPr>
          <w:rFonts w:ascii="宋体" w:hAnsi="宋体"/>
          <w:color w:val="auto"/>
          <w:szCs w:val="21"/>
          <w:highlight w:val="none"/>
          <w:u w:val="single"/>
        </w:rPr>
      </w:pPr>
      <w:r>
        <w:rPr>
          <w:rFonts w:ascii="宋体" w:hAnsi="宋体"/>
          <w:color w:val="auto"/>
          <w:szCs w:val="21"/>
          <w:highlight w:val="none"/>
        </w:rPr>
        <w:t>承包人（全称）：</w:t>
      </w:r>
    </w:p>
    <w:p w14:paraId="60325DF1">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发包人和承包人根据《中华人民共和国建筑法》</w:t>
      </w:r>
      <w:r>
        <w:rPr>
          <w:rFonts w:hint="eastAsia" w:ascii="宋体" w:hAnsi="宋体"/>
          <w:color w:val="auto"/>
          <w:szCs w:val="21"/>
          <w:highlight w:val="none"/>
        </w:rPr>
        <w:t>及相关条例</w:t>
      </w:r>
      <w:r>
        <w:rPr>
          <w:rFonts w:ascii="宋体" w:hAnsi="宋体"/>
          <w:color w:val="auto"/>
          <w:szCs w:val="21"/>
          <w:highlight w:val="none"/>
        </w:rPr>
        <w:t>，经协商一致就</w:t>
      </w:r>
      <w:r>
        <w:rPr>
          <w:rFonts w:hint="eastAsia" w:ascii="宋体" w:hAnsi="宋体"/>
          <w:color w:val="auto"/>
          <w:szCs w:val="30"/>
          <w:highlight w:val="none"/>
          <w:u w:val="single"/>
          <w:lang w:eastAsia="zh-CN"/>
        </w:rPr>
        <w:t>连云港市赣马高级中学教学楼及宿舍楼维修改造提升项目(政府采购工程）(专门面向中小企业采购）</w:t>
      </w:r>
      <w:r>
        <w:rPr>
          <w:rFonts w:ascii="宋体" w:hAnsi="宋体"/>
          <w:color w:val="auto"/>
          <w:szCs w:val="21"/>
          <w:highlight w:val="none"/>
        </w:rPr>
        <w:t>（工程全称）签订工程质量保修书。</w:t>
      </w:r>
    </w:p>
    <w:p w14:paraId="224DB1FD">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一、工程质量保修范围和内容</w:t>
      </w:r>
    </w:p>
    <w:p w14:paraId="5A8E9EBE">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承包人在质量保修期内，按照有关法律规定和合同约定，承担工程质量保修责任。</w:t>
      </w:r>
    </w:p>
    <w:p w14:paraId="02E892ED">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质量保修范围包括</w:t>
      </w:r>
      <w:r>
        <w:rPr>
          <w:rFonts w:hint="eastAsia" w:ascii="宋体" w:hAnsi="宋体"/>
          <w:color w:val="auto"/>
          <w:szCs w:val="21"/>
          <w:highlight w:val="none"/>
          <w:u w:val="single"/>
        </w:rPr>
        <w:t>承包范围</w:t>
      </w:r>
      <w:r>
        <w:rPr>
          <w:rFonts w:ascii="宋体" w:hAnsi="宋体"/>
          <w:color w:val="auto"/>
          <w:szCs w:val="21"/>
          <w:highlight w:val="none"/>
        </w:rPr>
        <w:t>以及双方约定的其他项目。具体保修的内容，双方约定如下：</w:t>
      </w:r>
      <w:r>
        <w:rPr>
          <w:rFonts w:hint="eastAsia" w:ascii="宋体" w:hAnsi="宋体"/>
          <w:color w:val="auto"/>
          <w:szCs w:val="21"/>
          <w:highlight w:val="none"/>
          <w:u w:val="single"/>
        </w:rPr>
        <w:t>承包人施工范围内的全部内容。</w:t>
      </w:r>
    </w:p>
    <w:p w14:paraId="6E198A8E">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二、质量保修期</w:t>
      </w:r>
    </w:p>
    <w:p w14:paraId="3CCBDFFC">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质量保修期从工程实际竣工之日算起。单项竣工验收的工程，按单项工程分别计算质量保修期。</w:t>
      </w:r>
    </w:p>
    <w:p w14:paraId="35E12923">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双方根据国家有关规定，结合具体工程约定质量保修期如下：</w:t>
      </w:r>
    </w:p>
    <w:p w14:paraId="6E61D427">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1.地基基础工程、主体结构工程、设备为</w:t>
      </w:r>
      <w:r>
        <w:rPr>
          <w:rFonts w:hint="eastAsia" w:ascii="宋体" w:hAnsi="宋体"/>
          <w:color w:val="auto"/>
          <w:szCs w:val="21"/>
          <w:highlight w:val="none"/>
          <w:u w:val="single"/>
        </w:rPr>
        <w:t>设计文件规定的使用年限</w:t>
      </w:r>
    </w:p>
    <w:p w14:paraId="0D22435E">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rPr>
      </w:pPr>
      <w:r>
        <w:rPr>
          <w:rFonts w:hint="eastAsia" w:ascii="宋体" w:hAnsi="宋体"/>
          <w:color w:val="auto"/>
          <w:szCs w:val="21"/>
          <w:highlight w:val="none"/>
        </w:rPr>
        <w:t>2.屋面、地面、墙面防水工程为</w:t>
      </w:r>
      <w:r>
        <w:rPr>
          <w:rFonts w:hint="eastAsia" w:ascii="宋体" w:hAnsi="宋体"/>
          <w:color w:val="auto"/>
          <w:szCs w:val="21"/>
          <w:highlight w:val="none"/>
          <w:u w:val="single"/>
        </w:rPr>
        <w:t>5</w:t>
      </w:r>
      <w:r>
        <w:rPr>
          <w:rFonts w:hint="eastAsia" w:ascii="宋体" w:hAnsi="宋体"/>
          <w:color w:val="auto"/>
          <w:szCs w:val="21"/>
          <w:highlight w:val="none"/>
        </w:rPr>
        <w:t>年；</w:t>
      </w:r>
    </w:p>
    <w:p w14:paraId="6208DD4E">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rPr>
      </w:pPr>
      <w:r>
        <w:rPr>
          <w:rFonts w:hint="eastAsia" w:ascii="宋体" w:hAnsi="宋体"/>
          <w:color w:val="auto"/>
          <w:szCs w:val="21"/>
          <w:highlight w:val="none"/>
        </w:rPr>
        <w:t>3.装修工程为</w:t>
      </w:r>
      <w:r>
        <w:rPr>
          <w:rFonts w:hint="eastAsia" w:ascii="宋体" w:hAnsi="宋体"/>
          <w:color w:val="auto"/>
          <w:szCs w:val="21"/>
          <w:highlight w:val="none"/>
          <w:u w:val="single"/>
        </w:rPr>
        <w:t>2</w:t>
      </w:r>
      <w:r>
        <w:rPr>
          <w:rFonts w:hint="eastAsia" w:ascii="宋体" w:hAnsi="宋体"/>
          <w:color w:val="auto"/>
          <w:szCs w:val="21"/>
          <w:highlight w:val="none"/>
        </w:rPr>
        <w:t>年；</w:t>
      </w:r>
    </w:p>
    <w:p w14:paraId="4CD5ECDB">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rPr>
      </w:pPr>
      <w:r>
        <w:rPr>
          <w:rFonts w:hint="eastAsia" w:ascii="宋体" w:hAnsi="宋体"/>
          <w:color w:val="auto"/>
          <w:szCs w:val="21"/>
          <w:highlight w:val="none"/>
        </w:rPr>
        <w:t>4.电气管线、上下水管线安装工程为</w:t>
      </w:r>
      <w:r>
        <w:rPr>
          <w:rFonts w:hint="eastAsia" w:ascii="宋体" w:hAnsi="宋体"/>
          <w:color w:val="auto"/>
          <w:szCs w:val="21"/>
          <w:highlight w:val="none"/>
          <w:u w:val="single"/>
        </w:rPr>
        <w:t>2</w:t>
      </w:r>
      <w:r>
        <w:rPr>
          <w:rFonts w:hint="eastAsia" w:ascii="宋体" w:hAnsi="宋体"/>
          <w:color w:val="auto"/>
          <w:szCs w:val="21"/>
          <w:highlight w:val="none"/>
        </w:rPr>
        <w:t>年；</w:t>
      </w:r>
    </w:p>
    <w:p w14:paraId="49874EFB">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u w:val="single"/>
        </w:rPr>
      </w:pPr>
      <w:r>
        <w:rPr>
          <w:rFonts w:hint="eastAsia" w:ascii="宋体" w:hAnsi="宋体"/>
          <w:color w:val="auto"/>
          <w:szCs w:val="21"/>
          <w:highlight w:val="none"/>
        </w:rPr>
        <w:t>5.供热及供冷为两个采暖期及供冷期；</w:t>
      </w:r>
    </w:p>
    <w:p w14:paraId="7112C486">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6.其他约定：</w:t>
      </w:r>
      <w:r>
        <w:rPr>
          <w:rFonts w:hint="eastAsia" w:ascii="宋体" w:hAnsi="宋体" w:eastAsia="宋体" w:cs="宋体"/>
          <w:b/>
          <w:color w:val="auto"/>
          <w:szCs w:val="21"/>
          <w:highlight w:val="none"/>
          <w:u w:val="single"/>
          <w:shd w:val="clear" w:color="auto" w:fill="auto"/>
          <w:lang w:val="en-US" w:eastAsia="zh-CN"/>
        </w:rPr>
        <w:t>本</w:t>
      </w:r>
      <w:r>
        <w:rPr>
          <w:rFonts w:hint="eastAsia" w:ascii="宋体" w:hAnsi="宋体" w:eastAsia="宋体" w:cs="宋体"/>
          <w:b/>
          <w:color w:val="auto"/>
          <w:szCs w:val="21"/>
          <w:highlight w:val="none"/>
          <w:u w:val="single"/>
          <w:shd w:val="clear" w:color="auto" w:fill="auto"/>
        </w:rPr>
        <w:t>项目保修期限</w:t>
      </w:r>
      <w:r>
        <w:rPr>
          <w:rFonts w:hint="eastAsia" w:cs="宋体"/>
          <w:b/>
          <w:color w:val="auto"/>
          <w:szCs w:val="21"/>
          <w:highlight w:val="none"/>
          <w:u w:val="single"/>
          <w:shd w:val="clear" w:color="auto" w:fill="auto"/>
          <w:lang w:val="en-US" w:eastAsia="zh-CN"/>
        </w:rPr>
        <w:t>至少</w:t>
      </w:r>
      <w:r>
        <w:rPr>
          <w:rFonts w:hint="eastAsia" w:ascii="宋体" w:hAnsi="宋体" w:eastAsia="宋体" w:cs="宋体"/>
          <w:b/>
          <w:color w:val="auto"/>
          <w:szCs w:val="21"/>
          <w:highlight w:val="none"/>
          <w:u w:val="single"/>
          <w:shd w:val="clear" w:color="auto" w:fill="auto"/>
        </w:rPr>
        <w:t>2年</w:t>
      </w:r>
      <w:r>
        <w:rPr>
          <w:rFonts w:hint="eastAsia" w:ascii="宋体" w:hAnsi="宋体"/>
          <w:color w:val="auto"/>
          <w:szCs w:val="21"/>
          <w:highlight w:val="none"/>
        </w:rPr>
        <w:t>。</w:t>
      </w:r>
    </w:p>
    <w:p w14:paraId="43890D8E">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质量保修期自工程竣工验收合格交付之日起计算。</w:t>
      </w:r>
    </w:p>
    <w:p w14:paraId="15FC2F6F">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三、缺陷责任期</w:t>
      </w:r>
    </w:p>
    <w:p w14:paraId="3C71ADDF">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工程缺陷责任期为</w:t>
      </w:r>
      <w:r>
        <w:rPr>
          <w:rFonts w:hint="eastAsia" w:ascii="宋体" w:hAnsi="宋体"/>
          <w:color w:val="auto"/>
          <w:szCs w:val="21"/>
          <w:highlight w:val="none"/>
          <w:u w:val="single"/>
        </w:rPr>
        <w:t>24</w:t>
      </w:r>
      <w:r>
        <w:rPr>
          <w:rFonts w:ascii="宋体" w:hAnsi="宋体"/>
          <w:color w:val="auto"/>
          <w:szCs w:val="21"/>
          <w:highlight w:val="none"/>
        </w:rPr>
        <w:t>个月，缺陷责任期自工程竣工验收合格之日起计算。单位工程先于全部工程进行验收，单位工程缺陷责任期自单位工程验收合格之日起算。</w:t>
      </w:r>
    </w:p>
    <w:p w14:paraId="6257E156">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缺陷责任期终止后，发包人应退还剩余的质量保证金。</w:t>
      </w:r>
    </w:p>
    <w:p w14:paraId="17D2634A">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四、质量保修责任</w:t>
      </w:r>
    </w:p>
    <w:p w14:paraId="3BB2F9CF">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属于保修范围、内容的项目，承包人应当在接到保修通知之日起</w:t>
      </w:r>
      <w:r>
        <w:rPr>
          <w:rFonts w:hint="eastAsia" w:ascii="宋体" w:hAnsi="宋体"/>
          <w:color w:val="auto"/>
          <w:szCs w:val="21"/>
          <w:highlight w:val="none"/>
        </w:rPr>
        <w:t>48小时</w:t>
      </w:r>
      <w:r>
        <w:rPr>
          <w:rFonts w:ascii="宋体" w:hAnsi="宋体"/>
          <w:color w:val="auto"/>
          <w:szCs w:val="21"/>
          <w:highlight w:val="none"/>
        </w:rPr>
        <w:t>内派人保修。承包人不再约定期限内派人保修的，发包人可以委托他人修理。</w:t>
      </w:r>
    </w:p>
    <w:p w14:paraId="302B1320">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发生紧急事故需抢修的，承包人在接到事故通知后，应当立即到达事故现场抢修。</w:t>
      </w:r>
    </w:p>
    <w:p w14:paraId="164EA11F">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3945EE">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质量保修完成后，由发包人组织验收。</w:t>
      </w:r>
    </w:p>
    <w:p w14:paraId="165BEAFA">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五、保修费用</w:t>
      </w:r>
    </w:p>
    <w:p w14:paraId="38049573">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保修费用由造成质量缺陷的责任方承担。</w:t>
      </w:r>
    </w:p>
    <w:p w14:paraId="080DA405">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六、双方约定的其他工程质量保修事项：</w:t>
      </w:r>
      <w:r>
        <w:rPr>
          <w:rFonts w:hint="eastAsia" w:ascii="宋体" w:hAnsi="宋体"/>
          <w:color w:val="auto"/>
          <w:szCs w:val="21"/>
          <w:highlight w:val="none"/>
          <w:u w:val="single"/>
        </w:rPr>
        <w:t>按国家规定执行</w:t>
      </w:r>
      <w:r>
        <w:rPr>
          <w:rFonts w:ascii="宋体" w:hAnsi="宋体"/>
          <w:color w:val="auto"/>
          <w:szCs w:val="21"/>
          <w:highlight w:val="none"/>
        </w:rPr>
        <w:t>。</w:t>
      </w:r>
    </w:p>
    <w:p w14:paraId="2B343989">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工程质量保修书由发包人、承包人在工程竣工验收前共同签署，作为施工合同附件，其有效期限至保修期满。</w:t>
      </w:r>
    </w:p>
    <w:p w14:paraId="3C5FB7C6">
      <w:pPr>
        <w:spacing w:line="360" w:lineRule="auto"/>
        <w:ind w:firstLine="420"/>
        <w:rPr>
          <w:rFonts w:ascii="宋体" w:hAnsi="宋体"/>
          <w:color w:val="auto"/>
          <w:szCs w:val="21"/>
          <w:highlight w:val="none"/>
        </w:rPr>
      </w:pPr>
    </w:p>
    <w:p w14:paraId="5AB9AC02">
      <w:pPr>
        <w:spacing w:line="360" w:lineRule="auto"/>
        <w:ind w:firstLine="420"/>
        <w:rPr>
          <w:rFonts w:ascii="宋体" w:hAnsi="宋体"/>
          <w:color w:val="auto"/>
          <w:szCs w:val="21"/>
          <w:highlight w:val="none"/>
        </w:rPr>
      </w:pPr>
    </w:p>
    <w:p w14:paraId="7853B7A8">
      <w:pPr>
        <w:spacing w:line="360" w:lineRule="auto"/>
        <w:ind w:firstLine="420"/>
        <w:rPr>
          <w:rFonts w:ascii="宋体" w:hAnsi="宋体"/>
          <w:color w:val="auto"/>
          <w:szCs w:val="21"/>
          <w:highlight w:val="none"/>
        </w:rPr>
      </w:pPr>
    </w:p>
    <w:p w14:paraId="57817F25">
      <w:pPr>
        <w:spacing w:line="360" w:lineRule="auto"/>
        <w:ind w:firstLine="420"/>
        <w:rPr>
          <w:rFonts w:ascii="宋体" w:hAnsi="宋体"/>
          <w:color w:val="auto"/>
          <w:szCs w:val="21"/>
          <w:highlight w:val="none"/>
        </w:rPr>
      </w:pPr>
    </w:p>
    <w:p w14:paraId="10691048">
      <w:pPr>
        <w:spacing w:line="360" w:lineRule="auto"/>
        <w:rPr>
          <w:rFonts w:ascii="宋体" w:hAnsi="宋体"/>
          <w:color w:val="auto"/>
          <w:szCs w:val="21"/>
          <w:highlight w:val="none"/>
        </w:rPr>
      </w:pPr>
      <w:r>
        <w:rPr>
          <w:rFonts w:ascii="宋体" w:hAnsi="宋体"/>
          <w:color w:val="auto"/>
          <w:szCs w:val="21"/>
          <w:highlight w:val="none"/>
        </w:rPr>
        <w:t>发包人(公章)：</w:t>
      </w:r>
      <w:r>
        <w:rPr>
          <w:rFonts w:hint="eastAsia" w:ascii="宋体" w:hAnsi="宋体"/>
          <w:color w:val="auto"/>
          <w:szCs w:val="21"/>
          <w:highlight w:val="none"/>
          <w:lang w:val="en-US" w:eastAsia="zh-CN"/>
        </w:rPr>
        <w:t xml:space="preserve">             </w:t>
      </w:r>
      <w:r>
        <w:rPr>
          <w:rFonts w:ascii="宋体" w:hAnsi="宋体"/>
          <w:color w:val="auto"/>
          <w:szCs w:val="21"/>
          <w:highlight w:val="none"/>
        </w:rPr>
        <w:t>承包人(公章)：</w:t>
      </w:r>
    </w:p>
    <w:p w14:paraId="11C92323">
      <w:pPr>
        <w:spacing w:line="360" w:lineRule="auto"/>
        <w:rPr>
          <w:rFonts w:ascii="宋体" w:hAnsi="宋体"/>
          <w:color w:val="auto"/>
          <w:szCs w:val="21"/>
          <w:highlight w:val="none"/>
        </w:rPr>
      </w:pPr>
      <w:r>
        <w:rPr>
          <w:rFonts w:ascii="宋体" w:hAnsi="宋体"/>
          <w:color w:val="auto"/>
          <w:szCs w:val="21"/>
          <w:highlight w:val="none"/>
        </w:rPr>
        <w:t>地址：</w:t>
      </w:r>
      <w:r>
        <w:rPr>
          <w:rFonts w:hint="eastAsia" w:ascii="宋体" w:hAnsi="宋体"/>
          <w:color w:val="auto"/>
          <w:szCs w:val="21"/>
          <w:highlight w:val="none"/>
          <w:lang w:val="en-US" w:eastAsia="zh-CN"/>
        </w:rPr>
        <w:t xml:space="preserve">                    </w:t>
      </w:r>
      <w:r>
        <w:rPr>
          <w:rFonts w:ascii="宋体" w:hAnsi="宋体"/>
          <w:color w:val="auto"/>
          <w:szCs w:val="21"/>
          <w:highlight w:val="none"/>
        </w:rPr>
        <w:t>地址：</w:t>
      </w:r>
    </w:p>
    <w:p w14:paraId="646C87E9">
      <w:pPr>
        <w:spacing w:line="360" w:lineRule="auto"/>
        <w:rPr>
          <w:rFonts w:ascii="宋体" w:hAnsi="宋体"/>
          <w:color w:val="auto"/>
          <w:szCs w:val="21"/>
          <w:highlight w:val="none"/>
        </w:rPr>
      </w:pPr>
      <w:r>
        <w:rPr>
          <w:rFonts w:ascii="宋体" w:hAnsi="宋体"/>
          <w:color w:val="auto"/>
          <w:szCs w:val="21"/>
          <w:highlight w:val="none"/>
        </w:rPr>
        <w:t>法定代表人(签字</w:t>
      </w:r>
      <w:r>
        <w:rPr>
          <w:rFonts w:hint="eastAsia" w:ascii="宋体" w:hAnsi="宋体"/>
          <w:color w:val="auto"/>
          <w:szCs w:val="21"/>
          <w:highlight w:val="none"/>
        </w:rPr>
        <w:t>或盖章</w:t>
      </w:r>
      <w:r>
        <w:rPr>
          <w:rFonts w:ascii="宋体" w:hAnsi="宋体"/>
          <w:color w:val="auto"/>
          <w:szCs w:val="21"/>
          <w:highlight w:val="none"/>
        </w:rPr>
        <w:t>)：</w:t>
      </w:r>
      <w:r>
        <w:rPr>
          <w:rFonts w:hint="eastAsia" w:ascii="宋体" w:hAnsi="宋体"/>
          <w:color w:val="auto"/>
          <w:szCs w:val="21"/>
          <w:highlight w:val="none"/>
          <w:lang w:val="en-US" w:eastAsia="zh-CN"/>
        </w:rPr>
        <w:t xml:space="preserve">  </w:t>
      </w:r>
      <w:r>
        <w:rPr>
          <w:rFonts w:ascii="宋体" w:hAnsi="宋体"/>
          <w:color w:val="auto"/>
          <w:szCs w:val="21"/>
          <w:highlight w:val="none"/>
        </w:rPr>
        <w:t>法定代表人(签字签字</w:t>
      </w:r>
      <w:r>
        <w:rPr>
          <w:rFonts w:hint="eastAsia" w:ascii="宋体" w:hAnsi="宋体"/>
          <w:color w:val="auto"/>
          <w:szCs w:val="21"/>
          <w:highlight w:val="none"/>
        </w:rPr>
        <w:t>或盖章</w:t>
      </w:r>
      <w:r>
        <w:rPr>
          <w:rFonts w:ascii="宋体" w:hAnsi="宋体"/>
          <w:color w:val="auto"/>
          <w:szCs w:val="21"/>
          <w:highlight w:val="none"/>
        </w:rPr>
        <w:t>)：</w:t>
      </w:r>
    </w:p>
    <w:p w14:paraId="178465F6">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或</w:t>
      </w:r>
      <w:r>
        <w:rPr>
          <w:rFonts w:ascii="宋体" w:hAnsi="宋体"/>
          <w:color w:val="auto"/>
          <w:szCs w:val="21"/>
          <w:highlight w:val="none"/>
        </w:rPr>
        <w:t>委托代理人(签字)：</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或</w:t>
      </w:r>
      <w:r>
        <w:rPr>
          <w:rFonts w:ascii="宋体" w:hAnsi="宋体"/>
          <w:color w:val="auto"/>
          <w:szCs w:val="21"/>
          <w:highlight w:val="none"/>
        </w:rPr>
        <w:t>委托代理人(签字)：</w:t>
      </w:r>
    </w:p>
    <w:p w14:paraId="59894443">
      <w:pPr>
        <w:spacing w:line="360" w:lineRule="auto"/>
        <w:rPr>
          <w:rFonts w:ascii="宋体" w:hAnsi="宋体"/>
          <w:color w:val="auto"/>
          <w:szCs w:val="21"/>
          <w:highlight w:val="none"/>
        </w:rPr>
      </w:pPr>
      <w:r>
        <w:rPr>
          <w:rFonts w:ascii="宋体" w:hAnsi="宋体"/>
          <w:color w:val="auto"/>
          <w:szCs w:val="21"/>
          <w:highlight w:val="none"/>
        </w:rPr>
        <w:t>电话：</w:t>
      </w:r>
      <w:r>
        <w:rPr>
          <w:rFonts w:hint="eastAsia" w:ascii="宋体" w:hAnsi="宋体"/>
          <w:color w:val="auto"/>
          <w:szCs w:val="21"/>
          <w:highlight w:val="none"/>
          <w:lang w:val="en-US" w:eastAsia="zh-CN"/>
        </w:rPr>
        <w:t xml:space="preserve">                    </w:t>
      </w:r>
      <w:r>
        <w:rPr>
          <w:rFonts w:ascii="宋体" w:hAnsi="宋体"/>
          <w:color w:val="auto"/>
          <w:szCs w:val="21"/>
          <w:highlight w:val="none"/>
        </w:rPr>
        <w:t>电话：</w:t>
      </w:r>
    </w:p>
    <w:p w14:paraId="1D60247F">
      <w:pPr>
        <w:spacing w:line="360" w:lineRule="auto"/>
        <w:rPr>
          <w:rFonts w:ascii="宋体" w:hAnsi="宋体"/>
          <w:color w:val="auto"/>
          <w:szCs w:val="21"/>
          <w:highlight w:val="none"/>
        </w:rPr>
      </w:pPr>
      <w:r>
        <w:rPr>
          <w:rFonts w:ascii="宋体" w:hAnsi="宋体"/>
          <w:color w:val="auto"/>
          <w:szCs w:val="21"/>
          <w:highlight w:val="none"/>
        </w:rPr>
        <w:t>传真：</w:t>
      </w:r>
      <w:r>
        <w:rPr>
          <w:rFonts w:hint="eastAsia" w:ascii="宋体" w:hAnsi="宋体"/>
          <w:color w:val="auto"/>
          <w:szCs w:val="21"/>
          <w:highlight w:val="none"/>
          <w:lang w:val="en-US" w:eastAsia="zh-CN"/>
        </w:rPr>
        <w:t xml:space="preserve">                    </w:t>
      </w:r>
      <w:r>
        <w:rPr>
          <w:rFonts w:ascii="宋体" w:hAnsi="宋体"/>
          <w:color w:val="auto"/>
          <w:szCs w:val="21"/>
          <w:highlight w:val="none"/>
        </w:rPr>
        <w:t>传真：</w:t>
      </w:r>
    </w:p>
    <w:p w14:paraId="160194D3">
      <w:pPr>
        <w:spacing w:line="360" w:lineRule="auto"/>
        <w:rPr>
          <w:rFonts w:ascii="宋体" w:hAnsi="宋体"/>
          <w:color w:val="auto"/>
          <w:szCs w:val="21"/>
          <w:highlight w:val="none"/>
        </w:rPr>
      </w:pPr>
      <w:r>
        <w:rPr>
          <w:rFonts w:ascii="宋体" w:hAnsi="宋体"/>
          <w:color w:val="auto"/>
          <w:szCs w:val="21"/>
          <w:highlight w:val="none"/>
        </w:rPr>
        <w:t>开户银行：</w:t>
      </w:r>
      <w:r>
        <w:rPr>
          <w:rFonts w:hint="eastAsia" w:ascii="宋体" w:hAnsi="宋体"/>
          <w:color w:val="auto"/>
          <w:szCs w:val="21"/>
          <w:highlight w:val="none"/>
          <w:lang w:val="en-US" w:eastAsia="zh-CN"/>
        </w:rPr>
        <w:t xml:space="preserve">                </w:t>
      </w:r>
      <w:r>
        <w:rPr>
          <w:rFonts w:ascii="宋体" w:hAnsi="宋体"/>
          <w:color w:val="auto"/>
          <w:szCs w:val="21"/>
          <w:highlight w:val="none"/>
        </w:rPr>
        <w:t>开户银行：</w:t>
      </w:r>
    </w:p>
    <w:p w14:paraId="100A6B79">
      <w:pPr>
        <w:spacing w:line="360" w:lineRule="auto"/>
        <w:rPr>
          <w:rFonts w:ascii="宋体" w:hAnsi="宋体"/>
          <w:color w:val="auto"/>
          <w:szCs w:val="21"/>
          <w:highlight w:val="none"/>
        </w:rPr>
      </w:pPr>
      <w:r>
        <w:rPr>
          <w:rFonts w:ascii="宋体" w:hAnsi="宋体"/>
          <w:color w:val="auto"/>
          <w:szCs w:val="21"/>
          <w:highlight w:val="none"/>
        </w:rPr>
        <w:t>账号：</w:t>
      </w:r>
      <w:r>
        <w:rPr>
          <w:rFonts w:hint="eastAsia" w:ascii="宋体" w:hAnsi="宋体"/>
          <w:color w:val="auto"/>
          <w:szCs w:val="21"/>
          <w:highlight w:val="none"/>
          <w:lang w:val="en-US" w:eastAsia="zh-CN"/>
        </w:rPr>
        <w:t xml:space="preserve">                    </w:t>
      </w:r>
      <w:r>
        <w:rPr>
          <w:rFonts w:ascii="宋体" w:hAnsi="宋体"/>
          <w:color w:val="auto"/>
          <w:szCs w:val="21"/>
          <w:highlight w:val="none"/>
        </w:rPr>
        <w:t>账号：</w:t>
      </w:r>
    </w:p>
    <w:p w14:paraId="47B03A06">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olor w:val="auto"/>
          <w:szCs w:val="21"/>
          <w:highlight w:val="none"/>
          <w:lang w:val="en-US" w:eastAsia="zh-CN"/>
        </w:rPr>
        <w:t xml:space="preserve">                </w:t>
      </w:r>
      <w:r>
        <w:rPr>
          <w:rFonts w:ascii="宋体" w:hAnsi="宋体"/>
          <w:color w:val="auto"/>
          <w:szCs w:val="21"/>
          <w:highlight w:val="none"/>
        </w:rPr>
        <w:t>邮政编码：</w:t>
      </w:r>
    </w:p>
    <w:p w14:paraId="11F5CF0D">
      <w:pPr>
        <w:outlineLvl w:val="9"/>
        <w:rPr>
          <w:rFonts w:ascii="宋体" w:hAnsi="宋体" w:eastAsia="宋体"/>
          <w:color w:val="auto"/>
          <w:sz w:val="21"/>
          <w:szCs w:val="21"/>
          <w:highlight w:val="none"/>
        </w:rPr>
      </w:pPr>
    </w:p>
    <w:p w14:paraId="6CF422EF">
      <w:pPr>
        <w:widowControl/>
        <w:ind w:left="0" w:firstLine="0"/>
        <w:jc w:val="left"/>
        <w:rPr>
          <w:rFonts w:hint="eastAsia" w:ascii="宋体" w:hAnsi="宋体" w:eastAsia="宋体" w:cs="宋体"/>
          <w:b/>
          <w:color w:val="auto"/>
          <w:szCs w:val="21"/>
          <w:highlight w:val="none"/>
          <w:lang w:eastAsia="zh-CN" w:bidi="ar"/>
        </w:rPr>
      </w:pPr>
      <w:r>
        <w:rPr>
          <w:rFonts w:ascii="仿宋" w:hAnsi="仿宋" w:eastAsia="仿宋"/>
          <w:b/>
          <w:color w:val="auto"/>
          <w:sz w:val="24"/>
          <w:highlight w:val="none"/>
        </w:rPr>
        <w:br w:type="page" w:clear="all"/>
      </w:r>
      <w:r>
        <w:rPr>
          <w:rFonts w:hint="eastAsia" w:ascii="宋体" w:hAnsi="宋体" w:cs="宋体"/>
          <w:b/>
          <w:color w:val="auto"/>
          <w:szCs w:val="21"/>
          <w:highlight w:val="none"/>
          <w:lang w:bidi="ar"/>
        </w:rPr>
        <w:t>附件6：</w:t>
      </w:r>
    </w:p>
    <w:p w14:paraId="1425BBEA">
      <w:pPr>
        <w:pStyle w:val="200"/>
        <w:tabs>
          <w:tab w:val="left" w:pos="1160"/>
          <w:tab w:val="left" w:pos="2423"/>
        </w:tabs>
        <w:spacing w:before="70"/>
        <w:ind w:left="0" w:right="63" w:firstLine="0"/>
        <w:jc w:val="center"/>
        <w:rPr>
          <w:rFonts w:hint="eastAsia" w:ascii="Times New Roman" w:hAnsi="Times New Roman" w:eastAsia="宋体" w:cs="Times New Roman"/>
          <w:b/>
          <w:bCs/>
          <w:color w:val="auto"/>
          <w:sz w:val="24"/>
          <w:szCs w:val="32"/>
          <w:highlight w:val="none"/>
        </w:rPr>
      </w:pPr>
      <w:r>
        <w:rPr>
          <w:rFonts w:hint="eastAsia" w:ascii="Times New Roman" w:hAnsi="Times New Roman" w:eastAsia="宋体" w:cs="Times New Roman"/>
          <w:b/>
          <w:bCs/>
          <w:color w:val="auto"/>
          <w:sz w:val="24"/>
          <w:szCs w:val="32"/>
          <w:highlight w:val="none"/>
        </w:rPr>
        <w:t>工程安全环境管理协议</w:t>
      </w:r>
    </w:p>
    <w:p w14:paraId="237D139D">
      <w:pPr>
        <w:keepNext w:val="0"/>
        <w:keepLines w:val="0"/>
        <w:pageBreakBefore w:val="0"/>
        <w:widowControl w:val="0"/>
        <w:spacing w:line="420" w:lineRule="exact"/>
        <w:ind w:firstLine="482"/>
        <w:rPr>
          <w:rFonts w:hint="eastAsia" w:ascii="宋体" w:hAnsi="宋体" w:eastAsia="宋体" w:cs="宋体"/>
          <w:bCs/>
          <w:color w:val="auto"/>
          <w:szCs w:val="21"/>
          <w:highlight w:val="none"/>
          <w:lang w:eastAsia="zh-CN"/>
        </w:rPr>
      </w:pPr>
      <w:r>
        <w:rPr>
          <w:rFonts w:hint="eastAsia" w:ascii="宋体" w:hAnsi="宋体" w:cs="宋体"/>
          <w:b/>
          <w:color w:val="auto"/>
          <w:szCs w:val="21"/>
          <w:highlight w:val="none"/>
          <w:lang w:bidi="ar"/>
        </w:rPr>
        <w:t>发包人：</w:t>
      </w:r>
    </w:p>
    <w:p w14:paraId="75B124A1">
      <w:pPr>
        <w:keepNext w:val="0"/>
        <w:keepLines w:val="0"/>
        <w:pageBreakBefore w:val="0"/>
        <w:widowControl w:val="0"/>
        <w:spacing w:line="420" w:lineRule="exact"/>
        <w:ind w:firstLine="482"/>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bidi="ar"/>
        </w:rPr>
        <w:t>承包人：</w:t>
      </w:r>
    </w:p>
    <w:p w14:paraId="3A1526B4">
      <w:pPr>
        <w:keepNext w:val="0"/>
        <w:keepLines w:val="0"/>
        <w:pageBreakBefore w:val="0"/>
        <w:widowControl w:val="0"/>
        <w:spacing w:line="420" w:lineRule="exact"/>
        <w:ind w:firstLine="480"/>
        <w:rPr>
          <w:rFonts w:hint="eastAsia" w:ascii="宋体" w:hAnsi="宋体" w:eastAsia="宋体" w:cs="宋体"/>
          <w:color w:val="auto"/>
          <w:szCs w:val="21"/>
          <w:highlight w:val="none"/>
          <w:u w:val="single"/>
          <w:lang w:eastAsia="zh-CN" w:bidi="ar"/>
        </w:rPr>
      </w:pPr>
      <w:r>
        <w:rPr>
          <w:rFonts w:hint="eastAsia" w:ascii="宋体" w:hAnsi="宋体" w:cs="宋体"/>
          <w:color w:val="auto"/>
          <w:szCs w:val="21"/>
          <w:highlight w:val="none"/>
          <w:lang w:bidi="ar"/>
        </w:rPr>
        <w:t>工程项目名称：</w:t>
      </w:r>
    </w:p>
    <w:p w14:paraId="4A02853E">
      <w:pPr>
        <w:keepNext w:val="0"/>
        <w:keepLines w:val="0"/>
        <w:pageBreakBefore w:val="0"/>
        <w:widowControl w:val="0"/>
        <w:spacing w:line="420" w:lineRule="exact"/>
        <w:ind w:firstLine="48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合同编号：</w:t>
      </w:r>
    </w:p>
    <w:p w14:paraId="2DDA794A">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0DDA385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1安全文明施工管理目标</w:t>
      </w:r>
    </w:p>
    <w:p w14:paraId="3F382901">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1．1杜绝重伤及以上事故；</w:t>
      </w:r>
    </w:p>
    <w:p w14:paraId="46119FD1">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1．2杜绝重大机械设备事故；</w:t>
      </w:r>
    </w:p>
    <w:p w14:paraId="7458C9B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1．3杜绝重大火灾事故；</w:t>
      </w:r>
    </w:p>
    <w:p w14:paraId="7BE58914">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1．4杜绝负主要责任的重大交通事故；</w:t>
      </w:r>
    </w:p>
    <w:p w14:paraId="78D9A1C1">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1．5杜绝重复发生相同性质的事故；</w:t>
      </w:r>
    </w:p>
    <w:p w14:paraId="3FBB8A14">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1．6创建安全文明施工样板工程；</w:t>
      </w:r>
    </w:p>
    <w:p w14:paraId="791817A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1．7杜绝重大设备损坏事故。</w:t>
      </w:r>
    </w:p>
    <w:p w14:paraId="5AA29CC2">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2安全文明施工和环境管理执行标准：</w:t>
      </w:r>
    </w:p>
    <w:p w14:paraId="6C63F908">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以下标准双方均应认真执行：</w:t>
      </w:r>
    </w:p>
    <w:p w14:paraId="461313F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2．1《建设工程安全管理条例》；</w:t>
      </w:r>
    </w:p>
    <w:p w14:paraId="722830AC">
      <w:pPr>
        <w:keepNext w:val="0"/>
        <w:keepLines w:val="0"/>
        <w:pageBreakBefore w:val="0"/>
        <w:widowControl w:val="0"/>
        <w:spacing w:line="420" w:lineRule="exact"/>
        <w:ind w:firstLine="48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2．2国家有关部、委、各级政府部门和上级主管部门颁发的有关安全生产和环境保护工作的法令、法规、规定、制度；</w:t>
      </w:r>
    </w:p>
    <w:p w14:paraId="4F3EA55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2．3发包人有关安全文明施工及环境保护的规定、制度。</w:t>
      </w:r>
    </w:p>
    <w:p w14:paraId="004CCD1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3发包人的权利和义务：</w:t>
      </w:r>
    </w:p>
    <w:p w14:paraId="4E2A7CB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3．1发包人按有关规定对承包人的资质进行审查，确认承包人承包的工程与其资质相符合；</w:t>
      </w:r>
    </w:p>
    <w:p w14:paraId="0EAFB8F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3．2发包人在施工前负责审核承包人的施工组织设计；</w:t>
      </w:r>
    </w:p>
    <w:p w14:paraId="3B97F64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6CE85ED6">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3．4对承包人在施工中新增的施工人员，发包人有权按以上要求进行检查；</w:t>
      </w:r>
    </w:p>
    <w:p w14:paraId="60DB4A8E">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3．5施工前发包人有权对承包人的电动工器具、仪表等进行抽样检查；</w:t>
      </w:r>
    </w:p>
    <w:p w14:paraId="7C59E8E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3．6施工期间，发包人设专职安监人员负责联系、检查、督促承包人执行有关安全、防火规定，并协助检查和处理工程施工中有关的安全、防火工作、预防事故发生；</w:t>
      </w:r>
    </w:p>
    <w:p w14:paraId="4A449431">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3．7发包人有协助承包人搞好安全生产、防火管理的义务。当承包人出现安全、文明施工严重失控情况下，发包人有权按《建设工程安全管理条例》的要求做出停工整顿，限期整改、直到清退出场的决定；</w:t>
      </w:r>
    </w:p>
    <w:p w14:paraId="2587371A">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3．8发包人不得要求承包人违反安全管理规定进行施工。因发包人原因导致事故由发包人承担责任；</w:t>
      </w:r>
    </w:p>
    <w:p w14:paraId="5F225845">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3．9由发包人提供的机械设备、安全设施，在安装完毕提交使用前，发包人应配合承包人共同按规定验收，并做好验收及交付使用的书面手续。</w:t>
      </w:r>
    </w:p>
    <w:p w14:paraId="74603F4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4承包人的权利和义务：</w:t>
      </w:r>
    </w:p>
    <w:p w14:paraId="366F7726">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4．1承包人需根据现场的实际开工情况，找出危险源，列出《风险源清单》，根据风险的大小，编制《施工现场工作风险评估》；</w:t>
      </w:r>
    </w:p>
    <w:p w14:paraId="58E47AD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2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519D3AAE">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4．3承包人必须建立安全管理制度，各级安全生产岗位责任制和定期安全检查、安全教育制度，包括各工种的安全操作规程、特种作业人员的考核制度等；</w:t>
      </w:r>
    </w:p>
    <w:p w14:paraId="6F76D942">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4．4承包人在项目施工开始前要根据《施工组织设计》或《安全施工方案（措施）》向施工人员进行安全技术交底；</w:t>
      </w:r>
    </w:p>
    <w:p w14:paraId="116FF9E6">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4．5承包人必须严格按施工组织设计和有关安全要求规定组织施工。对有可能发生火灾、爆炸、触电、中毒、窒息、机械伤害、烧烫伤等危险或会引起严重设备事故的作业，承包人应制定专项施工安全技术措施；</w:t>
      </w:r>
    </w:p>
    <w:p w14:paraId="021FFFE9">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640D15A8">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4．7承包人施工人员应经安规考试合格后上岗；</w:t>
      </w:r>
    </w:p>
    <w:p w14:paraId="4E022114">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4．8承包人施工人员应对所在的施工区域、作业环境、操作设施设备、工器具等进行认真检查，发现隐患立即处理，落实整改措施；</w:t>
      </w:r>
    </w:p>
    <w:p w14:paraId="007FBAA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4．9承包人在施工期间由于施工机械、工器具原因或使用操作不当而造成伤亡事故，由承包人负责；</w:t>
      </w:r>
    </w:p>
    <w:p w14:paraId="019A1522">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4．10承包人对施工现场安全设施（如脚手架等）每天开工前必须检查，发现隐患及时整改；</w:t>
      </w:r>
    </w:p>
    <w:p w14:paraId="6717D82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73C46D1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4．12承包人必须按规定为作业人员配备应有的劳动保护用品、用具。承包人所属人员的身体健康状况必须能满足所从事工作的要求；</w:t>
      </w:r>
    </w:p>
    <w:p w14:paraId="0A553CF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66CC91E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211BC8B9">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7其他</w:t>
      </w:r>
    </w:p>
    <w:p w14:paraId="413AB6D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7．1承包人工程施工方案中必须包括安全、健康、环保等措施，并贯彻落实到具体工作中去，确保施工安全及当地环境不受工程施工破坏；</w:t>
      </w:r>
    </w:p>
    <w:p w14:paraId="46150D86">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7．2施工过程中产生的废弃物、噪音等排放必须符合相关规定标准；</w:t>
      </w:r>
    </w:p>
    <w:p w14:paraId="5FACB3A4">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7．3由于承包人施工破坏周围环境，造成恶劣影响引发纠纷和社会矛盾等由承包人承担全部责任；</w:t>
      </w:r>
    </w:p>
    <w:p w14:paraId="66770D9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7．4承包人按月（年）向发包人报送企业职工伤亡事故月（年）报告；</w:t>
      </w:r>
    </w:p>
    <w:p w14:paraId="51B5D3DC">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7．5对发包人组织的安全环境大检查、安全工作会议，承包人应及时派员参加，认真贯彻落实；</w:t>
      </w:r>
    </w:p>
    <w:p w14:paraId="4FFD67D9">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8本协议执行过程中如遇有与国家、交通部和地方政府的有关规定不一致时，按国家、交通部和地方政府的有关规定执行；</w:t>
      </w:r>
    </w:p>
    <w:p w14:paraId="5928CFC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9本协议经甲乙双方签字、盖章后生效，作为工程合同的附件与合同具有同等的法律效力；</w:t>
      </w:r>
    </w:p>
    <w:p w14:paraId="1A9BB5E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10甲乙双方必须严格执行本协议，因违反本协议而造成设备、伤亡事故，由违约方承担一切经济损失。</w:t>
      </w:r>
    </w:p>
    <w:p w14:paraId="4F426113">
      <w:pPr>
        <w:keepNext w:val="0"/>
        <w:keepLines w:val="0"/>
        <w:pageBreakBefore w:val="0"/>
        <w:widowControl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单位盖章：单位盖章：</w:t>
      </w:r>
    </w:p>
    <w:p w14:paraId="4F374393">
      <w:pPr>
        <w:keepNext w:val="0"/>
        <w:keepLines w:val="0"/>
        <w:pageBreakBefore w:val="0"/>
        <w:widowControl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发包人安全第一责任人：承包人安全第一责任人：</w:t>
      </w:r>
    </w:p>
    <w:p w14:paraId="2EE0333F">
      <w:pPr>
        <w:keepNext w:val="0"/>
        <w:keepLines w:val="0"/>
        <w:pageBreakBefore w:val="0"/>
        <w:widowControl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签订日期：</w:t>
      </w:r>
    </w:p>
    <w:p w14:paraId="64D73ED1">
      <w:pPr>
        <w:spacing w:line="480" w:lineRule="exact"/>
        <w:ind w:left="0" w:firstLine="0"/>
        <w:jc w:val="left"/>
        <w:rPr>
          <w:rFonts w:hint="eastAsia" w:ascii="宋体" w:hAnsi="宋体" w:eastAsia="宋体" w:cs="宋体"/>
          <w:b/>
          <w:color w:val="auto"/>
          <w:szCs w:val="21"/>
          <w:highlight w:val="none"/>
          <w:lang w:eastAsia="zh-CN" w:bidi="ar"/>
        </w:rPr>
      </w:pPr>
      <w:r>
        <w:rPr>
          <w:rFonts w:hint="eastAsia" w:ascii="宋体" w:hAnsi="宋体"/>
          <w:b/>
          <w:color w:val="auto"/>
          <w:szCs w:val="21"/>
          <w:highlight w:val="none"/>
          <w:lang w:bidi="ar"/>
        </w:rPr>
        <w:br w:type="page" w:clear="all"/>
      </w:r>
      <w:r>
        <w:rPr>
          <w:rFonts w:hint="eastAsia" w:ascii="宋体" w:hAnsi="宋体" w:cs="宋体"/>
          <w:b/>
          <w:color w:val="auto"/>
          <w:szCs w:val="21"/>
          <w:highlight w:val="none"/>
          <w:lang w:bidi="ar"/>
        </w:rPr>
        <w:t>附件7：</w:t>
      </w:r>
    </w:p>
    <w:p w14:paraId="3570E0C5">
      <w:pPr>
        <w:pStyle w:val="200"/>
        <w:tabs>
          <w:tab w:val="left" w:pos="1160"/>
          <w:tab w:val="left" w:pos="2423"/>
        </w:tabs>
        <w:spacing w:before="70"/>
        <w:ind w:left="0" w:right="63" w:firstLine="0"/>
        <w:jc w:val="center"/>
        <w:rPr>
          <w:rFonts w:hint="eastAsia" w:ascii="Times New Roman" w:hAnsi="Times New Roman" w:eastAsia="宋体" w:cs="Times New Roman"/>
          <w:b/>
          <w:bCs/>
          <w:color w:val="auto"/>
          <w:sz w:val="24"/>
          <w:szCs w:val="32"/>
          <w:highlight w:val="none"/>
        </w:rPr>
      </w:pPr>
      <w:r>
        <w:rPr>
          <w:rFonts w:hint="eastAsia" w:ascii="Times New Roman" w:hAnsi="Times New Roman" w:eastAsia="宋体" w:cs="Times New Roman"/>
          <w:b/>
          <w:bCs/>
          <w:color w:val="auto"/>
          <w:sz w:val="24"/>
          <w:szCs w:val="32"/>
          <w:highlight w:val="none"/>
        </w:rPr>
        <w:t>工程廉政合同</w:t>
      </w:r>
    </w:p>
    <w:p w14:paraId="13F5ED55">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Cs w:val="21"/>
          <w:highlight w:val="none"/>
          <w:u w:val="single"/>
          <w:lang w:bidi="ar"/>
        </w:rPr>
        <w:t>（全称）</w:t>
      </w:r>
      <w:r>
        <w:rPr>
          <w:rFonts w:hint="eastAsia" w:ascii="宋体" w:hAnsi="宋体" w:cs="宋体"/>
          <w:color w:val="auto"/>
          <w:szCs w:val="21"/>
          <w:highlight w:val="none"/>
          <w:lang w:bidi="ar"/>
        </w:rPr>
        <w:t>（以下简称“发包人”）与中标单位（全称）</w:t>
      </w:r>
      <w:r>
        <w:rPr>
          <w:rFonts w:hint="eastAsia" w:ascii="宋体" w:hAnsi="宋体" w:cs="宋体"/>
          <w:color w:val="auto"/>
          <w:szCs w:val="21"/>
          <w:highlight w:val="none"/>
          <w:u w:val="single"/>
          <w:lang w:bidi="ar"/>
        </w:rPr>
        <w:t>中标单位名称</w:t>
      </w:r>
      <w:r>
        <w:rPr>
          <w:rFonts w:hint="eastAsia" w:ascii="宋体" w:hAnsi="宋体" w:cs="宋体"/>
          <w:color w:val="auto"/>
          <w:szCs w:val="21"/>
          <w:highlight w:val="none"/>
          <w:lang w:bidi="ar"/>
        </w:rPr>
        <w:t>（以下简称“承包人”），特订立如下合同。</w:t>
      </w:r>
    </w:p>
    <w:p w14:paraId="35834BA0">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1．甲乙双方的权利和义务</w:t>
      </w:r>
    </w:p>
    <w:p w14:paraId="03C6E786">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（1）严格遵守党的政策规定和国家、省、市有关法律法规有关规定。</w:t>
      </w:r>
    </w:p>
    <w:p w14:paraId="7F0FB0D3">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（2）严格执行工程的合同文件，自觉按合同办事。</w:t>
      </w:r>
    </w:p>
    <w:p w14:paraId="6D992F56">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（3）双方的业务活动坚持公开、公正、诚信、透明的原则（法律认定的商业秘密和合同文件另有规定除外），不得损害国家和集体利益，违反工程建设管理规章制度。</w:t>
      </w:r>
    </w:p>
    <w:p w14:paraId="71CC2B15">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（4）建立健全廉政制度，开展廉政教育，设计廉政告示牌，公布举报电话，监督并认真查处违法违纪行为。</w:t>
      </w:r>
    </w:p>
    <w:p w14:paraId="26D328F0">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（5）发现对方在业务活动中有违反廉政规定的行为，有及时提醒对方纠正的权利和义务。</w:t>
      </w:r>
    </w:p>
    <w:p w14:paraId="7C3C298E">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（6）发现对方严重违反合同义务条款的行为，有向其上级有关部门举报、建议给予处理并要求告知处理结果的权利。</w:t>
      </w:r>
    </w:p>
    <w:p w14:paraId="24B07E9E">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2．发包人的义务</w:t>
      </w:r>
    </w:p>
    <w:p w14:paraId="62767F3E">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（1）发包人及其工作人员不得索要或接受承包人的礼金、有价证券和贵重物品，不得在承包人报销任何应由发包人或发包人工作人员个人支付的费用等。</w:t>
      </w:r>
    </w:p>
    <w:p w14:paraId="0B2FB09D">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（2）发包人工作人员不得参加承包人安排的超标准宴请和娱乐活动；不得接受承包人提供的通讯工具、交通工具和高档办公用品等。</w:t>
      </w:r>
    </w:p>
    <w:p w14:paraId="3155B8EA">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（3）发包人及其工作人员不得要求或者接受承包人为其住房装修、婚丧嫁娶活动、配偶子女的工作安排以及出国出境、旅游等提供方便等。</w:t>
      </w:r>
    </w:p>
    <w:p w14:paraId="4802CE5A">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（4）发包人工作人员及其配偶、子女不得从事与发包人工程有关的材料设备供应、工程分包、劳务等经济活动等。</w:t>
      </w:r>
    </w:p>
    <w:p w14:paraId="22E890AC">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（5）发包人及其工作人员不得以任何理由向承包人推荐分包单位或推销材料，不得要求承包人购买合同规定外的材料和设备。</w:t>
      </w:r>
    </w:p>
    <w:p w14:paraId="52316E7C">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（6）发包人工作人员要秉公办事，不准营私舞弊，不准利用职权从事各种个人有偿中介活动和安排个人施工队伍。</w:t>
      </w:r>
    </w:p>
    <w:p w14:paraId="6EA08430">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3．承包人义务</w:t>
      </w:r>
    </w:p>
    <w:p w14:paraId="1579CA19">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（1）承包人不得以任何理由向发包人及其工作人员行贿或馈赠礼金、有价证券、贵重礼品。</w:t>
      </w:r>
    </w:p>
    <w:p w14:paraId="2A055A45">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（2）承包人不得以任何名义为发包人及其工作人员报销应由发包人单位或个人支付的任何费用。</w:t>
      </w:r>
    </w:p>
    <w:p w14:paraId="494B0C1F">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（3）承包人不得以任何理由安排发包人工作人员参加超标准宴请及娱乐活动。</w:t>
      </w:r>
    </w:p>
    <w:p w14:paraId="791E412C">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（4）承包人不得为发包人单位和个人购置或提供通讯工具、交通工具和高档办公用品等。</w:t>
      </w:r>
    </w:p>
    <w:p w14:paraId="4ED3BF9F">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4．违约责任</w:t>
      </w:r>
    </w:p>
    <w:p w14:paraId="23D86BA7">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（1）发包人及其工作人员违反本合同第一、二条，按管理权限，依据有关规定给予党纪、政纪或组织处理；涉嫌犯罪的，移交司法机关追究刑事责任；给承包人单位造成经济损失的，应予以赔偿。</w:t>
      </w:r>
    </w:p>
    <w:p w14:paraId="697414C9">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347DF863">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1073E4BE">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6．本合同有效期为甲乙双方签署之日起至该工程项目竣工验收后止。</w:t>
      </w:r>
    </w:p>
    <w:p w14:paraId="343305E1">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7．本合同作为工程施工合同的附件，与工程施工合同具有同等的法律效力，经合同双方签署立即生效。</w:t>
      </w:r>
    </w:p>
    <w:p w14:paraId="2A1D986F">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8．本合同一式四份，由甲乙双方各执一份，送交甲乙双方的监督单位各一份。</w:t>
      </w:r>
    </w:p>
    <w:p w14:paraId="6EB12AE3">
      <w:pPr>
        <w:spacing w:line="400" w:lineRule="exact"/>
        <w:ind w:firstLine="561"/>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甲方（盖章）：乙方（盖章）：</w:t>
      </w:r>
    </w:p>
    <w:p w14:paraId="295E64CE">
      <w:pPr>
        <w:spacing w:line="400" w:lineRule="exact"/>
        <w:ind w:firstLine="561"/>
        <w:rPr>
          <w:rFonts w:hint="eastAsia" w:ascii="宋体" w:hAnsi="宋体" w:cs="宋体"/>
          <w:color w:val="auto"/>
          <w:szCs w:val="21"/>
          <w:highlight w:val="none"/>
        </w:rPr>
      </w:pPr>
      <w:r>
        <w:rPr>
          <w:rFonts w:hint="eastAsia" w:ascii="宋体" w:hAnsi="宋体" w:cs="宋体"/>
          <w:color w:val="auto"/>
          <w:szCs w:val="21"/>
          <w:highlight w:val="none"/>
          <w:lang w:bidi="ar"/>
        </w:rPr>
        <w:t>法定代表人（签字或盖章）：法定代表人（签字或盖章）：</w:t>
      </w:r>
    </w:p>
    <w:p w14:paraId="35EF8530">
      <w:pPr>
        <w:spacing w:line="400" w:lineRule="exact"/>
        <w:ind w:firstLine="561"/>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或其授权的代理人（签字或盖章）：或其授权的代理人（签字或盖章）：</w:t>
      </w:r>
    </w:p>
    <w:p w14:paraId="75298CC6">
      <w:pPr>
        <w:spacing w:line="400" w:lineRule="exact"/>
        <w:ind w:firstLine="561"/>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日期：日期：</w:t>
      </w:r>
    </w:p>
    <w:p w14:paraId="5CDA7ECD">
      <w:pPr>
        <w:spacing w:line="480" w:lineRule="exact"/>
        <w:ind w:left="0" w:firstLine="0"/>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附件8：</w:t>
      </w:r>
    </w:p>
    <w:p w14:paraId="62963460">
      <w:pPr>
        <w:spacing w:line="480" w:lineRule="exact"/>
        <w:ind w:left="1"/>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不拖欠农民工工资承诺书</w:t>
      </w:r>
    </w:p>
    <w:p w14:paraId="63394B98">
      <w:pPr>
        <w:spacing w:line="480" w:lineRule="exact"/>
        <w:ind w:firstLine="480"/>
        <w:rPr>
          <w:rFonts w:hint="eastAsia" w:ascii="宋体" w:hAnsi="宋体" w:cs="宋体"/>
          <w:color w:val="auto"/>
          <w:szCs w:val="21"/>
          <w:highlight w:val="none"/>
          <w:lang w:bidi="ar"/>
        </w:rPr>
      </w:pPr>
    </w:p>
    <w:p w14:paraId="2861A9BF">
      <w:pPr>
        <w:spacing w:line="480" w:lineRule="exact"/>
        <w:ind w:firstLine="480"/>
        <w:rPr>
          <w:rFonts w:hint="eastAsia" w:ascii="宋体" w:hAnsi="宋体" w:eastAsia="宋体" w:cs="宋体"/>
          <w:color w:val="auto"/>
          <w:szCs w:val="21"/>
          <w:highlight w:val="none"/>
          <w:u w:val="single"/>
          <w:lang w:eastAsia="zh-CN" w:bidi="ar"/>
        </w:rPr>
      </w:pPr>
      <w:r>
        <w:rPr>
          <w:rFonts w:hint="eastAsia" w:ascii="宋体" w:hAnsi="宋体" w:cs="宋体"/>
          <w:color w:val="auto"/>
          <w:szCs w:val="21"/>
          <w:highlight w:val="none"/>
          <w:lang w:bidi="ar"/>
        </w:rPr>
        <w:t>致：</w:t>
      </w:r>
    </w:p>
    <w:p w14:paraId="15D41AB4">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为保护农民工的合法权益，不拖欠农民工工资，本人（法定代表人姓名）以（承包人全称）法定代表人的资格，郑重承诺：</w:t>
      </w:r>
    </w:p>
    <w:p w14:paraId="41183910">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本单位中标承建（项目名称）（标段名称）需要使用农民工时，将保证做到：</w:t>
      </w:r>
    </w:p>
    <w:p w14:paraId="3F8E7D6A">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1、按照《劳动法》规定雇用和使用农民工，工资将直接发给农民工本人，严禁发放给“包工头”。</w:t>
      </w:r>
    </w:p>
    <w:p w14:paraId="79F9DDD6">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5CB3E08A">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3、严格遵守国家和地方关于农民工工资的其他有关规定。</w:t>
      </w:r>
    </w:p>
    <w:p w14:paraId="4CB7C09C">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4、如果发生违反规定拖欠或克扣农民工工资行为，造成农民工上访，本单位愿意无条件接受发包人采取的经济等处罚，同时愿意接受交通行政主管部门依照有关规定作出的其他处罚决定。</w:t>
      </w:r>
    </w:p>
    <w:p w14:paraId="195E2328">
      <w:pPr>
        <w:spacing w:line="480" w:lineRule="exact"/>
        <w:ind w:firstLine="480"/>
        <w:rPr>
          <w:rFonts w:hint="eastAsia" w:ascii="宋体" w:hAnsi="宋体" w:cs="宋体"/>
          <w:color w:val="auto"/>
          <w:szCs w:val="21"/>
          <w:highlight w:val="none"/>
          <w:lang w:bidi="ar"/>
        </w:rPr>
      </w:pPr>
    </w:p>
    <w:p w14:paraId="43AB0F2B">
      <w:pPr>
        <w:spacing w:line="480" w:lineRule="exact"/>
        <w:ind w:firstLine="480"/>
        <w:rPr>
          <w:rFonts w:hint="eastAsia" w:ascii="宋体" w:hAnsi="宋体" w:cs="宋体"/>
          <w:color w:val="auto"/>
          <w:szCs w:val="21"/>
          <w:highlight w:val="none"/>
          <w:lang w:bidi="ar"/>
        </w:rPr>
      </w:pPr>
    </w:p>
    <w:p w14:paraId="7C56A25E">
      <w:pPr>
        <w:spacing w:line="480" w:lineRule="exact"/>
        <w:ind w:firstLine="480"/>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承包人（公章）：</w:t>
      </w:r>
    </w:p>
    <w:p w14:paraId="29F361E5">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法定代表人（签字或盖章）：</w:t>
      </w:r>
    </w:p>
    <w:p w14:paraId="46693FAB">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日期：年月日</w:t>
      </w:r>
    </w:p>
    <w:p w14:paraId="202A972D">
      <w:pPr>
        <w:spacing w:line="480" w:lineRule="exact"/>
        <w:ind w:left="0" w:firstLine="0"/>
        <w:rPr>
          <w:rFonts w:hint="eastAsia" w:ascii="宋体" w:hAnsi="宋体" w:eastAsia="宋体" w:cs="宋体"/>
          <w:b/>
          <w:color w:val="auto"/>
          <w:szCs w:val="21"/>
          <w:highlight w:val="none"/>
          <w:lang w:eastAsia="zh-CN"/>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附件9：</w:t>
      </w:r>
    </w:p>
    <w:p w14:paraId="03EFA164">
      <w:pPr>
        <w:spacing w:line="480" w:lineRule="exact"/>
        <w:ind w:left="0" w:firstLine="0"/>
        <w:jc w:val="center"/>
        <w:rPr>
          <w:rFonts w:hint="eastAsia" w:ascii="宋体" w:hAnsi="宋体" w:cs="宋体"/>
          <w:color w:val="auto"/>
          <w:szCs w:val="21"/>
          <w:highlight w:val="none"/>
        </w:rPr>
      </w:pPr>
      <w:r>
        <w:rPr>
          <w:rFonts w:hint="eastAsia" w:ascii="宋体" w:hAnsi="宋体" w:cs="宋体"/>
          <w:b/>
          <w:color w:val="auto"/>
          <w:szCs w:val="21"/>
          <w:highlight w:val="none"/>
          <w:lang w:bidi="ar"/>
        </w:rPr>
        <w:t>中标人诚信承诺书</w:t>
      </w:r>
    </w:p>
    <w:p w14:paraId="18D3327A">
      <w:pPr>
        <w:spacing w:line="480" w:lineRule="exact"/>
        <w:ind w:firstLine="1200"/>
        <w:rPr>
          <w:rFonts w:hint="eastAsia" w:ascii="宋体" w:hAnsi="宋体" w:cs="宋体"/>
          <w:color w:val="auto"/>
          <w:szCs w:val="21"/>
          <w:highlight w:val="none"/>
        </w:rPr>
      </w:pPr>
    </w:p>
    <w:p w14:paraId="77744F18">
      <w:pPr>
        <w:spacing w:line="480" w:lineRule="exact"/>
        <w:ind w:firstLine="480"/>
        <w:rPr>
          <w:rFonts w:hint="eastAsia" w:ascii="宋体" w:hAnsi="宋体" w:cs="宋体"/>
          <w:color w:val="auto"/>
          <w:szCs w:val="21"/>
          <w:highlight w:val="none"/>
          <w:u w:val="single"/>
        </w:rPr>
      </w:pPr>
      <w:r>
        <w:rPr>
          <w:rFonts w:hint="eastAsia" w:ascii="宋体" w:hAnsi="宋体" w:cs="宋体"/>
          <w:color w:val="auto"/>
          <w:szCs w:val="21"/>
          <w:highlight w:val="none"/>
          <w:lang w:bidi="ar"/>
        </w:rPr>
        <w:t>我单位系公司作为（建设单位）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268AE452">
      <w:pPr>
        <w:spacing w:line="480" w:lineRule="exact"/>
        <w:ind w:left="210" w:hanging="240"/>
        <w:rPr>
          <w:rFonts w:hint="eastAsia" w:ascii="宋体" w:hAnsi="宋体" w:cs="宋体"/>
          <w:color w:val="auto"/>
          <w:szCs w:val="21"/>
          <w:highlight w:val="none"/>
        </w:rPr>
      </w:pPr>
    </w:p>
    <w:p w14:paraId="052CAF39">
      <w:pPr>
        <w:spacing w:line="480" w:lineRule="exact"/>
        <w:ind w:left="210" w:hanging="240"/>
        <w:rPr>
          <w:rFonts w:hint="eastAsia" w:ascii="宋体" w:hAnsi="宋体" w:cs="宋体"/>
          <w:color w:val="auto"/>
          <w:szCs w:val="21"/>
          <w:highlight w:val="none"/>
        </w:rPr>
      </w:pPr>
    </w:p>
    <w:p w14:paraId="3EB8741A">
      <w:pPr>
        <w:spacing w:line="480" w:lineRule="exact"/>
        <w:ind w:left="210" w:hanging="240"/>
        <w:rPr>
          <w:rFonts w:hint="eastAsia" w:ascii="宋体" w:hAnsi="宋体" w:cs="宋体"/>
          <w:color w:val="auto"/>
          <w:szCs w:val="21"/>
          <w:highlight w:val="none"/>
          <w:u w:val="single"/>
        </w:rPr>
      </w:pPr>
      <w:r>
        <w:rPr>
          <w:rFonts w:hint="eastAsia" w:ascii="宋体" w:hAnsi="宋体" w:cs="宋体"/>
          <w:color w:val="auto"/>
          <w:szCs w:val="21"/>
          <w:highlight w:val="none"/>
          <w:lang w:bidi="ar"/>
        </w:rPr>
        <w:t>建造师签字：</w:t>
      </w:r>
    </w:p>
    <w:p w14:paraId="63115702">
      <w:pPr>
        <w:spacing w:line="480" w:lineRule="exact"/>
        <w:ind w:left="210" w:hanging="240"/>
        <w:rPr>
          <w:rFonts w:hint="eastAsia" w:ascii="宋体" w:hAnsi="宋体" w:cs="宋体"/>
          <w:color w:val="auto"/>
          <w:szCs w:val="21"/>
          <w:highlight w:val="none"/>
          <w:u w:val="single"/>
        </w:rPr>
      </w:pPr>
    </w:p>
    <w:p w14:paraId="1DE48EFC">
      <w:pPr>
        <w:spacing w:line="480" w:lineRule="exact"/>
        <w:ind w:left="365" w:firstLine="840"/>
        <w:rPr>
          <w:rFonts w:hint="eastAsia" w:ascii="宋体" w:hAnsi="宋体" w:cs="宋体"/>
          <w:color w:val="auto"/>
          <w:szCs w:val="21"/>
          <w:highlight w:val="none"/>
        </w:rPr>
      </w:pPr>
      <w:r>
        <w:rPr>
          <w:rFonts w:hint="eastAsia" w:ascii="宋体" w:hAnsi="宋体" w:cs="宋体"/>
          <w:color w:val="auto"/>
          <w:szCs w:val="21"/>
          <w:highlight w:val="none"/>
          <w:lang w:bidi="ar"/>
        </w:rPr>
        <w:t>中标人法定代表人或委托代理人签字：</w:t>
      </w:r>
    </w:p>
    <w:p w14:paraId="29DE5713">
      <w:pPr>
        <w:spacing w:line="480" w:lineRule="exact"/>
        <w:rPr>
          <w:rFonts w:hint="eastAsia" w:ascii="宋体" w:hAnsi="宋体" w:cs="宋体"/>
          <w:color w:val="auto"/>
          <w:szCs w:val="21"/>
          <w:highlight w:val="none"/>
        </w:rPr>
      </w:pPr>
    </w:p>
    <w:p w14:paraId="004A48D4">
      <w:pPr>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中标人公章：</w:t>
      </w:r>
    </w:p>
    <w:p w14:paraId="35F28DA5">
      <w:pPr>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年月日</w:t>
      </w:r>
    </w:p>
    <w:p w14:paraId="445812C3">
      <w:pPr>
        <w:ind w:firstLine="602"/>
        <w:jc w:val="center"/>
        <w:outlineLvl w:val="9"/>
        <w:rPr>
          <w:rFonts w:hint="eastAsia" w:ascii="宋体" w:hAnsi="宋体" w:cs="宋体"/>
          <w:b/>
          <w:bCs/>
          <w:color w:val="auto"/>
          <w:szCs w:val="21"/>
          <w:highlight w:val="none"/>
        </w:rPr>
      </w:pPr>
    </w:p>
    <w:p w14:paraId="08FA4E8F">
      <w:pPr>
        <w:ind w:firstLine="602"/>
        <w:jc w:val="center"/>
        <w:outlineLvl w:val="9"/>
        <w:rPr>
          <w:rFonts w:hint="eastAsia" w:ascii="宋体" w:hAnsi="宋体" w:cs="宋体"/>
          <w:b/>
          <w:bCs/>
          <w:color w:val="auto"/>
          <w:szCs w:val="21"/>
          <w:highlight w:val="none"/>
        </w:rPr>
      </w:pPr>
    </w:p>
    <w:p w14:paraId="2EDD1E8B">
      <w:pPr>
        <w:ind w:firstLine="602"/>
        <w:jc w:val="center"/>
        <w:outlineLvl w:val="9"/>
        <w:rPr>
          <w:rFonts w:hint="eastAsia" w:ascii="宋体" w:hAnsi="宋体" w:cs="宋体"/>
          <w:b/>
          <w:bCs/>
          <w:color w:val="auto"/>
          <w:szCs w:val="21"/>
          <w:highlight w:val="none"/>
        </w:rPr>
      </w:pPr>
    </w:p>
    <w:p w14:paraId="086D279F">
      <w:pPr>
        <w:ind w:firstLine="602"/>
        <w:jc w:val="center"/>
        <w:outlineLvl w:val="9"/>
        <w:rPr>
          <w:rFonts w:hint="eastAsia" w:ascii="宋体" w:hAnsi="宋体" w:cs="宋体"/>
          <w:b/>
          <w:bCs/>
          <w:color w:val="auto"/>
          <w:szCs w:val="21"/>
          <w:highlight w:val="none"/>
        </w:rPr>
      </w:pPr>
    </w:p>
    <w:p w14:paraId="61216718">
      <w:pPr>
        <w:ind w:firstLine="602"/>
        <w:jc w:val="center"/>
        <w:outlineLvl w:val="9"/>
        <w:rPr>
          <w:rFonts w:hint="eastAsia" w:ascii="宋体" w:hAnsi="宋体" w:cs="宋体"/>
          <w:b/>
          <w:bCs/>
          <w:color w:val="auto"/>
          <w:szCs w:val="21"/>
          <w:highlight w:val="none"/>
        </w:rPr>
      </w:pPr>
    </w:p>
    <w:p w14:paraId="143B0621">
      <w:pPr>
        <w:ind w:firstLine="602"/>
        <w:jc w:val="center"/>
        <w:outlineLvl w:val="9"/>
        <w:rPr>
          <w:rFonts w:hint="eastAsia" w:ascii="宋体" w:hAnsi="宋体" w:cs="宋体"/>
          <w:b/>
          <w:bCs/>
          <w:color w:val="auto"/>
          <w:szCs w:val="21"/>
          <w:highlight w:val="none"/>
        </w:rPr>
      </w:pPr>
    </w:p>
    <w:p w14:paraId="239ACDE6">
      <w:pPr>
        <w:ind w:firstLine="602"/>
        <w:jc w:val="center"/>
        <w:outlineLvl w:val="9"/>
        <w:rPr>
          <w:rFonts w:hint="eastAsia" w:ascii="宋体" w:hAnsi="宋体" w:cs="宋体"/>
          <w:b/>
          <w:bCs/>
          <w:color w:val="auto"/>
          <w:szCs w:val="21"/>
          <w:highlight w:val="none"/>
        </w:rPr>
      </w:pPr>
    </w:p>
    <w:p w14:paraId="1C039CC9">
      <w:pPr>
        <w:ind w:firstLine="602"/>
        <w:jc w:val="center"/>
        <w:outlineLvl w:val="9"/>
        <w:rPr>
          <w:rFonts w:hint="eastAsia" w:ascii="宋体" w:hAnsi="宋体" w:cs="宋体"/>
          <w:b/>
          <w:bCs/>
          <w:color w:val="auto"/>
          <w:szCs w:val="21"/>
          <w:highlight w:val="none"/>
        </w:rPr>
      </w:pPr>
    </w:p>
    <w:p w14:paraId="378A0B28">
      <w:pPr>
        <w:ind w:firstLine="602"/>
        <w:jc w:val="center"/>
        <w:outlineLvl w:val="9"/>
        <w:rPr>
          <w:rFonts w:hint="eastAsia" w:ascii="宋体" w:hAnsi="宋体" w:cs="宋体"/>
          <w:b/>
          <w:bCs/>
          <w:color w:val="auto"/>
          <w:szCs w:val="21"/>
          <w:highlight w:val="none"/>
        </w:rPr>
      </w:pPr>
    </w:p>
    <w:p w14:paraId="36DAD8E7">
      <w:pPr>
        <w:ind w:firstLine="602"/>
        <w:jc w:val="center"/>
        <w:outlineLvl w:val="9"/>
        <w:rPr>
          <w:rFonts w:hint="eastAsia" w:ascii="宋体" w:hAnsi="宋体" w:cs="宋体"/>
          <w:b/>
          <w:bCs/>
          <w:color w:val="auto"/>
          <w:szCs w:val="21"/>
          <w:highlight w:val="none"/>
        </w:rPr>
      </w:pPr>
    </w:p>
    <w:p w14:paraId="587A8372">
      <w:pPr>
        <w:ind w:firstLine="602"/>
        <w:jc w:val="center"/>
        <w:outlineLvl w:val="9"/>
        <w:rPr>
          <w:rFonts w:hint="eastAsia" w:ascii="宋体" w:hAnsi="宋体" w:cs="宋体"/>
          <w:b/>
          <w:bCs/>
          <w:color w:val="auto"/>
          <w:szCs w:val="21"/>
          <w:highlight w:val="none"/>
        </w:rPr>
      </w:pPr>
    </w:p>
    <w:p w14:paraId="60CCF120">
      <w:pPr>
        <w:ind w:firstLine="602"/>
        <w:jc w:val="center"/>
        <w:outlineLvl w:val="9"/>
        <w:rPr>
          <w:rFonts w:hint="eastAsia" w:ascii="宋体" w:hAnsi="宋体" w:cs="宋体"/>
          <w:b/>
          <w:bCs/>
          <w:color w:val="auto"/>
          <w:szCs w:val="21"/>
          <w:highlight w:val="none"/>
        </w:rPr>
      </w:pPr>
    </w:p>
    <w:p w14:paraId="1E4309A8">
      <w:pPr>
        <w:ind w:firstLine="602"/>
        <w:jc w:val="center"/>
        <w:outlineLvl w:val="9"/>
        <w:rPr>
          <w:rFonts w:hint="eastAsia" w:ascii="宋体" w:hAnsi="宋体" w:cs="宋体"/>
          <w:b/>
          <w:bCs/>
          <w:color w:val="auto"/>
          <w:szCs w:val="21"/>
          <w:highlight w:val="none"/>
        </w:rPr>
      </w:pPr>
    </w:p>
    <w:p w14:paraId="1CC537A8">
      <w:pPr>
        <w:ind w:firstLine="602"/>
        <w:jc w:val="left"/>
        <w:outlineLvl w:val="9"/>
        <w:rPr>
          <w:rFonts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附件10：</w:t>
      </w:r>
    </w:p>
    <w:p w14:paraId="22B7ADE7">
      <w:pPr>
        <w:ind w:firstLine="602"/>
        <w:jc w:val="center"/>
        <w:outlineLvl w:val="0"/>
        <w:rPr>
          <w:rFonts w:ascii="宋体" w:hAnsi="宋体" w:cs="宋体"/>
          <w:b/>
          <w:color w:val="auto"/>
          <w:szCs w:val="21"/>
          <w:highlight w:val="none"/>
        </w:rPr>
      </w:pPr>
      <w:bookmarkStart w:id="679" w:name="_Toc28841"/>
      <w:r>
        <w:rPr>
          <w:rFonts w:hint="eastAsia" w:ascii="宋体" w:hAnsi="宋体" w:cs="宋体"/>
          <w:b/>
          <w:bCs/>
          <w:color w:val="auto"/>
          <w:szCs w:val="21"/>
          <w:highlight w:val="none"/>
        </w:rPr>
        <w:t>安全生产责任承诺书</w:t>
      </w:r>
      <w:bookmarkEnd w:id="679"/>
    </w:p>
    <w:p w14:paraId="4B8AD3A4">
      <w:pPr>
        <w:ind w:firstLine="560"/>
        <w:rPr>
          <w:rFonts w:ascii="宋体" w:hAnsi="宋体" w:cs="宋体"/>
          <w:color w:val="auto"/>
          <w:szCs w:val="21"/>
          <w:highlight w:val="none"/>
        </w:rPr>
      </w:pPr>
    </w:p>
    <w:p w14:paraId="43984196">
      <w:pPr>
        <w:rPr>
          <w:rFonts w:ascii="宋体" w:hAnsi="宋体" w:cs="宋体"/>
          <w:color w:val="auto"/>
          <w:szCs w:val="21"/>
          <w:highlight w:val="none"/>
        </w:rPr>
      </w:pPr>
      <w:r>
        <w:rPr>
          <w:rFonts w:hint="eastAsia" w:ascii="宋体" w:hAnsi="宋体" w:cs="宋体"/>
          <w:color w:val="auto"/>
          <w:szCs w:val="21"/>
          <w:highlight w:val="none"/>
          <w:lang w:val="en-US" w:eastAsia="zh-CN"/>
        </w:rPr>
        <w:t>致</w:t>
      </w:r>
      <w:r>
        <w:rPr>
          <w:rFonts w:hint="eastAsia" w:ascii="宋体" w:hAnsi="宋体" w:cs="宋体"/>
          <w:color w:val="auto"/>
          <w:szCs w:val="21"/>
          <w:highlight w:val="none"/>
        </w:rPr>
        <w:t>：</w:t>
      </w:r>
    </w:p>
    <w:p w14:paraId="656373BB">
      <w:pPr>
        <w:ind w:firstLine="480"/>
        <w:rPr>
          <w:rFonts w:ascii="宋体" w:hAnsi="宋体" w:cs="宋体"/>
          <w:color w:val="auto"/>
          <w:szCs w:val="21"/>
          <w:highlight w:val="none"/>
        </w:rPr>
      </w:pPr>
    </w:p>
    <w:p w14:paraId="6B77562F">
      <w:pPr>
        <w:spacing w:line="520" w:lineRule="exact"/>
        <w:ind w:firstLine="480"/>
        <w:rPr>
          <w:rFonts w:ascii="宋体" w:hAnsi="宋体" w:cs="宋体"/>
          <w:color w:val="auto"/>
          <w:szCs w:val="21"/>
          <w:highlight w:val="none"/>
        </w:rPr>
      </w:pPr>
      <w:r>
        <w:rPr>
          <w:rFonts w:hint="eastAsia" w:ascii="宋体" w:hAnsi="宋体" w:cs="宋体"/>
          <w:color w:val="auto"/>
          <w:szCs w:val="21"/>
          <w:highlight w:val="none"/>
        </w:rPr>
        <w:t>我单位在（项目名称）中有幸成交，承诺现场安全文明施工措施费必须全部用于本工程中，保证不发生重大人员伤亡事故，在此工程施工过程中所发生的一切工伤事故或安全事故，均由我单位承担一切责任。</w:t>
      </w:r>
    </w:p>
    <w:p w14:paraId="65EE1D0A">
      <w:pPr>
        <w:spacing w:line="520" w:lineRule="exact"/>
        <w:ind w:firstLine="480"/>
        <w:rPr>
          <w:rFonts w:ascii="宋体" w:hAnsi="宋体" w:cs="宋体"/>
          <w:color w:val="auto"/>
          <w:szCs w:val="21"/>
          <w:highlight w:val="none"/>
        </w:rPr>
      </w:pPr>
    </w:p>
    <w:p w14:paraId="6022A9FC">
      <w:pPr>
        <w:spacing w:line="520" w:lineRule="exact"/>
        <w:ind w:firstLine="480"/>
        <w:rPr>
          <w:rFonts w:ascii="宋体" w:hAnsi="宋体" w:cs="宋体"/>
          <w:color w:val="auto"/>
          <w:szCs w:val="21"/>
          <w:highlight w:val="none"/>
        </w:rPr>
      </w:pPr>
    </w:p>
    <w:p w14:paraId="56D53219">
      <w:pPr>
        <w:spacing w:line="520" w:lineRule="exact"/>
        <w:ind w:firstLine="500"/>
        <w:rPr>
          <w:rFonts w:hint="eastAsia" w:ascii="宋体" w:hAnsi="宋体" w:eastAsia="宋体" w:cs="宋体"/>
          <w:bCs/>
          <w:color w:val="auto"/>
          <w:spacing w:val="5"/>
          <w:szCs w:val="21"/>
          <w:highlight w:val="none"/>
          <w:u w:val="single"/>
          <w:lang w:eastAsia="zh-CN"/>
        </w:rPr>
      </w:pPr>
    </w:p>
    <w:p w14:paraId="70C35A32">
      <w:pPr>
        <w:spacing w:line="520" w:lineRule="exact"/>
        <w:ind w:firstLine="500"/>
        <w:rPr>
          <w:rFonts w:ascii="宋体" w:hAnsi="宋体" w:cs="宋体"/>
          <w:bCs/>
          <w:color w:val="auto"/>
          <w:spacing w:val="5"/>
          <w:szCs w:val="21"/>
          <w:highlight w:val="none"/>
          <w:u w:val="single"/>
        </w:rPr>
      </w:pPr>
      <w:r>
        <w:rPr>
          <w:rFonts w:hint="eastAsia" w:ascii="宋体" w:hAnsi="宋体" w:cs="宋体"/>
          <w:bCs/>
          <w:color w:val="auto"/>
          <w:spacing w:val="5"/>
          <w:szCs w:val="21"/>
          <w:highlight w:val="none"/>
        </w:rPr>
        <w:t>法定代表人（签字）：</w:t>
      </w:r>
    </w:p>
    <w:p w14:paraId="6601C5A5">
      <w:pPr>
        <w:spacing w:line="520" w:lineRule="exact"/>
        <w:ind w:firstLine="500"/>
        <w:rPr>
          <w:rFonts w:hint="eastAsia" w:ascii="宋体" w:hAnsi="宋体" w:eastAsia="宋体" w:cs="宋体"/>
          <w:bCs/>
          <w:color w:val="auto"/>
          <w:spacing w:val="5"/>
          <w:szCs w:val="21"/>
          <w:highlight w:val="none"/>
          <w:lang w:val="en-US" w:eastAsia="zh-CN"/>
        </w:rPr>
      </w:pPr>
    </w:p>
    <w:p w14:paraId="3B9FEC66">
      <w:pPr>
        <w:spacing w:line="520" w:lineRule="exact"/>
        <w:ind w:firstLine="6342"/>
        <w:rPr>
          <w:rFonts w:hint="eastAsia" w:ascii="宋体" w:hAnsi="宋体" w:cs="宋体"/>
          <w:bCs/>
          <w:color w:val="auto"/>
          <w:spacing w:val="5"/>
          <w:szCs w:val="21"/>
          <w:highlight w:val="none"/>
        </w:rPr>
      </w:pPr>
      <w:r>
        <w:rPr>
          <w:rFonts w:hint="eastAsia" w:ascii="宋体" w:hAnsi="宋体" w:cs="宋体"/>
          <w:bCs/>
          <w:color w:val="auto"/>
          <w:spacing w:val="5"/>
          <w:szCs w:val="21"/>
          <w:highlight w:val="none"/>
        </w:rPr>
        <w:t>承诺单位（盖章）：</w:t>
      </w:r>
    </w:p>
    <w:p w14:paraId="694C7579">
      <w:pPr>
        <w:spacing w:line="520" w:lineRule="exact"/>
        <w:ind w:firstLine="6092"/>
        <w:rPr>
          <w:rFonts w:ascii="宋体" w:hAnsi="宋体" w:cs="宋体"/>
          <w:bCs/>
          <w:color w:val="auto"/>
          <w:spacing w:val="5"/>
          <w:szCs w:val="21"/>
          <w:highlight w:val="none"/>
        </w:rPr>
      </w:pPr>
      <w:r>
        <w:rPr>
          <w:rFonts w:hint="eastAsia" w:ascii="宋体" w:hAnsi="宋体" w:cs="宋体"/>
          <w:bCs/>
          <w:color w:val="auto"/>
          <w:spacing w:val="5"/>
          <w:szCs w:val="21"/>
          <w:highlight w:val="none"/>
        </w:rPr>
        <w:t>日期：年月日</w:t>
      </w:r>
    </w:p>
    <w:p w14:paraId="2950C7F9">
      <w:pPr>
        <w:spacing w:line="520" w:lineRule="exact"/>
        <w:rPr>
          <w:rFonts w:ascii="宋体" w:hAnsi="宋体" w:cs="宋体"/>
          <w:color w:val="auto"/>
          <w:highlight w:val="none"/>
        </w:rPr>
        <w:sectPr>
          <w:footerReference r:id="rId9" w:type="default"/>
          <w:pgSz w:w="11906" w:h="16838"/>
          <w:pgMar w:top="1134" w:right="1417" w:bottom="1134" w:left="1417" w:header="851" w:footer="828" w:gutter="0"/>
          <w:cols w:space="1701" w:num="1"/>
          <w:docGrid w:linePitch="360" w:charSpace="0"/>
        </w:sectPr>
      </w:pPr>
    </w:p>
    <w:p w14:paraId="0E6B4676">
      <w:pPr>
        <w:ind w:left="0" w:firstLine="0"/>
        <w:outlineLvl w:val="0"/>
        <w:rPr>
          <w:rFonts w:ascii="宋体" w:hAnsi="宋体" w:cs="宋体"/>
          <w:b/>
          <w:bCs/>
          <w:color w:val="auto"/>
          <w:szCs w:val="21"/>
          <w:highlight w:val="none"/>
        </w:rPr>
      </w:pPr>
      <w:bookmarkStart w:id="680" w:name="_Toc29282"/>
      <w:r>
        <w:rPr>
          <w:rFonts w:hint="eastAsia" w:ascii="宋体" w:hAnsi="宋体" w:cs="宋体"/>
          <w:color w:val="auto"/>
          <w:highlight w:val="none"/>
        </w:rPr>
        <w:t>附件</w:t>
      </w:r>
      <w:r>
        <w:rPr>
          <w:rFonts w:hint="eastAsia" w:ascii="宋体" w:hAnsi="宋体" w:cs="宋体"/>
          <w:color w:val="auto"/>
          <w:highlight w:val="none"/>
          <w:lang w:val="en-US" w:eastAsia="zh-CN"/>
        </w:rPr>
        <w:t>11</w:t>
      </w:r>
      <w:r>
        <w:rPr>
          <w:rFonts w:hint="eastAsia" w:ascii="宋体" w:hAnsi="宋体" w:cs="宋体"/>
          <w:color w:val="auto"/>
          <w:highlight w:val="none"/>
        </w:rPr>
        <w:t>：</w:t>
      </w:r>
      <w:bookmarkEnd w:id="680"/>
    </w:p>
    <w:p w14:paraId="71E0316A">
      <w:pPr>
        <w:jc w:val="center"/>
        <w:rPr>
          <w:rFonts w:ascii="宋体" w:hAnsi="宋体" w:cs="宋体"/>
          <w:b/>
          <w:bCs/>
          <w:color w:val="auto"/>
          <w:szCs w:val="21"/>
          <w:highlight w:val="none"/>
        </w:rPr>
      </w:pPr>
      <w:r>
        <w:rPr>
          <w:rFonts w:hint="eastAsia" w:ascii="宋体" w:hAnsi="宋体" w:cs="宋体"/>
          <w:b/>
          <w:bCs/>
          <w:color w:val="auto"/>
          <w:szCs w:val="21"/>
          <w:highlight w:val="none"/>
        </w:rPr>
        <w:t>成交供应商诚信承诺书</w:t>
      </w:r>
    </w:p>
    <w:p w14:paraId="19D7007A">
      <w:pPr>
        <w:spacing w:line="240" w:lineRule="exact"/>
        <w:ind w:firstLine="2648"/>
        <w:rPr>
          <w:rFonts w:ascii="宋体" w:hAnsi="宋体" w:cs="宋体"/>
          <w:b/>
          <w:color w:val="auto"/>
          <w:sz w:val="44"/>
          <w:szCs w:val="44"/>
          <w:highlight w:val="none"/>
        </w:rPr>
      </w:pPr>
    </w:p>
    <w:p w14:paraId="5E3615E2">
      <w:pPr>
        <w:spacing w:line="520" w:lineRule="exact"/>
        <w:ind w:firstLine="480"/>
        <w:jc w:val="left"/>
        <w:rPr>
          <w:rFonts w:ascii="宋体" w:hAnsi="宋体" w:cs="宋体"/>
          <w:color w:val="auto"/>
          <w:highlight w:val="none"/>
        </w:rPr>
      </w:pPr>
      <w:r>
        <w:rPr>
          <w:rFonts w:hint="eastAsia" w:ascii="宋体" w:hAnsi="宋体" w:cs="宋体"/>
          <w:color w:val="auto"/>
          <w:highlight w:val="none"/>
        </w:rPr>
        <w:t>我单位系，作为</w:t>
      </w:r>
      <w:r>
        <w:rPr>
          <w:rFonts w:hint="eastAsia" w:ascii="宋体" w:hAnsi="宋体" w:cs="宋体"/>
          <w:color w:val="auto"/>
          <w:highlight w:val="none"/>
          <w:u w:val="single"/>
        </w:rPr>
        <w:t>（</w:t>
      </w:r>
      <w:r>
        <w:rPr>
          <w:rFonts w:hint="eastAsia" w:ascii="宋体" w:hAnsi="宋体" w:cs="宋体"/>
          <w:color w:val="auto"/>
          <w:highlight w:val="none"/>
        </w:rPr>
        <w:t>采购人）的（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p>
    <w:p w14:paraId="5705B274">
      <w:pPr>
        <w:spacing w:line="520" w:lineRule="exact"/>
        <w:ind w:left="240" w:hanging="240"/>
        <w:rPr>
          <w:rFonts w:ascii="宋体" w:hAnsi="宋体" w:cs="宋体"/>
          <w:color w:val="auto"/>
          <w:highlight w:val="none"/>
        </w:rPr>
      </w:pPr>
    </w:p>
    <w:p w14:paraId="69643CB5">
      <w:pPr>
        <w:spacing w:line="520" w:lineRule="exact"/>
        <w:rPr>
          <w:rFonts w:ascii="宋体" w:hAnsi="宋体" w:cs="宋体"/>
          <w:color w:val="auto"/>
          <w:highlight w:val="none"/>
          <w:u w:val="single"/>
        </w:rPr>
      </w:pPr>
      <w:r>
        <w:rPr>
          <w:rFonts w:hint="eastAsia" w:ascii="宋体" w:hAnsi="宋体" w:cs="宋体"/>
          <w:color w:val="auto"/>
          <w:highlight w:val="none"/>
        </w:rPr>
        <w:t>项目负责人（签字）：</w:t>
      </w:r>
    </w:p>
    <w:p w14:paraId="060A7EF6">
      <w:pPr>
        <w:spacing w:line="520" w:lineRule="exact"/>
        <w:ind w:firstLine="2520"/>
        <w:rPr>
          <w:rFonts w:ascii="宋体" w:hAnsi="宋体" w:cs="宋体"/>
          <w:color w:val="auto"/>
          <w:highlight w:val="none"/>
        </w:rPr>
      </w:pPr>
      <w:r>
        <w:rPr>
          <w:rFonts w:hint="eastAsia" w:ascii="宋体" w:hAnsi="宋体" w:cs="宋体"/>
          <w:color w:val="auto"/>
          <w:highlight w:val="none"/>
        </w:rPr>
        <w:t>法定代表人（签字）：</w:t>
      </w:r>
    </w:p>
    <w:p w14:paraId="24C6C61D">
      <w:pPr>
        <w:spacing w:line="520" w:lineRule="exact"/>
        <w:ind w:firstLine="480"/>
        <w:rPr>
          <w:rFonts w:ascii="宋体" w:hAnsi="宋体" w:cs="宋体"/>
          <w:color w:val="auto"/>
          <w:highlight w:val="none"/>
        </w:rPr>
      </w:pPr>
    </w:p>
    <w:p w14:paraId="28283AB6">
      <w:pPr>
        <w:spacing w:line="520" w:lineRule="exact"/>
        <w:ind w:firstLine="480"/>
        <w:rPr>
          <w:rFonts w:hint="eastAsia" w:ascii="宋体" w:hAnsi="宋体" w:cs="宋体"/>
          <w:bCs/>
          <w:color w:val="auto"/>
          <w:spacing w:val="5"/>
          <w:szCs w:val="21"/>
          <w:highlight w:val="none"/>
        </w:rPr>
      </w:pPr>
      <w:r>
        <w:rPr>
          <w:rFonts w:hint="eastAsia" w:ascii="宋体" w:hAnsi="宋体" w:cs="宋体"/>
          <w:bCs/>
          <w:color w:val="auto"/>
          <w:spacing w:val="5"/>
          <w:szCs w:val="21"/>
          <w:highlight w:val="none"/>
        </w:rPr>
        <w:t>承诺单位（盖章）：</w:t>
      </w:r>
    </w:p>
    <w:p w14:paraId="4E58A75C">
      <w:pPr>
        <w:spacing w:line="520" w:lineRule="exact"/>
        <w:ind w:firstLine="480"/>
        <w:rPr>
          <w:rFonts w:hint="eastAsia" w:ascii="宋体" w:hAnsi="宋体" w:cs="宋体"/>
          <w:color w:val="auto"/>
          <w:highlight w:val="none"/>
        </w:rPr>
      </w:pPr>
      <w:r>
        <w:rPr>
          <w:rFonts w:hint="eastAsia" w:ascii="宋体" w:hAnsi="宋体" w:cs="宋体"/>
          <w:color w:val="auto"/>
          <w:highlight w:val="none"/>
          <w:lang w:val="en-US" w:eastAsia="zh-CN"/>
        </w:rPr>
        <w:t>日期：</w:t>
      </w:r>
      <w:r>
        <w:rPr>
          <w:rFonts w:hint="eastAsia" w:ascii="宋体" w:hAnsi="宋体" w:cs="宋体"/>
          <w:color w:val="auto"/>
          <w:highlight w:val="none"/>
        </w:rPr>
        <w:t>年月日</w:t>
      </w:r>
    </w:p>
    <w:p w14:paraId="4F3665BC">
      <w:pPr>
        <w:spacing w:line="520" w:lineRule="exact"/>
        <w:ind w:firstLine="480"/>
        <w:rPr>
          <w:rFonts w:hint="eastAsia" w:ascii="宋体" w:hAnsi="宋体" w:cs="宋体"/>
          <w:color w:val="auto"/>
          <w:highlight w:val="none"/>
        </w:rPr>
      </w:pPr>
    </w:p>
    <w:p w14:paraId="5A61AEBC">
      <w:pPr>
        <w:spacing w:line="520" w:lineRule="exact"/>
        <w:ind w:firstLine="480"/>
        <w:rPr>
          <w:rFonts w:hint="eastAsia" w:ascii="宋体" w:hAnsi="宋体" w:cs="宋体"/>
          <w:color w:val="auto"/>
          <w:highlight w:val="none"/>
        </w:rPr>
      </w:pPr>
    </w:p>
    <w:p w14:paraId="6F9A0EE8">
      <w:pPr>
        <w:spacing w:line="520" w:lineRule="exact"/>
        <w:ind w:firstLine="480"/>
        <w:rPr>
          <w:rFonts w:hint="eastAsia" w:ascii="宋体" w:hAnsi="宋体" w:cs="宋体"/>
          <w:color w:val="auto"/>
          <w:highlight w:val="none"/>
        </w:rPr>
      </w:pPr>
    </w:p>
    <w:p w14:paraId="4A1458EF">
      <w:pPr>
        <w:spacing w:line="520" w:lineRule="exact"/>
        <w:ind w:firstLine="480"/>
        <w:rPr>
          <w:rFonts w:hint="eastAsia" w:ascii="宋体" w:hAnsi="宋体" w:cs="宋体"/>
          <w:color w:val="auto"/>
          <w:highlight w:val="none"/>
        </w:rPr>
      </w:pPr>
    </w:p>
    <w:p w14:paraId="73BF0DB6">
      <w:pPr>
        <w:spacing w:line="520" w:lineRule="exact"/>
        <w:ind w:firstLine="480"/>
        <w:rPr>
          <w:rFonts w:hint="eastAsia" w:ascii="宋体" w:hAnsi="宋体" w:cs="宋体"/>
          <w:color w:val="auto"/>
          <w:highlight w:val="none"/>
        </w:rPr>
      </w:pPr>
    </w:p>
    <w:p w14:paraId="274E8F3D">
      <w:pPr>
        <w:spacing w:line="520" w:lineRule="exact"/>
        <w:ind w:firstLine="480"/>
        <w:rPr>
          <w:rFonts w:hint="eastAsia" w:ascii="宋体" w:hAnsi="宋体" w:cs="宋体"/>
          <w:color w:val="auto"/>
          <w:highlight w:val="none"/>
        </w:rPr>
      </w:pPr>
    </w:p>
    <w:p w14:paraId="5DFFB59F">
      <w:pPr>
        <w:spacing w:line="520" w:lineRule="exact"/>
        <w:ind w:firstLine="480"/>
        <w:rPr>
          <w:rFonts w:hint="eastAsia" w:ascii="宋体" w:hAnsi="宋体" w:cs="宋体"/>
          <w:color w:val="auto"/>
          <w:highlight w:val="none"/>
        </w:rPr>
      </w:pPr>
    </w:p>
    <w:p w14:paraId="2EAC76E6">
      <w:pPr>
        <w:spacing w:line="520" w:lineRule="exact"/>
        <w:ind w:firstLine="480"/>
        <w:rPr>
          <w:rFonts w:hint="eastAsia" w:ascii="宋体" w:hAnsi="宋体" w:cs="宋体"/>
          <w:color w:val="auto"/>
          <w:highlight w:val="none"/>
        </w:rPr>
      </w:pPr>
    </w:p>
    <w:p w14:paraId="63949C6B">
      <w:pPr>
        <w:spacing w:line="520" w:lineRule="exact"/>
        <w:ind w:firstLine="480"/>
        <w:rPr>
          <w:rFonts w:hint="eastAsia" w:ascii="宋体" w:hAnsi="宋体" w:cs="宋体"/>
          <w:color w:val="auto"/>
          <w:highlight w:val="none"/>
        </w:rPr>
      </w:pPr>
    </w:p>
    <w:p w14:paraId="70E13871">
      <w:pPr>
        <w:spacing w:line="520" w:lineRule="exact"/>
        <w:ind w:firstLine="480"/>
        <w:rPr>
          <w:rFonts w:hint="eastAsia" w:ascii="宋体" w:hAnsi="宋体" w:cs="宋体"/>
          <w:color w:val="auto"/>
          <w:highlight w:val="none"/>
        </w:rPr>
      </w:pPr>
    </w:p>
    <w:p w14:paraId="2AACC894">
      <w:pPr>
        <w:spacing w:line="440" w:lineRule="exact"/>
        <w:ind w:left="0" w:firstLine="0"/>
        <w:jc w:val="left"/>
        <w:rPr>
          <w:rFonts w:ascii="宋体" w:hAnsi="宋体" w:eastAsia="宋体" w:cs="宋体"/>
          <w:color w:val="auto"/>
          <w:sz w:val="21"/>
          <w:szCs w:val="21"/>
          <w:highlight w:val="none"/>
          <w:lang w:val="en-US" w:eastAsia="zh-CN"/>
        </w:rPr>
      </w:pPr>
    </w:p>
    <w:p w14:paraId="09B390F1">
      <w:pPr>
        <w:spacing w:line="440" w:lineRule="exact"/>
        <w:ind w:left="0" w:firstLine="0"/>
        <w:jc w:val="left"/>
        <w:rPr>
          <w:rFonts w:ascii="宋体" w:hAnsi="宋体" w:eastAsia="宋体" w:cs="宋体"/>
          <w:color w:val="auto"/>
          <w:sz w:val="21"/>
          <w:szCs w:val="21"/>
          <w:highlight w:val="none"/>
          <w:lang w:val="en-US" w:eastAsia="zh-CN"/>
        </w:rPr>
      </w:pPr>
    </w:p>
    <w:p w14:paraId="4D1ADE5C">
      <w:pPr>
        <w:rPr>
          <w:rFonts w:hint="eastAsia" w:ascii="宋体" w:hAnsi="宋体" w:cs="宋体"/>
          <w:color w:val="auto"/>
          <w:highlight w:val="none"/>
        </w:rPr>
      </w:pPr>
      <w:bookmarkStart w:id="681" w:name="_Toc32603"/>
      <w:r>
        <w:rPr>
          <w:rFonts w:hint="eastAsia" w:ascii="宋体" w:hAnsi="宋体" w:cs="宋体"/>
          <w:color w:val="auto"/>
          <w:highlight w:val="none"/>
        </w:rPr>
        <w:br w:type="page" w:clear="all"/>
      </w:r>
    </w:p>
    <w:p w14:paraId="06AFD1D7">
      <w:pPr>
        <w:ind w:left="0" w:firstLine="0"/>
        <w:outlineLvl w:val="0"/>
        <w:rPr>
          <w:rFonts w:ascii="宋体" w:hAnsi="宋体" w:eastAsia="宋体" w:cs="宋体"/>
          <w:color w:val="auto"/>
          <w:highlight w:val="none"/>
          <w:lang w:val="en-US" w:eastAsia="zh-CN"/>
        </w:rPr>
      </w:pPr>
      <w:r>
        <w:rPr>
          <w:rFonts w:hint="eastAsia" w:ascii="宋体" w:hAnsi="宋体" w:cs="宋体"/>
          <w:color w:val="auto"/>
          <w:highlight w:val="none"/>
        </w:rPr>
        <w:t>附件</w:t>
      </w:r>
      <w:r>
        <w:rPr>
          <w:rFonts w:hint="eastAsia" w:ascii="宋体" w:hAnsi="宋体" w:cs="宋体"/>
          <w:color w:val="auto"/>
          <w:highlight w:val="none"/>
          <w:lang w:val="en-US" w:eastAsia="zh-CN"/>
        </w:rPr>
        <w:t>12：</w:t>
      </w:r>
      <w:bookmarkEnd w:id="681"/>
    </w:p>
    <w:p w14:paraId="7843BB0B">
      <w:pPr>
        <w:spacing w:line="440" w:lineRule="exact"/>
        <w:jc w:val="left"/>
        <w:rPr>
          <w:rFonts w:hint="eastAsia" w:ascii="宋体" w:hAnsi="宋体" w:eastAsia="宋体" w:cs="宋体"/>
          <w:color w:val="auto"/>
          <w:sz w:val="21"/>
          <w:szCs w:val="21"/>
          <w:highlight w:val="none"/>
          <w:lang w:val="en-US" w:eastAsia="zh-CN"/>
        </w:rPr>
      </w:pPr>
    </w:p>
    <w:p w14:paraId="1EBAB2D8">
      <w:pPr>
        <w:spacing w:line="300" w:lineRule="auto"/>
        <w:jc w:val="center"/>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rPr>
        <w:t>项目周边成品保护</w:t>
      </w:r>
      <w:r>
        <w:rPr>
          <w:rFonts w:hint="eastAsia" w:ascii="宋体" w:hAnsi="宋体" w:cs="宋体"/>
          <w:b/>
          <w:bCs/>
          <w:color w:val="auto"/>
          <w:sz w:val="21"/>
          <w:szCs w:val="21"/>
          <w:highlight w:val="none"/>
          <w:lang w:val="en-US" w:eastAsia="zh-CN"/>
        </w:rPr>
        <w:t>承诺书</w:t>
      </w:r>
    </w:p>
    <w:p w14:paraId="15A1DD89">
      <w:pPr>
        <w:rPr>
          <w:rFonts w:hint="eastAsia" w:ascii="宋体" w:hAnsi="宋体" w:eastAsia="宋体" w:cs="宋体"/>
          <w:color w:val="auto"/>
          <w:sz w:val="21"/>
          <w:szCs w:val="21"/>
          <w:highlight w:val="none"/>
        </w:rPr>
      </w:pPr>
    </w:p>
    <w:p w14:paraId="1B6318E3">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450E2638">
      <w:pPr>
        <w:spacing w:line="240" w:lineRule="exact"/>
        <w:rPr>
          <w:rFonts w:hint="eastAsia" w:ascii="宋体" w:hAnsi="宋体" w:eastAsia="宋体" w:cs="宋体"/>
          <w:color w:val="auto"/>
          <w:sz w:val="21"/>
          <w:szCs w:val="21"/>
          <w:highlight w:val="none"/>
        </w:rPr>
      </w:pPr>
    </w:p>
    <w:p w14:paraId="3B61F0A5">
      <w:pPr>
        <w:spacing w:line="52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我单位在项目投标中有幸中标，</w:t>
      </w:r>
      <w:r>
        <w:rPr>
          <w:rFonts w:hint="eastAsia" w:ascii="宋体" w:hAnsi="宋体" w:cs="宋体"/>
          <w:color w:val="auto"/>
          <w:sz w:val="21"/>
          <w:szCs w:val="21"/>
          <w:highlight w:val="none"/>
          <w:lang w:val="en-US" w:eastAsia="zh-CN"/>
        </w:rPr>
        <w:t>现承诺</w:t>
      </w:r>
      <w:r>
        <w:rPr>
          <w:rFonts w:hint="eastAsia" w:ascii="宋体" w:hAnsi="宋体" w:eastAsia="宋体" w:cs="宋体"/>
          <w:color w:val="auto"/>
          <w:sz w:val="21"/>
          <w:szCs w:val="21"/>
          <w:highlight w:val="none"/>
        </w:rPr>
        <w:t>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p>
    <w:p w14:paraId="4C67314A">
      <w:pPr>
        <w:spacing w:line="520" w:lineRule="exact"/>
        <w:ind w:firstLine="480"/>
        <w:rPr>
          <w:rFonts w:hint="eastAsia" w:ascii="宋体" w:hAnsi="宋体" w:eastAsia="宋体" w:cs="宋体"/>
          <w:color w:val="auto"/>
          <w:sz w:val="21"/>
          <w:szCs w:val="21"/>
          <w:highlight w:val="none"/>
        </w:rPr>
      </w:pPr>
    </w:p>
    <w:p w14:paraId="232753F6">
      <w:pPr>
        <w:spacing w:line="520" w:lineRule="exact"/>
        <w:ind w:firstLine="5514"/>
        <w:rPr>
          <w:rFonts w:hint="eastAsia" w:ascii="宋体" w:hAnsi="宋体" w:cs="宋体"/>
          <w:color w:val="auto"/>
          <w:sz w:val="21"/>
          <w:szCs w:val="21"/>
          <w:highlight w:val="none"/>
          <w:lang w:val="en-US" w:eastAsia="zh-CN"/>
        </w:rPr>
      </w:pPr>
    </w:p>
    <w:p w14:paraId="3C4A4418">
      <w:pPr>
        <w:spacing w:line="520" w:lineRule="exact"/>
        <w:ind w:firstLine="5514"/>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法定代表人（签字）：</w:t>
      </w:r>
    </w:p>
    <w:p w14:paraId="2DE5498E">
      <w:pPr>
        <w:spacing w:line="520" w:lineRule="exact"/>
        <w:ind w:firstLine="5514"/>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承诺</w:t>
      </w:r>
      <w:r>
        <w:rPr>
          <w:rFonts w:hint="eastAsia" w:ascii="宋体" w:hAnsi="宋体" w:eastAsia="宋体" w:cs="宋体"/>
          <w:color w:val="auto"/>
          <w:sz w:val="21"/>
          <w:szCs w:val="21"/>
          <w:highlight w:val="none"/>
        </w:rPr>
        <w:t>单位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盖章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68E98D6">
      <w:pPr>
        <w:spacing w:line="520" w:lineRule="exact"/>
        <w:ind w:firstLine="5304"/>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日期：</w:t>
      </w:r>
      <w:r>
        <w:rPr>
          <w:rFonts w:hint="eastAsia" w:ascii="宋体" w:hAnsi="宋体" w:cs="宋体"/>
          <w:color w:val="auto"/>
          <w:sz w:val="21"/>
          <w:szCs w:val="21"/>
          <w:highlight w:val="none"/>
          <w:lang w:val="en-US" w:eastAsia="zh-CN"/>
        </w:rPr>
        <w:t>年月日</w:t>
      </w:r>
    </w:p>
    <w:p w14:paraId="69AC3829">
      <w:pPr>
        <w:rPr>
          <w:rFonts w:hint="eastAsia" w:ascii="宋体" w:hAnsi="宋体" w:eastAsia="宋体" w:cs="宋体"/>
          <w:color w:val="auto"/>
          <w:sz w:val="21"/>
          <w:szCs w:val="21"/>
          <w:highlight w:val="none"/>
        </w:rPr>
      </w:pPr>
    </w:p>
    <w:p w14:paraId="243B6EFD">
      <w:pPr>
        <w:pStyle w:val="561"/>
        <w:rPr>
          <w:rFonts w:hint="eastAsia" w:ascii="宋体" w:hAnsi="宋体" w:eastAsia="宋体" w:cs="宋体"/>
          <w:color w:val="auto"/>
          <w:sz w:val="21"/>
          <w:szCs w:val="21"/>
          <w:highlight w:val="none"/>
        </w:rPr>
      </w:pPr>
    </w:p>
    <w:p w14:paraId="546F644C">
      <w:pPr>
        <w:pStyle w:val="561"/>
        <w:rPr>
          <w:rFonts w:hint="eastAsia" w:ascii="宋体" w:hAnsi="宋体" w:eastAsia="宋体" w:cs="宋体"/>
          <w:color w:val="auto"/>
          <w:sz w:val="21"/>
          <w:szCs w:val="21"/>
          <w:highlight w:val="none"/>
        </w:rPr>
      </w:pPr>
    </w:p>
    <w:p w14:paraId="6831440B">
      <w:pPr>
        <w:spacing w:line="520" w:lineRule="exact"/>
        <w:ind w:firstLine="480"/>
        <w:rPr>
          <w:rFonts w:hint="eastAsia" w:ascii="宋体" w:hAnsi="宋体" w:cs="宋体"/>
          <w:color w:val="auto"/>
          <w:highlight w:val="none"/>
        </w:rPr>
      </w:pPr>
    </w:p>
    <w:p w14:paraId="54C73E9B">
      <w:pPr>
        <w:pStyle w:val="2"/>
        <w:numPr>
          <w:ilvl w:val="0"/>
          <w:numId w:val="1"/>
        </w:numPr>
        <w:ind w:left="0" w:firstLine="0"/>
        <w:jc w:val="center"/>
        <w:rPr>
          <w:rFonts w:hint="eastAsia" w:ascii="宋体" w:hAnsi="宋体" w:cs="宋体"/>
          <w:b/>
          <w:bCs/>
          <w:color w:val="auto"/>
          <w:sz w:val="44"/>
          <w:szCs w:val="44"/>
          <w:highlight w:val="none"/>
          <w:lang w:val="en-US" w:eastAsia="zh-CN"/>
        </w:rPr>
      </w:pPr>
      <w:r>
        <w:rPr>
          <w:rFonts w:hint="eastAsia" w:ascii="宋体" w:hAnsi="宋体" w:cs="宋体"/>
          <w:color w:val="auto"/>
          <w:highlight w:val="none"/>
        </w:rPr>
        <w:br w:type="page" w:clear="all"/>
      </w:r>
      <w:bookmarkEnd w:id="90"/>
      <w:bookmarkEnd w:id="91"/>
      <w:bookmarkEnd w:id="92"/>
      <w:bookmarkEnd w:id="93"/>
      <w:bookmarkEnd w:id="94"/>
      <w:bookmarkEnd w:id="95"/>
      <w:bookmarkStart w:id="682" w:name="_Toc14833"/>
      <w:r>
        <w:rPr>
          <w:rFonts w:hint="eastAsia" w:ascii="宋体" w:hAnsi="宋体" w:cs="宋体"/>
          <w:b/>
          <w:bCs/>
          <w:color w:val="auto"/>
          <w:sz w:val="44"/>
          <w:szCs w:val="44"/>
          <w:highlight w:val="none"/>
          <w:lang w:val="en-US" w:eastAsia="zh-CN"/>
        </w:rPr>
        <w:t>项目需求</w:t>
      </w:r>
      <w:bookmarkEnd w:id="682"/>
    </w:p>
    <w:p w14:paraId="37406066">
      <w:pPr>
        <w:keepNext w:val="0"/>
        <w:keepLines w:val="0"/>
        <w:pageBreakBefore w:val="0"/>
        <w:widowControl w:val="0"/>
        <w:numPr>
          <w:ilvl w:val="0"/>
          <w:numId w:val="0"/>
        </w:numPr>
        <w:spacing w:line="348"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说明：本项目采购方式为竞争性磋商，项目属性为</w:t>
      </w:r>
      <w:r>
        <w:rPr>
          <w:rFonts w:hint="eastAsia" w:ascii="宋体" w:hAnsi="宋体" w:eastAsia="宋体" w:cs="宋体"/>
          <w:b/>
          <w:color w:val="auto"/>
          <w:sz w:val="24"/>
          <w:szCs w:val="24"/>
          <w:highlight w:val="none"/>
          <w:u w:val="single"/>
        </w:rPr>
        <w:t>工程</w:t>
      </w:r>
      <w:r>
        <w:rPr>
          <w:rFonts w:hint="eastAsia" w:ascii="宋体" w:hAnsi="宋体" w:eastAsia="宋体" w:cs="宋体"/>
          <w:b/>
          <w:color w:val="auto"/>
          <w:sz w:val="24"/>
          <w:szCs w:val="24"/>
          <w:highlight w:val="none"/>
        </w:rPr>
        <w:t>，采购标的对应的中小企业划分标准所属行业为</w:t>
      </w:r>
      <w:r>
        <w:rPr>
          <w:rFonts w:hint="eastAsia" w:ascii="宋体" w:hAnsi="宋体" w:eastAsia="宋体" w:cs="宋体"/>
          <w:b/>
          <w:color w:val="auto"/>
          <w:sz w:val="24"/>
          <w:szCs w:val="24"/>
          <w:highlight w:val="none"/>
          <w:u w:val="single"/>
        </w:rPr>
        <w:t>　</w:t>
      </w:r>
      <w:r>
        <w:rPr>
          <w:rFonts w:hint="eastAsia" w:ascii="宋体" w:hAnsi="宋体" w:eastAsia="宋体" w:cs="宋体"/>
          <w:b/>
          <w:bCs/>
          <w:color w:val="auto"/>
          <w:sz w:val="24"/>
          <w:szCs w:val="24"/>
          <w:highlight w:val="none"/>
          <w:u w:val="single"/>
          <w:lang w:bidi="ar"/>
        </w:rPr>
        <w:t>建筑业</w:t>
      </w:r>
      <w:r>
        <w:rPr>
          <w:rFonts w:hint="eastAsia" w:ascii="宋体" w:hAnsi="宋体" w:eastAsia="宋体" w:cs="宋体"/>
          <w:b/>
          <w:color w:val="auto"/>
          <w:sz w:val="24"/>
          <w:szCs w:val="24"/>
          <w:highlight w:val="none"/>
          <w:u w:val="single"/>
        </w:rPr>
        <w:t>　</w:t>
      </w:r>
      <w:r>
        <w:rPr>
          <w:rFonts w:hint="eastAsia" w:ascii="宋体" w:hAnsi="宋体" w:eastAsia="宋体" w:cs="宋体"/>
          <w:b/>
          <w:color w:val="auto"/>
          <w:sz w:val="24"/>
          <w:szCs w:val="24"/>
          <w:highlight w:val="none"/>
        </w:rPr>
        <w:t>。</w:t>
      </w:r>
    </w:p>
    <w:p w14:paraId="64108282">
      <w:pPr>
        <w:keepNext w:val="0"/>
        <w:keepLines w:val="0"/>
        <w:pageBreakBefore w:val="0"/>
        <w:widowControl w:val="0"/>
        <w:spacing w:line="348"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1、根据《政府采购需求管理办法》等有关规定，采购人确定采购需求。</w:t>
      </w:r>
    </w:p>
    <w:p w14:paraId="318682C8">
      <w:pPr>
        <w:keepNext w:val="0"/>
        <w:keepLines w:val="0"/>
        <w:pageBreakBefore w:val="0"/>
        <w:widowControl w:val="0"/>
        <w:spacing w:line="348"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本项目需求中标注★的款项为实质性响应要求和条件，由采购人根据实际情况设置，投标人必须逐条明确作出满足实质性要求和条件的响应，否则投标无效。</w:t>
      </w:r>
    </w:p>
    <w:p w14:paraId="6491E411">
      <w:pPr>
        <w:keepNext w:val="0"/>
        <w:keepLines w:val="0"/>
        <w:pageBreakBefore w:val="0"/>
        <w:widowControl w:val="0"/>
        <w:numPr>
          <w:ilvl w:val="0"/>
          <w:numId w:val="0"/>
        </w:numPr>
        <w:spacing w:line="348" w:lineRule="auto"/>
        <w:ind w:firstLine="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一、工程概况：</w:t>
      </w:r>
    </w:p>
    <w:p w14:paraId="13E3114B">
      <w:pPr>
        <w:keepNext w:val="0"/>
        <w:keepLines w:val="0"/>
        <w:pageBreakBefore w:val="0"/>
        <w:widowControl w:val="0"/>
        <w:numPr>
          <w:ilvl w:val="0"/>
          <w:numId w:val="0"/>
        </w:numPr>
        <w:spacing w:line="348" w:lineRule="auto"/>
        <w:ind w:firstLine="241"/>
        <w:rPr>
          <w:rFonts w:hint="eastAsia" w:ascii="宋体" w:hAnsi="宋体" w:cs="宋体"/>
          <w:b/>
          <w:color w:val="auto"/>
          <w:sz w:val="24"/>
          <w:highlight w:val="none"/>
        </w:rPr>
      </w:pPr>
      <w:r>
        <w:rPr>
          <w:rFonts w:hint="eastAsia" w:ascii="宋体" w:hAnsi="宋体" w:cs="宋体"/>
          <w:b w:val="0"/>
          <w:bCs/>
          <w:color w:val="auto"/>
          <w:sz w:val="24"/>
          <w:highlight w:val="none"/>
        </w:rPr>
        <w:t>1、</w:t>
      </w:r>
      <w:r>
        <w:rPr>
          <w:rFonts w:hint="eastAsia" w:ascii="宋体" w:hAnsi="宋体" w:eastAsia="宋体" w:cs="宋体"/>
          <w:color w:val="auto"/>
          <w:kern w:val="0"/>
          <w:sz w:val="24"/>
          <w:szCs w:val="24"/>
          <w:highlight w:val="none"/>
        </w:rPr>
        <w:t>敬德楼、敬贤楼、敬信楼、敬勤楼（2号宿舍楼）、敬谨楼（5号宿舍楼）、敬意楼（4号宿舍楼）共6栋楼门窗拆除及更换；2.敬勤楼（2号宿舍楼）、敬谨楼（5号宿舍楼）北侧外墙面原涂饰层铲除，重做真石漆；3.敬勤楼（2号宿舍楼）、敬意楼（4号宿舍楼）楼顶重新做保温及防水；4.敬谨楼（</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号宿舍楼）、敬意楼（4号宿舍楼）室内卫生间原地面铲除，重新做防水贴地砖、更换马桶。详见</w:t>
      </w:r>
      <w:r>
        <w:rPr>
          <w:rFonts w:hint="eastAsia" w:ascii="宋体" w:hAnsi="宋体" w:eastAsia="宋体" w:cs="宋体"/>
          <w:color w:val="auto"/>
          <w:kern w:val="0"/>
          <w:sz w:val="24"/>
          <w:szCs w:val="24"/>
          <w:highlight w:val="none"/>
          <w:lang w:val="en-US" w:eastAsia="zh-CN"/>
        </w:rPr>
        <w:t>内容</w:t>
      </w:r>
      <w:r>
        <w:rPr>
          <w:rFonts w:hint="eastAsia" w:ascii="宋体" w:hAnsi="宋体" w:eastAsia="宋体" w:cs="宋体"/>
          <w:color w:val="auto"/>
          <w:kern w:val="0"/>
          <w:sz w:val="24"/>
          <w:szCs w:val="24"/>
          <w:highlight w:val="none"/>
        </w:rPr>
        <w:t>工程量清单</w:t>
      </w:r>
      <w:r>
        <w:rPr>
          <w:rFonts w:hint="eastAsia" w:ascii="宋体" w:hAnsi="宋体" w:eastAsia="宋体" w:cs="宋体"/>
          <w:color w:val="auto"/>
          <w:kern w:val="0"/>
          <w:sz w:val="24"/>
          <w:szCs w:val="24"/>
          <w:highlight w:val="none"/>
          <w:lang w:val="en-US" w:eastAsia="zh-CN"/>
        </w:rPr>
        <w:t>及施工图纸</w:t>
      </w:r>
    </w:p>
    <w:p w14:paraId="6934BD92">
      <w:pPr>
        <w:keepNext w:val="0"/>
        <w:keepLines w:val="0"/>
        <w:pageBreakBefore w:val="0"/>
        <w:widowControl w:val="0"/>
        <w:spacing w:line="348" w:lineRule="auto"/>
        <w:ind w:firstLine="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、工程建设标准及技术规范</w:t>
      </w:r>
    </w:p>
    <w:p w14:paraId="182838CC">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（一）本工程采用的计价规范</w:t>
      </w:r>
    </w:p>
    <w:p w14:paraId="1EC12591">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1、《建设工程工程量清单计价规范》(</w:t>
      </w:r>
      <w:r>
        <w:rPr>
          <w:rFonts w:hint="eastAsia" w:ascii="宋体" w:hAnsi="宋体" w:cs="宋体"/>
          <w:color w:val="auto"/>
          <w:sz w:val="24"/>
          <w:szCs w:val="24"/>
          <w:highlight w:val="none"/>
          <w:lang w:val="en-US" w:eastAsia="zh-CN"/>
        </w:rPr>
        <w:t>GB/T50500-2024</w:t>
      </w:r>
      <w:r>
        <w:rPr>
          <w:rFonts w:hint="eastAsia" w:ascii="宋体" w:hAnsi="宋体" w:eastAsia="宋体" w:cs="宋体"/>
          <w:color w:val="auto"/>
          <w:sz w:val="24"/>
          <w:szCs w:val="24"/>
          <w:highlight w:val="none"/>
          <w:lang w:val="en-US" w:eastAsia="zh-CN"/>
        </w:rPr>
        <w:t>)；</w:t>
      </w:r>
    </w:p>
    <w:p w14:paraId="401C937F">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2、连云港市及江苏省相关文件精神。</w:t>
      </w:r>
    </w:p>
    <w:p w14:paraId="025B9F51">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其他详见国家有关的工程建设标准强制性条文。</w:t>
      </w:r>
    </w:p>
    <w:p w14:paraId="4F9BF5AC">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（二）本工程采用的技术规范</w:t>
      </w:r>
    </w:p>
    <w:p w14:paraId="63C619CE">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1、《建筑工程施工质量验收统一标准》GB50300-2013</w:t>
      </w:r>
    </w:p>
    <w:p w14:paraId="708A466D">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2、《建筑节能工程施工质量验收规范》GB50411</w:t>
      </w:r>
    </w:p>
    <w:p w14:paraId="6C076EE6">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其他详见施工图说明以及工程量清单。</w:t>
      </w:r>
    </w:p>
    <w:p w14:paraId="67CE490A">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备注：</w:t>
      </w:r>
    </w:p>
    <w:p w14:paraId="2F97848D">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1、同类标准中若国家有新颁布实施的，按新标准执行。</w:t>
      </w:r>
    </w:p>
    <w:p w14:paraId="0EED0667">
      <w:pPr>
        <w:keepNext w:val="0"/>
        <w:keepLines w:val="0"/>
        <w:pageBreakBefore w:val="0"/>
        <w:widowControl w:val="0"/>
        <w:numPr>
          <w:ilvl w:val="0"/>
          <w:numId w:val="0"/>
        </w:numPr>
        <w:spacing w:line="348" w:lineRule="auto"/>
        <w:ind w:right="0" w:firstLine="480"/>
        <w:jc w:val="both"/>
        <w:outlineLvl w:val="9"/>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2、若没有国颁标准的，按相应的行业标准执行。</w:t>
      </w:r>
    </w:p>
    <w:p w14:paraId="71310552">
      <w:pPr>
        <w:keepNext w:val="0"/>
        <w:keepLines w:val="0"/>
        <w:pageBreakBefore w:val="0"/>
        <w:widowControl w:val="0"/>
        <w:spacing w:before="0" w:beforeAutospacing="0" w:after="0" w:afterAutospacing="0" w:line="348" w:lineRule="auto"/>
        <w:ind w:left="0" w:firstLine="0"/>
        <w:contextualSpacing/>
        <w:jc w:val="left"/>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三</w:t>
      </w:r>
      <w:r>
        <w:rPr>
          <w:rFonts w:hint="eastAsia" w:ascii="宋体" w:hAnsi="宋体" w:eastAsia="宋体" w:cs="Times New Roman"/>
          <w:b/>
          <w:bCs w:val="0"/>
          <w:color w:val="auto"/>
          <w:sz w:val="24"/>
          <w:szCs w:val="24"/>
          <w:highlight w:val="none"/>
          <w:lang w:val="en-US" w:eastAsia="zh-CN"/>
        </w:rPr>
        <w:t>、商务条款</w:t>
      </w:r>
    </w:p>
    <w:p w14:paraId="733899A3">
      <w:pPr>
        <w:keepNext w:val="0"/>
        <w:keepLines w:val="0"/>
        <w:pageBreakBefore w:val="0"/>
        <w:widowControl w:val="0"/>
        <w:spacing w:before="0" w:beforeAutospacing="0" w:after="0" w:afterAutospacing="0" w:line="348" w:lineRule="auto"/>
        <w:ind w:left="0" w:firstLine="567"/>
        <w:contextualSpacing/>
        <w:jc w:val="left"/>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1、</w:t>
      </w:r>
      <w:r>
        <w:rPr>
          <w:rFonts w:hint="eastAsia" w:ascii="宋体" w:hAnsi="宋体" w:eastAsia="宋体" w:cs="Times New Roman"/>
          <w:b w:val="0"/>
          <w:bCs/>
          <w:color w:val="auto"/>
          <w:sz w:val="24"/>
          <w:szCs w:val="24"/>
          <w:highlight w:val="none"/>
        </w:rPr>
        <w:t>★</w:t>
      </w:r>
      <w:r>
        <w:rPr>
          <w:rFonts w:hint="eastAsia" w:ascii="宋体" w:hAnsi="宋体" w:eastAsia="宋体" w:cs="Times New Roman"/>
          <w:b w:val="0"/>
          <w:bCs/>
          <w:color w:val="auto"/>
          <w:sz w:val="24"/>
          <w:szCs w:val="24"/>
          <w:highlight w:val="none"/>
          <w:lang w:val="en-US" w:eastAsia="zh-CN"/>
        </w:rPr>
        <w:t>报价要求：本项目为固定单价报价，磋商报价应是磋商文件所确定的采购范围内的全部工作内容的价格体现。其应包括施工设备、劳务、管理、材料、安装、维护、利润、税金、检测费及政策性文件规定的各项应有费用等（含现场垃圾清理费用）</w:t>
      </w:r>
    </w:p>
    <w:p w14:paraId="023576A3">
      <w:pPr>
        <w:keepNext w:val="0"/>
        <w:keepLines w:val="0"/>
        <w:pageBreakBefore w:val="0"/>
        <w:widowControl w:val="0"/>
        <w:spacing w:before="0" w:beforeAutospacing="0" w:after="0" w:afterAutospacing="0" w:line="348" w:lineRule="auto"/>
        <w:ind w:left="0" w:firstLine="567"/>
        <w:contextualSpacing/>
        <w:jc w:val="left"/>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2、</w:t>
      </w:r>
      <w:r>
        <w:rPr>
          <w:rFonts w:hint="eastAsia" w:ascii="宋体" w:hAnsi="宋体" w:eastAsia="宋体" w:cs="Times New Roman"/>
          <w:b w:val="0"/>
          <w:bCs/>
          <w:color w:val="auto"/>
          <w:sz w:val="24"/>
          <w:szCs w:val="24"/>
          <w:highlight w:val="none"/>
        </w:rPr>
        <w:t>★</w:t>
      </w:r>
      <w:r>
        <w:rPr>
          <w:rFonts w:hint="eastAsia" w:ascii="宋体" w:hAnsi="宋体" w:eastAsia="宋体" w:cs="Times New Roman"/>
          <w:b w:val="0"/>
          <w:bCs/>
          <w:color w:val="auto"/>
          <w:sz w:val="24"/>
          <w:szCs w:val="24"/>
          <w:highlight w:val="none"/>
          <w:lang w:val="en-US" w:eastAsia="zh-CN"/>
        </w:rPr>
        <w:t>工期要求：90日历天，具体开工日期以采购人发出的书面通知（开工令）为准，竣工日期相应顺延。</w:t>
      </w:r>
    </w:p>
    <w:p w14:paraId="0BA739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Times New Roman"/>
          <w:b/>
          <w:bCs/>
          <w:color w:val="auto"/>
          <w:kern w:val="0"/>
          <w:sz w:val="24"/>
          <w:szCs w:val="24"/>
          <w:highlight w:val="none"/>
          <w:lang w:eastAsia="zh-CN"/>
        </w:rPr>
      </w:pPr>
      <w:r>
        <w:rPr>
          <w:rFonts w:hint="eastAsia" w:ascii="宋体" w:hAnsi="宋体" w:eastAsia="宋体" w:cs="Times New Roman"/>
          <w:b/>
          <w:bCs w:val="0"/>
          <w:color w:val="auto"/>
          <w:sz w:val="24"/>
          <w:szCs w:val="24"/>
          <w:highlight w:val="none"/>
          <w:lang w:val="en-US" w:eastAsia="zh-CN"/>
        </w:rPr>
        <w:t>3、</w:t>
      </w:r>
      <w:r>
        <w:rPr>
          <w:rFonts w:hint="eastAsia" w:ascii="宋体" w:hAnsi="宋体" w:eastAsia="宋体" w:cs="Times New Roman"/>
          <w:b/>
          <w:bCs w:val="0"/>
          <w:color w:val="auto"/>
          <w:sz w:val="24"/>
          <w:szCs w:val="24"/>
          <w:highlight w:val="none"/>
        </w:rPr>
        <w:t>★</w:t>
      </w:r>
      <w:r>
        <w:rPr>
          <w:rFonts w:hint="eastAsia" w:ascii="宋体" w:hAnsi="宋体" w:eastAsia="宋体" w:cs="Times New Roman"/>
          <w:b/>
          <w:bCs w:val="0"/>
          <w:color w:val="auto"/>
          <w:sz w:val="24"/>
          <w:szCs w:val="24"/>
          <w:highlight w:val="none"/>
          <w:lang w:val="en-US" w:eastAsia="zh-CN"/>
        </w:rPr>
        <w:t>付款方式：</w:t>
      </w:r>
      <w:r>
        <w:rPr>
          <w:rFonts w:hint="eastAsia" w:ascii="宋体" w:hAnsi="宋体" w:eastAsia="宋体" w:cs="Times New Roman"/>
          <w:b/>
          <w:bCs/>
          <w:color w:val="auto"/>
          <w:kern w:val="0"/>
          <w:sz w:val="24"/>
          <w:szCs w:val="24"/>
          <w:highlight w:val="none"/>
          <w:lang w:eastAsia="zh-CN"/>
        </w:rPr>
        <w:t>合同签订后，进场后7个工作日内，</w:t>
      </w:r>
      <w:r>
        <w:rPr>
          <w:rFonts w:hint="eastAsia" w:ascii="宋体" w:hAnsi="宋体" w:eastAsia="宋体" w:cs="Times New Roman"/>
          <w:b/>
          <w:bCs/>
          <w:color w:val="auto"/>
          <w:kern w:val="0"/>
          <w:sz w:val="24"/>
          <w:szCs w:val="24"/>
          <w:highlight w:val="none"/>
          <w:lang w:val="en-US" w:eastAsia="zh-CN"/>
        </w:rPr>
        <w:t>发包人向承包人预付工程款为签约合同价（扣除合同价中暂列金额、暂估价项目）的10%；</w:t>
      </w:r>
      <w:r>
        <w:rPr>
          <w:rFonts w:hint="eastAsia" w:ascii="宋体" w:hAnsi="宋体" w:eastAsia="宋体" w:cs="Times New Roman"/>
          <w:b/>
          <w:bCs/>
          <w:color w:val="auto"/>
          <w:kern w:val="0"/>
          <w:sz w:val="24"/>
          <w:szCs w:val="24"/>
          <w:highlight w:val="none"/>
          <w:lang w:eastAsia="zh-CN"/>
        </w:rPr>
        <w:t>工程完工并验收合格，承包人必须按发包人要求提供完整、有效的竣工资料交付齐全、正确、有效、手续完备后付至已完成合格工程量价款的80%，审计结束支付至审定价款的97%；留3%质保金，待缺陷责任期满后支付到审计价款的100%。工程施工进行中每笔工程付款承包人必须开具正式增值税发票（自增值税发票日期后10个工作日内付款），否则不予付款。</w:t>
      </w:r>
    </w:p>
    <w:p w14:paraId="522A7AD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4</w:t>
      </w:r>
      <w:r>
        <w:rPr>
          <w:rFonts w:hint="eastAsia" w:ascii="宋体" w:hAnsi="宋体" w:eastAsia="宋体" w:cs="Times New Roman"/>
          <w:b/>
          <w:bCs w:val="0"/>
          <w:color w:val="auto"/>
          <w:sz w:val="24"/>
          <w:szCs w:val="24"/>
          <w:highlight w:val="none"/>
          <w:lang w:val="en-US" w:eastAsia="zh-CN"/>
        </w:rPr>
        <w:t>、</w:t>
      </w:r>
      <w:r>
        <w:rPr>
          <w:rFonts w:hint="eastAsia" w:ascii="宋体" w:hAnsi="宋体" w:eastAsia="宋体" w:cs="Times New Roman"/>
          <w:b w:val="0"/>
          <w:bCs/>
          <w:color w:val="auto"/>
          <w:sz w:val="24"/>
          <w:szCs w:val="24"/>
          <w:highlight w:val="none"/>
        </w:rPr>
        <w:t>★</w:t>
      </w:r>
      <w:r>
        <w:rPr>
          <w:rFonts w:hint="eastAsia" w:ascii="宋体" w:hAnsi="宋体" w:eastAsia="宋体" w:cs="Times New Roman"/>
          <w:b/>
          <w:bCs w:val="0"/>
          <w:color w:val="auto"/>
          <w:sz w:val="24"/>
          <w:szCs w:val="24"/>
          <w:highlight w:val="none"/>
          <w:lang w:val="en-US" w:eastAsia="zh-CN"/>
        </w:rPr>
        <w:t>履约保证金的收取</w:t>
      </w:r>
      <w:r>
        <w:rPr>
          <w:rFonts w:hint="eastAsia" w:ascii="宋体" w:hAnsi="宋体" w:cs="Times New Roman"/>
          <w:b/>
          <w:bCs w:val="0"/>
          <w:color w:val="auto"/>
          <w:sz w:val="24"/>
          <w:szCs w:val="24"/>
          <w:highlight w:val="none"/>
          <w:lang w:val="en-US" w:eastAsia="zh-CN"/>
        </w:rPr>
        <w:t>：</w:t>
      </w:r>
    </w:p>
    <w:p w14:paraId="47B0F6D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cs="Times New Roman"/>
          <w:b/>
          <w:bCs w:val="0"/>
          <w:color w:val="auto"/>
          <w:sz w:val="24"/>
          <w:szCs w:val="24"/>
          <w:highlight w:val="none"/>
          <w:lang w:val="en-US" w:eastAsia="zh-CN"/>
        </w:rPr>
        <w:t>4.1</w:t>
      </w:r>
      <w:r>
        <w:rPr>
          <w:rFonts w:hint="eastAsia" w:ascii="宋体" w:hAnsi="宋体" w:eastAsia="宋体" w:cs="宋体"/>
          <w:b/>
          <w:bCs/>
          <w:i w:val="0"/>
          <w:iCs w:val="0"/>
          <w:color w:val="auto"/>
          <w:kern w:val="2"/>
          <w:sz w:val="24"/>
          <w:szCs w:val="24"/>
          <w:highlight w:val="none"/>
          <w:lang w:val="en-US" w:eastAsia="zh-CN" w:bidi="ar-SA"/>
        </w:rPr>
        <w:t>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20CD3A2F">
      <w:pPr>
        <w:keepNext w:val="0"/>
        <w:keepLines w:val="0"/>
        <w:pageBreakBefore w:val="0"/>
        <w:widowControl w:val="0"/>
        <w:spacing w:before="0" w:beforeAutospacing="0" w:after="0" w:afterAutospacing="0" w:line="348" w:lineRule="auto"/>
        <w:ind w:left="0" w:leftChars="0" w:firstLine="482" w:firstLineChars="200"/>
        <w:contextualSpacing/>
        <w:jc w:val="left"/>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5、</w:t>
      </w:r>
      <w:r>
        <w:rPr>
          <w:rFonts w:hint="eastAsia" w:ascii="宋体" w:hAnsi="宋体" w:eastAsia="宋体" w:cs="Times New Roman"/>
          <w:b w:val="0"/>
          <w:bCs/>
          <w:color w:val="auto"/>
          <w:sz w:val="24"/>
          <w:szCs w:val="24"/>
          <w:highlight w:val="none"/>
          <w:lang w:val="en-US" w:eastAsia="zh-CN"/>
        </w:rPr>
        <w:t>★</w:t>
      </w:r>
      <w:r>
        <w:rPr>
          <w:rFonts w:hint="eastAsia" w:ascii="宋体" w:hAnsi="宋体" w:eastAsia="宋体" w:cs="Times New Roman"/>
          <w:b/>
          <w:bCs w:val="0"/>
          <w:color w:val="auto"/>
          <w:sz w:val="24"/>
          <w:szCs w:val="24"/>
          <w:highlight w:val="none"/>
          <w:lang w:val="en-US" w:eastAsia="zh-CN"/>
        </w:rPr>
        <w:t>工程质量标准：合格。</w:t>
      </w:r>
    </w:p>
    <w:p w14:paraId="761770C6">
      <w:pPr>
        <w:rPr>
          <w:rFonts w:hint="eastAsia"/>
          <w:color w:val="auto"/>
          <w:highlight w:val="none"/>
        </w:rPr>
      </w:pPr>
      <w:bookmarkStart w:id="683" w:name="_Toc142708871"/>
      <w:bookmarkStart w:id="684" w:name="_Toc153678434"/>
      <w:bookmarkStart w:id="685" w:name="_Toc224532089"/>
      <w:bookmarkStart w:id="686" w:name="_Toc28603"/>
      <w:bookmarkStart w:id="687" w:name="_Toc204595694"/>
      <w:bookmarkStart w:id="688" w:name="_Toc24031"/>
      <w:bookmarkStart w:id="689" w:name="_Toc515874992"/>
      <w:r>
        <w:rPr>
          <w:rFonts w:hint="eastAsia"/>
          <w:color w:val="auto"/>
          <w:highlight w:val="none"/>
        </w:rPr>
        <w:br w:type="page"/>
      </w:r>
    </w:p>
    <w:p w14:paraId="69FC7C71">
      <w:pPr>
        <w:pStyle w:val="2"/>
        <w:ind w:left="0" w:firstLine="0"/>
        <w:jc w:val="center"/>
        <w:rPr>
          <w:rFonts w:hint="eastAsia"/>
          <w:color w:val="auto"/>
          <w:highlight w:val="none"/>
        </w:rPr>
      </w:pPr>
      <w:r>
        <w:rPr>
          <w:rFonts w:hint="eastAsia"/>
          <w:color w:val="auto"/>
          <w:highlight w:val="none"/>
        </w:rPr>
        <w:t>第</w:t>
      </w:r>
      <w:r>
        <w:rPr>
          <w:rFonts w:hint="eastAsia"/>
          <w:color w:val="auto"/>
          <w:highlight w:val="none"/>
          <w:lang w:eastAsia="zh-CN"/>
        </w:rPr>
        <w:t>五</w:t>
      </w:r>
      <w:r>
        <w:rPr>
          <w:rFonts w:hint="eastAsia"/>
          <w:color w:val="auto"/>
          <w:highlight w:val="none"/>
        </w:rPr>
        <w:t>章</w:t>
      </w:r>
      <w:bookmarkEnd w:id="683"/>
      <w:bookmarkEnd w:id="684"/>
      <w:r>
        <w:rPr>
          <w:rFonts w:hint="eastAsia"/>
          <w:color w:val="auto"/>
          <w:highlight w:val="none"/>
        </w:rPr>
        <w:t>工程量清单</w:t>
      </w:r>
      <w:bookmarkEnd w:id="685"/>
      <w:bookmarkEnd w:id="686"/>
      <w:bookmarkEnd w:id="687"/>
      <w:bookmarkEnd w:id="688"/>
      <w:bookmarkEnd w:id="689"/>
    </w:p>
    <w:p w14:paraId="1688301F">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详见附件</w:t>
      </w:r>
    </w:p>
    <w:p w14:paraId="39137FB2">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AA2F63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6C51F8B">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8A2CCC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DFAE4C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E3DF207">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FBFE20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19AB49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75C6B3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5746B7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0973D1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C4C118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8E77DDB">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0415F8B">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B172EE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8A12FAE">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3DE0C229">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1E5AAEA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82FB460">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2351D106">
      <w:pPr>
        <w:pStyle w:val="2"/>
        <w:jc w:val="center"/>
        <w:rPr>
          <w:rFonts w:hint="eastAsia" w:ascii="宋体" w:hAnsi="宋体" w:eastAsia="宋体" w:cs="宋体"/>
          <w:color w:val="auto"/>
          <w:highlight w:val="none"/>
        </w:rPr>
      </w:pPr>
      <w:bookmarkStart w:id="690" w:name="_Toc224532090"/>
      <w:bookmarkStart w:id="691" w:name="_Toc515874993"/>
      <w:bookmarkStart w:id="692" w:name="_Toc204595695"/>
      <w:bookmarkStart w:id="693" w:name="_Toc515874994"/>
      <w:bookmarkStart w:id="694" w:name="_Toc204595696"/>
      <w:bookmarkStart w:id="695" w:name="_Toc224532091"/>
      <w:r>
        <w:rPr>
          <w:rFonts w:hint="eastAsia" w:ascii="宋体" w:hAnsi="宋体" w:eastAsia="宋体" w:cs="宋体"/>
          <w:color w:val="auto"/>
          <w:highlight w:val="none"/>
        </w:rPr>
        <w:br w:type="page" w:clear="all"/>
      </w:r>
      <w:bookmarkStart w:id="696" w:name="_Toc20086"/>
      <w:bookmarkStart w:id="697" w:name="_Toc9612"/>
      <w:r>
        <w:rPr>
          <w:rFonts w:hint="eastAsia" w:ascii="宋体" w:hAnsi="宋体" w:eastAsia="宋体" w:cs="宋体"/>
          <w:b/>
          <w:bCs/>
          <w:color w:val="auto"/>
          <w:sz w:val="32"/>
          <w:szCs w:val="32"/>
          <w:highlight w:val="none"/>
        </w:rPr>
        <w:t>第</w:t>
      </w:r>
      <w:r>
        <w:rPr>
          <w:rFonts w:hint="eastAsia" w:ascii="宋体" w:hAnsi="宋体" w:eastAsia="宋体" w:cs="宋体"/>
          <w:b/>
          <w:bCs/>
          <w:color w:val="auto"/>
          <w:sz w:val="32"/>
          <w:szCs w:val="32"/>
          <w:highlight w:val="none"/>
          <w:lang w:eastAsia="zh-CN"/>
        </w:rPr>
        <w:t>六</w:t>
      </w:r>
      <w:r>
        <w:rPr>
          <w:rFonts w:hint="eastAsia" w:ascii="宋体" w:hAnsi="宋体" w:eastAsia="宋体" w:cs="宋体"/>
          <w:b/>
          <w:bCs/>
          <w:color w:val="auto"/>
          <w:sz w:val="32"/>
          <w:szCs w:val="32"/>
          <w:highlight w:val="none"/>
        </w:rPr>
        <w:t>章图纸和技术资料</w:t>
      </w:r>
      <w:bookmarkEnd w:id="690"/>
      <w:bookmarkEnd w:id="691"/>
      <w:bookmarkEnd w:id="692"/>
      <w:bookmarkEnd w:id="696"/>
      <w:bookmarkEnd w:id="697"/>
    </w:p>
    <w:p w14:paraId="12223DB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highlight w:val="none"/>
          <w:lang w:eastAsia="zh-CN"/>
        </w:rPr>
      </w:pPr>
    </w:p>
    <w:p w14:paraId="3B827207">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详见附件</w:t>
      </w:r>
    </w:p>
    <w:p w14:paraId="5C51924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0931608">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BC4308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1623DEC">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0C842E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EEF1A9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A7D5A52">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9B951EC">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F5A66BC">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BFF164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7DE98B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04AD60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A8174E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FF63CF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5DCCD9C">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1766D1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6E45CC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37A1A3C">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6D3943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11FDB2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CCF44F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461F66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910983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107B03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E489DF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7847FAF">
      <w:pPr>
        <w:keepNext/>
        <w:keepLines/>
        <w:widowControl w:val="0"/>
        <w:numPr>
          <w:ilvl w:val="0"/>
          <w:numId w:val="2"/>
        </w:numPr>
        <w:spacing w:line="360" w:lineRule="auto"/>
        <w:ind w:left="0" w:firstLine="0"/>
        <w:jc w:val="center"/>
        <w:outlineLvl w:val="0"/>
        <w:rPr>
          <w:rFonts w:hint="eastAsia" w:ascii="宋体" w:hAnsi="宋体" w:eastAsia="宋体" w:cs="宋体"/>
          <w:b/>
          <w:color w:val="auto"/>
          <w:sz w:val="24"/>
          <w:szCs w:val="24"/>
          <w:highlight w:val="none"/>
          <w:lang w:val="en-US" w:eastAsia="zh-CN" w:bidi="ar-SA"/>
        </w:rPr>
      </w:pPr>
      <w:bookmarkStart w:id="698" w:name="_Toc8505"/>
      <w:r>
        <w:rPr>
          <w:rFonts w:hint="eastAsia" w:ascii="Arial" w:hAnsi="Arial" w:eastAsia="宋体" w:cs="Arial"/>
          <w:b/>
          <w:color w:val="auto"/>
          <w:sz w:val="32"/>
          <w:szCs w:val="40"/>
          <w:highlight w:val="none"/>
          <w:lang w:val="en-US" w:eastAsia="zh-CN" w:bidi="ar-SA"/>
        </w:rPr>
        <w:t>评审方法和评审标准</w:t>
      </w:r>
      <w:bookmarkEnd w:id="698"/>
    </w:p>
    <w:p w14:paraId="5D4FB429">
      <w:pPr>
        <w:widowControl w:val="0"/>
        <w:shd w:val="clear" w:color="auto" w:fill="auto"/>
        <w:spacing w:before="0" w:after="0" w:line="360" w:lineRule="auto"/>
        <w:ind w:left="0" w:firstLine="482"/>
        <w:jc w:val="left"/>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一</w:t>
      </w:r>
      <w:r>
        <w:rPr>
          <w:rFonts w:hint="eastAsia" w:ascii="宋体" w:hAnsi="宋体" w:eastAsia="宋体" w:cs="宋体"/>
          <w:b/>
          <w:color w:val="auto"/>
          <w:sz w:val="24"/>
          <w:szCs w:val="24"/>
          <w:highlight w:val="none"/>
          <w:lang w:val="en-US" w:eastAsia="zh-CN" w:bidi="ar-SA"/>
        </w:rPr>
        <w:t>、磋商小组</w:t>
      </w:r>
    </w:p>
    <w:p w14:paraId="72462859">
      <w:pPr>
        <w:shd w:val="clear" w:color="auto" w:fill="auto"/>
        <w:spacing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本采购项目磋商小组由采购人代表和评审专家组成。</w:t>
      </w:r>
    </w:p>
    <w:p w14:paraId="7DF3325E">
      <w:pPr>
        <w:widowControl w:val="0"/>
        <w:shd w:val="clear" w:color="auto" w:fill="auto"/>
        <w:spacing w:before="0" w:after="0" w:line="360" w:lineRule="auto"/>
        <w:ind w:left="0" w:firstLine="482"/>
        <w:jc w:val="left"/>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二</w:t>
      </w:r>
      <w:r>
        <w:rPr>
          <w:rFonts w:hint="eastAsia" w:ascii="宋体" w:hAnsi="宋体" w:eastAsia="宋体" w:cs="宋体"/>
          <w:b/>
          <w:color w:val="auto"/>
          <w:sz w:val="24"/>
          <w:szCs w:val="24"/>
          <w:highlight w:val="none"/>
          <w:lang w:val="en-US" w:eastAsia="zh-CN" w:bidi="ar-SA"/>
        </w:rPr>
        <w:t>、评标方法：综合评分法</w:t>
      </w:r>
    </w:p>
    <w:p w14:paraId="358C964C">
      <w:pPr>
        <w:widowControl w:val="0"/>
        <w:spacing w:before="0" w:after="0" w:line="360" w:lineRule="auto"/>
        <w:ind w:firstLine="48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经磋商确定最终采购需求和提交最后报价的供应商后，由磋商小组采用综合评分法对提交最后报价的供应商的响应文件和最后报价进行综合评分。</w:t>
      </w:r>
    </w:p>
    <w:p w14:paraId="4051D8B8">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综合评分法，是指</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文件满足</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文件全部实质性要求，且按照评审因素的量化指标评审得分最高的</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候选人的评标办法。</w:t>
      </w:r>
    </w:p>
    <w:p w14:paraId="42631E8A">
      <w:pPr>
        <w:widowControl w:val="0"/>
        <w:spacing w:before="0" w:after="0" w:line="360" w:lineRule="auto"/>
        <w:ind w:firstLine="482"/>
        <w:jc w:val="left"/>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三</w:t>
      </w:r>
      <w:r>
        <w:rPr>
          <w:rFonts w:hint="eastAsia" w:ascii="宋体" w:hAnsi="宋体" w:eastAsia="宋体" w:cs="宋体"/>
          <w:b/>
          <w:color w:val="auto"/>
          <w:sz w:val="24"/>
          <w:szCs w:val="24"/>
          <w:highlight w:val="none"/>
          <w:lang w:val="en-US" w:eastAsia="zh-CN" w:bidi="ar-SA"/>
        </w:rPr>
        <w:t>、评审原则：</w:t>
      </w:r>
    </w:p>
    <w:p w14:paraId="5BA3151D">
      <w:pPr>
        <w:widowControl w:val="0"/>
        <w:spacing w:before="0" w:after="0" w:line="360" w:lineRule="auto"/>
        <w:ind w:firstLine="48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w:t>
      </w:r>
      <w:r>
        <w:rPr>
          <w:rFonts w:hint="eastAsia" w:ascii="宋体" w:hAnsi="宋体" w:eastAsia="宋体" w:cs="宋体"/>
          <w:bCs/>
          <w:color w:val="auto"/>
          <w:sz w:val="24"/>
          <w:szCs w:val="24"/>
          <w:highlight w:val="none"/>
          <w:lang w:val="en-US" w:eastAsia="zh-CN" w:bidi="ar-SA"/>
        </w:rPr>
        <w:t>必须公平、公正、客观，不带任何倾向性和启发性；不得向外界透露任何与评审有关的内容；任何单位和个人不得干扰、影响评审的正常进行；</w:t>
      </w:r>
      <w:r>
        <w:rPr>
          <w:rFonts w:hint="eastAsia" w:ascii="宋体" w:hAnsi="宋体" w:eastAsia="宋体" w:cs="宋体"/>
          <w:color w:val="auto"/>
          <w:sz w:val="24"/>
          <w:szCs w:val="24"/>
          <w:highlight w:val="none"/>
          <w:lang w:val="en-US" w:eastAsia="zh-CN" w:bidi="ar-SA"/>
        </w:rPr>
        <w:t>磋商小组</w:t>
      </w:r>
      <w:r>
        <w:rPr>
          <w:rFonts w:hint="eastAsia" w:ascii="宋体" w:hAnsi="宋体" w:eastAsia="宋体" w:cs="宋体"/>
          <w:bCs/>
          <w:color w:val="auto"/>
          <w:sz w:val="24"/>
          <w:szCs w:val="24"/>
          <w:highlight w:val="none"/>
          <w:lang w:val="en-US" w:eastAsia="zh-CN" w:bidi="ar-SA"/>
        </w:rPr>
        <w:t>及有关工作人员不得私下与供应商接触。</w:t>
      </w:r>
    </w:p>
    <w:p w14:paraId="3E93B555">
      <w:pPr>
        <w:widowControl w:val="0"/>
        <w:numPr>
          <w:ilvl w:val="0"/>
          <w:numId w:val="0"/>
        </w:numPr>
        <w:spacing w:before="0" w:after="0" w:line="360" w:lineRule="auto"/>
        <w:ind w:firstLine="482"/>
        <w:jc w:val="left"/>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val="en-US" w:eastAsia="zh-CN" w:bidi="ar-SA"/>
        </w:rPr>
        <w:t>评审标准：综合评分法</w:t>
      </w:r>
    </w:p>
    <w:p w14:paraId="720E95F3">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89" w:hanging="343"/>
        <w:jc w:val="center"/>
        <w:rPr>
          <w:rFonts w:hint="eastAsia" w:ascii="宋体" w:hAnsi="宋体" w:eastAsia="宋体" w:cs="宋体"/>
          <w:color w:val="auto"/>
          <w:sz w:val="24"/>
          <w:szCs w:val="20"/>
          <w:highlight w:val="none"/>
          <w:lang w:val="en-US" w:eastAsia="zh-CN" w:bidi="ar-SA"/>
        </w:rPr>
      </w:pPr>
    </w:p>
    <w:p w14:paraId="4A8A793E">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89" w:hanging="343"/>
        <w:jc w:val="center"/>
        <w:rPr>
          <w:rFonts w:hint="eastAsia" w:ascii="黑体" w:hAnsi="Courier New" w:eastAsia="黑体" w:cs="Times New Roman"/>
          <w:b/>
          <w:color w:val="auto"/>
          <w:sz w:val="28"/>
          <w:szCs w:val="28"/>
          <w:highlight w:val="none"/>
          <w:lang w:val="en-US" w:eastAsia="zh-CN" w:bidi="ar-SA"/>
        </w:rPr>
      </w:pPr>
      <w:r>
        <w:rPr>
          <w:rFonts w:hint="eastAsia" w:ascii="黑体" w:hAnsi="Courier New" w:eastAsia="黑体" w:cs="Times New Roman"/>
          <w:b/>
          <w:color w:val="auto"/>
          <w:sz w:val="28"/>
          <w:szCs w:val="28"/>
          <w:highlight w:val="none"/>
          <w:lang w:val="en-US" w:eastAsia="zh-CN" w:bidi="ar-SA"/>
        </w:rPr>
        <w:t>综合评分法</w:t>
      </w:r>
    </w:p>
    <w:tbl>
      <w:tblPr>
        <w:tblStyle w:val="30"/>
        <w:tblW w:w="9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125"/>
        <w:gridCol w:w="1251"/>
        <w:gridCol w:w="6045"/>
      </w:tblGrid>
      <w:tr w14:paraId="59907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654" w:type="dxa"/>
            <w:noWrap w:val="0"/>
            <w:vAlign w:val="center"/>
          </w:tcPr>
          <w:p w14:paraId="6E82384B">
            <w:pPr>
              <w:keepNext w:val="0"/>
              <w:keepLines w:val="0"/>
              <w:pageBreakBefore w:val="0"/>
              <w:widowControl w:val="0"/>
              <w:spacing w:line="288" w:lineRule="auto"/>
              <w:ind w:left="0" w:firstLine="0"/>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 w:val="21"/>
                <w:szCs w:val="21"/>
                <w:highlight w:val="none"/>
              </w:rPr>
              <w:t>序号</w:t>
            </w:r>
          </w:p>
        </w:tc>
        <w:tc>
          <w:tcPr>
            <w:tcW w:w="1125" w:type="dxa"/>
            <w:noWrap w:val="0"/>
            <w:vAlign w:val="center"/>
          </w:tcPr>
          <w:p w14:paraId="403B5821">
            <w:pPr>
              <w:keepNext w:val="0"/>
              <w:keepLines w:val="0"/>
              <w:pageBreakBefore w:val="0"/>
              <w:widowControl/>
              <w:spacing w:line="288" w:lineRule="auto"/>
              <w:ind w:lef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评分项目</w:t>
            </w:r>
          </w:p>
        </w:tc>
        <w:tc>
          <w:tcPr>
            <w:tcW w:w="1251" w:type="dxa"/>
            <w:noWrap w:val="0"/>
            <w:vAlign w:val="center"/>
          </w:tcPr>
          <w:p w14:paraId="79E0BA7A">
            <w:pPr>
              <w:keepNext w:val="0"/>
              <w:keepLines w:val="0"/>
              <w:pageBreakBefore w:val="0"/>
              <w:widowControl/>
              <w:spacing w:line="288" w:lineRule="auto"/>
              <w:ind w:lef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评审项</w:t>
            </w:r>
          </w:p>
        </w:tc>
        <w:tc>
          <w:tcPr>
            <w:tcW w:w="6045" w:type="dxa"/>
            <w:noWrap w:val="0"/>
            <w:vAlign w:val="center"/>
          </w:tcPr>
          <w:p w14:paraId="47397294">
            <w:pPr>
              <w:keepNext w:val="0"/>
              <w:keepLines w:val="0"/>
              <w:pageBreakBefore w:val="0"/>
              <w:widowControl/>
              <w:spacing w:line="288" w:lineRule="auto"/>
              <w:ind w:lef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r>
      <w:tr w14:paraId="08F9D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654" w:type="dxa"/>
            <w:noWrap w:val="0"/>
            <w:vAlign w:val="center"/>
          </w:tcPr>
          <w:p w14:paraId="1FDA3611">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25" w:type="dxa"/>
            <w:noWrap w:val="0"/>
            <w:vAlign w:val="center"/>
          </w:tcPr>
          <w:p w14:paraId="07D7484D">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投标报价</w:t>
            </w:r>
          </w:p>
          <w:p w14:paraId="6B3C3D12">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30</w:t>
            </w:r>
            <w:r>
              <w:rPr>
                <w:rFonts w:hint="eastAsia" w:ascii="宋体" w:hAnsi="宋体" w:eastAsia="宋体" w:cs="宋体"/>
                <w:color w:val="auto"/>
                <w:sz w:val="21"/>
                <w:szCs w:val="21"/>
                <w:highlight w:val="none"/>
                <w:lang w:bidi="ar"/>
              </w:rPr>
              <w:t>分）</w:t>
            </w:r>
          </w:p>
        </w:tc>
        <w:tc>
          <w:tcPr>
            <w:tcW w:w="1251" w:type="dxa"/>
            <w:noWrap w:val="0"/>
            <w:vAlign w:val="center"/>
          </w:tcPr>
          <w:p w14:paraId="503246EF">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价格得分（</w:t>
            </w:r>
            <w:r>
              <w:rPr>
                <w:rFonts w:hint="eastAsia" w:ascii="宋体" w:hAnsi="宋体" w:eastAsia="宋体" w:cs="宋体"/>
                <w:color w:val="auto"/>
                <w:sz w:val="21"/>
                <w:szCs w:val="21"/>
                <w:highlight w:val="none"/>
                <w:lang w:val="en-US" w:eastAsia="zh-CN" w:bidi="ar"/>
              </w:rPr>
              <w:t>30分</w:t>
            </w:r>
            <w:r>
              <w:rPr>
                <w:rFonts w:hint="eastAsia" w:ascii="宋体" w:hAnsi="宋体" w:eastAsia="宋体" w:cs="宋体"/>
                <w:color w:val="auto"/>
                <w:sz w:val="21"/>
                <w:szCs w:val="21"/>
                <w:highlight w:val="none"/>
                <w:lang w:eastAsia="zh-CN" w:bidi="ar"/>
              </w:rPr>
              <w:t>）</w:t>
            </w:r>
          </w:p>
        </w:tc>
        <w:tc>
          <w:tcPr>
            <w:tcW w:w="6045" w:type="dxa"/>
            <w:noWrap w:val="0"/>
            <w:vAlign w:val="center"/>
          </w:tcPr>
          <w:p w14:paraId="4C7A0986">
            <w:pPr>
              <w:keepNext w:val="0"/>
              <w:keepLines w:val="0"/>
              <w:pageBreakBefore w:val="0"/>
              <w:widowControl/>
              <w:spacing w:line="288" w:lineRule="auto"/>
              <w:ind w:lef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价格分统一采用低价优先法计算，即满足磋商文件要求且最后报价最低的供应商的价格为磋商基准价，其价格分为满分。其他供应商的价格分统一按照下列公式计算：</w:t>
            </w:r>
          </w:p>
          <w:p w14:paraId="0FC26C7B">
            <w:pPr>
              <w:keepNext w:val="0"/>
              <w:keepLines w:val="0"/>
              <w:pageBreakBefore w:val="0"/>
              <w:widowControl/>
              <w:spacing w:line="288" w:lineRule="auto"/>
              <w:ind w:lef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磋商报价得分=（磋商基准价/最后磋商报价）×30分</w:t>
            </w:r>
          </w:p>
          <w:p w14:paraId="6AE15261">
            <w:pPr>
              <w:keepNext w:val="0"/>
              <w:keepLines w:val="0"/>
              <w:pageBreakBefore w:val="0"/>
              <w:widowControl/>
              <w:spacing w:line="288" w:lineRule="auto"/>
              <w:ind w:lef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项目评审过程中，不得去掉最后报价中的最高报价和最低报价</w:t>
            </w:r>
          </w:p>
        </w:tc>
      </w:tr>
      <w:tr w14:paraId="53EDC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654" w:type="dxa"/>
            <w:noWrap w:val="0"/>
            <w:vAlign w:val="center"/>
          </w:tcPr>
          <w:p w14:paraId="7EAC21C3">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25" w:type="dxa"/>
            <w:noWrap w:val="0"/>
            <w:vAlign w:val="center"/>
          </w:tcPr>
          <w:p w14:paraId="6D516CDA">
            <w:pPr>
              <w:spacing w:line="340" w:lineRule="exact"/>
              <w:ind w:firstLine="0"/>
              <w:jc w:val="center"/>
              <w:rPr>
                <w:rFonts w:hint="eastAsia" w:ascii="宋体" w:hAnsi="宋体" w:eastAsia="宋体" w:cs="宋体"/>
                <w:color w:val="auto"/>
                <w:sz w:val="21"/>
                <w:szCs w:val="21"/>
                <w:highlight w:val="none"/>
                <w:lang w:bidi="ar"/>
              </w:rPr>
            </w:pPr>
            <w:r>
              <w:rPr>
                <w:rFonts w:hint="eastAsia" w:ascii="宋体" w:hAnsi="宋体" w:eastAsia="宋体" w:cs="宋体"/>
                <w:b/>
                <w:color w:val="auto"/>
                <w:sz w:val="21"/>
                <w:szCs w:val="21"/>
                <w:highlight w:val="none"/>
              </w:rPr>
              <w:t>技术部分</w:t>
            </w:r>
          </w:p>
        </w:tc>
        <w:tc>
          <w:tcPr>
            <w:tcW w:w="1251" w:type="dxa"/>
            <w:noWrap w:val="0"/>
            <w:vAlign w:val="center"/>
          </w:tcPr>
          <w:p w14:paraId="2E898EC2">
            <w:pPr>
              <w:spacing w:line="340" w:lineRule="exact"/>
              <w:ind w:firstLine="0"/>
              <w:rPr>
                <w:rFonts w:hint="eastAsia" w:ascii="宋体" w:hAnsi="宋体" w:eastAsia="宋体" w:cs="宋体"/>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rPr>
              <w:t>36分</w:t>
            </w:r>
          </w:p>
        </w:tc>
        <w:tc>
          <w:tcPr>
            <w:tcW w:w="6045" w:type="dxa"/>
            <w:noWrap w:val="0"/>
            <w:vAlign w:val="center"/>
          </w:tcPr>
          <w:p w14:paraId="2C7B277A">
            <w:pPr>
              <w:keepNext w:val="0"/>
              <w:keepLines w:val="0"/>
              <w:pageBreakBefore w:val="0"/>
              <w:widowControl/>
              <w:spacing w:line="288" w:lineRule="auto"/>
              <w:ind w:left="0" w:firstLine="0"/>
              <w:jc w:val="left"/>
              <w:rPr>
                <w:rFonts w:hint="eastAsia" w:ascii="宋体" w:hAnsi="宋体" w:eastAsia="宋体" w:cs="宋体"/>
                <w:color w:val="auto"/>
                <w:sz w:val="21"/>
                <w:szCs w:val="21"/>
                <w:highlight w:val="none"/>
                <w:lang w:val="en-US" w:eastAsia="zh-CN"/>
              </w:rPr>
            </w:pPr>
          </w:p>
        </w:tc>
      </w:tr>
      <w:tr w14:paraId="3C4F4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654" w:type="dxa"/>
            <w:vMerge w:val="restart"/>
            <w:noWrap w:val="0"/>
            <w:vAlign w:val="center"/>
          </w:tcPr>
          <w:p w14:paraId="1A45F8E2">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p w14:paraId="1513AA0E">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rPr>
            </w:pPr>
          </w:p>
        </w:tc>
        <w:tc>
          <w:tcPr>
            <w:tcW w:w="1125" w:type="dxa"/>
            <w:vMerge w:val="restart"/>
            <w:noWrap w:val="0"/>
            <w:vAlign w:val="center"/>
          </w:tcPr>
          <w:p w14:paraId="5ED4C3E5">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施工组织设计</w:t>
            </w:r>
          </w:p>
        </w:tc>
        <w:tc>
          <w:tcPr>
            <w:tcW w:w="1251" w:type="dxa"/>
            <w:vMerge w:val="restart"/>
            <w:noWrap w:val="0"/>
            <w:vAlign w:val="center"/>
          </w:tcPr>
          <w:p w14:paraId="0837A383">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36分</w:t>
            </w:r>
          </w:p>
        </w:tc>
        <w:tc>
          <w:tcPr>
            <w:tcW w:w="6045" w:type="dxa"/>
            <w:noWrap w:val="0"/>
            <w:vAlign w:val="center"/>
          </w:tcPr>
          <w:p w14:paraId="017682D7">
            <w:pPr>
              <w:keepNext w:val="0"/>
              <w:keepLines w:val="0"/>
              <w:pageBreakBefore w:val="0"/>
              <w:widowControl/>
              <w:spacing w:line="288" w:lineRule="auto"/>
              <w:ind w:firstLine="440" w:firstLineChars="0"/>
              <w:jc w:val="both"/>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施工总体实施方案（</w:t>
            </w:r>
            <w:r>
              <w:rPr>
                <w:rFonts w:hint="eastAsia" w:ascii="宋体" w:hAnsi="宋体" w:cs="宋体"/>
                <w:b/>
                <w:bCs w:val="0"/>
                <w:color w:val="auto"/>
                <w:sz w:val="21"/>
                <w:highlight w:val="none"/>
                <w:lang w:val="en-US" w:eastAsia="zh-CN"/>
              </w:rPr>
              <w:t>8</w:t>
            </w:r>
            <w:r>
              <w:rPr>
                <w:rFonts w:hint="eastAsia" w:ascii="宋体" w:hAnsi="宋体" w:eastAsia="宋体" w:cs="宋体"/>
                <w:b/>
                <w:bCs w:val="0"/>
                <w:color w:val="auto"/>
                <w:sz w:val="21"/>
                <w:highlight w:val="none"/>
              </w:rPr>
              <w:t>分）</w:t>
            </w:r>
          </w:p>
          <w:p w14:paraId="76588785">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供应商提供项目实施总体方案，需体现本工程特点的理解，含项目概况分析、施工部署、施工原则、资源配置思路、总体目标，方案需包含：</w:t>
            </w:r>
          </w:p>
          <w:p w14:paraId="52208A20">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1.项目概况及现状分析实施方案，2分；</w:t>
            </w:r>
          </w:p>
          <w:p w14:paraId="3C9D8489">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2.总体施工部署方案，2分；</w:t>
            </w:r>
          </w:p>
          <w:p w14:paraId="6D939ED8">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3.总体资源配置实施方案，2分；</w:t>
            </w:r>
          </w:p>
          <w:p w14:paraId="48B888AB">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4.项目总体实施目标方案，2分。</w:t>
            </w:r>
          </w:p>
          <w:p w14:paraId="5B53C69E">
            <w:pPr>
              <w:keepNext w:val="0"/>
              <w:keepLines w:val="0"/>
              <w:pageBreakBefore w:val="0"/>
              <w:widowControl/>
              <w:spacing w:line="288" w:lineRule="auto"/>
              <w:ind w:firstLine="440" w:firstLine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auto"/>
                <w:sz w:val="21"/>
                <w:highlight w:val="none"/>
              </w:rPr>
              <w:t>以上4项内容，对应分项完整阐述、合理可行、完全符合项目实际需求得对应分值;阐述基本完整、基本合理，基本满足项目需求得对应分值的一半分值；未提供不得分。</w:t>
            </w:r>
          </w:p>
        </w:tc>
      </w:tr>
      <w:tr w14:paraId="697E7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654" w:type="dxa"/>
            <w:vMerge w:val="continue"/>
            <w:noWrap w:val="0"/>
            <w:vAlign w:val="center"/>
          </w:tcPr>
          <w:p w14:paraId="0CA8D60C">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rPr>
            </w:pPr>
          </w:p>
        </w:tc>
        <w:tc>
          <w:tcPr>
            <w:tcW w:w="1125" w:type="dxa"/>
            <w:vMerge w:val="continue"/>
            <w:noWrap w:val="0"/>
            <w:vAlign w:val="center"/>
          </w:tcPr>
          <w:p w14:paraId="4466598B">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251" w:type="dxa"/>
            <w:vMerge w:val="continue"/>
            <w:noWrap w:val="0"/>
            <w:vAlign w:val="center"/>
          </w:tcPr>
          <w:p w14:paraId="317AA685">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bidi="ar"/>
              </w:rPr>
            </w:pPr>
          </w:p>
        </w:tc>
        <w:tc>
          <w:tcPr>
            <w:tcW w:w="6045" w:type="dxa"/>
            <w:noWrap w:val="0"/>
            <w:vAlign w:val="center"/>
          </w:tcPr>
          <w:p w14:paraId="3C30CCEB">
            <w:pPr>
              <w:keepNext w:val="0"/>
              <w:keepLines w:val="0"/>
              <w:pageBreakBefore w:val="0"/>
              <w:widowControl/>
              <w:suppressLineNumbers w:val="0"/>
              <w:spacing w:line="288" w:lineRule="auto"/>
              <w:ind w:firstLine="420"/>
              <w:jc w:val="both"/>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关键施工技术、工艺及工程项目实施的重点、难点和合理化建议（</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 w:val="21"/>
                <w:szCs w:val="21"/>
                <w:highlight w:val="none"/>
                <w:lang w:val="en-US" w:eastAsia="zh-CN" w:bidi="ar"/>
              </w:rPr>
              <w:t>分）</w:t>
            </w:r>
          </w:p>
          <w:p w14:paraId="49EED2A9">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阐述本工程核心施工工艺，工艺流程符合现行规范。阐述项目实施重点、施工难点，结合现场实际提出针对性的合理化建议，方案需包含：</w:t>
            </w:r>
          </w:p>
          <w:p w14:paraId="2F398F11">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1.关键施工技术与细化工艺方案，2分；</w:t>
            </w:r>
          </w:p>
          <w:p w14:paraId="501EE333">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2.项目实施重点管控方案，2分；</w:t>
            </w:r>
          </w:p>
          <w:p w14:paraId="7C38658F">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3.项目实施难点及专项应对方案，2分；</w:t>
            </w:r>
          </w:p>
          <w:p w14:paraId="08706042">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4.工程合理化建议，2分。</w:t>
            </w:r>
          </w:p>
          <w:p w14:paraId="611A196C">
            <w:pPr>
              <w:keepNext w:val="0"/>
              <w:keepLines w:val="0"/>
              <w:pageBreakBefore w:val="0"/>
              <w:widowControl/>
              <w:spacing w:line="288" w:lineRule="auto"/>
              <w:ind w:firstLine="440" w:firstLineChars="0"/>
              <w:jc w:val="both"/>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以上4项内容，对应分项完整阐述、合理可行、完全符合项目实际需求得对应分值;阐述基本完整、基本合理，基本满足项目需求得对应分值的一半分值；未提供不得分。</w:t>
            </w:r>
          </w:p>
        </w:tc>
      </w:tr>
      <w:tr w14:paraId="02D59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5" w:hRule="atLeast"/>
          <w:jc w:val="center"/>
        </w:trPr>
        <w:tc>
          <w:tcPr>
            <w:tcW w:w="654" w:type="dxa"/>
            <w:vMerge w:val="continue"/>
            <w:noWrap w:val="0"/>
            <w:vAlign w:val="center"/>
          </w:tcPr>
          <w:p w14:paraId="2D15369A">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rPr>
            </w:pPr>
          </w:p>
        </w:tc>
        <w:tc>
          <w:tcPr>
            <w:tcW w:w="1125" w:type="dxa"/>
            <w:vMerge w:val="continue"/>
            <w:noWrap w:val="0"/>
            <w:vAlign w:val="center"/>
          </w:tcPr>
          <w:p w14:paraId="2D0FFF2D">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251" w:type="dxa"/>
            <w:vMerge w:val="continue"/>
            <w:noWrap w:val="0"/>
            <w:vAlign w:val="center"/>
          </w:tcPr>
          <w:p w14:paraId="265051BB">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bidi="ar"/>
              </w:rPr>
            </w:pPr>
          </w:p>
        </w:tc>
        <w:tc>
          <w:tcPr>
            <w:tcW w:w="6045" w:type="dxa"/>
            <w:noWrap w:val="0"/>
            <w:vAlign w:val="center"/>
          </w:tcPr>
          <w:p w14:paraId="52BA6E96">
            <w:pPr>
              <w:keepNext w:val="0"/>
              <w:keepLines w:val="0"/>
              <w:pageBreakBefore w:val="0"/>
              <w:widowControl/>
              <w:spacing w:line="288" w:lineRule="auto"/>
              <w:ind w:firstLine="440" w:firstLineChars="0"/>
              <w:jc w:val="both"/>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施工进度计划和各阶段进度的保证措施（</w:t>
            </w:r>
            <w:r>
              <w:rPr>
                <w:rFonts w:hint="eastAsia" w:ascii="宋体" w:hAnsi="宋体" w:eastAsia="宋体" w:cs="宋体"/>
                <w:b/>
                <w:bCs/>
                <w:color w:val="auto"/>
                <w:szCs w:val="21"/>
                <w:highlight w:val="none"/>
                <w:lang w:val="en-US" w:eastAsia="zh-CN"/>
              </w:rPr>
              <w:t>6</w:t>
            </w:r>
            <w:r>
              <w:rPr>
                <w:rFonts w:hint="eastAsia" w:ascii="宋体" w:hAnsi="宋体" w:eastAsia="宋体" w:cs="宋体"/>
                <w:b/>
                <w:bCs w:val="0"/>
                <w:color w:val="auto"/>
                <w:sz w:val="21"/>
                <w:highlight w:val="none"/>
                <w:lang w:val="en-US" w:eastAsia="zh-CN"/>
              </w:rPr>
              <w:t>分）</w:t>
            </w:r>
          </w:p>
          <w:p w14:paraId="58EB0565">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rPr>
              <w:t>针对本项目前期筹备、校内施工区域交通占道、多栋楼交叉施工及材料进场滞后等影响工期的因素，制定分阶段、可操作的施工进度</w:t>
            </w:r>
            <w:r>
              <w:rPr>
                <w:rFonts w:hint="eastAsia" w:ascii="宋体" w:hAnsi="宋体" w:cs="宋体"/>
                <w:b w:val="0"/>
                <w:bCs/>
                <w:color w:val="auto"/>
                <w:sz w:val="21"/>
                <w:highlight w:val="none"/>
                <w:lang w:val="en-US" w:eastAsia="zh-CN"/>
              </w:rPr>
              <w:t>计划及</w:t>
            </w:r>
            <w:r>
              <w:rPr>
                <w:rFonts w:hint="eastAsia" w:ascii="宋体" w:hAnsi="宋体" w:eastAsia="宋体" w:cs="宋体"/>
                <w:b w:val="0"/>
                <w:bCs/>
                <w:color w:val="auto"/>
                <w:sz w:val="21"/>
                <w:highlight w:val="none"/>
              </w:rPr>
              <w:t>保障措施。</w:t>
            </w:r>
            <w:r>
              <w:rPr>
                <w:rFonts w:hint="eastAsia" w:ascii="宋体" w:hAnsi="宋体" w:eastAsia="宋体" w:cs="宋体"/>
                <w:b w:val="0"/>
                <w:bCs/>
                <w:color w:val="auto"/>
                <w:sz w:val="21"/>
                <w:highlight w:val="none"/>
                <w:lang w:val="en-US" w:eastAsia="zh-CN"/>
              </w:rPr>
              <w:t>方案需包含：</w:t>
            </w:r>
          </w:p>
          <w:p w14:paraId="14F18832">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1.总体施工进度计划体系，2分；</w:t>
            </w:r>
          </w:p>
          <w:p w14:paraId="3B0F28AC">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2.分阶段节点进度计划，2分；</w:t>
            </w:r>
          </w:p>
          <w:p w14:paraId="04E200C7">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3.进度资源、进度管控保障措施，2分；</w:t>
            </w:r>
          </w:p>
          <w:p w14:paraId="6DB38AFB">
            <w:pPr>
              <w:keepNext w:val="0"/>
              <w:keepLines w:val="0"/>
              <w:pageBreakBefore w:val="0"/>
              <w:widowControl/>
              <w:spacing w:line="288" w:lineRule="auto"/>
              <w:ind w:firstLine="440" w:firstLineChars="0"/>
              <w:jc w:val="both"/>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val="0"/>
                <w:color w:val="auto"/>
                <w:sz w:val="21"/>
                <w:highlight w:val="none"/>
                <w:lang w:val="en-US" w:eastAsia="zh-CN"/>
              </w:rPr>
              <w:t>以上3项内容，对应分项完整阐述、合理可行、完全符合项目实际需求得对应分值;阐述基本完整、基本合理，基本满足项目需求得对应分值的一半分值；未提供不得分。</w:t>
            </w:r>
          </w:p>
        </w:tc>
      </w:tr>
      <w:tr w14:paraId="15585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654" w:type="dxa"/>
            <w:vMerge w:val="continue"/>
            <w:noWrap w:val="0"/>
            <w:vAlign w:val="center"/>
          </w:tcPr>
          <w:p w14:paraId="1F42A67D">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125" w:type="dxa"/>
            <w:vMerge w:val="continue"/>
            <w:noWrap w:val="0"/>
            <w:vAlign w:val="center"/>
          </w:tcPr>
          <w:p w14:paraId="6F4522A9">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bidi="ar"/>
              </w:rPr>
            </w:pPr>
          </w:p>
        </w:tc>
        <w:tc>
          <w:tcPr>
            <w:tcW w:w="1251" w:type="dxa"/>
            <w:vMerge w:val="continue"/>
            <w:noWrap w:val="0"/>
            <w:vAlign w:val="center"/>
          </w:tcPr>
          <w:p w14:paraId="3FDDC180">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eastAsia="zh-CN" w:bidi="ar"/>
              </w:rPr>
            </w:pPr>
          </w:p>
        </w:tc>
        <w:tc>
          <w:tcPr>
            <w:tcW w:w="6045" w:type="dxa"/>
            <w:noWrap w:val="0"/>
            <w:vAlign w:val="center"/>
          </w:tcPr>
          <w:p w14:paraId="20D05627">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施工质量保证措施（</w:t>
            </w: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分）</w:t>
            </w:r>
          </w:p>
          <w:p w14:paraId="6079A390">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针对本工程核心质量控制点制定科学合理、全面可行的质量保证措施。方案需包含：</w:t>
            </w:r>
          </w:p>
          <w:p w14:paraId="47C1F8F2">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1.质量管理组织与制度保障方案，2分；</w:t>
            </w:r>
          </w:p>
          <w:p w14:paraId="48CA3311">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2.原材料、构配件质量管控方案，2分；</w:t>
            </w:r>
          </w:p>
          <w:p w14:paraId="5FAD0214">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3.施工过程工序质量控制方案，2分；</w:t>
            </w:r>
          </w:p>
          <w:p w14:paraId="647ECDBF">
            <w:pPr>
              <w:keepNext w:val="0"/>
              <w:keepLines w:val="0"/>
              <w:pageBreakBefore w:val="0"/>
              <w:widowControl/>
              <w:numPr>
                <w:ilvl w:val="0"/>
                <w:numId w:val="0"/>
              </w:numPr>
              <w:spacing w:line="288" w:lineRule="auto"/>
              <w:ind w:left="0" w:leftChars="0" w:firstLine="422" w:firstLineChars="200"/>
              <w:jc w:val="both"/>
              <w:rPr>
                <w:rFonts w:hint="eastAsia" w:ascii="宋体" w:hAnsi="宋体" w:eastAsia="宋体" w:cs="宋体"/>
                <w:color w:val="auto"/>
                <w:sz w:val="21"/>
                <w:szCs w:val="20"/>
                <w:highlight w:val="none"/>
                <w:lang w:val="en-US" w:eastAsia="zh-CN"/>
              </w:rPr>
            </w:pPr>
            <w:r>
              <w:rPr>
                <w:rFonts w:hint="eastAsia" w:ascii="宋体" w:hAnsi="宋体" w:eastAsia="宋体" w:cs="宋体"/>
                <w:b/>
                <w:bCs/>
                <w:color w:val="auto"/>
                <w:sz w:val="21"/>
                <w:szCs w:val="21"/>
                <w:highlight w:val="none"/>
                <w:lang w:val="en-US" w:eastAsia="zh-CN" w:bidi="ar"/>
              </w:rPr>
              <w:t>以上</w:t>
            </w:r>
            <w:r>
              <w:rPr>
                <w:rFonts w:hint="eastAsia" w:ascii="宋体" w:hAnsi="宋体" w:cs="宋体"/>
                <w:b/>
                <w:bCs/>
                <w:color w:val="auto"/>
                <w:sz w:val="21"/>
                <w:szCs w:val="21"/>
                <w:highlight w:val="none"/>
                <w:lang w:val="en-US" w:eastAsia="zh-CN" w:bidi="ar"/>
              </w:rPr>
              <w:t>3</w:t>
            </w:r>
            <w:r>
              <w:rPr>
                <w:rFonts w:hint="eastAsia" w:ascii="宋体" w:hAnsi="宋体" w:eastAsia="宋体" w:cs="宋体"/>
                <w:b/>
                <w:bCs/>
                <w:color w:val="auto"/>
                <w:sz w:val="21"/>
                <w:szCs w:val="21"/>
                <w:highlight w:val="none"/>
                <w:lang w:val="en-US" w:eastAsia="zh-CN" w:bidi="ar"/>
              </w:rPr>
              <w:t>项内容，对应分项完整阐述、合理可行、完全符合项目实际需求得对应分值;阐述基本完整、基本合理，基本满足项目需求得对应分值的一半分值；未提供不得分。</w:t>
            </w:r>
          </w:p>
        </w:tc>
      </w:tr>
      <w:tr w14:paraId="6B5F1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654" w:type="dxa"/>
            <w:vMerge w:val="continue"/>
            <w:noWrap w:val="0"/>
            <w:vAlign w:val="center"/>
          </w:tcPr>
          <w:p w14:paraId="2D2560C4">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125" w:type="dxa"/>
            <w:vMerge w:val="continue"/>
            <w:noWrap w:val="0"/>
            <w:vAlign w:val="center"/>
          </w:tcPr>
          <w:p w14:paraId="00B48EA9">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bidi="ar"/>
              </w:rPr>
            </w:pPr>
          </w:p>
        </w:tc>
        <w:tc>
          <w:tcPr>
            <w:tcW w:w="1251" w:type="dxa"/>
            <w:vMerge w:val="continue"/>
            <w:noWrap w:val="0"/>
            <w:vAlign w:val="center"/>
          </w:tcPr>
          <w:p w14:paraId="20F2F56A">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eastAsia="zh-CN" w:bidi="ar"/>
              </w:rPr>
            </w:pPr>
          </w:p>
        </w:tc>
        <w:tc>
          <w:tcPr>
            <w:tcW w:w="6045" w:type="dxa"/>
            <w:noWrap w:val="0"/>
            <w:vAlign w:val="center"/>
          </w:tcPr>
          <w:p w14:paraId="39617748">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施工机具设备及劳动力配置方案（</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rPr>
              <w:t>分）</w:t>
            </w:r>
          </w:p>
          <w:p w14:paraId="5AD346B8">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针对本项目规模，机具覆盖全工序，规格数量达标，有进场、维保、备用调配方案，劳动力配置合理、岗位职责明确，能完全满足项目施工实施需求。方案需包含：</w:t>
            </w:r>
          </w:p>
          <w:p w14:paraId="76111264">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1.施工机具设备配置方案，1分；</w:t>
            </w:r>
          </w:p>
          <w:p w14:paraId="6EE8A909">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2.设备进场、维保与保障管理方案，1分；</w:t>
            </w:r>
          </w:p>
          <w:p w14:paraId="308DCFF3">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3.劳动力班组配置方案，1分；</w:t>
            </w:r>
          </w:p>
          <w:p w14:paraId="0F6CB4CA">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4.人员管理与进退场保障方案，1分。</w:t>
            </w:r>
          </w:p>
          <w:p w14:paraId="0ED447F3">
            <w:pPr>
              <w:keepNext w:val="0"/>
              <w:keepLines w:val="0"/>
              <w:pageBreakBefore w:val="0"/>
              <w:widowControl/>
              <w:numPr>
                <w:ilvl w:val="0"/>
                <w:numId w:val="0"/>
              </w:numPr>
              <w:spacing w:line="288" w:lineRule="auto"/>
              <w:ind w:left="0" w:leftChars="0" w:firstLine="422"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
              </w:rPr>
              <w:t>以上4项内容，对应分项完整阐述、合理可行、完全符合项目实际需求得对应分值;阐述基本完整、基本合理，基本满足项目需求得对应分值的一半分值；未提供不得分。</w:t>
            </w:r>
          </w:p>
        </w:tc>
      </w:tr>
      <w:tr w14:paraId="39A0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654" w:type="dxa"/>
            <w:vMerge w:val="continue"/>
            <w:noWrap w:val="0"/>
            <w:vAlign w:val="center"/>
          </w:tcPr>
          <w:p w14:paraId="511776C8">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125" w:type="dxa"/>
            <w:vMerge w:val="continue"/>
            <w:noWrap w:val="0"/>
            <w:vAlign w:val="center"/>
          </w:tcPr>
          <w:p w14:paraId="63303F48">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bidi="ar"/>
              </w:rPr>
            </w:pPr>
          </w:p>
        </w:tc>
        <w:tc>
          <w:tcPr>
            <w:tcW w:w="1251" w:type="dxa"/>
            <w:vMerge w:val="continue"/>
            <w:noWrap w:val="0"/>
            <w:vAlign w:val="center"/>
          </w:tcPr>
          <w:p w14:paraId="3330E859">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eastAsia="zh-CN" w:bidi="ar"/>
              </w:rPr>
            </w:pPr>
          </w:p>
        </w:tc>
        <w:tc>
          <w:tcPr>
            <w:tcW w:w="6045" w:type="dxa"/>
            <w:noWrap w:val="0"/>
            <w:vAlign w:val="center"/>
          </w:tcPr>
          <w:p w14:paraId="0E1629C2">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安全文明施工及环境保护措施（</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rPr>
              <w:t>分）</w:t>
            </w:r>
          </w:p>
          <w:p w14:paraId="62CFAEE5">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针对本项目的具体特点制定安全文明施工、环境保护措施，包含施工风险及环保要点，涉及高处作业与临边防护安全、扬尘治理、渣土及废弃物处置、降噪</w:t>
            </w:r>
            <w:r>
              <w:rPr>
                <w:rFonts w:hint="eastAsia" w:ascii="宋体" w:hAnsi="宋体" w:cs="宋体"/>
                <w:color w:val="auto"/>
                <w:sz w:val="21"/>
                <w:szCs w:val="21"/>
                <w:highlight w:val="none"/>
                <w:lang w:val="en-US" w:eastAsia="zh-CN" w:bidi="ar"/>
              </w:rPr>
              <w:t>治水</w:t>
            </w:r>
            <w:r>
              <w:rPr>
                <w:rFonts w:hint="eastAsia" w:ascii="宋体" w:hAnsi="宋体" w:eastAsia="宋体" w:cs="宋体"/>
                <w:color w:val="auto"/>
                <w:sz w:val="21"/>
                <w:szCs w:val="21"/>
                <w:highlight w:val="none"/>
                <w:lang w:val="en-US" w:eastAsia="zh-CN" w:bidi="ar"/>
              </w:rPr>
              <w:t>等内容。方案需包含：</w:t>
            </w:r>
          </w:p>
          <w:p w14:paraId="7B9A6A54">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1.安全生产保障措施方案，</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val="en-US" w:eastAsia="zh-CN" w:bidi="ar"/>
              </w:rPr>
              <w:t>分；</w:t>
            </w:r>
          </w:p>
          <w:p w14:paraId="4B77BD47">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2.文明施工管理措施方案，</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val="en-US" w:eastAsia="zh-CN" w:bidi="ar"/>
              </w:rPr>
              <w:t>分；</w:t>
            </w:r>
          </w:p>
          <w:p w14:paraId="24D9F76E">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3.环境保护措施方案，</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val="en-US" w:eastAsia="zh-CN" w:bidi="ar"/>
              </w:rPr>
              <w:t>分</w:t>
            </w:r>
            <w:r>
              <w:rPr>
                <w:rFonts w:hint="eastAsia" w:ascii="宋体" w:hAnsi="宋体" w:cs="宋体"/>
                <w:color w:val="auto"/>
                <w:sz w:val="21"/>
                <w:szCs w:val="21"/>
                <w:highlight w:val="none"/>
                <w:lang w:val="en-US" w:eastAsia="zh-CN" w:bidi="ar"/>
              </w:rPr>
              <w:t>；</w:t>
            </w:r>
          </w:p>
          <w:p w14:paraId="72437990">
            <w:pPr>
              <w:keepNext w:val="0"/>
              <w:keepLines w:val="0"/>
              <w:pageBreakBefore w:val="0"/>
              <w:widowControl/>
              <w:numPr>
                <w:ilvl w:val="0"/>
                <w:numId w:val="0"/>
              </w:numPr>
              <w:spacing w:line="288" w:lineRule="auto"/>
              <w:ind w:left="0" w:leftChars="0" w:firstLine="420" w:firstLineChars="200"/>
              <w:jc w:val="both"/>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4.应急处置及舆情管控方案，1分。</w:t>
            </w:r>
          </w:p>
          <w:p w14:paraId="2E7E06A2">
            <w:pPr>
              <w:keepNext w:val="0"/>
              <w:keepLines w:val="0"/>
              <w:pageBreakBefore w:val="0"/>
              <w:widowControl/>
              <w:numPr>
                <w:ilvl w:val="0"/>
                <w:numId w:val="0"/>
              </w:numPr>
              <w:spacing w:line="288" w:lineRule="auto"/>
              <w:ind w:left="0" w:leftChars="0" w:firstLine="422"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
              </w:rPr>
              <w:t>以上</w:t>
            </w:r>
            <w:r>
              <w:rPr>
                <w:rFonts w:hint="eastAsia" w:ascii="宋体" w:hAnsi="宋体" w:cs="宋体"/>
                <w:b/>
                <w:bCs/>
                <w:color w:val="auto"/>
                <w:sz w:val="21"/>
                <w:szCs w:val="21"/>
                <w:highlight w:val="none"/>
                <w:lang w:val="en-US" w:eastAsia="zh-CN" w:bidi="ar"/>
              </w:rPr>
              <w:t>4</w:t>
            </w:r>
            <w:r>
              <w:rPr>
                <w:rFonts w:hint="eastAsia" w:ascii="宋体" w:hAnsi="宋体" w:eastAsia="宋体" w:cs="宋体"/>
                <w:b/>
                <w:bCs/>
                <w:color w:val="auto"/>
                <w:sz w:val="21"/>
                <w:szCs w:val="21"/>
                <w:highlight w:val="none"/>
                <w:lang w:val="en-US" w:eastAsia="zh-CN" w:bidi="ar"/>
              </w:rPr>
              <w:t>项内容，对应分项完整阐述、合理可行、完全符合项目实际需求得对应分值;阐述基本完整、基本合理，基本满足项目需求得对应分值的一半分值；未提供不得分。</w:t>
            </w:r>
          </w:p>
        </w:tc>
      </w:tr>
      <w:tr w14:paraId="52BDF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1" w:hRule="atLeast"/>
          <w:jc w:val="center"/>
        </w:trPr>
        <w:tc>
          <w:tcPr>
            <w:tcW w:w="654" w:type="dxa"/>
            <w:noWrap w:val="0"/>
            <w:vAlign w:val="center"/>
          </w:tcPr>
          <w:p w14:paraId="0EEE26AA">
            <w:pPr>
              <w:keepNext w:val="0"/>
              <w:keepLines w:val="0"/>
              <w:pageBreakBefore w:val="0"/>
              <w:widowControl/>
              <w:spacing w:line="288"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1125" w:type="dxa"/>
            <w:noWrap w:val="0"/>
            <w:vAlign w:val="center"/>
          </w:tcPr>
          <w:p w14:paraId="6968B7FB">
            <w:pPr>
              <w:spacing w:line="340" w:lineRule="exact"/>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商务</w:t>
            </w:r>
            <w:r>
              <w:rPr>
                <w:rFonts w:hint="eastAsia" w:ascii="宋体" w:hAnsi="宋体" w:eastAsia="宋体" w:cs="宋体"/>
                <w:b/>
                <w:color w:val="auto"/>
                <w:sz w:val="21"/>
                <w:szCs w:val="21"/>
                <w:highlight w:val="none"/>
              </w:rPr>
              <w:t>部分</w:t>
            </w:r>
          </w:p>
        </w:tc>
        <w:tc>
          <w:tcPr>
            <w:tcW w:w="1251" w:type="dxa"/>
            <w:noWrap w:val="0"/>
            <w:vAlign w:val="center"/>
          </w:tcPr>
          <w:p w14:paraId="2B8FB18F">
            <w:pPr>
              <w:spacing w:line="34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34</w:t>
            </w:r>
            <w:r>
              <w:rPr>
                <w:rFonts w:hint="eastAsia" w:ascii="宋体" w:hAnsi="宋体" w:eastAsia="宋体" w:cs="宋体"/>
                <w:b/>
                <w:color w:val="auto"/>
                <w:sz w:val="21"/>
                <w:szCs w:val="21"/>
                <w:highlight w:val="none"/>
              </w:rPr>
              <w:t>分</w:t>
            </w:r>
          </w:p>
        </w:tc>
        <w:tc>
          <w:tcPr>
            <w:tcW w:w="6045" w:type="dxa"/>
            <w:noWrap w:val="0"/>
            <w:vAlign w:val="center"/>
          </w:tcPr>
          <w:p w14:paraId="048BB146">
            <w:pPr>
              <w:keepNext w:val="0"/>
              <w:keepLines w:val="0"/>
              <w:pageBreakBefore w:val="0"/>
              <w:widowControl w:val="0"/>
              <w:spacing w:before="0" w:after="0" w:line="400" w:lineRule="exact"/>
              <w:ind w:firstLine="0"/>
              <w:jc w:val="both"/>
              <w:rPr>
                <w:rFonts w:hint="eastAsia" w:ascii="宋体" w:hAnsi="宋体" w:eastAsia="宋体" w:cs="宋体"/>
                <w:b/>
                <w:bCs/>
                <w:color w:val="auto"/>
                <w:sz w:val="21"/>
                <w:szCs w:val="21"/>
                <w:highlight w:val="none"/>
                <w:lang w:val="en-US" w:eastAsia="zh-CN" w:bidi="ar"/>
              </w:rPr>
            </w:pPr>
          </w:p>
        </w:tc>
      </w:tr>
      <w:tr w14:paraId="5BD9C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1" w:hRule="atLeast"/>
          <w:jc w:val="center"/>
        </w:trPr>
        <w:tc>
          <w:tcPr>
            <w:tcW w:w="654" w:type="dxa"/>
            <w:vMerge w:val="restart"/>
            <w:noWrap w:val="0"/>
            <w:vAlign w:val="center"/>
          </w:tcPr>
          <w:p w14:paraId="736CE0D9">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p w14:paraId="49482537">
            <w:pPr>
              <w:keepNext w:val="0"/>
              <w:keepLines w:val="0"/>
              <w:pageBreakBefore w:val="0"/>
              <w:widowControl/>
              <w:spacing w:line="288" w:lineRule="auto"/>
              <w:ind w:left="0" w:firstLine="0"/>
              <w:jc w:val="both"/>
              <w:rPr>
                <w:rFonts w:hint="eastAsia" w:ascii="宋体" w:hAnsi="宋体" w:eastAsia="宋体" w:cs="宋体"/>
                <w:color w:val="auto"/>
                <w:sz w:val="21"/>
                <w:szCs w:val="21"/>
                <w:highlight w:val="none"/>
              </w:rPr>
            </w:pPr>
          </w:p>
          <w:p w14:paraId="64EF4885">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125" w:type="dxa"/>
            <w:vMerge w:val="restart"/>
            <w:noWrap w:val="0"/>
            <w:vAlign w:val="center"/>
          </w:tcPr>
          <w:p w14:paraId="0E47C13D">
            <w:pPr>
              <w:keepNext w:val="0"/>
              <w:keepLines w:val="0"/>
              <w:pageBreakBefore w:val="0"/>
              <w:spacing w:line="288" w:lineRule="auto"/>
              <w:ind w:left="0" w:firstLine="0"/>
              <w:jc w:val="both"/>
              <w:rPr>
                <w:rFonts w:hint="eastAsia" w:ascii="宋体" w:hAnsi="宋体" w:eastAsia="宋体" w:cs="宋体"/>
                <w:color w:val="auto"/>
                <w:sz w:val="21"/>
                <w:szCs w:val="21"/>
                <w:highlight w:val="none"/>
              </w:rPr>
            </w:pPr>
          </w:p>
          <w:p w14:paraId="2D239E44">
            <w:pPr>
              <w:keepNext w:val="0"/>
              <w:keepLines w:val="0"/>
              <w:pageBreakBefore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3ACB10F0">
            <w:pPr>
              <w:keepNext w:val="0"/>
              <w:keepLines w:val="0"/>
              <w:pageBreakBefore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34</w:t>
            </w:r>
            <w:r>
              <w:rPr>
                <w:rFonts w:hint="eastAsia" w:ascii="宋体" w:hAnsi="宋体" w:eastAsia="宋体" w:cs="宋体"/>
                <w:color w:val="auto"/>
                <w:sz w:val="21"/>
                <w:szCs w:val="21"/>
                <w:highlight w:val="none"/>
              </w:rPr>
              <w:t>分）</w:t>
            </w:r>
          </w:p>
          <w:p w14:paraId="46DE6670">
            <w:pPr>
              <w:keepNext w:val="0"/>
              <w:keepLines w:val="0"/>
              <w:pageBreakBefore w:val="0"/>
              <w:spacing w:line="288" w:lineRule="auto"/>
              <w:ind w:left="0" w:firstLine="0"/>
              <w:jc w:val="center"/>
              <w:rPr>
                <w:rFonts w:hint="eastAsia" w:ascii="宋体" w:hAnsi="宋体" w:eastAsia="宋体" w:cs="宋体"/>
                <w:color w:val="auto"/>
                <w:sz w:val="21"/>
                <w:szCs w:val="21"/>
                <w:highlight w:val="none"/>
              </w:rPr>
            </w:pPr>
          </w:p>
        </w:tc>
        <w:tc>
          <w:tcPr>
            <w:tcW w:w="1251" w:type="dxa"/>
            <w:noWrap w:val="0"/>
            <w:vAlign w:val="center"/>
          </w:tcPr>
          <w:p w14:paraId="35867897">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人员配置合理</w:t>
            </w:r>
          </w:p>
          <w:p w14:paraId="4DD59471">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（22分）</w:t>
            </w:r>
          </w:p>
        </w:tc>
        <w:tc>
          <w:tcPr>
            <w:tcW w:w="6045" w:type="dxa"/>
            <w:noWrap w:val="0"/>
            <w:vAlign w:val="center"/>
          </w:tcPr>
          <w:p w14:paraId="16CB887E">
            <w:pPr>
              <w:keepNext w:val="0"/>
              <w:keepLines w:val="0"/>
              <w:pageBreakBefore w:val="0"/>
              <w:widowControl/>
              <w:spacing w:line="360" w:lineRule="exact"/>
              <w:ind w:firstLine="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拟派项目经理具有</w:t>
            </w:r>
            <w:r>
              <w:rPr>
                <w:rFonts w:hint="eastAsia" w:ascii="宋体" w:hAnsi="宋体" w:eastAsia="宋体" w:cs="宋体"/>
                <w:color w:val="auto"/>
                <w:sz w:val="21"/>
                <w:szCs w:val="21"/>
                <w:highlight w:val="none"/>
                <w:lang w:val="en-US" w:eastAsia="zh-CN" w:bidi="ar"/>
              </w:rPr>
              <w:t>工程类建筑专业高级职称证书的得3分，具有工程类建筑专业</w:t>
            </w:r>
            <w:r>
              <w:rPr>
                <w:rFonts w:hint="eastAsia" w:ascii="宋体" w:hAnsi="宋体" w:eastAsia="宋体" w:cs="宋体"/>
                <w:color w:val="auto"/>
                <w:sz w:val="21"/>
                <w:szCs w:val="21"/>
                <w:highlight w:val="none"/>
                <w:lang w:bidi="ar"/>
              </w:rPr>
              <w:t>中级</w:t>
            </w:r>
            <w:r>
              <w:rPr>
                <w:rFonts w:hint="eastAsia" w:ascii="宋体" w:hAnsi="宋体" w:eastAsia="宋体" w:cs="宋体"/>
                <w:color w:val="auto"/>
                <w:sz w:val="21"/>
                <w:szCs w:val="21"/>
                <w:highlight w:val="none"/>
                <w:lang w:val="en-US" w:eastAsia="zh-CN" w:bidi="ar"/>
              </w:rPr>
              <w:t>职称证书</w:t>
            </w:r>
            <w:r>
              <w:rPr>
                <w:rFonts w:hint="eastAsia" w:ascii="宋体" w:hAnsi="宋体" w:eastAsia="宋体" w:cs="宋体"/>
                <w:color w:val="auto"/>
                <w:sz w:val="21"/>
                <w:szCs w:val="21"/>
                <w:highlight w:val="none"/>
                <w:lang w:bidi="ar"/>
              </w:rPr>
              <w:t>的得</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val="en-US" w:eastAsia="zh-CN" w:bidi="ar"/>
              </w:rPr>
              <w:t>本项</w:t>
            </w:r>
            <w:r>
              <w:rPr>
                <w:rFonts w:hint="eastAsia" w:ascii="宋体" w:hAnsi="宋体" w:eastAsia="宋体" w:cs="宋体"/>
                <w:color w:val="auto"/>
                <w:sz w:val="21"/>
                <w:szCs w:val="21"/>
                <w:highlight w:val="none"/>
                <w:lang w:bidi="ar"/>
              </w:rPr>
              <w:t>最高得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14:paraId="22902A20">
            <w:pPr>
              <w:keepNext w:val="0"/>
              <w:keepLines w:val="0"/>
              <w:pageBreakBefore w:val="0"/>
              <w:widowControl/>
              <w:spacing w:line="360" w:lineRule="exact"/>
              <w:ind w:firstLine="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拟派技术负责人1名，具有</w:t>
            </w:r>
            <w:r>
              <w:rPr>
                <w:rFonts w:hint="eastAsia" w:ascii="宋体" w:hAnsi="宋体" w:eastAsia="宋体" w:cs="宋体"/>
                <w:color w:val="auto"/>
                <w:sz w:val="21"/>
                <w:szCs w:val="21"/>
                <w:highlight w:val="none"/>
                <w:lang w:val="en-US" w:eastAsia="zh-CN" w:bidi="ar"/>
              </w:rPr>
              <w:t>工程类建筑专业</w:t>
            </w:r>
            <w:r>
              <w:rPr>
                <w:rFonts w:hint="eastAsia" w:ascii="宋体" w:hAnsi="宋体" w:eastAsia="宋体" w:cs="宋体"/>
                <w:color w:val="auto"/>
                <w:sz w:val="21"/>
                <w:szCs w:val="21"/>
                <w:highlight w:val="none"/>
                <w:lang w:bidi="ar"/>
              </w:rPr>
              <w:t>高级职称</w:t>
            </w:r>
            <w:r>
              <w:rPr>
                <w:rFonts w:hint="eastAsia" w:ascii="宋体" w:hAnsi="宋体" w:eastAsia="宋体" w:cs="宋体"/>
                <w:color w:val="auto"/>
                <w:sz w:val="21"/>
                <w:szCs w:val="21"/>
                <w:highlight w:val="none"/>
                <w:lang w:val="en-US" w:eastAsia="zh-CN" w:bidi="ar"/>
              </w:rPr>
              <w:t>证书</w:t>
            </w:r>
            <w:r>
              <w:rPr>
                <w:rFonts w:hint="eastAsia" w:ascii="宋体" w:hAnsi="宋体" w:eastAsia="宋体" w:cs="宋体"/>
                <w:color w:val="auto"/>
                <w:sz w:val="21"/>
                <w:szCs w:val="21"/>
                <w:highlight w:val="none"/>
                <w:lang w:bidi="ar"/>
              </w:rPr>
              <w:t>的得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分，具有</w:t>
            </w:r>
            <w:r>
              <w:rPr>
                <w:rFonts w:hint="eastAsia" w:ascii="宋体" w:hAnsi="宋体" w:eastAsia="宋体" w:cs="宋体"/>
                <w:color w:val="auto"/>
                <w:sz w:val="21"/>
                <w:szCs w:val="21"/>
                <w:highlight w:val="none"/>
                <w:lang w:val="en-US" w:eastAsia="zh-CN" w:bidi="ar"/>
              </w:rPr>
              <w:t>工程类建筑专业</w:t>
            </w:r>
            <w:r>
              <w:rPr>
                <w:rFonts w:hint="eastAsia" w:ascii="宋体" w:hAnsi="宋体" w:eastAsia="宋体" w:cs="宋体"/>
                <w:color w:val="auto"/>
                <w:sz w:val="21"/>
                <w:szCs w:val="21"/>
                <w:highlight w:val="none"/>
                <w:lang w:bidi="ar"/>
              </w:rPr>
              <w:t>中级职称证书的得</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val="en-US" w:eastAsia="zh-CN" w:bidi="ar"/>
              </w:rPr>
              <w:t>本项</w:t>
            </w:r>
            <w:r>
              <w:rPr>
                <w:rFonts w:hint="eastAsia" w:ascii="宋体" w:hAnsi="宋体" w:eastAsia="宋体" w:cs="宋体"/>
                <w:color w:val="auto"/>
                <w:sz w:val="21"/>
                <w:szCs w:val="21"/>
                <w:highlight w:val="none"/>
                <w:lang w:bidi="ar"/>
              </w:rPr>
              <w:t>最高得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14:paraId="617E49EB">
            <w:pPr>
              <w:keepNext w:val="0"/>
              <w:keepLines w:val="0"/>
              <w:pageBreakBefore w:val="0"/>
              <w:widowControl/>
              <w:spacing w:line="360" w:lineRule="exact"/>
              <w:ind w:firstLine="0"/>
              <w:jc w:val="lef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拟投入项目组成员中(不含项目负责人</w:t>
            </w:r>
            <w:r>
              <w:rPr>
                <w:rFonts w:hint="eastAsia" w:ascii="宋体" w:hAnsi="宋体" w:eastAsia="宋体" w:cs="宋体"/>
                <w:color w:val="auto"/>
                <w:sz w:val="21"/>
                <w:szCs w:val="21"/>
                <w:highlight w:val="none"/>
                <w:lang w:val="en-US" w:eastAsia="zh-CN" w:bidi="ar"/>
              </w:rPr>
              <w:t>和技术负责人</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造价</w:t>
            </w:r>
            <w:r>
              <w:rPr>
                <w:rFonts w:hint="eastAsia" w:ascii="宋体" w:hAnsi="宋体" w:eastAsia="宋体" w:cs="宋体"/>
                <w:color w:val="auto"/>
                <w:sz w:val="21"/>
                <w:szCs w:val="21"/>
                <w:highlight w:val="none"/>
                <w:lang w:bidi="ar"/>
              </w:rPr>
              <w:t>负责人1名，</w:t>
            </w:r>
            <w:r>
              <w:rPr>
                <w:rFonts w:hint="eastAsia" w:ascii="宋体" w:hAnsi="宋体" w:eastAsia="宋体" w:cs="宋体"/>
                <w:color w:val="auto"/>
                <w:sz w:val="21"/>
                <w:szCs w:val="21"/>
                <w:highlight w:val="none"/>
                <w:lang w:val="en-US" w:eastAsia="zh-CN" w:bidi="ar"/>
              </w:rPr>
              <w:t>具有土建专业一级造价工程师的得3分；具有高级工程师职称证书的得3分，</w:t>
            </w:r>
            <w:r>
              <w:rPr>
                <w:rFonts w:hint="eastAsia" w:ascii="宋体" w:hAnsi="宋体" w:eastAsia="宋体" w:cs="宋体"/>
                <w:color w:val="auto"/>
                <w:sz w:val="21"/>
                <w:szCs w:val="21"/>
                <w:highlight w:val="none"/>
                <w:lang w:bidi="ar"/>
              </w:rPr>
              <w:t>具有中级工程师职称证书的得</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本项最高得6分。</w:t>
            </w:r>
          </w:p>
          <w:p w14:paraId="3BC62C65">
            <w:pPr>
              <w:keepNext w:val="0"/>
              <w:keepLines w:val="0"/>
              <w:pageBreakBefore w:val="0"/>
              <w:widowControl/>
              <w:spacing w:line="360" w:lineRule="exact"/>
              <w:ind w:firstLine="0"/>
              <w:jc w:val="lef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拟投入项目组成员中(不含项目负责人</w:t>
            </w:r>
            <w:r>
              <w:rPr>
                <w:rFonts w:hint="eastAsia" w:ascii="宋体" w:hAnsi="宋体" w:eastAsia="宋体" w:cs="宋体"/>
                <w:color w:val="auto"/>
                <w:sz w:val="21"/>
                <w:szCs w:val="21"/>
                <w:highlight w:val="none"/>
                <w:lang w:val="en-US" w:eastAsia="zh-CN" w:bidi="ar"/>
              </w:rPr>
              <w:t>和技术负责人</w:t>
            </w:r>
            <w:r>
              <w:rPr>
                <w:rFonts w:hint="eastAsia" w:ascii="宋体" w:hAnsi="宋体" w:cs="宋体"/>
                <w:color w:val="auto"/>
                <w:sz w:val="21"/>
                <w:szCs w:val="21"/>
                <w:highlight w:val="none"/>
                <w:lang w:val="en-US" w:eastAsia="zh-CN" w:bidi="ar"/>
              </w:rPr>
              <w:t>和造价负责人</w:t>
            </w:r>
            <w:r>
              <w:rPr>
                <w:rFonts w:hint="eastAsia" w:ascii="宋体" w:hAnsi="宋体" w:eastAsia="宋体" w:cs="宋体"/>
                <w:color w:val="auto"/>
                <w:sz w:val="21"/>
                <w:szCs w:val="21"/>
                <w:highlight w:val="none"/>
                <w:lang w:bidi="ar"/>
              </w:rPr>
              <w:t>)具有安全员、</w:t>
            </w:r>
            <w:r>
              <w:rPr>
                <w:rFonts w:hint="eastAsia" w:ascii="宋体" w:hAnsi="宋体" w:eastAsia="宋体" w:cs="宋体"/>
                <w:color w:val="auto"/>
                <w:sz w:val="21"/>
                <w:szCs w:val="21"/>
                <w:highlight w:val="none"/>
                <w:lang w:val="en-US" w:eastAsia="zh-CN" w:bidi="ar"/>
              </w:rPr>
              <w:t>质量员</w:t>
            </w:r>
            <w:r>
              <w:rPr>
                <w:rFonts w:hint="eastAsia" w:ascii="宋体" w:hAnsi="宋体" w:eastAsia="宋体" w:cs="宋体"/>
                <w:color w:val="auto"/>
                <w:sz w:val="21"/>
                <w:szCs w:val="21"/>
                <w:highlight w:val="none"/>
                <w:lang w:bidi="ar"/>
              </w:rPr>
              <w:t>、施工员</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资料员、材料员</w:t>
            </w:r>
            <w:r>
              <w:rPr>
                <w:rFonts w:hint="eastAsia" w:ascii="宋体" w:hAnsi="宋体" w:eastAsia="宋体" w:cs="宋体"/>
                <w:color w:val="auto"/>
                <w:sz w:val="21"/>
                <w:szCs w:val="21"/>
                <w:highlight w:val="none"/>
                <w:lang w:bidi="ar"/>
              </w:rPr>
              <w:t>，每具有一个相应岗位证书得1分</w:t>
            </w:r>
            <w:r>
              <w:rPr>
                <w:rFonts w:hint="eastAsia" w:ascii="宋体" w:hAnsi="宋体" w:cs="宋体"/>
                <w:color w:val="auto"/>
                <w:sz w:val="21"/>
                <w:szCs w:val="21"/>
                <w:highlight w:val="none"/>
                <w:lang w:val="en-US" w:eastAsia="zh-CN" w:bidi="ar"/>
              </w:rPr>
              <w:t>；</w:t>
            </w:r>
            <w:r>
              <w:rPr>
                <w:rFonts w:hint="eastAsia" w:ascii="宋体" w:hAnsi="宋体" w:eastAsia="宋体" w:cs="宋体"/>
                <w:color w:val="auto"/>
                <w:sz w:val="21"/>
                <w:szCs w:val="21"/>
                <w:highlight w:val="none"/>
                <w:lang w:val="en-US" w:eastAsia="zh-CN" w:bidi="ar"/>
              </w:rPr>
              <w:t>以上人员具有中级工程师及以上职称证书的，</w:t>
            </w:r>
            <w:r>
              <w:rPr>
                <w:rFonts w:hint="eastAsia" w:ascii="宋体" w:hAnsi="宋体" w:eastAsia="宋体" w:cs="宋体"/>
                <w:color w:val="auto"/>
                <w:sz w:val="21"/>
                <w:szCs w:val="21"/>
                <w:highlight w:val="none"/>
                <w:lang w:bidi="ar"/>
              </w:rPr>
              <w:t>每有一个得1分</w:t>
            </w:r>
            <w:r>
              <w:rPr>
                <w:rFonts w:hint="eastAsia" w:ascii="宋体" w:hAnsi="宋体" w:eastAsia="宋体" w:cs="宋体"/>
                <w:color w:val="auto"/>
                <w:sz w:val="21"/>
                <w:szCs w:val="21"/>
                <w:highlight w:val="none"/>
                <w:lang w:val="en-US" w:eastAsia="zh-CN" w:bidi="ar"/>
              </w:rPr>
              <w:t>，本项最高得10分。</w:t>
            </w:r>
          </w:p>
          <w:p w14:paraId="4EE46C34">
            <w:pPr>
              <w:keepNext w:val="0"/>
              <w:keepLines w:val="0"/>
              <w:pageBreakBefore w:val="0"/>
              <w:widowControl/>
              <w:spacing w:line="360" w:lineRule="exact"/>
              <w:ind w:firstLine="0"/>
              <w:jc w:val="left"/>
              <w:rPr>
                <w:rFonts w:hint="eastAsia" w:ascii="宋体" w:hAnsi="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bidi="ar"/>
              </w:rPr>
              <w:t>注：1</w:t>
            </w:r>
            <w:r>
              <w:rPr>
                <w:rFonts w:hint="eastAsia" w:ascii="宋体" w:hAnsi="宋体" w:eastAsia="宋体" w:cs="宋体"/>
                <w:b/>
                <w:bCs/>
                <w:color w:val="auto"/>
                <w:sz w:val="21"/>
                <w:szCs w:val="21"/>
                <w:highlight w:val="none"/>
                <w:lang w:val="en-US" w:eastAsia="zh-CN" w:bidi="ar"/>
              </w:rPr>
              <w:t>、</w:t>
            </w:r>
            <w:r>
              <w:rPr>
                <w:rFonts w:hint="eastAsia" w:ascii="宋体" w:hAnsi="宋体" w:cs="宋体"/>
                <w:b/>
                <w:bCs/>
                <w:color w:val="auto"/>
                <w:sz w:val="21"/>
                <w:szCs w:val="21"/>
                <w:highlight w:val="none"/>
                <w:lang w:val="en-US" w:eastAsia="zh-CN" w:bidi="ar"/>
              </w:rPr>
              <w:t>一级注册造价师土建专业以注册证书或执业资格证书专业为准；</w:t>
            </w:r>
          </w:p>
          <w:p w14:paraId="4BC56B70">
            <w:pPr>
              <w:keepNext w:val="0"/>
              <w:keepLines w:val="0"/>
              <w:pageBreakBefore w:val="0"/>
              <w:widowControl/>
              <w:spacing w:line="360" w:lineRule="exact"/>
              <w:ind w:firstLine="0"/>
              <w:jc w:val="left"/>
              <w:rPr>
                <w:rFonts w:hint="eastAsia" w:ascii="宋体" w:hAnsi="宋体" w:eastAsia="宋体" w:cs="宋体"/>
                <w:b/>
                <w:bCs/>
                <w:color w:val="auto"/>
                <w:sz w:val="21"/>
                <w:szCs w:val="21"/>
                <w:highlight w:val="none"/>
                <w:lang w:bidi="ar"/>
              </w:rPr>
            </w:pPr>
            <w:r>
              <w:rPr>
                <w:rFonts w:hint="eastAsia" w:ascii="宋体" w:hAnsi="宋体" w:cs="宋体"/>
                <w:b/>
                <w:bCs/>
                <w:color w:val="auto"/>
                <w:sz w:val="21"/>
                <w:szCs w:val="21"/>
                <w:highlight w:val="none"/>
                <w:lang w:val="en-US" w:eastAsia="zh-CN" w:bidi="ar"/>
              </w:rPr>
              <w:t>2、职称专业以职称证书或毕业证书专业为准，</w:t>
            </w:r>
            <w:r>
              <w:rPr>
                <w:rFonts w:hint="eastAsia" w:ascii="宋体" w:hAnsi="宋体" w:eastAsia="宋体" w:cs="宋体"/>
                <w:b/>
                <w:bCs/>
                <w:color w:val="auto"/>
                <w:sz w:val="21"/>
                <w:szCs w:val="21"/>
                <w:highlight w:val="none"/>
                <w:lang w:bidi="ar"/>
              </w:rPr>
              <w:t>提供</w:t>
            </w:r>
            <w:r>
              <w:rPr>
                <w:rFonts w:hint="eastAsia" w:ascii="宋体" w:hAnsi="宋体" w:eastAsia="宋体" w:cs="宋体"/>
                <w:b/>
                <w:bCs/>
                <w:color w:val="auto"/>
                <w:sz w:val="21"/>
                <w:szCs w:val="21"/>
                <w:highlight w:val="none"/>
                <w:lang w:val="en-US" w:eastAsia="zh-CN" w:bidi="ar"/>
              </w:rPr>
              <w:t>相应</w:t>
            </w:r>
            <w:r>
              <w:rPr>
                <w:rFonts w:hint="eastAsia" w:ascii="宋体" w:hAnsi="宋体" w:eastAsia="宋体" w:cs="宋体"/>
                <w:b/>
                <w:bCs/>
                <w:color w:val="auto"/>
                <w:sz w:val="21"/>
                <w:szCs w:val="21"/>
                <w:highlight w:val="none"/>
                <w:lang w:bidi="ar"/>
              </w:rPr>
              <w:t>证书扫描件上传至响应文件中</w:t>
            </w:r>
            <w:r>
              <w:rPr>
                <w:rFonts w:hint="eastAsia" w:ascii="宋体" w:hAnsi="宋体" w:eastAsia="宋体" w:cs="宋体"/>
                <w:b/>
                <w:bCs/>
                <w:color w:val="auto"/>
                <w:sz w:val="21"/>
                <w:szCs w:val="21"/>
                <w:highlight w:val="none"/>
                <w:lang w:eastAsia="zh-CN" w:bidi="ar"/>
              </w:rPr>
              <w:t>，</w:t>
            </w:r>
            <w:r>
              <w:rPr>
                <w:rFonts w:hint="eastAsia" w:ascii="宋体" w:hAnsi="宋体" w:eastAsia="宋体" w:cs="宋体"/>
                <w:b/>
                <w:bCs/>
                <w:color w:val="auto"/>
                <w:sz w:val="21"/>
                <w:szCs w:val="21"/>
                <w:highlight w:val="none"/>
                <w:lang w:bidi="ar"/>
              </w:rPr>
              <w:t>未按上述要求提供证明材料，此项不得分。</w:t>
            </w:r>
          </w:p>
          <w:p w14:paraId="1CC260BC">
            <w:pPr>
              <w:keepNext w:val="0"/>
              <w:keepLines w:val="0"/>
              <w:pageBreakBefore w:val="0"/>
              <w:widowControl/>
              <w:spacing w:line="360" w:lineRule="exact"/>
              <w:ind w:firstLine="0"/>
              <w:jc w:val="left"/>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3</w:t>
            </w:r>
            <w:r>
              <w:rPr>
                <w:rFonts w:hint="eastAsia" w:ascii="宋体" w:hAnsi="宋体" w:eastAsia="宋体" w:cs="宋体"/>
                <w:b/>
                <w:bCs/>
                <w:color w:val="auto"/>
                <w:sz w:val="21"/>
                <w:szCs w:val="21"/>
                <w:highlight w:val="none"/>
                <w:lang w:val="en-US" w:eastAsia="zh-CN" w:bidi="ar"/>
              </w:rPr>
              <w:t>、</w:t>
            </w:r>
            <w:r>
              <w:rPr>
                <w:rFonts w:hint="eastAsia" w:ascii="宋体" w:hAnsi="宋体" w:cs="宋体"/>
                <w:b/>
                <w:bCs/>
                <w:color w:val="auto"/>
                <w:sz w:val="21"/>
                <w:szCs w:val="21"/>
                <w:highlight w:val="none"/>
                <w:lang w:val="en-US" w:eastAsia="zh-CN" w:bidi="ar"/>
              </w:rPr>
              <w:t>以上（1）-（4）</w:t>
            </w:r>
            <w:r>
              <w:rPr>
                <w:rFonts w:hint="eastAsia" w:ascii="宋体" w:hAnsi="宋体" w:eastAsia="宋体" w:cs="宋体"/>
                <w:b/>
                <w:bCs/>
                <w:color w:val="auto"/>
                <w:sz w:val="21"/>
                <w:szCs w:val="21"/>
                <w:highlight w:val="none"/>
                <w:lang w:bidi="ar"/>
              </w:rPr>
              <w:t>所列岗位人员须为不同人员担任，不得相互兼任。如同一人员出现在多个岗位中，仅以得分最高的岗位计算一次得分，不重复计分。</w:t>
            </w:r>
          </w:p>
          <w:p w14:paraId="0770C167">
            <w:pPr>
              <w:keepNext w:val="0"/>
              <w:keepLines w:val="0"/>
              <w:pageBreakBefore w:val="0"/>
              <w:widowControl w:val="0"/>
              <w:spacing w:before="0" w:after="0" w:line="400" w:lineRule="exact"/>
              <w:ind w:firstLine="0"/>
              <w:jc w:val="both"/>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
              </w:rPr>
              <w:t>4</w:t>
            </w:r>
            <w:r>
              <w:rPr>
                <w:rFonts w:hint="eastAsia" w:ascii="宋体" w:hAnsi="宋体" w:eastAsia="宋体" w:cs="宋体"/>
                <w:b/>
                <w:bCs/>
                <w:color w:val="auto"/>
                <w:sz w:val="21"/>
                <w:szCs w:val="21"/>
                <w:highlight w:val="none"/>
                <w:lang w:bidi="ar"/>
              </w:rPr>
              <w:t>、</w:t>
            </w:r>
            <w:r>
              <w:rPr>
                <w:rFonts w:hint="eastAsia" w:ascii="宋体" w:hAnsi="宋体" w:eastAsia="宋体" w:cs="宋体"/>
                <w:b/>
                <w:bCs/>
                <w:color w:val="auto"/>
                <w:sz w:val="21"/>
                <w:szCs w:val="21"/>
                <w:highlight w:val="none"/>
                <w:lang w:val="en-US" w:eastAsia="zh-CN" w:bidi="ar"/>
              </w:rPr>
              <w:t>以上人员须</w:t>
            </w:r>
            <w:r>
              <w:rPr>
                <w:rFonts w:hint="eastAsia" w:ascii="宋体" w:hAnsi="宋体" w:eastAsia="宋体" w:cs="宋体"/>
                <w:b/>
                <w:bCs/>
                <w:color w:val="auto"/>
                <w:sz w:val="21"/>
                <w:szCs w:val="21"/>
                <w:highlight w:val="none"/>
                <w:lang w:bidi="ar"/>
              </w:rPr>
              <w:t>提供</w:t>
            </w:r>
            <w:r>
              <w:rPr>
                <w:rFonts w:hint="eastAsia" w:ascii="宋体" w:hAnsi="宋体" w:eastAsia="宋体" w:cs="宋体"/>
                <w:b/>
                <w:bCs/>
                <w:color w:val="auto"/>
                <w:sz w:val="21"/>
                <w:szCs w:val="21"/>
                <w:highlight w:val="none"/>
                <w:lang w:eastAsia="zh-CN" w:bidi="ar"/>
              </w:rPr>
              <w:t>202</w:t>
            </w:r>
            <w:r>
              <w:rPr>
                <w:rFonts w:hint="eastAsia" w:ascii="宋体" w:hAnsi="宋体" w:eastAsia="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eastAsia="zh-CN" w:bidi="ar"/>
              </w:rPr>
              <w:t>年</w:t>
            </w: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eastAsia="zh-CN" w:bidi="ar"/>
              </w:rPr>
              <w:t>月至今任意一个月</w:t>
            </w:r>
            <w:r>
              <w:rPr>
                <w:rFonts w:hint="eastAsia" w:ascii="宋体" w:hAnsi="宋体" w:eastAsia="宋体" w:cs="宋体"/>
                <w:b/>
                <w:bCs/>
                <w:color w:val="auto"/>
                <w:sz w:val="21"/>
                <w:szCs w:val="21"/>
                <w:highlight w:val="none"/>
                <w:lang w:bidi="ar"/>
              </w:rPr>
              <w:t>由磋商供应商为其缴纳的社保证明（加盖社保中心章或社保中心参保缴费证明电子专用章）</w:t>
            </w:r>
            <w:r>
              <w:rPr>
                <w:rFonts w:hint="eastAsia" w:ascii="宋体" w:hAnsi="宋体" w:eastAsia="宋体" w:cs="宋体"/>
                <w:b/>
                <w:bCs/>
                <w:color w:val="auto"/>
                <w:sz w:val="21"/>
                <w:szCs w:val="21"/>
                <w:highlight w:val="none"/>
                <w:lang w:val="en-US" w:eastAsia="zh-CN"/>
              </w:rPr>
              <w:t>上传至响应文件中</w:t>
            </w:r>
            <w:r>
              <w:rPr>
                <w:rFonts w:hint="eastAsia" w:ascii="宋体" w:hAnsi="宋体" w:eastAsia="宋体" w:cs="宋体"/>
                <w:b/>
                <w:bCs/>
                <w:color w:val="auto"/>
                <w:sz w:val="21"/>
                <w:szCs w:val="21"/>
                <w:highlight w:val="none"/>
                <w:lang w:bidi="ar"/>
              </w:rPr>
              <w:t>，否则不得分。</w:t>
            </w:r>
          </w:p>
        </w:tc>
      </w:tr>
      <w:tr w14:paraId="38DDB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654" w:type="dxa"/>
            <w:vMerge w:val="continue"/>
            <w:noWrap w:val="0"/>
            <w:vAlign w:val="center"/>
          </w:tcPr>
          <w:p w14:paraId="1E8780D3">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125" w:type="dxa"/>
            <w:vMerge w:val="continue"/>
            <w:noWrap w:val="0"/>
            <w:vAlign w:val="center"/>
          </w:tcPr>
          <w:p w14:paraId="6EAB3C21">
            <w:pPr>
              <w:keepNext w:val="0"/>
              <w:keepLines w:val="0"/>
              <w:pageBreakBefore w:val="0"/>
              <w:spacing w:line="288" w:lineRule="auto"/>
              <w:ind w:left="0" w:firstLine="0"/>
              <w:jc w:val="center"/>
              <w:rPr>
                <w:rFonts w:hint="eastAsia" w:ascii="宋体" w:hAnsi="宋体" w:eastAsia="宋体" w:cs="宋体"/>
                <w:color w:val="auto"/>
                <w:sz w:val="21"/>
                <w:szCs w:val="21"/>
                <w:highlight w:val="none"/>
              </w:rPr>
            </w:pPr>
          </w:p>
        </w:tc>
        <w:tc>
          <w:tcPr>
            <w:tcW w:w="1251" w:type="dxa"/>
            <w:noWrap w:val="0"/>
            <w:vAlign w:val="center"/>
          </w:tcPr>
          <w:p w14:paraId="0916695B">
            <w:pPr>
              <w:keepNext w:val="0"/>
              <w:keepLines w:val="0"/>
              <w:pageBreakBefore w:val="0"/>
              <w:spacing w:line="400" w:lineRule="exact"/>
              <w:ind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企业资信</w:t>
            </w:r>
          </w:p>
          <w:p w14:paraId="63535E9B">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045" w:type="dxa"/>
            <w:noWrap w:val="0"/>
            <w:vAlign w:val="center"/>
          </w:tcPr>
          <w:p w14:paraId="4ED4F882">
            <w:pPr>
              <w:keepNext w:val="0"/>
              <w:keepLines w:val="0"/>
              <w:pageBreakBefore w:val="0"/>
              <w:widowControl w:val="0"/>
              <w:spacing w:line="400" w:lineRule="exact"/>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1、供应商具有认证范围含建筑工程施工且在有效期内质量管理体系认证证书、环境管理体系认证证书、职业健康安全管理体系认证证书，每有一个得1分，最高3分；</w:t>
            </w:r>
          </w:p>
          <w:p w14:paraId="17E12F0C">
            <w:pPr>
              <w:keepNext w:val="0"/>
              <w:keepLines w:val="0"/>
              <w:pageBreakBefore w:val="0"/>
              <w:widowControl w:val="0"/>
              <w:spacing w:line="400" w:lineRule="exact"/>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注：提供证书查询网站截图（国家市场监督总局，网址http://cx.cnca.cn/CertECloud/index/index/page）、证书扫描件</w:t>
            </w:r>
            <w:r>
              <w:rPr>
                <w:rFonts w:hint="eastAsia" w:ascii="宋体" w:hAnsi="宋体" w:eastAsia="宋体" w:cs="宋体"/>
                <w:b/>
                <w:bCs/>
                <w:color w:val="auto"/>
                <w:sz w:val="21"/>
                <w:szCs w:val="21"/>
                <w:highlight w:val="none"/>
                <w:lang w:val="en-US" w:eastAsia="zh-CN" w:bidi="ar-SA"/>
              </w:rPr>
              <w:t>上传至电子投标文件中</w:t>
            </w:r>
            <w:r>
              <w:rPr>
                <w:rFonts w:hint="eastAsia" w:ascii="宋体" w:hAnsi="宋体" w:eastAsia="宋体" w:cs="宋体"/>
                <w:color w:val="auto"/>
                <w:sz w:val="21"/>
                <w:szCs w:val="21"/>
                <w:highlight w:val="none"/>
                <w:lang w:val="en-US" w:eastAsia="zh-CN" w:bidi="ar-SA"/>
              </w:rPr>
              <w:t>，未提供或提供不全不得分。</w:t>
            </w:r>
          </w:p>
          <w:p w14:paraId="77A15A42">
            <w:pPr>
              <w:keepNext w:val="0"/>
              <w:keepLines w:val="0"/>
              <w:pageBreakBefore w:val="0"/>
              <w:widowControl w:val="0"/>
              <w:spacing w:line="400" w:lineRule="exact"/>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2、自2023年</w:t>
            </w:r>
            <w:r>
              <w:rPr>
                <w:rFonts w:hint="eastAsia" w:ascii="宋体" w:hAnsi="宋体" w:cs="宋体"/>
                <w:color w:val="auto"/>
                <w:sz w:val="21"/>
                <w:szCs w:val="21"/>
                <w:highlight w:val="none"/>
                <w:lang w:val="en-US" w:eastAsia="zh-CN" w:bidi="ar-SA"/>
              </w:rPr>
              <w:t>09</w:t>
            </w:r>
            <w:r>
              <w:rPr>
                <w:rFonts w:hint="eastAsia" w:ascii="宋体" w:hAnsi="宋体" w:eastAsia="宋体" w:cs="宋体"/>
                <w:color w:val="auto"/>
                <w:sz w:val="21"/>
                <w:szCs w:val="21"/>
                <w:highlight w:val="none"/>
                <w:lang w:val="en-US" w:eastAsia="zh-CN" w:bidi="ar-SA"/>
              </w:rPr>
              <w:t>月01日至今（以获奖证书发证时间为准），供应商完成的建筑工程项目获得过市级及以上行业主管部门颁发的奖项</w:t>
            </w:r>
            <w:r>
              <w:rPr>
                <w:rFonts w:hint="eastAsia" w:ascii="宋体" w:hAnsi="宋体" w:cs="宋体"/>
                <w:color w:val="auto"/>
                <w:sz w:val="21"/>
                <w:szCs w:val="21"/>
                <w:highlight w:val="none"/>
                <w:lang w:val="en-US" w:eastAsia="zh-CN" w:bidi="ar-SA"/>
              </w:rPr>
              <w:t>有一个</w:t>
            </w:r>
            <w:r>
              <w:rPr>
                <w:rFonts w:hint="eastAsia" w:ascii="宋体" w:hAnsi="宋体" w:eastAsia="宋体" w:cs="宋体"/>
                <w:color w:val="auto"/>
                <w:sz w:val="21"/>
                <w:szCs w:val="21"/>
                <w:highlight w:val="none"/>
                <w:lang w:val="en-US" w:eastAsia="zh-CN" w:bidi="ar-SA"/>
              </w:rPr>
              <w:t>得3分，最高得3分。</w:t>
            </w:r>
          </w:p>
          <w:p w14:paraId="42F68963">
            <w:pPr>
              <w:keepNext w:val="0"/>
              <w:keepLines w:val="0"/>
              <w:pageBreakBefore w:val="0"/>
              <w:widowControl w:val="0"/>
              <w:spacing w:line="400" w:lineRule="exact"/>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注：提供获奖证书的原件扫描件上传至响应文件中，未提供不得分。</w:t>
            </w:r>
          </w:p>
        </w:tc>
      </w:tr>
      <w:tr w14:paraId="257A6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654" w:type="dxa"/>
            <w:vMerge w:val="continue"/>
            <w:noWrap w:val="0"/>
            <w:vAlign w:val="center"/>
          </w:tcPr>
          <w:p w14:paraId="63ED7C67">
            <w:pPr>
              <w:keepNext w:val="0"/>
              <w:keepLines w:val="0"/>
              <w:pageBreakBefore w:val="0"/>
              <w:widowControl/>
              <w:spacing w:line="288" w:lineRule="auto"/>
              <w:ind w:left="0" w:firstLine="0"/>
              <w:jc w:val="center"/>
              <w:rPr>
                <w:rFonts w:hint="eastAsia" w:ascii="宋体" w:hAnsi="宋体" w:eastAsia="宋体" w:cs="宋体"/>
                <w:color w:val="auto"/>
                <w:sz w:val="21"/>
                <w:szCs w:val="21"/>
                <w:highlight w:val="none"/>
              </w:rPr>
            </w:pPr>
          </w:p>
        </w:tc>
        <w:tc>
          <w:tcPr>
            <w:tcW w:w="1125" w:type="dxa"/>
            <w:vMerge w:val="continue"/>
            <w:noWrap w:val="0"/>
            <w:vAlign w:val="center"/>
          </w:tcPr>
          <w:p w14:paraId="11DF2DDA">
            <w:pPr>
              <w:keepNext w:val="0"/>
              <w:keepLines w:val="0"/>
              <w:pageBreakBefore w:val="0"/>
              <w:spacing w:line="288" w:lineRule="auto"/>
              <w:ind w:left="0" w:firstLine="0"/>
              <w:jc w:val="center"/>
              <w:rPr>
                <w:rFonts w:hint="eastAsia" w:ascii="宋体" w:hAnsi="宋体" w:eastAsia="宋体" w:cs="宋体"/>
                <w:color w:val="auto"/>
                <w:sz w:val="21"/>
                <w:szCs w:val="21"/>
                <w:highlight w:val="none"/>
                <w:lang w:bidi="ar"/>
              </w:rPr>
            </w:pPr>
          </w:p>
        </w:tc>
        <w:tc>
          <w:tcPr>
            <w:tcW w:w="1251" w:type="dxa"/>
            <w:noWrap w:val="0"/>
            <w:vAlign w:val="center"/>
          </w:tcPr>
          <w:p w14:paraId="76EA4676">
            <w:pPr>
              <w:keepNext w:val="0"/>
              <w:keepLines w:val="0"/>
              <w:pageBreakBefore w:val="0"/>
              <w:spacing w:line="288" w:lineRule="auto"/>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类似业绩（6分）</w:t>
            </w:r>
          </w:p>
        </w:tc>
        <w:tc>
          <w:tcPr>
            <w:tcW w:w="6045" w:type="dxa"/>
            <w:noWrap w:val="0"/>
            <w:vAlign w:val="center"/>
          </w:tcPr>
          <w:p w14:paraId="1175B357">
            <w:pPr>
              <w:keepNext w:val="0"/>
              <w:keepLines w:val="0"/>
              <w:pageBreakBefore w:val="0"/>
              <w:widowControl w:val="0"/>
              <w:spacing w:line="400" w:lineRule="exact"/>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自2023年0</w:t>
            </w:r>
            <w:r>
              <w:rPr>
                <w:rFonts w:hint="eastAsia" w:ascii="宋体" w:hAnsi="宋体" w:cs="宋体"/>
                <w:b w:val="0"/>
                <w:bCs w:val="0"/>
                <w:color w:val="auto"/>
                <w:sz w:val="21"/>
                <w:szCs w:val="21"/>
                <w:highlight w:val="none"/>
                <w:lang w:val="en-US" w:eastAsia="zh-CN" w:bidi="ar-SA"/>
              </w:rPr>
              <w:t>9</w:t>
            </w:r>
            <w:r>
              <w:rPr>
                <w:rFonts w:hint="eastAsia" w:ascii="宋体" w:hAnsi="宋体" w:eastAsia="宋体" w:cs="宋体"/>
                <w:b w:val="0"/>
                <w:bCs w:val="0"/>
                <w:color w:val="auto"/>
                <w:sz w:val="21"/>
                <w:szCs w:val="21"/>
                <w:highlight w:val="none"/>
                <w:lang w:val="en-US" w:eastAsia="zh-CN" w:bidi="ar-SA"/>
              </w:rPr>
              <w:t>月01日以来(时间以合同签订时间为准)，磋商供应商承担过类似工程项目业绩的，每提供1个得2分，本项最高得6分。</w:t>
            </w:r>
          </w:p>
          <w:p w14:paraId="4A880341">
            <w:pPr>
              <w:keepNext w:val="0"/>
              <w:keepLines w:val="0"/>
              <w:pageBreakBefore w:val="0"/>
              <w:widowControl w:val="0"/>
              <w:spacing w:line="400" w:lineRule="exact"/>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注：提供合同协议书原件扫描件上传至</w:t>
            </w:r>
            <w:r>
              <w:rPr>
                <w:rFonts w:hint="eastAsia" w:ascii="宋体" w:hAnsi="宋体" w:eastAsia="宋体" w:cs="宋体"/>
                <w:color w:val="auto"/>
                <w:sz w:val="21"/>
                <w:szCs w:val="21"/>
                <w:highlight w:val="none"/>
                <w:lang w:val="en-US" w:eastAsia="zh-CN" w:bidi="ar-SA"/>
              </w:rPr>
              <w:t>响应文件</w:t>
            </w:r>
            <w:r>
              <w:rPr>
                <w:rFonts w:hint="eastAsia" w:ascii="宋体" w:hAnsi="宋体" w:eastAsia="宋体" w:cs="宋体"/>
                <w:b/>
                <w:bCs/>
                <w:color w:val="auto"/>
                <w:sz w:val="21"/>
                <w:szCs w:val="21"/>
                <w:highlight w:val="none"/>
                <w:lang w:val="en-US" w:eastAsia="zh-CN" w:bidi="ar-SA"/>
              </w:rPr>
              <w:t>中，未提供或提供不全或模糊不清无法辨认的不予得分。</w:t>
            </w:r>
          </w:p>
        </w:tc>
      </w:tr>
    </w:tbl>
    <w:p w14:paraId="0E4FDD11">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五</w:t>
      </w:r>
      <w:r>
        <w:rPr>
          <w:rFonts w:hint="eastAsia" w:ascii="宋体" w:hAnsi="宋体" w:eastAsia="宋体" w:cs="宋体"/>
          <w:b/>
          <w:bCs/>
          <w:color w:val="auto"/>
          <w:sz w:val="24"/>
          <w:szCs w:val="24"/>
          <w:highlight w:val="none"/>
          <w:lang w:val="en-US" w:eastAsia="zh-CN" w:bidi="ar-SA"/>
        </w:rPr>
        <w:t>、成交标准：</w:t>
      </w:r>
    </w:p>
    <w:p w14:paraId="75E15F27">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lang w:val="en-US" w:eastAsia="zh-CN" w:bidi="ar-SA"/>
        </w:rPr>
        <w:t>评审得分且最后报价相同的，按照技术指标优劣顺序推荐。</w:t>
      </w:r>
    </w:p>
    <w:p w14:paraId="1C62BB26">
      <w:pPr>
        <w:spacing w:line="400" w:lineRule="exact"/>
        <w:ind w:firstLine="480"/>
        <w:jc w:val="left"/>
        <w:rPr>
          <w:rFonts w:ascii="宋体" w:hAnsi="宋体" w:eastAsia="宋体" w:cs="宋体"/>
          <w:color w:val="auto"/>
          <w:sz w:val="24"/>
          <w:highlight w:val="none"/>
        </w:rPr>
      </w:pPr>
    </w:p>
    <w:p w14:paraId="7AA6498D">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p>
    <w:p w14:paraId="43CDE0E4">
      <w:pPr>
        <w:pStyle w:val="2"/>
        <w:ind w:left="0" w:firstLine="0"/>
        <w:jc w:val="center"/>
        <w:rPr>
          <w:rFonts w:hint="eastAsia" w:ascii="宋体" w:hAnsi="宋体" w:eastAsia="宋体" w:cs="宋体"/>
          <w:b/>
          <w:bCs/>
          <w:color w:val="auto"/>
          <w:sz w:val="32"/>
          <w:szCs w:val="32"/>
          <w:highlight w:val="none"/>
        </w:rPr>
      </w:pPr>
      <w:bookmarkStart w:id="699" w:name="_Toc2300"/>
      <w:bookmarkStart w:id="700" w:name="_Toc20041"/>
      <w:r>
        <w:rPr>
          <w:rFonts w:hint="eastAsia" w:ascii="宋体" w:hAnsi="宋体" w:eastAsia="宋体" w:cs="宋体"/>
          <w:b/>
          <w:bCs/>
          <w:color w:val="auto"/>
          <w:sz w:val="32"/>
          <w:szCs w:val="32"/>
          <w:highlight w:val="none"/>
          <w:lang w:val="en-US" w:eastAsia="zh-CN"/>
        </w:rPr>
        <w:t>第八章</w:t>
      </w:r>
      <w:r>
        <w:rPr>
          <w:rFonts w:hint="eastAsia" w:ascii="宋体" w:hAnsi="宋体" w:eastAsia="宋体" w:cs="宋体"/>
          <w:b/>
          <w:bCs/>
          <w:color w:val="auto"/>
          <w:sz w:val="32"/>
          <w:szCs w:val="32"/>
          <w:highlight w:val="none"/>
          <w:lang w:eastAsia="zh-CN"/>
        </w:rPr>
        <w:t>响应文件</w:t>
      </w:r>
      <w:r>
        <w:rPr>
          <w:rFonts w:hint="eastAsia" w:ascii="宋体" w:hAnsi="宋体" w:eastAsia="宋体" w:cs="宋体"/>
          <w:b/>
          <w:bCs/>
          <w:color w:val="auto"/>
          <w:sz w:val="32"/>
          <w:szCs w:val="32"/>
          <w:highlight w:val="none"/>
        </w:rPr>
        <w:t>格式</w:t>
      </w:r>
      <w:bookmarkEnd w:id="693"/>
      <w:bookmarkEnd w:id="694"/>
      <w:bookmarkEnd w:id="695"/>
      <w:bookmarkEnd w:id="699"/>
      <w:bookmarkEnd w:id="700"/>
    </w:p>
    <w:p w14:paraId="10D20ECE">
      <w:pPr>
        <w:ind w:left="0" w:firstLine="0"/>
        <w:jc w:val="center"/>
        <w:rPr>
          <w:rFonts w:hint="eastAsia" w:ascii="宋体" w:hAnsi="宋体" w:eastAsia="宋体" w:cs="宋体"/>
          <w:b/>
          <w:color w:val="auto"/>
          <w:sz w:val="56"/>
          <w:szCs w:val="48"/>
          <w:highlight w:val="none"/>
        </w:rPr>
      </w:pPr>
    </w:p>
    <w:p w14:paraId="183424D6">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连云港市政府采购</w:t>
      </w:r>
    </w:p>
    <w:p w14:paraId="6D044115">
      <w:pPr>
        <w:jc w:val="center"/>
        <w:rPr>
          <w:rFonts w:hint="eastAsia" w:ascii="宋体" w:hAnsi="宋体" w:eastAsia="宋体" w:cs="宋体"/>
          <w:b/>
          <w:color w:val="auto"/>
          <w:sz w:val="72"/>
          <w:szCs w:val="21"/>
          <w:highlight w:val="none"/>
        </w:rPr>
      </w:pPr>
    </w:p>
    <w:p w14:paraId="16466721">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响应文件</w:t>
      </w:r>
    </w:p>
    <w:p w14:paraId="1D2574CB">
      <w:pPr>
        <w:ind w:firstLine="643"/>
        <w:jc w:val="center"/>
        <w:rPr>
          <w:rFonts w:hint="eastAsia" w:ascii="宋体" w:hAnsi="宋体" w:eastAsia="宋体" w:cs="宋体"/>
          <w:b/>
          <w:color w:val="auto"/>
          <w:sz w:val="32"/>
          <w:szCs w:val="32"/>
          <w:highlight w:val="none"/>
        </w:rPr>
      </w:pPr>
    </w:p>
    <w:p w14:paraId="095B301F">
      <w:pPr>
        <w:pStyle w:val="235"/>
        <w:spacing w:line="480" w:lineRule="atLeast"/>
        <w:ind w:firstLine="1606"/>
        <w:jc w:val="both"/>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项目名称</w:t>
      </w:r>
      <w:r>
        <w:rPr>
          <w:rFonts w:hint="eastAsia" w:ascii="宋体" w:hAnsi="宋体" w:eastAsia="宋体" w:cs="宋体"/>
          <w:b/>
          <w:color w:val="auto"/>
          <w:sz w:val="32"/>
          <w:szCs w:val="32"/>
          <w:highlight w:val="none"/>
        </w:rPr>
        <w:t>：</w:t>
      </w:r>
    </w:p>
    <w:p w14:paraId="16F83692">
      <w:pPr>
        <w:pStyle w:val="235"/>
        <w:spacing w:line="480" w:lineRule="atLeast"/>
        <w:ind w:firstLine="1606"/>
        <w:jc w:val="both"/>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项目编号</w:t>
      </w:r>
      <w:r>
        <w:rPr>
          <w:rFonts w:hint="eastAsia" w:ascii="宋体" w:hAnsi="宋体" w:eastAsia="宋体" w:cs="宋体"/>
          <w:b/>
          <w:color w:val="auto"/>
          <w:sz w:val="32"/>
          <w:szCs w:val="32"/>
          <w:highlight w:val="none"/>
        </w:rPr>
        <w:t>：</w:t>
      </w:r>
    </w:p>
    <w:p w14:paraId="25789FAF">
      <w:pPr>
        <w:pStyle w:val="235"/>
        <w:spacing w:line="36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03DA22D">
      <w:pPr>
        <w:pStyle w:val="235"/>
        <w:spacing w:line="480" w:lineRule="atLeast"/>
        <w:ind w:firstLine="1606"/>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供应商名称：</w:t>
      </w:r>
      <w:r>
        <w:rPr>
          <w:rFonts w:hint="eastAsia" w:ascii="宋体" w:hAnsi="宋体" w:eastAsia="宋体" w:cs="宋体"/>
          <w:b/>
          <w:bCs/>
          <w:color w:val="auto"/>
          <w:sz w:val="36"/>
          <w:szCs w:val="36"/>
          <w:highlight w:val="none"/>
          <w:u w:val="single"/>
        </w:rPr>
        <w:t>（加盖CA电子公章）</w:t>
      </w:r>
      <w:r>
        <w:rPr>
          <w:rFonts w:hint="eastAsia" w:ascii="宋体" w:hAnsi="宋体" w:eastAsia="宋体" w:cs="宋体"/>
          <w:b/>
          <w:color w:val="auto"/>
          <w:sz w:val="32"/>
          <w:szCs w:val="32"/>
          <w:highlight w:val="none"/>
        </w:rPr>
        <w:t> </w:t>
      </w:r>
    </w:p>
    <w:p w14:paraId="1CC81BBF">
      <w:pPr>
        <w:pStyle w:val="235"/>
        <w:spacing w:line="480" w:lineRule="atLeast"/>
        <w:ind w:firstLine="1606"/>
        <w:jc w:val="both"/>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日 期：</w:t>
      </w:r>
    </w:p>
    <w:p w14:paraId="2A142E82">
      <w:pPr>
        <w:pStyle w:val="235"/>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3747F326">
      <w:pPr>
        <w:pStyle w:val="235"/>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14BDC076">
      <w:pPr>
        <w:pStyle w:val="235"/>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174F3294">
      <w:pPr>
        <w:pStyle w:val="235"/>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1B81F8F5">
      <w:pPr>
        <w:pStyle w:val="235"/>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19950527">
      <w:pPr>
        <w:pStyle w:val="235"/>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44A1FFE5">
      <w:pPr>
        <w:jc w:val="center"/>
        <w:rPr>
          <w:color w:val="auto"/>
          <w:sz w:val="24"/>
          <w:szCs w:val="24"/>
          <w:highlight w:val="none"/>
        </w:rPr>
      </w:pPr>
      <w:r>
        <w:rPr>
          <w:rFonts w:hint="eastAsia" w:ascii="宋体" w:hAnsi="宋体" w:eastAsia="宋体" w:cs="宋体"/>
          <w:b/>
          <w:bCs/>
          <w:color w:val="auto"/>
          <w:sz w:val="32"/>
          <w:szCs w:val="32"/>
          <w:highlight w:val="none"/>
        </w:rPr>
        <w:t>响应文件目录</w:t>
      </w:r>
    </w:p>
    <w:p w14:paraId="6A5C592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一、法人或者其他组织的营业执照等证明文件，自然人的身份证明</w:t>
      </w:r>
    </w:p>
    <w:p w14:paraId="111D1DC9">
      <w:pPr>
        <w:shd w:val="clear" w:color="auto" w:fill="auto"/>
        <w:spacing w:line="360" w:lineRule="auto"/>
        <w:ind w:firstLine="482"/>
        <w:rPr>
          <w:rFonts w:eastAsia="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二、上一年度的财务状况报告（磋商供应商成立不满一年无需提供）</w:t>
      </w:r>
      <w:r>
        <w:rPr>
          <w:rFonts w:hint="eastAsia" w:ascii="宋体" w:hAnsi="宋体" w:cs="宋体"/>
          <w:i w:val="0"/>
          <w:iCs w:val="0"/>
          <w:color w:val="auto"/>
          <w:sz w:val="24"/>
          <w:szCs w:val="24"/>
          <w:highlight w:val="none"/>
          <w:u w:val="none"/>
          <w:lang w:val="en-US" w:eastAsia="zh-CN"/>
        </w:rPr>
        <w:t>或承诺函</w:t>
      </w:r>
    </w:p>
    <w:p w14:paraId="5B79E78B">
      <w:pPr>
        <w:shd w:val="clear" w:color="auto" w:fill="auto"/>
        <w:spacing w:line="360" w:lineRule="auto"/>
        <w:ind w:firstLine="482"/>
        <w:rPr>
          <w:rFonts w:eastAsia="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val="0"/>
          <w:iCs w:val="0"/>
          <w:color w:val="auto"/>
          <w:sz w:val="24"/>
          <w:szCs w:val="24"/>
          <w:highlight w:val="none"/>
          <w:u w:val="none"/>
          <w:lang w:val="en-US" w:eastAsia="zh-CN"/>
        </w:rPr>
        <w:t>或承诺函</w:t>
      </w:r>
    </w:p>
    <w:p w14:paraId="61D755D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四、具备履行合同所必需的设备和专业技术能力的书面声明</w:t>
      </w:r>
    </w:p>
    <w:p w14:paraId="3F5A44D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五、参加政府采购活动前3年内在经营活动中没有重大违法记录的书面声明</w:t>
      </w:r>
    </w:p>
    <w:p w14:paraId="1D7B664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lang w:eastAsia="zh-CN"/>
        </w:rPr>
      </w:pPr>
      <w:r>
        <w:rPr>
          <w:rFonts w:hint="eastAsia" w:cs="宋体"/>
          <w:i w:val="0"/>
          <w:iCs w:val="0"/>
          <w:color w:val="auto"/>
          <w:sz w:val="24"/>
          <w:szCs w:val="24"/>
          <w:highlight w:val="none"/>
          <w:u w:val="none"/>
          <w:lang w:val="en-US" w:eastAsia="zh-CN"/>
        </w:rPr>
        <w:t>六</w:t>
      </w:r>
      <w:r>
        <w:rPr>
          <w:rFonts w:hint="eastAsia" w:ascii="宋体" w:hAnsi="宋体" w:eastAsia="宋体" w:cs="宋体"/>
          <w:i w:val="0"/>
          <w:iCs w:val="0"/>
          <w:color w:val="auto"/>
          <w:sz w:val="24"/>
          <w:szCs w:val="24"/>
          <w:highlight w:val="none"/>
          <w:u w:val="none"/>
        </w:rPr>
        <w:t>、</w:t>
      </w:r>
      <w:r>
        <w:rPr>
          <w:rFonts w:hint="eastAsia" w:cs="宋体"/>
          <w:i w:val="0"/>
          <w:iCs w:val="0"/>
          <w:color w:val="auto"/>
          <w:sz w:val="24"/>
          <w:szCs w:val="24"/>
          <w:highlight w:val="none"/>
          <w:u w:val="none"/>
          <w:lang w:val="en-US" w:eastAsia="zh-CN"/>
        </w:rPr>
        <w:t>法人授权书</w:t>
      </w:r>
    </w:p>
    <w:p w14:paraId="68D2995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i w:val="0"/>
          <w:iCs w:val="0"/>
          <w:color w:val="auto"/>
          <w:sz w:val="24"/>
          <w:szCs w:val="24"/>
          <w:highlight w:val="none"/>
          <w:u w:val="none"/>
        </w:rPr>
      </w:pPr>
      <w:r>
        <w:rPr>
          <w:rFonts w:hint="eastAsia" w:cs="宋体"/>
          <w:i w:val="0"/>
          <w:iCs w:val="0"/>
          <w:color w:val="auto"/>
          <w:sz w:val="24"/>
          <w:szCs w:val="24"/>
          <w:highlight w:val="none"/>
          <w:u w:val="none"/>
          <w:lang w:val="en-US" w:eastAsia="zh-CN"/>
        </w:rPr>
        <w:t>七</w:t>
      </w:r>
      <w:r>
        <w:rPr>
          <w:rFonts w:hint="eastAsia" w:ascii="宋体" w:hAnsi="宋体" w:eastAsia="宋体" w:cs="宋体"/>
          <w:i w:val="0"/>
          <w:iCs w:val="0"/>
          <w:color w:val="auto"/>
          <w:sz w:val="24"/>
          <w:szCs w:val="24"/>
          <w:highlight w:val="none"/>
          <w:u w:val="none"/>
        </w:rPr>
        <w:t>、磋商响应函</w:t>
      </w:r>
    </w:p>
    <w:p w14:paraId="7FC2142F">
      <w:pPr>
        <w:keepNext w:val="0"/>
        <w:keepLines w:val="0"/>
        <w:pageBreakBefore w:val="0"/>
        <w:widowControl w:val="0"/>
        <w:spacing w:line="360" w:lineRule="auto"/>
        <w:ind w:left="0" w:firstLine="480"/>
        <w:rPr>
          <w:rFonts w:hint="eastAsia" w:cs="宋体"/>
          <w:i w:val="0"/>
          <w:iCs w:val="0"/>
          <w:color w:val="auto"/>
          <w:sz w:val="24"/>
          <w:szCs w:val="24"/>
          <w:highlight w:val="none"/>
          <w:u w:val="none"/>
          <w:lang w:val="en-US" w:eastAsia="zh-CN"/>
        </w:rPr>
      </w:pPr>
      <w:r>
        <w:rPr>
          <w:rFonts w:hint="eastAsia" w:ascii="宋体" w:hAnsi="宋体"/>
          <w:i w:val="0"/>
          <w:iCs w:val="0"/>
          <w:color w:val="auto"/>
          <w:sz w:val="24"/>
          <w:szCs w:val="21"/>
          <w:highlight w:val="none"/>
          <w:u w:val="none"/>
          <w:lang w:val="en-US" w:eastAsia="zh-CN"/>
        </w:rPr>
        <w:t>八</w:t>
      </w:r>
      <w:r>
        <w:rPr>
          <w:rFonts w:hint="eastAsia" w:ascii="宋体" w:hAnsi="宋体"/>
          <w:i w:val="0"/>
          <w:iCs w:val="0"/>
          <w:color w:val="auto"/>
          <w:sz w:val="24"/>
          <w:szCs w:val="21"/>
          <w:highlight w:val="none"/>
          <w:u w:val="none"/>
        </w:rPr>
        <w:t>、开标一览表</w:t>
      </w:r>
    </w:p>
    <w:p w14:paraId="22C4BA0B">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i w:val="0"/>
          <w:iCs w:val="0"/>
          <w:color w:val="auto"/>
          <w:sz w:val="24"/>
          <w:szCs w:val="24"/>
          <w:highlight w:val="none"/>
          <w:u w:val="none"/>
        </w:rPr>
      </w:pPr>
      <w:r>
        <w:rPr>
          <w:rFonts w:hint="eastAsia" w:cs="宋体"/>
          <w:i w:val="0"/>
          <w:iCs w:val="0"/>
          <w:color w:val="auto"/>
          <w:sz w:val="24"/>
          <w:szCs w:val="24"/>
          <w:highlight w:val="none"/>
          <w:u w:val="none"/>
          <w:lang w:val="en-US" w:eastAsia="zh-CN"/>
        </w:rPr>
        <w:t>九</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中</w:t>
      </w:r>
      <w:r>
        <w:rPr>
          <w:rFonts w:hint="eastAsia" w:ascii="宋体" w:hAnsi="宋体" w:eastAsia="宋体" w:cs="宋体"/>
          <w:i w:val="0"/>
          <w:iCs w:val="0"/>
          <w:color w:val="auto"/>
          <w:sz w:val="24"/>
          <w:szCs w:val="24"/>
          <w:highlight w:val="none"/>
          <w:u w:val="none"/>
        </w:rPr>
        <w:t>小微企业声明函</w:t>
      </w:r>
    </w:p>
    <w:p w14:paraId="38CD1AF8">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cs="宋体"/>
          <w:i w:val="0"/>
          <w:iCs w:val="0"/>
          <w:color w:val="auto"/>
          <w:sz w:val="24"/>
          <w:szCs w:val="24"/>
          <w:highlight w:val="none"/>
          <w:u w:val="none"/>
          <w:lang w:val="en-US" w:eastAsia="zh-CN"/>
        </w:rPr>
        <w:t>十</w:t>
      </w:r>
      <w:r>
        <w:rPr>
          <w:rFonts w:hint="eastAsia" w:ascii="宋体" w:hAnsi="宋体" w:eastAsia="宋体" w:cs="宋体"/>
          <w:i w:val="0"/>
          <w:iCs w:val="0"/>
          <w:color w:val="auto"/>
          <w:sz w:val="24"/>
          <w:szCs w:val="24"/>
          <w:highlight w:val="none"/>
          <w:u w:val="none"/>
        </w:rPr>
        <w:t>、残疾人福利性单位声明函</w:t>
      </w:r>
    </w:p>
    <w:p w14:paraId="7A6E09C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十一、供应商承诺书</w:t>
      </w:r>
    </w:p>
    <w:p w14:paraId="1069130E">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color w:val="auto"/>
          <w:sz w:val="24"/>
          <w:szCs w:val="24"/>
          <w:highlight w:val="none"/>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rPr>
        <w:t>、分项报价表</w:t>
      </w:r>
    </w:p>
    <w:p w14:paraId="4A56A71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十</w:t>
      </w:r>
      <w:r>
        <w:rPr>
          <w:rFonts w:hint="eastAsia"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商务要求响应及偏离表</w:t>
      </w:r>
    </w:p>
    <w:p w14:paraId="3DA62A21">
      <w:pPr>
        <w:pStyle w:val="235"/>
        <w:widowControl w:val="0"/>
        <w:spacing w:before="0" w:beforeAutospacing="0" w:after="0" w:afterAutospacing="0" w:line="360" w:lineRule="auto"/>
        <w:ind w:firstLine="480"/>
        <w:jc w:val="both"/>
        <w:rPr>
          <w:rFonts w:hint="eastAsia"/>
          <w:color w:val="auto"/>
          <w:highlight w:val="none"/>
        </w:rPr>
      </w:pPr>
      <w:r>
        <w:rPr>
          <w:rFonts w:hint="eastAsia"/>
          <w:color w:val="auto"/>
          <w:highlight w:val="none"/>
          <w:lang w:val="en-US" w:eastAsia="zh-CN"/>
        </w:rPr>
        <w:t>十四、</w:t>
      </w:r>
      <w:r>
        <w:rPr>
          <w:rFonts w:hint="eastAsia"/>
          <w:color w:val="auto"/>
          <w:highlight w:val="none"/>
        </w:rPr>
        <w:t>技术要求响应及偏离表</w:t>
      </w:r>
    </w:p>
    <w:p w14:paraId="396963BF">
      <w:pPr>
        <w:pStyle w:val="235"/>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五</w:t>
      </w:r>
      <w:r>
        <w:rPr>
          <w:rFonts w:hint="eastAsia"/>
          <w:color w:val="auto"/>
          <w:highlight w:val="none"/>
        </w:rPr>
        <w:t>、项目团队人员一览表</w:t>
      </w:r>
    </w:p>
    <w:p w14:paraId="4ECF6C99">
      <w:pPr>
        <w:pStyle w:val="235"/>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六</w:t>
      </w:r>
      <w:r>
        <w:rPr>
          <w:rFonts w:hint="eastAsia"/>
          <w:color w:val="auto"/>
          <w:highlight w:val="none"/>
        </w:rPr>
        <w:t>、类似业绩一览表</w:t>
      </w:r>
    </w:p>
    <w:p w14:paraId="49030450">
      <w:pPr>
        <w:pStyle w:val="235"/>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七</w:t>
      </w:r>
      <w:r>
        <w:rPr>
          <w:rFonts w:hint="eastAsia"/>
          <w:color w:val="auto"/>
          <w:highlight w:val="none"/>
        </w:rPr>
        <w:t>、其他材料</w:t>
      </w:r>
    </w:p>
    <w:p w14:paraId="358F8504">
      <w:pPr>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p>
    <w:p w14:paraId="51643D8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outlineLvl w:val="1"/>
        <w:rPr>
          <w:color w:val="auto"/>
          <w:highlight w:val="none"/>
        </w:rPr>
      </w:pPr>
      <w:r>
        <w:rPr>
          <w:rFonts w:hint="eastAsia" w:ascii="黑体" w:hAnsi="宋体" w:eastAsia="黑体" w:cs="黑体"/>
          <w:i w:val="0"/>
          <w:iCs w:val="0"/>
          <w:color w:val="auto"/>
          <w:sz w:val="32"/>
          <w:szCs w:val="32"/>
          <w:highlight w:val="none"/>
          <w:u w:val="single"/>
        </w:rPr>
        <w:t>一、法人或者其他组织的营业执照等证明文件，自然人的身份证明</w:t>
      </w:r>
    </w:p>
    <w:p w14:paraId="5BE7C8A4">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highlight w:val="none"/>
        </w:rPr>
      </w:pPr>
      <w:r>
        <w:rPr>
          <w:color w:val="auto"/>
          <w:highlight w:val="none"/>
        </w:rPr>
        <w:t> </w:t>
      </w:r>
    </w:p>
    <w:p w14:paraId="5279C9D0">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highlight w:val="none"/>
        </w:rPr>
      </w:pPr>
    </w:p>
    <w:p w14:paraId="4AC2B7CB">
      <w:pPr>
        <w:outlineLvl w:val="9"/>
        <w:rPr>
          <w:rFonts w:hint="eastAsia" w:ascii="宋体" w:hAnsi="宋体" w:eastAsia="宋体" w:cs="宋体"/>
          <w:i/>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p>
    <w:p w14:paraId="4458331B">
      <w:pPr>
        <w:outlineLvl w:val="9"/>
        <w:rPr>
          <w:rFonts w:hint="eastAsia" w:ascii="宋体" w:hAnsi="宋体" w:eastAsia="宋体" w:cs="宋体"/>
          <w:i/>
          <w:color w:val="auto"/>
          <w:sz w:val="32"/>
          <w:szCs w:val="32"/>
          <w:highlight w:val="none"/>
          <w:u w:val="single"/>
        </w:rPr>
      </w:pPr>
    </w:p>
    <w:p w14:paraId="08F48B0F">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法定代表人身份证明</w:t>
      </w:r>
      <w:r>
        <w:rPr>
          <w:rFonts w:hint="eastAsia" w:ascii="宋体" w:hAnsi="宋体" w:eastAsia="宋体" w:cs="宋体"/>
          <w:b/>
          <w:color w:val="auto"/>
          <w:sz w:val="36"/>
          <w:szCs w:val="36"/>
          <w:highlight w:val="none"/>
          <w:lang w:eastAsia="zh-CN"/>
        </w:rPr>
        <w:t>（</w:t>
      </w:r>
      <w:r>
        <w:rPr>
          <w:rFonts w:hint="eastAsia" w:ascii="宋体" w:hAnsi="宋体" w:eastAsia="宋体" w:cs="宋体"/>
          <w:b/>
          <w:color w:val="auto"/>
          <w:sz w:val="36"/>
          <w:szCs w:val="36"/>
          <w:highlight w:val="none"/>
          <w:lang w:val="en-US" w:eastAsia="zh-CN"/>
        </w:rPr>
        <w:t>格式</w:t>
      </w:r>
      <w:r>
        <w:rPr>
          <w:rFonts w:hint="eastAsia" w:ascii="宋体" w:hAnsi="宋体" w:eastAsia="宋体" w:cs="宋体"/>
          <w:b/>
          <w:color w:val="auto"/>
          <w:sz w:val="36"/>
          <w:szCs w:val="36"/>
          <w:highlight w:val="none"/>
          <w:lang w:eastAsia="zh-CN"/>
        </w:rPr>
        <w:t>）</w:t>
      </w:r>
    </w:p>
    <w:p w14:paraId="0D603DB5">
      <w:pPr>
        <w:spacing w:line="200" w:lineRule="exact"/>
        <w:rPr>
          <w:rFonts w:hint="eastAsia" w:ascii="宋体" w:hAnsi="宋体" w:eastAsia="宋体" w:cs="宋体"/>
          <w:color w:val="auto"/>
          <w:sz w:val="20"/>
          <w:szCs w:val="20"/>
          <w:highlight w:val="none"/>
        </w:rPr>
      </w:pPr>
    </w:p>
    <w:p w14:paraId="24151400">
      <w:pPr>
        <w:tabs>
          <w:tab w:val="left" w:pos="5580"/>
        </w:tabs>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采购单位</w:t>
      </w:r>
    </w:p>
    <w:p w14:paraId="70706340">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311675E6">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姓名：性别：年龄：职务：</w:t>
      </w:r>
    </w:p>
    <w:p w14:paraId="5D47D629">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6BCD0D48">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供应商名称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的法定代表人。</w:t>
      </w:r>
    </w:p>
    <w:p w14:paraId="44B4FD95">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75E271E8">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015D7F0B">
      <w:pPr>
        <w:tabs>
          <w:tab w:val="left" w:pos="567"/>
        </w:tabs>
        <w:spacing w:before="120" w:line="583" w:lineRule="auto"/>
        <w:ind w:right="-46"/>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人有效期内的身份证正反面电子件：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E770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4" w:hRule="atLeast"/>
        </w:trPr>
        <w:tc>
          <w:tcPr>
            <w:tcW w:w="4673" w:type="dxa"/>
            <w:noWrap w:val="0"/>
            <w:vAlign w:val="top"/>
          </w:tcPr>
          <w:p w14:paraId="06BA7196">
            <w:pPr>
              <w:tabs>
                <w:tab w:val="left" w:pos="5580"/>
              </w:tabs>
              <w:spacing w:line="360" w:lineRule="auto"/>
              <w:jc w:val="left"/>
              <w:rPr>
                <w:rFonts w:hint="eastAsia" w:ascii="宋体" w:hAnsi="宋体" w:eastAsia="宋体" w:cs="宋体"/>
                <w:color w:val="auto"/>
                <w:sz w:val="24"/>
                <w:szCs w:val="20"/>
                <w:highlight w:val="none"/>
              </w:rPr>
            </w:pPr>
          </w:p>
          <w:p w14:paraId="4417F0C8">
            <w:pPr>
              <w:tabs>
                <w:tab w:val="left" w:pos="5580"/>
              </w:tabs>
              <w:spacing w:line="360" w:lineRule="auto"/>
              <w:jc w:val="left"/>
              <w:rPr>
                <w:rFonts w:hint="eastAsia" w:ascii="宋体" w:hAnsi="宋体" w:eastAsia="宋体" w:cs="宋体"/>
                <w:color w:val="auto"/>
                <w:sz w:val="24"/>
                <w:szCs w:val="20"/>
                <w:highlight w:val="none"/>
              </w:rPr>
            </w:pPr>
          </w:p>
          <w:p w14:paraId="198E4227">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34AAD2F6">
            <w:pPr>
              <w:tabs>
                <w:tab w:val="left" w:pos="5580"/>
              </w:tabs>
              <w:spacing w:line="360" w:lineRule="auto"/>
              <w:jc w:val="left"/>
              <w:rPr>
                <w:rFonts w:hint="eastAsia" w:ascii="宋体" w:hAnsi="宋体" w:eastAsia="宋体" w:cs="宋体"/>
                <w:color w:val="auto"/>
                <w:sz w:val="24"/>
                <w:szCs w:val="20"/>
                <w:highlight w:val="none"/>
              </w:rPr>
            </w:pPr>
          </w:p>
          <w:p w14:paraId="6FB63E74">
            <w:pPr>
              <w:tabs>
                <w:tab w:val="left" w:pos="5580"/>
              </w:tabs>
              <w:spacing w:line="360" w:lineRule="auto"/>
              <w:jc w:val="left"/>
              <w:rPr>
                <w:rFonts w:hint="eastAsia" w:ascii="宋体" w:hAnsi="宋体" w:eastAsia="宋体" w:cs="宋体"/>
                <w:color w:val="auto"/>
                <w:sz w:val="24"/>
                <w:szCs w:val="20"/>
                <w:highlight w:val="none"/>
              </w:rPr>
            </w:pPr>
          </w:p>
          <w:p w14:paraId="6638E8A6">
            <w:pPr>
              <w:tabs>
                <w:tab w:val="left" w:pos="5580"/>
              </w:tabs>
              <w:spacing w:line="360" w:lineRule="auto"/>
              <w:jc w:val="left"/>
              <w:rPr>
                <w:rFonts w:hint="eastAsia" w:ascii="宋体" w:hAnsi="宋体" w:eastAsia="宋体" w:cs="宋体"/>
                <w:color w:val="auto"/>
                <w:sz w:val="24"/>
                <w:szCs w:val="20"/>
                <w:highlight w:val="none"/>
              </w:rPr>
            </w:pPr>
          </w:p>
        </w:tc>
      </w:tr>
    </w:tbl>
    <w:p w14:paraId="386686F9">
      <w:pPr>
        <w:tabs>
          <w:tab w:val="left" w:pos="567"/>
        </w:tabs>
        <w:spacing w:before="120" w:line="583" w:lineRule="auto"/>
        <w:ind w:right="4305"/>
        <w:rPr>
          <w:rFonts w:hint="eastAsia" w:ascii="宋体" w:hAnsi="宋体" w:eastAsia="宋体" w:cs="宋体"/>
          <w:color w:val="auto"/>
          <w:spacing w:val="-3"/>
          <w:sz w:val="24"/>
          <w:szCs w:val="24"/>
          <w:highlight w:val="none"/>
        </w:rPr>
      </w:pPr>
    </w:p>
    <w:p w14:paraId="0C271CDC">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（加盖公章）</w:t>
      </w:r>
      <w:r>
        <w:rPr>
          <w:rFonts w:hint="eastAsia" w:ascii="宋体" w:hAnsi="宋体" w:eastAsia="宋体" w:cs="宋体"/>
          <w:color w:val="auto"/>
          <w:sz w:val="24"/>
          <w:szCs w:val="24"/>
          <w:highlight w:val="none"/>
          <w:lang w:val="zh-CN"/>
        </w:rPr>
        <w:t>：</w:t>
      </w:r>
    </w:p>
    <w:p w14:paraId="7125326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法定代表人（签字、签章或印鉴）：</w:t>
      </w:r>
    </w:p>
    <w:p w14:paraId="1AFBD011">
      <w:pPr>
        <w:spacing w:line="360" w:lineRule="auto"/>
        <w:rPr>
          <w:rFonts w:hint="eastAsia" w:ascii="宋体" w:hAnsi="宋体" w:eastAsia="宋体" w:cs="宋体"/>
          <w:color w:val="auto"/>
          <w:sz w:val="24"/>
          <w:szCs w:val="24"/>
          <w:highlight w:val="none"/>
        </w:rPr>
      </w:pPr>
    </w:p>
    <w:p w14:paraId="3159A3F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70991671">
      <w:pPr>
        <w:spacing w:line="360" w:lineRule="auto"/>
        <w:rPr>
          <w:rFonts w:hint="eastAsia" w:ascii="宋体" w:hAnsi="宋体" w:eastAsia="宋体" w:cs="宋体"/>
          <w:color w:val="auto"/>
          <w:sz w:val="24"/>
          <w:szCs w:val="24"/>
          <w:highlight w:val="none"/>
        </w:rPr>
      </w:pPr>
    </w:p>
    <w:p w14:paraId="6FFB658B">
      <w:pPr>
        <w:shd w:val="clear" w:color="auto" w:fill="auto"/>
        <w:rPr>
          <w:rFonts w:hint="eastAsia" w:ascii="宋体" w:hAnsi="宋体" w:eastAsia="宋体" w:cs="宋体"/>
          <w:i/>
          <w:iCs/>
          <w:color w:val="auto"/>
          <w:sz w:val="32"/>
          <w:szCs w:val="32"/>
          <w:highlight w:val="none"/>
          <w:u w:val="single"/>
        </w:rPr>
      </w:pPr>
    </w:p>
    <w:p w14:paraId="450592BB">
      <w:pPr>
        <w:shd w:val="clear" w:color="auto" w:fill="auto"/>
        <w:rPr>
          <w:rFonts w:hint="eastAsia" w:ascii="宋体" w:hAnsi="宋体" w:eastAsia="宋体" w:cs="宋体"/>
          <w:i/>
          <w:iCs/>
          <w:color w:val="auto"/>
          <w:sz w:val="32"/>
          <w:szCs w:val="32"/>
          <w:highlight w:val="none"/>
          <w:u w:val="single"/>
        </w:rPr>
      </w:pPr>
    </w:p>
    <w:p w14:paraId="65E428BE">
      <w:pPr>
        <w:shd w:val="clear" w:color="auto" w:fill="auto"/>
        <w:rPr>
          <w:rFonts w:hint="eastAsia" w:ascii="宋体" w:hAnsi="宋体" w:eastAsia="宋体" w:cs="宋体"/>
          <w:i/>
          <w:iCs/>
          <w:color w:val="auto"/>
          <w:sz w:val="32"/>
          <w:szCs w:val="32"/>
          <w:highlight w:val="none"/>
          <w:u w:val="single"/>
        </w:rPr>
      </w:pPr>
    </w:p>
    <w:p w14:paraId="13E5BDE7">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center"/>
        <w:outlineLvl w:val="1"/>
        <w:rPr>
          <w:rFonts w:hint="eastAsia" w:ascii="黑体" w:hAnsi="宋体" w:eastAsia="黑体" w:cs="黑体"/>
          <w:i w:val="0"/>
          <w:iCs w:val="0"/>
          <w:color w:val="auto"/>
          <w:sz w:val="32"/>
          <w:szCs w:val="32"/>
          <w:highlight w:val="none"/>
          <w:u w:val="single"/>
        </w:rPr>
      </w:pPr>
      <w:r>
        <w:rPr>
          <w:rFonts w:hint="eastAsia" w:ascii="黑体" w:hAnsi="宋体" w:eastAsia="黑体" w:cs="黑体"/>
          <w:i w:val="0"/>
          <w:iCs w:val="0"/>
          <w:color w:val="auto"/>
          <w:sz w:val="32"/>
          <w:szCs w:val="32"/>
          <w:highlight w:val="none"/>
          <w:u w:val="single"/>
        </w:rPr>
        <w:t>二、上一年度的财务状况报告</w:t>
      </w:r>
    </w:p>
    <w:p w14:paraId="3949EF6A">
      <w:pPr>
        <w:spacing w:line="360" w:lineRule="auto"/>
        <w:ind w:firstLine="482"/>
        <w:rPr>
          <w:rFonts w:hint="eastAsia" w:ascii="宋体" w:hAnsi="宋体" w:eastAsia="宋体" w:cs="宋体"/>
          <w:b/>
          <w:bCs/>
          <w:color w:val="auto"/>
          <w:sz w:val="24"/>
          <w:highlight w:val="none"/>
        </w:rPr>
      </w:pPr>
    </w:p>
    <w:p w14:paraId="220D3879">
      <w:pPr>
        <w:spacing w:line="360" w:lineRule="auto"/>
        <w:ind w:firstLine="482"/>
        <w:rPr>
          <w:rFonts w:hint="eastAsia" w:ascii="宋体" w:hAnsi="宋体" w:eastAsia="宋体" w:cs="宋体"/>
          <w:b w:val="0"/>
          <w:bCs w:val="0"/>
          <w:i/>
          <w:iCs/>
          <w:color w:val="auto"/>
          <w:sz w:val="32"/>
          <w:szCs w:val="32"/>
          <w:highlight w:val="none"/>
          <w:u w:val="single"/>
          <w:lang w:bidi="ar"/>
        </w:rPr>
      </w:pPr>
      <w:r>
        <w:rPr>
          <w:rFonts w:hint="eastAsia" w:ascii="宋体" w:hAnsi="宋体" w:eastAsia="宋体" w:cs="宋体"/>
          <w:b/>
          <w:bCs/>
          <w:color w:val="auto"/>
          <w:sz w:val="24"/>
          <w:highlight w:val="none"/>
        </w:rPr>
        <w:t>注：根据连财购〔2023〕4号文件精神，</w:t>
      </w:r>
      <w:r>
        <w:rPr>
          <w:rFonts w:hint="eastAsia" w:ascii="宋体" w:hAnsi="宋体" w:eastAsia="宋体" w:cs="宋体"/>
          <w:b/>
          <w:bCs/>
          <w:color w:val="auto"/>
          <w:sz w:val="24"/>
          <w:highlight w:val="none"/>
          <w:lang w:val="en-US" w:eastAsia="zh-CN"/>
        </w:rPr>
        <w:t>本</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格式如下</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676682D8">
      <w:pPr>
        <w:spacing w:line="360" w:lineRule="auto"/>
        <w:ind w:firstLine="0"/>
        <w:jc w:val="center"/>
        <w:rPr>
          <w:rFonts w:hint="eastAsia" w:ascii="宋体" w:hAnsi="宋体" w:eastAsia="宋体" w:cs="宋体"/>
          <w:bCs/>
          <w:color w:val="auto"/>
          <w:sz w:val="36"/>
          <w:szCs w:val="28"/>
          <w:highlight w:val="none"/>
        </w:rPr>
      </w:pPr>
    </w:p>
    <w:p w14:paraId="7A548133">
      <w:pPr>
        <w:spacing w:line="360" w:lineRule="auto"/>
        <w:ind w:firstLine="0"/>
        <w:jc w:val="center"/>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财务状况报告及税收、社会保障资金缴纳情况承诺函</w:t>
      </w:r>
      <w:r>
        <w:rPr>
          <w:rFonts w:hint="eastAsia" w:ascii="宋体" w:hAnsi="宋体" w:eastAsia="宋体" w:cs="宋体"/>
          <w:bCs/>
          <w:color w:val="auto"/>
          <w:sz w:val="36"/>
          <w:szCs w:val="28"/>
          <w:highlight w:val="none"/>
          <w:lang w:eastAsia="zh-CN"/>
        </w:rPr>
        <w:t>（</w:t>
      </w:r>
      <w:r>
        <w:rPr>
          <w:rFonts w:hint="eastAsia" w:ascii="宋体" w:hAnsi="宋体" w:eastAsia="宋体" w:cs="宋体"/>
          <w:bCs/>
          <w:color w:val="auto"/>
          <w:sz w:val="36"/>
          <w:szCs w:val="28"/>
          <w:highlight w:val="none"/>
          <w:lang w:val="en-US" w:eastAsia="zh-CN"/>
        </w:rPr>
        <w:t>格式</w:t>
      </w:r>
      <w:r>
        <w:rPr>
          <w:rFonts w:hint="eastAsia" w:ascii="宋体" w:hAnsi="宋体" w:eastAsia="宋体" w:cs="宋体"/>
          <w:bCs/>
          <w:color w:val="auto"/>
          <w:sz w:val="36"/>
          <w:szCs w:val="28"/>
          <w:highlight w:val="none"/>
          <w:lang w:eastAsia="zh-CN"/>
        </w:rPr>
        <w:t>）</w:t>
      </w:r>
    </w:p>
    <w:p w14:paraId="3EE2E6F2">
      <w:pPr>
        <w:pStyle w:val="260"/>
        <w:rPr>
          <w:rFonts w:hint="eastAsia" w:ascii="宋体" w:hAnsi="宋体" w:eastAsia="宋体" w:cs="宋体"/>
          <w:color w:val="auto"/>
          <w:highlight w:val="none"/>
        </w:rPr>
      </w:pPr>
    </w:p>
    <w:p w14:paraId="1A7DCFDD">
      <w:pPr>
        <w:keepNext w:val="0"/>
        <w:keepLines w:val="0"/>
        <w:pageBreakBefore w:val="0"/>
        <w:widowControl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采购人名称</w:t>
      </w:r>
    </w:p>
    <w:p w14:paraId="0C34ABA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rPr>
        <w:t>参加</w:t>
      </w:r>
      <w:r>
        <w:rPr>
          <w:rFonts w:hint="eastAsia" w:ascii="宋体" w:hAnsi="宋体" w:cs="宋体"/>
          <w:color w:val="auto"/>
          <w:sz w:val="24"/>
          <w:highlight w:val="none"/>
          <w:u w:val="single"/>
          <w:lang w:val="en-US" w:eastAsia="zh-CN"/>
        </w:rPr>
        <w:t>项目</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采购包</w:t>
      </w:r>
      <w:r>
        <w:rPr>
          <w:rFonts w:hint="eastAsia" w:ascii="宋体" w:hAnsi="宋体" w:eastAsia="宋体" w:cs="宋体"/>
          <w:color w:val="auto"/>
          <w:sz w:val="24"/>
          <w:highlight w:val="none"/>
        </w:rPr>
        <w:t>编号：</w:t>
      </w:r>
      <w:r>
        <w:rPr>
          <w:rFonts w:hint="eastAsia" w:ascii="宋体" w:hAnsi="宋体" w:cs="宋体"/>
          <w:color w:val="auto"/>
          <w:sz w:val="24"/>
          <w:highlight w:val="none"/>
          <w:u w:val="single"/>
          <w:lang w:val="en-US" w:eastAsia="zh-CN"/>
        </w:rPr>
        <w:t>项目</w:t>
      </w:r>
      <w:r>
        <w:rPr>
          <w:rFonts w:hint="eastAsia" w:ascii="宋体" w:hAnsi="宋体" w:eastAsia="宋体" w:cs="宋体"/>
          <w:color w:val="auto"/>
          <w:sz w:val="24"/>
          <w:highlight w:val="none"/>
          <w:u w:val="single"/>
        </w:rPr>
        <w:t>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3876F3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0CA4709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6FEBE82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52484F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52FD5B0">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337971E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3242091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1AF8544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日期：年月日</w:t>
      </w:r>
    </w:p>
    <w:p w14:paraId="53EC46B9">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p>
    <w:p w14:paraId="3B6DDB89">
      <w:pPr>
        <w:pStyle w:val="235"/>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center"/>
        <w:outlineLvl w:val="1"/>
        <w:rPr>
          <w:rFonts w:hint="eastAsia" w:ascii="黑体" w:hAnsi="宋体" w:eastAsia="黑体" w:cs="黑体"/>
          <w:i w:val="0"/>
          <w:iCs w:val="0"/>
          <w:color w:val="auto"/>
          <w:sz w:val="32"/>
          <w:szCs w:val="32"/>
          <w:highlight w:val="none"/>
          <w:u w:val="none"/>
        </w:rPr>
      </w:pPr>
      <w:r>
        <w:rPr>
          <w:rFonts w:hint="eastAsia" w:ascii="黑体" w:eastAsia="黑体" w:cs="黑体"/>
          <w:i w:val="0"/>
          <w:iCs w:val="0"/>
          <w:color w:val="auto"/>
          <w:sz w:val="32"/>
          <w:szCs w:val="32"/>
          <w:highlight w:val="none"/>
          <w:u w:val="none"/>
          <w:lang w:val="en-US" w:eastAsia="zh-CN" w:bidi="ar-SA"/>
        </w:rPr>
        <w:t>三</w:t>
      </w:r>
      <w:r>
        <w:rPr>
          <w:rFonts w:hint="eastAsia" w:ascii="黑体" w:hAnsi="宋体" w:eastAsia="黑体" w:cs="黑体"/>
          <w:i w:val="0"/>
          <w:iCs w:val="0"/>
          <w:color w:val="auto"/>
          <w:sz w:val="32"/>
          <w:szCs w:val="32"/>
          <w:highlight w:val="none"/>
          <w:u w:val="none"/>
          <w:lang w:val="en-US" w:eastAsia="zh-CN" w:bidi="ar-SA"/>
        </w:rPr>
        <w:t>、</w:t>
      </w:r>
      <w:r>
        <w:rPr>
          <w:rFonts w:hint="eastAsia" w:ascii="黑体" w:hAnsi="宋体" w:eastAsia="黑体" w:cs="黑体"/>
          <w:i w:val="0"/>
          <w:iCs w:val="0"/>
          <w:color w:val="auto"/>
          <w:sz w:val="32"/>
          <w:szCs w:val="32"/>
          <w:highlight w:val="none"/>
          <w:u w:val="none"/>
        </w:rPr>
        <w:t>依法缴纳税收和社会保障资金的相关材料</w:t>
      </w:r>
    </w:p>
    <w:p w14:paraId="173212EF">
      <w:pPr>
        <w:numPr>
          <w:ilvl w:val="0"/>
          <w:numId w:val="0"/>
        </w:numPr>
        <w:spacing w:line="360" w:lineRule="auto"/>
        <w:ind w:firstLine="480"/>
        <w:jc w:val="left"/>
        <w:outlineLvl w:val="9"/>
        <w:rPr>
          <w:rFonts w:hint="eastAsia" w:ascii="宋体" w:hAnsi="宋体" w:eastAsia="宋体" w:cs="宋体"/>
          <w:bCs/>
          <w:color w:val="auto"/>
          <w:sz w:val="36"/>
          <w:szCs w:val="28"/>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依法享受缓缴、免缴税收、社会保障资金的提供证明材料。</w:t>
      </w:r>
    </w:p>
    <w:p w14:paraId="33BA25E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注：根据连财购〔2023〕4号文件精神，</w:t>
      </w:r>
      <w:r>
        <w:rPr>
          <w:rFonts w:hint="eastAsia" w:ascii="宋体" w:hAnsi="宋体" w:eastAsia="宋体" w:cs="宋体"/>
          <w:b/>
          <w:bCs/>
          <w:color w:val="auto"/>
          <w:sz w:val="24"/>
          <w:highlight w:val="none"/>
          <w:lang w:val="en-US" w:eastAsia="zh-CN"/>
        </w:rPr>
        <w:t>本</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格式如下</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2E1262BD">
      <w:pPr>
        <w:spacing w:line="360" w:lineRule="auto"/>
        <w:ind w:firstLine="482"/>
        <w:rPr>
          <w:rFonts w:hint="eastAsia" w:ascii="宋体" w:hAnsi="宋体" w:eastAsia="宋体" w:cs="宋体"/>
          <w:b/>
          <w:bCs/>
          <w:color w:val="auto"/>
          <w:sz w:val="24"/>
          <w:highlight w:val="none"/>
        </w:rPr>
      </w:pPr>
    </w:p>
    <w:p w14:paraId="31274F0C">
      <w:pPr>
        <w:spacing w:line="360" w:lineRule="auto"/>
        <w:ind w:firstLine="0"/>
        <w:jc w:val="center"/>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财务状况报告及税收、社会保障资金缴纳情况承诺函</w:t>
      </w:r>
      <w:r>
        <w:rPr>
          <w:rFonts w:hint="eastAsia" w:ascii="宋体" w:hAnsi="宋体" w:eastAsia="宋体" w:cs="宋体"/>
          <w:bCs/>
          <w:color w:val="auto"/>
          <w:sz w:val="36"/>
          <w:szCs w:val="28"/>
          <w:highlight w:val="none"/>
          <w:lang w:eastAsia="zh-CN"/>
        </w:rPr>
        <w:t>（</w:t>
      </w:r>
      <w:r>
        <w:rPr>
          <w:rFonts w:hint="eastAsia" w:ascii="宋体" w:hAnsi="宋体" w:eastAsia="宋体" w:cs="宋体"/>
          <w:bCs/>
          <w:color w:val="auto"/>
          <w:sz w:val="36"/>
          <w:szCs w:val="28"/>
          <w:highlight w:val="none"/>
          <w:lang w:val="en-US" w:eastAsia="zh-CN"/>
        </w:rPr>
        <w:t>格式</w:t>
      </w:r>
      <w:r>
        <w:rPr>
          <w:rFonts w:hint="eastAsia" w:ascii="宋体" w:hAnsi="宋体" w:eastAsia="宋体" w:cs="宋体"/>
          <w:bCs/>
          <w:color w:val="auto"/>
          <w:sz w:val="36"/>
          <w:szCs w:val="28"/>
          <w:highlight w:val="none"/>
          <w:lang w:eastAsia="zh-CN"/>
        </w:rPr>
        <w:t>）</w:t>
      </w:r>
    </w:p>
    <w:p w14:paraId="07333E00">
      <w:pPr>
        <w:pStyle w:val="260"/>
        <w:rPr>
          <w:rFonts w:hint="eastAsia" w:ascii="宋体" w:hAnsi="宋体" w:eastAsia="宋体" w:cs="宋体"/>
          <w:color w:val="auto"/>
          <w:highlight w:val="none"/>
        </w:rPr>
      </w:pPr>
    </w:p>
    <w:p w14:paraId="31F7D7A4">
      <w:pPr>
        <w:keepNext w:val="0"/>
        <w:keepLines w:val="0"/>
        <w:pageBreakBefore w:val="0"/>
        <w:widowControl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采购人名称</w:t>
      </w:r>
    </w:p>
    <w:p w14:paraId="7BBBE03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rPr>
        <w:t>参加</w:t>
      </w:r>
      <w:r>
        <w:rPr>
          <w:rFonts w:hint="eastAsia" w:ascii="宋体" w:hAnsi="宋体" w:cs="宋体"/>
          <w:color w:val="auto"/>
          <w:sz w:val="24"/>
          <w:highlight w:val="none"/>
          <w:u w:val="single"/>
          <w:lang w:val="en-US" w:eastAsia="zh-CN"/>
        </w:rPr>
        <w:t>采购包</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（项目编号：</w:t>
      </w:r>
      <w:r>
        <w:rPr>
          <w:rFonts w:hint="eastAsia" w:ascii="宋体" w:hAnsi="宋体" w:cs="宋体"/>
          <w:color w:val="auto"/>
          <w:sz w:val="24"/>
          <w:highlight w:val="none"/>
          <w:u w:val="single"/>
          <w:lang w:val="en-US" w:eastAsia="zh-CN"/>
        </w:rPr>
        <w:t>采购包</w:t>
      </w:r>
      <w:r>
        <w:rPr>
          <w:rFonts w:hint="eastAsia" w:ascii="宋体" w:hAnsi="宋体" w:eastAsia="宋体" w:cs="宋体"/>
          <w:color w:val="auto"/>
          <w:sz w:val="24"/>
          <w:highlight w:val="none"/>
          <w:u w:val="single"/>
        </w:rPr>
        <w:t>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BB1B48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47B4EF4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7371392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4CA847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7FBFF615">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5B67738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0808C49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74DA5F0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日期：年月日</w:t>
      </w:r>
    </w:p>
    <w:p w14:paraId="35484F17">
      <w:pPr>
        <w:numPr>
          <w:ilvl w:val="0"/>
          <w:numId w:val="0"/>
        </w:numPr>
        <w:spacing w:before="0" w:after="0"/>
        <w:outlineLvl w:val="9"/>
        <w:rPr>
          <w:rFonts w:hint="eastAsia" w:ascii="宋体" w:hAnsi="宋体" w:eastAsia="宋体" w:cs="宋体"/>
          <w:color w:val="auto"/>
          <w:highlight w:val="none"/>
          <w:lang w:val="en-US" w:eastAsia="zh-CN"/>
        </w:rPr>
      </w:pPr>
    </w:p>
    <w:p w14:paraId="22CE2A30">
      <w:pPr>
        <w:outlineLvl w:val="9"/>
        <w:rPr>
          <w:rFonts w:hint="eastAsia" w:ascii="宋体" w:hAnsi="宋体" w:eastAsia="宋体" w:cs="宋体"/>
          <w:color w:val="auto"/>
          <w:sz w:val="32"/>
          <w:szCs w:val="20"/>
          <w:highlight w:val="none"/>
        </w:rPr>
      </w:pPr>
    </w:p>
    <w:p w14:paraId="1035958A">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center"/>
        <w:rPr>
          <w:rFonts w:hint="eastAsia" w:ascii="黑体" w:hAnsi="宋体" w:eastAsia="黑体" w:cs="黑体"/>
          <w:i/>
          <w:iCs/>
          <w:color w:val="auto"/>
          <w:sz w:val="32"/>
          <w:szCs w:val="32"/>
          <w:highlight w:val="none"/>
          <w:u w:val="single"/>
        </w:rPr>
      </w:pPr>
    </w:p>
    <w:p w14:paraId="4C6E02E0">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47B5655B">
      <w:pPr>
        <w:numPr>
          <w:ilvl w:val="0"/>
          <w:numId w:val="0"/>
        </w:numPr>
        <w:spacing w:line="360" w:lineRule="auto"/>
        <w:ind w:left="0" w:firstLine="0"/>
        <w:jc w:val="center"/>
        <w:outlineLvl w:val="1"/>
        <w:rPr>
          <w:rFonts w:hint="eastAsia" w:ascii="黑体" w:hAnsi="黑体" w:eastAsia="黑体" w:cs="Times New Roman"/>
          <w:b/>
          <w:bCs w:val="0"/>
          <w:i w:val="0"/>
          <w:iCs/>
          <w:color w:val="auto"/>
          <w:sz w:val="32"/>
          <w:szCs w:val="32"/>
          <w:highlight w:val="none"/>
          <w:u w:val="single"/>
          <w:lang w:val="en-US" w:eastAsia="zh-CN" w:bidi="ar-SA"/>
        </w:rPr>
      </w:pPr>
      <w:r>
        <w:rPr>
          <w:rFonts w:hint="eastAsia" w:ascii="黑体" w:hAnsi="黑体" w:eastAsia="黑体" w:cs="Times New Roman"/>
          <w:b/>
          <w:bCs w:val="0"/>
          <w:i w:val="0"/>
          <w:iCs/>
          <w:color w:val="auto"/>
          <w:sz w:val="32"/>
          <w:szCs w:val="32"/>
          <w:highlight w:val="none"/>
          <w:u w:val="single"/>
          <w:lang w:val="en-US" w:eastAsia="zh-CN" w:bidi="ar-SA"/>
        </w:rPr>
        <w:t>四、具备履行合同所必需的设备和专业技术能力的书面声明</w:t>
      </w:r>
    </w:p>
    <w:p w14:paraId="176894F4">
      <w:pPr>
        <w:numPr>
          <w:ilvl w:val="0"/>
          <w:numId w:val="0"/>
        </w:numPr>
        <w:spacing w:line="360" w:lineRule="auto"/>
        <w:jc w:val="both"/>
        <w:outlineLvl w:val="9"/>
        <w:rPr>
          <w:rFonts w:hint="eastAsia" w:ascii="黑体" w:hAnsi="黑体" w:eastAsia="黑体" w:cs="Times New Roman"/>
          <w:b/>
          <w:bCs w:val="0"/>
          <w:i/>
          <w:color w:val="auto"/>
          <w:sz w:val="32"/>
          <w:szCs w:val="32"/>
          <w:highlight w:val="none"/>
          <w:u w:val="single"/>
          <w:lang w:val="en-US" w:eastAsia="zh-CN" w:bidi="ar-SA"/>
        </w:rPr>
      </w:pPr>
    </w:p>
    <w:p w14:paraId="0A5F29B3">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我单位郑重声明：我单位具备履行本项采购合同所必需的设备和专业技术能力，为履行本项采购合同我公司具备如下主要设备和主要专业技术能力：</w:t>
      </w:r>
    </w:p>
    <w:p w14:paraId="631588DA">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主要设备有：。</w:t>
      </w:r>
    </w:p>
    <w:p w14:paraId="2707BD53">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主要专业技术能力有：。</w:t>
      </w:r>
    </w:p>
    <w:p w14:paraId="5DE66948">
      <w:pPr>
        <w:spacing w:line="460" w:lineRule="exact"/>
        <w:ind w:firstLine="480"/>
        <w:rPr>
          <w:rFonts w:hint="eastAsia" w:ascii="宋体" w:hAnsi="宋体"/>
          <w:bCs/>
          <w:color w:val="auto"/>
          <w:sz w:val="24"/>
          <w:highlight w:val="none"/>
        </w:rPr>
      </w:pPr>
    </w:p>
    <w:p w14:paraId="7A393124">
      <w:pPr>
        <w:spacing w:line="460" w:lineRule="exact"/>
        <w:ind w:firstLine="480"/>
        <w:rPr>
          <w:rFonts w:hint="eastAsia" w:ascii="宋体" w:hAnsi="宋体"/>
          <w:bCs/>
          <w:color w:val="auto"/>
          <w:sz w:val="24"/>
          <w:highlight w:val="none"/>
        </w:rPr>
      </w:pPr>
    </w:p>
    <w:p w14:paraId="751BBAB9">
      <w:pPr>
        <w:spacing w:line="460" w:lineRule="exact"/>
        <w:ind w:firstLine="480"/>
        <w:rPr>
          <w:rFonts w:hint="eastAsia" w:ascii="宋体" w:hAnsi="宋体" w:eastAsia="宋体"/>
          <w:bCs/>
          <w:color w:val="auto"/>
          <w:sz w:val="24"/>
          <w:highlight w:val="none"/>
          <w:lang w:eastAsia="zh-CN"/>
        </w:rPr>
      </w:pPr>
      <w:r>
        <w:rPr>
          <w:rFonts w:hint="eastAsia" w:ascii="宋体" w:hAnsi="宋体"/>
          <w:bCs/>
          <w:color w:val="auto"/>
          <w:sz w:val="24"/>
          <w:highlight w:val="none"/>
        </w:rPr>
        <w:t>供应商（公章）：</w:t>
      </w:r>
    </w:p>
    <w:p w14:paraId="74E3F75B">
      <w:pPr>
        <w:spacing w:line="460" w:lineRule="exact"/>
        <w:ind w:firstLine="480"/>
        <w:rPr>
          <w:rFonts w:hint="eastAsia" w:ascii="宋体" w:hAnsi="宋体" w:eastAsia="宋体"/>
          <w:bCs/>
          <w:color w:val="auto"/>
          <w:sz w:val="24"/>
          <w:highlight w:val="none"/>
          <w:lang w:eastAsia="zh-CN"/>
        </w:rPr>
      </w:pPr>
    </w:p>
    <w:p w14:paraId="5FEC6372">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法定代表人或其委托代理人（签名或签章）：</w:t>
      </w:r>
    </w:p>
    <w:p w14:paraId="00C625DE">
      <w:pPr>
        <w:spacing w:line="460" w:lineRule="exact"/>
        <w:ind w:firstLine="480"/>
        <w:rPr>
          <w:rFonts w:hint="eastAsia" w:ascii="宋体" w:hAnsi="宋体" w:eastAsia="宋体"/>
          <w:bCs/>
          <w:color w:val="auto"/>
          <w:sz w:val="24"/>
          <w:highlight w:val="none"/>
          <w:lang w:eastAsia="zh-CN"/>
        </w:rPr>
      </w:pPr>
    </w:p>
    <w:p w14:paraId="718751D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bCs/>
          <w:color w:val="auto"/>
          <w:sz w:val="24"/>
          <w:highlight w:val="none"/>
        </w:rPr>
        <w:t>日期：</w:t>
      </w:r>
      <w:r>
        <w:rPr>
          <w:rFonts w:hint="eastAsia" w:ascii="宋体" w:hAnsi="宋体" w:eastAsia="宋体" w:cs="宋体"/>
          <w:color w:val="auto"/>
          <w:sz w:val="24"/>
          <w:highlight w:val="none"/>
        </w:rPr>
        <w:t>年月日</w:t>
      </w:r>
    </w:p>
    <w:p w14:paraId="15F1A96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rFonts w:hint="eastAsia" w:eastAsia="宋体"/>
          <w:color w:val="auto"/>
          <w:highlight w:val="none"/>
          <w:lang w:eastAsia="zh-CN"/>
        </w:rPr>
      </w:pPr>
      <w:r>
        <w:rPr>
          <w:rFonts w:hint="eastAsia" w:ascii="宋体" w:hAnsi="宋体" w:eastAsia="宋体" w:cs="宋体"/>
          <w:color w:val="auto"/>
          <w:sz w:val="24"/>
          <w:szCs w:val="24"/>
          <w:highlight w:val="none"/>
        </w:rPr>
        <w:t>                        </w:t>
      </w:r>
    </w:p>
    <w:p w14:paraId="4D28F0B5">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r>
        <w:rPr>
          <w:color w:val="auto"/>
          <w:highlight w:val="none"/>
        </w:rPr>
        <w:t> </w:t>
      </w:r>
    </w:p>
    <w:p w14:paraId="5E2A3526">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p>
    <w:p w14:paraId="3E5272C4">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2EA1B6E2">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outlineLvl w:val="1"/>
        <w:rPr>
          <w:rFonts w:hint="eastAsia" w:ascii="黑体" w:hAnsi="宋体" w:eastAsia="黑体" w:cs="黑体"/>
          <w:i w:val="0"/>
          <w:iCs w:val="0"/>
          <w:color w:val="auto"/>
          <w:sz w:val="32"/>
          <w:szCs w:val="32"/>
          <w:highlight w:val="none"/>
          <w:u w:val="none"/>
          <w:lang w:val="en-US" w:eastAsia="zh-CN" w:bidi="ar-SA"/>
        </w:rPr>
      </w:pPr>
      <w:r>
        <w:rPr>
          <w:rFonts w:hint="eastAsia" w:ascii="黑体" w:hAnsi="宋体" w:eastAsia="黑体" w:cs="黑体"/>
          <w:i w:val="0"/>
          <w:iCs w:val="0"/>
          <w:color w:val="auto"/>
          <w:sz w:val="32"/>
          <w:szCs w:val="32"/>
          <w:highlight w:val="none"/>
          <w:u w:val="none"/>
          <w:lang w:val="en-US" w:eastAsia="zh-CN" w:bidi="ar-SA"/>
        </w:rPr>
        <w:t>五、参加政府采购活动前3年内在经营活动中没有重大违法记录的书面声明</w:t>
      </w:r>
    </w:p>
    <w:p w14:paraId="22B7F992">
      <w:pPr>
        <w:numPr>
          <w:ilvl w:val="0"/>
          <w:numId w:val="0"/>
        </w:numPr>
        <w:shd w:val="clear" w:color="auto" w:fill="auto"/>
        <w:spacing w:line="460" w:lineRule="exact"/>
        <w:ind w:left="0" w:firstLine="0"/>
        <w:outlineLvl w:val="9"/>
        <w:rPr>
          <w:rFonts w:hint="eastAsia" w:ascii="宋体" w:hAnsi="宋体" w:eastAsia="宋体"/>
          <w:b/>
          <w:bCs/>
          <w:color w:val="auto"/>
          <w:sz w:val="44"/>
          <w:szCs w:val="44"/>
          <w:highlight w:val="none"/>
          <w:lang w:eastAsia="zh-CN"/>
        </w:rPr>
      </w:pPr>
    </w:p>
    <w:p w14:paraId="59F1955A">
      <w:pPr>
        <w:numPr>
          <w:ilvl w:val="0"/>
          <w:numId w:val="0"/>
        </w:numPr>
        <w:shd w:val="clear" w:color="auto" w:fill="auto"/>
        <w:spacing w:line="460" w:lineRule="exact"/>
        <w:jc w:val="center"/>
        <w:rPr>
          <w:rFonts w:hint="eastAsia" w:ascii="宋体" w:hAnsi="宋体"/>
          <w:b/>
          <w:bCs/>
          <w:color w:val="auto"/>
          <w:sz w:val="44"/>
          <w:szCs w:val="44"/>
          <w:highlight w:val="none"/>
        </w:rPr>
      </w:pPr>
      <w:r>
        <w:rPr>
          <w:rFonts w:hint="eastAsia" w:ascii="宋体" w:hAnsi="宋体"/>
          <w:b/>
          <w:bCs/>
          <w:color w:val="auto"/>
          <w:sz w:val="44"/>
          <w:szCs w:val="44"/>
          <w:highlight w:val="none"/>
        </w:rPr>
        <w:t>声明</w:t>
      </w:r>
    </w:p>
    <w:p w14:paraId="16ED0ABE">
      <w:pPr>
        <w:pageBreakBefore w:val="0"/>
        <w:widowControl w:val="0"/>
        <w:shd w:val="clear" w:color="auto" w:fill="auto"/>
        <w:spacing w:line="360" w:lineRule="auto"/>
        <w:outlineLvl w:val="9"/>
        <w:rPr>
          <w:rFonts w:hint="eastAsia"/>
          <w:color w:val="auto"/>
          <w:highlight w:val="none"/>
        </w:rPr>
      </w:pPr>
      <w:r>
        <w:rPr>
          <w:rFonts w:hint="eastAsia" w:ascii="宋体" w:hAnsi="宋体" w:eastAsia="宋体" w:cs="宋体"/>
          <w:color w:val="auto"/>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4E4540EE">
      <w:pPr>
        <w:shd w:val="clear" w:color="auto" w:fill="auto"/>
        <w:spacing w:line="460" w:lineRule="exact"/>
        <w:ind w:firstLine="481"/>
        <w:rPr>
          <w:rFonts w:hint="eastAsia" w:ascii="宋体" w:hAnsi="宋体"/>
          <w:bCs/>
          <w:color w:val="auto"/>
          <w:sz w:val="24"/>
          <w:highlight w:val="none"/>
        </w:rPr>
      </w:pPr>
    </w:p>
    <w:p w14:paraId="63FBCDA7">
      <w:pPr>
        <w:shd w:val="clear" w:color="auto" w:fill="auto"/>
        <w:spacing w:line="460" w:lineRule="exact"/>
        <w:ind w:firstLine="481"/>
        <w:rPr>
          <w:rFonts w:hint="eastAsia" w:ascii="宋体" w:hAnsi="宋体" w:eastAsia="宋体"/>
          <w:bCs/>
          <w:color w:val="auto"/>
          <w:sz w:val="24"/>
          <w:highlight w:val="none"/>
          <w:lang w:eastAsia="zh-CN"/>
        </w:rPr>
      </w:pPr>
      <w:r>
        <w:rPr>
          <w:rFonts w:hint="eastAsia" w:ascii="宋体" w:hAnsi="宋体"/>
          <w:bCs/>
          <w:color w:val="auto"/>
          <w:sz w:val="24"/>
          <w:highlight w:val="none"/>
        </w:rPr>
        <w:t>供应商（公章）：（加盖CA电子公章）</w:t>
      </w:r>
    </w:p>
    <w:p w14:paraId="05ECD539">
      <w:pPr>
        <w:shd w:val="clear" w:color="auto" w:fill="auto"/>
        <w:spacing w:line="460" w:lineRule="exact"/>
        <w:ind w:firstLine="481"/>
        <w:rPr>
          <w:rFonts w:hint="eastAsia" w:ascii="宋体" w:hAnsi="宋体" w:eastAsia="宋体"/>
          <w:bCs/>
          <w:color w:val="auto"/>
          <w:sz w:val="24"/>
          <w:highlight w:val="none"/>
          <w:lang w:eastAsia="zh-CN"/>
        </w:rPr>
      </w:pPr>
    </w:p>
    <w:p w14:paraId="3FC818F2">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法定代表人或其委托代理人（签名或签章）：</w:t>
      </w:r>
    </w:p>
    <w:p w14:paraId="3BDAD2E1">
      <w:pPr>
        <w:shd w:val="clear" w:color="auto" w:fill="auto"/>
        <w:spacing w:line="460" w:lineRule="exact"/>
        <w:ind w:firstLine="481"/>
        <w:rPr>
          <w:rFonts w:hint="eastAsia" w:ascii="宋体" w:hAnsi="宋体" w:eastAsia="宋体"/>
          <w:bCs/>
          <w:color w:val="auto"/>
          <w:sz w:val="24"/>
          <w:highlight w:val="none"/>
          <w:lang w:eastAsia="zh-CN"/>
        </w:rPr>
      </w:pPr>
    </w:p>
    <w:p w14:paraId="0469DCFE">
      <w:pPr>
        <w:shd w:val="clear" w:color="auto" w:fill="auto"/>
        <w:spacing w:line="460" w:lineRule="exact"/>
        <w:ind w:firstLine="481"/>
        <w:rPr>
          <w:rFonts w:hint="eastAsia" w:ascii="宋体" w:hAnsi="宋体" w:eastAsia="宋体"/>
          <w:bCs/>
          <w:color w:val="auto"/>
          <w:sz w:val="24"/>
          <w:highlight w:val="none"/>
          <w:lang w:val="en-US" w:eastAsia="zh-CN"/>
        </w:rPr>
      </w:pPr>
      <w:r>
        <w:rPr>
          <w:rFonts w:hint="eastAsia" w:ascii="宋体" w:hAnsi="宋体"/>
          <w:bCs/>
          <w:color w:val="auto"/>
          <w:sz w:val="24"/>
          <w:highlight w:val="none"/>
        </w:rPr>
        <w:t>日期：</w:t>
      </w:r>
      <w:r>
        <w:rPr>
          <w:rFonts w:hint="eastAsia" w:ascii="宋体" w:hAnsi="宋体"/>
          <w:bCs/>
          <w:color w:val="auto"/>
          <w:sz w:val="24"/>
          <w:highlight w:val="none"/>
          <w:lang w:val="en-US" w:eastAsia="zh-CN"/>
        </w:rPr>
        <w:t>年月日</w:t>
      </w:r>
    </w:p>
    <w:p w14:paraId="753DB13A">
      <w:pPr>
        <w:shd w:val="clear" w:color="auto" w:fill="auto"/>
        <w:spacing w:line="440" w:lineRule="exact"/>
        <w:ind w:firstLine="480"/>
        <w:rPr>
          <w:rFonts w:hint="eastAsia" w:ascii="宋体" w:hAnsi="宋体" w:eastAsia="宋体"/>
          <w:i/>
          <w:color w:val="auto"/>
          <w:sz w:val="24"/>
          <w:szCs w:val="21"/>
          <w:highlight w:val="none"/>
          <w:u w:val="single"/>
          <w:lang w:val="en-US" w:eastAsia="zh-CN"/>
        </w:rPr>
      </w:pPr>
    </w:p>
    <w:p w14:paraId="0148FEE1">
      <w:pPr>
        <w:pStyle w:val="23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rFonts w:hint="eastAsia" w:ascii="黑体" w:hAnsi="宋体" w:eastAsia="黑体" w:cs="黑体"/>
          <w:i/>
          <w:iCs/>
          <w:color w:val="auto"/>
          <w:sz w:val="32"/>
          <w:szCs w:val="32"/>
          <w:highlight w:val="none"/>
          <w:u w:val="single"/>
        </w:rPr>
      </w:pPr>
      <w:r>
        <w:rPr>
          <w:color w:val="auto"/>
          <w:highlight w:val="none"/>
        </w:rPr>
        <w:t> </w:t>
      </w:r>
    </w:p>
    <w:p w14:paraId="6C7F3862">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1126236A">
      <w:pPr>
        <w:numPr>
          <w:ilvl w:val="0"/>
          <w:numId w:val="0"/>
        </w:numPr>
        <w:suppressLineNumbers w:val="0"/>
        <w:shd w:val="clear" w:color="auto" w:fill="auto"/>
        <w:jc w:val="center"/>
        <w:outlineLvl w:val="1"/>
        <w:rPr>
          <w:rFonts w:hint="eastAsia" w:ascii="黑体" w:hAnsi="宋体" w:eastAsia="黑体" w:cs="黑体"/>
          <w:i w:val="0"/>
          <w:iCs w:val="0"/>
          <w:color w:val="auto"/>
          <w:sz w:val="32"/>
          <w:szCs w:val="32"/>
          <w:highlight w:val="none"/>
          <w:u w:val="single"/>
          <w:lang w:val="en-US" w:eastAsia="zh-CN" w:bidi="ar-SA"/>
        </w:rPr>
      </w:pPr>
      <w:r>
        <w:rPr>
          <w:rFonts w:hint="eastAsia" w:ascii="黑体" w:hAnsi="宋体" w:eastAsia="黑体" w:cs="黑体"/>
          <w:i w:val="0"/>
          <w:iCs w:val="0"/>
          <w:color w:val="auto"/>
          <w:sz w:val="32"/>
          <w:szCs w:val="32"/>
          <w:highlight w:val="none"/>
          <w:u w:val="single"/>
          <w:lang w:val="en-US" w:eastAsia="zh-CN" w:bidi="ar-SA"/>
        </w:rPr>
        <w:t>六、法人授权书</w:t>
      </w:r>
    </w:p>
    <w:p w14:paraId="16210F59">
      <w:pPr>
        <w:numPr>
          <w:ilvl w:val="0"/>
          <w:numId w:val="0"/>
        </w:numPr>
        <w:suppressLineNumbers w:val="0"/>
        <w:shd w:val="clear" w:color="auto" w:fill="auto"/>
        <w:jc w:val="center"/>
        <w:outlineLvl w:val="9"/>
        <w:rPr>
          <w:rFonts w:hint="eastAsia" w:ascii="黑体" w:hAnsi="宋体" w:eastAsia="黑体" w:cs="黑体"/>
          <w:i/>
          <w:iCs/>
          <w:color w:val="auto"/>
          <w:sz w:val="32"/>
          <w:szCs w:val="32"/>
          <w:highlight w:val="none"/>
          <w:u w:val="single"/>
          <w:lang w:val="en-US" w:eastAsia="zh-CN" w:bidi="ar-SA"/>
        </w:rPr>
      </w:pPr>
    </w:p>
    <w:p w14:paraId="780033D5">
      <w:pPr>
        <w:spacing w:line="360" w:lineRule="auto"/>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授权委托书</w:t>
      </w:r>
    </w:p>
    <w:p w14:paraId="2478A2D6">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rPr>
        <w:t>采购单位</w:t>
      </w:r>
    </w:p>
    <w:p w14:paraId="7029B8FF">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本人</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rPr>
        <w:t>系</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lang w:eastAsia="zh-CN"/>
        </w:rPr>
        <w:t>供应商名称</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rPr>
        <w:t>的</w:t>
      </w:r>
      <w:r>
        <w:rPr>
          <w:rFonts w:ascii="Calibri" w:hAnsi="Calibri" w:eastAsia="宋体" w:cs="Times New Roman"/>
          <w:color w:val="auto"/>
          <w:sz w:val="24"/>
          <w:szCs w:val="24"/>
          <w:highlight w:val="none"/>
        </w:rPr>
        <w:t>法定代表人</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现委托</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rPr>
        <w:t>为</w:t>
      </w:r>
      <w:r>
        <w:rPr>
          <w:rFonts w:ascii="Calibri" w:hAnsi="Calibri" w:eastAsia="宋体" w:cs="Times New Roman"/>
          <w:color w:val="auto"/>
          <w:sz w:val="24"/>
          <w:szCs w:val="24"/>
          <w:highlight w:val="none"/>
        </w:rPr>
        <w:t>我方代理人。</w:t>
      </w:r>
      <w:r>
        <w:rPr>
          <w:rFonts w:hint="eastAsia" w:ascii="Calibri" w:hAnsi="Calibri" w:eastAsia="宋体" w:cs="Times New Roman"/>
          <w:color w:val="auto"/>
          <w:sz w:val="24"/>
          <w:szCs w:val="24"/>
          <w:highlight w:val="none"/>
        </w:rPr>
        <w:t>代理人根据</w:t>
      </w:r>
      <w:r>
        <w:rPr>
          <w:rFonts w:ascii="Calibri" w:hAnsi="Calibri" w:eastAsia="宋体" w:cs="Times New Roman"/>
          <w:color w:val="auto"/>
          <w:sz w:val="24"/>
          <w:szCs w:val="24"/>
          <w:highlight w:val="none"/>
        </w:rPr>
        <w:t>授权，以我方名义签署、澄清确认、提交、撤回、修改</w:t>
      </w:r>
      <w:r>
        <w:rPr>
          <w:rFonts w:hint="eastAsia" w:ascii="Calibri" w:hAnsi="Calibri" w:eastAsia="宋体" w:cs="Times New Roman"/>
          <w:color w:val="auto"/>
          <w:sz w:val="24"/>
          <w:szCs w:val="24"/>
          <w:highlight w:val="none"/>
          <w:u w:val="single"/>
        </w:rPr>
        <w:t>（</w:t>
      </w:r>
      <w:r>
        <w:rPr>
          <w:rFonts w:hint="eastAsia" w:cs="Times New Roman"/>
          <w:color w:val="auto"/>
          <w:sz w:val="24"/>
          <w:szCs w:val="24"/>
          <w:highlight w:val="none"/>
          <w:u w:val="single"/>
          <w:lang w:val="en-US" w:eastAsia="zh-CN"/>
        </w:rPr>
        <w:t>项目</w:t>
      </w:r>
      <w:r>
        <w:rPr>
          <w:rFonts w:hint="eastAsia"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rPr>
        <w:t>项目（</w:t>
      </w:r>
      <w:r>
        <w:rPr>
          <w:rFonts w:hint="eastAsia" w:cs="Times New Roman"/>
          <w:color w:val="auto"/>
          <w:sz w:val="24"/>
          <w:szCs w:val="24"/>
          <w:highlight w:val="none"/>
          <w:lang w:val="en-US" w:eastAsia="zh-CN"/>
        </w:rPr>
        <w:t>项目</w:t>
      </w:r>
      <w:r>
        <w:rPr>
          <w:rFonts w:hint="eastAsia" w:ascii="Calibri" w:hAnsi="Calibri" w:eastAsia="宋体" w:cs="Times New Roman"/>
          <w:color w:val="auto"/>
          <w:sz w:val="24"/>
          <w:szCs w:val="24"/>
          <w:highlight w:val="none"/>
        </w:rPr>
        <w:t>编号：）</w:t>
      </w:r>
      <w:r>
        <w:rPr>
          <w:rFonts w:hint="eastAsia" w:ascii="Calibri" w:hAnsi="Calibri" w:eastAsia="宋体" w:cs="Times New Roman"/>
          <w:color w:val="auto"/>
          <w:sz w:val="24"/>
          <w:szCs w:val="24"/>
          <w:highlight w:val="none"/>
          <w:lang w:val="en-US" w:eastAsia="zh-CN"/>
        </w:rPr>
        <w:t>投标</w:t>
      </w:r>
      <w:r>
        <w:rPr>
          <w:rFonts w:hint="eastAsia" w:ascii="Calibri" w:hAnsi="Calibri" w:eastAsia="宋体" w:cs="Times New Roman"/>
          <w:color w:val="auto"/>
          <w:sz w:val="24"/>
          <w:szCs w:val="24"/>
          <w:highlight w:val="none"/>
        </w:rPr>
        <w:t>文件和</w:t>
      </w:r>
      <w:r>
        <w:rPr>
          <w:rFonts w:ascii="Calibri" w:hAnsi="Calibri" w:eastAsia="宋体" w:cs="Times New Roman"/>
          <w:color w:val="auto"/>
          <w:sz w:val="24"/>
          <w:szCs w:val="24"/>
          <w:highlight w:val="none"/>
        </w:rPr>
        <w:t>处理有关事宜，其法律后果由我方承担。</w:t>
      </w:r>
    </w:p>
    <w:p w14:paraId="2FE2CD60">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w:t>
      </w:r>
      <w:r>
        <w:rPr>
          <w:rFonts w:ascii="Calibri" w:hAnsi="Calibri" w:eastAsia="宋体" w:cs="Times New Roman"/>
          <w:color w:val="auto"/>
          <w:sz w:val="24"/>
          <w:szCs w:val="24"/>
          <w:highlight w:val="none"/>
        </w:rPr>
        <w:t>期限：自本</w:t>
      </w:r>
      <w:r>
        <w:rPr>
          <w:rFonts w:hint="eastAsia" w:ascii="Calibri" w:hAnsi="Calibri" w:eastAsia="宋体" w:cs="Times New Roman"/>
          <w:color w:val="auto"/>
          <w:sz w:val="24"/>
          <w:szCs w:val="24"/>
          <w:highlight w:val="none"/>
        </w:rPr>
        <w:t>授权</w:t>
      </w:r>
      <w:r>
        <w:rPr>
          <w:rFonts w:ascii="Calibri" w:hAnsi="Calibri" w:eastAsia="宋体" w:cs="Times New Roman"/>
          <w:color w:val="auto"/>
          <w:sz w:val="24"/>
          <w:szCs w:val="24"/>
          <w:highlight w:val="none"/>
        </w:rPr>
        <w:t>委托书签署之日起至</w:t>
      </w:r>
      <w:r>
        <w:rPr>
          <w:rFonts w:hint="eastAsia" w:ascii="Calibri" w:hAnsi="Calibri" w:eastAsia="宋体" w:cs="Times New Roman"/>
          <w:color w:val="auto"/>
          <w:sz w:val="24"/>
          <w:szCs w:val="24"/>
          <w:highlight w:val="none"/>
        </w:rPr>
        <w:t>响应</w:t>
      </w:r>
      <w:r>
        <w:rPr>
          <w:rFonts w:ascii="Calibri" w:hAnsi="Calibri" w:eastAsia="宋体" w:cs="Times New Roman"/>
          <w:color w:val="auto"/>
          <w:sz w:val="24"/>
          <w:szCs w:val="24"/>
          <w:highlight w:val="none"/>
        </w:rPr>
        <w:t>有效期</w:t>
      </w:r>
      <w:r>
        <w:rPr>
          <w:rFonts w:hint="eastAsia" w:ascii="Calibri" w:hAnsi="Calibri" w:eastAsia="宋体" w:cs="Times New Roman"/>
          <w:color w:val="auto"/>
          <w:sz w:val="24"/>
          <w:szCs w:val="24"/>
          <w:highlight w:val="none"/>
        </w:rPr>
        <w:t>届满</w:t>
      </w:r>
      <w:r>
        <w:rPr>
          <w:rFonts w:ascii="Calibri" w:hAnsi="Calibri" w:eastAsia="宋体" w:cs="Times New Roman"/>
          <w:color w:val="auto"/>
          <w:sz w:val="24"/>
          <w:szCs w:val="24"/>
          <w:highlight w:val="none"/>
        </w:rPr>
        <w:t>之日止。</w:t>
      </w:r>
    </w:p>
    <w:p w14:paraId="5CB85A49">
      <w:pPr>
        <w:spacing w:line="360" w:lineRule="auto"/>
        <w:ind w:firstLine="420"/>
        <w:jc w:val="left"/>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代理人</w:t>
      </w:r>
      <w:r>
        <w:rPr>
          <w:rFonts w:ascii="Calibri" w:hAnsi="Calibri" w:eastAsia="宋体" w:cs="Times New Roman"/>
          <w:color w:val="auto"/>
          <w:sz w:val="24"/>
          <w:szCs w:val="24"/>
          <w:highlight w:val="none"/>
        </w:rPr>
        <w:t>无转委托权。</w:t>
      </w:r>
    </w:p>
    <w:p w14:paraId="131D7728">
      <w:pPr>
        <w:spacing w:line="360" w:lineRule="auto"/>
        <w:ind w:firstLine="420"/>
        <w:jc w:val="left"/>
        <w:rPr>
          <w:rFonts w:hint="eastAsia" w:ascii="Calibri" w:hAnsi="Calibri" w:eastAsia="宋体" w:cs="Times New Roman"/>
          <w:color w:val="auto"/>
          <w:sz w:val="24"/>
          <w:szCs w:val="24"/>
          <w:highlight w:val="none"/>
          <w:lang w:eastAsia="zh-CN"/>
        </w:rPr>
      </w:pPr>
    </w:p>
    <w:p w14:paraId="114DC7DC">
      <w:pPr>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lang w:eastAsia="zh-CN"/>
        </w:rPr>
        <w:t>供应商名称</w:t>
      </w:r>
      <w:r>
        <w:rPr>
          <w:rFonts w:ascii="Calibri" w:hAnsi="Calibri" w:eastAsia="宋体" w:cs="Times New Roman"/>
          <w:color w:val="auto"/>
          <w:sz w:val="24"/>
          <w:szCs w:val="24"/>
          <w:highlight w:val="none"/>
        </w:rPr>
        <w:t>（加盖公章）：</w:t>
      </w:r>
    </w:p>
    <w:p w14:paraId="747C2207">
      <w:pPr>
        <w:spacing w:line="360" w:lineRule="auto"/>
        <w:rPr>
          <w:rFonts w:hint="eastAsia" w:ascii="Calibri" w:hAnsi="Calibri" w:eastAsia="宋体" w:cs="Times New Roman"/>
          <w:color w:val="auto"/>
          <w:sz w:val="24"/>
          <w:szCs w:val="24"/>
          <w:highlight w:val="none"/>
          <w:lang w:eastAsia="zh-CN"/>
        </w:rPr>
      </w:pPr>
      <w:r>
        <w:rPr>
          <w:rFonts w:ascii="Calibri" w:hAnsi="Calibri" w:eastAsia="宋体" w:cs="Times New Roman"/>
          <w:color w:val="auto"/>
          <w:sz w:val="24"/>
          <w:szCs w:val="24"/>
          <w:highlight w:val="none"/>
        </w:rPr>
        <w:t>法定代表人（签字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或</w:t>
      </w:r>
      <w:r>
        <w:rPr>
          <w:rFonts w:hint="eastAsia" w:ascii="Calibri" w:hAnsi="Calibri" w:eastAsia="宋体" w:cs="Times New Roman"/>
          <w:color w:val="auto"/>
          <w:sz w:val="24"/>
          <w:szCs w:val="24"/>
          <w:highlight w:val="none"/>
        </w:rPr>
        <w:t>印鉴）</w:t>
      </w:r>
      <w:r>
        <w:rPr>
          <w:rFonts w:ascii="Calibri" w:hAnsi="Calibri" w:eastAsia="宋体" w:cs="Times New Roman"/>
          <w:color w:val="auto"/>
          <w:sz w:val="24"/>
          <w:szCs w:val="24"/>
          <w:highlight w:val="none"/>
        </w:rPr>
        <w:t>：</w:t>
      </w:r>
    </w:p>
    <w:p w14:paraId="07B34B99">
      <w:pPr>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委托代理</w:t>
      </w:r>
      <w:r>
        <w:rPr>
          <w:rFonts w:ascii="Calibri" w:hAnsi="Calibri" w:eastAsia="宋体" w:cs="Times New Roman"/>
          <w:color w:val="auto"/>
          <w:sz w:val="24"/>
          <w:szCs w:val="24"/>
          <w:highlight w:val="none"/>
        </w:rPr>
        <w:t>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w:t>
      </w:r>
    </w:p>
    <w:p w14:paraId="6B7940C8">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1B21BE59">
      <w:pPr>
        <w:tabs>
          <w:tab w:val="left" w:pos="5580"/>
        </w:tabs>
        <w:spacing w:line="360" w:lineRule="auto"/>
        <w:ind w:firstLine="480"/>
        <w:rPr>
          <w:rFonts w:ascii="宋体" w:hAnsi="宋体" w:eastAsia="宋体" w:cs="Times New Roman"/>
          <w:color w:val="auto"/>
          <w:sz w:val="24"/>
          <w:szCs w:val="20"/>
          <w:highlight w:val="none"/>
        </w:rPr>
      </w:pPr>
    </w:p>
    <w:p w14:paraId="6092296C">
      <w:pPr>
        <w:tabs>
          <w:tab w:val="left" w:pos="5580"/>
        </w:tabs>
        <w:spacing w:line="360" w:lineRule="auto"/>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4408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903CBE7">
            <w:pPr>
              <w:tabs>
                <w:tab w:val="left" w:pos="5580"/>
              </w:tabs>
              <w:spacing w:line="360" w:lineRule="auto"/>
              <w:jc w:val="left"/>
              <w:rPr>
                <w:rFonts w:ascii="宋体" w:hAnsi="宋体" w:eastAsia="宋体" w:cs="Times New Roman"/>
                <w:color w:val="auto"/>
                <w:sz w:val="24"/>
                <w:szCs w:val="20"/>
                <w:highlight w:val="none"/>
              </w:rPr>
            </w:pPr>
          </w:p>
          <w:p w14:paraId="291FAC24">
            <w:pPr>
              <w:tabs>
                <w:tab w:val="left" w:pos="5580"/>
              </w:tabs>
              <w:spacing w:line="360" w:lineRule="auto"/>
              <w:jc w:val="left"/>
              <w:rPr>
                <w:rFonts w:ascii="宋体" w:hAnsi="宋体" w:eastAsia="宋体" w:cs="Times New Roman"/>
                <w:color w:val="auto"/>
                <w:sz w:val="24"/>
                <w:szCs w:val="20"/>
                <w:highlight w:val="none"/>
              </w:rPr>
            </w:pPr>
          </w:p>
          <w:p w14:paraId="23A6B29C">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vAlign w:val="top"/>
          </w:tcPr>
          <w:p w14:paraId="305EE3E5">
            <w:pPr>
              <w:tabs>
                <w:tab w:val="left" w:pos="5580"/>
              </w:tabs>
              <w:spacing w:line="360" w:lineRule="auto"/>
              <w:jc w:val="left"/>
              <w:rPr>
                <w:rFonts w:ascii="宋体" w:hAnsi="宋体" w:eastAsia="宋体" w:cs="Times New Roman"/>
                <w:color w:val="auto"/>
                <w:sz w:val="24"/>
                <w:szCs w:val="20"/>
                <w:highlight w:val="none"/>
              </w:rPr>
            </w:pPr>
          </w:p>
          <w:p w14:paraId="4BDF8079">
            <w:pPr>
              <w:tabs>
                <w:tab w:val="left" w:pos="5580"/>
              </w:tabs>
              <w:spacing w:line="360" w:lineRule="auto"/>
              <w:jc w:val="left"/>
              <w:rPr>
                <w:rFonts w:ascii="宋体" w:hAnsi="宋体" w:eastAsia="宋体" w:cs="Times New Roman"/>
                <w:color w:val="auto"/>
                <w:sz w:val="24"/>
                <w:szCs w:val="20"/>
                <w:highlight w:val="none"/>
              </w:rPr>
            </w:pPr>
          </w:p>
          <w:p w14:paraId="50DC1B14">
            <w:pPr>
              <w:tabs>
                <w:tab w:val="left" w:pos="5580"/>
              </w:tabs>
              <w:spacing w:line="360" w:lineRule="auto"/>
              <w:jc w:val="left"/>
              <w:rPr>
                <w:rFonts w:ascii="宋体" w:hAnsi="宋体" w:eastAsia="宋体" w:cs="Times New Roman"/>
                <w:color w:val="auto"/>
                <w:sz w:val="24"/>
                <w:szCs w:val="20"/>
                <w:highlight w:val="none"/>
              </w:rPr>
            </w:pPr>
          </w:p>
        </w:tc>
      </w:tr>
    </w:tbl>
    <w:p w14:paraId="0A6280EE">
      <w:pPr>
        <w:tabs>
          <w:tab w:val="left" w:pos="5580"/>
        </w:tabs>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FC19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12C31FA">
            <w:pPr>
              <w:tabs>
                <w:tab w:val="left" w:pos="5580"/>
              </w:tabs>
              <w:spacing w:line="360" w:lineRule="auto"/>
              <w:jc w:val="left"/>
              <w:rPr>
                <w:rFonts w:ascii="宋体" w:hAnsi="宋体" w:eastAsia="宋体" w:cs="Times New Roman"/>
                <w:color w:val="auto"/>
                <w:sz w:val="24"/>
                <w:szCs w:val="20"/>
                <w:highlight w:val="none"/>
              </w:rPr>
            </w:pPr>
          </w:p>
          <w:p w14:paraId="0ED3E212">
            <w:pPr>
              <w:tabs>
                <w:tab w:val="left" w:pos="5580"/>
              </w:tabs>
              <w:spacing w:line="360" w:lineRule="auto"/>
              <w:jc w:val="left"/>
              <w:rPr>
                <w:rFonts w:ascii="宋体" w:hAnsi="宋体" w:eastAsia="宋体" w:cs="Times New Roman"/>
                <w:color w:val="auto"/>
                <w:sz w:val="24"/>
                <w:szCs w:val="20"/>
                <w:highlight w:val="none"/>
              </w:rPr>
            </w:pPr>
          </w:p>
          <w:p w14:paraId="68734359">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vAlign w:val="top"/>
          </w:tcPr>
          <w:p w14:paraId="0932F775">
            <w:pPr>
              <w:tabs>
                <w:tab w:val="left" w:pos="5580"/>
              </w:tabs>
              <w:spacing w:line="360" w:lineRule="auto"/>
              <w:jc w:val="left"/>
              <w:rPr>
                <w:rFonts w:ascii="宋体" w:hAnsi="宋体" w:eastAsia="宋体" w:cs="Times New Roman"/>
                <w:color w:val="auto"/>
                <w:sz w:val="24"/>
                <w:szCs w:val="20"/>
                <w:highlight w:val="none"/>
              </w:rPr>
            </w:pPr>
          </w:p>
          <w:p w14:paraId="7170FF69">
            <w:pPr>
              <w:tabs>
                <w:tab w:val="left" w:pos="5580"/>
              </w:tabs>
              <w:spacing w:line="360" w:lineRule="auto"/>
              <w:jc w:val="left"/>
              <w:rPr>
                <w:rFonts w:ascii="宋体" w:hAnsi="宋体" w:eastAsia="宋体" w:cs="Times New Roman"/>
                <w:color w:val="auto"/>
                <w:sz w:val="24"/>
                <w:szCs w:val="20"/>
                <w:highlight w:val="none"/>
              </w:rPr>
            </w:pPr>
          </w:p>
          <w:p w14:paraId="22B09AA8">
            <w:pPr>
              <w:tabs>
                <w:tab w:val="left" w:pos="5580"/>
              </w:tabs>
              <w:spacing w:line="360" w:lineRule="auto"/>
              <w:jc w:val="left"/>
              <w:rPr>
                <w:rFonts w:ascii="宋体" w:hAnsi="宋体" w:eastAsia="宋体" w:cs="Times New Roman"/>
                <w:color w:val="auto"/>
                <w:sz w:val="24"/>
                <w:szCs w:val="20"/>
                <w:highlight w:val="none"/>
              </w:rPr>
            </w:pPr>
          </w:p>
        </w:tc>
      </w:tr>
    </w:tbl>
    <w:p w14:paraId="071722FE">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F08333E">
      <w:pPr>
        <w:pStyle w:val="235"/>
        <w:keepNext/>
        <w:keepLines/>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260" w:beforeAutospacing="0" w:after="260" w:afterAutospacing="0" w:line="415" w:lineRule="auto"/>
        <w:jc w:val="center"/>
        <w:outlineLvl w:val="1"/>
        <w:rPr>
          <w:rFonts w:hint="eastAsia" w:ascii="黑体" w:hAnsi="宋体" w:eastAsia="黑体" w:cs="黑体"/>
          <w:i w:val="0"/>
          <w:iCs w:val="0"/>
          <w:color w:val="auto"/>
          <w:sz w:val="32"/>
          <w:szCs w:val="32"/>
          <w:highlight w:val="none"/>
          <w:u w:val="none"/>
          <w:lang w:val="en-US" w:eastAsia="zh-CN" w:bidi="ar-SA"/>
        </w:rPr>
      </w:pPr>
      <w:r>
        <w:rPr>
          <w:rFonts w:hint="eastAsia" w:ascii="黑体" w:eastAsia="黑体" w:cs="黑体"/>
          <w:i/>
          <w:iCs/>
          <w:color w:val="auto"/>
          <w:sz w:val="32"/>
          <w:szCs w:val="32"/>
          <w:highlight w:val="none"/>
          <w:u w:val="single"/>
          <w:lang w:val="en-US" w:eastAsia="zh-CN" w:bidi="ar-SA"/>
        </w:rPr>
        <w:br w:type="page" w:clear="all"/>
      </w:r>
      <w:r>
        <w:rPr>
          <w:rFonts w:hint="eastAsia" w:ascii="黑体" w:eastAsia="黑体" w:cs="黑体"/>
          <w:i w:val="0"/>
          <w:iCs w:val="0"/>
          <w:color w:val="auto"/>
          <w:sz w:val="32"/>
          <w:szCs w:val="32"/>
          <w:highlight w:val="none"/>
          <w:u w:val="none"/>
          <w:lang w:val="en-US" w:eastAsia="zh-CN" w:bidi="ar-SA"/>
        </w:rPr>
        <w:t>七</w:t>
      </w:r>
      <w:r>
        <w:rPr>
          <w:rFonts w:hint="eastAsia" w:ascii="黑体" w:hAnsi="宋体" w:eastAsia="黑体" w:cs="黑体"/>
          <w:i w:val="0"/>
          <w:iCs w:val="0"/>
          <w:color w:val="auto"/>
          <w:sz w:val="32"/>
          <w:szCs w:val="32"/>
          <w:highlight w:val="none"/>
          <w:u w:val="none"/>
          <w:lang w:val="en-US" w:eastAsia="zh-CN" w:bidi="ar-SA"/>
        </w:rPr>
        <w:t>、磋商响应函</w:t>
      </w:r>
    </w:p>
    <w:p w14:paraId="42E0470E">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采购人</w:t>
      </w:r>
      <w:r>
        <w:rPr>
          <w:rFonts w:hint="eastAsia" w:ascii="宋体" w:hAnsi="宋体" w:eastAsia="宋体" w:cs="宋体"/>
          <w:color w:val="auto"/>
          <w:sz w:val="24"/>
          <w:szCs w:val="24"/>
          <w:highlight w:val="none"/>
          <w:u w:val="single"/>
          <w:lang w:eastAsia="zh-CN"/>
        </w:rPr>
        <w:t>）</w:t>
      </w:r>
    </w:p>
    <w:p w14:paraId="7169794F">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color w:val="auto"/>
          <w:sz w:val="24"/>
          <w:szCs w:val="24"/>
          <w:highlight w:val="none"/>
          <w:u w:val="single"/>
          <w:lang w:val="en-US" w:eastAsia="zh-CN"/>
        </w:rPr>
        <w:t>（项目编号）</w:t>
      </w:r>
      <w:r>
        <w:rPr>
          <w:rFonts w:hint="eastAsia" w:ascii="宋体" w:hAnsi="宋体" w:eastAsia="宋体" w:cs="宋体"/>
          <w:color w:val="auto"/>
          <w:sz w:val="24"/>
          <w:szCs w:val="24"/>
          <w:highlight w:val="none"/>
        </w:rPr>
        <w:t>号磋商文件，正式授权下述签字人(姓名)代表我方______________（供应商的名称），全权处理本次项目磋商的有关事宜。</w:t>
      </w:r>
    </w:p>
    <w:p w14:paraId="1E7E9F17">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据此函，__________签字人兹宣布同意如下：</w:t>
      </w:r>
    </w:p>
    <w:p w14:paraId="628E6F33">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1.按磋商文件规定的各项要求，向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提供所需</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（包含与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相关的服务及与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相关的货物）。</w:t>
      </w:r>
    </w:p>
    <w:p w14:paraId="5EE20BE7">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outlineLvl w:val="9"/>
        <w:rPr>
          <w:color w:val="auto"/>
          <w:highlight w:val="none"/>
        </w:rPr>
      </w:pPr>
      <w:r>
        <w:rPr>
          <w:rFonts w:hint="eastAsia" w:ascii="宋体" w:hAnsi="宋体" w:eastAsia="宋体" w:cs="宋体"/>
          <w:color w:val="auto"/>
          <w:sz w:val="24"/>
          <w:szCs w:val="24"/>
          <w:highlight w:val="none"/>
        </w:rPr>
        <w:t>2.我们完全理解贵方不一定将合同授予最低报价的供应商。</w:t>
      </w:r>
    </w:p>
    <w:p w14:paraId="0685B8AA">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outlineLvl w:val="9"/>
        <w:rPr>
          <w:color w:val="auto"/>
          <w:highlight w:val="none"/>
        </w:rPr>
      </w:pPr>
      <w:r>
        <w:rPr>
          <w:rFonts w:hint="eastAsia" w:ascii="宋体" w:hAnsi="宋体" w:eastAsia="宋体" w:cs="宋体"/>
          <w:color w:val="auto"/>
          <w:sz w:val="24"/>
          <w:szCs w:val="24"/>
          <w:highlight w:val="none"/>
        </w:rPr>
        <w:t>3.我们已详细审核全部磋商文件及其有效补充文件，我们知道必须放弃提出含糊不清或误解问题的权利。</w:t>
      </w:r>
    </w:p>
    <w:p w14:paraId="72C3D404">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4.我们同意从规定的开标日期起遵循本响应文件，并在规定的磋商有效期期满之前均具有约束力。</w:t>
      </w:r>
    </w:p>
    <w:p w14:paraId="4D97E539">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5.同意向贵方提供贵方可能另外要求的与磋商有关的任何证据或资料，并保证我方已提供和将要提供的文件是真实的、准确的。</w:t>
      </w:r>
    </w:p>
    <w:p w14:paraId="6FB500E8">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6.一旦我方成交,我方将根据磋商文件的规定，严格履行合同的责任和义务,并保证在磋商文件规定的时间完成项目，交付买方验收、使用。</w:t>
      </w:r>
    </w:p>
    <w:p w14:paraId="77FC3FE3">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5"/>
        <w:outlineLvl w:val="9"/>
        <w:rPr>
          <w:color w:val="auto"/>
          <w:highlight w:val="none"/>
        </w:rPr>
      </w:pPr>
      <w:r>
        <w:rPr>
          <w:rFonts w:hint="eastAsia" w:ascii="宋体" w:hAnsi="宋体" w:eastAsia="宋体" w:cs="宋体"/>
          <w:color w:val="auto"/>
          <w:sz w:val="24"/>
          <w:szCs w:val="24"/>
          <w:highlight w:val="none"/>
        </w:rPr>
        <w:t>7.我方与本磋商有关的正式通讯地址为：</w:t>
      </w:r>
    </w:p>
    <w:p w14:paraId="039260F1">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地 址：</w:t>
      </w:r>
    </w:p>
    <w:p w14:paraId="7B55A392">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邮 编：</w:t>
      </w:r>
    </w:p>
    <w:p w14:paraId="7CB95127">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电 话：</w:t>
      </w:r>
    </w:p>
    <w:p w14:paraId="38DA48F8">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传 真：</w:t>
      </w:r>
    </w:p>
    <w:p w14:paraId="1C21A703">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供应商开户行：</w:t>
      </w:r>
    </w:p>
    <w:p w14:paraId="2F4B3178">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rFonts w:hint="eastAsia" w:eastAsia="宋体"/>
          <w:color w:val="auto"/>
          <w:highlight w:val="none"/>
          <w:lang w:eastAsia="zh-CN"/>
        </w:rPr>
      </w:pPr>
      <w:r>
        <w:rPr>
          <w:rFonts w:hint="eastAsia" w:ascii="宋体" w:hAnsi="宋体" w:eastAsia="宋体" w:cs="宋体"/>
          <w:color w:val="auto"/>
          <w:sz w:val="24"/>
          <w:szCs w:val="24"/>
          <w:highlight w:val="none"/>
        </w:rPr>
        <w:t>账 号：</w:t>
      </w:r>
    </w:p>
    <w:p w14:paraId="3968B711">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日 期：________年____月____日</w:t>
      </w:r>
    </w:p>
    <w:p w14:paraId="73EFA95B">
      <w:pPr>
        <w:spacing w:line="400" w:lineRule="exact"/>
        <w:ind w:firstLine="480"/>
        <w:rPr>
          <w:rFonts w:hint="eastAsia"/>
          <w:color w:val="auto"/>
          <w:sz w:val="24"/>
          <w:highlight w:val="none"/>
        </w:rPr>
      </w:pPr>
    </w:p>
    <w:p w14:paraId="12CDA587">
      <w:pPr>
        <w:spacing w:line="360" w:lineRule="auto"/>
        <w:ind w:firstLine="480"/>
        <w:rPr>
          <w:color w:val="auto"/>
          <w:sz w:val="24"/>
          <w:highlight w:val="none"/>
        </w:rPr>
      </w:pPr>
      <w:r>
        <w:rPr>
          <w:rFonts w:hint="eastAsia"/>
          <w:color w:val="auto"/>
          <w:sz w:val="24"/>
          <w:highlight w:val="none"/>
        </w:rPr>
        <w:t>供应商（盖章）：</w:t>
      </w:r>
    </w:p>
    <w:p w14:paraId="797FA4C6">
      <w:pPr>
        <w:spacing w:line="360" w:lineRule="auto"/>
        <w:ind w:firstLine="480"/>
        <w:rPr>
          <w:color w:val="auto"/>
          <w:sz w:val="24"/>
          <w:highlight w:val="none"/>
        </w:rPr>
      </w:pPr>
      <w:r>
        <w:rPr>
          <w:rFonts w:hint="eastAsia"/>
          <w:color w:val="auto"/>
          <w:sz w:val="24"/>
          <w:highlight w:val="none"/>
        </w:rPr>
        <w:t>日期：年月日</w:t>
      </w:r>
    </w:p>
    <w:p w14:paraId="6FF6E46B">
      <w:pPr>
        <w:shd w:val="clear" w:color="auto" w:fill="auto"/>
        <w:spacing w:line="360" w:lineRule="auto"/>
        <w:rPr>
          <w:rFonts w:hint="eastAsia" w:ascii="黑体" w:hAnsi="宋体" w:eastAsia="黑体" w:cs="黑体"/>
          <w:b/>
          <w:bCs/>
          <w:i/>
          <w:color w:val="auto"/>
          <w:sz w:val="32"/>
          <w:szCs w:val="32"/>
          <w:highlight w:val="none"/>
          <w:u w:val="single"/>
        </w:rPr>
      </w:pPr>
    </w:p>
    <w:p w14:paraId="5B683F0B">
      <w:pPr>
        <w:ind w:left="0" w:firstLine="0"/>
        <w:jc w:val="center"/>
        <w:outlineLvl w:val="1"/>
        <w:rPr>
          <w:rFonts w:hint="eastAsia" w:eastAsia="仿宋_GB2312"/>
          <w:i w:val="0"/>
          <w:iCs/>
          <w:color w:val="auto"/>
          <w:sz w:val="24"/>
          <w:szCs w:val="20"/>
          <w:highlight w:val="none"/>
          <w:u w:val="none"/>
        </w:rPr>
      </w:pPr>
      <w:r>
        <w:rPr>
          <w:rFonts w:hint="eastAsia" w:ascii="黑体" w:hAnsi="黑体" w:eastAsia="黑体"/>
          <w:b/>
          <w:i w:val="0"/>
          <w:iCs/>
          <w:color w:val="auto"/>
          <w:sz w:val="32"/>
          <w:szCs w:val="32"/>
          <w:highlight w:val="none"/>
          <w:u w:val="none"/>
          <w:lang w:val="en-US" w:eastAsia="zh-CN"/>
        </w:rPr>
        <w:t>八</w:t>
      </w:r>
      <w:r>
        <w:rPr>
          <w:rFonts w:hint="eastAsia" w:ascii="黑体" w:hAnsi="黑体" w:eastAsia="黑体"/>
          <w:b/>
          <w:i w:val="0"/>
          <w:iCs/>
          <w:color w:val="auto"/>
          <w:sz w:val="32"/>
          <w:szCs w:val="32"/>
          <w:highlight w:val="none"/>
          <w:u w:val="none"/>
        </w:rPr>
        <w:t>、开标一览表</w:t>
      </w:r>
    </w:p>
    <w:p w14:paraId="19A9D0D7">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全称（加盖CA电子签章）：</w:t>
      </w:r>
    </w:p>
    <w:p w14:paraId="32C0B8C6">
      <w:pPr>
        <w:rPr>
          <w:color w:val="auto"/>
          <w:sz w:val="24"/>
          <w:szCs w:val="24"/>
          <w:highlight w:val="none"/>
        </w:rPr>
      </w:pPr>
      <w:r>
        <w:rPr>
          <w:rFonts w:hint="eastAsia" w:ascii="宋体" w:hAnsi="宋体"/>
          <w:color w:val="auto"/>
          <w:sz w:val="24"/>
          <w:szCs w:val="24"/>
          <w:highlight w:val="none"/>
        </w:rPr>
        <w:t>项目名称：</w:t>
      </w:r>
    </w:p>
    <w:p w14:paraId="586E885B">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编号：</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89"/>
      </w:tblGrid>
      <w:tr w14:paraId="54EE2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89" w:type="dxa"/>
            <w:noWrap w:val="0"/>
            <w:vAlign w:val="center"/>
          </w:tcPr>
          <w:p w14:paraId="21BEA5CF">
            <w:pPr>
              <w:rPr>
                <w:rFonts w:hint="eastAsia" w:ascii="宋体" w:hAnsi="宋体"/>
                <w:color w:val="auto"/>
                <w:sz w:val="24"/>
                <w:szCs w:val="24"/>
                <w:highlight w:val="none"/>
              </w:rPr>
            </w:pPr>
            <w:r>
              <w:rPr>
                <w:rFonts w:hint="eastAsia" w:ascii="宋体" w:hAnsi="宋体"/>
                <w:color w:val="auto"/>
                <w:sz w:val="24"/>
                <w:szCs w:val="24"/>
                <w:highlight w:val="none"/>
              </w:rPr>
              <w:t>投标总报价</w:t>
            </w:r>
          </w:p>
        </w:tc>
      </w:tr>
      <w:tr w14:paraId="2ADAA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789" w:type="dxa"/>
            <w:noWrap w:val="0"/>
            <w:vAlign w:val="center"/>
          </w:tcPr>
          <w:p w14:paraId="294139B8">
            <w:pPr>
              <w:pStyle w:val="538"/>
              <w:spacing w:before="0" w:after="0" w:line="500" w:lineRule="exact"/>
              <w:ind w:firstLine="0"/>
              <w:rPr>
                <w:rFonts w:hint="eastAsia" w:ascii="宋体" w:hAnsi="宋体" w:cs="宋体"/>
                <w:color w:val="auto"/>
                <w:highlight w:val="none"/>
                <w:lang w:val="en-US" w:eastAsia="zh-CN"/>
              </w:rPr>
            </w:pPr>
            <w:r>
              <w:rPr>
                <w:rFonts w:hint="eastAsia" w:ascii="宋体" w:hAnsi="宋体" w:cs="宋体"/>
                <w:color w:val="auto"/>
                <w:highlight w:val="none"/>
                <w:lang w:val="en-US" w:eastAsia="zh-CN"/>
              </w:rPr>
              <w:t>大写：</w:t>
            </w:r>
          </w:p>
          <w:p w14:paraId="77D8629C">
            <w:pPr>
              <w:pStyle w:val="538"/>
              <w:spacing w:before="0" w:after="0" w:line="500" w:lineRule="exact"/>
              <w:ind w:firstLine="0"/>
              <w:rPr>
                <w:rFonts w:hint="eastAsia" w:ascii="宋体" w:hAnsi="宋体" w:eastAsia="宋体" w:cs="宋体"/>
                <w:color w:val="auto"/>
                <w:highlight w:val="none"/>
                <w:lang w:eastAsia="zh-CN"/>
              </w:rPr>
            </w:pPr>
            <w:r>
              <w:rPr>
                <w:rFonts w:hint="eastAsia" w:ascii="宋体" w:hAnsi="宋体" w:cs="宋体"/>
                <w:color w:val="auto"/>
                <w:highlight w:val="none"/>
              </w:rPr>
              <w:t>小写：</w:t>
            </w:r>
          </w:p>
          <w:p w14:paraId="11D6395B">
            <w:pPr>
              <w:pStyle w:val="538"/>
              <w:spacing w:before="0" w:after="0" w:line="500" w:lineRule="exact"/>
              <w:ind w:firstLine="0"/>
              <w:jc w:val="right"/>
              <w:rPr>
                <w:rFonts w:hint="eastAsia" w:ascii="宋体" w:hAnsi="宋体" w:eastAsia="宋体"/>
                <w:color w:val="auto"/>
                <w:szCs w:val="21"/>
                <w:highlight w:val="none"/>
                <w:lang w:eastAsia="zh-CN"/>
              </w:rPr>
            </w:pPr>
            <w:r>
              <w:rPr>
                <w:rFonts w:hint="eastAsia" w:ascii="宋体" w:hAnsi="宋体" w:cs="宋体"/>
                <w:color w:val="auto"/>
                <w:highlight w:val="none"/>
                <w:lang w:val="en-US" w:eastAsia="zh-CN"/>
              </w:rPr>
              <w:t>单位：</w:t>
            </w:r>
            <w:r>
              <w:rPr>
                <w:rFonts w:hint="eastAsia" w:ascii="宋体" w:hAnsi="宋体" w:cs="宋体"/>
                <w:color w:val="auto"/>
                <w:highlight w:val="none"/>
              </w:rPr>
              <w:t>（人民币：元）</w:t>
            </w:r>
          </w:p>
        </w:tc>
      </w:tr>
    </w:tbl>
    <w:p w14:paraId="437CC82C">
      <w:pPr>
        <w:rPr>
          <w:rFonts w:ascii="宋体" w:hAnsi="宋体"/>
          <w:color w:val="auto"/>
          <w:sz w:val="24"/>
          <w:szCs w:val="24"/>
          <w:highlight w:val="none"/>
        </w:rPr>
      </w:pPr>
    </w:p>
    <w:p w14:paraId="76E7114A">
      <w:pPr>
        <w:ind w:firstLine="480"/>
        <w:rPr>
          <w:rFonts w:hint="eastAsia" w:ascii="宋体" w:hAnsi="宋体" w:eastAsia="宋体"/>
          <w:color w:val="auto"/>
          <w:sz w:val="24"/>
          <w:szCs w:val="24"/>
          <w:highlight w:val="none"/>
          <w:lang w:eastAsia="zh-CN"/>
        </w:rPr>
      </w:pPr>
    </w:p>
    <w:p w14:paraId="08186554">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25D8988D">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日期：年月日</w:t>
      </w:r>
    </w:p>
    <w:p w14:paraId="0E453E78">
      <w:pPr>
        <w:ind w:firstLine="480"/>
        <w:rPr>
          <w:rFonts w:hint="eastAsia" w:ascii="宋体" w:hAnsi="宋体"/>
          <w:color w:val="auto"/>
          <w:sz w:val="24"/>
          <w:szCs w:val="24"/>
          <w:highlight w:val="none"/>
        </w:rPr>
      </w:pPr>
    </w:p>
    <w:p w14:paraId="6A6A8EBC">
      <w:pPr>
        <w:ind w:firstLine="480"/>
        <w:rPr>
          <w:rFonts w:hint="eastAsia" w:ascii="宋体" w:hAnsi="宋体"/>
          <w:color w:val="auto"/>
          <w:sz w:val="24"/>
          <w:szCs w:val="24"/>
          <w:highlight w:val="none"/>
        </w:rPr>
      </w:pPr>
    </w:p>
    <w:p w14:paraId="67E8B5CB">
      <w:pPr>
        <w:ind w:firstLine="480"/>
        <w:rPr>
          <w:rFonts w:hint="eastAsia" w:ascii="宋体" w:hAnsi="宋体"/>
          <w:color w:val="auto"/>
          <w:sz w:val="24"/>
          <w:szCs w:val="24"/>
          <w:highlight w:val="none"/>
        </w:rPr>
      </w:pPr>
    </w:p>
    <w:p w14:paraId="7160E953">
      <w:pPr>
        <w:ind w:firstLine="480"/>
        <w:rPr>
          <w:rFonts w:hint="eastAsia" w:ascii="宋体" w:hAnsi="宋体"/>
          <w:color w:val="auto"/>
          <w:sz w:val="24"/>
          <w:szCs w:val="24"/>
          <w:highlight w:val="none"/>
        </w:rPr>
      </w:pPr>
    </w:p>
    <w:p w14:paraId="2C97446D">
      <w:pPr>
        <w:ind w:firstLine="480"/>
        <w:rPr>
          <w:rFonts w:hint="eastAsia" w:ascii="宋体" w:hAnsi="宋体"/>
          <w:color w:val="auto"/>
          <w:sz w:val="24"/>
          <w:szCs w:val="24"/>
          <w:highlight w:val="none"/>
        </w:rPr>
      </w:pPr>
    </w:p>
    <w:p w14:paraId="0DBF02E1">
      <w:pPr>
        <w:ind w:firstLine="480"/>
        <w:rPr>
          <w:rFonts w:hint="eastAsia" w:ascii="宋体" w:hAnsi="宋体"/>
          <w:color w:val="auto"/>
          <w:sz w:val="24"/>
          <w:szCs w:val="24"/>
          <w:highlight w:val="none"/>
        </w:rPr>
      </w:pPr>
    </w:p>
    <w:p w14:paraId="7C7A1C91">
      <w:pPr>
        <w:ind w:firstLine="480"/>
        <w:rPr>
          <w:rFonts w:hint="eastAsia" w:ascii="宋体" w:hAnsi="宋体"/>
          <w:color w:val="auto"/>
          <w:sz w:val="24"/>
          <w:szCs w:val="24"/>
          <w:highlight w:val="none"/>
        </w:rPr>
      </w:pPr>
    </w:p>
    <w:p w14:paraId="66289356">
      <w:pPr>
        <w:ind w:firstLine="480"/>
        <w:rPr>
          <w:rFonts w:hint="eastAsia" w:ascii="宋体" w:hAnsi="宋体"/>
          <w:color w:val="auto"/>
          <w:sz w:val="24"/>
          <w:szCs w:val="24"/>
          <w:highlight w:val="none"/>
        </w:rPr>
      </w:pPr>
    </w:p>
    <w:p w14:paraId="6A6FE227">
      <w:pPr>
        <w:ind w:firstLine="480"/>
        <w:rPr>
          <w:rFonts w:hint="eastAsia" w:ascii="宋体" w:hAnsi="宋体"/>
          <w:color w:val="auto"/>
          <w:sz w:val="24"/>
          <w:szCs w:val="24"/>
          <w:highlight w:val="none"/>
        </w:rPr>
      </w:pPr>
    </w:p>
    <w:p w14:paraId="479329E5">
      <w:pPr>
        <w:ind w:firstLine="480"/>
        <w:rPr>
          <w:rFonts w:hint="eastAsia" w:ascii="宋体" w:hAnsi="宋体"/>
          <w:color w:val="auto"/>
          <w:sz w:val="24"/>
          <w:szCs w:val="24"/>
          <w:highlight w:val="none"/>
        </w:rPr>
      </w:pPr>
    </w:p>
    <w:p w14:paraId="044E8879">
      <w:pPr>
        <w:ind w:firstLine="480"/>
        <w:rPr>
          <w:rFonts w:hint="eastAsia" w:ascii="宋体" w:hAnsi="宋体"/>
          <w:color w:val="auto"/>
          <w:sz w:val="24"/>
          <w:szCs w:val="24"/>
          <w:highlight w:val="none"/>
        </w:rPr>
      </w:pPr>
    </w:p>
    <w:p w14:paraId="0C177909">
      <w:pPr>
        <w:ind w:firstLine="480"/>
        <w:rPr>
          <w:rFonts w:hint="eastAsia" w:ascii="宋体" w:hAnsi="宋体"/>
          <w:color w:val="auto"/>
          <w:sz w:val="24"/>
          <w:szCs w:val="24"/>
          <w:highlight w:val="none"/>
        </w:rPr>
      </w:pPr>
    </w:p>
    <w:p w14:paraId="3AF899F5">
      <w:pPr>
        <w:ind w:firstLine="480"/>
        <w:rPr>
          <w:rFonts w:hint="eastAsia" w:ascii="宋体" w:hAnsi="宋体"/>
          <w:color w:val="auto"/>
          <w:sz w:val="24"/>
          <w:szCs w:val="24"/>
          <w:highlight w:val="none"/>
        </w:rPr>
      </w:pPr>
    </w:p>
    <w:p w14:paraId="016C1F0B">
      <w:pPr>
        <w:ind w:left="0" w:firstLine="0"/>
        <w:rPr>
          <w:rFonts w:hint="eastAsia" w:ascii="宋体" w:hAnsi="宋体"/>
          <w:color w:val="auto"/>
          <w:sz w:val="24"/>
          <w:szCs w:val="24"/>
          <w:highlight w:val="none"/>
        </w:rPr>
      </w:pPr>
    </w:p>
    <w:p w14:paraId="2D8D53FA">
      <w:pPr>
        <w:pStyle w:val="235"/>
        <w:keepNext/>
        <w:keepLines/>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260" w:beforeAutospacing="0" w:after="260" w:afterAutospacing="0" w:line="415" w:lineRule="auto"/>
        <w:ind w:left="0" w:firstLine="3390"/>
        <w:jc w:val="both"/>
        <w:outlineLvl w:val="1"/>
        <w:rPr>
          <w:rFonts w:hint="eastAsia" w:ascii="宋体" w:hAnsi="宋体" w:eastAsia="宋体" w:cs="宋体"/>
          <w:i/>
          <w:iCs/>
          <w:color w:val="auto"/>
          <w:sz w:val="24"/>
          <w:szCs w:val="24"/>
          <w:highlight w:val="none"/>
          <w:u w:val="single"/>
        </w:rPr>
      </w:pPr>
      <w:r>
        <w:rPr>
          <w:rFonts w:hint="eastAsia" w:ascii="黑体" w:eastAsia="黑体" w:cs="黑体"/>
          <w:i w:val="0"/>
          <w:iCs w:val="0"/>
          <w:color w:val="auto"/>
          <w:sz w:val="32"/>
          <w:szCs w:val="32"/>
          <w:highlight w:val="none"/>
          <w:u w:val="none"/>
          <w:lang w:val="en-US" w:eastAsia="zh-CN" w:bidi="ar-SA"/>
        </w:rPr>
        <w:t>九</w:t>
      </w:r>
      <w:r>
        <w:rPr>
          <w:rFonts w:hint="eastAsia" w:ascii="黑体" w:hAnsi="宋体" w:eastAsia="黑体" w:cs="黑体"/>
          <w:i w:val="0"/>
          <w:iCs w:val="0"/>
          <w:color w:val="auto"/>
          <w:sz w:val="32"/>
          <w:szCs w:val="32"/>
          <w:highlight w:val="none"/>
          <w:u w:val="none"/>
          <w:lang w:val="en-US" w:eastAsia="zh-CN" w:bidi="ar-SA"/>
        </w:rPr>
        <w:t>、中小微企业声明函</w:t>
      </w:r>
    </w:p>
    <w:p w14:paraId="6AC9C919">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本公司郑重声明，根据《政府采购促进中小企业发展管理办法》(财库[2020]46号)的规定，本公司参加</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val="en-US" w:eastAsia="zh-CN"/>
        </w:rPr>
        <w:t>采购人</w:t>
      </w:r>
      <w:r>
        <w:rPr>
          <w:rFonts w:hint="eastAsia" w:ascii="宋体" w:hAnsi="宋体"/>
          <w:color w:val="auto"/>
          <w:sz w:val="24"/>
          <w:szCs w:val="24"/>
          <w:highlight w:val="none"/>
          <w:u w:val="single"/>
        </w:rPr>
        <w:t>名称）</w:t>
      </w:r>
      <w:r>
        <w:rPr>
          <w:rFonts w:hint="eastAsia" w:ascii="宋体" w:hAnsi="宋体"/>
          <w:color w:val="auto"/>
          <w:sz w:val="24"/>
          <w:szCs w:val="24"/>
          <w:highlight w:val="none"/>
        </w:rPr>
        <w:t>的采购编号为</w:t>
      </w:r>
      <w:r>
        <w:rPr>
          <w:rFonts w:hint="eastAsia" w:ascii="宋体" w:hAnsi="宋体"/>
          <w:color w:val="auto"/>
          <w:sz w:val="24"/>
          <w:szCs w:val="24"/>
          <w:highlight w:val="none"/>
          <w:u w:val="single"/>
          <w:lang w:val="en-US" w:eastAsia="zh-CN"/>
        </w:rPr>
        <w:t>（项目编号）</w:t>
      </w:r>
      <w:r>
        <w:rPr>
          <w:rFonts w:hint="eastAsia"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val="en-US" w:eastAsia="zh-CN"/>
        </w:rPr>
        <w:t>项目</w:t>
      </w:r>
      <w:r>
        <w:rPr>
          <w:rFonts w:hint="eastAsia" w:ascii="宋体" w:hAnsi="宋体"/>
          <w:color w:val="auto"/>
          <w:sz w:val="24"/>
          <w:szCs w:val="24"/>
          <w:highlight w:val="none"/>
          <w:u w:val="single"/>
        </w:rPr>
        <w:t>名称）</w:t>
      </w:r>
      <w:r>
        <w:rPr>
          <w:rFonts w:hint="eastAsia" w:ascii="宋体" w:hAnsi="宋体"/>
          <w:color w:val="auto"/>
          <w:sz w:val="24"/>
          <w:szCs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2068A763">
      <w:pPr>
        <w:spacing w:line="5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属于行业；</w:t>
      </w:r>
      <w:r>
        <w:rPr>
          <w:rFonts w:hint="eastAsia" w:ascii="宋体" w:hAnsi="宋体"/>
          <w:color w:val="auto"/>
          <w:sz w:val="24"/>
          <w:szCs w:val="24"/>
          <w:highlight w:val="none"/>
          <w:lang w:val="en-US" w:eastAsia="zh-CN"/>
        </w:rPr>
        <w:t>承接企业</w:t>
      </w:r>
      <w:r>
        <w:rPr>
          <w:rFonts w:hint="eastAsia" w:ascii="宋体" w:hAnsi="宋体"/>
          <w:color w:val="auto"/>
          <w:sz w:val="24"/>
          <w:szCs w:val="24"/>
          <w:highlight w:val="none"/>
        </w:rPr>
        <w:t>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，从业人员人，营业收入为万元，资产总额为万元，属于</w:t>
      </w:r>
      <w:r>
        <w:rPr>
          <w:rFonts w:hint="eastAsia" w:ascii="宋体" w:hAnsi="宋体"/>
          <w:color w:val="auto"/>
          <w:sz w:val="24"/>
          <w:szCs w:val="24"/>
          <w:highlight w:val="none"/>
          <w:u w:val="single"/>
        </w:rPr>
        <w:t>（中型企业、小型企业、微型企业）；</w:t>
      </w:r>
    </w:p>
    <w:p w14:paraId="60520D85">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37539759">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5116A2D4">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046CDCFD">
      <w:pPr>
        <w:spacing w:line="560" w:lineRule="exact"/>
        <w:ind w:right="720"/>
        <w:rPr>
          <w:rFonts w:hint="eastAsia" w:ascii="宋体" w:hAnsi="宋体"/>
          <w:color w:val="auto"/>
          <w:sz w:val="24"/>
          <w:szCs w:val="24"/>
          <w:highlight w:val="none"/>
        </w:rPr>
      </w:pPr>
    </w:p>
    <w:p w14:paraId="155DC19C">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7F03AADC">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日期：年月日</w:t>
      </w:r>
    </w:p>
    <w:p w14:paraId="01ED987D">
      <w:pPr>
        <w:spacing w:line="560" w:lineRule="exact"/>
        <w:ind w:firstLine="360"/>
        <w:rPr>
          <w:rFonts w:hint="eastAsia" w:ascii="华文新魏" w:hAnsi="宋体" w:eastAsia="华文新魏"/>
          <w:color w:val="auto"/>
          <w:sz w:val="24"/>
          <w:szCs w:val="24"/>
          <w:highlight w:val="none"/>
        </w:rPr>
      </w:pPr>
    </w:p>
    <w:p w14:paraId="67154B68">
      <w:pPr>
        <w:keepNext w:val="0"/>
        <w:keepLines w:val="0"/>
        <w:pageBreakBefore w:val="0"/>
        <w:shd w:val="clear" w:color="auto" w:fill="auto"/>
        <w:spacing w:line="360" w:lineRule="auto"/>
        <w:ind w:firstLine="480"/>
        <w:rPr>
          <w:rFonts w:ascii="宋体" w:hAnsi="宋体" w:cs="宋体"/>
          <w:color w:val="auto"/>
          <w:sz w:val="24"/>
          <w:highlight w:val="none"/>
        </w:rPr>
      </w:pPr>
    </w:p>
    <w:p w14:paraId="75251DBB">
      <w:pPr>
        <w:keepNext w:val="0"/>
        <w:keepLines w:val="0"/>
        <w:pageBreakBefore w:val="0"/>
        <w:shd w:val="clear" w:color="auto" w:fill="auto"/>
        <w:spacing w:line="360" w:lineRule="auto"/>
        <w:ind w:right="480"/>
        <w:rPr>
          <w:rFonts w:ascii="宋体" w:hAnsi="宋体" w:cs="宋体"/>
          <w:b/>
          <w:color w:val="auto"/>
          <w:sz w:val="24"/>
          <w:highlight w:val="none"/>
        </w:rPr>
      </w:pPr>
    </w:p>
    <w:p w14:paraId="506ECBEC">
      <w:pPr>
        <w:keepNext w:val="0"/>
        <w:keepLines w:val="0"/>
        <w:pageBreakBefore w:val="0"/>
        <w:shd w:val="clear" w:color="auto" w:fill="auto"/>
        <w:spacing w:line="360" w:lineRule="auto"/>
        <w:ind w:right="480"/>
        <w:rPr>
          <w:rFonts w:ascii="宋体" w:hAnsi="宋体" w:cs="宋体"/>
          <w:b/>
          <w:color w:val="auto"/>
          <w:szCs w:val="21"/>
          <w:highlight w:val="none"/>
        </w:rPr>
      </w:pPr>
    </w:p>
    <w:p w14:paraId="091745D2">
      <w:pPr>
        <w:keepNext w:val="0"/>
        <w:keepLines w:val="0"/>
        <w:pageBreakBefore w:val="0"/>
        <w:shd w:val="clear" w:color="auto" w:fill="auto"/>
        <w:spacing w:line="360" w:lineRule="auto"/>
        <w:ind w:right="480" w:firstLine="422"/>
        <w:rPr>
          <w:rFonts w:ascii="宋体" w:hAnsi="宋体" w:cs="宋体"/>
          <w:b/>
          <w:color w:val="auto"/>
          <w:szCs w:val="21"/>
          <w:highlight w:val="none"/>
        </w:rPr>
      </w:pPr>
      <w:r>
        <w:rPr>
          <w:rFonts w:hint="eastAsia" w:ascii="宋体" w:hAnsi="宋体" w:cs="宋体"/>
          <w:b/>
          <w:color w:val="auto"/>
          <w:szCs w:val="21"/>
          <w:highlight w:val="none"/>
        </w:rPr>
        <w:t>填报说明：</w:t>
      </w:r>
    </w:p>
    <w:p w14:paraId="7CDC6C2C">
      <w:pPr>
        <w:keepNext w:val="0"/>
        <w:keepLines w:val="0"/>
        <w:pageBreakBefore w:val="0"/>
        <w:shd w:val="clear" w:color="auto" w:fill="auto"/>
        <w:spacing w:line="360" w:lineRule="auto"/>
        <w:ind w:right="480" w:firstLine="422"/>
        <w:rPr>
          <w:rFonts w:ascii="宋体" w:hAnsi="宋体" w:cs="宋体"/>
          <w:b/>
          <w:color w:val="auto"/>
          <w:szCs w:val="21"/>
          <w:highlight w:val="none"/>
        </w:rPr>
      </w:pPr>
      <w:r>
        <w:rPr>
          <w:rFonts w:hint="eastAsia" w:ascii="宋体" w:hAnsi="宋体" w:cs="宋体"/>
          <w:b/>
          <w:color w:val="auto"/>
          <w:szCs w:val="21"/>
          <w:highlight w:val="none"/>
        </w:rPr>
        <w:t>1、从业人员、营业收入、资产总额填报上一年度数据，无上一年度数据的新成立企业可不填报。</w:t>
      </w:r>
    </w:p>
    <w:p w14:paraId="4D432332">
      <w:pPr>
        <w:keepNext w:val="0"/>
        <w:keepLines w:val="0"/>
        <w:pageBreakBefore w:val="0"/>
        <w:shd w:val="clear" w:color="auto" w:fill="auto"/>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2、请供应商如实填写，所填内容将作为评审的依据。如填写不完整，将不享受扶持政策。</w:t>
      </w:r>
    </w:p>
    <w:p w14:paraId="18F6F0DB">
      <w:pPr>
        <w:keepNext w:val="0"/>
        <w:keepLines w:val="0"/>
        <w:pageBreakBefore w:val="0"/>
        <w:shd w:val="clear" w:color="auto" w:fill="auto"/>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3、成交供应商的《</w:t>
      </w:r>
      <w:r>
        <w:rPr>
          <w:rFonts w:hint="eastAsia" w:ascii="宋体" w:hAnsi="宋体" w:cs="宋体"/>
          <w:b/>
          <w:color w:val="auto"/>
          <w:szCs w:val="21"/>
          <w:highlight w:val="none"/>
          <w:lang w:eastAsia="zh-CN"/>
        </w:rPr>
        <w:t>中小微企业声明函</w:t>
      </w:r>
      <w:r>
        <w:rPr>
          <w:rFonts w:hint="eastAsia" w:ascii="宋体" w:hAnsi="宋体" w:cs="宋体"/>
          <w:b/>
          <w:color w:val="auto"/>
          <w:szCs w:val="21"/>
          <w:highlight w:val="none"/>
        </w:rPr>
        <w:t>》随成交结果公开。</w:t>
      </w:r>
    </w:p>
    <w:p w14:paraId="4ACFC1B2">
      <w:pPr>
        <w:keepNext w:val="0"/>
        <w:keepLines w:val="0"/>
        <w:pageBreakBefore w:val="0"/>
        <w:shd w:val="clear" w:color="auto" w:fill="auto"/>
        <w:spacing w:line="360" w:lineRule="auto"/>
        <w:rPr>
          <w:rFonts w:ascii="宋体" w:hAnsi="宋体" w:cs="宋体"/>
          <w:b/>
          <w:color w:val="auto"/>
          <w:sz w:val="30"/>
          <w:szCs w:val="30"/>
          <w:highlight w:val="none"/>
          <w:u w:val="single"/>
        </w:rPr>
      </w:pPr>
    </w:p>
    <w:p w14:paraId="557E57C1">
      <w:pPr>
        <w:keepNext w:val="0"/>
        <w:keepLines w:val="0"/>
        <w:pageBreakBefore w:val="0"/>
        <w:shd w:val="clear" w:color="auto" w:fill="auto"/>
        <w:spacing w:line="360" w:lineRule="auto"/>
        <w:ind w:firstLine="643"/>
        <w:jc w:val="center"/>
        <w:rPr>
          <w:rFonts w:ascii="宋体" w:hAnsi="宋体" w:cs="宋体"/>
          <w:b/>
          <w:color w:val="auto"/>
          <w:sz w:val="32"/>
          <w:szCs w:val="32"/>
          <w:highlight w:val="none"/>
        </w:rPr>
      </w:pPr>
    </w:p>
    <w:p w14:paraId="7C1F9CCC">
      <w:pPr>
        <w:suppressLineNumbers w:val="0"/>
        <w:shd w:val="clear" w:color="auto" w:fill="auto"/>
        <w:jc w:val="center"/>
        <w:outlineLvl w:val="1"/>
        <w:rPr>
          <w:rFonts w:hint="eastAsia" w:ascii="黑体" w:hAnsi="宋体" w:eastAsia="黑体" w:cs="黑体"/>
          <w:i w:val="0"/>
          <w:iCs w:val="0"/>
          <w:color w:val="auto"/>
          <w:sz w:val="32"/>
          <w:szCs w:val="32"/>
          <w:highlight w:val="none"/>
          <w:u w:val="none"/>
          <w:lang w:val="en-US" w:eastAsia="zh-CN" w:bidi="ar-SA"/>
        </w:rPr>
      </w:pPr>
      <w:r>
        <w:rPr>
          <w:rFonts w:hint="eastAsia" w:ascii="黑体" w:eastAsia="黑体" w:cs="黑体"/>
          <w:i w:val="0"/>
          <w:iCs w:val="0"/>
          <w:color w:val="auto"/>
          <w:sz w:val="32"/>
          <w:szCs w:val="32"/>
          <w:highlight w:val="none"/>
          <w:u w:val="none"/>
          <w:lang w:val="en-US" w:eastAsia="zh-CN" w:bidi="ar-SA"/>
        </w:rPr>
        <w:t>十</w:t>
      </w:r>
      <w:r>
        <w:rPr>
          <w:rFonts w:hint="eastAsia" w:ascii="黑体" w:hAnsi="宋体" w:eastAsia="黑体" w:cs="黑体"/>
          <w:i w:val="0"/>
          <w:iCs w:val="0"/>
          <w:color w:val="auto"/>
          <w:sz w:val="32"/>
          <w:szCs w:val="32"/>
          <w:highlight w:val="none"/>
          <w:u w:val="none"/>
          <w:lang w:val="en-US" w:eastAsia="zh-CN" w:bidi="ar-SA"/>
        </w:rPr>
        <w:t>、残疾人福利性单位声明函</w:t>
      </w:r>
    </w:p>
    <w:p w14:paraId="3583DD8B">
      <w:pPr>
        <w:keepNext w:val="0"/>
        <w:keepLines w:val="0"/>
        <w:pageBreakBefore w:val="0"/>
        <w:shd w:val="clear" w:color="auto" w:fill="auto"/>
        <w:spacing w:line="360" w:lineRule="auto"/>
        <w:jc w:val="center"/>
        <w:rPr>
          <w:rFonts w:ascii="宋体" w:hAnsi="宋体" w:cs="宋体"/>
          <w:bCs/>
          <w:color w:val="auto"/>
          <w:sz w:val="36"/>
          <w:szCs w:val="28"/>
          <w:highlight w:val="none"/>
        </w:rPr>
      </w:pPr>
    </w:p>
    <w:p w14:paraId="7EC0CE70">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_____单位的_____项目采购活动由本单位提供全部服务。</w:t>
      </w:r>
    </w:p>
    <w:p w14:paraId="1686E3DB">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43C2D7B">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p>
    <w:p w14:paraId="58F06F74">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p>
    <w:p w14:paraId="3402A5D5">
      <w:pPr>
        <w:keepNext w:val="0"/>
        <w:keepLines w:val="0"/>
        <w:pageBreakBefore w:val="0"/>
        <w:shd w:val="clear" w:color="auto" w:fill="auto"/>
        <w:spacing w:line="360" w:lineRule="auto"/>
        <w:ind w:right="480" w:firstLine="4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企业名称（加盖CA电子公章）：</w:t>
      </w:r>
    </w:p>
    <w:p w14:paraId="69A9BE20">
      <w:pPr>
        <w:keepNext w:val="0"/>
        <w:keepLines w:val="0"/>
        <w:pageBreakBefore w:val="0"/>
        <w:shd w:val="clear" w:color="auto" w:fill="auto"/>
        <w:spacing w:line="360" w:lineRule="auto"/>
        <w:ind w:firstLine="4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bCs/>
          <w:color w:val="auto"/>
          <w:sz w:val="24"/>
          <w:highlight w:val="none"/>
          <w:lang w:val="en-US" w:eastAsia="zh-CN"/>
        </w:rPr>
        <w:t>年月日</w:t>
      </w:r>
    </w:p>
    <w:p w14:paraId="044CE94A">
      <w:pPr>
        <w:keepNext w:val="0"/>
        <w:keepLines w:val="0"/>
        <w:pageBreakBefore w:val="0"/>
        <w:shd w:val="clear" w:color="auto" w:fill="auto"/>
        <w:spacing w:line="360" w:lineRule="auto"/>
        <w:jc w:val="left"/>
        <w:rPr>
          <w:rFonts w:ascii="宋体" w:hAnsi="宋体" w:cs="宋体"/>
          <w:b/>
          <w:color w:val="auto"/>
          <w:sz w:val="30"/>
          <w:szCs w:val="30"/>
          <w:highlight w:val="none"/>
          <w:u w:val="single"/>
        </w:rPr>
      </w:pPr>
    </w:p>
    <w:p w14:paraId="2360EA45">
      <w:pPr>
        <w:keepNext w:val="0"/>
        <w:keepLines w:val="0"/>
        <w:pageBreakBefore w:val="0"/>
        <w:shd w:val="clear" w:color="auto" w:fill="auto"/>
        <w:spacing w:line="360" w:lineRule="auto"/>
        <w:jc w:val="left"/>
        <w:rPr>
          <w:rFonts w:ascii="宋体" w:hAnsi="宋体" w:cs="宋体"/>
          <w:b/>
          <w:color w:val="auto"/>
          <w:sz w:val="30"/>
          <w:szCs w:val="30"/>
          <w:highlight w:val="none"/>
          <w:u w:val="single"/>
        </w:rPr>
      </w:pPr>
    </w:p>
    <w:p w14:paraId="3B5BDC67">
      <w:pPr>
        <w:keepNext w:val="0"/>
        <w:keepLines w:val="0"/>
        <w:pageBreakBefore w:val="0"/>
        <w:shd w:val="clear" w:color="auto" w:fill="auto"/>
        <w:spacing w:line="360" w:lineRule="auto"/>
        <w:ind w:firstLine="422"/>
        <w:jc w:val="left"/>
        <w:rPr>
          <w:rFonts w:ascii="宋体" w:hAnsi="宋体"/>
          <w:b/>
          <w:color w:val="auto"/>
          <w:szCs w:val="21"/>
          <w:highlight w:val="none"/>
        </w:rPr>
      </w:pPr>
      <w:r>
        <w:rPr>
          <w:rFonts w:hint="eastAsia" w:ascii="宋体" w:hAnsi="宋体"/>
          <w:b/>
          <w:color w:val="auto"/>
          <w:szCs w:val="21"/>
          <w:highlight w:val="none"/>
        </w:rPr>
        <w:t>填报说明：</w:t>
      </w:r>
    </w:p>
    <w:p w14:paraId="7D96308D">
      <w:pPr>
        <w:keepNext w:val="0"/>
        <w:keepLines w:val="0"/>
        <w:pageBreakBefore w:val="0"/>
        <w:shd w:val="clear" w:color="auto" w:fill="auto"/>
        <w:spacing w:line="360" w:lineRule="auto"/>
        <w:ind w:firstLine="422"/>
        <w:jc w:val="left"/>
        <w:rPr>
          <w:rFonts w:ascii="宋体" w:hAnsi="宋体"/>
          <w:b/>
          <w:color w:val="auto"/>
          <w:szCs w:val="21"/>
          <w:highlight w:val="none"/>
        </w:rPr>
      </w:pPr>
      <w:r>
        <w:rPr>
          <w:rFonts w:hint="eastAsia" w:ascii="宋体" w:hAnsi="宋体"/>
          <w:b/>
          <w:color w:val="auto"/>
          <w:szCs w:val="21"/>
          <w:highlight w:val="none"/>
        </w:rPr>
        <w:t>1、请供应商如实填写，所填内容将作为评审的依据。如填写不完整或不一致，将不享受扶持政策。</w:t>
      </w:r>
    </w:p>
    <w:p w14:paraId="1C5EE1ED">
      <w:pPr>
        <w:keepNext w:val="0"/>
        <w:keepLines w:val="0"/>
        <w:pageBreakBefore w:val="0"/>
        <w:shd w:val="clear" w:color="auto" w:fill="auto"/>
        <w:spacing w:line="360" w:lineRule="auto"/>
        <w:ind w:firstLine="422"/>
        <w:jc w:val="left"/>
        <w:rPr>
          <w:rFonts w:ascii="宋体" w:hAnsi="宋体" w:cs="宋体"/>
          <w:b/>
          <w:color w:val="auto"/>
          <w:szCs w:val="21"/>
          <w:highlight w:val="none"/>
        </w:rPr>
      </w:pPr>
      <w:r>
        <w:rPr>
          <w:rFonts w:hint="eastAsia" w:ascii="宋体" w:hAnsi="宋体"/>
          <w:b/>
          <w:color w:val="auto"/>
          <w:szCs w:val="21"/>
          <w:highlight w:val="none"/>
        </w:rPr>
        <w:t>2、成交供应商的《残疾人福利性单位声明函》随成交结果公开。</w:t>
      </w:r>
    </w:p>
    <w:p w14:paraId="6869E379">
      <w:pPr>
        <w:keepNext w:val="0"/>
        <w:keepLines w:val="0"/>
        <w:pageBreakBefore w:val="0"/>
        <w:numPr>
          <w:ilvl w:val="0"/>
          <w:numId w:val="0"/>
        </w:numPr>
        <w:shd w:val="clear" w:color="auto" w:fill="auto"/>
        <w:spacing w:line="360" w:lineRule="auto"/>
        <w:outlineLvl w:val="9"/>
        <w:rPr>
          <w:rFonts w:hint="eastAsia" w:ascii="宋体" w:hAnsi="宋体" w:cs="宋体"/>
          <w:b/>
          <w:color w:val="auto"/>
          <w:sz w:val="30"/>
          <w:szCs w:val="30"/>
          <w:highlight w:val="none"/>
          <w:u w:val="single"/>
        </w:rPr>
      </w:pPr>
    </w:p>
    <w:p w14:paraId="31460AE2">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p>
    <w:p w14:paraId="4C6F061A">
      <w:pPr>
        <w:pBdr>
          <w:top w:val="none" w:color="000000" w:sz="0" w:space="0"/>
          <w:left w:val="none" w:color="000000" w:sz="0" w:space="0"/>
          <w:bottom w:val="none" w:color="000000" w:sz="0" w:space="0"/>
          <w:right w:val="none" w:color="000000" w:sz="0" w:space="0"/>
        </w:pBdr>
        <w:shd w:val="clear" w:color="FFFFFF" w:fill="FFFFFF"/>
        <w:spacing w:before="15" w:after="15" w:line="360" w:lineRule="atLeast"/>
        <w:ind w:left="0" w:right="0" w:firstLine="802"/>
        <w:jc w:val="center"/>
        <w:rPr>
          <w:color w:val="auto"/>
          <w:highlight w:val="none"/>
        </w:rPr>
      </w:pPr>
      <w:r>
        <w:rPr>
          <w:rFonts w:ascii="宋体" w:hAnsi="宋体" w:eastAsia="宋体" w:cs="宋体"/>
          <w:b/>
          <w:color w:val="auto"/>
          <w:sz w:val="30"/>
          <w:highlight w:val="none"/>
        </w:rPr>
        <w:t>关于符合本国产品标准的声明函</w:t>
      </w:r>
    </w:p>
    <w:p w14:paraId="0BD04613">
      <w:pPr>
        <w:pBdr>
          <w:top w:val="none" w:color="000000" w:sz="0" w:space="0"/>
          <w:left w:val="none" w:color="000000" w:sz="0" w:space="0"/>
          <w:bottom w:val="none" w:color="000000" w:sz="0" w:space="0"/>
          <w:right w:val="none" w:color="000000" w:sz="0" w:space="0"/>
        </w:pBdr>
        <w:shd w:val="clear" w:color="FFFFFF" w:fill="FFFFFF"/>
        <w:spacing w:before="15" w:after="15" w:line="360" w:lineRule="atLeast"/>
        <w:ind w:left="0" w:right="0" w:firstLine="420"/>
        <w:rPr>
          <w:color w:val="auto"/>
          <w:highlight w:val="none"/>
        </w:rPr>
      </w:pPr>
      <w:r>
        <w:rPr>
          <w:rFonts w:ascii="宋体" w:hAnsi="宋体" w:eastAsia="宋体" w:cs="宋体"/>
          <w:color w:val="auto"/>
          <w:sz w:val="24"/>
          <w:highlight w:val="none"/>
        </w:rPr>
        <w:t> </w:t>
      </w:r>
    </w:p>
    <w:p w14:paraId="1524CCBB">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242FD3FA">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5956C451">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33305AEB">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64C29B1A">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370B78F1">
      <w:pPr>
        <w:pBdr>
          <w:top w:val="none" w:color="000000" w:sz="0" w:space="0"/>
          <w:left w:val="none" w:color="000000" w:sz="0" w:space="0"/>
          <w:bottom w:val="none" w:color="000000" w:sz="0" w:space="0"/>
          <w:right w:val="none" w:color="000000" w:sz="0" w:space="0"/>
        </w:pBdr>
        <w:shd w:val="clear" w:color="FFFFFF" w:fill="FFFFFF"/>
        <w:spacing w:before="30" w:after="30" w:line="360" w:lineRule="atLeast"/>
        <w:ind w:left="0" w:right="0" w:firstLine="802"/>
        <w:rPr>
          <w:color w:val="auto"/>
          <w:highlight w:val="none"/>
        </w:rPr>
      </w:pPr>
      <w:r>
        <w:rPr>
          <w:rFonts w:ascii="宋体" w:hAnsi="宋体" w:eastAsia="宋体" w:cs="宋体"/>
          <w:color w:val="auto"/>
          <w:sz w:val="24"/>
          <w:highlight w:val="none"/>
        </w:rPr>
        <w:t> </w:t>
      </w:r>
    </w:p>
    <w:p w14:paraId="1ED33EAD">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jc w:val="right"/>
        <w:rPr>
          <w:color w:val="auto"/>
          <w:highlight w:val="none"/>
        </w:rPr>
      </w:pPr>
      <w:r>
        <w:rPr>
          <w:rFonts w:ascii="宋体" w:hAnsi="宋体" w:eastAsia="宋体" w:cs="宋体"/>
          <w:color w:val="auto"/>
          <w:sz w:val="24"/>
          <w:highlight w:val="none"/>
        </w:rPr>
        <w:t>  公司（单位）名称（加盖CA电子公章）：        </w:t>
      </w:r>
    </w:p>
    <w:p w14:paraId="5954C23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jc w:val="center"/>
        <w:rPr>
          <w:color w:val="auto"/>
          <w:highlight w:val="none"/>
        </w:rPr>
      </w:pPr>
      <w:r>
        <w:rPr>
          <w:rFonts w:ascii="宋体" w:hAnsi="宋体" w:eastAsia="宋体" w:cs="宋体"/>
          <w:color w:val="auto"/>
          <w:sz w:val="24"/>
          <w:highlight w:val="none"/>
        </w:rPr>
        <w:t>                            日期：年月日</w:t>
      </w:r>
    </w:p>
    <w:p w14:paraId="58F1E1ED">
      <w:pPr>
        <w:pBdr>
          <w:top w:val="none" w:color="000000" w:sz="0" w:space="0"/>
          <w:left w:val="none" w:color="000000" w:sz="0" w:space="0"/>
          <w:bottom w:val="none" w:color="000000" w:sz="0" w:space="0"/>
          <w:right w:val="none" w:color="000000" w:sz="0" w:space="0"/>
        </w:pBdr>
        <w:shd w:val="clear" w:color="FFFFFF" w:fill="FFFFFF"/>
        <w:spacing w:before="30" w:after="30" w:line="360" w:lineRule="atLeast"/>
        <w:ind w:left="0" w:right="0" w:firstLine="802"/>
        <w:rPr>
          <w:color w:val="auto"/>
          <w:highlight w:val="none"/>
        </w:rPr>
      </w:pPr>
      <w:r>
        <w:rPr>
          <w:rFonts w:ascii="宋体" w:hAnsi="宋体" w:eastAsia="宋体" w:cs="宋体"/>
          <w:color w:val="auto"/>
          <w:sz w:val="24"/>
          <w:highlight w:val="none"/>
        </w:rPr>
        <w:t> </w:t>
      </w:r>
    </w:p>
    <w:p w14:paraId="6C534A54">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rPr>
          <w:color w:val="auto"/>
          <w:highlight w:val="none"/>
        </w:rPr>
      </w:pPr>
      <w:r>
        <w:rPr>
          <w:rFonts w:ascii="宋体" w:hAnsi="宋体" w:eastAsia="宋体" w:cs="宋体"/>
          <w:color w:val="auto"/>
          <w:sz w:val="24"/>
          <w:highlight w:val="none"/>
        </w:rPr>
        <w:t>1.产品如有型号，请在“产品名称”栏一并填写。</w:t>
      </w:r>
    </w:p>
    <w:p w14:paraId="3AF41615">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rPr>
          <w:color w:val="auto"/>
          <w:highlight w:val="none"/>
        </w:rPr>
      </w:pPr>
      <w:r>
        <w:rPr>
          <w:rFonts w:ascii="宋体" w:hAnsi="宋体" w:eastAsia="宋体" w:cs="宋体"/>
          <w:color w:val="auto"/>
          <w:sz w:val="24"/>
          <w:highlight w:val="none"/>
        </w:rPr>
        <w:t>2.生产厂名与厂址应与生产厂营业执照载明的相关信息保持一致。</w:t>
      </w:r>
    </w:p>
    <w:p w14:paraId="1EBEE939">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08827F2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rPr>
          <w:color w:val="auto"/>
          <w:highlight w:val="none"/>
        </w:rPr>
      </w:pPr>
      <w:r>
        <w:rPr>
          <w:rFonts w:ascii="宋体" w:hAnsi="宋体" w:eastAsia="宋体" w:cs="宋体"/>
          <w:color w:val="auto"/>
          <w:sz w:val="24"/>
          <w:highlight w:val="none"/>
        </w:rPr>
        <w:t>4.该产品的关键组件要求实施前，“关键组件”栏可不填，下同。</w:t>
      </w:r>
    </w:p>
    <w:p w14:paraId="3234CEC5">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802"/>
        <w:rPr>
          <w:color w:val="auto"/>
          <w:highlight w:val="none"/>
        </w:rPr>
      </w:pPr>
      <w:r>
        <w:rPr>
          <w:rFonts w:ascii="宋体" w:hAnsi="宋体" w:eastAsia="宋体" w:cs="宋体"/>
          <w:color w:val="auto"/>
          <w:sz w:val="24"/>
          <w:highlight w:val="none"/>
        </w:rPr>
        <w:t>5.该产品的关键工序要求实施前，“关键工序”栏可不填，下同。</w:t>
      </w:r>
    </w:p>
    <w:p w14:paraId="6BA518F6">
      <w:pPr>
        <w:pBdr>
          <w:top w:val="none" w:color="000000" w:sz="0" w:space="0"/>
          <w:left w:val="none" w:color="000000" w:sz="0" w:space="0"/>
          <w:bottom w:val="none" w:color="000000" w:sz="0" w:space="0"/>
          <w:right w:val="none" w:color="000000" w:sz="0" w:space="0"/>
        </w:pBdr>
        <w:spacing w:before="0" w:after="0" w:line="85" w:lineRule="atLeast"/>
        <w:ind w:left="0" w:right="0" w:firstLine="802"/>
        <w:jc w:val="both"/>
        <w:rPr>
          <w:color w:val="auto"/>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2CB78488">
      <w:pPr>
        <w:outlineLvl w:val="1"/>
        <w:rPr>
          <w:rFonts w:ascii="宋体" w:hAnsi="宋体" w:eastAsia="宋体" w:cs="宋体"/>
          <w:b/>
          <w:bCs w:val="0"/>
          <w:i w:val="0"/>
          <w:color w:val="auto"/>
          <w:sz w:val="28"/>
          <w:szCs w:val="28"/>
          <w:highlight w:val="none"/>
          <w:u w:val="none"/>
        </w:rPr>
      </w:pPr>
      <w:r>
        <w:rPr>
          <w:rFonts w:hint="eastAsia" w:ascii="宋体" w:hAnsi="宋体" w:eastAsia="宋体" w:cs="宋体"/>
          <w:b/>
          <w:bCs/>
          <w:i w:val="0"/>
          <w:iCs/>
          <w:color w:val="auto"/>
          <w:sz w:val="28"/>
          <w:szCs w:val="28"/>
          <w:highlight w:val="none"/>
          <w:u w:val="none"/>
        </w:rPr>
        <w:br w:type="page" w:clear="all"/>
      </w:r>
    </w:p>
    <w:p w14:paraId="423520B6">
      <w:pPr>
        <w:spacing w:line="360" w:lineRule="auto"/>
        <w:jc w:val="center"/>
        <w:outlineLvl w:val="1"/>
        <w:rPr>
          <w:rFonts w:hint="eastAsia" w:ascii="宋体" w:hAnsi="宋体" w:eastAsia="宋体" w:cs="宋体"/>
          <w:b/>
          <w:bCs w:val="0"/>
          <w:i w:val="0"/>
          <w:iCs/>
          <w:color w:val="auto"/>
          <w:sz w:val="28"/>
          <w:szCs w:val="28"/>
          <w:highlight w:val="none"/>
          <w:u w:val="none"/>
        </w:rPr>
      </w:pPr>
      <w:r>
        <w:rPr>
          <w:rFonts w:hint="eastAsia" w:ascii="宋体" w:hAnsi="宋体" w:eastAsia="宋体" w:cs="宋体"/>
          <w:b/>
          <w:bCs/>
          <w:i w:val="0"/>
          <w:iCs/>
          <w:color w:val="auto"/>
          <w:sz w:val="28"/>
          <w:szCs w:val="28"/>
          <w:highlight w:val="none"/>
          <w:u w:val="none"/>
          <w:lang w:val="en-US" w:eastAsia="zh-CN"/>
        </w:rPr>
        <w:t>十一、</w:t>
      </w:r>
      <w:r>
        <w:rPr>
          <w:rFonts w:hint="eastAsia" w:ascii="宋体" w:hAnsi="宋体" w:eastAsia="宋体" w:cs="宋体"/>
          <w:b/>
          <w:bCs/>
          <w:i w:val="0"/>
          <w:iCs/>
          <w:color w:val="auto"/>
          <w:sz w:val="28"/>
          <w:szCs w:val="28"/>
          <w:highlight w:val="none"/>
          <w:u w:val="none"/>
        </w:rPr>
        <w:t>供应商承诺书</w:t>
      </w:r>
    </w:p>
    <w:p w14:paraId="221CC441">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致：（采购人名称）</w:t>
      </w:r>
    </w:p>
    <w:p w14:paraId="583B62B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32BBB62C">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我公司（超过3年）、法定代表人（超过5年）、项目负责人（超过5年）无行贿犯罪记录，时间从发布本招标公告之日起开始倒推。</w:t>
      </w:r>
    </w:p>
    <w:p w14:paraId="0B8CF5B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我公司、法定代表人、项目负责人非失信被执行人及无不良行为。</w:t>
      </w:r>
    </w:p>
    <w:p w14:paraId="2484038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本单位及所报项目负责人未被建设行政主管部门限制在招标项目所在地投标</w:t>
      </w:r>
      <w:r>
        <w:rPr>
          <w:rFonts w:hint="eastAsia" w:ascii="宋体" w:hAnsi="宋体" w:eastAsia="宋体" w:cs="宋体"/>
          <w:color w:val="auto"/>
          <w:sz w:val="24"/>
          <w:highlight w:val="none"/>
          <w:lang w:eastAsia="zh-CN"/>
        </w:rPr>
        <w:t>。</w:t>
      </w:r>
    </w:p>
    <w:p w14:paraId="277A4121">
      <w:pPr>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不出借挂靠资质</w:t>
      </w:r>
      <w:r>
        <w:rPr>
          <w:rFonts w:hint="eastAsia" w:ascii="宋体" w:hAnsi="宋体" w:eastAsia="宋体" w:cs="宋体"/>
          <w:color w:val="auto"/>
          <w:sz w:val="24"/>
          <w:highlight w:val="none"/>
          <w:lang w:eastAsia="zh-CN" w:bidi="ar"/>
        </w:rPr>
        <w:t>。</w:t>
      </w:r>
    </w:p>
    <w:p w14:paraId="5F0CD29B">
      <w:pPr>
        <w:keepNext w:val="0"/>
        <w:keepLines w:val="0"/>
        <w:pageBreakBefore w:val="0"/>
        <w:widowControl w:val="0"/>
        <w:spacing w:line="360" w:lineRule="auto"/>
        <w:ind w:firstLine="480"/>
        <w:jc w:val="left"/>
        <w:rPr>
          <w:rFonts w:hint="eastAsia" w:ascii="宋体" w:hAnsi="宋体" w:eastAsia="宋体" w:cs="宋体"/>
          <w:b w:val="0"/>
          <w:bCs/>
          <w:color w:val="auto"/>
          <w:sz w:val="24"/>
          <w:szCs w:val="24"/>
          <w:highlight w:val="none"/>
          <w:lang w:eastAsia="zh-CN" w:bidi="ar"/>
        </w:rPr>
      </w:pPr>
      <w:r>
        <w:rPr>
          <w:rFonts w:hint="eastAsia" w:ascii="宋体" w:hAnsi="宋体" w:eastAsia="宋体" w:cs="宋体"/>
          <w:color w:val="auto"/>
          <w:sz w:val="24"/>
          <w:highlight w:val="none"/>
          <w:lang w:val="en-US" w:eastAsia="zh-CN" w:bidi="ar"/>
        </w:rPr>
        <w:t>5.</w:t>
      </w:r>
      <w:r>
        <w:rPr>
          <w:rFonts w:hint="eastAsia" w:ascii="宋体" w:hAnsi="宋体" w:eastAsia="宋体" w:cs="宋体"/>
          <w:b w:val="0"/>
          <w:bCs/>
          <w:color w:val="auto"/>
          <w:sz w:val="24"/>
          <w:szCs w:val="24"/>
          <w:highlight w:val="none"/>
          <w:lang w:eastAsia="zh-CN" w:bidi="ar"/>
        </w:rPr>
        <w:t>所报项目负责人同志在该项目投标期间：</w:t>
      </w:r>
    </w:p>
    <w:p w14:paraId="66E78EAF">
      <w:pPr>
        <w:keepNext w:val="0"/>
        <w:keepLines w:val="0"/>
        <w:pageBreakBefore w:val="0"/>
        <w:widowControl w:val="0"/>
        <w:spacing w:line="360" w:lineRule="auto"/>
        <w:ind w:firstLine="480"/>
        <w:jc w:val="left"/>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eastAsia="zh-CN" w:bidi="ar"/>
        </w:rPr>
        <w:t>（1）无在建项目，未同时在两个及以上建设工程项目上担任项目负责人的。</w:t>
      </w:r>
    </w:p>
    <w:p w14:paraId="7942B2F7">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w:t>
      </w:r>
    </w:p>
    <w:p w14:paraId="0C572089">
      <w:pPr>
        <w:spacing w:line="360" w:lineRule="auto"/>
        <w:ind w:firstLine="480"/>
        <w:rPr>
          <w:rFonts w:ascii="宋体" w:hAnsi="宋体" w:eastAsia="宋体" w:cs="宋体"/>
          <w:color w:val="auto"/>
          <w:sz w:val="24"/>
          <w:highlight w:val="none"/>
          <w:lang w:bidi="ar"/>
        </w:rPr>
      </w:pPr>
      <w:r>
        <w:rPr>
          <w:rFonts w:hint="eastAsia" w:ascii="宋体" w:hAnsi="宋体" w:cs="宋体"/>
          <w:color w:val="auto"/>
          <w:sz w:val="24"/>
          <w:highlight w:val="none"/>
          <w:lang w:val="en-US" w:eastAsia="zh-CN" w:bidi="ar"/>
        </w:rPr>
        <w:t>7</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投标全过程（含异议、投诉环节）出示的文件资料均是真实、有效的。</w:t>
      </w:r>
    </w:p>
    <w:p w14:paraId="6DBB2B35">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w:t>
      </w:r>
    </w:p>
    <w:p w14:paraId="7EB15C21">
      <w:pPr>
        <w:spacing w:line="360" w:lineRule="auto"/>
        <w:ind w:firstLine="480"/>
        <w:rPr>
          <w:rFonts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我单位本次投标不存在以下情况：法定代表人为同一个人的两个及两个以上法人，母公司、全资子公司及其控股公司，在本项目中同时投标。</w:t>
      </w:r>
    </w:p>
    <w:p w14:paraId="651ACEC4">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4DF97C09">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w:t>
      </w:r>
      <w:r>
        <w:rPr>
          <w:rFonts w:hint="eastAsia" w:ascii="宋体" w:hAnsi="宋体" w:cs="宋体"/>
          <w:bCs/>
          <w:color w:val="auto"/>
          <w:spacing w:val="-10"/>
          <w:szCs w:val="21"/>
          <w:highlight w:val="none"/>
        </w:rPr>
        <w:t>在</w:t>
      </w:r>
      <w:r>
        <w:rPr>
          <w:rFonts w:hint="eastAsia" w:ascii="宋体" w:hAnsi="宋体" w:cs="宋体"/>
          <w:bCs/>
          <w:color w:val="auto"/>
          <w:spacing w:val="-10"/>
          <w:szCs w:val="21"/>
          <w:highlight w:val="none"/>
          <w:lang w:val="en-US" w:eastAsia="zh-CN"/>
        </w:rPr>
        <w:t>响应</w:t>
      </w:r>
      <w:r>
        <w:rPr>
          <w:rFonts w:hint="eastAsia" w:ascii="宋体" w:hAnsi="宋体" w:cs="宋体"/>
          <w:bCs/>
          <w:color w:val="auto"/>
          <w:spacing w:val="-10"/>
          <w:szCs w:val="21"/>
          <w:highlight w:val="none"/>
        </w:rPr>
        <w:t>文件递交截止时间当日</w:t>
      </w:r>
      <w:r>
        <w:rPr>
          <w:rFonts w:hint="eastAsia" w:ascii="宋体" w:hAnsi="宋体" w:cs="宋体"/>
          <w:bCs/>
          <w:color w:val="auto"/>
          <w:spacing w:val="-10"/>
          <w:szCs w:val="21"/>
          <w:highlight w:val="none"/>
          <w:lang w:eastAsia="zh-CN"/>
        </w:rPr>
        <w:t>，</w:t>
      </w:r>
      <w:r>
        <w:rPr>
          <w:rFonts w:hint="eastAsia" w:ascii="宋体" w:hAnsi="宋体" w:cs="宋体"/>
          <w:bCs/>
          <w:color w:val="auto"/>
          <w:spacing w:val="-10"/>
          <w:szCs w:val="21"/>
          <w:highlight w:val="none"/>
          <w:lang w:val="en-US" w:eastAsia="zh-CN"/>
        </w:rPr>
        <w:t>我单位</w:t>
      </w:r>
      <w:r>
        <w:rPr>
          <w:rFonts w:hint="eastAsia" w:ascii="宋体" w:hAnsi="宋体" w:cs="宋体"/>
          <w:bCs/>
          <w:color w:val="auto"/>
          <w:spacing w:val="-10"/>
          <w:szCs w:val="21"/>
          <w:highlight w:val="none"/>
        </w:rPr>
        <w:t>动态监管</w:t>
      </w:r>
      <w:r>
        <w:rPr>
          <w:rFonts w:hint="eastAsia" w:ascii="宋体" w:hAnsi="宋体" w:cs="宋体"/>
          <w:bCs/>
          <w:color w:val="auto"/>
          <w:spacing w:val="-10"/>
          <w:szCs w:val="21"/>
          <w:highlight w:val="none"/>
          <w:lang w:val="en-US" w:eastAsia="zh-CN"/>
        </w:rPr>
        <w:t>未</w:t>
      </w:r>
      <w:r>
        <w:rPr>
          <w:rFonts w:hint="eastAsia" w:ascii="宋体" w:hAnsi="宋体" w:cs="宋体"/>
          <w:bCs/>
          <w:color w:val="auto"/>
          <w:spacing w:val="-10"/>
          <w:szCs w:val="21"/>
          <w:highlight w:val="none"/>
        </w:rPr>
        <w:t>处于不合格状态</w:t>
      </w:r>
      <w:r>
        <w:rPr>
          <w:rFonts w:hint="eastAsia" w:ascii="宋体" w:hAnsi="宋体" w:cs="宋体"/>
          <w:bCs/>
          <w:color w:val="auto"/>
          <w:spacing w:val="-10"/>
          <w:szCs w:val="21"/>
          <w:highlight w:val="none"/>
          <w:lang w:eastAsia="zh-CN"/>
        </w:rPr>
        <w:t>。</w:t>
      </w:r>
    </w:p>
    <w:p w14:paraId="287C99D2">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53DBBF77">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：（盖章）</w:t>
      </w:r>
    </w:p>
    <w:p w14:paraId="67A25358">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18ABA35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授权委托代表：（签字）</w:t>
      </w:r>
    </w:p>
    <w:p w14:paraId="7BF0CE10">
      <w:pPr>
        <w:spacing w:line="360" w:lineRule="auto"/>
        <w:ind w:firstLine="480"/>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授权委托代表身份证号：</w:t>
      </w:r>
    </w:p>
    <w:p w14:paraId="19E00FA7">
      <w:pPr>
        <w:pStyle w:val="235"/>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日期：年月日</w:t>
      </w:r>
    </w:p>
    <w:p w14:paraId="4F02E2A6">
      <w:pPr>
        <w:pStyle w:val="235"/>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9"/>
        <w:rPr>
          <w:rFonts w:hint="eastAsia" w:ascii="宋体" w:hAnsi="宋体" w:eastAsia="宋体" w:cs="宋体"/>
          <w:color w:val="auto"/>
          <w:sz w:val="24"/>
          <w:highlight w:val="none"/>
        </w:rPr>
      </w:pPr>
    </w:p>
    <w:p w14:paraId="10DF564F">
      <w:pPr>
        <w:pStyle w:val="235"/>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十</w:t>
      </w:r>
      <w:r>
        <w:rPr>
          <w:rFonts w:hint="eastAsia" w:cs="宋体"/>
          <w:b/>
          <w:bCs/>
          <w:color w:val="auto"/>
          <w:sz w:val="32"/>
          <w:szCs w:val="32"/>
          <w:highlight w:val="none"/>
          <w:lang w:val="en-US" w:eastAsia="zh-CN" w:bidi="ar-SA"/>
        </w:rPr>
        <w:t>二</w:t>
      </w:r>
      <w:r>
        <w:rPr>
          <w:rFonts w:hint="eastAsia" w:ascii="宋体" w:hAnsi="宋体" w:eastAsia="宋体" w:cs="宋体"/>
          <w:b/>
          <w:bCs/>
          <w:color w:val="auto"/>
          <w:sz w:val="32"/>
          <w:szCs w:val="32"/>
          <w:highlight w:val="none"/>
          <w:lang w:val="en-US" w:eastAsia="zh-CN" w:bidi="ar-SA"/>
        </w:rPr>
        <w:t>、</w:t>
      </w:r>
      <w:r>
        <w:rPr>
          <w:rFonts w:hint="eastAsia" w:ascii="宋体" w:hAnsi="宋体" w:eastAsia="宋体" w:cs="宋体"/>
          <w:b/>
          <w:bCs/>
          <w:color w:val="auto"/>
          <w:sz w:val="32"/>
          <w:szCs w:val="32"/>
          <w:highlight w:val="none"/>
        </w:rPr>
        <w:t>分项报价表</w:t>
      </w:r>
    </w:p>
    <w:p w14:paraId="32FC7EC4">
      <w:pPr>
        <w:pBdr>
          <w:top w:val="none" w:color="000000" w:sz="0" w:space="0"/>
          <w:left w:val="none" w:color="000000" w:sz="0" w:space="0"/>
          <w:bottom w:val="none" w:color="000000" w:sz="0" w:space="0"/>
          <w:right w:val="none" w:color="000000" w:sz="0" w:space="0"/>
        </w:pBdr>
        <w:spacing w:line="360" w:lineRule="atLeast"/>
        <w:ind w:firstLine="0"/>
        <w:jc w:val="center"/>
        <w:rPr>
          <w:rFonts w:ascii="宋体" w:hAnsi="宋体" w:cs="宋体"/>
          <w:color w:val="auto"/>
          <w:sz w:val="28"/>
          <w:szCs w:val="32"/>
          <w:highlight w:val="none"/>
        </w:rPr>
      </w:pPr>
    </w:p>
    <w:p w14:paraId="25695211">
      <w:pPr>
        <w:pBdr>
          <w:top w:val="none" w:color="000000" w:sz="0" w:space="0"/>
          <w:left w:val="none" w:color="000000" w:sz="0" w:space="0"/>
          <w:bottom w:val="none" w:color="000000" w:sz="0" w:space="0"/>
          <w:right w:val="none" w:color="000000" w:sz="0" w:space="0"/>
        </w:pBdr>
        <w:spacing w:line="360" w:lineRule="atLeast"/>
        <w:ind w:firstLine="0"/>
        <w:jc w:val="center"/>
        <w:rPr>
          <w:rFonts w:hint="eastAsia" w:ascii="宋体" w:hAnsi="宋体" w:cs="宋体"/>
          <w:color w:val="auto"/>
          <w:sz w:val="28"/>
          <w:szCs w:val="32"/>
          <w:highlight w:val="none"/>
        </w:rPr>
      </w:pPr>
      <w:r>
        <w:rPr>
          <w:rFonts w:ascii="宋体" w:hAnsi="宋体" w:cs="宋体"/>
          <w:color w:val="auto"/>
          <w:sz w:val="28"/>
          <w:szCs w:val="32"/>
          <w:highlight w:val="none"/>
        </w:rPr>
        <w:t>按工程量清单报价</w:t>
      </w:r>
    </w:p>
    <w:p w14:paraId="41D6ADBC">
      <w:pPr>
        <w:pBdr>
          <w:top w:val="none" w:color="000000" w:sz="0" w:space="0"/>
          <w:left w:val="none" w:color="000000" w:sz="0" w:space="0"/>
          <w:bottom w:val="none" w:color="000000" w:sz="0" w:space="0"/>
          <w:right w:val="none" w:color="000000" w:sz="0" w:space="0"/>
        </w:pBdr>
        <w:spacing w:line="360" w:lineRule="atLeast"/>
        <w:ind w:firstLine="420"/>
        <w:jc w:val="center"/>
        <w:rPr>
          <w:rFonts w:hint="eastAsia" w:ascii="宋体" w:hAnsi="宋体" w:cs="宋体"/>
          <w:color w:val="auto"/>
          <w:sz w:val="22"/>
          <w:highlight w:val="none"/>
        </w:rPr>
      </w:pPr>
    </w:p>
    <w:p w14:paraId="503796F0">
      <w:pPr>
        <w:ind w:firstLine="0"/>
        <w:rPr>
          <w:rFonts w:hint="eastAsia" w:ascii="宋体" w:hAnsi="宋体" w:cs="宋体"/>
          <w:b/>
          <w:color w:val="auto"/>
          <w:sz w:val="22"/>
          <w:highlight w:val="none"/>
        </w:rPr>
      </w:pPr>
    </w:p>
    <w:p w14:paraId="0F04F350">
      <w:pPr>
        <w:ind w:firstLine="0"/>
        <w:rPr>
          <w:rFonts w:hint="eastAsia" w:ascii="宋体" w:hAnsi="宋体" w:cs="宋体"/>
          <w:b/>
          <w:color w:val="auto"/>
          <w:sz w:val="22"/>
          <w:highlight w:val="none"/>
        </w:rPr>
      </w:pPr>
    </w:p>
    <w:p w14:paraId="6EDE2BD4">
      <w:pPr>
        <w:ind w:firstLine="442"/>
        <w:rPr>
          <w:rFonts w:hint="eastAsia" w:ascii="宋体" w:hAnsi="宋体" w:cs="宋体"/>
          <w:b/>
          <w:color w:val="auto"/>
          <w:sz w:val="28"/>
          <w:szCs w:val="28"/>
          <w:highlight w:val="none"/>
        </w:rPr>
      </w:pPr>
      <w:r>
        <w:rPr>
          <w:rFonts w:ascii="宋体" w:hAnsi="宋体" w:cs="宋体"/>
          <w:b/>
          <w:color w:val="auto"/>
          <w:sz w:val="22"/>
          <w:highlight w:val="none"/>
        </w:rPr>
        <w:t>注：各分项最终结算价按照磋商首次报价与最后报价作同比例变动</w:t>
      </w:r>
    </w:p>
    <w:p w14:paraId="4F792ACF">
      <w:pPr>
        <w:ind w:firstLine="0"/>
        <w:rPr>
          <w:rFonts w:hint="eastAsia" w:ascii="宋体" w:hAnsi="宋体" w:cs="宋体"/>
          <w:b/>
          <w:color w:val="auto"/>
          <w:sz w:val="28"/>
          <w:szCs w:val="28"/>
          <w:highlight w:val="none"/>
        </w:rPr>
      </w:pPr>
    </w:p>
    <w:p w14:paraId="669ED944">
      <w:pPr>
        <w:pStyle w:val="235"/>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outlineLvl w:val="9"/>
        <w:rPr>
          <w:rFonts w:hint="eastAsia" w:ascii="宋体" w:hAnsi="宋体" w:eastAsia="宋体" w:cs="宋体"/>
          <w:b/>
          <w:bCs/>
          <w:color w:val="auto"/>
          <w:sz w:val="32"/>
          <w:szCs w:val="32"/>
          <w:highlight w:val="none"/>
        </w:rPr>
      </w:pPr>
    </w:p>
    <w:p w14:paraId="32B3676B">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1"/>
        <w:rPr>
          <w:rFonts w:hint="eastAsia" w:ascii="宋体" w:hAnsi="宋体" w:eastAsia="宋体" w:cs="宋体"/>
          <w:bCs/>
          <w:color w:val="auto"/>
          <w:sz w:val="36"/>
          <w:szCs w:val="28"/>
          <w:highlight w:val="none"/>
          <w:lang w:val="en-US" w:eastAsia="zh-CN" w:bidi="ar-SA"/>
        </w:rPr>
      </w:pPr>
      <w:r>
        <w:rPr>
          <w:rFonts w:hint="eastAsia" w:ascii="宋体" w:hAnsi="宋体" w:cs="宋体"/>
          <w:b/>
          <w:color w:val="auto"/>
          <w:sz w:val="32"/>
          <w:szCs w:val="32"/>
          <w:highlight w:val="none"/>
        </w:rPr>
        <w:br w:type="page" w:clear="all"/>
      </w:r>
      <w:bookmarkStart w:id="701" w:name="_Toc30442"/>
      <w:bookmarkStart w:id="702" w:name="_Toc2279"/>
      <w:bookmarkStart w:id="703" w:name="_Toc23828483"/>
      <w:bookmarkStart w:id="704" w:name="_Toc24878535"/>
      <w:bookmarkStart w:id="705" w:name="_Toc22356583"/>
      <w:bookmarkStart w:id="706" w:name="_Toc513029281"/>
      <w:bookmarkStart w:id="707" w:name="_Toc120614291"/>
      <w:bookmarkStart w:id="708" w:name="_Toc49090582"/>
      <w:bookmarkStart w:id="709" w:name="_Toc120614284"/>
      <w:bookmarkStart w:id="710" w:name="_Toc26554103"/>
      <w:r>
        <w:rPr>
          <w:rFonts w:hint="eastAsia" w:ascii="宋体" w:hAnsi="宋体" w:eastAsia="宋体" w:cs="宋体"/>
          <w:bCs/>
          <w:color w:val="auto"/>
          <w:sz w:val="36"/>
          <w:szCs w:val="28"/>
          <w:highlight w:val="none"/>
          <w:lang w:val="en-US" w:eastAsia="zh-CN" w:bidi="ar-SA"/>
        </w:rPr>
        <w:t>十</w:t>
      </w:r>
      <w:r>
        <w:rPr>
          <w:rFonts w:hint="eastAsia" w:cs="宋体"/>
          <w:bCs/>
          <w:color w:val="auto"/>
          <w:sz w:val="36"/>
          <w:szCs w:val="28"/>
          <w:highlight w:val="none"/>
          <w:lang w:val="en-US" w:eastAsia="zh-CN" w:bidi="ar-SA"/>
        </w:rPr>
        <w:t>三</w:t>
      </w:r>
      <w:r>
        <w:rPr>
          <w:rFonts w:hint="eastAsia" w:ascii="宋体" w:hAnsi="宋体" w:eastAsia="宋体" w:cs="宋体"/>
          <w:bCs/>
          <w:color w:val="auto"/>
          <w:sz w:val="36"/>
          <w:szCs w:val="28"/>
          <w:highlight w:val="none"/>
          <w:lang w:val="en-US" w:eastAsia="zh-CN" w:bidi="ar-SA"/>
        </w:rPr>
        <w:t>、商务要求响应及偏离表</w:t>
      </w:r>
    </w:p>
    <w:tbl>
      <w:tblPr>
        <w:tblStyle w:val="3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3291"/>
        <w:gridCol w:w="2690"/>
        <w:gridCol w:w="1470"/>
        <w:gridCol w:w="1278"/>
      </w:tblGrid>
      <w:tr w14:paraId="7A4CD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956" w:type="dxa"/>
            <w:noWrap w:val="0"/>
            <w:vAlign w:val="center"/>
          </w:tcPr>
          <w:p w14:paraId="63DE80AF">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bookmarkStart w:id="711" w:name="_Hlt26580838"/>
            <w:bookmarkStart w:id="712" w:name="_Hlt24879081"/>
            <w:bookmarkStart w:id="713" w:name="_Hlt26955064"/>
            <w:bookmarkStart w:id="714" w:name="_Hlt26609391"/>
            <w:bookmarkStart w:id="715" w:name="_Hlt26955056"/>
            <w:bookmarkStart w:id="716" w:name="_Hlt26671372"/>
            <w:bookmarkStart w:id="717" w:name="_Hlt26671343"/>
            <w:bookmarkStart w:id="718" w:name="_Hlt26782999"/>
            <w:r>
              <w:rPr>
                <w:rFonts w:hint="eastAsia" w:ascii="宋体" w:hAnsi="宋体" w:eastAsia="宋体" w:cs="宋体"/>
                <w:color w:val="auto"/>
                <w:sz w:val="24"/>
                <w:szCs w:val="24"/>
                <w:highlight w:val="none"/>
              </w:rPr>
              <w:t>序号</w:t>
            </w:r>
            <w:bookmarkEnd w:id="711"/>
            <w:bookmarkEnd w:id="712"/>
            <w:bookmarkEnd w:id="713"/>
            <w:bookmarkEnd w:id="714"/>
            <w:bookmarkEnd w:id="715"/>
            <w:bookmarkEnd w:id="716"/>
            <w:bookmarkEnd w:id="717"/>
            <w:bookmarkEnd w:id="718"/>
          </w:p>
        </w:tc>
        <w:tc>
          <w:tcPr>
            <w:tcW w:w="3291" w:type="dxa"/>
            <w:noWrap w:val="0"/>
            <w:vAlign w:val="center"/>
          </w:tcPr>
          <w:p w14:paraId="297DF54B">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磋商文件要求</w:t>
            </w:r>
          </w:p>
        </w:tc>
        <w:tc>
          <w:tcPr>
            <w:tcW w:w="2690" w:type="dxa"/>
            <w:noWrap w:val="0"/>
            <w:vAlign w:val="center"/>
          </w:tcPr>
          <w:p w14:paraId="618A3395">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响应情况</w:t>
            </w:r>
          </w:p>
        </w:tc>
        <w:tc>
          <w:tcPr>
            <w:tcW w:w="1470" w:type="dxa"/>
            <w:noWrap w:val="0"/>
            <w:vAlign w:val="center"/>
          </w:tcPr>
          <w:p w14:paraId="12AC43D0">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42CE0186">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证明材料</w:t>
            </w:r>
          </w:p>
        </w:tc>
      </w:tr>
      <w:tr w14:paraId="1D20C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42CE5DF5">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6AF27695">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2A2CA09D">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48D9E6D7">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7ABF227C">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2DC63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679EBE21">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39FE57DE">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71EA674D">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2FEC8CE1">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39AFE129">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51151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0E583845">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4E574B90">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7D8F4CEB">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3D52664C">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1A982C55">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5A57F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783D75A1">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407F508C">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08E2B36D">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633AFA28">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60340A78">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366E1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2C011FF9">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65AEE157">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59324A01">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327DFF48">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393013AB">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19CBA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67D6513B">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214674B4">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7199BD4E">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141BDEBF">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65365A6">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2E804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166E8E4D">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1BA01FB5">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7556789A">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6637C5B0">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0B998BC">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5E341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3E705283">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6BA27426">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w:t>
            </w:r>
          </w:p>
        </w:tc>
        <w:tc>
          <w:tcPr>
            <w:tcW w:w="2690" w:type="dxa"/>
            <w:noWrap w:val="0"/>
            <w:vAlign w:val="center"/>
          </w:tcPr>
          <w:p w14:paraId="381DB0EB">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39158F2A">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7E5B47AE">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bl>
    <w:p w14:paraId="280FEE53">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rPr>
          <w:color w:val="auto"/>
          <w:highlight w:val="none"/>
        </w:rPr>
      </w:pPr>
      <w:r>
        <w:rPr>
          <w:rFonts w:hint="eastAsia" w:ascii="宋体" w:hAnsi="宋体" w:eastAsia="宋体" w:cs="宋体"/>
          <w:color w:val="auto"/>
          <w:sz w:val="24"/>
          <w:szCs w:val="24"/>
          <w:highlight w:val="none"/>
        </w:rPr>
        <w:t>注： 行数不够，可自行添加。</w:t>
      </w:r>
    </w:p>
    <w:p w14:paraId="33B4F1A8">
      <w:pPr>
        <w:pStyle w:val="235"/>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480" w:lineRule="auto"/>
        <w:jc w:val="both"/>
        <w:rPr>
          <w:color w:val="auto"/>
          <w:highlight w:val="none"/>
        </w:rPr>
      </w:pPr>
      <w:r>
        <w:rPr>
          <w:color w:val="auto"/>
          <w:highlight w:val="none"/>
        </w:rPr>
        <w:t> </w:t>
      </w:r>
    </w:p>
    <w:p w14:paraId="0CC705A8">
      <w:pPr>
        <w:shd w:val="clear" w:color="auto" w:fill="auto"/>
        <w:spacing w:line="560" w:lineRule="exact"/>
        <w:rPr>
          <w:rFonts w:ascii="宋体" w:hAnsi="宋体" w:cs="宋体"/>
          <w:bCs/>
          <w:color w:val="auto"/>
          <w:sz w:val="24"/>
          <w:highlight w:val="none"/>
        </w:rPr>
      </w:pPr>
    </w:p>
    <w:p w14:paraId="6EBC5C55">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3BB8C3AD">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日期：年月日</w:t>
      </w:r>
    </w:p>
    <w:p w14:paraId="4C4C6EAF">
      <w:pPr>
        <w:shd w:val="clear" w:color="auto" w:fill="auto"/>
        <w:spacing w:line="520" w:lineRule="exact"/>
        <w:rPr>
          <w:rFonts w:ascii="宋体" w:hAnsi="宋体" w:cs="宋体"/>
          <w:b/>
          <w:bCs/>
          <w:color w:val="auto"/>
          <w:sz w:val="28"/>
          <w:szCs w:val="28"/>
          <w:highlight w:val="none"/>
        </w:rPr>
      </w:pPr>
    </w:p>
    <w:bookmarkEnd w:id="701"/>
    <w:bookmarkEnd w:id="702"/>
    <w:p w14:paraId="70A20A98">
      <w:pPr>
        <w:shd w:val="clear" w:color="auto" w:fill="auto"/>
        <w:spacing w:line="520" w:lineRule="exact"/>
        <w:rPr>
          <w:rFonts w:ascii="宋体" w:hAnsi="宋体" w:cs="宋体"/>
          <w:b/>
          <w:bCs/>
          <w:color w:val="auto"/>
          <w:sz w:val="28"/>
          <w:szCs w:val="28"/>
          <w:highlight w:val="none"/>
        </w:rPr>
      </w:pPr>
    </w:p>
    <w:p w14:paraId="2D4B89AB">
      <w:pPr>
        <w:pStyle w:val="196"/>
        <w:shd w:val="clear" w:color="auto" w:fill="auto"/>
        <w:rPr>
          <w:rFonts w:ascii="宋体" w:hAnsi="宋体" w:cs="宋体"/>
          <w:color w:val="auto"/>
          <w:highlight w:val="none"/>
        </w:rPr>
      </w:pPr>
    </w:p>
    <w:p w14:paraId="7B9C9C25">
      <w:pPr>
        <w:shd w:val="clear" w:color="auto" w:fill="auto"/>
        <w:spacing w:line="520" w:lineRule="exact"/>
        <w:rPr>
          <w:rFonts w:ascii="宋体" w:hAnsi="宋体" w:cs="宋体"/>
          <w:b/>
          <w:bCs/>
          <w:color w:val="auto"/>
          <w:sz w:val="28"/>
          <w:szCs w:val="28"/>
          <w:highlight w:val="none"/>
        </w:rPr>
      </w:pPr>
    </w:p>
    <w:p w14:paraId="2971E24F">
      <w:pPr>
        <w:shd w:val="clear" w:color="auto" w:fill="auto"/>
        <w:spacing w:line="400" w:lineRule="exact"/>
        <w:rPr>
          <w:rFonts w:ascii="宋体" w:hAnsi="宋体" w:cs="宋体"/>
          <w:b/>
          <w:bCs/>
          <w:color w:val="auto"/>
          <w:sz w:val="28"/>
          <w:szCs w:val="28"/>
          <w:highlight w:val="none"/>
        </w:rPr>
      </w:pPr>
      <w:bookmarkStart w:id="719" w:name="_Toc27900"/>
      <w:bookmarkEnd w:id="719"/>
      <w:bookmarkStart w:id="720" w:name="_Toc20606"/>
      <w:bookmarkEnd w:id="720"/>
    </w:p>
    <w:p w14:paraId="7FF66195">
      <w:pPr>
        <w:shd w:val="clear" w:color="auto" w:fill="auto"/>
        <w:spacing w:line="400" w:lineRule="exact"/>
        <w:rPr>
          <w:rFonts w:ascii="宋体" w:hAnsi="宋体" w:cs="宋体"/>
          <w:b/>
          <w:bCs/>
          <w:color w:val="auto"/>
          <w:sz w:val="28"/>
          <w:szCs w:val="28"/>
          <w:highlight w:val="none"/>
        </w:rPr>
      </w:pPr>
    </w:p>
    <w:p w14:paraId="08C6E949">
      <w:pPr>
        <w:shd w:val="clear" w:color="auto" w:fill="auto"/>
        <w:spacing w:line="360" w:lineRule="auto"/>
        <w:rPr>
          <w:rFonts w:ascii="宋体" w:hAnsi="宋体" w:cs="宋体"/>
          <w:color w:val="auto"/>
          <w:sz w:val="24"/>
          <w:highlight w:val="none"/>
        </w:rPr>
      </w:pPr>
    </w:p>
    <w:p w14:paraId="75FB254D">
      <w:pPr>
        <w:shd w:val="clear" w:color="auto" w:fill="auto"/>
        <w:jc w:val="center"/>
        <w:rPr>
          <w:rFonts w:ascii="宋体" w:hAnsi="宋体" w:eastAsia="宋体" w:cs="宋体"/>
          <w:color w:val="auto"/>
          <w:highlight w:val="none"/>
        </w:rPr>
      </w:pPr>
      <w:r>
        <w:rPr>
          <w:rFonts w:hint="eastAsia" w:ascii="黑体" w:hAnsi="宋体" w:eastAsia="黑体" w:cs="黑体"/>
          <w:b/>
          <w:bCs/>
          <w:color w:val="auto"/>
          <w:sz w:val="32"/>
          <w:szCs w:val="32"/>
          <w:highlight w:val="none"/>
          <w:lang w:val="en-US" w:eastAsia="zh-CN" w:bidi="ar"/>
        </w:rPr>
        <w:br w:type="page" w:clear="all"/>
      </w:r>
      <w:r>
        <w:rPr>
          <w:rFonts w:hint="eastAsia" w:ascii="宋体" w:hAnsi="宋体" w:eastAsia="宋体" w:cs="宋体"/>
          <w:color w:val="auto"/>
          <w:sz w:val="32"/>
          <w:szCs w:val="32"/>
          <w:highlight w:val="none"/>
          <w:lang w:val="en-US" w:eastAsia="zh-CN"/>
        </w:rPr>
        <w:t>十四、</w:t>
      </w:r>
      <w:r>
        <w:rPr>
          <w:rFonts w:hint="eastAsia" w:ascii="宋体" w:hAnsi="宋体" w:eastAsia="宋体" w:cs="宋体"/>
          <w:color w:val="auto"/>
          <w:sz w:val="32"/>
          <w:szCs w:val="32"/>
          <w:highlight w:val="none"/>
        </w:rPr>
        <w:t>技术要求响应及偏离表</w:t>
      </w:r>
    </w:p>
    <w:tbl>
      <w:tblPr>
        <w:tblStyle w:val="3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3291"/>
        <w:gridCol w:w="2852"/>
        <w:gridCol w:w="1308"/>
        <w:gridCol w:w="1278"/>
      </w:tblGrid>
      <w:tr w14:paraId="06249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noWrap w:val="0"/>
            <w:vAlign w:val="center"/>
          </w:tcPr>
          <w:p w14:paraId="32CC0EB1">
            <w:pPr>
              <w:pStyle w:val="235"/>
              <w:spacing w:beforeAutospacing="0" w:afterAutospacing="0"/>
              <w:ind w:left="0" w:firstLine="0"/>
              <w:jc w:val="both"/>
              <w:rPr>
                <w:rFonts w:ascii="宋体" w:hAnsi="宋体" w:eastAsia="宋体" w:cs="宋体"/>
                <w:color w:val="auto"/>
                <w:highlight w:val="none"/>
              </w:rPr>
            </w:pPr>
            <w:r>
              <w:rPr>
                <w:rFonts w:hint="eastAsia" w:ascii="宋体" w:hAnsi="宋体" w:eastAsia="宋体" w:cs="宋体"/>
                <w:color w:val="auto"/>
                <w:highlight w:val="none"/>
              </w:rPr>
              <w:t>序号</w:t>
            </w:r>
          </w:p>
        </w:tc>
        <w:tc>
          <w:tcPr>
            <w:tcW w:w="3291" w:type="dxa"/>
            <w:noWrap w:val="0"/>
            <w:vAlign w:val="center"/>
          </w:tcPr>
          <w:p w14:paraId="3E9DD482">
            <w:pPr>
              <w:pStyle w:val="235"/>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招标文件要求</w:t>
            </w:r>
          </w:p>
        </w:tc>
        <w:tc>
          <w:tcPr>
            <w:tcW w:w="2852" w:type="dxa"/>
            <w:noWrap w:val="0"/>
            <w:vAlign w:val="center"/>
          </w:tcPr>
          <w:p w14:paraId="635928BE">
            <w:pPr>
              <w:pStyle w:val="235"/>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308" w:type="dxa"/>
            <w:noWrap w:val="0"/>
            <w:vAlign w:val="center"/>
          </w:tcPr>
          <w:p w14:paraId="322EFDDD">
            <w:pPr>
              <w:pStyle w:val="235"/>
              <w:spacing w:beforeAutospacing="0" w:afterAutospacing="0"/>
              <w:ind w:left="0" w:firstLine="0"/>
              <w:jc w:val="both"/>
              <w:rPr>
                <w:rFonts w:ascii="宋体" w:hAnsi="宋体" w:eastAsia="宋体" w:cs="宋体"/>
                <w:color w:val="auto"/>
                <w:highlight w:val="none"/>
              </w:rPr>
            </w:pPr>
            <w:r>
              <w:rPr>
                <w:rFonts w:hint="eastAsia" w:ascii="宋体" w:hAnsi="宋体" w:eastAsia="宋体" w:cs="宋体"/>
                <w:color w:val="auto"/>
                <w:highlight w:val="none"/>
              </w:rPr>
              <w:t>超出、符合或偏离</w:t>
            </w:r>
          </w:p>
        </w:tc>
        <w:tc>
          <w:tcPr>
            <w:tcW w:w="1173" w:type="dxa"/>
            <w:noWrap w:val="0"/>
            <w:vAlign w:val="center"/>
          </w:tcPr>
          <w:p w14:paraId="71A367B4">
            <w:pPr>
              <w:pStyle w:val="235"/>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证明材料</w:t>
            </w:r>
          </w:p>
        </w:tc>
      </w:tr>
      <w:tr w14:paraId="44DE2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3D41CE49">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1661EA97">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D5ED1B8">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0D7325BA">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15261F86">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5802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6E27D13B">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75A1509A">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76E17AD1">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1A6D63F6">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39B5600C">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4648F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07849679">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0FCC4295">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6156055D">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614A14EF">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781B94B2">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748B8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26C5D99E">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211A39A3">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6CB25C7E">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41206FAF">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3191528A">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F6EB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1EEA1042">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3D29BBB0">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0AF19D52">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48CE60EB">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315844AA">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5D9A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0EE9736D">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0C0A9C96">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6C6BA64A">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39C0DAE6">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7D1F7C3F">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712E5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216569A2">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47C44F99">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35CC4805">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42D53ED2">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7BC6C19A">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82C9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4FFB2F38">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31737581">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2852" w:type="dxa"/>
            <w:noWrap w:val="0"/>
            <w:vAlign w:val="center"/>
          </w:tcPr>
          <w:p w14:paraId="4687B055">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2B30B3AE">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0E3F3533">
            <w:pPr>
              <w:pStyle w:val="235"/>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3DCF8C50">
      <w:pPr>
        <w:pStyle w:val="235"/>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注： 行数不够，可自行添加。</w:t>
      </w:r>
    </w:p>
    <w:p w14:paraId="48607CAD">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0979BB96">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522F1D5D">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31C4D7A2">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30FCA286">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bookmarkEnd w:id="703"/>
    <w:bookmarkEnd w:id="704"/>
    <w:bookmarkEnd w:id="705"/>
    <w:bookmarkEnd w:id="706"/>
    <w:bookmarkEnd w:id="707"/>
    <w:bookmarkEnd w:id="708"/>
    <w:bookmarkEnd w:id="709"/>
    <w:bookmarkEnd w:id="710"/>
    <w:p w14:paraId="538E3ABB">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09A857EA">
      <w:pPr>
        <w:shd w:val="clear" w:color="auto" w:fill="auto"/>
        <w:spacing w:line="360" w:lineRule="auto"/>
        <w:ind w:left="0" w:firstLine="0"/>
        <w:jc w:val="both"/>
        <w:outlineLvl w:val="9"/>
        <w:rPr>
          <w:rFonts w:hint="eastAsia" w:ascii="宋体" w:hAnsi="宋体" w:eastAsia="宋体" w:cs="宋体"/>
          <w:bCs/>
          <w:color w:val="auto"/>
          <w:sz w:val="36"/>
          <w:szCs w:val="28"/>
          <w:highlight w:val="none"/>
          <w:lang w:val="en-US" w:eastAsia="zh-CN" w:bidi="ar-SA"/>
        </w:rPr>
      </w:pPr>
    </w:p>
    <w:p w14:paraId="42FCB168">
      <w:pPr>
        <w:spacing w:line="360" w:lineRule="auto"/>
        <w:jc w:val="center"/>
        <w:outlineLvl w:val="1"/>
        <w:rPr>
          <w:rFonts w:ascii="宋体" w:hAnsi="宋体" w:cs="宋体"/>
          <w:b/>
          <w:bCs/>
          <w:color w:val="auto"/>
          <w:sz w:val="28"/>
          <w:szCs w:val="28"/>
          <w:highlight w:val="none"/>
        </w:rPr>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五</w:t>
      </w:r>
      <w:r>
        <w:rPr>
          <w:rFonts w:hint="eastAsia" w:ascii="宋体" w:hAnsi="宋体" w:cs="宋体"/>
          <w:bCs/>
          <w:color w:val="auto"/>
          <w:sz w:val="36"/>
          <w:szCs w:val="28"/>
          <w:highlight w:val="none"/>
        </w:rPr>
        <w:t>、项目团队人员一览表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485"/>
        <w:gridCol w:w="1547"/>
        <w:gridCol w:w="896"/>
        <w:gridCol w:w="896"/>
        <w:gridCol w:w="2814"/>
      </w:tblGrid>
      <w:tr w14:paraId="2D2EB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470" w:type="dxa"/>
            <w:noWrap w:val="0"/>
            <w:vAlign w:val="center"/>
          </w:tcPr>
          <w:p w14:paraId="1151977E">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姓名</w:t>
            </w:r>
          </w:p>
        </w:tc>
        <w:tc>
          <w:tcPr>
            <w:tcW w:w="1485" w:type="dxa"/>
            <w:noWrap w:val="0"/>
            <w:vAlign w:val="center"/>
          </w:tcPr>
          <w:p w14:paraId="6050F4E3">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本项目拟任职务</w:t>
            </w:r>
          </w:p>
        </w:tc>
        <w:tc>
          <w:tcPr>
            <w:tcW w:w="1547" w:type="dxa"/>
            <w:noWrap w:val="0"/>
            <w:vAlign w:val="center"/>
          </w:tcPr>
          <w:p w14:paraId="147F287C">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技术职称</w:t>
            </w:r>
          </w:p>
        </w:tc>
        <w:tc>
          <w:tcPr>
            <w:tcW w:w="896" w:type="dxa"/>
            <w:noWrap w:val="0"/>
            <w:vAlign w:val="center"/>
          </w:tcPr>
          <w:p w14:paraId="401766DF">
            <w:pPr>
              <w:spacing w:line="520" w:lineRule="exact"/>
              <w:ind w:left="0" w:firstLine="0"/>
              <w:jc w:val="both"/>
              <w:rPr>
                <w:rFonts w:ascii="宋体" w:hAnsi="宋体" w:cs="宋体"/>
                <w:color w:val="auto"/>
                <w:highlight w:val="none"/>
              </w:rPr>
            </w:pPr>
            <w:r>
              <w:rPr>
                <w:rFonts w:hint="eastAsia" w:ascii="宋体" w:hAnsi="宋体" w:cs="宋体"/>
                <w:color w:val="auto"/>
                <w:highlight w:val="none"/>
              </w:rPr>
              <w:t>年龄</w:t>
            </w:r>
          </w:p>
        </w:tc>
        <w:tc>
          <w:tcPr>
            <w:tcW w:w="896" w:type="dxa"/>
            <w:noWrap w:val="0"/>
            <w:vAlign w:val="center"/>
          </w:tcPr>
          <w:p w14:paraId="5CEEA76A">
            <w:pPr>
              <w:spacing w:line="520" w:lineRule="exact"/>
              <w:ind w:left="0" w:firstLine="0"/>
              <w:jc w:val="both"/>
              <w:rPr>
                <w:rFonts w:ascii="宋体" w:hAnsi="宋体" w:cs="宋体"/>
                <w:color w:val="auto"/>
                <w:highlight w:val="none"/>
              </w:rPr>
            </w:pPr>
            <w:r>
              <w:rPr>
                <w:rFonts w:hint="eastAsia" w:ascii="宋体" w:hAnsi="宋体" w:cs="宋体"/>
                <w:color w:val="auto"/>
                <w:highlight w:val="none"/>
              </w:rPr>
              <w:t>学历</w:t>
            </w:r>
          </w:p>
        </w:tc>
        <w:tc>
          <w:tcPr>
            <w:tcW w:w="2814" w:type="dxa"/>
            <w:noWrap w:val="0"/>
            <w:vAlign w:val="center"/>
          </w:tcPr>
          <w:p w14:paraId="4CF03BF5">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主要资历及担任过的职务</w:t>
            </w:r>
          </w:p>
        </w:tc>
      </w:tr>
      <w:tr w14:paraId="17D26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29B6BAC2">
            <w:pPr>
              <w:spacing w:line="520" w:lineRule="exact"/>
              <w:jc w:val="center"/>
              <w:rPr>
                <w:rFonts w:ascii="宋体" w:hAnsi="宋体" w:cs="宋体"/>
                <w:color w:val="auto"/>
                <w:sz w:val="28"/>
                <w:highlight w:val="none"/>
              </w:rPr>
            </w:pPr>
          </w:p>
        </w:tc>
        <w:tc>
          <w:tcPr>
            <w:tcW w:w="1485" w:type="dxa"/>
            <w:noWrap w:val="0"/>
            <w:vAlign w:val="center"/>
          </w:tcPr>
          <w:p w14:paraId="54D906C5">
            <w:pPr>
              <w:spacing w:line="520" w:lineRule="exact"/>
              <w:jc w:val="center"/>
              <w:rPr>
                <w:rFonts w:ascii="宋体" w:hAnsi="宋体" w:cs="宋体"/>
                <w:color w:val="auto"/>
                <w:sz w:val="28"/>
                <w:highlight w:val="none"/>
              </w:rPr>
            </w:pPr>
          </w:p>
        </w:tc>
        <w:tc>
          <w:tcPr>
            <w:tcW w:w="1547" w:type="dxa"/>
            <w:noWrap w:val="0"/>
            <w:vAlign w:val="center"/>
          </w:tcPr>
          <w:p w14:paraId="4764B6DF">
            <w:pPr>
              <w:spacing w:line="520" w:lineRule="exact"/>
              <w:jc w:val="center"/>
              <w:rPr>
                <w:rFonts w:ascii="宋体" w:hAnsi="宋体" w:cs="宋体"/>
                <w:color w:val="auto"/>
                <w:sz w:val="28"/>
                <w:highlight w:val="none"/>
              </w:rPr>
            </w:pPr>
          </w:p>
        </w:tc>
        <w:tc>
          <w:tcPr>
            <w:tcW w:w="896" w:type="dxa"/>
            <w:noWrap w:val="0"/>
            <w:vAlign w:val="center"/>
          </w:tcPr>
          <w:p w14:paraId="4C75DBFC">
            <w:pPr>
              <w:spacing w:line="520" w:lineRule="exact"/>
              <w:jc w:val="center"/>
              <w:rPr>
                <w:rFonts w:ascii="宋体" w:hAnsi="宋体" w:cs="宋体"/>
                <w:color w:val="auto"/>
                <w:sz w:val="28"/>
                <w:highlight w:val="none"/>
              </w:rPr>
            </w:pPr>
          </w:p>
        </w:tc>
        <w:tc>
          <w:tcPr>
            <w:tcW w:w="896" w:type="dxa"/>
            <w:noWrap w:val="0"/>
            <w:vAlign w:val="center"/>
          </w:tcPr>
          <w:p w14:paraId="743724E0">
            <w:pPr>
              <w:spacing w:line="520" w:lineRule="exact"/>
              <w:jc w:val="center"/>
              <w:rPr>
                <w:rFonts w:ascii="宋体" w:hAnsi="宋体" w:cs="宋体"/>
                <w:color w:val="auto"/>
                <w:sz w:val="28"/>
                <w:highlight w:val="none"/>
              </w:rPr>
            </w:pPr>
          </w:p>
        </w:tc>
        <w:tc>
          <w:tcPr>
            <w:tcW w:w="2814" w:type="dxa"/>
            <w:noWrap w:val="0"/>
            <w:vAlign w:val="center"/>
          </w:tcPr>
          <w:p w14:paraId="3512AE76">
            <w:pPr>
              <w:spacing w:line="520" w:lineRule="exact"/>
              <w:jc w:val="center"/>
              <w:rPr>
                <w:rFonts w:ascii="宋体" w:hAnsi="宋体" w:cs="宋体"/>
                <w:color w:val="auto"/>
                <w:sz w:val="28"/>
                <w:highlight w:val="none"/>
              </w:rPr>
            </w:pPr>
          </w:p>
        </w:tc>
      </w:tr>
      <w:tr w14:paraId="0C551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08D46DD6">
            <w:pPr>
              <w:spacing w:line="520" w:lineRule="exact"/>
              <w:jc w:val="center"/>
              <w:rPr>
                <w:rFonts w:ascii="宋体" w:hAnsi="宋体" w:cs="宋体"/>
                <w:color w:val="auto"/>
                <w:sz w:val="28"/>
                <w:highlight w:val="none"/>
              </w:rPr>
            </w:pPr>
          </w:p>
        </w:tc>
        <w:tc>
          <w:tcPr>
            <w:tcW w:w="1485" w:type="dxa"/>
            <w:noWrap w:val="0"/>
            <w:vAlign w:val="center"/>
          </w:tcPr>
          <w:p w14:paraId="4E6FE1E0">
            <w:pPr>
              <w:spacing w:line="520" w:lineRule="exact"/>
              <w:jc w:val="center"/>
              <w:rPr>
                <w:rFonts w:ascii="宋体" w:hAnsi="宋体" w:cs="宋体"/>
                <w:color w:val="auto"/>
                <w:sz w:val="28"/>
                <w:highlight w:val="none"/>
              </w:rPr>
            </w:pPr>
          </w:p>
        </w:tc>
        <w:tc>
          <w:tcPr>
            <w:tcW w:w="1547" w:type="dxa"/>
            <w:noWrap w:val="0"/>
            <w:vAlign w:val="center"/>
          </w:tcPr>
          <w:p w14:paraId="39B28221">
            <w:pPr>
              <w:spacing w:line="520" w:lineRule="exact"/>
              <w:jc w:val="center"/>
              <w:rPr>
                <w:rFonts w:ascii="宋体" w:hAnsi="宋体" w:cs="宋体"/>
                <w:color w:val="auto"/>
                <w:sz w:val="28"/>
                <w:highlight w:val="none"/>
              </w:rPr>
            </w:pPr>
          </w:p>
        </w:tc>
        <w:tc>
          <w:tcPr>
            <w:tcW w:w="896" w:type="dxa"/>
            <w:noWrap w:val="0"/>
            <w:vAlign w:val="center"/>
          </w:tcPr>
          <w:p w14:paraId="5953BAD9">
            <w:pPr>
              <w:spacing w:line="520" w:lineRule="exact"/>
              <w:jc w:val="center"/>
              <w:rPr>
                <w:rFonts w:ascii="宋体" w:hAnsi="宋体" w:cs="宋体"/>
                <w:color w:val="auto"/>
                <w:sz w:val="28"/>
                <w:highlight w:val="none"/>
              </w:rPr>
            </w:pPr>
          </w:p>
        </w:tc>
        <w:tc>
          <w:tcPr>
            <w:tcW w:w="896" w:type="dxa"/>
            <w:noWrap w:val="0"/>
            <w:vAlign w:val="center"/>
          </w:tcPr>
          <w:p w14:paraId="1AF06B2E">
            <w:pPr>
              <w:spacing w:line="520" w:lineRule="exact"/>
              <w:jc w:val="center"/>
              <w:rPr>
                <w:rFonts w:ascii="宋体" w:hAnsi="宋体" w:cs="宋体"/>
                <w:color w:val="auto"/>
                <w:sz w:val="28"/>
                <w:highlight w:val="none"/>
              </w:rPr>
            </w:pPr>
          </w:p>
        </w:tc>
        <w:tc>
          <w:tcPr>
            <w:tcW w:w="2814" w:type="dxa"/>
            <w:noWrap w:val="0"/>
            <w:vAlign w:val="center"/>
          </w:tcPr>
          <w:p w14:paraId="798587B1">
            <w:pPr>
              <w:spacing w:line="520" w:lineRule="exact"/>
              <w:jc w:val="center"/>
              <w:rPr>
                <w:rFonts w:ascii="宋体" w:hAnsi="宋体" w:cs="宋体"/>
                <w:color w:val="auto"/>
                <w:sz w:val="28"/>
                <w:highlight w:val="none"/>
              </w:rPr>
            </w:pPr>
          </w:p>
        </w:tc>
      </w:tr>
      <w:tr w14:paraId="54D2E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2156F3A">
            <w:pPr>
              <w:spacing w:line="520" w:lineRule="exact"/>
              <w:jc w:val="center"/>
              <w:rPr>
                <w:rFonts w:ascii="宋体" w:hAnsi="宋体" w:cs="宋体"/>
                <w:color w:val="auto"/>
                <w:sz w:val="28"/>
                <w:highlight w:val="none"/>
              </w:rPr>
            </w:pPr>
          </w:p>
        </w:tc>
        <w:tc>
          <w:tcPr>
            <w:tcW w:w="1485" w:type="dxa"/>
            <w:noWrap w:val="0"/>
            <w:vAlign w:val="center"/>
          </w:tcPr>
          <w:p w14:paraId="7C17461B">
            <w:pPr>
              <w:spacing w:line="520" w:lineRule="exact"/>
              <w:jc w:val="center"/>
              <w:rPr>
                <w:rFonts w:ascii="宋体" w:hAnsi="宋体" w:cs="宋体"/>
                <w:color w:val="auto"/>
                <w:sz w:val="28"/>
                <w:highlight w:val="none"/>
              </w:rPr>
            </w:pPr>
          </w:p>
        </w:tc>
        <w:tc>
          <w:tcPr>
            <w:tcW w:w="1547" w:type="dxa"/>
            <w:noWrap w:val="0"/>
            <w:vAlign w:val="center"/>
          </w:tcPr>
          <w:p w14:paraId="47247B4B">
            <w:pPr>
              <w:spacing w:line="520" w:lineRule="exact"/>
              <w:jc w:val="center"/>
              <w:rPr>
                <w:rFonts w:ascii="宋体" w:hAnsi="宋体" w:cs="宋体"/>
                <w:color w:val="auto"/>
                <w:sz w:val="28"/>
                <w:highlight w:val="none"/>
              </w:rPr>
            </w:pPr>
          </w:p>
        </w:tc>
        <w:tc>
          <w:tcPr>
            <w:tcW w:w="896" w:type="dxa"/>
            <w:noWrap w:val="0"/>
            <w:vAlign w:val="center"/>
          </w:tcPr>
          <w:p w14:paraId="60089A37">
            <w:pPr>
              <w:spacing w:line="520" w:lineRule="exact"/>
              <w:jc w:val="center"/>
              <w:rPr>
                <w:rFonts w:ascii="宋体" w:hAnsi="宋体" w:cs="宋体"/>
                <w:color w:val="auto"/>
                <w:sz w:val="28"/>
                <w:highlight w:val="none"/>
              </w:rPr>
            </w:pPr>
          </w:p>
        </w:tc>
        <w:tc>
          <w:tcPr>
            <w:tcW w:w="896" w:type="dxa"/>
            <w:noWrap w:val="0"/>
            <w:vAlign w:val="center"/>
          </w:tcPr>
          <w:p w14:paraId="7E6E73BF">
            <w:pPr>
              <w:spacing w:line="520" w:lineRule="exact"/>
              <w:jc w:val="center"/>
              <w:rPr>
                <w:rFonts w:ascii="宋体" w:hAnsi="宋体" w:cs="宋体"/>
                <w:color w:val="auto"/>
                <w:sz w:val="28"/>
                <w:highlight w:val="none"/>
              </w:rPr>
            </w:pPr>
          </w:p>
        </w:tc>
        <w:tc>
          <w:tcPr>
            <w:tcW w:w="2814" w:type="dxa"/>
            <w:noWrap w:val="0"/>
            <w:vAlign w:val="center"/>
          </w:tcPr>
          <w:p w14:paraId="12333B63">
            <w:pPr>
              <w:spacing w:line="520" w:lineRule="exact"/>
              <w:jc w:val="center"/>
              <w:rPr>
                <w:rFonts w:ascii="宋体" w:hAnsi="宋体" w:cs="宋体"/>
                <w:color w:val="auto"/>
                <w:sz w:val="28"/>
                <w:highlight w:val="none"/>
              </w:rPr>
            </w:pPr>
          </w:p>
        </w:tc>
      </w:tr>
      <w:tr w14:paraId="61B48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60ED516A">
            <w:pPr>
              <w:spacing w:line="520" w:lineRule="exact"/>
              <w:jc w:val="center"/>
              <w:rPr>
                <w:rFonts w:ascii="宋体" w:hAnsi="宋体" w:cs="宋体"/>
                <w:color w:val="auto"/>
                <w:sz w:val="28"/>
                <w:highlight w:val="none"/>
              </w:rPr>
            </w:pPr>
          </w:p>
        </w:tc>
        <w:tc>
          <w:tcPr>
            <w:tcW w:w="1485" w:type="dxa"/>
            <w:noWrap w:val="0"/>
            <w:vAlign w:val="center"/>
          </w:tcPr>
          <w:p w14:paraId="771EA612">
            <w:pPr>
              <w:spacing w:line="520" w:lineRule="exact"/>
              <w:jc w:val="center"/>
              <w:rPr>
                <w:rFonts w:ascii="宋体" w:hAnsi="宋体" w:cs="宋体"/>
                <w:color w:val="auto"/>
                <w:sz w:val="28"/>
                <w:highlight w:val="none"/>
              </w:rPr>
            </w:pPr>
          </w:p>
        </w:tc>
        <w:tc>
          <w:tcPr>
            <w:tcW w:w="1547" w:type="dxa"/>
            <w:noWrap w:val="0"/>
            <w:vAlign w:val="center"/>
          </w:tcPr>
          <w:p w14:paraId="715BADBF">
            <w:pPr>
              <w:spacing w:line="520" w:lineRule="exact"/>
              <w:jc w:val="center"/>
              <w:rPr>
                <w:rFonts w:ascii="宋体" w:hAnsi="宋体" w:cs="宋体"/>
                <w:color w:val="auto"/>
                <w:sz w:val="28"/>
                <w:highlight w:val="none"/>
              </w:rPr>
            </w:pPr>
          </w:p>
        </w:tc>
        <w:tc>
          <w:tcPr>
            <w:tcW w:w="896" w:type="dxa"/>
            <w:noWrap w:val="0"/>
            <w:vAlign w:val="center"/>
          </w:tcPr>
          <w:p w14:paraId="2C5B66D7">
            <w:pPr>
              <w:spacing w:line="520" w:lineRule="exact"/>
              <w:jc w:val="center"/>
              <w:rPr>
                <w:rFonts w:ascii="宋体" w:hAnsi="宋体" w:cs="宋体"/>
                <w:color w:val="auto"/>
                <w:sz w:val="28"/>
                <w:highlight w:val="none"/>
              </w:rPr>
            </w:pPr>
          </w:p>
        </w:tc>
        <w:tc>
          <w:tcPr>
            <w:tcW w:w="896" w:type="dxa"/>
            <w:noWrap w:val="0"/>
            <w:vAlign w:val="center"/>
          </w:tcPr>
          <w:p w14:paraId="56F21CB1">
            <w:pPr>
              <w:spacing w:line="520" w:lineRule="exact"/>
              <w:jc w:val="center"/>
              <w:rPr>
                <w:rFonts w:ascii="宋体" w:hAnsi="宋体" w:cs="宋体"/>
                <w:color w:val="auto"/>
                <w:sz w:val="28"/>
                <w:highlight w:val="none"/>
              </w:rPr>
            </w:pPr>
          </w:p>
        </w:tc>
        <w:tc>
          <w:tcPr>
            <w:tcW w:w="2814" w:type="dxa"/>
            <w:noWrap w:val="0"/>
            <w:vAlign w:val="center"/>
          </w:tcPr>
          <w:p w14:paraId="12D4DBAF">
            <w:pPr>
              <w:spacing w:line="520" w:lineRule="exact"/>
              <w:jc w:val="center"/>
              <w:rPr>
                <w:rFonts w:ascii="宋体" w:hAnsi="宋体" w:cs="宋体"/>
                <w:color w:val="auto"/>
                <w:sz w:val="28"/>
                <w:highlight w:val="none"/>
              </w:rPr>
            </w:pPr>
          </w:p>
        </w:tc>
      </w:tr>
      <w:tr w14:paraId="0B6DE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A821FCF">
            <w:pPr>
              <w:spacing w:line="520" w:lineRule="exact"/>
              <w:jc w:val="center"/>
              <w:rPr>
                <w:rFonts w:ascii="宋体" w:hAnsi="宋体" w:cs="宋体"/>
                <w:color w:val="auto"/>
                <w:sz w:val="28"/>
                <w:highlight w:val="none"/>
              </w:rPr>
            </w:pPr>
          </w:p>
        </w:tc>
        <w:tc>
          <w:tcPr>
            <w:tcW w:w="1485" w:type="dxa"/>
            <w:noWrap w:val="0"/>
            <w:vAlign w:val="center"/>
          </w:tcPr>
          <w:p w14:paraId="6DE4F129">
            <w:pPr>
              <w:spacing w:line="520" w:lineRule="exact"/>
              <w:jc w:val="center"/>
              <w:rPr>
                <w:rFonts w:ascii="宋体" w:hAnsi="宋体" w:cs="宋体"/>
                <w:color w:val="auto"/>
                <w:sz w:val="28"/>
                <w:highlight w:val="none"/>
              </w:rPr>
            </w:pPr>
          </w:p>
        </w:tc>
        <w:tc>
          <w:tcPr>
            <w:tcW w:w="1547" w:type="dxa"/>
            <w:noWrap w:val="0"/>
            <w:vAlign w:val="center"/>
          </w:tcPr>
          <w:p w14:paraId="728B74B1">
            <w:pPr>
              <w:spacing w:line="520" w:lineRule="exact"/>
              <w:jc w:val="center"/>
              <w:rPr>
                <w:rFonts w:ascii="宋体" w:hAnsi="宋体" w:cs="宋体"/>
                <w:color w:val="auto"/>
                <w:sz w:val="28"/>
                <w:highlight w:val="none"/>
              </w:rPr>
            </w:pPr>
          </w:p>
        </w:tc>
        <w:tc>
          <w:tcPr>
            <w:tcW w:w="896" w:type="dxa"/>
            <w:noWrap w:val="0"/>
            <w:vAlign w:val="center"/>
          </w:tcPr>
          <w:p w14:paraId="38D0971D">
            <w:pPr>
              <w:spacing w:line="520" w:lineRule="exact"/>
              <w:jc w:val="center"/>
              <w:rPr>
                <w:rFonts w:ascii="宋体" w:hAnsi="宋体" w:cs="宋体"/>
                <w:color w:val="auto"/>
                <w:sz w:val="28"/>
                <w:highlight w:val="none"/>
              </w:rPr>
            </w:pPr>
          </w:p>
        </w:tc>
        <w:tc>
          <w:tcPr>
            <w:tcW w:w="896" w:type="dxa"/>
            <w:noWrap w:val="0"/>
            <w:vAlign w:val="center"/>
          </w:tcPr>
          <w:p w14:paraId="1E27A72F">
            <w:pPr>
              <w:spacing w:line="520" w:lineRule="exact"/>
              <w:jc w:val="center"/>
              <w:rPr>
                <w:rFonts w:ascii="宋体" w:hAnsi="宋体" w:cs="宋体"/>
                <w:color w:val="auto"/>
                <w:sz w:val="28"/>
                <w:highlight w:val="none"/>
              </w:rPr>
            </w:pPr>
          </w:p>
        </w:tc>
        <w:tc>
          <w:tcPr>
            <w:tcW w:w="2814" w:type="dxa"/>
            <w:noWrap w:val="0"/>
            <w:vAlign w:val="center"/>
          </w:tcPr>
          <w:p w14:paraId="5E0AA450">
            <w:pPr>
              <w:spacing w:line="520" w:lineRule="exact"/>
              <w:jc w:val="center"/>
              <w:rPr>
                <w:rFonts w:ascii="宋体" w:hAnsi="宋体" w:cs="宋体"/>
                <w:color w:val="auto"/>
                <w:sz w:val="28"/>
                <w:highlight w:val="none"/>
              </w:rPr>
            </w:pPr>
          </w:p>
        </w:tc>
      </w:tr>
      <w:tr w14:paraId="63D1E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3FBB6CB0">
            <w:pPr>
              <w:spacing w:line="520" w:lineRule="exact"/>
              <w:jc w:val="center"/>
              <w:rPr>
                <w:rFonts w:ascii="宋体" w:hAnsi="宋体" w:cs="宋体"/>
                <w:color w:val="auto"/>
                <w:sz w:val="28"/>
                <w:highlight w:val="none"/>
              </w:rPr>
            </w:pPr>
          </w:p>
        </w:tc>
        <w:tc>
          <w:tcPr>
            <w:tcW w:w="1485" w:type="dxa"/>
            <w:noWrap w:val="0"/>
            <w:vAlign w:val="center"/>
          </w:tcPr>
          <w:p w14:paraId="1C2FA96F">
            <w:pPr>
              <w:spacing w:line="520" w:lineRule="exact"/>
              <w:jc w:val="center"/>
              <w:rPr>
                <w:rFonts w:ascii="宋体" w:hAnsi="宋体" w:cs="宋体"/>
                <w:color w:val="auto"/>
                <w:sz w:val="28"/>
                <w:highlight w:val="none"/>
              </w:rPr>
            </w:pPr>
          </w:p>
        </w:tc>
        <w:tc>
          <w:tcPr>
            <w:tcW w:w="1547" w:type="dxa"/>
            <w:noWrap w:val="0"/>
            <w:vAlign w:val="center"/>
          </w:tcPr>
          <w:p w14:paraId="5C1AD4C7">
            <w:pPr>
              <w:spacing w:line="520" w:lineRule="exact"/>
              <w:jc w:val="center"/>
              <w:rPr>
                <w:rFonts w:ascii="宋体" w:hAnsi="宋体" w:cs="宋体"/>
                <w:color w:val="auto"/>
                <w:sz w:val="28"/>
                <w:highlight w:val="none"/>
              </w:rPr>
            </w:pPr>
          </w:p>
        </w:tc>
        <w:tc>
          <w:tcPr>
            <w:tcW w:w="896" w:type="dxa"/>
            <w:noWrap w:val="0"/>
            <w:vAlign w:val="center"/>
          </w:tcPr>
          <w:p w14:paraId="45B46587">
            <w:pPr>
              <w:spacing w:line="520" w:lineRule="exact"/>
              <w:jc w:val="center"/>
              <w:rPr>
                <w:rFonts w:ascii="宋体" w:hAnsi="宋体" w:cs="宋体"/>
                <w:color w:val="auto"/>
                <w:sz w:val="28"/>
                <w:highlight w:val="none"/>
              </w:rPr>
            </w:pPr>
          </w:p>
        </w:tc>
        <w:tc>
          <w:tcPr>
            <w:tcW w:w="896" w:type="dxa"/>
            <w:noWrap w:val="0"/>
            <w:vAlign w:val="center"/>
          </w:tcPr>
          <w:p w14:paraId="4172ED08">
            <w:pPr>
              <w:spacing w:line="520" w:lineRule="exact"/>
              <w:jc w:val="center"/>
              <w:rPr>
                <w:rFonts w:ascii="宋体" w:hAnsi="宋体" w:cs="宋体"/>
                <w:color w:val="auto"/>
                <w:sz w:val="28"/>
                <w:highlight w:val="none"/>
              </w:rPr>
            </w:pPr>
          </w:p>
        </w:tc>
        <w:tc>
          <w:tcPr>
            <w:tcW w:w="2814" w:type="dxa"/>
            <w:noWrap w:val="0"/>
            <w:vAlign w:val="center"/>
          </w:tcPr>
          <w:p w14:paraId="38694634">
            <w:pPr>
              <w:spacing w:line="520" w:lineRule="exact"/>
              <w:jc w:val="center"/>
              <w:rPr>
                <w:rFonts w:ascii="宋体" w:hAnsi="宋体" w:cs="宋体"/>
                <w:color w:val="auto"/>
                <w:sz w:val="28"/>
                <w:highlight w:val="none"/>
              </w:rPr>
            </w:pPr>
          </w:p>
        </w:tc>
      </w:tr>
      <w:tr w14:paraId="2708A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254FE33">
            <w:pPr>
              <w:spacing w:line="520" w:lineRule="exact"/>
              <w:jc w:val="center"/>
              <w:rPr>
                <w:rFonts w:ascii="宋体" w:hAnsi="宋体" w:cs="宋体"/>
                <w:color w:val="auto"/>
                <w:sz w:val="28"/>
                <w:highlight w:val="none"/>
              </w:rPr>
            </w:pPr>
          </w:p>
        </w:tc>
        <w:tc>
          <w:tcPr>
            <w:tcW w:w="1485" w:type="dxa"/>
            <w:noWrap w:val="0"/>
            <w:vAlign w:val="center"/>
          </w:tcPr>
          <w:p w14:paraId="2EAC9996">
            <w:pPr>
              <w:spacing w:line="520" w:lineRule="exact"/>
              <w:jc w:val="center"/>
              <w:rPr>
                <w:rFonts w:ascii="宋体" w:hAnsi="宋体" w:cs="宋体"/>
                <w:color w:val="auto"/>
                <w:sz w:val="28"/>
                <w:highlight w:val="none"/>
              </w:rPr>
            </w:pPr>
          </w:p>
        </w:tc>
        <w:tc>
          <w:tcPr>
            <w:tcW w:w="1547" w:type="dxa"/>
            <w:noWrap w:val="0"/>
            <w:vAlign w:val="center"/>
          </w:tcPr>
          <w:p w14:paraId="7D58D1EE">
            <w:pPr>
              <w:spacing w:line="520" w:lineRule="exact"/>
              <w:jc w:val="center"/>
              <w:rPr>
                <w:rFonts w:ascii="宋体" w:hAnsi="宋体" w:cs="宋体"/>
                <w:color w:val="auto"/>
                <w:sz w:val="28"/>
                <w:highlight w:val="none"/>
              </w:rPr>
            </w:pPr>
          </w:p>
        </w:tc>
        <w:tc>
          <w:tcPr>
            <w:tcW w:w="896" w:type="dxa"/>
            <w:noWrap w:val="0"/>
            <w:vAlign w:val="center"/>
          </w:tcPr>
          <w:p w14:paraId="60DA3843">
            <w:pPr>
              <w:spacing w:line="520" w:lineRule="exact"/>
              <w:jc w:val="center"/>
              <w:rPr>
                <w:rFonts w:ascii="宋体" w:hAnsi="宋体" w:cs="宋体"/>
                <w:color w:val="auto"/>
                <w:sz w:val="28"/>
                <w:highlight w:val="none"/>
              </w:rPr>
            </w:pPr>
          </w:p>
        </w:tc>
        <w:tc>
          <w:tcPr>
            <w:tcW w:w="896" w:type="dxa"/>
            <w:noWrap w:val="0"/>
            <w:vAlign w:val="center"/>
          </w:tcPr>
          <w:p w14:paraId="1AC2B5D4">
            <w:pPr>
              <w:spacing w:line="520" w:lineRule="exact"/>
              <w:jc w:val="center"/>
              <w:rPr>
                <w:rFonts w:ascii="宋体" w:hAnsi="宋体" w:cs="宋体"/>
                <w:color w:val="auto"/>
                <w:sz w:val="28"/>
                <w:highlight w:val="none"/>
              </w:rPr>
            </w:pPr>
          </w:p>
        </w:tc>
        <w:tc>
          <w:tcPr>
            <w:tcW w:w="2814" w:type="dxa"/>
            <w:noWrap w:val="0"/>
            <w:vAlign w:val="center"/>
          </w:tcPr>
          <w:p w14:paraId="17163EBF">
            <w:pPr>
              <w:spacing w:line="520" w:lineRule="exact"/>
              <w:jc w:val="center"/>
              <w:rPr>
                <w:rFonts w:ascii="宋体" w:hAnsi="宋体" w:cs="宋体"/>
                <w:color w:val="auto"/>
                <w:sz w:val="28"/>
                <w:highlight w:val="none"/>
              </w:rPr>
            </w:pPr>
          </w:p>
        </w:tc>
      </w:tr>
      <w:tr w14:paraId="20ED8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2C904DD">
            <w:pPr>
              <w:spacing w:line="520" w:lineRule="exact"/>
              <w:jc w:val="center"/>
              <w:rPr>
                <w:rFonts w:ascii="宋体" w:hAnsi="宋体" w:cs="宋体"/>
                <w:color w:val="auto"/>
                <w:sz w:val="28"/>
                <w:highlight w:val="none"/>
              </w:rPr>
            </w:pPr>
          </w:p>
        </w:tc>
        <w:tc>
          <w:tcPr>
            <w:tcW w:w="1485" w:type="dxa"/>
            <w:noWrap w:val="0"/>
            <w:vAlign w:val="center"/>
          </w:tcPr>
          <w:p w14:paraId="1AB9BED7">
            <w:pPr>
              <w:spacing w:line="520" w:lineRule="exact"/>
              <w:jc w:val="center"/>
              <w:rPr>
                <w:rFonts w:ascii="宋体" w:hAnsi="宋体" w:cs="宋体"/>
                <w:color w:val="auto"/>
                <w:sz w:val="28"/>
                <w:highlight w:val="none"/>
              </w:rPr>
            </w:pPr>
          </w:p>
        </w:tc>
        <w:tc>
          <w:tcPr>
            <w:tcW w:w="1547" w:type="dxa"/>
            <w:noWrap w:val="0"/>
            <w:vAlign w:val="center"/>
          </w:tcPr>
          <w:p w14:paraId="7B087922">
            <w:pPr>
              <w:spacing w:line="520" w:lineRule="exact"/>
              <w:jc w:val="center"/>
              <w:rPr>
                <w:rFonts w:ascii="宋体" w:hAnsi="宋体" w:cs="宋体"/>
                <w:color w:val="auto"/>
                <w:sz w:val="28"/>
                <w:highlight w:val="none"/>
              </w:rPr>
            </w:pPr>
          </w:p>
        </w:tc>
        <w:tc>
          <w:tcPr>
            <w:tcW w:w="896" w:type="dxa"/>
            <w:noWrap w:val="0"/>
            <w:vAlign w:val="center"/>
          </w:tcPr>
          <w:p w14:paraId="76FB346F">
            <w:pPr>
              <w:spacing w:line="520" w:lineRule="exact"/>
              <w:jc w:val="center"/>
              <w:rPr>
                <w:rFonts w:ascii="宋体" w:hAnsi="宋体" w:cs="宋体"/>
                <w:color w:val="auto"/>
                <w:sz w:val="28"/>
                <w:highlight w:val="none"/>
              </w:rPr>
            </w:pPr>
          </w:p>
        </w:tc>
        <w:tc>
          <w:tcPr>
            <w:tcW w:w="896" w:type="dxa"/>
            <w:noWrap w:val="0"/>
            <w:vAlign w:val="center"/>
          </w:tcPr>
          <w:p w14:paraId="012555B5">
            <w:pPr>
              <w:spacing w:line="520" w:lineRule="exact"/>
              <w:jc w:val="center"/>
              <w:rPr>
                <w:rFonts w:ascii="宋体" w:hAnsi="宋体" w:cs="宋体"/>
                <w:color w:val="auto"/>
                <w:sz w:val="28"/>
                <w:highlight w:val="none"/>
              </w:rPr>
            </w:pPr>
          </w:p>
        </w:tc>
        <w:tc>
          <w:tcPr>
            <w:tcW w:w="2814" w:type="dxa"/>
            <w:noWrap w:val="0"/>
            <w:vAlign w:val="center"/>
          </w:tcPr>
          <w:p w14:paraId="4833F566">
            <w:pPr>
              <w:spacing w:line="520" w:lineRule="exact"/>
              <w:jc w:val="center"/>
              <w:rPr>
                <w:rFonts w:ascii="宋体" w:hAnsi="宋体" w:cs="宋体"/>
                <w:color w:val="auto"/>
                <w:sz w:val="28"/>
                <w:highlight w:val="none"/>
              </w:rPr>
            </w:pPr>
          </w:p>
        </w:tc>
      </w:tr>
      <w:tr w14:paraId="4E09B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268976A1">
            <w:pPr>
              <w:spacing w:line="520" w:lineRule="exact"/>
              <w:jc w:val="center"/>
              <w:rPr>
                <w:rFonts w:ascii="宋体" w:hAnsi="宋体" w:cs="宋体"/>
                <w:color w:val="auto"/>
                <w:sz w:val="28"/>
                <w:highlight w:val="none"/>
              </w:rPr>
            </w:pPr>
          </w:p>
        </w:tc>
        <w:tc>
          <w:tcPr>
            <w:tcW w:w="1485" w:type="dxa"/>
            <w:noWrap w:val="0"/>
            <w:vAlign w:val="center"/>
          </w:tcPr>
          <w:p w14:paraId="14C1017F">
            <w:pPr>
              <w:spacing w:line="520" w:lineRule="exact"/>
              <w:jc w:val="center"/>
              <w:rPr>
                <w:rFonts w:ascii="宋体" w:hAnsi="宋体" w:cs="宋体"/>
                <w:color w:val="auto"/>
                <w:sz w:val="28"/>
                <w:highlight w:val="none"/>
              </w:rPr>
            </w:pPr>
          </w:p>
        </w:tc>
        <w:tc>
          <w:tcPr>
            <w:tcW w:w="1547" w:type="dxa"/>
            <w:noWrap w:val="0"/>
            <w:vAlign w:val="center"/>
          </w:tcPr>
          <w:p w14:paraId="552E0E2C">
            <w:pPr>
              <w:spacing w:line="520" w:lineRule="exact"/>
              <w:jc w:val="center"/>
              <w:rPr>
                <w:rFonts w:ascii="宋体" w:hAnsi="宋体" w:cs="宋体"/>
                <w:color w:val="auto"/>
                <w:sz w:val="28"/>
                <w:highlight w:val="none"/>
              </w:rPr>
            </w:pPr>
          </w:p>
        </w:tc>
        <w:tc>
          <w:tcPr>
            <w:tcW w:w="896" w:type="dxa"/>
            <w:noWrap w:val="0"/>
            <w:vAlign w:val="center"/>
          </w:tcPr>
          <w:p w14:paraId="5313F3D3">
            <w:pPr>
              <w:spacing w:line="520" w:lineRule="exact"/>
              <w:jc w:val="center"/>
              <w:rPr>
                <w:rFonts w:ascii="宋体" w:hAnsi="宋体" w:cs="宋体"/>
                <w:color w:val="auto"/>
                <w:sz w:val="28"/>
                <w:highlight w:val="none"/>
              </w:rPr>
            </w:pPr>
          </w:p>
        </w:tc>
        <w:tc>
          <w:tcPr>
            <w:tcW w:w="896" w:type="dxa"/>
            <w:noWrap w:val="0"/>
            <w:vAlign w:val="center"/>
          </w:tcPr>
          <w:p w14:paraId="042891D4">
            <w:pPr>
              <w:spacing w:line="520" w:lineRule="exact"/>
              <w:jc w:val="center"/>
              <w:rPr>
                <w:rFonts w:ascii="宋体" w:hAnsi="宋体" w:cs="宋体"/>
                <w:color w:val="auto"/>
                <w:sz w:val="28"/>
                <w:highlight w:val="none"/>
              </w:rPr>
            </w:pPr>
          </w:p>
        </w:tc>
        <w:tc>
          <w:tcPr>
            <w:tcW w:w="2814" w:type="dxa"/>
            <w:noWrap w:val="0"/>
            <w:vAlign w:val="center"/>
          </w:tcPr>
          <w:p w14:paraId="0E3B246F">
            <w:pPr>
              <w:spacing w:line="520" w:lineRule="exact"/>
              <w:jc w:val="center"/>
              <w:rPr>
                <w:rFonts w:ascii="宋体" w:hAnsi="宋体" w:cs="宋体"/>
                <w:color w:val="auto"/>
                <w:sz w:val="28"/>
                <w:highlight w:val="none"/>
              </w:rPr>
            </w:pPr>
          </w:p>
        </w:tc>
      </w:tr>
    </w:tbl>
    <w:p w14:paraId="433CDB76">
      <w:pPr>
        <w:spacing w:line="400" w:lineRule="exact"/>
        <w:rPr>
          <w:rFonts w:ascii="宋体" w:hAnsi="宋体" w:cs="宋体"/>
          <w:b/>
          <w:color w:val="auto"/>
          <w:sz w:val="28"/>
          <w:szCs w:val="30"/>
          <w:highlight w:val="none"/>
        </w:rPr>
      </w:pPr>
    </w:p>
    <w:p w14:paraId="66AD95E1">
      <w:pPr>
        <w:spacing w:line="560" w:lineRule="exact"/>
        <w:ind w:right="180" w:firstLine="360"/>
        <w:jc w:val="right"/>
        <w:rPr>
          <w:rFonts w:ascii="宋体" w:hAnsi="宋体"/>
          <w:color w:val="auto"/>
          <w:sz w:val="24"/>
          <w:highlight w:val="none"/>
        </w:rPr>
      </w:pPr>
      <w:r>
        <w:rPr>
          <w:rFonts w:hint="eastAsia" w:ascii="宋体" w:hAnsi="宋体"/>
          <w:color w:val="auto"/>
          <w:sz w:val="24"/>
          <w:highlight w:val="none"/>
        </w:rPr>
        <w:t>企业名称（加盖公章）：</w:t>
      </w:r>
    </w:p>
    <w:p w14:paraId="26A2373F">
      <w:pPr>
        <w:spacing w:line="560" w:lineRule="exact"/>
        <w:ind w:right="480"/>
        <w:jc w:val="right"/>
        <w:rPr>
          <w:rFonts w:ascii="宋体" w:hAnsi="宋体"/>
          <w:color w:val="auto"/>
          <w:sz w:val="24"/>
          <w:highlight w:val="none"/>
        </w:rPr>
      </w:pPr>
      <w:r>
        <w:rPr>
          <w:rFonts w:hint="eastAsia" w:ascii="宋体" w:hAnsi="宋体"/>
          <w:color w:val="auto"/>
          <w:sz w:val="24"/>
          <w:highlight w:val="none"/>
        </w:rPr>
        <w:t>日期：年月日</w:t>
      </w:r>
    </w:p>
    <w:p w14:paraId="3B7C9365">
      <w:pPr>
        <w:spacing w:line="400" w:lineRule="exact"/>
        <w:jc w:val="center"/>
        <w:rPr>
          <w:rFonts w:ascii="宋体" w:hAnsi="宋体" w:cs="宋体"/>
          <w:b/>
          <w:color w:val="auto"/>
          <w:sz w:val="28"/>
          <w:szCs w:val="30"/>
          <w:highlight w:val="none"/>
        </w:rPr>
      </w:pPr>
    </w:p>
    <w:p w14:paraId="010693D8">
      <w:pPr>
        <w:rPr>
          <w:rFonts w:ascii="宋体" w:hAnsi="宋体" w:cs="宋体"/>
          <w:b/>
          <w:bCs/>
          <w:color w:val="auto"/>
          <w:sz w:val="28"/>
          <w:highlight w:val="none"/>
        </w:rPr>
      </w:pPr>
      <w:r>
        <w:rPr>
          <w:rFonts w:hint="eastAsia" w:ascii="宋体" w:hAnsi="宋体" w:cs="宋体"/>
          <w:b/>
          <w:bCs/>
          <w:color w:val="auto"/>
          <w:sz w:val="28"/>
          <w:highlight w:val="none"/>
        </w:rPr>
        <w:br w:type="page" w:clear="all"/>
      </w:r>
    </w:p>
    <w:p w14:paraId="798602F3">
      <w:pPr>
        <w:spacing w:line="360" w:lineRule="auto"/>
        <w:jc w:val="center"/>
        <w:outlineLvl w:val="1"/>
        <w:rPr>
          <w:rFonts w:ascii="宋体" w:hAnsi="宋体" w:cs="宋体"/>
          <w:bCs/>
          <w:color w:val="auto"/>
          <w:sz w:val="36"/>
          <w:szCs w:val="28"/>
          <w:highlight w:val="none"/>
        </w:rPr>
      </w:pP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六</w:t>
      </w:r>
      <w:r>
        <w:rPr>
          <w:rFonts w:hint="eastAsia" w:ascii="宋体" w:hAnsi="宋体" w:cs="宋体"/>
          <w:bCs/>
          <w:color w:val="auto"/>
          <w:sz w:val="36"/>
          <w:szCs w:val="28"/>
          <w:highlight w:val="none"/>
        </w:rPr>
        <w:t>、类似业绩一览表</w:t>
      </w:r>
    </w:p>
    <w:tbl>
      <w:tblPr>
        <w:tblStyle w:val="30"/>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1521"/>
        <w:gridCol w:w="1521"/>
      </w:tblGrid>
      <w:tr w14:paraId="2F453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6C6A817">
            <w:pPr>
              <w:spacing w:line="520" w:lineRule="exact"/>
              <w:ind w:left="0" w:firstLine="0"/>
              <w:jc w:val="both"/>
              <w:rPr>
                <w:rFonts w:ascii="宋体" w:hAnsi="宋体" w:cs="宋体"/>
                <w:color w:val="auto"/>
                <w:szCs w:val="21"/>
                <w:highlight w:val="none"/>
              </w:rPr>
            </w:pPr>
            <w:r>
              <w:rPr>
                <w:rFonts w:hint="eastAsia" w:ascii="宋体" w:hAnsi="宋体" w:cs="宋体"/>
                <w:color w:val="auto"/>
                <w:szCs w:val="21"/>
                <w:highlight w:val="none"/>
              </w:rPr>
              <w:t>序号</w:t>
            </w:r>
          </w:p>
        </w:tc>
        <w:tc>
          <w:tcPr>
            <w:tcW w:w="2439" w:type="dxa"/>
            <w:noWrap w:val="0"/>
            <w:vAlign w:val="center"/>
          </w:tcPr>
          <w:p w14:paraId="268CDC2D">
            <w:pPr>
              <w:spacing w:line="520" w:lineRule="exact"/>
              <w:ind w:left="0" w:firstLine="0"/>
              <w:jc w:val="both"/>
              <w:rPr>
                <w:rFonts w:ascii="宋体" w:hAnsi="宋体" w:cs="宋体"/>
                <w:color w:val="auto"/>
                <w:szCs w:val="21"/>
                <w:highlight w:val="none"/>
              </w:rPr>
            </w:pPr>
            <w:r>
              <w:rPr>
                <w:rFonts w:hint="eastAsia" w:ascii="宋体" w:hAnsi="宋体" w:cs="宋体"/>
                <w:color w:val="auto"/>
                <w:szCs w:val="21"/>
                <w:highlight w:val="none"/>
              </w:rPr>
              <w:t>项目名称</w:t>
            </w:r>
          </w:p>
        </w:tc>
        <w:tc>
          <w:tcPr>
            <w:tcW w:w="2135" w:type="dxa"/>
            <w:noWrap w:val="0"/>
            <w:vAlign w:val="center"/>
          </w:tcPr>
          <w:p w14:paraId="0A9BDB5A">
            <w:pPr>
              <w:spacing w:line="520" w:lineRule="exact"/>
              <w:ind w:left="0" w:firstLine="0"/>
              <w:jc w:val="both"/>
              <w:rPr>
                <w:rFonts w:ascii="宋体" w:hAnsi="宋体" w:cs="宋体"/>
                <w:color w:val="auto"/>
                <w:szCs w:val="21"/>
                <w:highlight w:val="none"/>
              </w:rPr>
            </w:pPr>
            <w:r>
              <w:rPr>
                <w:rFonts w:hint="eastAsia" w:ascii="宋体" w:hAnsi="宋体" w:cs="宋体"/>
                <w:color w:val="auto"/>
                <w:szCs w:val="21"/>
                <w:highlight w:val="none"/>
              </w:rPr>
              <w:t>签订时间</w:t>
            </w:r>
          </w:p>
        </w:tc>
        <w:tc>
          <w:tcPr>
            <w:tcW w:w="1358" w:type="dxa"/>
            <w:noWrap w:val="0"/>
            <w:vAlign w:val="center"/>
          </w:tcPr>
          <w:p w14:paraId="52265BA2">
            <w:pPr>
              <w:spacing w:line="520" w:lineRule="exact"/>
              <w:ind w:left="0" w:firstLine="0"/>
              <w:jc w:val="both"/>
              <w:rPr>
                <w:rFonts w:ascii="宋体" w:hAnsi="宋体" w:cs="宋体"/>
                <w:color w:val="auto"/>
                <w:szCs w:val="21"/>
                <w:highlight w:val="none"/>
              </w:rPr>
            </w:pPr>
            <w:r>
              <w:rPr>
                <w:rFonts w:hint="eastAsia" w:ascii="宋体" w:hAnsi="宋体" w:cs="宋体"/>
                <w:color w:val="auto"/>
                <w:szCs w:val="21"/>
                <w:highlight w:val="none"/>
              </w:rPr>
              <w:t>采购单位</w:t>
            </w:r>
          </w:p>
        </w:tc>
        <w:tc>
          <w:tcPr>
            <w:tcW w:w="1521" w:type="dxa"/>
            <w:noWrap w:val="0"/>
            <w:vAlign w:val="center"/>
          </w:tcPr>
          <w:p w14:paraId="4A237555">
            <w:pPr>
              <w:spacing w:line="520" w:lineRule="exact"/>
              <w:ind w:left="0" w:firstLine="0"/>
              <w:jc w:val="both"/>
              <w:rPr>
                <w:rFonts w:ascii="宋体" w:hAnsi="宋体" w:cs="宋体"/>
                <w:color w:val="auto"/>
                <w:szCs w:val="21"/>
                <w:highlight w:val="none"/>
              </w:rPr>
            </w:pPr>
            <w:r>
              <w:rPr>
                <w:rFonts w:hint="eastAsia" w:ascii="宋体" w:hAnsi="宋体" w:cs="宋体"/>
                <w:color w:val="auto"/>
                <w:szCs w:val="21"/>
                <w:highlight w:val="none"/>
              </w:rPr>
              <w:t>合同金额</w:t>
            </w:r>
          </w:p>
        </w:tc>
        <w:tc>
          <w:tcPr>
            <w:tcW w:w="1521" w:type="dxa"/>
            <w:noWrap w:val="0"/>
            <w:vAlign w:val="center"/>
          </w:tcPr>
          <w:p w14:paraId="62CD7497">
            <w:pPr>
              <w:spacing w:line="520" w:lineRule="exact"/>
              <w:ind w:left="0" w:firstLine="0"/>
              <w:jc w:val="both"/>
              <w:rPr>
                <w:rFonts w:ascii="宋体" w:hAnsi="宋体" w:cs="宋体"/>
                <w:color w:val="auto"/>
                <w:szCs w:val="21"/>
                <w:highlight w:val="none"/>
              </w:rPr>
            </w:pPr>
            <w:r>
              <w:rPr>
                <w:rFonts w:hint="eastAsia" w:ascii="宋体" w:hAnsi="宋体" w:cs="宋体"/>
                <w:color w:val="auto"/>
                <w:szCs w:val="21"/>
                <w:highlight w:val="none"/>
              </w:rPr>
              <w:t>是否项目负责人业绩</w:t>
            </w:r>
          </w:p>
        </w:tc>
      </w:tr>
      <w:tr w14:paraId="509F5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550DCAD">
            <w:pPr>
              <w:spacing w:line="520" w:lineRule="exact"/>
              <w:jc w:val="center"/>
              <w:rPr>
                <w:rFonts w:ascii="宋体" w:hAnsi="宋体" w:cs="宋体"/>
                <w:color w:val="auto"/>
                <w:sz w:val="28"/>
                <w:highlight w:val="none"/>
              </w:rPr>
            </w:pPr>
          </w:p>
        </w:tc>
        <w:tc>
          <w:tcPr>
            <w:tcW w:w="2439" w:type="dxa"/>
            <w:noWrap w:val="0"/>
            <w:vAlign w:val="center"/>
          </w:tcPr>
          <w:p w14:paraId="5E3CE431">
            <w:pPr>
              <w:spacing w:line="520" w:lineRule="exact"/>
              <w:jc w:val="center"/>
              <w:rPr>
                <w:rFonts w:ascii="宋体" w:hAnsi="宋体" w:cs="宋体"/>
                <w:color w:val="auto"/>
                <w:sz w:val="28"/>
                <w:highlight w:val="none"/>
              </w:rPr>
            </w:pPr>
          </w:p>
        </w:tc>
        <w:tc>
          <w:tcPr>
            <w:tcW w:w="2135" w:type="dxa"/>
            <w:noWrap w:val="0"/>
            <w:vAlign w:val="center"/>
          </w:tcPr>
          <w:p w14:paraId="0943359A">
            <w:pPr>
              <w:spacing w:line="520" w:lineRule="exact"/>
              <w:jc w:val="center"/>
              <w:rPr>
                <w:rFonts w:ascii="宋体" w:hAnsi="宋体" w:cs="宋体"/>
                <w:color w:val="auto"/>
                <w:sz w:val="28"/>
                <w:highlight w:val="none"/>
              </w:rPr>
            </w:pPr>
          </w:p>
        </w:tc>
        <w:tc>
          <w:tcPr>
            <w:tcW w:w="1358" w:type="dxa"/>
            <w:noWrap w:val="0"/>
            <w:vAlign w:val="center"/>
          </w:tcPr>
          <w:p w14:paraId="66C9783A">
            <w:pPr>
              <w:spacing w:line="520" w:lineRule="exact"/>
              <w:jc w:val="center"/>
              <w:rPr>
                <w:rFonts w:ascii="宋体" w:hAnsi="宋体" w:cs="宋体"/>
                <w:color w:val="auto"/>
                <w:sz w:val="28"/>
                <w:highlight w:val="none"/>
              </w:rPr>
            </w:pPr>
          </w:p>
        </w:tc>
        <w:tc>
          <w:tcPr>
            <w:tcW w:w="1521" w:type="dxa"/>
            <w:noWrap w:val="0"/>
            <w:vAlign w:val="center"/>
          </w:tcPr>
          <w:p w14:paraId="182BE3DC">
            <w:pPr>
              <w:spacing w:line="520" w:lineRule="exact"/>
              <w:jc w:val="center"/>
              <w:rPr>
                <w:rFonts w:ascii="宋体" w:hAnsi="宋体" w:cs="宋体"/>
                <w:color w:val="auto"/>
                <w:sz w:val="28"/>
                <w:highlight w:val="none"/>
              </w:rPr>
            </w:pPr>
          </w:p>
        </w:tc>
        <w:tc>
          <w:tcPr>
            <w:tcW w:w="1521" w:type="dxa"/>
            <w:noWrap w:val="0"/>
            <w:vAlign w:val="center"/>
          </w:tcPr>
          <w:p w14:paraId="3149DD70">
            <w:pPr>
              <w:spacing w:line="520" w:lineRule="exact"/>
              <w:jc w:val="center"/>
              <w:rPr>
                <w:rFonts w:ascii="宋体" w:hAnsi="宋体" w:cs="宋体"/>
                <w:color w:val="auto"/>
                <w:sz w:val="28"/>
                <w:highlight w:val="none"/>
              </w:rPr>
            </w:pPr>
          </w:p>
        </w:tc>
      </w:tr>
      <w:tr w14:paraId="4F2C3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2DA841A">
            <w:pPr>
              <w:spacing w:line="520" w:lineRule="exact"/>
              <w:jc w:val="center"/>
              <w:rPr>
                <w:rFonts w:ascii="宋体" w:hAnsi="宋体" w:cs="宋体"/>
                <w:color w:val="auto"/>
                <w:sz w:val="28"/>
                <w:highlight w:val="none"/>
              </w:rPr>
            </w:pPr>
          </w:p>
        </w:tc>
        <w:tc>
          <w:tcPr>
            <w:tcW w:w="2439" w:type="dxa"/>
            <w:noWrap w:val="0"/>
            <w:vAlign w:val="center"/>
          </w:tcPr>
          <w:p w14:paraId="68AF5BDC">
            <w:pPr>
              <w:spacing w:line="520" w:lineRule="exact"/>
              <w:jc w:val="center"/>
              <w:rPr>
                <w:rFonts w:ascii="宋体" w:hAnsi="宋体" w:cs="宋体"/>
                <w:color w:val="auto"/>
                <w:sz w:val="28"/>
                <w:highlight w:val="none"/>
              </w:rPr>
            </w:pPr>
          </w:p>
        </w:tc>
        <w:tc>
          <w:tcPr>
            <w:tcW w:w="2135" w:type="dxa"/>
            <w:noWrap w:val="0"/>
            <w:vAlign w:val="center"/>
          </w:tcPr>
          <w:p w14:paraId="7540353D">
            <w:pPr>
              <w:spacing w:line="520" w:lineRule="exact"/>
              <w:jc w:val="center"/>
              <w:rPr>
                <w:rFonts w:ascii="宋体" w:hAnsi="宋体" w:cs="宋体"/>
                <w:color w:val="auto"/>
                <w:sz w:val="28"/>
                <w:highlight w:val="none"/>
              </w:rPr>
            </w:pPr>
          </w:p>
        </w:tc>
        <w:tc>
          <w:tcPr>
            <w:tcW w:w="1358" w:type="dxa"/>
            <w:noWrap w:val="0"/>
            <w:vAlign w:val="center"/>
          </w:tcPr>
          <w:p w14:paraId="4042B1E9">
            <w:pPr>
              <w:spacing w:line="520" w:lineRule="exact"/>
              <w:jc w:val="center"/>
              <w:rPr>
                <w:rFonts w:ascii="宋体" w:hAnsi="宋体" w:cs="宋体"/>
                <w:color w:val="auto"/>
                <w:sz w:val="28"/>
                <w:highlight w:val="none"/>
              </w:rPr>
            </w:pPr>
          </w:p>
        </w:tc>
        <w:tc>
          <w:tcPr>
            <w:tcW w:w="1521" w:type="dxa"/>
            <w:noWrap w:val="0"/>
            <w:vAlign w:val="center"/>
          </w:tcPr>
          <w:p w14:paraId="00EAA29B">
            <w:pPr>
              <w:spacing w:line="520" w:lineRule="exact"/>
              <w:jc w:val="center"/>
              <w:rPr>
                <w:rFonts w:ascii="宋体" w:hAnsi="宋体" w:cs="宋体"/>
                <w:color w:val="auto"/>
                <w:sz w:val="28"/>
                <w:highlight w:val="none"/>
              </w:rPr>
            </w:pPr>
          </w:p>
        </w:tc>
        <w:tc>
          <w:tcPr>
            <w:tcW w:w="1521" w:type="dxa"/>
            <w:noWrap w:val="0"/>
            <w:vAlign w:val="center"/>
          </w:tcPr>
          <w:p w14:paraId="1D0D60C9">
            <w:pPr>
              <w:spacing w:line="520" w:lineRule="exact"/>
              <w:jc w:val="center"/>
              <w:rPr>
                <w:rFonts w:ascii="宋体" w:hAnsi="宋体" w:cs="宋体"/>
                <w:color w:val="auto"/>
                <w:sz w:val="28"/>
                <w:highlight w:val="none"/>
              </w:rPr>
            </w:pPr>
          </w:p>
        </w:tc>
      </w:tr>
      <w:tr w14:paraId="6ECAE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BDD1B15">
            <w:pPr>
              <w:spacing w:line="520" w:lineRule="exact"/>
              <w:jc w:val="center"/>
              <w:rPr>
                <w:rFonts w:ascii="宋体" w:hAnsi="宋体" w:cs="宋体"/>
                <w:color w:val="auto"/>
                <w:sz w:val="28"/>
                <w:highlight w:val="none"/>
              </w:rPr>
            </w:pPr>
          </w:p>
        </w:tc>
        <w:tc>
          <w:tcPr>
            <w:tcW w:w="2439" w:type="dxa"/>
            <w:noWrap w:val="0"/>
            <w:vAlign w:val="center"/>
          </w:tcPr>
          <w:p w14:paraId="5D1E2380">
            <w:pPr>
              <w:spacing w:line="520" w:lineRule="exact"/>
              <w:jc w:val="center"/>
              <w:rPr>
                <w:rFonts w:ascii="宋体" w:hAnsi="宋体" w:cs="宋体"/>
                <w:color w:val="auto"/>
                <w:sz w:val="28"/>
                <w:highlight w:val="none"/>
              </w:rPr>
            </w:pPr>
          </w:p>
        </w:tc>
        <w:tc>
          <w:tcPr>
            <w:tcW w:w="2135" w:type="dxa"/>
            <w:noWrap w:val="0"/>
            <w:vAlign w:val="center"/>
          </w:tcPr>
          <w:p w14:paraId="4AC8C7B0">
            <w:pPr>
              <w:spacing w:line="520" w:lineRule="exact"/>
              <w:jc w:val="center"/>
              <w:rPr>
                <w:rFonts w:ascii="宋体" w:hAnsi="宋体" w:cs="宋体"/>
                <w:color w:val="auto"/>
                <w:sz w:val="28"/>
                <w:highlight w:val="none"/>
              </w:rPr>
            </w:pPr>
          </w:p>
        </w:tc>
        <w:tc>
          <w:tcPr>
            <w:tcW w:w="1358" w:type="dxa"/>
            <w:noWrap w:val="0"/>
            <w:vAlign w:val="center"/>
          </w:tcPr>
          <w:p w14:paraId="045CCB0B">
            <w:pPr>
              <w:spacing w:line="520" w:lineRule="exact"/>
              <w:jc w:val="center"/>
              <w:rPr>
                <w:rFonts w:ascii="宋体" w:hAnsi="宋体" w:cs="宋体"/>
                <w:color w:val="auto"/>
                <w:sz w:val="28"/>
                <w:highlight w:val="none"/>
              </w:rPr>
            </w:pPr>
          </w:p>
        </w:tc>
        <w:tc>
          <w:tcPr>
            <w:tcW w:w="1521" w:type="dxa"/>
            <w:noWrap w:val="0"/>
            <w:vAlign w:val="center"/>
          </w:tcPr>
          <w:p w14:paraId="06C1C5FD">
            <w:pPr>
              <w:spacing w:line="520" w:lineRule="exact"/>
              <w:jc w:val="center"/>
              <w:rPr>
                <w:rFonts w:ascii="宋体" w:hAnsi="宋体" w:cs="宋体"/>
                <w:color w:val="auto"/>
                <w:sz w:val="28"/>
                <w:highlight w:val="none"/>
              </w:rPr>
            </w:pPr>
          </w:p>
        </w:tc>
        <w:tc>
          <w:tcPr>
            <w:tcW w:w="1521" w:type="dxa"/>
            <w:noWrap w:val="0"/>
            <w:vAlign w:val="center"/>
          </w:tcPr>
          <w:p w14:paraId="2534ED64">
            <w:pPr>
              <w:spacing w:line="520" w:lineRule="exact"/>
              <w:jc w:val="center"/>
              <w:rPr>
                <w:rFonts w:ascii="宋体" w:hAnsi="宋体" w:cs="宋体"/>
                <w:color w:val="auto"/>
                <w:sz w:val="28"/>
                <w:highlight w:val="none"/>
              </w:rPr>
            </w:pPr>
          </w:p>
        </w:tc>
      </w:tr>
      <w:tr w14:paraId="382DB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48926BB">
            <w:pPr>
              <w:spacing w:line="520" w:lineRule="exact"/>
              <w:jc w:val="center"/>
              <w:rPr>
                <w:rFonts w:ascii="宋体" w:hAnsi="宋体" w:cs="宋体"/>
                <w:color w:val="auto"/>
                <w:sz w:val="28"/>
                <w:highlight w:val="none"/>
              </w:rPr>
            </w:pPr>
          </w:p>
        </w:tc>
        <w:tc>
          <w:tcPr>
            <w:tcW w:w="2439" w:type="dxa"/>
            <w:noWrap w:val="0"/>
            <w:vAlign w:val="center"/>
          </w:tcPr>
          <w:p w14:paraId="15A3D5D5">
            <w:pPr>
              <w:spacing w:line="520" w:lineRule="exact"/>
              <w:jc w:val="center"/>
              <w:rPr>
                <w:rFonts w:ascii="宋体" w:hAnsi="宋体" w:cs="宋体"/>
                <w:color w:val="auto"/>
                <w:sz w:val="28"/>
                <w:highlight w:val="none"/>
              </w:rPr>
            </w:pPr>
          </w:p>
        </w:tc>
        <w:tc>
          <w:tcPr>
            <w:tcW w:w="2135" w:type="dxa"/>
            <w:noWrap w:val="0"/>
            <w:vAlign w:val="center"/>
          </w:tcPr>
          <w:p w14:paraId="351F91AD">
            <w:pPr>
              <w:spacing w:line="520" w:lineRule="exact"/>
              <w:jc w:val="center"/>
              <w:rPr>
                <w:rFonts w:ascii="宋体" w:hAnsi="宋体" w:cs="宋体"/>
                <w:color w:val="auto"/>
                <w:sz w:val="28"/>
                <w:highlight w:val="none"/>
              </w:rPr>
            </w:pPr>
          </w:p>
        </w:tc>
        <w:tc>
          <w:tcPr>
            <w:tcW w:w="1358" w:type="dxa"/>
            <w:noWrap w:val="0"/>
            <w:vAlign w:val="center"/>
          </w:tcPr>
          <w:p w14:paraId="2D678270">
            <w:pPr>
              <w:spacing w:line="520" w:lineRule="exact"/>
              <w:jc w:val="center"/>
              <w:rPr>
                <w:rFonts w:ascii="宋体" w:hAnsi="宋体" w:cs="宋体"/>
                <w:color w:val="auto"/>
                <w:sz w:val="28"/>
                <w:highlight w:val="none"/>
              </w:rPr>
            </w:pPr>
          </w:p>
        </w:tc>
        <w:tc>
          <w:tcPr>
            <w:tcW w:w="1521" w:type="dxa"/>
            <w:noWrap w:val="0"/>
            <w:vAlign w:val="center"/>
          </w:tcPr>
          <w:p w14:paraId="7F9D142C">
            <w:pPr>
              <w:spacing w:line="520" w:lineRule="exact"/>
              <w:jc w:val="center"/>
              <w:rPr>
                <w:rFonts w:ascii="宋体" w:hAnsi="宋体" w:cs="宋体"/>
                <w:color w:val="auto"/>
                <w:sz w:val="28"/>
                <w:highlight w:val="none"/>
              </w:rPr>
            </w:pPr>
          </w:p>
        </w:tc>
        <w:tc>
          <w:tcPr>
            <w:tcW w:w="1521" w:type="dxa"/>
            <w:noWrap w:val="0"/>
            <w:vAlign w:val="center"/>
          </w:tcPr>
          <w:p w14:paraId="60CBF7FF">
            <w:pPr>
              <w:spacing w:line="520" w:lineRule="exact"/>
              <w:jc w:val="center"/>
              <w:rPr>
                <w:rFonts w:ascii="宋体" w:hAnsi="宋体" w:cs="宋体"/>
                <w:color w:val="auto"/>
                <w:sz w:val="28"/>
                <w:highlight w:val="none"/>
              </w:rPr>
            </w:pPr>
          </w:p>
        </w:tc>
      </w:tr>
      <w:tr w14:paraId="6EF71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CF471FA">
            <w:pPr>
              <w:spacing w:line="520" w:lineRule="exact"/>
              <w:jc w:val="center"/>
              <w:rPr>
                <w:rFonts w:ascii="宋体" w:hAnsi="宋体" w:cs="宋体"/>
                <w:color w:val="auto"/>
                <w:sz w:val="28"/>
                <w:highlight w:val="none"/>
              </w:rPr>
            </w:pPr>
          </w:p>
        </w:tc>
        <w:tc>
          <w:tcPr>
            <w:tcW w:w="2439" w:type="dxa"/>
            <w:noWrap w:val="0"/>
            <w:vAlign w:val="center"/>
          </w:tcPr>
          <w:p w14:paraId="39AA34AF">
            <w:pPr>
              <w:spacing w:line="520" w:lineRule="exact"/>
              <w:jc w:val="center"/>
              <w:rPr>
                <w:rFonts w:ascii="宋体" w:hAnsi="宋体" w:cs="宋体"/>
                <w:color w:val="auto"/>
                <w:sz w:val="28"/>
                <w:highlight w:val="none"/>
              </w:rPr>
            </w:pPr>
          </w:p>
        </w:tc>
        <w:tc>
          <w:tcPr>
            <w:tcW w:w="2135" w:type="dxa"/>
            <w:noWrap w:val="0"/>
            <w:vAlign w:val="center"/>
          </w:tcPr>
          <w:p w14:paraId="3A113EA3">
            <w:pPr>
              <w:spacing w:line="520" w:lineRule="exact"/>
              <w:jc w:val="center"/>
              <w:rPr>
                <w:rFonts w:ascii="宋体" w:hAnsi="宋体" w:cs="宋体"/>
                <w:color w:val="auto"/>
                <w:sz w:val="28"/>
                <w:highlight w:val="none"/>
              </w:rPr>
            </w:pPr>
          </w:p>
        </w:tc>
        <w:tc>
          <w:tcPr>
            <w:tcW w:w="1358" w:type="dxa"/>
            <w:noWrap w:val="0"/>
            <w:vAlign w:val="center"/>
          </w:tcPr>
          <w:p w14:paraId="0C55244B">
            <w:pPr>
              <w:spacing w:line="520" w:lineRule="exact"/>
              <w:jc w:val="center"/>
              <w:rPr>
                <w:rFonts w:ascii="宋体" w:hAnsi="宋体" w:cs="宋体"/>
                <w:color w:val="auto"/>
                <w:sz w:val="28"/>
                <w:highlight w:val="none"/>
              </w:rPr>
            </w:pPr>
          </w:p>
        </w:tc>
        <w:tc>
          <w:tcPr>
            <w:tcW w:w="1521" w:type="dxa"/>
            <w:noWrap w:val="0"/>
            <w:vAlign w:val="center"/>
          </w:tcPr>
          <w:p w14:paraId="22F7BC91">
            <w:pPr>
              <w:spacing w:line="520" w:lineRule="exact"/>
              <w:jc w:val="center"/>
              <w:rPr>
                <w:rFonts w:ascii="宋体" w:hAnsi="宋体" w:cs="宋体"/>
                <w:color w:val="auto"/>
                <w:sz w:val="28"/>
                <w:highlight w:val="none"/>
              </w:rPr>
            </w:pPr>
          </w:p>
        </w:tc>
        <w:tc>
          <w:tcPr>
            <w:tcW w:w="1521" w:type="dxa"/>
            <w:noWrap w:val="0"/>
            <w:vAlign w:val="center"/>
          </w:tcPr>
          <w:p w14:paraId="65CF81F0">
            <w:pPr>
              <w:spacing w:line="520" w:lineRule="exact"/>
              <w:jc w:val="center"/>
              <w:rPr>
                <w:rFonts w:ascii="宋体" w:hAnsi="宋体" w:cs="宋体"/>
                <w:color w:val="auto"/>
                <w:sz w:val="28"/>
                <w:highlight w:val="none"/>
              </w:rPr>
            </w:pPr>
          </w:p>
        </w:tc>
      </w:tr>
      <w:tr w14:paraId="32C7E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1E707B5">
            <w:pPr>
              <w:spacing w:line="520" w:lineRule="exact"/>
              <w:jc w:val="center"/>
              <w:rPr>
                <w:rFonts w:ascii="宋体" w:hAnsi="宋体" w:cs="宋体"/>
                <w:color w:val="auto"/>
                <w:sz w:val="28"/>
                <w:highlight w:val="none"/>
              </w:rPr>
            </w:pPr>
          </w:p>
        </w:tc>
        <w:tc>
          <w:tcPr>
            <w:tcW w:w="2439" w:type="dxa"/>
            <w:noWrap w:val="0"/>
            <w:vAlign w:val="center"/>
          </w:tcPr>
          <w:p w14:paraId="753506FD">
            <w:pPr>
              <w:spacing w:line="520" w:lineRule="exact"/>
              <w:jc w:val="center"/>
              <w:rPr>
                <w:rFonts w:ascii="宋体" w:hAnsi="宋体" w:cs="宋体"/>
                <w:color w:val="auto"/>
                <w:sz w:val="28"/>
                <w:highlight w:val="none"/>
              </w:rPr>
            </w:pPr>
          </w:p>
        </w:tc>
        <w:tc>
          <w:tcPr>
            <w:tcW w:w="2135" w:type="dxa"/>
            <w:noWrap w:val="0"/>
            <w:vAlign w:val="center"/>
          </w:tcPr>
          <w:p w14:paraId="090ACE66">
            <w:pPr>
              <w:spacing w:line="520" w:lineRule="exact"/>
              <w:jc w:val="center"/>
              <w:rPr>
                <w:rFonts w:ascii="宋体" w:hAnsi="宋体" w:cs="宋体"/>
                <w:color w:val="auto"/>
                <w:sz w:val="28"/>
                <w:highlight w:val="none"/>
              </w:rPr>
            </w:pPr>
          </w:p>
        </w:tc>
        <w:tc>
          <w:tcPr>
            <w:tcW w:w="1358" w:type="dxa"/>
            <w:noWrap w:val="0"/>
            <w:vAlign w:val="center"/>
          </w:tcPr>
          <w:p w14:paraId="43E0B16A">
            <w:pPr>
              <w:spacing w:line="520" w:lineRule="exact"/>
              <w:jc w:val="center"/>
              <w:rPr>
                <w:rFonts w:ascii="宋体" w:hAnsi="宋体" w:cs="宋体"/>
                <w:color w:val="auto"/>
                <w:sz w:val="28"/>
                <w:highlight w:val="none"/>
              </w:rPr>
            </w:pPr>
          </w:p>
        </w:tc>
        <w:tc>
          <w:tcPr>
            <w:tcW w:w="1521" w:type="dxa"/>
            <w:noWrap w:val="0"/>
            <w:vAlign w:val="center"/>
          </w:tcPr>
          <w:p w14:paraId="46D43725">
            <w:pPr>
              <w:spacing w:line="520" w:lineRule="exact"/>
              <w:jc w:val="center"/>
              <w:rPr>
                <w:rFonts w:ascii="宋体" w:hAnsi="宋体" w:cs="宋体"/>
                <w:color w:val="auto"/>
                <w:sz w:val="28"/>
                <w:highlight w:val="none"/>
              </w:rPr>
            </w:pPr>
          </w:p>
        </w:tc>
        <w:tc>
          <w:tcPr>
            <w:tcW w:w="1521" w:type="dxa"/>
            <w:noWrap w:val="0"/>
            <w:vAlign w:val="center"/>
          </w:tcPr>
          <w:p w14:paraId="18DD4C48">
            <w:pPr>
              <w:spacing w:line="520" w:lineRule="exact"/>
              <w:jc w:val="center"/>
              <w:rPr>
                <w:rFonts w:ascii="宋体" w:hAnsi="宋体" w:cs="宋体"/>
                <w:color w:val="auto"/>
                <w:sz w:val="28"/>
                <w:highlight w:val="none"/>
              </w:rPr>
            </w:pPr>
          </w:p>
        </w:tc>
      </w:tr>
      <w:tr w14:paraId="63D80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0C7F080">
            <w:pPr>
              <w:spacing w:line="520" w:lineRule="exact"/>
              <w:jc w:val="center"/>
              <w:rPr>
                <w:rFonts w:ascii="宋体" w:hAnsi="宋体" w:cs="宋体"/>
                <w:color w:val="auto"/>
                <w:sz w:val="28"/>
                <w:highlight w:val="none"/>
              </w:rPr>
            </w:pPr>
          </w:p>
        </w:tc>
        <w:tc>
          <w:tcPr>
            <w:tcW w:w="2439" w:type="dxa"/>
            <w:noWrap w:val="0"/>
            <w:vAlign w:val="center"/>
          </w:tcPr>
          <w:p w14:paraId="621F1526">
            <w:pPr>
              <w:spacing w:line="520" w:lineRule="exact"/>
              <w:jc w:val="center"/>
              <w:rPr>
                <w:rFonts w:ascii="宋体" w:hAnsi="宋体" w:cs="宋体"/>
                <w:color w:val="auto"/>
                <w:sz w:val="28"/>
                <w:highlight w:val="none"/>
              </w:rPr>
            </w:pPr>
          </w:p>
        </w:tc>
        <w:tc>
          <w:tcPr>
            <w:tcW w:w="2135" w:type="dxa"/>
            <w:noWrap w:val="0"/>
            <w:vAlign w:val="center"/>
          </w:tcPr>
          <w:p w14:paraId="0D347EE3">
            <w:pPr>
              <w:spacing w:line="520" w:lineRule="exact"/>
              <w:jc w:val="center"/>
              <w:rPr>
                <w:rFonts w:ascii="宋体" w:hAnsi="宋体" w:cs="宋体"/>
                <w:color w:val="auto"/>
                <w:sz w:val="28"/>
                <w:highlight w:val="none"/>
              </w:rPr>
            </w:pPr>
          </w:p>
        </w:tc>
        <w:tc>
          <w:tcPr>
            <w:tcW w:w="1358" w:type="dxa"/>
            <w:noWrap w:val="0"/>
            <w:vAlign w:val="center"/>
          </w:tcPr>
          <w:p w14:paraId="22047B38">
            <w:pPr>
              <w:spacing w:line="520" w:lineRule="exact"/>
              <w:jc w:val="center"/>
              <w:rPr>
                <w:rFonts w:ascii="宋体" w:hAnsi="宋体" w:cs="宋体"/>
                <w:color w:val="auto"/>
                <w:sz w:val="28"/>
                <w:highlight w:val="none"/>
              </w:rPr>
            </w:pPr>
          </w:p>
        </w:tc>
        <w:tc>
          <w:tcPr>
            <w:tcW w:w="1521" w:type="dxa"/>
            <w:noWrap w:val="0"/>
            <w:vAlign w:val="center"/>
          </w:tcPr>
          <w:p w14:paraId="2DBB9AAF">
            <w:pPr>
              <w:spacing w:line="520" w:lineRule="exact"/>
              <w:jc w:val="center"/>
              <w:rPr>
                <w:rFonts w:ascii="宋体" w:hAnsi="宋体" w:cs="宋体"/>
                <w:color w:val="auto"/>
                <w:sz w:val="28"/>
                <w:highlight w:val="none"/>
              </w:rPr>
            </w:pPr>
          </w:p>
        </w:tc>
        <w:tc>
          <w:tcPr>
            <w:tcW w:w="1521" w:type="dxa"/>
            <w:noWrap w:val="0"/>
            <w:vAlign w:val="center"/>
          </w:tcPr>
          <w:p w14:paraId="4FB7BE42">
            <w:pPr>
              <w:spacing w:line="520" w:lineRule="exact"/>
              <w:jc w:val="center"/>
              <w:rPr>
                <w:rFonts w:ascii="宋体" w:hAnsi="宋体" w:cs="宋体"/>
                <w:color w:val="auto"/>
                <w:sz w:val="28"/>
                <w:highlight w:val="none"/>
              </w:rPr>
            </w:pPr>
          </w:p>
        </w:tc>
      </w:tr>
      <w:tr w14:paraId="64BE6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28FD43C">
            <w:pPr>
              <w:spacing w:line="520" w:lineRule="exact"/>
              <w:jc w:val="center"/>
              <w:rPr>
                <w:rFonts w:ascii="宋体" w:hAnsi="宋体" w:cs="宋体"/>
                <w:color w:val="auto"/>
                <w:sz w:val="28"/>
                <w:highlight w:val="none"/>
              </w:rPr>
            </w:pPr>
          </w:p>
        </w:tc>
        <w:tc>
          <w:tcPr>
            <w:tcW w:w="2439" w:type="dxa"/>
            <w:noWrap w:val="0"/>
            <w:vAlign w:val="center"/>
          </w:tcPr>
          <w:p w14:paraId="35D19439">
            <w:pPr>
              <w:spacing w:line="520" w:lineRule="exact"/>
              <w:jc w:val="center"/>
              <w:rPr>
                <w:rFonts w:ascii="宋体" w:hAnsi="宋体" w:cs="宋体"/>
                <w:color w:val="auto"/>
                <w:sz w:val="28"/>
                <w:highlight w:val="none"/>
              </w:rPr>
            </w:pPr>
          </w:p>
        </w:tc>
        <w:tc>
          <w:tcPr>
            <w:tcW w:w="2135" w:type="dxa"/>
            <w:noWrap w:val="0"/>
            <w:vAlign w:val="center"/>
          </w:tcPr>
          <w:p w14:paraId="7EF49F05">
            <w:pPr>
              <w:spacing w:line="520" w:lineRule="exact"/>
              <w:jc w:val="center"/>
              <w:rPr>
                <w:rFonts w:ascii="宋体" w:hAnsi="宋体" w:cs="宋体"/>
                <w:color w:val="auto"/>
                <w:sz w:val="28"/>
                <w:highlight w:val="none"/>
              </w:rPr>
            </w:pPr>
          </w:p>
        </w:tc>
        <w:tc>
          <w:tcPr>
            <w:tcW w:w="1358" w:type="dxa"/>
            <w:noWrap w:val="0"/>
            <w:vAlign w:val="center"/>
          </w:tcPr>
          <w:p w14:paraId="783773CC">
            <w:pPr>
              <w:spacing w:line="520" w:lineRule="exact"/>
              <w:jc w:val="center"/>
              <w:rPr>
                <w:rFonts w:ascii="宋体" w:hAnsi="宋体" w:cs="宋体"/>
                <w:color w:val="auto"/>
                <w:sz w:val="28"/>
                <w:highlight w:val="none"/>
              </w:rPr>
            </w:pPr>
          </w:p>
        </w:tc>
        <w:tc>
          <w:tcPr>
            <w:tcW w:w="1521" w:type="dxa"/>
            <w:noWrap w:val="0"/>
            <w:vAlign w:val="center"/>
          </w:tcPr>
          <w:p w14:paraId="043DAE63">
            <w:pPr>
              <w:spacing w:line="520" w:lineRule="exact"/>
              <w:jc w:val="center"/>
              <w:rPr>
                <w:rFonts w:ascii="宋体" w:hAnsi="宋体" w:cs="宋体"/>
                <w:color w:val="auto"/>
                <w:sz w:val="28"/>
                <w:highlight w:val="none"/>
              </w:rPr>
            </w:pPr>
          </w:p>
        </w:tc>
        <w:tc>
          <w:tcPr>
            <w:tcW w:w="1521" w:type="dxa"/>
            <w:noWrap w:val="0"/>
            <w:vAlign w:val="center"/>
          </w:tcPr>
          <w:p w14:paraId="3B2A6BD9">
            <w:pPr>
              <w:spacing w:line="520" w:lineRule="exact"/>
              <w:jc w:val="center"/>
              <w:rPr>
                <w:rFonts w:ascii="宋体" w:hAnsi="宋体" w:cs="宋体"/>
                <w:color w:val="auto"/>
                <w:sz w:val="28"/>
                <w:highlight w:val="none"/>
              </w:rPr>
            </w:pPr>
          </w:p>
        </w:tc>
      </w:tr>
      <w:tr w14:paraId="67913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8952F9A">
            <w:pPr>
              <w:spacing w:line="520" w:lineRule="exact"/>
              <w:jc w:val="center"/>
              <w:rPr>
                <w:rFonts w:ascii="宋体" w:hAnsi="宋体" w:cs="宋体"/>
                <w:color w:val="auto"/>
                <w:sz w:val="28"/>
                <w:highlight w:val="none"/>
              </w:rPr>
            </w:pPr>
          </w:p>
        </w:tc>
        <w:tc>
          <w:tcPr>
            <w:tcW w:w="2439" w:type="dxa"/>
            <w:noWrap w:val="0"/>
            <w:vAlign w:val="center"/>
          </w:tcPr>
          <w:p w14:paraId="18300BBA">
            <w:pPr>
              <w:spacing w:line="520" w:lineRule="exact"/>
              <w:jc w:val="center"/>
              <w:rPr>
                <w:rFonts w:ascii="宋体" w:hAnsi="宋体" w:cs="宋体"/>
                <w:color w:val="auto"/>
                <w:sz w:val="28"/>
                <w:highlight w:val="none"/>
              </w:rPr>
            </w:pPr>
          </w:p>
        </w:tc>
        <w:tc>
          <w:tcPr>
            <w:tcW w:w="2135" w:type="dxa"/>
            <w:noWrap w:val="0"/>
            <w:vAlign w:val="center"/>
          </w:tcPr>
          <w:p w14:paraId="5E88BB2B">
            <w:pPr>
              <w:spacing w:line="520" w:lineRule="exact"/>
              <w:jc w:val="center"/>
              <w:rPr>
                <w:rFonts w:ascii="宋体" w:hAnsi="宋体" w:cs="宋体"/>
                <w:color w:val="auto"/>
                <w:sz w:val="28"/>
                <w:highlight w:val="none"/>
              </w:rPr>
            </w:pPr>
          </w:p>
        </w:tc>
        <w:tc>
          <w:tcPr>
            <w:tcW w:w="1358" w:type="dxa"/>
            <w:noWrap w:val="0"/>
            <w:vAlign w:val="center"/>
          </w:tcPr>
          <w:p w14:paraId="3F417E96">
            <w:pPr>
              <w:spacing w:line="520" w:lineRule="exact"/>
              <w:jc w:val="center"/>
              <w:rPr>
                <w:rFonts w:ascii="宋体" w:hAnsi="宋体" w:cs="宋体"/>
                <w:color w:val="auto"/>
                <w:sz w:val="28"/>
                <w:highlight w:val="none"/>
              </w:rPr>
            </w:pPr>
          </w:p>
        </w:tc>
        <w:tc>
          <w:tcPr>
            <w:tcW w:w="1521" w:type="dxa"/>
            <w:noWrap w:val="0"/>
            <w:vAlign w:val="center"/>
          </w:tcPr>
          <w:p w14:paraId="0ECC181C">
            <w:pPr>
              <w:spacing w:line="520" w:lineRule="exact"/>
              <w:jc w:val="center"/>
              <w:rPr>
                <w:rFonts w:ascii="宋体" w:hAnsi="宋体" w:cs="宋体"/>
                <w:color w:val="auto"/>
                <w:sz w:val="28"/>
                <w:highlight w:val="none"/>
              </w:rPr>
            </w:pPr>
          </w:p>
        </w:tc>
        <w:tc>
          <w:tcPr>
            <w:tcW w:w="1521" w:type="dxa"/>
            <w:noWrap w:val="0"/>
            <w:vAlign w:val="center"/>
          </w:tcPr>
          <w:p w14:paraId="2FECA1D5">
            <w:pPr>
              <w:spacing w:line="520" w:lineRule="exact"/>
              <w:jc w:val="center"/>
              <w:rPr>
                <w:rFonts w:ascii="宋体" w:hAnsi="宋体" w:cs="宋体"/>
                <w:color w:val="auto"/>
                <w:sz w:val="28"/>
                <w:highlight w:val="none"/>
              </w:rPr>
            </w:pPr>
          </w:p>
        </w:tc>
      </w:tr>
      <w:tr w14:paraId="3508A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27094C44">
            <w:pPr>
              <w:spacing w:line="520" w:lineRule="exact"/>
              <w:jc w:val="center"/>
              <w:rPr>
                <w:rFonts w:ascii="宋体" w:hAnsi="宋体" w:cs="宋体"/>
                <w:color w:val="auto"/>
                <w:sz w:val="28"/>
                <w:highlight w:val="none"/>
              </w:rPr>
            </w:pPr>
          </w:p>
        </w:tc>
        <w:tc>
          <w:tcPr>
            <w:tcW w:w="2439" w:type="dxa"/>
            <w:noWrap w:val="0"/>
            <w:vAlign w:val="center"/>
          </w:tcPr>
          <w:p w14:paraId="7A56BDE4">
            <w:pPr>
              <w:spacing w:line="520" w:lineRule="exact"/>
              <w:jc w:val="center"/>
              <w:rPr>
                <w:rFonts w:ascii="宋体" w:hAnsi="宋体" w:cs="宋体"/>
                <w:color w:val="auto"/>
                <w:sz w:val="28"/>
                <w:highlight w:val="none"/>
              </w:rPr>
            </w:pPr>
          </w:p>
        </w:tc>
        <w:tc>
          <w:tcPr>
            <w:tcW w:w="2135" w:type="dxa"/>
            <w:noWrap w:val="0"/>
            <w:vAlign w:val="center"/>
          </w:tcPr>
          <w:p w14:paraId="29295C39">
            <w:pPr>
              <w:spacing w:line="520" w:lineRule="exact"/>
              <w:jc w:val="center"/>
              <w:rPr>
                <w:rFonts w:ascii="宋体" w:hAnsi="宋体" w:cs="宋体"/>
                <w:color w:val="auto"/>
                <w:sz w:val="28"/>
                <w:highlight w:val="none"/>
              </w:rPr>
            </w:pPr>
          </w:p>
        </w:tc>
        <w:tc>
          <w:tcPr>
            <w:tcW w:w="1358" w:type="dxa"/>
            <w:noWrap w:val="0"/>
            <w:vAlign w:val="center"/>
          </w:tcPr>
          <w:p w14:paraId="06DD3DAF">
            <w:pPr>
              <w:spacing w:line="520" w:lineRule="exact"/>
              <w:jc w:val="center"/>
              <w:rPr>
                <w:rFonts w:ascii="宋体" w:hAnsi="宋体" w:cs="宋体"/>
                <w:color w:val="auto"/>
                <w:sz w:val="28"/>
                <w:highlight w:val="none"/>
              </w:rPr>
            </w:pPr>
          </w:p>
        </w:tc>
        <w:tc>
          <w:tcPr>
            <w:tcW w:w="1521" w:type="dxa"/>
            <w:noWrap w:val="0"/>
            <w:vAlign w:val="center"/>
          </w:tcPr>
          <w:p w14:paraId="1338882F">
            <w:pPr>
              <w:spacing w:line="520" w:lineRule="exact"/>
              <w:jc w:val="center"/>
              <w:rPr>
                <w:rFonts w:ascii="宋体" w:hAnsi="宋体" w:cs="宋体"/>
                <w:color w:val="auto"/>
                <w:sz w:val="28"/>
                <w:highlight w:val="none"/>
              </w:rPr>
            </w:pPr>
          </w:p>
        </w:tc>
        <w:tc>
          <w:tcPr>
            <w:tcW w:w="1521" w:type="dxa"/>
            <w:noWrap w:val="0"/>
            <w:vAlign w:val="center"/>
          </w:tcPr>
          <w:p w14:paraId="5838D211">
            <w:pPr>
              <w:spacing w:line="520" w:lineRule="exact"/>
              <w:jc w:val="center"/>
              <w:rPr>
                <w:rFonts w:ascii="宋体" w:hAnsi="宋体" w:cs="宋体"/>
                <w:color w:val="auto"/>
                <w:sz w:val="28"/>
                <w:highlight w:val="none"/>
              </w:rPr>
            </w:pPr>
          </w:p>
        </w:tc>
      </w:tr>
    </w:tbl>
    <w:p w14:paraId="63E40BDB">
      <w:pPr>
        <w:spacing w:line="400" w:lineRule="exact"/>
        <w:jc w:val="center"/>
        <w:rPr>
          <w:rFonts w:ascii="宋体" w:hAnsi="宋体" w:cs="宋体"/>
          <w:b/>
          <w:color w:val="auto"/>
          <w:sz w:val="28"/>
          <w:szCs w:val="30"/>
          <w:highlight w:val="none"/>
        </w:rPr>
      </w:pPr>
    </w:p>
    <w:p w14:paraId="6BCFF05B">
      <w:pPr>
        <w:spacing w:line="400" w:lineRule="exact"/>
        <w:rPr>
          <w:rFonts w:ascii="宋体" w:hAnsi="宋体" w:cs="宋体"/>
          <w:b/>
          <w:color w:val="auto"/>
          <w:sz w:val="28"/>
          <w:szCs w:val="30"/>
          <w:highlight w:val="none"/>
        </w:rPr>
      </w:pPr>
    </w:p>
    <w:p w14:paraId="54406071">
      <w:pPr>
        <w:spacing w:line="560" w:lineRule="exact"/>
        <w:ind w:right="180" w:firstLine="360"/>
        <w:jc w:val="right"/>
        <w:rPr>
          <w:rFonts w:ascii="宋体" w:hAnsi="宋体"/>
          <w:color w:val="auto"/>
          <w:sz w:val="24"/>
          <w:highlight w:val="none"/>
        </w:rPr>
      </w:pPr>
      <w:r>
        <w:rPr>
          <w:rFonts w:hint="eastAsia" w:ascii="宋体" w:hAnsi="宋体"/>
          <w:color w:val="auto"/>
          <w:sz w:val="24"/>
          <w:highlight w:val="none"/>
        </w:rPr>
        <w:t>企业名称（加盖公章）：</w:t>
      </w:r>
    </w:p>
    <w:p w14:paraId="51B7819D">
      <w:pPr>
        <w:spacing w:line="560" w:lineRule="exact"/>
        <w:ind w:right="480"/>
        <w:jc w:val="right"/>
        <w:rPr>
          <w:rFonts w:ascii="宋体" w:hAnsi="宋体"/>
          <w:color w:val="auto"/>
          <w:sz w:val="24"/>
          <w:highlight w:val="none"/>
        </w:rPr>
      </w:pPr>
      <w:r>
        <w:rPr>
          <w:rFonts w:hint="eastAsia" w:ascii="宋体" w:hAnsi="宋体"/>
          <w:color w:val="auto"/>
          <w:sz w:val="24"/>
          <w:highlight w:val="none"/>
        </w:rPr>
        <w:t>日期：年月日</w:t>
      </w:r>
    </w:p>
    <w:p w14:paraId="1D071673">
      <w:pPr>
        <w:rPr>
          <w:rFonts w:ascii="宋体" w:hAnsi="宋体" w:cs="宋体"/>
          <w:b/>
          <w:bCs/>
          <w:color w:val="auto"/>
          <w:sz w:val="28"/>
          <w:highlight w:val="none"/>
        </w:rPr>
      </w:pPr>
    </w:p>
    <w:p w14:paraId="0DBB85A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Cs/>
          <w:color w:val="auto"/>
          <w:sz w:val="36"/>
          <w:szCs w:val="28"/>
          <w:highlight w:val="none"/>
        </w:rP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七</w:t>
      </w:r>
      <w:r>
        <w:rPr>
          <w:rFonts w:hint="eastAsia" w:ascii="宋体" w:hAnsi="宋体" w:cs="宋体"/>
          <w:bCs/>
          <w:color w:val="auto"/>
          <w:sz w:val="36"/>
          <w:szCs w:val="28"/>
          <w:highlight w:val="none"/>
        </w:rPr>
        <w:t>、其他材料</w:t>
      </w:r>
    </w:p>
    <w:p w14:paraId="5080B149">
      <w:pPr>
        <w:pBdr>
          <w:top w:val="none" w:color="000000" w:sz="0" w:space="0"/>
          <w:left w:val="none" w:color="000000" w:sz="0" w:space="0"/>
          <w:bottom w:val="none" w:color="000000" w:sz="0" w:space="0"/>
          <w:right w:val="none" w:color="000000" w:sz="0" w:space="0"/>
        </w:pBdr>
        <w:spacing w:line="519" w:lineRule="atLeast"/>
        <w:ind w:firstLine="420"/>
        <w:rPr>
          <w:color w:val="auto"/>
          <w:highlight w:val="none"/>
        </w:rPr>
      </w:pPr>
      <w:r>
        <w:rPr>
          <w:rFonts w:ascii="宋体" w:hAnsi="宋体" w:cs="宋体"/>
          <w:color w:val="auto"/>
          <w:sz w:val="28"/>
          <w:highlight w:val="none"/>
        </w:rPr>
        <w:t> </w:t>
      </w:r>
    </w:p>
    <w:p w14:paraId="7558E65E">
      <w:pPr>
        <w:pBdr>
          <w:top w:val="none" w:color="000000" w:sz="0" w:space="0"/>
          <w:left w:val="none" w:color="000000" w:sz="0" w:space="0"/>
          <w:bottom w:val="none" w:color="000000" w:sz="0" w:space="0"/>
          <w:right w:val="none" w:color="000000" w:sz="0" w:space="0"/>
        </w:pBdr>
        <w:spacing w:line="519" w:lineRule="atLeast"/>
        <w:ind w:firstLine="1260"/>
        <w:rPr>
          <w:color w:val="auto"/>
          <w:highlight w:val="none"/>
        </w:rPr>
      </w:pPr>
      <w:r>
        <w:rPr>
          <w:rFonts w:ascii="宋体" w:hAnsi="宋体" w:cs="宋体"/>
          <w:color w:val="auto"/>
          <w:sz w:val="28"/>
          <w:highlight w:val="none"/>
        </w:rPr>
        <w:t>供应商认为有必要提供的材料或评分标准中需要提供的材料。</w:t>
      </w:r>
    </w:p>
    <w:p w14:paraId="43E628E6">
      <w:pPr>
        <w:pBdr>
          <w:top w:val="none" w:color="000000" w:sz="0" w:space="0"/>
          <w:left w:val="none" w:color="000000" w:sz="0" w:space="0"/>
          <w:bottom w:val="none" w:color="000000" w:sz="0" w:space="0"/>
          <w:right w:val="none" w:color="000000" w:sz="0" w:space="0"/>
        </w:pBdr>
        <w:spacing w:line="519" w:lineRule="atLeast"/>
        <w:rPr>
          <w:color w:val="auto"/>
          <w:highlight w:val="none"/>
        </w:rPr>
      </w:pPr>
      <w:r>
        <w:rPr>
          <w:rFonts w:ascii="宋体" w:hAnsi="宋体" w:cs="宋体"/>
          <w:color w:val="auto"/>
          <w:sz w:val="24"/>
          <w:highlight w:val="none"/>
        </w:rPr>
        <w:t> </w:t>
      </w:r>
    </w:p>
    <w:p w14:paraId="3FC813FA">
      <w:pPr>
        <w:rPr>
          <w:rFonts w:ascii="Times New Roman" w:hAnsi="Times New Roman"/>
          <w:color w:val="auto"/>
          <w:sz w:val="24"/>
          <w:szCs w:val="24"/>
          <w:highlight w:val="none"/>
        </w:rPr>
      </w:pPr>
    </w:p>
    <w:p w14:paraId="55D97A26">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A162172">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086F8D07">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1229EC24">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C0DFDB3">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562815A">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27E83CF4">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0C4321D5">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132B7E2B">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2483661E">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10CE1077">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4776CB1">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B075F20">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A1856D4">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456B510D">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EA4DFAA">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1E9BB37C">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255E6280">
      <w:pPr>
        <w:pStyle w:val="259"/>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0D92179D">
      <w:pPr>
        <w:pStyle w:val="259"/>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573864BA">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A003AE5">
      <w:pPr>
        <w:spacing w:after="0" w:line="240" w:lineRule="auto"/>
        <w:ind w:firstLine="0"/>
        <w:jc w:val="center"/>
        <w:rPr>
          <w:rFonts w:ascii="宋体" w:hAnsi="宋体" w:eastAsia="宋体" w:cs="宋体"/>
          <w:b/>
          <w:bCs/>
          <w:color w:val="auto"/>
          <w:sz w:val="28"/>
          <w:szCs w:val="28"/>
          <w:highlight w:val="none"/>
          <w:lang w:eastAsia="en-US"/>
        </w:rPr>
      </w:pPr>
      <w:r>
        <w:rPr>
          <w:rFonts w:hint="eastAsia" w:ascii="宋体" w:hAnsi="宋体" w:eastAsia="宋体" w:cs="宋体"/>
          <w:b/>
          <w:bCs/>
          <w:color w:val="auto"/>
          <w:sz w:val="28"/>
          <w:szCs w:val="28"/>
          <w:highlight w:val="none"/>
          <w:lang w:eastAsia="en-US"/>
        </w:rPr>
        <w:t>质疑函范本</w:t>
      </w:r>
    </w:p>
    <w:p w14:paraId="21C5F846">
      <w:pPr>
        <w:spacing w:after="0" w:line="400" w:lineRule="exact"/>
        <w:ind w:firstLine="0"/>
        <w:jc w:val="left"/>
        <w:rPr>
          <w:rFonts w:ascii="宋体" w:hAnsi="宋体" w:eastAsia="宋体" w:cs="宋体"/>
          <w:bCs/>
          <w:color w:val="auto"/>
          <w:sz w:val="24"/>
          <w:szCs w:val="22"/>
          <w:highlight w:val="none"/>
          <w:lang w:eastAsia="en-US"/>
        </w:rPr>
      </w:pPr>
      <w:r>
        <w:rPr>
          <w:rFonts w:hint="eastAsia" w:ascii="宋体" w:hAnsi="宋体" w:eastAsia="宋体" w:cs="宋体"/>
          <w:bCs/>
          <w:color w:val="auto"/>
          <w:sz w:val="24"/>
          <w:szCs w:val="22"/>
          <w:highlight w:val="none"/>
          <w:lang w:eastAsia="en-US"/>
        </w:rPr>
        <w:t>一、质疑供应商基本信息</w:t>
      </w:r>
    </w:p>
    <w:p w14:paraId="2F10A17D">
      <w:pPr>
        <w:spacing w:after="0" w:line="400" w:lineRule="exact"/>
        <w:ind w:firstLine="0"/>
        <w:jc w:val="left"/>
        <w:rPr>
          <w:rFonts w:hint="eastAsia" w:ascii="宋体" w:hAnsi="宋体" w:eastAsia="宋体" w:cs="宋体"/>
          <w:color w:val="auto"/>
          <w:sz w:val="24"/>
          <w:szCs w:val="22"/>
          <w:highlight w:val="none"/>
          <w:u w:val="single"/>
          <w:lang w:eastAsia="zh-CN"/>
        </w:rPr>
      </w:pPr>
      <w:r>
        <w:rPr>
          <w:rFonts w:hint="eastAsia" w:ascii="宋体" w:hAnsi="宋体" w:eastAsia="宋体" w:cs="宋体"/>
          <w:color w:val="auto"/>
          <w:sz w:val="24"/>
          <w:szCs w:val="22"/>
          <w:highlight w:val="none"/>
          <w:lang w:eastAsia="en-US"/>
        </w:rPr>
        <w:t>质疑供应商：</w:t>
      </w:r>
    </w:p>
    <w:p w14:paraId="292BF127">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地址：邮编：</w:t>
      </w:r>
    </w:p>
    <w:p w14:paraId="7B28EFE8">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联系人：联系电话：</w:t>
      </w:r>
    </w:p>
    <w:p w14:paraId="3318B788">
      <w:pPr>
        <w:spacing w:after="0" w:line="400" w:lineRule="exact"/>
        <w:ind w:firstLine="0"/>
        <w:jc w:val="left"/>
        <w:rPr>
          <w:rFonts w:hint="eastAsia" w:ascii="宋体" w:hAnsi="宋体" w:eastAsia="宋体" w:cs="宋体"/>
          <w:color w:val="auto"/>
          <w:sz w:val="24"/>
          <w:szCs w:val="22"/>
          <w:highlight w:val="none"/>
          <w:u w:val="single"/>
          <w:lang w:eastAsia="zh-CN"/>
        </w:rPr>
      </w:pPr>
      <w:r>
        <w:rPr>
          <w:rFonts w:hint="eastAsia" w:ascii="宋体" w:hAnsi="宋体" w:eastAsia="宋体" w:cs="宋体"/>
          <w:color w:val="auto"/>
          <w:sz w:val="24"/>
          <w:szCs w:val="22"/>
          <w:highlight w:val="none"/>
          <w:lang w:eastAsia="en-US"/>
        </w:rPr>
        <w:t>授权代表：</w:t>
      </w:r>
    </w:p>
    <w:p w14:paraId="4440D1A3">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联系电话：</w:t>
      </w:r>
    </w:p>
    <w:p w14:paraId="7316BF67">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地址：邮编：</w:t>
      </w:r>
    </w:p>
    <w:p w14:paraId="24CDE86B">
      <w:pPr>
        <w:spacing w:after="0" w:line="400" w:lineRule="exact"/>
        <w:ind w:firstLine="0"/>
        <w:jc w:val="left"/>
        <w:rPr>
          <w:rFonts w:ascii="宋体" w:hAnsi="宋体" w:eastAsia="宋体" w:cs="宋体"/>
          <w:bCs/>
          <w:color w:val="auto"/>
          <w:sz w:val="24"/>
          <w:szCs w:val="22"/>
          <w:highlight w:val="none"/>
          <w:lang w:eastAsia="en-US"/>
        </w:rPr>
      </w:pPr>
      <w:r>
        <w:rPr>
          <w:rFonts w:hint="eastAsia" w:ascii="宋体" w:hAnsi="宋体" w:eastAsia="宋体" w:cs="宋体"/>
          <w:bCs/>
          <w:color w:val="auto"/>
          <w:sz w:val="24"/>
          <w:szCs w:val="22"/>
          <w:highlight w:val="none"/>
          <w:lang w:eastAsia="en-US"/>
        </w:rPr>
        <w:t>二、质疑项目基本情况</w:t>
      </w:r>
    </w:p>
    <w:p w14:paraId="34ACAB9B">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质疑项目的名称：</w:t>
      </w:r>
    </w:p>
    <w:p w14:paraId="50D299BC">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质疑项目的编号：包号：</w:t>
      </w:r>
    </w:p>
    <w:p w14:paraId="4BBBE911">
      <w:pPr>
        <w:spacing w:after="0" w:line="400" w:lineRule="exact"/>
        <w:ind w:firstLine="0"/>
        <w:jc w:val="left"/>
        <w:rPr>
          <w:rFonts w:hint="eastAsia" w:ascii="宋体" w:hAnsi="宋体" w:eastAsia="宋体" w:cs="宋体"/>
          <w:color w:val="auto"/>
          <w:sz w:val="24"/>
          <w:szCs w:val="22"/>
          <w:highlight w:val="none"/>
          <w:u w:val="single"/>
          <w:lang w:eastAsia="zh-CN"/>
        </w:rPr>
      </w:pPr>
      <w:r>
        <w:rPr>
          <w:rFonts w:hint="eastAsia" w:ascii="宋体" w:hAnsi="宋体" w:eastAsia="宋体" w:cs="宋体"/>
          <w:color w:val="auto"/>
          <w:sz w:val="24"/>
          <w:szCs w:val="22"/>
          <w:highlight w:val="none"/>
          <w:lang w:eastAsia="en-US"/>
        </w:rPr>
        <w:t>采购人名称：</w:t>
      </w:r>
    </w:p>
    <w:p w14:paraId="3E37AB84">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采购文件获取日期：</w:t>
      </w:r>
    </w:p>
    <w:p w14:paraId="2A2DB989">
      <w:pPr>
        <w:spacing w:after="0" w:line="400" w:lineRule="exact"/>
        <w:ind w:firstLine="0"/>
        <w:jc w:val="left"/>
        <w:rPr>
          <w:rFonts w:ascii="宋体" w:hAnsi="宋体" w:eastAsia="宋体" w:cs="宋体"/>
          <w:bCs/>
          <w:color w:val="auto"/>
          <w:sz w:val="24"/>
          <w:szCs w:val="22"/>
          <w:highlight w:val="none"/>
          <w:lang w:eastAsia="en-US"/>
        </w:rPr>
      </w:pPr>
      <w:r>
        <w:rPr>
          <w:rFonts w:hint="eastAsia" w:ascii="宋体" w:hAnsi="宋体" w:eastAsia="宋体" w:cs="宋体"/>
          <w:bCs/>
          <w:color w:val="auto"/>
          <w:sz w:val="24"/>
          <w:szCs w:val="22"/>
          <w:highlight w:val="none"/>
          <w:lang w:eastAsia="en-US"/>
        </w:rPr>
        <w:t>三、质疑事项具体内容</w:t>
      </w:r>
    </w:p>
    <w:p w14:paraId="03FDB9A3">
      <w:pPr>
        <w:spacing w:after="0" w:line="400" w:lineRule="exact"/>
        <w:ind w:firstLine="0"/>
        <w:jc w:val="left"/>
        <w:rPr>
          <w:rFonts w:hint="eastAsia" w:ascii="宋体" w:hAnsi="宋体" w:eastAsia="宋体" w:cs="宋体"/>
          <w:color w:val="auto"/>
          <w:sz w:val="24"/>
          <w:szCs w:val="22"/>
          <w:highlight w:val="none"/>
          <w:u w:val="single"/>
          <w:lang w:eastAsia="zh-CN"/>
        </w:rPr>
      </w:pPr>
      <w:r>
        <w:rPr>
          <w:rFonts w:hint="eastAsia" w:ascii="宋体" w:hAnsi="宋体" w:eastAsia="宋体" w:cs="宋体"/>
          <w:color w:val="auto"/>
          <w:sz w:val="24"/>
          <w:szCs w:val="22"/>
          <w:highlight w:val="none"/>
          <w:lang w:eastAsia="en-US"/>
        </w:rPr>
        <w:t>质疑事项1：</w:t>
      </w:r>
    </w:p>
    <w:p w14:paraId="2856110C">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事实依据：</w:t>
      </w:r>
    </w:p>
    <w:p w14:paraId="30515F4D">
      <w:pPr>
        <w:spacing w:after="0" w:line="400" w:lineRule="exact"/>
        <w:ind w:firstLine="0"/>
        <w:jc w:val="left"/>
        <w:rPr>
          <w:rFonts w:hint="eastAsia" w:ascii="宋体" w:hAnsi="宋体" w:eastAsia="宋体" w:cs="宋体"/>
          <w:color w:val="auto"/>
          <w:sz w:val="24"/>
          <w:szCs w:val="22"/>
          <w:highlight w:val="none"/>
          <w:u w:val="single"/>
          <w:lang w:eastAsia="zh-CN"/>
        </w:rPr>
      </w:pPr>
      <w:r>
        <w:rPr>
          <w:rFonts w:hint="eastAsia" w:ascii="宋体" w:hAnsi="宋体" w:eastAsia="宋体" w:cs="宋体"/>
          <w:color w:val="auto"/>
          <w:sz w:val="24"/>
          <w:szCs w:val="22"/>
          <w:highlight w:val="none"/>
          <w:lang w:eastAsia="en-US"/>
        </w:rPr>
        <w:t>法律依据：</w:t>
      </w:r>
    </w:p>
    <w:p w14:paraId="7E93509F">
      <w:pPr>
        <w:spacing w:after="0" w:line="400" w:lineRule="exact"/>
        <w:ind w:firstLine="0"/>
        <w:jc w:val="left"/>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质疑事项2……</w:t>
      </w:r>
    </w:p>
    <w:p w14:paraId="2FB42E91">
      <w:pPr>
        <w:spacing w:after="0" w:line="400" w:lineRule="exact"/>
        <w:ind w:firstLine="0"/>
        <w:jc w:val="left"/>
        <w:rPr>
          <w:rFonts w:ascii="宋体" w:hAnsi="宋体" w:eastAsia="宋体" w:cs="宋体"/>
          <w:bCs/>
          <w:color w:val="auto"/>
          <w:sz w:val="24"/>
          <w:szCs w:val="22"/>
          <w:highlight w:val="none"/>
          <w:lang w:eastAsia="en-US"/>
        </w:rPr>
      </w:pPr>
      <w:r>
        <w:rPr>
          <w:rFonts w:hint="eastAsia" w:ascii="宋体" w:hAnsi="宋体" w:eastAsia="宋体" w:cs="宋体"/>
          <w:bCs/>
          <w:color w:val="auto"/>
          <w:sz w:val="24"/>
          <w:szCs w:val="22"/>
          <w:highlight w:val="none"/>
          <w:lang w:eastAsia="en-US"/>
        </w:rPr>
        <w:t>四、与质疑事项相关的质疑请求</w:t>
      </w:r>
    </w:p>
    <w:p w14:paraId="4A7E0CB8">
      <w:pPr>
        <w:spacing w:after="0" w:line="400" w:lineRule="exact"/>
        <w:ind w:firstLine="0"/>
        <w:jc w:val="left"/>
        <w:rPr>
          <w:rFonts w:hint="eastAsia" w:ascii="宋体" w:hAnsi="宋体" w:eastAsia="宋体" w:cs="宋体"/>
          <w:color w:val="auto"/>
          <w:sz w:val="24"/>
          <w:szCs w:val="22"/>
          <w:highlight w:val="none"/>
          <w:u w:val="single"/>
          <w:lang w:eastAsia="zh-CN"/>
        </w:rPr>
      </w:pPr>
      <w:r>
        <w:rPr>
          <w:rFonts w:hint="eastAsia" w:ascii="宋体" w:hAnsi="宋体" w:eastAsia="宋体" w:cs="宋体"/>
          <w:color w:val="auto"/>
          <w:sz w:val="24"/>
          <w:szCs w:val="22"/>
          <w:highlight w:val="none"/>
          <w:lang w:eastAsia="en-US"/>
        </w:rPr>
        <w:t>请求：</w:t>
      </w:r>
    </w:p>
    <w:p w14:paraId="0C320D9E">
      <w:pPr>
        <w:spacing w:after="0" w:line="400" w:lineRule="exact"/>
        <w:ind w:firstLine="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en-US"/>
        </w:rPr>
        <w:t>签字(签章)：公章：日期：</w:t>
      </w:r>
    </w:p>
    <w:p w14:paraId="403E3353">
      <w:pPr>
        <w:spacing w:after="0" w:line="400" w:lineRule="exact"/>
        <w:ind w:firstLine="0"/>
        <w:jc w:val="left"/>
        <w:rPr>
          <w:rFonts w:ascii="宋体" w:hAnsi="宋体" w:eastAsia="宋体" w:cs="宋体"/>
          <w:b/>
          <w:color w:val="auto"/>
          <w:sz w:val="24"/>
          <w:szCs w:val="22"/>
          <w:highlight w:val="none"/>
          <w:lang w:eastAsia="en-US"/>
        </w:rPr>
      </w:pPr>
      <w:r>
        <w:rPr>
          <w:rFonts w:hint="eastAsia" w:ascii="宋体" w:hAnsi="宋体" w:eastAsia="宋体" w:cs="宋体"/>
          <w:b/>
          <w:color w:val="auto"/>
          <w:sz w:val="24"/>
          <w:szCs w:val="22"/>
          <w:highlight w:val="none"/>
          <w:lang w:eastAsia="en-US"/>
        </w:rPr>
        <w:t>质疑函制作说明：</w:t>
      </w:r>
    </w:p>
    <w:p w14:paraId="1BF0DCA8">
      <w:pPr>
        <w:widowControl/>
        <w:spacing w:after="0" w:line="400" w:lineRule="exact"/>
        <w:ind w:firstLine="480"/>
        <w:jc w:val="left"/>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1.供应商提出质疑时，应提交质疑函和必要的证明材料。</w:t>
      </w:r>
    </w:p>
    <w:p w14:paraId="68C6EBAD">
      <w:pPr>
        <w:widowControl/>
        <w:spacing w:after="0" w:line="400" w:lineRule="exact"/>
        <w:ind w:firstLine="480"/>
        <w:jc w:val="left"/>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901C60C">
      <w:pPr>
        <w:widowControl/>
        <w:spacing w:after="0" w:line="400" w:lineRule="exact"/>
        <w:ind w:firstLine="480"/>
        <w:jc w:val="left"/>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3.质疑供应商若对项目的某一分包进行质疑，质疑函中应列明具体分包号。</w:t>
      </w:r>
    </w:p>
    <w:p w14:paraId="11F55D87">
      <w:pPr>
        <w:widowControl/>
        <w:spacing w:after="0" w:line="400" w:lineRule="exact"/>
        <w:ind w:firstLine="480"/>
        <w:jc w:val="left"/>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4.质疑函的质疑事项应具体、明确，并有必要的事实依据和法律依据。</w:t>
      </w:r>
    </w:p>
    <w:p w14:paraId="00517B98">
      <w:pPr>
        <w:widowControl/>
        <w:spacing w:after="0" w:line="400" w:lineRule="exact"/>
        <w:ind w:firstLine="480"/>
        <w:jc w:val="left"/>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5.质疑函的质疑请求应与质疑事项相关。</w:t>
      </w:r>
    </w:p>
    <w:p w14:paraId="71116822">
      <w:pPr>
        <w:widowControl/>
        <w:spacing w:after="0" w:line="400" w:lineRule="exact"/>
        <w:ind w:firstLine="480"/>
        <w:jc w:val="left"/>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6.质疑供应商为自然人的，质疑函应由本人签字；质疑供应商为法人或者其他组织的，质疑函应由法定代表人、主要负责人，或者其授权代表签字或者盖章，并加盖公章。</w:t>
      </w:r>
    </w:p>
    <w:p w14:paraId="7A2CDAA5">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sectPr>
      <w:footerReference r:id="rId11" w:type="first"/>
      <w:footerReference r:id="rId10" w:type="default"/>
      <w:pgSz w:w="11907" w:h="16840"/>
      <w:pgMar w:top="1440" w:right="1080" w:bottom="1440" w:left="1080" w:header="850" w:footer="73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03" w:usb1="288F0000" w:usb2="00000006" w:usb3="00000000" w:csb0="00040001" w:csb1="00000000"/>
  </w:font>
  <w:font w:name="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Ђˎ̥">
    <w:altName w:val="DejaVu Math TeX Gyre"/>
    <w:panose1 w:val="020B0503020202020204"/>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54B92">
    <w:pPr>
      <w:pStyle w:val="216"/>
      <w:ind w:firstLine="360"/>
      <w:jc w:val="center"/>
      <w:rPr>
        <w:rFonts w:hint="eastAsia" w:eastAsia="宋体"/>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C42CF2B">
                          <w:pPr>
                            <w:pStyle w:val="19"/>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F6E+8bUAQAAqgMAAA4AAAAAAAAAAQAgAAAAHgEA&#10;AGRycy9lMm9Eb2MueG1sUEsFBgAAAAAGAAYAWQEAAGQFAAAAAA==&#10;">
              <v:fill on="f" focussize="0,0"/>
              <v:stroke on="f"/>
              <v:imagedata o:title=""/>
              <o:lock v:ext="edit" aspectratio="f"/>
              <v:textbox inset="0mm,0mm,0mm,0mm" style="mso-fit-shape-to-text:t;">
                <w:txbxContent>
                  <w:p w14:paraId="7C42CF2B">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B4166">
    <w:pPr>
      <w:pStyle w:val="216"/>
      <w:framePr w:wrap="around" w:vAnchor="text" w:hAnchor="margin" w:xAlign="center" w:y="1"/>
      <w:ind w:firstLine="360"/>
      <w:rPr>
        <w:rStyle w:val="244"/>
      </w:rPr>
    </w:pPr>
    <w:r>
      <w:fldChar w:fldCharType="begin"/>
    </w:r>
    <w:r>
      <w:rPr>
        <w:rStyle w:val="244"/>
      </w:rPr>
      <w:instrText xml:space="preserve">PAGE  </w:instrText>
    </w:r>
    <w:r>
      <w:fldChar w:fldCharType="end"/>
    </w:r>
  </w:p>
  <w:p w14:paraId="4B8103B7">
    <w:pPr>
      <w:pStyle w:val="2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F8FC9">
    <w:pPr>
      <w:pStyle w:val="19"/>
    </w:pPr>
    <w:r>
      <w:rPr>
        <w:sz w:val="24"/>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3F0E3C">
                          <w:pPr>
                            <w:pStyle w:val="1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HPSbBvUAQAAqgMAAA4AAAAAAAAAAQAgAAAAHgEA&#10;AGRycy9lMm9Eb2MueG1sUEsFBgAAAAAGAAYAWQEAAGQFAAAAAA==&#10;">
              <v:fill on="f" focussize="0,0"/>
              <v:stroke on="f"/>
              <v:imagedata o:title=""/>
              <o:lock v:ext="edit" aspectratio="f"/>
              <v:textbox inset="0mm,0mm,0mm,0mm" style="mso-fit-shape-to-text:t;">
                <w:txbxContent>
                  <w:p w14:paraId="423F0E3C">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10924">
    <w:pPr>
      <w:pStyle w:val="560"/>
      <w:ind w:firstLine="360"/>
      <w:jc w:val="both"/>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421765" cy="459740"/>
              <wp:effectExtent l="6350" t="6350" r="6350" b="6350"/>
              <wp:wrapNone/>
              <wp:docPr id="3" name="文本框 1"/>
              <wp:cNvGraphicFramePr/>
              <a:graphic xmlns:a="http://schemas.openxmlformats.org/drawingml/2006/main">
                <a:graphicData uri="http://schemas.microsoft.com/office/word/2010/wordprocessingShape">
                  <wps:wsp>
                    <wps:cNvSpPr txBox="1"/>
                    <wps:spPr bwMode="auto">
                      <a:xfrm>
                        <a:off x="0" y="0"/>
                        <a:ext cx="1422026" cy="460018"/>
                      </a:xfrm>
                      <a:prstGeom prst="rect">
                        <a:avLst/>
                      </a:prstGeom>
                      <a:noFill/>
                      <a:ln>
                        <a:noFill/>
                      </a:ln>
                    </wps:spPr>
                    <wps:txbx>
                      <w:txbxContent>
                        <w:p w14:paraId="26210429">
                          <w:pPr>
                            <w:pStyle w:val="560"/>
                            <w:tabs>
                              <w:tab w:val="clear" w:pos="4153"/>
                              <w:tab w:val="clear" w:pos="8306"/>
                            </w:tabs>
                          </w:pPr>
                          <w:r>
                            <w:fldChar w:fldCharType="begin"/>
                          </w:r>
                          <w:r>
                            <w:instrText xml:space="preserve"> PAGE  \* MERGEFORMAT </w:instrText>
                          </w:r>
                          <w:r>
                            <w:fldChar w:fldCharType="separate"/>
                          </w:r>
                          <w:r>
                            <w:t>71</w:t>
                          </w:r>
                          <w:r>
                            <w:fldChar w:fldCharType="end"/>
                          </w:r>
                        </w:p>
                        <w:p w14:paraId="08F94A19"/>
                      </w:txbxContent>
                    </wps:txbx>
                    <wps:bodyPr wrap="square" lIns="0" tIns="0" rIns="0" bIns="0" upright="1">
                      <a:noAutofit/>
                    </wps:bodyPr>
                  </wps:wsp>
                </a:graphicData>
              </a:graphic>
            </wp:anchor>
          </w:drawing>
        </mc:Choice>
        <mc:Fallback>
          <w:pict>
            <v:shape id="文本框 1" o:spid="_x0000_s1026" o:spt="202" type="#_x0000_t202" style="position:absolute;left:0pt;margin-top:0pt;height:36.2pt;width:111.95pt;mso-position-horizontal:right;mso-position-horizontal-relative:margin;z-index:251660288;mso-width-relative:page;mso-height-relative:page;" filled="f" stroked="f" coordsize="21600,21600" o:gfxdata="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r6hJMNUAAAAEAQAADwAAAAAAAAAB&#10;ACAAAAAiAAAAZHJzL2Rvd25yZXYueG1sUEsBAhQAFAAAAAgAh07iQB8fS/faAQAAqAMAAA4AAAAA&#10;AAAAAQAgAAAAJAEAAGRycy9lMm9Eb2MueG1sUEsFBgAAAAAGAAYAWQEAAHAFAAAAAA==&#10;">
              <v:fill on="f" focussize="0,0"/>
              <v:stroke on="f"/>
              <v:imagedata o:title=""/>
              <o:lock v:ext="edit" aspectratio="f"/>
              <v:textbox inset="0mm,0mm,0mm,0mm">
                <w:txbxContent>
                  <w:p w14:paraId="26210429">
                    <w:pPr>
                      <w:pStyle w:val="560"/>
                      <w:tabs>
                        <w:tab w:val="clear" w:pos="4153"/>
                        <w:tab w:val="clear" w:pos="8306"/>
                      </w:tabs>
                    </w:pPr>
                    <w:r>
                      <w:fldChar w:fldCharType="begin"/>
                    </w:r>
                    <w:r>
                      <w:instrText xml:space="preserve"> PAGE  \* MERGEFORMAT </w:instrText>
                    </w:r>
                    <w:r>
                      <w:fldChar w:fldCharType="separate"/>
                    </w:r>
                    <w:r>
                      <w:t>71</w:t>
                    </w:r>
                    <w:r>
                      <w:fldChar w:fldCharType="end"/>
                    </w:r>
                  </w:p>
                  <w:p w14:paraId="08F94A19"/>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BCA0A">
    <w:pPr>
      <w:pStyle w:val="216"/>
      <w:ind w:firstLine="360"/>
      <w:jc w:val="center"/>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998004">
                          <w:pPr>
                            <w:pStyle w:val="216"/>
                            <w:tabs>
                              <w:tab w:val="clear" w:pos="4153"/>
                              <w:tab w:val="clear" w:pos="8306"/>
                            </w:tabs>
                          </w:pPr>
                          <w:r>
                            <w:fldChar w:fldCharType="begin"/>
                          </w:r>
                          <w:r>
                            <w:instrText xml:space="preserve"> PAGE  \* MERGEFORMAT </w:instrText>
                          </w:r>
                          <w:r>
                            <w:fldChar w:fldCharType="separate"/>
                          </w:r>
                          <w:r>
                            <w:t>49</w:t>
                          </w:r>
                          <w:r>
                            <w:fldChar w:fldCharType="end"/>
                          </w:r>
                        </w:p>
                        <w:p w14:paraId="3772DC87"/>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S/g79IBAACn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JL+Dv0gEAAKcDAAAOAAAAAAAAAAEAIAAAAB4BAABk&#10;cnMvZTJvRG9jLnhtbFBLBQYAAAAABgAGAFkBAABiBQAAAAA=&#10;">
              <v:fill on="f" focussize="0,0"/>
              <v:stroke on="f"/>
              <v:imagedata o:title=""/>
              <o:lock v:ext="edit" aspectratio="f"/>
              <v:textbox inset="0mm,0mm,0mm,0mm" style="mso-fit-shape-to-text:t;">
                <w:txbxContent>
                  <w:p w14:paraId="51998004">
                    <w:pPr>
                      <w:pStyle w:val="216"/>
                      <w:tabs>
                        <w:tab w:val="clear" w:pos="4153"/>
                        <w:tab w:val="clear" w:pos="8306"/>
                      </w:tabs>
                    </w:pPr>
                    <w:r>
                      <w:fldChar w:fldCharType="begin"/>
                    </w:r>
                    <w:r>
                      <w:instrText xml:space="preserve"> PAGE  \* MERGEFORMAT </w:instrText>
                    </w:r>
                    <w:r>
                      <w:fldChar w:fldCharType="separate"/>
                    </w:r>
                    <w:r>
                      <w:t>49</w:t>
                    </w:r>
                    <w:r>
                      <w:fldChar w:fldCharType="end"/>
                    </w:r>
                  </w:p>
                  <w:p w14:paraId="3772DC87"/>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46E6A">
    <w:pPr>
      <w:pStyle w:val="216"/>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6D0C848">
                          <w:pPr>
                            <w:pStyle w:val="216"/>
                            <w:tabs>
                              <w:tab w:val="clear" w:pos="4153"/>
                              <w:tab w:val="clear" w:pos="8306"/>
                            </w:tabs>
                          </w:pPr>
                          <w:r>
                            <w:fldChar w:fldCharType="begin"/>
                          </w:r>
                          <w:r>
                            <w:instrText xml:space="preserve"> PAGE  \* MERGEFORMAT </w:instrText>
                          </w:r>
                          <w:r>
                            <w:fldChar w:fldCharType="separate"/>
                          </w:r>
                          <w:r>
                            <w:t>47</w:t>
                          </w:r>
                          <w:r>
                            <w:fldChar w:fldCharType="end"/>
                          </w:r>
                        </w:p>
                        <w:p w14:paraId="318FDD7D"/>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ZjNKdMBAACn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RYpnBgV9+fL/8/H359Y28&#10;TP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mZjNKdMBAACnAwAADgAAAAAAAAABACAAAAAeAQAA&#10;ZHJzL2Uyb0RvYy54bWxQSwUGAAAAAAYABgBZAQAAYwUAAAAA&#10;">
              <v:fill on="f" focussize="0,0"/>
              <v:stroke on="f"/>
              <v:imagedata o:title=""/>
              <o:lock v:ext="edit" aspectratio="f"/>
              <v:textbox inset="0mm,0mm,0mm,0mm" style="mso-fit-shape-to-text:t;">
                <w:txbxContent>
                  <w:p w14:paraId="16D0C848">
                    <w:pPr>
                      <w:pStyle w:val="216"/>
                      <w:tabs>
                        <w:tab w:val="clear" w:pos="4153"/>
                        <w:tab w:val="clear" w:pos="8306"/>
                      </w:tabs>
                    </w:pPr>
                    <w:r>
                      <w:fldChar w:fldCharType="begin"/>
                    </w:r>
                    <w:r>
                      <w:instrText xml:space="preserve"> PAGE  \* MERGEFORMAT </w:instrText>
                    </w:r>
                    <w:r>
                      <w:fldChar w:fldCharType="separate"/>
                    </w:r>
                    <w:r>
                      <w:t>47</w:t>
                    </w:r>
                    <w:r>
                      <w:fldChar w:fldCharType="end"/>
                    </w:r>
                  </w:p>
                  <w:p w14:paraId="318FDD7D"/>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E3733">
    <w:pP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7"/>
      <w:numFmt w:val="chineseCounting"/>
      <w:suff w:val="space"/>
      <w:lvlText w:val="第%1章"/>
      <w:lvlJc w:val="left"/>
      <w:rPr>
        <w:rFonts w:hint="eastAsia"/>
        <w:sz w:val="28"/>
        <w:szCs w:val="28"/>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73E47"/>
    <w:rsid w:val="00A3470B"/>
    <w:rsid w:val="035B4572"/>
    <w:rsid w:val="0494079E"/>
    <w:rsid w:val="04F217BD"/>
    <w:rsid w:val="05867DFC"/>
    <w:rsid w:val="06DF2215"/>
    <w:rsid w:val="07D72EEC"/>
    <w:rsid w:val="083E742B"/>
    <w:rsid w:val="08D51491"/>
    <w:rsid w:val="0A03621B"/>
    <w:rsid w:val="0A4F7EAF"/>
    <w:rsid w:val="0A7B4003"/>
    <w:rsid w:val="0B395472"/>
    <w:rsid w:val="0CBF558B"/>
    <w:rsid w:val="0E4532A6"/>
    <w:rsid w:val="0EBB39A4"/>
    <w:rsid w:val="0EDF7256"/>
    <w:rsid w:val="0F403A6D"/>
    <w:rsid w:val="0FBC198B"/>
    <w:rsid w:val="0FFD54BA"/>
    <w:rsid w:val="103C2486"/>
    <w:rsid w:val="10B65D95"/>
    <w:rsid w:val="11194576"/>
    <w:rsid w:val="116002DE"/>
    <w:rsid w:val="11627CCB"/>
    <w:rsid w:val="11D37E37"/>
    <w:rsid w:val="12046FD4"/>
    <w:rsid w:val="121B1AAC"/>
    <w:rsid w:val="133E6515"/>
    <w:rsid w:val="137D2C3C"/>
    <w:rsid w:val="14F50E56"/>
    <w:rsid w:val="15317AE9"/>
    <w:rsid w:val="153735D8"/>
    <w:rsid w:val="1582122C"/>
    <w:rsid w:val="1732022B"/>
    <w:rsid w:val="183323C1"/>
    <w:rsid w:val="186C142F"/>
    <w:rsid w:val="18A64941"/>
    <w:rsid w:val="18B43502"/>
    <w:rsid w:val="195E6301"/>
    <w:rsid w:val="19856C4C"/>
    <w:rsid w:val="1C8431EB"/>
    <w:rsid w:val="1D552DD9"/>
    <w:rsid w:val="1ED65DE0"/>
    <w:rsid w:val="1F2751D5"/>
    <w:rsid w:val="1F450C4A"/>
    <w:rsid w:val="1F710084"/>
    <w:rsid w:val="1F870F0F"/>
    <w:rsid w:val="202F2846"/>
    <w:rsid w:val="208D63E6"/>
    <w:rsid w:val="20FF79D2"/>
    <w:rsid w:val="21336F8E"/>
    <w:rsid w:val="21AE2AB8"/>
    <w:rsid w:val="225C2514"/>
    <w:rsid w:val="23C56DC7"/>
    <w:rsid w:val="23CE2355"/>
    <w:rsid w:val="249061F5"/>
    <w:rsid w:val="257354DB"/>
    <w:rsid w:val="277B168E"/>
    <w:rsid w:val="278422F1"/>
    <w:rsid w:val="29D84B76"/>
    <w:rsid w:val="2BAC1E16"/>
    <w:rsid w:val="2C112E9B"/>
    <w:rsid w:val="2EDD678B"/>
    <w:rsid w:val="2F6173BC"/>
    <w:rsid w:val="2FCC6E3A"/>
    <w:rsid w:val="30517430"/>
    <w:rsid w:val="30D51E0F"/>
    <w:rsid w:val="31244924"/>
    <w:rsid w:val="31D77EAB"/>
    <w:rsid w:val="3455765B"/>
    <w:rsid w:val="34571210"/>
    <w:rsid w:val="358D0F0B"/>
    <w:rsid w:val="369C4142"/>
    <w:rsid w:val="36D1527C"/>
    <w:rsid w:val="3700570C"/>
    <w:rsid w:val="37490E61"/>
    <w:rsid w:val="379B23DD"/>
    <w:rsid w:val="389D76B7"/>
    <w:rsid w:val="38C2711D"/>
    <w:rsid w:val="38EC419A"/>
    <w:rsid w:val="3CB36E07"/>
    <w:rsid w:val="3D7465A3"/>
    <w:rsid w:val="3D8449A1"/>
    <w:rsid w:val="3DBB4E9E"/>
    <w:rsid w:val="41744D2D"/>
    <w:rsid w:val="41F71F9B"/>
    <w:rsid w:val="43F32881"/>
    <w:rsid w:val="43FB34E3"/>
    <w:rsid w:val="44BD18FB"/>
    <w:rsid w:val="451C1963"/>
    <w:rsid w:val="458D2861"/>
    <w:rsid w:val="45BB5620"/>
    <w:rsid w:val="46787453"/>
    <w:rsid w:val="46C11F1F"/>
    <w:rsid w:val="46F56910"/>
    <w:rsid w:val="474D04FA"/>
    <w:rsid w:val="478D08F6"/>
    <w:rsid w:val="47BB1907"/>
    <w:rsid w:val="48587359"/>
    <w:rsid w:val="488241D3"/>
    <w:rsid w:val="48EA3B26"/>
    <w:rsid w:val="49DE224D"/>
    <w:rsid w:val="4B55797D"/>
    <w:rsid w:val="4C78758B"/>
    <w:rsid w:val="4CA54934"/>
    <w:rsid w:val="4CA810C2"/>
    <w:rsid w:val="4EAB1B4F"/>
    <w:rsid w:val="4F204746"/>
    <w:rsid w:val="4F895EB4"/>
    <w:rsid w:val="500F027E"/>
    <w:rsid w:val="50487AB0"/>
    <w:rsid w:val="51984A67"/>
    <w:rsid w:val="51C27D36"/>
    <w:rsid w:val="51C51DEF"/>
    <w:rsid w:val="51C92E73"/>
    <w:rsid w:val="532F2219"/>
    <w:rsid w:val="54212AF2"/>
    <w:rsid w:val="54E13983"/>
    <w:rsid w:val="54EB1352"/>
    <w:rsid w:val="551408A9"/>
    <w:rsid w:val="55287EB0"/>
    <w:rsid w:val="56F444EE"/>
    <w:rsid w:val="5809619A"/>
    <w:rsid w:val="59545718"/>
    <w:rsid w:val="59F842F5"/>
    <w:rsid w:val="5ABC17C7"/>
    <w:rsid w:val="5B482116"/>
    <w:rsid w:val="5C4668EC"/>
    <w:rsid w:val="5D1024E9"/>
    <w:rsid w:val="5E020883"/>
    <w:rsid w:val="5E5D6E1D"/>
    <w:rsid w:val="5E6C7060"/>
    <w:rsid w:val="5E79352B"/>
    <w:rsid w:val="5EE45AFE"/>
    <w:rsid w:val="5F1020E1"/>
    <w:rsid w:val="5F282CBE"/>
    <w:rsid w:val="60B8733B"/>
    <w:rsid w:val="60BE4BC6"/>
    <w:rsid w:val="61F335F4"/>
    <w:rsid w:val="62361E5F"/>
    <w:rsid w:val="63041F5D"/>
    <w:rsid w:val="63A60B87"/>
    <w:rsid w:val="649A23C0"/>
    <w:rsid w:val="6587477F"/>
    <w:rsid w:val="65963994"/>
    <w:rsid w:val="65A04679"/>
    <w:rsid w:val="65A11CE5"/>
    <w:rsid w:val="65E70B65"/>
    <w:rsid w:val="675863D3"/>
    <w:rsid w:val="67F51E74"/>
    <w:rsid w:val="69004F74"/>
    <w:rsid w:val="691E53FA"/>
    <w:rsid w:val="69813079"/>
    <w:rsid w:val="69E777D9"/>
    <w:rsid w:val="6B016D82"/>
    <w:rsid w:val="6C3A0673"/>
    <w:rsid w:val="6C6A5F43"/>
    <w:rsid w:val="6F4D6A39"/>
    <w:rsid w:val="6FE56C72"/>
    <w:rsid w:val="703B4AE4"/>
    <w:rsid w:val="70D70CB1"/>
    <w:rsid w:val="71C72AD3"/>
    <w:rsid w:val="71D92806"/>
    <w:rsid w:val="71F34D2C"/>
    <w:rsid w:val="72AC7F1B"/>
    <w:rsid w:val="73137F9A"/>
    <w:rsid w:val="731F06ED"/>
    <w:rsid w:val="734737A0"/>
    <w:rsid w:val="74C803BA"/>
    <w:rsid w:val="74CB32F7"/>
    <w:rsid w:val="75156B30"/>
    <w:rsid w:val="752B02FB"/>
    <w:rsid w:val="75DC4673"/>
    <w:rsid w:val="76913155"/>
    <w:rsid w:val="76DF266D"/>
    <w:rsid w:val="773329B9"/>
    <w:rsid w:val="7762504C"/>
    <w:rsid w:val="779B25FB"/>
    <w:rsid w:val="77C33D3D"/>
    <w:rsid w:val="77ED0DBA"/>
    <w:rsid w:val="78C433F1"/>
    <w:rsid w:val="79C67B14"/>
    <w:rsid w:val="7B564EC8"/>
    <w:rsid w:val="7C2E374F"/>
    <w:rsid w:val="7C4A3E15"/>
    <w:rsid w:val="7DAE0FEB"/>
    <w:rsid w:val="7DDE6F39"/>
    <w:rsid w:val="7EEA6053"/>
    <w:rsid w:val="7F10538E"/>
    <w:rsid w:val="7F17350D"/>
    <w:rsid w:val="7F563C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6"/>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line="360" w:lineRule="auto"/>
      <w:ind w:firstLine="799"/>
      <w:outlineLvl w:val="0"/>
    </w:pPr>
    <w:rPr>
      <w:rFonts w:ascii="Arial" w:hAnsi="Arial" w:eastAsia="宋体" w:cs="Arial"/>
      <w:b/>
      <w:sz w:val="32"/>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3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3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0"/>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qFormat/>
    <w:uiPriority w:val="0"/>
    <w:pPr>
      <w:tabs>
        <w:tab w:val="left" w:pos="1080"/>
      </w:tabs>
      <w:spacing w:line="120" w:lineRule="auto"/>
      <w:ind w:firstLine="640"/>
    </w:pPr>
    <w:rPr>
      <w:sz w:val="32"/>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qFormat/>
    <w:uiPriority w:val="0"/>
    <w:pPr>
      <w:widowControl w:val="0"/>
      <w:jc w:val="both"/>
    </w:pPr>
    <w:rPr>
      <w:rFonts w:hint="default" w:ascii="宋体" w:hAnsi="Courier New" w:eastAsia="宋体" w:cs="Times New Roman"/>
      <w:sz w:val="21"/>
      <w:szCs w:val="21"/>
      <w:lang w:val="en-US" w:eastAsia="zh-CN" w:bidi="ar-SA"/>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69"/>
    <w:semiHidden/>
    <w:unhideWhenUsed/>
    <w:qFormat/>
    <w:uiPriority w:val="99"/>
    <w:pPr>
      <w:spacing w:after="0" w:line="240" w:lineRule="auto"/>
    </w:pPr>
    <w:rPr>
      <w:sz w:val="20"/>
    </w:rPr>
  </w:style>
  <w:style w:type="paragraph" w:styleId="19">
    <w:name w:val="footer"/>
    <w:basedOn w:val="1"/>
    <w:link w:val="43"/>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2"/>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列表接续 21"/>
    <w:next w:val="1"/>
    <w:qFormat/>
    <w:uiPriority w:val="0"/>
    <w:pPr>
      <w:widowControl w:val="0"/>
      <w:spacing w:after="120" w:line="360" w:lineRule="auto"/>
      <w:ind w:left="840" w:firstLine="802"/>
      <w:jc w:val="both"/>
    </w:pPr>
    <w:rPr>
      <w:rFonts w:hint="default" w:ascii="Times New Roman" w:hAnsi="Times New Roman" w:eastAsia="宋体" w:cs="Times New Roman"/>
      <w:sz w:val="24"/>
      <w:szCs w:val="24"/>
      <w:lang w:val="en-US" w:eastAsia="zh-CN" w:bidi="ar-SA"/>
    </w:rPr>
  </w:style>
  <w:style w:type="character" w:customStyle="1" w:styleId="37">
    <w:name w:val="Heading 6 Char"/>
    <w:link w:val="7"/>
    <w:qFormat/>
    <w:uiPriority w:val="9"/>
    <w:rPr>
      <w:rFonts w:ascii="Arial" w:hAnsi="Arial" w:eastAsia="Arial" w:cs="Arial"/>
      <w:b/>
      <w:bCs/>
      <w:sz w:val="22"/>
      <w:szCs w:val="22"/>
    </w:rPr>
  </w:style>
  <w:style w:type="character" w:customStyle="1" w:styleId="38">
    <w:name w:val="Heading 7 Char"/>
    <w:link w:val="8"/>
    <w:qFormat/>
    <w:uiPriority w:val="9"/>
    <w:rPr>
      <w:rFonts w:ascii="Arial" w:hAnsi="Arial" w:eastAsia="Arial" w:cs="Arial"/>
      <w:b/>
      <w:bCs/>
      <w:i/>
      <w:iCs/>
      <w:sz w:val="22"/>
      <w:szCs w:val="22"/>
    </w:rPr>
  </w:style>
  <w:style w:type="character" w:customStyle="1" w:styleId="39">
    <w:name w:val="Heading 8 Char"/>
    <w:link w:val="9"/>
    <w:qFormat/>
    <w:uiPriority w:val="9"/>
    <w:rPr>
      <w:rFonts w:ascii="Arial" w:hAnsi="Arial" w:eastAsia="Arial" w:cs="Arial"/>
      <w:i/>
      <w:iCs/>
      <w:sz w:val="22"/>
      <w:szCs w:val="22"/>
    </w:rPr>
  </w:style>
  <w:style w:type="character" w:customStyle="1" w:styleId="40">
    <w:name w:val="Heading 9 Char"/>
    <w:link w:val="10"/>
    <w:qFormat/>
    <w:uiPriority w:val="9"/>
    <w:rPr>
      <w:rFonts w:ascii="Arial" w:hAnsi="Arial" w:eastAsia="Arial" w:cs="Arial"/>
      <w:i/>
      <w:iCs/>
      <w:sz w:val="21"/>
      <w:szCs w:val="21"/>
    </w:rPr>
  </w:style>
  <w:style w:type="paragraph" w:styleId="41">
    <w:name w:val="No Spacing"/>
    <w:qFormat/>
    <w:uiPriority w:val="1"/>
    <w:pPr>
      <w:spacing w:before="0" w:after="0" w:line="240" w:lineRule="auto"/>
    </w:pPr>
    <w:rPr>
      <w:rFonts w:hint="default" w:ascii="Times New Roman" w:hAnsi="Times New Roman" w:eastAsia="宋体" w:cs="Times New Roman"/>
    </w:rPr>
  </w:style>
  <w:style w:type="character" w:customStyle="1" w:styleId="42">
    <w:name w:val="Subtitle Char"/>
    <w:link w:val="23"/>
    <w:qFormat/>
    <w:uiPriority w:val="11"/>
    <w:rPr>
      <w:sz w:val="24"/>
      <w:szCs w:val="24"/>
    </w:rPr>
  </w:style>
  <w:style w:type="character" w:customStyle="1" w:styleId="43">
    <w:name w:val="Caption Char"/>
    <w:link w:val="19"/>
    <w:qFormat/>
    <w:uiPriority w:val="99"/>
  </w:style>
  <w:style w:type="table" w:customStyle="1" w:styleId="4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5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8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8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9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0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0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1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1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2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3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69">
    <w:name w:val="Endnote Text Char"/>
    <w:link w:val="18"/>
    <w:qFormat/>
    <w:uiPriority w:val="99"/>
    <w:rPr>
      <w:sz w:val="20"/>
    </w:rPr>
  </w:style>
  <w:style w:type="paragraph" w:customStyle="1" w:styleId="170">
    <w:name w:val="标题 111"/>
    <w:basedOn w:val="1"/>
    <w:next w:val="1"/>
    <w:link w:val="181"/>
    <w:qFormat/>
    <w:uiPriority w:val="0"/>
    <w:pPr>
      <w:keepNext/>
      <w:keepLines/>
      <w:spacing w:line="360" w:lineRule="auto"/>
      <w:ind w:firstLine="0"/>
      <w:jc w:val="center"/>
      <w:outlineLvl w:val="0"/>
    </w:pPr>
    <w:rPr>
      <w:b/>
      <w:bCs/>
      <w:color w:val="000000"/>
      <w:sz w:val="36"/>
      <w:szCs w:val="44"/>
    </w:rPr>
  </w:style>
  <w:style w:type="paragraph" w:customStyle="1" w:styleId="171">
    <w:name w:val="标题 211"/>
    <w:basedOn w:val="1"/>
    <w:next w:val="1"/>
    <w:link w:val="182"/>
    <w:qFormat/>
    <w:uiPriority w:val="9"/>
    <w:pPr>
      <w:keepNext/>
      <w:keepLines/>
      <w:spacing w:line="360" w:lineRule="auto"/>
      <w:ind w:firstLine="0"/>
      <w:outlineLvl w:val="1"/>
    </w:pPr>
    <w:rPr>
      <w:rFonts w:ascii="Cambria" w:hAnsi="Cambria"/>
      <w:b/>
      <w:bCs/>
      <w:sz w:val="28"/>
      <w:szCs w:val="32"/>
    </w:rPr>
  </w:style>
  <w:style w:type="paragraph" w:customStyle="1" w:styleId="172">
    <w:name w:val="标题 311"/>
    <w:basedOn w:val="1"/>
    <w:next w:val="1"/>
    <w:link w:val="183"/>
    <w:qFormat/>
    <w:uiPriority w:val="0"/>
    <w:pPr>
      <w:keepNext/>
      <w:keepLines/>
      <w:spacing w:line="360" w:lineRule="auto"/>
      <w:outlineLvl w:val="2"/>
    </w:pPr>
    <w:rPr>
      <w:bCs/>
      <w:szCs w:val="32"/>
    </w:rPr>
  </w:style>
  <w:style w:type="paragraph" w:customStyle="1" w:styleId="173">
    <w:name w:val="标题 41"/>
    <w:basedOn w:val="1"/>
    <w:next w:val="1"/>
    <w:link w:val="184"/>
    <w:qFormat/>
    <w:uiPriority w:val="0"/>
    <w:pPr>
      <w:keepNext/>
      <w:keepLines/>
      <w:spacing w:before="280" w:after="290" w:line="376" w:lineRule="auto"/>
      <w:outlineLvl w:val="3"/>
    </w:pPr>
    <w:rPr>
      <w:rFonts w:ascii="Cambria" w:hAnsi="Cambria"/>
      <w:b/>
      <w:bCs/>
      <w:sz w:val="28"/>
      <w:szCs w:val="28"/>
    </w:rPr>
  </w:style>
  <w:style w:type="paragraph" w:customStyle="1" w:styleId="174">
    <w:name w:val="标题 51"/>
    <w:basedOn w:val="1"/>
    <w:next w:val="1"/>
    <w:link w:val="185"/>
    <w:qFormat/>
    <w:uiPriority w:val="0"/>
    <w:pPr>
      <w:keepNext/>
      <w:keepLines/>
      <w:spacing w:before="280" w:after="290" w:line="376" w:lineRule="auto"/>
      <w:outlineLvl w:val="4"/>
    </w:pPr>
    <w:rPr>
      <w:b/>
      <w:bCs/>
      <w:sz w:val="28"/>
      <w:szCs w:val="28"/>
    </w:rPr>
  </w:style>
  <w:style w:type="paragraph" w:customStyle="1" w:styleId="175">
    <w:name w:val="标题 61"/>
    <w:basedOn w:val="1"/>
    <w:next w:val="1"/>
    <w:link w:val="186"/>
    <w:qFormat/>
    <w:uiPriority w:val="0"/>
    <w:pPr>
      <w:keepNext/>
      <w:keepLines/>
      <w:spacing w:before="240" w:after="64" w:line="320" w:lineRule="auto"/>
      <w:outlineLvl w:val="5"/>
    </w:pPr>
    <w:rPr>
      <w:rFonts w:ascii="Cambria" w:hAnsi="Cambria"/>
      <w:b/>
      <w:bCs/>
      <w:sz w:val="24"/>
    </w:rPr>
  </w:style>
  <w:style w:type="paragraph" w:customStyle="1" w:styleId="176">
    <w:name w:val="标题 71"/>
    <w:basedOn w:val="1"/>
    <w:next w:val="1"/>
    <w:link w:val="187"/>
    <w:qFormat/>
    <w:uiPriority w:val="0"/>
    <w:pPr>
      <w:keepNext/>
      <w:keepLines/>
      <w:spacing w:before="240" w:after="64" w:line="320" w:lineRule="auto"/>
      <w:outlineLvl w:val="6"/>
    </w:pPr>
    <w:rPr>
      <w:b/>
      <w:bCs/>
      <w:sz w:val="24"/>
    </w:rPr>
  </w:style>
  <w:style w:type="paragraph" w:customStyle="1" w:styleId="177">
    <w:name w:val="标题 81"/>
    <w:basedOn w:val="1"/>
    <w:next w:val="1"/>
    <w:link w:val="188"/>
    <w:qFormat/>
    <w:uiPriority w:val="0"/>
    <w:pPr>
      <w:keepNext/>
      <w:keepLines/>
      <w:spacing w:before="240" w:after="64" w:line="320" w:lineRule="auto"/>
      <w:outlineLvl w:val="7"/>
    </w:pPr>
    <w:rPr>
      <w:rFonts w:ascii="Cambria" w:hAnsi="Cambria"/>
      <w:sz w:val="24"/>
    </w:rPr>
  </w:style>
  <w:style w:type="paragraph" w:customStyle="1" w:styleId="178">
    <w:name w:val="标题 91"/>
    <w:basedOn w:val="1"/>
    <w:next w:val="1"/>
    <w:link w:val="189"/>
    <w:qFormat/>
    <w:uiPriority w:val="0"/>
    <w:pPr>
      <w:keepNext/>
      <w:keepLines/>
      <w:spacing w:before="240" w:after="64" w:line="320" w:lineRule="auto"/>
      <w:outlineLvl w:val="8"/>
    </w:pPr>
    <w:rPr>
      <w:rFonts w:ascii="Cambria" w:hAnsi="Cambria"/>
      <w:szCs w:val="21"/>
    </w:rPr>
  </w:style>
  <w:style w:type="character" w:customStyle="1" w:styleId="179">
    <w:name w:val="默认段落字体1"/>
    <w:link w:val="1"/>
    <w:semiHidden/>
    <w:qFormat/>
    <w:uiPriority w:val="0"/>
  </w:style>
  <w:style w:type="table" w:customStyle="1" w:styleId="180">
    <w:name w:val="普通表格11"/>
    <w:semiHidden/>
    <w:qFormat/>
    <w:uiPriority w:val="0"/>
  </w:style>
  <w:style w:type="character" w:customStyle="1" w:styleId="181">
    <w:name w:val="标题 1 Char"/>
    <w:link w:val="170"/>
    <w:qFormat/>
    <w:uiPriority w:val="0"/>
    <w:rPr>
      <w:rFonts w:ascii="Times New Roman" w:hAnsi="Times New Roman" w:eastAsia="宋体"/>
      <w:b/>
      <w:bCs/>
      <w:color w:val="000000"/>
      <w:sz w:val="36"/>
      <w:szCs w:val="44"/>
    </w:rPr>
  </w:style>
  <w:style w:type="character" w:customStyle="1" w:styleId="182">
    <w:name w:val="标题 2 Char"/>
    <w:basedOn w:val="179"/>
    <w:link w:val="171"/>
    <w:qFormat/>
    <w:uiPriority w:val="9"/>
    <w:rPr>
      <w:rFonts w:ascii="Cambria" w:hAnsi="Cambria" w:eastAsia="宋体"/>
      <w:b/>
      <w:bCs/>
      <w:sz w:val="28"/>
      <w:szCs w:val="32"/>
    </w:rPr>
  </w:style>
  <w:style w:type="character" w:customStyle="1" w:styleId="183">
    <w:name w:val="标题 3 Char1"/>
    <w:link w:val="172"/>
    <w:qFormat/>
    <w:uiPriority w:val="0"/>
    <w:rPr>
      <w:rFonts w:eastAsia="宋体"/>
      <w:bCs/>
      <w:sz w:val="24"/>
      <w:szCs w:val="32"/>
    </w:rPr>
  </w:style>
  <w:style w:type="character" w:customStyle="1" w:styleId="184">
    <w:name w:val="标题 4 Char"/>
    <w:basedOn w:val="179"/>
    <w:link w:val="173"/>
    <w:qFormat/>
    <w:uiPriority w:val="0"/>
    <w:rPr>
      <w:rFonts w:ascii="Cambria" w:hAnsi="Cambria"/>
      <w:b/>
      <w:bCs/>
      <w:sz w:val="28"/>
      <w:szCs w:val="28"/>
    </w:rPr>
  </w:style>
  <w:style w:type="character" w:customStyle="1" w:styleId="185">
    <w:name w:val="标题 5 Char"/>
    <w:basedOn w:val="179"/>
    <w:link w:val="174"/>
    <w:qFormat/>
    <w:uiPriority w:val="0"/>
    <w:rPr>
      <w:b/>
      <w:bCs/>
      <w:sz w:val="28"/>
      <w:szCs w:val="28"/>
    </w:rPr>
  </w:style>
  <w:style w:type="character" w:customStyle="1" w:styleId="186">
    <w:name w:val="标题 6 Char"/>
    <w:basedOn w:val="179"/>
    <w:link w:val="175"/>
    <w:qFormat/>
    <w:uiPriority w:val="0"/>
    <w:rPr>
      <w:rFonts w:ascii="Cambria" w:hAnsi="Cambria"/>
      <w:b/>
      <w:bCs/>
      <w:sz w:val="24"/>
      <w:szCs w:val="24"/>
    </w:rPr>
  </w:style>
  <w:style w:type="character" w:customStyle="1" w:styleId="187">
    <w:name w:val="标题 7 Char"/>
    <w:basedOn w:val="179"/>
    <w:link w:val="176"/>
    <w:qFormat/>
    <w:uiPriority w:val="0"/>
    <w:rPr>
      <w:b/>
      <w:bCs/>
      <w:sz w:val="24"/>
      <w:szCs w:val="24"/>
    </w:rPr>
  </w:style>
  <w:style w:type="character" w:customStyle="1" w:styleId="188">
    <w:name w:val="标题 8 Char"/>
    <w:basedOn w:val="179"/>
    <w:link w:val="177"/>
    <w:qFormat/>
    <w:uiPriority w:val="0"/>
    <w:rPr>
      <w:rFonts w:ascii="Cambria" w:hAnsi="Cambria"/>
      <w:sz w:val="24"/>
      <w:szCs w:val="24"/>
    </w:rPr>
  </w:style>
  <w:style w:type="character" w:customStyle="1" w:styleId="189">
    <w:name w:val="标题 9 Char"/>
    <w:basedOn w:val="179"/>
    <w:link w:val="178"/>
    <w:qFormat/>
    <w:uiPriority w:val="0"/>
    <w:rPr>
      <w:rFonts w:ascii="Cambria" w:hAnsi="Cambria"/>
      <w:sz w:val="21"/>
      <w:szCs w:val="21"/>
    </w:rPr>
  </w:style>
  <w:style w:type="paragraph" w:customStyle="1" w:styleId="190">
    <w:name w:val="目录 71"/>
    <w:basedOn w:val="1"/>
    <w:next w:val="1"/>
    <w:qFormat/>
    <w:uiPriority w:val="39"/>
    <w:pPr>
      <w:ind w:left="2520"/>
    </w:pPr>
    <w:rPr>
      <w:rFonts w:ascii="Calibri" w:hAnsi="Calibri"/>
      <w:szCs w:val="22"/>
    </w:rPr>
  </w:style>
  <w:style w:type="paragraph" w:customStyle="1" w:styleId="191">
    <w:name w:val="正文缩进11"/>
    <w:basedOn w:val="1"/>
    <w:link w:val="192"/>
    <w:qFormat/>
    <w:uiPriority w:val="0"/>
    <w:pPr>
      <w:spacing w:line="360" w:lineRule="atLeast"/>
      <w:ind w:firstLine="420"/>
    </w:pPr>
    <w:rPr>
      <w:sz w:val="21"/>
      <w:szCs w:val="20"/>
    </w:rPr>
  </w:style>
  <w:style w:type="character" w:customStyle="1" w:styleId="192">
    <w:name w:val="正文缩进 Char"/>
    <w:link w:val="191"/>
    <w:qFormat/>
    <w:uiPriority w:val="0"/>
    <w:rPr>
      <w:sz w:val="21"/>
    </w:rPr>
  </w:style>
  <w:style w:type="paragraph" w:customStyle="1" w:styleId="193">
    <w:name w:val="题注1"/>
    <w:basedOn w:val="1"/>
    <w:next w:val="1"/>
    <w:qFormat/>
    <w:uiPriority w:val="0"/>
    <w:rPr>
      <w:rFonts w:ascii="Cambria" w:hAnsi="Cambria" w:eastAsia="黑体"/>
      <w:sz w:val="20"/>
      <w:szCs w:val="20"/>
    </w:rPr>
  </w:style>
  <w:style w:type="paragraph" w:customStyle="1" w:styleId="194">
    <w:name w:val="文档结构图1"/>
    <w:basedOn w:val="1"/>
    <w:link w:val="195"/>
    <w:qFormat/>
    <w:uiPriority w:val="0"/>
    <w:pPr>
      <w:shd w:val="clear" w:color="auto" w:fill="000080"/>
    </w:pPr>
    <w:rPr>
      <w:sz w:val="21"/>
    </w:rPr>
  </w:style>
  <w:style w:type="character" w:customStyle="1" w:styleId="195">
    <w:name w:val="文档结构图 Char"/>
    <w:link w:val="194"/>
    <w:qFormat/>
    <w:uiPriority w:val="0"/>
    <w:rPr>
      <w:sz w:val="21"/>
      <w:szCs w:val="24"/>
      <w:shd w:val="clear" w:color="auto" w:fill="000080"/>
    </w:rPr>
  </w:style>
  <w:style w:type="paragraph" w:customStyle="1" w:styleId="196">
    <w:name w:val="批注文字11"/>
    <w:basedOn w:val="1"/>
    <w:link w:val="197"/>
    <w:qFormat/>
    <w:uiPriority w:val="0"/>
    <w:pPr>
      <w:jc w:val="left"/>
    </w:pPr>
    <w:rPr>
      <w:sz w:val="21"/>
    </w:rPr>
  </w:style>
  <w:style w:type="character" w:customStyle="1" w:styleId="197">
    <w:name w:val="批注文字 Char"/>
    <w:link w:val="196"/>
    <w:qFormat/>
    <w:uiPriority w:val="0"/>
    <w:rPr>
      <w:sz w:val="21"/>
      <w:szCs w:val="24"/>
    </w:rPr>
  </w:style>
  <w:style w:type="paragraph" w:customStyle="1" w:styleId="198">
    <w:name w:val="正文文本 31"/>
    <w:basedOn w:val="1"/>
    <w:link w:val="199"/>
    <w:qFormat/>
    <w:uiPriority w:val="99"/>
    <w:pPr>
      <w:spacing w:after="120"/>
    </w:pPr>
    <w:rPr>
      <w:sz w:val="16"/>
      <w:szCs w:val="16"/>
    </w:rPr>
  </w:style>
  <w:style w:type="character" w:customStyle="1" w:styleId="199">
    <w:name w:val="正文文本 3 Char"/>
    <w:link w:val="198"/>
    <w:qFormat/>
    <w:uiPriority w:val="99"/>
    <w:rPr>
      <w:sz w:val="16"/>
      <w:szCs w:val="16"/>
    </w:rPr>
  </w:style>
  <w:style w:type="paragraph" w:customStyle="1" w:styleId="200">
    <w:name w:val="正文文本11"/>
    <w:basedOn w:val="1"/>
    <w:link w:val="201"/>
    <w:qFormat/>
    <w:uiPriority w:val="0"/>
    <w:pPr>
      <w:jc w:val="center"/>
    </w:pPr>
    <w:rPr>
      <w:sz w:val="21"/>
    </w:rPr>
  </w:style>
  <w:style w:type="character" w:customStyle="1" w:styleId="201">
    <w:name w:val="正文文本 Char"/>
    <w:link w:val="200"/>
    <w:qFormat/>
    <w:uiPriority w:val="0"/>
    <w:rPr>
      <w:sz w:val="21"/>
      <w:szCs w:val="24"/>
    </w:rPr>
  </w:style>
  <w:style w:type="paragraph" w:customStyle="1" w:styleId="202">
    <w:name w:val="正文文本缩进11"/>
    <w:basedOn w:val="1"/>
    <w:link w:val="203"/>
    <w:qFormat/>
    <w:uiPriority w:val="0"/>
    <w:pPr>
      <w:spacing w:line="200" w:lineRule="exact"/>
      <w:ind w:firstLine="301"/>
    </w:pPr>
    <w:rPr>
      <w:rFonts w:ascii="宋体" w:hAnsi="Courier New"/>
      <w:spacing w:val="-4"/>
      <w:sz w:val="18"/>
      <w:szCs w:val="20"/>
    </w:rPr>
  </w:style>
  <w:style w:type="character" w:customStyle="1" w:styleId="203">
    <w:name w:val="正文文本缩进 Char"/>
    <w:link w:val="202"/>
    <w:qFormat/>
    <w:uiPriority w:val="0"/>
    <w:rPr>
      <w:rFonts w:ascii="宋体" w:hAnsi="Courier New"/>
      <w:spacing w:val="-4"/>
      <w:sz w:val="18"/>
    </w:rPr>
  </w:style>
  <w:style w:type="paragraph" w:customStyle="1" w:styleId="204">
    <w:name w:val="索引 41"/>
    <w:basedOn w:val="1"/>
    <w:next w:val="1"/>
    <w:qFormat/>
    <w:uiPriority w:val="0"/>
    <w:pPr>
      <w:ind w:left="600"/>
    </w:pPr>
  </w:style>
  <w:style w:type="paragraph" w:customStyle="1" w:styleId="205">
    <w:name w:val="目录 51"/>
    <w:basedOn w:val="1"/>
    <w:next w:val="1"/>
    <w:qFormat/>
    <w:uiPriority w:val="39"/>
    <w:pPr>
      <w:tabs>
        <w:tab w:val="right" w:leader="dot" w:pos="8296"/>
      </w:tabs>
      <w:ind w:left="1050"/>
    </w:pPr>
    <w:rPr>
      <w:rFonts w:ascii="Calibri" w:hAnsi="Calibri"/>
      <w:szCs w:val="22"/>
    </w:rPr>
  </w:style>
  <w:style w:type="paragraph" w:customStyle="1" w:styleId="206">
    <w:name w:val="目录 311"/>
    <w:basedOn w:val="1"/>
    <w:next w:val="1"/>
    <w:qFormat/>
    <w:uiPriority w:val="39"/>
    <w:pPr>
      <w:ind w:left="840"/>
    </w:pPr>
    <w:rPr>
      <w:rFonts w:ascii="Calibri" w:hAnsi="Calibri"/>
      <w:szCs w:val="22"/>
    </w:rPr>
  </w:style>
  <w:style w:type="paragraph" w:customStyle="1" w:styleId="207">
    <w:name w:val="纯文本11"/>
    <w:basedOn w:val="1"/>
    <w:link w:val="208"/>
    <w:qFormat/>
    <w:uiPriority w:val="0"/>
    <w:rPr>
      <w:rFonts w:ascii="宋体" w:hAnsi="Courier New"/>
      <w:sz w:val="21"/>
      <w:szCs w:val="20"/>
    </w:rPr>
  </w:style>
  <w:style w:type="character" w:customStyle="1" w:styleId="208">
    <w:name w:val="纯文本 Char"/>
    <w:link w:val="207"/>
    <w:qFormat/>
    <w:uiPriority w:val="0"/>
    <w:rPr>
      <w:rFonts w:ascii="宋体" w:hAnsi="Courier New" w:eastAsia="宋体"/>
      <w:sz w:val="21"/>
      <w:lang w:val="en-US" w:eastAsia="zh-CN" w:bidi="ar-SA"/>
    </w:rPr>
  </w:style>
  <w:style w:type="paragraph" w:customStyle="1" w:styleId="209">
    <w:name w:val="目录 81"/>
    <w:basedOn w:val="1"/>
    <w:next w:val="1"/>
    <w:qFormat/>
    <w:uiPriority w:val="39"/>
    <w:pPr>
      <w:ind w:left="2940"/>
    </w:pPr>
    <w:rPr>
      <w:rFonts w:ascii="Calibri" w:hAnsi="Calibri"/>
      <w:szCs w:val="22"/>
    </w:rPr>
  </w:style>
  <w:style w:type="paragraph" w:customStyle="1" w:styleId="210">
    <w:name w:val="日期1"/>
    <w:basedOn w:val="1"/>
    <w:next w:val="1"/>
    <w:link w:val="211"/>
    <w:qFormat/>
    <w:uiPriority w:val="0"/>
    <w:pPr>
      <w:ind w:left="100"/>
    </w:pPr>
  </w:style>
  <w:style w:type="character" w:customStyle="1" w:styleId="211">
    <w:name w:val="日期 Char"/>
    <w:link w:val="210"/>
    <w:qFormat/>
    <w:uiPriority w:val="0"/>
    <w:rPr>
      <w:sz w:val="24"/>
      <w:szCs w:val="24"/>
    </w:rPr>
  </w:style>
  <w:style w:type="paragraph" w:customStyle="1" w:styleId="212">
    <w:name w:val="正文文本缩进 21"/>
    <w:basedOn w:val="1"/>
    <w:link w:val="213"/>
    <w:qFormat/>
    <w:uiPriority w:val="0"/>
    <w:pPr>
      <w:ind w:firstLine="412"/>
    </w:pPr>
    <w:rPr>
      <w:sz w:val="21"/>
    </w:rPr>
  </w:style>
  <w:style w:type="character" w:customStyle="1" w:styleId="213">
    <w:name w:val="正文文本缩进 2 Char"/>
    <w:link w:val="212"/>
    <w:qFormat/>
    <w:uiPriority w:val="0"/>
    <w:rPr>
      <w:sz w:val="21"/>
      <w:szCs w:val="24"/>
    </w:rPr>
  </w:style>
  <w:style w:type="paragraph" w:customStyle="1" w:styleId="214">
    <w:name w:val="批注框文本1"/>
    <w:basedOn w:val="1"/>
    <w:link w:val="215"/>
    <w:qFormat/>
    <w:uiPriority w:val="0"/>
    <w:rPr>
      <w:sz w:val="18"/>
      <w:szCs w:val="18"/>
    </w:rPr>
  </w:style>
  <w:style w:type="character" w:customStyle="1" w:styleId="215">
    <w:name w:val="批注框文本 Char"/>
    <w:link w:val="214"/>
    <w:qFormat/>
    <w:uiPriority w:val="0"/>
    <w:rPr>
      <w:sz w:val="18"/>
      <w:szCs w:val="18"/>
    </w:rPr>
  </w:style>
  <w:style w:type="paragraph" w:customStyle="1" w:styleId="216">
    <w:name w:val="页脚11"/>
    <w:basedOn w:val="1"/>
    <w:link w:val="217"/>
    <w:qFormat/>
    <w:uiPriority w:val="0"/>
    <w:pPr>
      <w:tabs>
        <w:tab w:val="center" w:pos="4153"/>
        <w:tab w:val="right" w:pos="8306"/>
      </w:tabs>
      <w:jc w:val="left"/>
    </w:pPr>
    <w:rPr>
      <w:sz w:val="18"/>
      <w:szCs w:val="18"/>
    </w:rPr>
  </w:style>
  <w:style w:type="character" w:customStyle="1" w:styleId="217">
    <w:name w:val="页脚 Char"/>
    <w:link w:val="216"/>
    <w:qFormat/>
    <w:uiPriority w:val="0"/>
    <w:rPr>
      <w:sz w:val="18"/>
      <w:szCs w:val="18"/>
    </w:rPr>
  </w:style>
  <w:style w:type="paragraph" w:customStyle="1" w:styleId="218">
    <w:name w:val="页眉1"/>
    <w:basedOn w:val="1"/>
    <w:next w:val="219"/>
    <w:link w:val="220"/>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19">
    <w:name w:val="Quote1"/>
    <w:basedOn w:val="1"/>
    <w:next w:val="1"/>
    <w:qFormat/>
    <w:uiPriority w:val="99"/>
    <w:pPr>
      <w:widowControl/>
      <w:spacing w:before="200" w:after="160"/>
      <w:ind w:left="864" w:right="864"/>
      <w:jc w:val="center"/>
    </w:pPr>
    <w:rPr>
      <w:rFonts w:ascii="宋体"/>
      <w:i/>
      <w:color w:val="404040"/>
    </w:rPr>
  </w:style>
  <w:style w:type="character" w:customStyle="1" w:styleId="220">
    <w:name w:val="页眉 Char"/>
    <w:link w:val="218"/>
    <w:qFormat/>
    <w:uiPriority w:val="0"/>
    <w:rPr>
      <w:rFonts w:ascii="宋体" w:hAnsi="Courier New"/>
      <w:sz w:val="18"/>
    </w:rPr>
  </w:style>
  <w:style w:type="paragraph" w:customStyle="1" w:styleId="221">
    <w:name w:val="目录 11"/>
    <w:basedOn w:val="1"/>
    <w:next w:val="1"/>
    <w:qFormat/>
    <w:uiPriority w:val="39"/>
    <w:pPr>
      <w:tabs>
        <w:tab w:val="right" w:leader="dot" w:pos="9185"/>
      </w:tabs>
      <w:spacing w:line="360" w:lineRule="auto"/>
    </w:pPr>
    <w:rPr>
      <w:b/>
      <w:sz w:val="24"/>
      <w:szCs w:val="20"/>
    </w:rPr>
  </w:style>
  <w:style w:type="paragraph" w:customStyle="1" w:styleId="222">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23">
    <w:name w:val="副标题1"/>
    <w:basedOn w:val="1"/>
    <w:next w:val="1"/>
    <w:link w:val="224"/>
    <w:qFormat/>
    <w:uiPriority w:val="0"/>
    <w:pPr>
      <w:spacing w:before="240" w:after="60" w:line="312" w:lineRule="auto"/>
      <w:jc w:val="center"/>
      <w:outlineLvl w:val="1"/>
    </w:pPr>
    <w:rPr>
      <w:rFonts w:ascii="Cambria" w:hAnsi="Cambria"/>
      <w:b/>
      <w:sz w:val="32"/>
      <w:szCs w:val="20"/>
    </w:rPr>
  </w:style>
  <w:style w:type="character" w:customStyle="1" w:styleId="224">
    <w:name w:val="副标题 Char"/>
    <w:basedOn w:val="179"/>
    <w:link w:val="223"/>
    <w:qFormat/>
    <w:uiPriority w:val="0"/>
    <w:rPr>
      <w:rFonts w:ascii="Cambria" w:hAnsi="Cambria"/>
      <w:b/>
      <w:sz w:val="32"/>
    </w:rPr>
  </w:style>
  <w:style w:type="paragraph" w:customStyle="1" w:styleId="225">
    <w:name w:val="脚注文本1"/>
    <w:basedOn w:val="1"/>
    <w:link w:val="226"/>
    <w:qFormat/>
    <w:uiPriority w:val="0"/>
    <w:pPr>
      <w:spacing w:line="312" w:lineRule="atLeast"/>
      <w:jc w:val="left"/>
    </w:pPr>
    <w:rPr>
      <w:sz w:val="18"/>
      <w:szCs w:val="20"/>
    </w:rPr>
  </w:style>
  <w:style w:type="character" w:customStyle="1" w:styleId="226">
    <w:name w:val="脚注文本 Char"/>
    <w:link w:val="225"/>
    <w:qFormat/>
    <w:uiPriority w:val="0"/>
    <w:rPr>
      <w:sz w:val="18"/>
    </w:rPr>
  </w:style>
  <w:style w:type="paragraph" w:customStyle="1" w:styleId="227">
    <w:name w:val="目录 61"/>
    <w:basedOn w:val="1"/>
    <w:next w:val="1"/>
    <w:qFormat/>
    <w:uiPriority w:val="39"/>
    <w:pPr>
      <w:ind w:left="2100"/>
    </w:pPr>
    <w:rPr>
      <w:rFonts w:ascii="Calibri" w:hAnsi="Calibri"/>
      <w:szCs w:val="22"/>
    </w:rPr>
  </w:style>
  <w:style w:type="paragraph" w:customStyle="1" w:styleId="228">
    <w:name w:val="正文文本缩进 311"/>
    <w:basedOn w:val="1"/>
    <w:link w:val="229"/>
    <w:qFormat/>
    <w:uiPriority w:val="0"/>
    <w:pPr>
      <w:spacing w:line="400" w:lineRule="exact"/>
      <w:ind w:left="360"/>
    </w:pPr>
  </w:style>
  <w:style w:type="character" w:customStyle="1" w:styleId="229">
    <w:name w:val="正文文本缩进 3 Char"/>
    <w:link w:val="228"/>
    <w:qFormat/>
    <w:uiPriority w:val="0"/>
    <w:rPr>
      <w:rFonts w:eastAsia="宋体"/>
      <w:sz w:val="24"/>
      <w:szCs w:val="24"/>
      <w:lang w:val="en-US" w:eastAsia="zh-CN" w:bidi="ar-SA"/>
    </w:rPr>
  </w:style>
  <w:style w:type="paragraph" w:customStyle="1" w:styleId="230">
    <w:name w:val="目录 21"/>
    <w:basedOn w:val="1"/>
    <w:next w:val="1"/>
    <w:qFormat/>
    <w:uiPriority w:val="39"/>
    <w:pPr>
      <w:ind w:left="420"/>
    </w:pPr>
  </w:style>
  <w:style w:type="paragraph" w:customStyle="1" w:styleId="231">
    <w:name w:val="目录 91"/>
    <w:basedOn w:val="1"/>
    <w:next w:val="1"/>
    <w:qFormat/>
    <w:uiPriority w:val="39"/>
    <w:pPr>
      <w:ind w:left="3360"/>
    </w:pPr>
    <w:rPr>
      <w:rFonts w:ascii="Calibri" w:hAnsi="Calibri"/>
      <w:szCs w:val="22"/>
    </w:rPr>
  </w:style>
  <w:style w:type="paragraph" w:customStyle="1" w:styleId="232">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33">
    <w:name w:val="HTML 预设格式1"/>
    <w:basedOn w:val="1"/>
    <w:link w:val="23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4">
    <w:name w:val="HTML 预设格式 Char"/>
    <w:link w:val="233"/>
    <w:qFormat/>
    <w:uiPriority w:val="99"/>
    <w:rPr>
      <w:rFonts w:ascii="宋体" w:hAnsi="宋体" w:cs="宋体"/>
      <w:sz w:val="24"/>
      <w:szCs w:val="24"/>
    </w:rPr>
  </w:style>
  <w:style w:type="paragraph" w:customStyle="1" w:styleId="235">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36">
    <w:name w:val="标题1"/>
    <w:basedOn w:val="1"/>
    <w:next w:val="1"/>
    <w:link w:val="237"/>
    <w:qFormat/>
    <w:uiPriority w:val="0"/>
    <w:pPr>
      <w:spacing w:before="240" w:after="60"/>
      <w:jc w:val="center"/>
      <w:outlineLvl w:val="0"/>
    </w:pPr>
    <w:rPr>
      <w:rFonts w:ascii="Cambria" w:hAnsi="Cambria"/>
      <w:b/>
      <w:bCs/>
      <w:sz w:val="32"/>
      <w:szCs w:val="32"/>
    </w:rPr>
  </w:style>
  <w:style w:type="character" w:customStyle="1" w:styleId="237">
    <w:name w:val="标题 Char"/>
    <w:link w:val="236"/>
    <w:qFormat/>
    <w:uiPriority w:val="0"/>
    <w:rPr>
      <w:rFonts w:ascii="Cambria" w:hAnsi="Cambria" w:cs="Times New Roman"/>
      <w:b/>
      <w:bCs/>
      <w:sz w:val="32"/>
      <w:szCs w:val="32"/>
    </w:rPr>
  </w:style>
  <w:style w:type="paragraph" w:customStyle="1" w:styleId="238">
    <w:name w:val="批注主题1"/>
    <w:basedOn w:val="196"/>
    <w:next w:val="196"/>
    <w:link w:val="239"/>
    <w:qFormat/>
    <w:uiPriority w:val="0"/>
    <w:rPr>
      <w:b/>
      <w:bCs/>
      <w:sz w:val="21"/>
    </w:rPr>
  </w:style>
  <w:style w:type="character" w:customStyle="1" w:styleId="239">
    <w:name w:val="批注主题 Char"/>
    <w:link w:val="238"/>
    <w:qFormat/>
    <w:uiPriority w:val="0"/>
    <w:rPr>
      <w:b/>
      <w:bCs/>
      <w:sz w:val="21"/>
      <w:szCs w:val="24"/>
    </w:rPr>
  </w:style>
  <w:style w:type="paragraph" w:customStyle="1" w:styleId="240">
    <w:name w:val="正文首行缩进1"/>
    <w:basedOn w:val="200"/>
    <w:unhideWhenUsed/>
    <w:qFormat/>
    <w:uiPriority w:val="99"/>
    <w:pPr>
      <w:ind w:firstLine="420"/>
    </w:pPr>
  </w:style>
  <w:style w:type="paragraph" w:customStyle="1" w:styleId="241">
    <w:name w:val="正文首行缩进 21"/>
    <w:basedOn w:val="202"/>
    <w:qFormat/>
    <w:uiPriority w:val="0"/>
    <w:pPr>
      <w:spacing w:after="120" w:line="240" w:lineRule="auto"/>
      <w:ind w:left="420" w:firstLine="420"/>
    </w:pPr>
    <w:rPr>
      <w:rFonts w:cs="宋体"/>
      <w:sz w:val="21"/>
      <w:szCs w:val="21"/>
    </w:rPr>
  </w:style>
  <w:style w:type="table" w:customStyle="1" w:styleId="242">
    <w:name w:val="网格型11"/>
    <w:basedOn w:val="180"/>
    <w:qFormat/>
    <w:uiPriority w:val="0"/>
    <w:pPr>
      <w:widowControl w:val="0"/>
      <w:jc w:val="both"/>
    </w:pPr>
  </w:style>
  <w:style w:type="character" w:customStyle="1" w:styleId="243">
    <w:name w:val="要点1"/>
    <w:basedOn w:val="179"/>
    <w:link w:val="1"/>
    <w:qFormat/>
    <w:uiPriority w:val="0"/>
    <w:rPr>
      <w:rFonts w:cs="Times New Roman"/>
      <w:b/>
    </w:rPr>
  </w:style>
  <w:style w:type="character" w:customStyle="1" w:styleId="244">
    <w:name w:val="页码1"/>
    <w:basedOn w:val="179"/>
    <w:link w:val="1"/>
    <w:qFormat/>
    <w:uiPriority w:val="0"/>
  </w:style>
  <w:style w:type="character" w:customStyle="1" w:styleId="245">
    <w:name w:val="已访问的超链接1"/>
    <w:basedOn w:val="179"/>
    <w:link w:val="1"/>
    <w:qFormat/>
    <w:uiPriority w:val="99"/>
    <w:rPr>
      <w:color w:val="800080"/>
      <w:u w:val="none"/>
    </w:rPr>
  </w:style>
  <w:style w:type="character" w:customStyle="1" w:styleId="246">
    <w:name w:val="强调1"/>
    <w:link w:val="1"/>
    <w:qFormat/>
    <w:uiPriority w:val="0"/>
    <w:rPr>
      <w:rFonts w:ascii="Times New Roman" w:hAnsi="Times New Roman" w:cs="Times New Roman"/>
      <w:i/>
    </w:rPr>
  </w:style>
  <w:style w:type="character" w:customStyle="1" w:styleId="247">
    <w:name w:val="HTML 定义1"/>
    <w:basedOn w:val="179"/>
    <w:link w:val="1"/>
    <w:qFormat/>
    <w:uiPriority w:val="0"/>
  </w:style>
  <w:style w:type="character" w:customStyle="1" w:styleId="248">
    <w:name w:val="HTML 打字机1"/>
    <w:basedOn w:val="179"/>
    <w:link w:val="1"/>
    <w:qFormat/>
    <w:uiPriority w:val="0"/>
    <w:rPr>
      <w:rFonts w:ascii="monospace" w:hAnsi="monospace" w:eastAsia="monospace" w:cs="monospace"/>
      <w:sz w:val="20"/>
    </w:rPr>
  </w:style>
  <w:style w:type="character" w:customStyle="1" w:styleId="249">
    <w:name w:val="HTML 缩写1"/>
    <w:basedOn w:val="179"/>
    <w:link w:val="1"/>
    <w:qFormat/>
    <w:uiPriority w:val="0"/>
  </w:style>
  <w:style w:type="character" w:customStyle="1" w:styleId="250">
    <w:name w:val="HTML 变量1"/>
    <w:basedOn w:val="179"/>
    <w:link w:val="1"/>
    <w:qFormat/>
    <w:uiPriority w:val="0"/>
  </w:style>
  <w:style w:type="character" w:customStyle="1" w:styleId="251">
    <w:name w:val="超链接1"/>
    <w:basedOn w:val="179"/>
    <w:link w:val="1"/>
    <w:qFormat/>
    <w:uiPriority w:val="99"/>
    <w:rPr>
      <w:color w:val="0000FF"/>
      <w:u w:val="none"/>
    </w:rPr>
  </w:style>
  <w:style w:type="character" w:customStyle="1" w:styleId="252">
    <w:name w:val="HTML 代码1"/>
    <w:basedOn w:val="179"/>
    <w:link w:val="1"/>
    <w:qFormat/>
    <w:uiPriority w:val="0"/>
    <w:rPr>
      <w:rFonts w:ascii="monospace" w:hAnsi="monospace" w:eastAsia="monospace" w:cs="monospace"/>
      <w:sz w:val="20"/>
    </w:rPr>
  </w:style>
  <w:style w:type="character" w:customStyle="1" w:styleId="253">
    <w:name w:val="批注引用1"/>
    <w:link w:val="1"/>
    <w:qFormat/>
    <w:uiPriority w:val="0"/>
    <w:rPr>
      <w:sz w:val="21"/>
      <w:szCs w:val="21"/>
    </w:rPr>
  </w:style>
  <w:style w:type="character" w:customStyle="1" w:styleId="254">
    <w:name w:val="HTML 引文1"/>
    <w:basedOn w:val="179"/>
    <w:link w:val="1"/>
    <w:qFormat/>
    <w:uiPriority w:val="0"/>
  </w:style>
  <w:style w:type="character" w:customStyle="1" w:styleId="255">
    <w:name w:val="HTML 键盘1"/>
    <w:basedOn w:val="179"/>
    <w:link w:val="1"/>
    <w:qFormat/>
    <w:uiPriority w:val="0"/>
    <w:rPr>
      <w:rFonts w:ascii="monospace" w:hAnsi="monospace" w:eastAsia="monospace" w:cs="monospace"/>
      <w:sz w:val="20"/>
    </w:rPr>
  </w:style>
  <w:style w:type="character" w:customStyle="1" w:styleId="256">
    <w:name w:val="HTML 样本1"/>
    <w:basedOn w:val="179"/>
    <w:link w:val="1"/>
    <w:qFormat/>
    <w:uiPriority w:val="0"/>
    <w:rPr>
      <w:rFonts w:ascii="monospace" w:hAnsi="monospace" w:eastAsia="monospace" w:cs="monospace"/>
    </w:rPr>
  </w:style>
  <w:style w:type="paragraph" w:customStyle="1" w:styleId="257">
    <w:name w:val="正文1"/>
    <w:basedOn w:val="258"/>
    <w:next w:val="1"/>
    <w:qFormat/>
    <w:uiPriority w:val="0"/>
    <w:pPr>
      <w:spacing w:line="500" w:lineRule="exact"/>
      <w:ind w:firstLine="0"/>
    </w:pPr>
    <w:rPr>
      <w:rFonts w:hAnsi="新宋体"/>
    </w:rPr>
  </w:style>
  <w:style w:type="paragraph" w:customStyle="1" w:styleId="258">
    <w:name w:val="正文缩进1"/>
    <w:basedOn w:val="1"/>
    <w:next w:val="1"/>
    <w:qFormat/>
    <w:uiPriority w:val="0"/>
    <w:pPr>
      <w:spacing w:line="360" w:lineRule="atLeast"/>
      <w:ind w:firstLine="420"/>
    </w:pPr>
    <w:rPr>
      <w:szCs w:val="20"/>
    </w:rPr>
  </w:style>
  <w:style w:type="paragraph" w:customStyle="1" w:styleId="259">
    <w:name w:val="首行缩进"/>
    <w:basedOn w:val="1"/>
    <w:qFormat/>
    <w:uiPriority w:val="0"/>
    <w:pPr>
      <w:ind w:firstLine="480"/>
    </w:pPr>
    <w:rPr>
      <w:lang w:val="zh-CN"/>
    </w:rPr>
  </w:style>
  <w:style w:type="paragraph" w:customStyle="1" w:styleId="260">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61">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62">
    <w:name w:val="表格标题 (2) + MingLiU"/>
    <w:basedOn w:val="263"/>
    <w:link w:val="1"/>
    <w:qFormat/>
    <w:uiPriority w:val="99"/>
    <w:rPr>
      <w:rFonts w:ascii="MingLiU" w:eastAsia="MingLiU" w:cs="MingLiU"/>
      <w:spacing w:val="10"/>
      <w:sz w:val="26"/>
      <w:szCs w:val="26"/>
    </w:rPr>
  </w:style>
  <w:style w:type="character" w:customStyle="1" w:styleId="263">
    <w:name w:val="表格标题 (2)_"/>
    <w:basedOn w:val="179"/>
    <w:link w:val="264"/>
    <w:qFormat/>
    <w:uiPriority w:val="99"/>
    <w:rPr>
      <w:rFonts w:ascii="MS Mincho" w:eastAsia="MS Mincho" w:cs="MS Mincho"/>
      <w:sz w:val="27"/>
      <w:szCs w:val="27"/>
      <w:shd w:val="clear" w:color="auto" w:fill="FFFFFF"/>
    </w:rPr>
  </w:style>
  <w:style w:type="paragraph" w:customStyle="1" w:styleId="264">
    <w:name w:val="表格标题 (2)"/>
    <w:basedOn w:val="1"/>
    <w:link w:val="263"/>
    <w:qFormat/>
    <w:uiPriority w:val="99"/>
    <w:pPr>
      <w:shd w:val="clear" w:color="auto" w:fill="FFFFFF"/>
      <w:spacing w:line="240" w:lineRule="atLeast"/>
      <w:jc w:val="left"/>
    </w:pPr>
    <w:rPr>
      <w:rFonts w:ascii="MS Mincho" w:eastAsia="MS Mincho" w:cs="MS Mincho"/>
      <w:sz w:val="27"/>
      <w:szCs w:val="27"/>
    </w:rPr>
  </w:style>
  <w:style w:type="character" w:customStyle="1" w:styleId="265">
    <w:name w:val="Footer Char"/>
    <w:link w:val="1"/>
    <w:qFormat/>
    <w:uiPriority w:val="0"/>
    <w:rPr>
      <w:rFonts w:eastAsia="宋体"/>
      <w:sz w:val="18"/>
      <w:szCs w:val="18"/>
      <w:lang w:val="en-US" w:eastAsia="zh-CN" w:bidi="ar-SA"/>
    </w:rPr>
  </w:style>
  <w:style w:type="character" w:customStyle="1" w:styleId="266">
    <w:name w:val="Balloon Text Char"/>
    <w:link w:val="1"/>
    <w:qFormat/>
    <w:uiPriority w:val="0"/>
    <w:rPr>
      <w:sz w:val="18"/>
      <w:lang w:bidi="ar-SA"/>
    </w:rPr>
  </w:style>
  <w:style w:type="character" w:customStyle="1" w:styleId="267">
    <w:name w:val="书籍标题"/>
    <w:basedOn w:val="179"/>
    <w:link w:val="1"/>
    <w:qFormat/>
    <w:uiPriority w:val="0"/>
    <w:rPr>
      <w:b/>
      <w:smallCaps/>
      <w:spacing w:val="5"/>
    </w:rPr>
  </w:style>
  <w:style w:type="character" w:customStyle="1" w:styleId="268">
    <w:name w:val="Char Char6"/>
    <w:link w:val="1"/>
    <w:qFormat/>
    <w:uiPriority w:val="0"/>
    <w:rPr>
      <w:rFonts w:eastAsia="宋体"/>
      <w:b/>
      <w:bCs/>
      <w:sz w:val="32"/>
      <w:szCs w:val="44"/>
      <w:lang w:val="en-US" w:eastAsia="zh-CN" w:bidi="ar-SA"/>
    </w:rPr>
  </w:style>
  <w:style w:type="character" w:customStyle="1" w:styleId="269">
    <w:name w:val="脚注文本 Char1"/>
    <w:basedOn w:val="179"/>
    <w:link w:val="1"/>
    <w:qFormat/>
    <w:uiPriority w:val="0"/>
    <w:rPr>
      <w:sz w:val="18"/>
      <w:szCs w:val="18"/>
    </w:rPr>
  </w:style>
  <w:style w:type="character" w:customStyle="1" w:styleId="270">
    <w:name w:val="批注文字 Char2"/>
    <w:link w:val="1"/>
    <w:qFormat/>
    <w:uiPriority w:val="0"/>
    <w:rPr>
      <w:rFonts w:eastAsia="宋体"/>
      <w:sz w:val="21"/>
      <w:szCs w:val="24"/>
      <w:lang w:val="en-US" w:eastAsia="zh-CN" w:bidi="ar-SA"/>
    </w:rPr>
  </w:style>
  <w:style w:type="character" w:customStyle="1" w:styleId="271">
    <w:name w:val="明显引用 Char"/>
    <w:basedOn w:val="179"/>
    <w:link w:val="272"/>
    <w:qFormat/>
    <w:uiPriority w:val="0"/>
    <w:rPr>
      <w:b/>
      <w:i/>
      <w:color w:val="4F81BD"/>
      <w:sz w:val="24"/>
    </w:rPr>
  </w:style>
  <w:style w:type="paragraph" w:customStyle="1" w:styleId="272">
    <w:name w:val="明显引用"/>
    <w:basedOn w:val="1"/>
    <w:next w:val="1"/>
    <w:link w:val="271"/>
    <w:qFormat/>
    <w:uiPriority w:val="0"/>
    <w:pPr>
      <w:pBdr>
        <w:bottom w:val="single" w:color="4F81BD" w:sz="4" w:space="4"/>
      </w:pBdr>
      <w:spacing w:before="200" w:after="280"/>
      <w:ind w:left="936" w:right="936"/>
    </w:pPr>
    <w:rPr>
      <w:b/>
      <w:i/>
      <w:color w:val="4F81BD"/>
      <w:sz w:val="24"/>
      <w:szCs w:val="20"/>
    </w:rPr>
  </w:style>
  <w:style w:type="character" w:customStyle="1" w:styleId="273">
    <w:name w:val="hover2"/>
    <w:basedOn w:val="179"/>
    <w:link w:val="1"/>
    <w:qFormat/>
    <w:uiPriority w:val="0"/>
    <w:rPr>
      <w:color w:val="5FB878"/>
    </w:rPr>
  </w:style>
  <w:style w:type="character" w:customStyle="1" w:styleId="274">
    <w:name w:val="Heading 3 Char1"/>
    <w:link w:val="1"/>
    <w:qFormat/>
    <w:uiPriority w:val="0"/>
    <w:rPr>
      <w:rFonts w:eastAsia="宋体"/>
      <w:b/>
      <w:bCs/>
      <w:sz w:val="24"/>
      <w:szCs w:val="32"/>
      <w:lang w:val="en-US" w:eastAsia="zh-CN" w:bidi="ar-SA"/>
    </w:rPr>
  </w:style>
  <w:style w:type="character" w:customStyle="1" w:styleId="275">
    <w:name w:val="明显参考"/>
    <w:basedOn w:val="179"/>
    <w:link w:val="1"/>
    <w:qFormat/>
    <w:uiPriority w:val="0"/>
    <w:rPr>
      <w:b/>
      <w:smallCaps/>
      <w:color w:val="C0504D"/>
      <w:spacing w:val="5"/>
      <w:u w:val="single"/>
    </w:rPr>
  </w:style>
  <w:style w:type="character" w:customStyle="1" w:styleId="276">
    <w:name w:val="标题 Char2"/>
    <w:link w:val="1"/>
    <w:qFormat/>
    <w:uiPriority w:val="0"/>
    <w:rPr>
      <w:rFonts w:ascii="Cambria" w:hAnsi="Cambria" w:eastAsia="宋体" w:cs="Times New Roman"/>
      <w:b/>
      <w:bCs/>
      <w:sz w:val="32"/>
      <w:szCs w:val="32"/>
    </w:rPr>
  </w:style>
  <w:style w:type="character" w:customStyle="1" w:styleId="277">
    <w:name w:val="Char Char19"/>
    <w:link w:val="1"/>
    <w:qFormat/>
    <w:uiPriority w:val="0"/>
    <w:rPr>
      <w:rFonts w:ascii="Arial" w:hAnsi="Arial" w:eastAsia="宋体" w:cs="Times New Roman"/>
      <w:b/>
      <w:bCs/>
      <w:szCs w:val="28"/>
    </w:rPr>
  </w:style>
  <w:style w:type="character" w:customStyle="1" w:styleId="278">
    <w:name w:val="页眉或页脚"/>
    <w:basedOn w:val="279"/>
    <w:link w:val="1"/>
    <w:qFormat/>
    <w:uiPriority w:val="99"/>
  </w:style>
  <w:style w:type="character" w:customStyle="1" w:styleId="279">
    <w:name w:val="页眉或页脚_"/>
    <w:basedOn w:val="179"/>
    <w:link w:val="280"/>
    <w:qFormat/>
    <w:uiPriority w:val="99"/>
    <w:rPr>
      <w:rFonts w:ascii="MingLiU" w:eastAsia="MingLiU" w:cs="MingLiU"/>
      <w:spacing w:val="10"/>
      <w:sz w:val="26"/>
      <w:szCs w:val="26"/>
      <w:shd w:val="clear" w:color="auto" w:fill="FFFFFF"/>
    </w:rPr>
  </w:style>
  <w:style w:type="paragraph" w:customStyle="1" w:styleId="280">
    <w:name w:val="页眉或页脚1"/>
    <w:basedOn w:val="1"/>
    <w:link w:val="279"/>
    <w:qFormat/>
    <w:uiPriority w:val="99"/>
    <w:pPr>
      <w:shd w:val="clear" w:color="auto" w:fill="FFFFFF"/>
      <w:spacing w:line="240" w:lineRule="atLeast"/>
      <w:jc w:val="left"/>
    </w:pPr>
    <w:rPr>
      <w:rFonts w:ascii="MingLiU" w:eastAsia="MingLiU" w:cs="MingLiU"/>
      <w:spacing w:val="10"/>
      <w:sz w:val="26"/>
      <w:szCs w:val="26"/>
    </w:rPr>
  </w:style>
  <w:style w:type="character" w:customStyle="1" w:styleId="281">
    <w:name w:val="Font Style60"/>
    <w:basedOn w:val="179"/>
    <w:link w:val="1"/>
    <w:qFormat/>
    <w:uiPriority w:val="0"/>
    <w:rPr>
      <w:rFonts w:ascii="宋体" w:hAnsi="宋体" w:cs="宋体"/>
      <w:b/>
      <w:bCs/>
      <w:sz w:val="26"/>
      <w:szCs w:val="26"/>
    </w:rPr>
  </w:style>
  <w:style w:type="character" w:customStyle="1" w:styleId="282">
    <w:name w:val="textcontents"/>
    <w:basedOn w:val="179"/>
    <w:link w:val="1"/>
    <w:qFormat/>
    <w:uiPriority w:val="0"/>
    <w:rPr>
      <w:rFonts w:cs="Times New Roman"/>
    </w:rPr>
  </w:style>
  <w:style w:type="character" w:customStyle="1" w:styleId="283">
    <w:name w:val="Heading 1 Char"/>
    <w:link w:val="1"/>
    <w:qFormat/>
    <w:uiPriority w:val="0"/>
    <w:rPr>
      <w:rFonts w:eastAsia="宋体"/>
      <w:b/>
      <w:bCs/>
      <w:sz w:val="32"/>
      <w:szCs w:val="44"/>
      <w:lang w:val="en-US" w:eastAsia="zh-CN" w:bidi="ar-SA"/>
    </w:rPr>
  </w:style>
  <w:style w:type="character" w:customStyle="1" w:styleId="284">
    <w:name w:val="标题 3 Char"/>
    <w:link w:val="1"/>
    <w:qFormat/>
    <w:uiPriority w:val="0"/>
    <w:rPr>
      <w:b/>
      <w:bCs/>
      <w:sz w:val="32"/>
      <w:szCs w:val="32"/>
    </w:rPr>
  </w:style>
  <w:style w:type="character" w:customStyle="1" w:styleId="285">
    <w:name w:val="Heading 5 Char"/>
    <w:link w:val="1"/>
    <w:qFormat/>
    <w:uiPriority w:val="0"/>
    <w:rPr>
      <w:rFonts w:eastAsia="宋体"/>
      <w:b/>
      <w:bCs/>
      <w:sz w:val="28"/>
      <w:szCs w:val="28"/>
      <w:lang w:val="en-US" w:eastAsia="zh-CN" w:bidi="ar-SA"/>
    </w:rPr>
  </w:style>
  <w:style w:type="character" w:customStyle="1" w:styleId="286">
    <w:name w:val="纯文本 Char2"/>
    <w:link w:val="1"/>
    <w:semiHidden/>
    <w:qFormat/>
    <w:uiPriority w:val="0"/>
    <w:rPr>
      <w:rFonts w:ascii="宋体" w:hAnsi="Courier New" w:eastAsia="宋体" w:cs="Courier New"/>
      <w:szCs w:val="21"/>
    </w:rPr>
  </w:style>
  <w:style w:type="character" w:customStyle="1" w:styleId="287">
    <w:name w:val="Footnote Text Char"/>
    <w:link w:val="1"/>
    <w:qFormat/>
    <w:uiPriority w:val="0"/>
    <w:rPr>
      <w:rFonts w:eastAsia="宋体"/>
      <w:sz w:val="18"/>
      <w:lang w:val="en-US" w:eastAsia="zh-CN" w:bidi="ar-SA"/>
    </w:rPr>
  </w:style>
  <w:style w:type="character" w:customStyle="1" w:styleId="288">
    <w:name w:val="Heading 4 Char"/>
    <w:link w:val="1"/>
    <w:qFormat/>
    <w:uiPriority w:val="0"/>
    <w:rPr>
      <w:rFonts w:ascii="Arial" w:hAnsi="Arial" w:eastAsia="宋体"/>
      <w:b/>
      <w:bCs/>
      <w:sz w:val="21"/>
      <w:szCs w:val="28"/>
      <w:lang w:val="en-US" w:eastAsia="zh-CN" w:bidi="ar-SA"/>
    </w:rPr>
  </w:style>
  <w:style w:type="character" w:customStyle="1" w:styleId="289">
    <w:name w:val="日期 Char1"/>
    <w:link w:val="1"/>
    <w:qFormat/>
    <w:uiPriority w:val="0"/>
    <w:rPr>
      <w:rFonts w:ascii="Times New Roman" w:hAnsi="Times New Roman" w:eastAsia="宋体" w:cs="Times New Roman"/>
      <w:szCs w:val="24"/>
    </w:rPr>
  </w:style>
  <w:style w:type="character" w:customStyle="1" w:styleId="290">
    <w:name w:val="二级目录 Char"/>
    <w:link w:val="291"/>
    <w:qFormat/>
    <w:uiPriority w:val="0"/>
    <w:rPr>
      <w:rFonts w:eastAsia="Times New Roman"/>
      <w:b/>
      <w:sz w:val="30"/>
      <w:szCs w:val="28"/>
      <w:lang w:val="en-US" w:eastAsia="zh-CN" w:bidi="ar-SA"/>
    </w:rPr>
  </w:style>
  <w:style w:type="paragraph" w:customStyle="1" w:styleId="291">
    <w:name w:val="二级目录"/>
    <w:next w:val="1"/>
    <w:link w:val="290"/>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292">
    <w:name w:val="bigfont"/>
    <w:basedOn w:val="179"/>
    <w:link w:val="1"/>
    <w:qFormat/>
    <w:uiPriority w:val="99"/>
    <w:rPr>
      <w:rFonts w:cs="Times New Roman"/>
    </w:rPr>
  </w:style>
  <w:style w:type="character" w:customStyle="1" w:styleId="293">
    <w:name w:val="批注主题 Char1"/>
    <w:link w:val="1"/>
    <w:qFormat/>
    <w:uiPriority w:val="0"/>
    <w:rPr>
      <w:rFonts w:ascii="Times New Roman" w:hAnsi="Times New Roman" w:eastAsia="宋体" w:cs="Times New Roman"/>
      <w:b/>
      <w:bCs/>
      <w:szCs w:val="24"/>
    </w:rPr>
  </w:style>
  <w:style w:type="character" w:customStyle="1" w:styleId="294">
    <w:name w:val="Plain Text Char"/>
    <w:link w:val="1"/>
    <w:qFormat/>
    <w:uiPriority w:val="0"/>
    <w:rPr>
      <w:rFonts w:ascii="宋体" w:hAnsi="Courier New" w:eastAsia="宋体"/>
      <w:sz w:val="24"/>
      <w:lang w:bidi="ar-SA"/>
    </w:rPr>
  </w:style>
  <w:style w:type="character" w:customStyle="1" w:styleId="295">
    <w:name w:val="Header Char"/>
    <w:link w:val="1"/>
    <w:qFormat/>
    <w:uiPriority w:val="0"/>
    <w:rPr>
      <w:rFonts w:eastAsia="宋体"/>
      <w:sz w:val="18"/>
      <w:szCs w:val="18"/>
      <w:lang w:val="en-US" w:eastAsia="zh-CN" w:bidi="ar-SA"/>
    </w:rPr>
  </w:style>
  <w:style w:type="character" w:customStyle="1" w:styleId="296">
    <w:name w:val="正文文本 + MS Mincho8"/>
    <w:basedOn w:val="297"/>
    <w:link w:val="1"/>
    <w:qFormat/>
    <w:uiPriority w:val="99"/>
    <w:rPr>
      <w:rFonts w:ascii="MS Mincho" w:eastAsia="MS Mincho" w:cs="MS Mincho"/>
      <w:spacing w:val="0"/>
      <w:sz w:val="27"/>
      <w:szCs w:val="27"/>
      <w:lang w:val="en-US" w:eastAsia="en-US"/>
    </w:rPr>
  </w:style>
  <w:style w:type="character" w:customStyle="1" w:styleId="297">
    <w:name w:val="正文文本 Char1"/>
    <w:basedOn w:val="179"/>
    <w:link w:val="1"/>
    <w:qFormat/>
    <w:uiPriority w:val="0"/>
    <w:rPr>
      <w:rFonts w:ascii="MingLiU" w:eastAsia="MingLiU" w:cs="MingLiU"/>
      <w:spacing w:val="10"/>
      <w:sz w:val="22"/>
      <w:shd w:val="clear" w:color="auto" w:fill="FFFFFF"/>
    </w:rPr>
  </w:style>
  <w:style w:type="character" w:customStyle="1" w:styleId="298">
    <w:name w:val="Comment Subject Char"/>
    <w:link w:val="1"/>
    <w:qFormat/>
    <w:uiPriority w:val="0"/>
    <w:rPr>
      <w:b/>
      <w:sz w:val="24"/>
      <w:lang w:bidi="ar-SA"/>
    </w:rPr>
  </w:style>
  <w:style w:type="character" w:customStyle="1" w:styleId="299">
    <w:name w:val="引用 Char1"/>
    <w:basedOn w:val="179"/>
    <w:link w:val="1"/>
    <w:qFormat/>
    <w:uiPriority w:val="29"/>
    <w:rPr>
      <w:i/>
      <w:iCs/>
      <w:color w:val="000000"/>
      <w:sz w:val="21"/>
      <w:szCs w:val="24"/>
    </w:rPr>
  </w:style>
  <w:style w:type="character" w:customStyle="1" w:styleId="300">
    <w:name w:val="Char Char91"/>
    <w:link w:val="1"/>
    <w:qFormat/>
    <w:uiPriority w:val="0"/>
    <w:rPr>
      <w:rFonts w:eastAsia="宋体"/>
      <w:b/>
      <w:bCs/>
      <w:sz w:val="32"/>
      <w:szCs w:val="44"/>
      <w:lang w:val="en-US" w:eastAsia="zh-CN" w:bidi="ar-SA"/>
    </w:rPr>
  </w:style>
  <w:style w:type="character" w:customStyle="1" w:styleId="301">
    <w:name w:val="正文文本 + MS Mincho"/>
    <w:basedOn w:val="297"/>
    <w:link w:val="1"/>
    <w:qFormat/>
    <w:uiPriority w:val="99"/>
  </w:style>
  <w:style w:type="character" w:customStyle="1" w:styleId="302">
    <w:name w:val="sub_title2"/>
    <w:basedOn w:val="179"/>
    <w:link w:val="1"/>
    <w:qFormat/>
    <w:uiPriority w:val="0"/>
  </w:style>
  <w:style w:type="character" w:customStyle="1" w:styleId="303">
    <w:name w:val="批注文字 Char Char"/>
    <w:link w:val="1"/>
    <w:qFormat/>
    <w:uiPriority w:val="0"/>
    <w:rPr>
      <w:rFonts w:eastAsia="宋体"/>
      <w:sz w:val="21"/>
      <w:szCs w:val="24"/>
      <w:lang w:bidi="ar-SA"/>
    </w:rPr>
  </w:style>
  <w:style w:type="character" w:customStyle="1" w:styleId="304">
    <w:name w:val="标题 Char1"/>
    <w:link w:val="1"/>
    <w:qFormat/>
    <w:uiPriority w:val="10"/>
    <w:rPr>
      <w:rFonts w:ascii="Cambria" w:hAnsi="Cambria" w:eastAsia="宋体" w:cs="Times New Roman"/>
      <w:b/>
      <w:bCs/>
      <w:sz w:val="32"/>
      <w:szCs w:val="32"/>
    </w:rPr>
  </w:style>
  <w:style w:type="character" w:customStyle="1" w:styleId="305">
    <w:name w:val="Char Char22"/>
    <w:link w:val="1"/>
    <w:qFormat/>
    <w:uiPriority w:val="0"/>
    <w:rPr>
      <w:rFonts w:ascii="Times New Roman" w:hAnsi="Times New Roman" w:eastAsia="宋体" w:cs="Times New Roman"/>
      <w:b/>
      <w:bCs/>
      <w:sz w:val="32"/>
      <w:szCs w:val="44"/>
    </w:rPr>
  </w:style>
  <w:style w:type="character" w:customStyle="1" w:styleId="306">
    <w:name w:val="明显引用 Char Char"/>
    <w:basedOn w:val="179"/>
    <w:link w:val="1"/>
    <w:qFormat/>
    <w:uiPriority w:val="0"/>
    <w:rPr>
      <w:b/>
      <w:i/>
      <w:color w:val="4F81BD"/>
      <w:sz w:val="24"/>
    </w:rPr>
  </w:style>
  <w:style w:type="character" w:customStyle="1" w:styleId="307">
    <w:name w:val="Char Char24"/>
    <w:link w:val="1"/>
    <w:qFormat/>
    <w:uiPriority w:val="0"/>
    <w:rPr>
      <w:rFonts w:eastAsia="宋体"/>
      <w:b/>
      <w:bCs/>
      <w:sz w:val="32"/>
      <w:szCs w:val="44"/>
      <w:lang w:val="en-US" w:eastAsia="zh-CN" w:bidi="ar-SA"/>
    </w:rPr>
  </w:style>
  <w:style w:type="character" w:customStyle="1" w:styleId="308">
    <w:name w:val="Quote Char"/>
    <w:link w:val="309"/>
    <w:qFormat/>
    <w:uiPriority w:val="0"/>
    <w:rPr>
      <w:i/>
      <w:color w:val="000000"/>
      <w:sz w:val="22"/>
    </w:rPr>
  </w:style>
  <w:style w:type="paragraph" w:styleId="309">
    <w:name w:val="Quote"/>
    <w:basedOn w:val="1"/>
    <w:next w:val="1"/>
    <w:link w:val="308"/>
    <w:qFormat/>
    <w:uiPriority w:val="0"/>
    <w:rPr>
      <w:i/>
      <w:color w:val="000000"/>
      <w:sz w:val="22"/>
      <w:szCs w:val="20"/>
    </w:rPr>
  </w:style>
  <w:style w:type="character" w:customStyle="1" w:styleId="310">
    <w:name w:val="Char Char Char"/>
    <w:link w:val="311"/>
    <w:qFormat/>
    <w:uiPriority w:val="0"/>
    <w:rPr>
      <w:rFonts w:ascii="Tahoma" w:hAnsi="Tahoma"/>
      <w:sz w:val="24"/>
    </w:rPr>
  </w:style>
  <w:style w:type="paragraph" w:customStyle="1" w:styleId="311">
    <w:name w:val="Char"/>
    <w:basedOn w:val="1"/>
    <w:link w:val="310"/>
    <w:qFormat/>
    <w:uiPriority w:val="0"/>
    <w:rPr>
      <w:rFonts w:ascii="Tahoma" w:hAnsi="Tahoma"/>
      <w:szCs w:val="20"/>
    </w:rPr>
  </w:style>
  <w:style w:type="character" w:customStyle="1" w:styleId="312">
    <w:name w:val="表格标题 + MS Mincho"/>
    <w:basedOn w:val="313"/>
    <w:link w:val="1"/>
    <w:qFormat/>
    <w:uiPriority w:val="99"/>
    <w:rPr>
      <w:rFonts w:ascii="MS Mincho" w:eastAsia="MS Mincho" w:cs="MS Mincho"/>
      <w:spacing w:val="0"/>
      <w:sz w:val="27"/>
      <w:szCs w:val="27"/>
    </w:rPr>
  </w:style>
  <w:style w:type="character" w:customStyle="1" w:styleId="313">
    <w:name w:val="表格标题_"/>
    <w:basedOn w:val="179"/>
    <w:link w:val="314"/>
    <w:qFormat/>
    <w:uiPriority w:val="99"/>
    <w:rPr>
      <w:rFonts w:ascii="MingLiU" w:eastAsia="MingLiU" w:cs="MingLiU"/>
      <w:spacing w:val="10"/>
      <w:sz w:val="26"/>
      <w:szCs w:val="26"/>
      <w:shd w:val="clear" w:color="auto" w:fill="FFFFFF"/>
    </w:rPr>
  </w:style>
  <w:style w:type="paragraph" w:customStyle="1" w:styleId="314">
    <w:name w:val="表格标题"/>
    <w:basedOn w:val="1"/>
    <w:link w:val="313"/>
    <w:qFormat/>
    <w:uiPriority w:val="99"/>
    <w:pPr>
      <w:shd w:val="clear" w:color="auto" w:fill="FFFFFF"/>
      <w:spacing w:line="240" w:lineRule="atLeast"/>
      <w:jc w:val="left"/>
    </w:pPr>
    <w:rPr>
      <w:rFonts w:ascii="MingLiU" w:eastAsia="MingLiU" w:cs="MingLiU"/>
      <w:spacing w:val="10"/>
      <w:sz w:val="26"/>
      <w:szCs w:val="26"/>
    </w:rPr>
  </w:style>
  <w:style w:type="character" w:customStyle="1" w:styleId="315">
    <w:name w:val="批注文字 Char1"/>
    <w:link w:val="1"/>
    <w:qFormat/>
    <w:uiPriority w:val="0"/>
    <w:rPr>
      <w:rFonts w:ascii="Times New Roman" w:hAnsi="Times New Roman" w:eastAsia="宋体" w:cs="Times New Roman"/>
      <w:szCs w:val="24"/>
    </w:rPr>
  </w:style>
  <w:style w:type="character" w:customStyle="1" w:styleId="316">
    <w:name w:val="Comment Text Char"/>
    <w:link w:val="1"/>
    <w:qFormat/>
    <w:uiPriority w:val="0"/>
    <w:rPr>
      <w:rFonts w:cs="Times New Roman"/>
      <w:sz w:val="24"/>
      <w:szCs w:val="24"/>
    </w:rPr>
  </w:style>
  <w:style w:type="character" w:customStyle="1" w:styleId="317">
    <w:name w:val="标题 #3_"/>
    <w:basedOn w:val="179"/>
    <w:link w:val="318"/>
    <w:qFormat/>
    <w:uiPriority w:val="99"/>
    <w:rPr>
      <w:rFonts w:ascii="MingLiU" w:eastAsia="MingLiU" w:cs="MingLiU"/>
      <w:spacing w:val="10"/>
      <w:sz w:val="26"/>
      <w:szCs w:val="26"/>
      <w:shd w:val="clear" w:color="auto" w:fill="FFFFFF"/>
    </w:rPr>
  </w:style>
  <w:style w:type="paragraph" w:customStyle="1" w:styleId="318">
    <w:name w:val="标题 #3"/>
    <w:basedOn w:val="1"/>
    <w:link w:val="317"/>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19">
    <w:name w:val="Body Text Indent 2 Char"/>
    <w:link w:val="1"/>
    <w:qFormat/>
    <w:uiPriority w:val="0"/>
    <w:rPr>
      <w:rFonts w:eastAsia="宋体"/>
      <w:sz w:val="21"/>
      <w:szCs w:val="24"/>
      <w:lang w:val="en-US" w:eastAsia="zh-CN" w:bidi="ar-SA"/>
    </w:rPr>
  </w:style>
  <w:style w:type="character" w:customStyle="1" w:styleId="320">
    <w:name w:val="Char Char181"/>
    <w:link w:val="1"/>
    <w:qFormat/>
    <w:uiPriority w:val="0"/>
    <w:rPr>
      <w:b/>
      <w:bCs/>
      <w:sz w:val="44"/>
      <w:szCs w:val="44"/>
    </w:rPr>
  </w:style>
  <w:style w:type="character" w:customStyle="1" w:styleId="321">
    <w:name w:val=" Char Char23"/>
    <w:basedOn w:val="179"/>
    <w:link w:val="1"/>
    <w:qFormat/>
    <w:uiPriority w:val="0"/>
    <w:rPr>
      <w:rFonts w:ascii="Tahoma" w:hAnsi="Tahoma"/>
      <w:b/>
      <w:sz w:val="44"/>
      <w:szCs w:val="20"/>
    </w:rPr>
  </w:style>
  <w:style w:type="character" w:customStyle="1" w:styleId="322">
    <w:name w:val="hover1"/>
    <w:basedOn w:val="179"/>
    <w:link w:val="1"/>
    <w:qFormat/>
    <w:uiPriority w:val="0"/>
    <w:rPr>
      <w:color w:val="FFFFFF"/>
    </w:rPr>
  </w:style>
  <w:style w:type="character" w:customStyle="1" w:styleId="323">
    <w:name w:val="样式 Char"/>
    <w:link w:val="324"/>
    <w:qFormat/>
    <w:uiPriority w:val="0"/>
    <w:rPr>
      <w:rFonts w:ascii="宋体" w:hAnsi="宋体" w:cs="宋体"/>
      <w:sz w:val="24"/>
      <w:szCs w:val="24"/>
      <w:lang w:val="en-US" w:eastAsia="zh-CN" w:bidi="ar-SA"/>
    </w:rPr>
  </w:style>
  <w:style w:type="paragraph" w:customStyle="1" w:styleId="324">
    <w:name w:val="样式"/>
    <w:link w:val="323"/>
    <w:qFormat/>
    <w:uiPriority w:val="0"/>
    <w:pPr>
      <w:widowControl w:val="0"/>
    </w:pPr>
    <w:rPr>
      <w:rFonts w:hint="default" w:ascii="宋体" w:hAnsi="宋体" w:eastAsia="宋体" w:cs="宋体"/>
      <w:sz w:val="24"/>
      <w:szCs w:val="24"/>
      <w:lang w:val="en-US" w:eastAsia="zh-CN" w:bidi="ar-SA"/>
    </w:rPr>
  </w:style>
  <w:style w:type="character" w:customStyle="1" w:styleId="325">
    <w:name w:val="Char Char23"/>
    <w:link w:val="1"/>
    <w:qFormat/>
    <w:uiPriority w:val="0"/>
    <w:rPr>
      <w:rFonts w:eastAsia="宋体"/>
      <w:b/>
      <w:bCs/>
      <w:sz w:val="32"/>
      <w:szCs w:val="44"/>
      <w:lang w:val="en-US" w:eastAsia="zh-CN" w:bidi="ar-SA"/>
    </w:rPr>
  </w:style>
  <w:style w:type="character" w:customStyle="1" w:styleId="326">
    <w:name w:val="文档结构图 Char1"/>
    <w:link w:val="1"/>
    <w:qFormat/>
    <w:uiPriority w:val="0"/>
    <w:rPr>
      <w:rFonts w:ascii="宋体" w:hAnsi="Times New Roman" w:eastAsia="宋体" w:cs="Times New Roman"/>
      <w:sz w:val="18"/>
      <w:szCs w:val="18"/>
    </w:rPr>
  </w:style>
  <w:style w:type="character" w:customStyle="1" w:styleId="327">
    <w:name w:val="不明显参考"/>
    <w:basedOn w:val="179"/>
    <w:link w:val="1"/>
    <w:qFormat/>
    <w:uiPriority w:val="0"/>
    <w:rPr>
      <w:smallCaps/>
      <w:color w:val="C0504D"/>
      <w:u w:val="single"/>
    </w:rPr>
  </w:style>
  <w:style w:type="character" w:customStyle="1" w:styleId="328">
    <w:name w:val="正文文本 + 间距 2 pt"/>
    <w:basedOn w:val="297"/>
    <w:link w:val="1"/>
    <w:qFormat/>
    <w:uiPriority w:val="99"/>
  </w:style>
  <w:style w:type="character" w:customStyle="1" w:styleId="329">
    <w:name w:val="标题5 Char Char"/>
    <w:link w:val="330"/>
    <w:qFormat/>
    <w:uiPriority w:val="0"/>
    <w:rPr>
      <w:rFonts w:ascii="Arial" w:hAnsi="Arial"/>
      <w:b/>
      <w:sz w:val="32"/>
    </w:rPr>
  </w:style>
  <w:style w:type="paragraph" w:customStyle="1" w:styleId="330">
    <w:name w:val="标题5"/>
    <w:basedOn w:val="172"/>
    <w:link w:val="329"/>
    <w:qFormat/>
    <w:uiPriority w:val="0"/>
    <w:pPr>
      <w:tabs>
        <w:tab w:val="left" w:pos="720"/>
      </w:tabs>
      <w:spacing w:line="413" w:lineRule="auto"/>
    </w:pPr>
    <w:rPr>
      <w:rFonts w:ascii="Arial" w:hAnsi="Arial"/>
      <w:b/>
      <w:bCs w:val="0"/>
      <w:sz w:val="32"/>
      <w:szCs w:val="20"/>
    </w:rPr>
  </w:style>
  <w:style w:type="character" w:customStyle="1" w:styleId="331">
    <w:name w:val="超链接_0"/>
    <w:link w:val="1"/>
    <w:qFormat/>
    <w:uiPriority w:val="99"/>
    <w:rPr>
      <w:rFonts w:ascii="Calibri" w:hAnsi="Calibri" w:cs="Times New Roman"/>
      <w:color w:val="0000FF"/>
      <w:u w:val="single"/>
    </w:rPr>
  </w:style>
  <w:style w:type="character" w:customStyle="1" w:styleId="332">
    <w:name w:val="页眉或页脚 + MS Mincho"/>
    <w:basedOn w:val="279"/>
    <w:link w:val="1"/>
    <w:qFormat/>
    <w:uiPriority w:val="99"/>
    <w:rPr>
      <w:rFonts w:ascii="MS Mincho" w:eastAsia="MS Mincho" w:cs="MS Mincho"/>
      <w:spacing w:val="0"/>
      <w:sz w:val="27"/>
      <w:szCs w:val="27"/>
      <w:lang w:val="en-US" w:eastAsia="en-US"/>
    </w:rPr>
  </w:style>
  <w:style w:type="character" w:customStyle="1" w:styleId="333">
    <w:name w:val="列出段落 Char"/>
    <w:link w:val="334"/>
    <w:qFormat/>
    <w:uiPriority w:val="34"/>
    <w:rPr>
      <w:szCs w:val="24"/>
    </w:rPr>
  </w:style>
  <w:style w:type="paragraph" w:customStyle="1" w:styleId="334">
    <w:name w:val="列出段落1"/>
    <w:basedOn w:val="1"/>
    <w:link w:val="333"/>
    <w:qFormat/>
    <w:uiPriority w:val="34"/>
    <w:pPr>
      <w:ind w:firstLine="420"/>
    </w:pPr>
    <w:rPr>
      <w:sz w:val="20"/>
    </w:rPr>
  </w:style>
  <w:style w:type="character" w:customStyle="1" w:styleId="335">
    <w:name w:val="纯文本 Char Char"/>
    <w:link w:val="1"/>
    <w:qFormat/>
    <w:uiPriority w:val="0"/>
    <w:rPr>
      <w:rFonts w:ascii="宋体" w:hAnsi="Courier New" w:eastAsia="宋体"/>
      <w:sz w:val="21"/>
      <w:lang w:val="en-US" w:eastAsia="zh-CN"/>
    </w:rPr>
  </w:style>
  <w:style w:type="character" w:customStyle="1" w:styleId="336">
    <w:name w:val="标题 1 Char1"/>
    <w:link w:val="1"/>
    <w:qFormat/>
    <w:uiPriority w:val="0"/>
    <w:rPr>
      <w:rFonts w:ascii="Calibri" w:hAnsi="Calibri" w:eastAsia="宋体" w:cs="Arial"/>
      <w:b/>
      <w:sz w:val="44"/>
      <w:szCs w:val="20"/>
    </w:rPr>
  </w:style>
  <w:style w:type="character" w:customStyle="1" w:styleId="337">
    <w:name w:val="ҳŠChar"/>
    <w:basedOn w:val="179"/>
    <w:link w:val="1"/>
    <w:qFormat/>
    <w:uiPriority w:val="0"/>
    <w:rPr>
      <w:rFonts w:eastAsia="宋体"/>
      <w:sz w:val="18"/>
      <w:szCs w:val="18"/>
      <w:lang w:val="en-US" w:eastAsia="zh-CN" w:bidi="ar-SA"/>
    </w:rPr>
  </w:style>
  <w:style w:type="character" w:customStyle="1" w:styleId="338">
    <w:name w:val="引用 Char Char"/>
    <w:basedOn w:val="179"/>
    <w:link w:val="1"/>
    <w:qFormat/>
    <w:uiPriority w:val="0"/>
    <w:rPr>
      <w:i/>
      <w:color w:val="000000"/>
      <w:sz w:val="24"/>
    </w:rPr>
  </w:style>
  <w:style w:type="character" w:customStyle="1" w:styleId="339">
    <w:name w:val="ꌢ 3 Char"/>
    <w:basedOn w:val="179"/>
    <w:link w:val="340"/>
    <w:qFormat/>
    <w:uiPriority w:val="0"/>
    <w:rPr>
      <w:rFonts w:ascii="Ђˎ̥" w:hAnsi="Ђˎ̥"/>
      <w:b/>
      <w:bCs/>
    </w:rPr>
  </w:style>
  <w:style w:type="paragraph" w:customStyle="1" w:styleId="340">
    <w:name w:val="ꌢ 3"/>
    <w:basedOn w:val="1"/>
    <w:link w:val="339"/>
    <w:qFormat/>
    <w:uiPriority w:val="0"/>
    <w:pPr>
      <w:widowControl/>
    </w:pPr>
    <w:rPr>
      <w:rFonts w:ascii="Ђˎ̥" w:hAnsi="Ђˎ̥"/>
      <w:b/>
      <w:bCs/>
      <w:sz w:val="20"/>
      <w:szCs w:val="20"/>
    </w:rPr>
  </w:style>
  <w:style w:type="character" w:customStyle="1" w:styleId="341">
    <w:name w:val="引用 Char"/>
    <w:basedOn w:val="179"/>
    <w:link w:val="342"/>
    <w:qFormat/>
    <w:uiPriority w:val="0"/>
    <w:rPr>
      <w:i/>
      <w:color w:val="000000"/>
      <w:sz w:val="24"/>
    </w:rPr>
  </w:style>
  <w:style w:type="paragraph" w:customStyle="1" w:styleId="342">
    <w:name w:val="引用"/>
    <w:basedOn w:val="1"/>
    <w:next w:val="1"/>
    <w:link w:val="341"/>
    <w:qFormat/>
    <w:uiPriority w:val="0"/>
    <w:rPr>
      <w:i/>
      <w:color w:val="000000"/>
      <w:sz w:val="24"/>
      <w:szCs w:val="20"/>
    </w:rPr>
  </w:style>
  <w:style w:type="character" w:customStyle="1" w:styleId="343">
    <w:name w:val=" Char Char22"/>
    <w:basedOn w:val="179"/>
    <w:link w:val="1"/>
    <w:qFormat/>
    <w:uiPriority w:val="0"/>
    <w:rPr>
      <w:b/>
      <w:sz w:val="44"/>
    </w:rPr>
  </w:style>
  <w:style w:type="character" w:customStyle="1" w:styleId="344">
    <w:name w:val="Heading 3 Char"/>
    <w:link w:val="1"/>
    <w:qFormat/>
    <w:uiPriority w:val="0"/>
    <w:rPr>
      <w:rFonts w:cs="Times New Roman"/>
      <w:b/>
      <w:bCs/>
      <w:sz w:val="32"/>
      <w:szCs w:val="32"/>
    </w:rPr>
  </w:style>
  <w:style w:type="character" w:customStyle="1" w:styleId="345">
    <w:name w:val="正文文本 + 9.5 pt"/>
    <w:basedOn w:val="297"/>
    <w:link w:val="1"/>
    <w:qFormat/>
    <w:uiPriority w:val="99"/>
    <w:rPr>
      <w:sz w:val="19"/>
      <w:szCs w:val="19"/>
    </w:rPr>
  </w:style>
  <w:style w:type="character" w:customStyle="1" w:styleId="346">
    <w:name w:val="Comment Text Char1"/>
    <w:link w:val="1"/>
    <w:qFormat/>
    <w:uiPriority w:val="0"/>
    <w:rPr>
      <w:sz w:val="24"/>
      <w:lang w:bidi="ar-SA"/>
    </w:rPr>
  </w:style>
  <w:style w:type="character" w:customStyle="1" w:styleId="347">
    <w:name w:val="无间隔 Char"/>
    <w:basedOn w:val="179"/>
    <w:link w:val="348"/>
    <w:qFormat/>
    <w:uiPriority w:val="99"/>
    <w:rPr>
      <w:sz w:val="21"/>
      <w:szCs w:val="24"/>
    </w:rPr>
  </w:style>
  <w:style w:type="paragraph" w:customStyle="1" w:styleId="348">
    <w:name w:val="无间隔"/>
    <w:basedOn w:val="1"/>
    <w:link w:val="347"/>
    <w:qFormat/>
    <w:uiPriority w:val="0"/>
  </w:style>
  <w:style w:type="character" w:customStyle="1" w:styleId="349">
    <w:name w:val="批注框文本 Char1"/>
    <w:link w:val="1"/>
    <w:qFormat/>
    <w:uiPriority w:val="0"/>
    <w:rPr>
      <w:rFonts w:ascii="Times New Roman" w:hAnsi="Times New Roman" w:eastAsia="宋体" w:cs="Times New Roman"/>
      <w:sz w:val="18"/>
      <w:szCs w:val="18"/>
    </w:rPr>
  </w:style>
  <w:style w:type="character" w:customStyle="1" w:styleId="350">
    <w:name w:val="明显引用 Char1"/>
    <w:basedOn w:val="179"/>
    <w:link w:val="1"/>
    <w:qFormat/>
    <w:uiPriority w:val="30"/>
    <w:rPr>
      <w:b/>
      <w:bCs/>
      <w:i/>
      <w:iCs/>
      <w:color w:val="4F81BD"/>
      <w:sz w:val="21"/>
      <w:szCs w:val="24"/>
    </w:rPr>
  </w:style>
  <w:style w:type="character" w:customStyle="1" w:styleId="351">
    <w:name w:val="ꌢ 2 Char"/>
    <w:basedOn w:val="179"/>
    <w:link w:val="352"/>
    <w:qFormat/>
    <w:uiPriority w:val="0"/>
    <w:rPr>
      <w:rFonts w:ascii="Arial" w:hAnsi="Arial"/>
      <w:b/>
      <w:bCs/>
    </w:rPr>
  </w:style>
  <w:style w:type="paragraph" w:customStyle="1" w:styleId="352">
    <w:name w:val="ꌢ 2"/>
    <w:basedOn w:val="1"/>
    <w:link w:val="351"/>
    <w:qFormat/>
    <w:uiPriority w:val="0"/>
    <w:pPr>
      <w:widowControl/>
    </w:pPr>
    <w:rPr>
      <w:rFonts w:ascii="Arial" w:hAnsi="Arial"/>
      <w:b/>
      <w:bCs/>
      <w:sz w:val="20"/>
      <w:szCs w:val="20"/>
    </w:rPr>
  </w:style>
  <w:style w:type="character" w:customStyle="1" w:styleId="353">
    <w:name w:val="Document Map Char"/>
    <w:link w:val="1"/>
    <w:qFormat/>
    <w:uiPriority w:val="0"/>
    <w:rPr>
      <w:rFonts w:eastAsia="宋体"/>
      <w:sz w:val="21"/>
      <w:szCs w:val="24"/>
      <w:lang w:val="en-US" w:eastAsia="zh-CN" w:bidi="ar-SA"/>
    </w:rPr>
  </w:style>
  <w:style w:type="character" w:customStyle="1" w:styleId="354">
    <w:name w:val="普通文字1 Char2"/>
    <w:link w:val="1"/>
    <w:qFormat/>
    <w:uiPriority w:val="0"/>
    <w:rPr>
      <w:rFonts w:ascii="宋体" w:hAnsi="Courier New" w:eastAsia="宋体"/>
    </w:rPr>
  </w:style>
  <w:style w:type="character" w:customStyle="1" w:styleId="355">
    <w:name w:val="副标题 Char1"/>
    <w:basedOn w:val="179"/>
    <w:link w:val="1"/>
    <w:qFormat/>
    <w:uiPriority w:val="11"/>
    <w:rPr>
      <w:rFonts w:ascii="Cambria" w:hAnsi="Cambria" w:cs="Times New Roman"/>
      <w:b/>
      <w:bCs/>
      <w:sz w:val="32"/>
      <w:szCs w:val="32"/>
    </w:rPr>
  </w:style>
  <w:style w:type="character" w:customStyle="1" w:styleId="356">
    <w:name w:val="ҳŻ"/>
    <w:basedOn w:val="179"/>
    <w:link w:val="357"/>
    <w:qFormat/>
    <w:uiPriority w:val="0"/>
    <w:rPr>
      <w:rFonts w:ascii="宋体" w:hAnsi="宋体" w:cs="宋体"/>
      <w:sz w:val="32"/>
      <w:szCs w:val="32"/>
    </w:rPr>
  </w:style>
  <w:style w:type="paragraph" w:customStyle="1" w:styleId="357">
    <w:name w:val="ҳŠChar1"/>
    <w:basedOn w:val="1"/>
    <w:link w:val="356"/>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58">
    <w:name w:val="apple-converted-space"/>
    <w:basedOn w:val="179"/>
    <w:link w:val="1"/>
    <w:qFormat/>
    <w:uiPriority w:val="0"/>
  </w:style>
  <w:style w:type="character" w:customStyle="1" w:styleId="359">
    <w:name w:val="Char Char20"/>
    <w:link w:val="1"/>
    <w:qFormat/>
    <w:uiPriority w:val="0"/>
    <w:rPr>
      <w:rFonts w:ascii="Times New Roman" w:hAnsi="Times New Roman" w:eastAsia="宋体" w:cs="Times New Roman"/>
      <w:b/>
      <w:bCs/>
      <w:sz w:val="24"/>
      <w:szCs w:val="32"/>
    </w:rPr>
  </w:style>
  <w:style w:type="character" w:customStyle="1" w:styleId="360">
    <w:name w:val=" Char Char"/>
    <w:link w:val="1"/>
    <w:qFormat/>
    <w:uiPriority w:val="0"/>
    <w:rPr>
      <w:rFonts w:ascii="宋体" w:hAnsi="Courier New" w:eastAsia="宋体" w:cs="Courier New"/>
      <w:sz w:val="21"/>
      <w:szCs w:val="21"/>
      <w:lang w:val="en-US" w:eastAsia="zh-CN" w:bidi="ar-SA"/>
    </w:rPr>
  </w:style>
  <w:style w:type="character" w:customStyle="1" w:styleId="361">
    <w:name w:val="Char Char2"/>
    <w:basedOn w:val="179"/>
    <w:link w:val="362"/>
    <w:qFormat/>
    <w:uiPriority w:val="0"/>
    <w:rPr>
      <w:sz w:val="21"/>
    </w:rPr>
  </w:style>
  <w:style w:type="paragraph" w:customStyle="1" w:styleId="362">
    <w:name w:val="Char3"/>
    <w:basedOn w:val="1"/>
    <w:link w:val="361"/>
    <w:qFormat/>
    <w:uiPriority w:val="0"/>
    <w:rPr>
      <w:szCs w:val="20"/>
    </w:rPr>
  </w:style>
  <w:style w:type="character" w:customStyle="1" w:styleId="363">
    <w:name w:val="hover"/>
    <w:basedOn w:val="179"/>
    <w:link w:val="1"/>
    <w:qFormat/>
    <w:uiPriority w:val="0"/>
    <w:rPr>
      <w:color w:val="5FB878"/>
    </w:rPr>
  </w:style>
  <w:style w:type="character" w:customStyle="1" w:styleId="364">
    <w:name w:val="Char Char"/>
    <w:link w:val="1"/>
    <w:qFormat/>
    <w:uiPriority w:val="99"/>
    <w:rPr>
      <w:rFonts w:ascii="Tahoma" w:hAnsi="Tahoma" w:eastAsia="宋体"/>
      <w:sz w:val="24"/>
      <w:lang w:val="en-US" w:eastAsia="zh-CN" w:bidi="ar-SA"/>
    </w:rPr>
  </w:style>
  <w:style w:type="character" w:customStyle="1" w:styleId="365">
    <w:name w:val="Char Char21"/>
    <w:link w:val="1"/>
    <w:qFormat/>
    <w:uiPriority w:val="0"/>
    <w:rPr>
      <w:rFonts w:ascii="Arial" w:hAnsi="Arial" w:eastAsia="黑体" w:cs="Times New Roman"/>
      <w:b/>
      <w:bCs/>
      <w:sz w:val="32"/>
      <w:szCs w:val="32"/>
    </w:rPr>
  </w:style>
  <w:style w:type="character" w:customStyle="1" w:styleId="366">
    <w:name w:val="Date Char"/>
    <w:link w:val="1"/>
    <w:qFormat/>
    <w:uiPriority w:val="0"/>
    <w:rPr>
      <w:rFonts w:eastAsia="宋体"/>
      <w:sz w:val="21"/>
      <w:szCs w:val="24"/>
      <w:lang w:val="en-US" w:eastAsia="zh-CN" w:bidi="ar-SA"/>
    </w:rPr>
  </w:style>
  <w:style w:type="character" w:customStyle="1" w:styleId="367">
    <w:name w:val="不明显强调"/>
    <w:basedOn w:val="179"/>
    <w:link w:val="1"/>
    <w:qFormat/>
    <w:uiPriority w:val="0"/>
    <w:rPr>
      <w:i/>
      <w:color w:val="808080"/>
    </w:rPr>
  </w:style>
  <w:style w:type="character" w:customStyle="1" w:styleId="368">
    <w:name w:val="Intense Quote Char"/>
    <w:link w:val="369"/>
    <w:qFormat/>
    <w:uiPriority w:val="0"/>
    <w:rPr>
      <w:b/>
      <w:i/>
      <w:color w:val="4F81BD"/>
      <w:sz w:val="22"/>
    </w:rPr>
  </w:style>
  <w:style w:type="paragraph" w:styleId="369">
    <w:name w:val="Intense Quote"/>
    <w:basedOn w:val="1"/>
    <w:next w:val="1"/>
    <w:link w:val="368"/>
    <w:qFormat/>
    <w:uiPriority w:val="0"/>
    <w:pPr>
      <w:pBdr>
        <w:bottom w:val="single" w:color="4F81BD" w:sz="4" w:space="4"/>
      </w:pBdr>
      <w:spacing w:before="200" w:after="280"/>
      <w:ind w:left="936" w:right="936"/>
    </w:pPr>
    <w:rPr>
      <w:b/>
      <w:i/>
      <w:color w:val="4F81BD"/>
      <w:sz w:val="22"/>
      <w:szCs w:val="20"/>
    </w:rPr>
  </w:style>
  <w:style w:type="character" w:customStyle="1" w:styleId="370">
    <w:name w:val="Body Text Indent Char"/>
    <w:link w:val="1"/>
    <w:qFormat/>
    <w:uiPriority w:val="0"/>
    <w:rPr>
      <w:rFonts w:ascii="宋体" w:hAnsi="宋体" w:eastAsia="宋体"/>
      <w:sz w:val="21"/>
      <w:lang w:val="en-US" w:eastAsia="zh-CN" w:bidi="ar-SA"/>
    </w:rPr>
  </w:style>
  <w:style w:type="character" w:customStyle="1" w:styleId="371">
    <w:name w:val="标题4 Char Char"/>
    <w:link w:val="1"/>
    <w:qFormat/>
    <w:uiPriority w:val="0"/>
    <w:rPr>
      <w:rFonts w:ascii="Arial" w:hAnsi="Arial"/>
      <w:b/>
      <w:sz w:val="32"/>
      <w:lang w:bidi="ar-SA"/>
    </w:rPr>
  </w:style>
  <w:style w:type="character" w:customStyle="1" w:styleId="372">
    <w:name w:val="正文文本 + 间距 2 pt1"/>
    <w:basedOn w:val="297"/>
    <w:link w:val="1"/>
    <w:qFormat/>
    <w:uiPriority w:val="99"/>
    <w:rPr>
      <w:spacing w:val="40"/>
      <w:sz w:val="26"/>
      <w:szCs w:val="26"/>
      <w:u w:val="none"/>
    </w:rPr>
  </w:style>
  <w:style w:type="character" w:customStyle="1" w:styleId="373">
    <w:name w:val="Variable"/>
    <w:link w:val="1"/>
    <w:qFormat/>
    <w:uiPriority w:val="99"/>
    <w:rPr>
      <w:i/>
    </w:rPr>
  </w:style>
  <w:style w:type="character" w:customStyle="1" w:styleId="374">
    <w:name w:val="Title Char"/>
    <w:link w:val="1"/>
    <w:qFormat/>
    <w:uiPriority w:val="0"/>
    <w:rPr>
      <w:rFonts w:ascii="Cambria" w:hAnsi="Cambria"/>
      <w:b/>
      <w:sz w:val="32"/>
      <w:lang w:bidi="ar-SA"/>
    </w:rPr>
  </w:style>
  <w:style w:type="character" w:customStyle="1" w:styleId="375">
    <w:name w:val="Heading 2 Char"/>
    <w:link w:val="1"/>
    <w:qFormat/>
    <w:uiPriority w:val="0"/>
    <w:rPr>
      <w:rFonts w:ascii="Arial" w:hAnsi="Arial" w:eastAsia="黑体"/>
      <w:b/>
      <w:bCs/>
      <w:sz w:val="32"/>
      <w:szCs w:val="32"/>
      <w:lang w:val="en-US" w:eastAsia="zh-CN" w:bidi="ar-SA"/>
    </w:rPr>
  </w:style>
  <w:style w:type="character" w:customStyle="1" w:styleId="376">
    <w:name w:val="明显强调"/>
    <w:basedOn w:val="179"/>
    <w:link w:val="1"/>
    <w:qFormat/>
    <w:uiPriority w:val="0"/>
    <w:rPr>
      <w:b/>
      <w:i/>
      <w:color w:val="4F81BD"/>
    </w:rPr>
  </w:style>
  <w:style w:type="character" w:customStyle="1" w:styleId="377">
    <w:name w:val="Char Char18"/>
    <w:link w:val="1"/>
    <w:qFormat/>
    <w:uiPriority w:val="0"/>
    <w:rPr>
      <w:rFonts w:ascii="Times New Roman" w:hAnsi="Times New Roman" w:eastAsia="宋体" w:cs="Times New Roman"/>
      <w:b/>
      <w:bCs/>
      <w:sz w:val="28"/>
      <w:szCs w:val="28"/>
    </w:rPr>
  </w:style>
  <w:style w:type="character" w:customStyle="1" w:styleId="378">
    <w:name w:val="Char Char9"/>
    <w:link w:val="1"/>
    <w:qFormat/>
    <w:uiPriority w:val="0"/>
    <w:rPr>
      <w:rFonts w:eastAsia="宋体"/>
      <w:b/>
      <w:bCs/>
      <w:sz w:val="32"/>
      <w:szCs w:val="44"/>
      <w:lang w:val="en-US" w:eastAsia="zh-CN" w:bidi="ar-SA"/>
    </w:rPr>
  </w:style>
  <w:style w:type="character" w:customStyle="1" w:styleId="379">
    <w:name w:val="标题 2 Char1"/>
    <w:link w:val="1"/>
    <w:qFormat/>
    <w:uiPriority w:val="0"/>
    <w:rPr>
      <w:rFonts w:ascii="Arial" w:hAnsi="Arial" w:eastAsia="黑体" w:cs="Calibri"/>
      <w:b/>
      <w:sz w:val="32"/>
      <w:szCs w:val="20"/>
    </w:rPr>
  </w:style>
  <w:style w:type="paragraph" w:customStyle="1" w:styleId="380">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81">
    <w:name w:val="修订"/>
    <w:qFormat/>
    <w:uiPriority w:val="0"/>
    <w:rPr>
      <w:rFonts w:hint="default" w:ascii="Times New Roman" w:hAnsi="Times New Roman" w:eastAsia="宋体" w:cs="Times New Roman"/>
      <w:sz w:val="21"/>
      <w:szCs w:val="24"/>
      <w:lang w:val="en-US" w:eastAsia="zh-CN" w:bidi="ar-SA"/>
    </w:rPr>
  </w:style>
  <w:style w:type="paragraph" w:customStyle="1" w:styleId="382">
    <w:name w:val="font7"/>
    <w:basedOn w:val="1"/>
    <w:qFormat/>
    <w:uiPriority w:val="99"/>
    <w:pPr>
      <w:widowControl/>
      <w:spacing w:before="100" w:beforeAutospacing="1" w:after="100" w:afterAutospacing="1"/>
      <w:jc w:val="left"/>
    </w:pPr>
    <w:rPr>
      <w:sz w:val="20"/>
      <w:szCs w:val="20"/>
    </w:rPr>
  </w:style>
  <w:style w:type="paragraph" w:customStyle="1" w:styleId="383">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84">
    <w:name w:val="样式 标题 2 + Times New Roman 四号 非加粗 段前: 5 磅 段后: 0 磅 行距: 固定值 20..."/>
    <w:basedOn w:val="171"/>
    <w:qFormat/>
    <w:uiPriority w:val="0"/>
    <w:pPr>
      <w:spacing w:before="100" w:after="0" w:line="400" w:lineRule="exact"/>
    </w:pPr>
    <w:rPr>
      <w:rFonts w:ascii="Times New Roman" w:hAnsi="Times New Roman" w:eastAsia="黑体" w:cs="宋体"/>
      <w:b w:val="0"/>
      <w:bCs w:val="0"/>
      <w:sz w:val="28"/>
      <w:szCs w:val="20"/>
    </w:rPr>
  </w:style>
  <w:style w:type="paragraph" w:customStyle="1" w:styleId="385">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86">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87">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88">
    <w:name w:val=" Char Char1 Char Char Char"/>
    <w:basedOn w:val="1"/>
    <w:qFormat/>
    <w:uiPriority w:val="0"/>
    <w:rPr>
      <w:szCs w:val="20"/>
    </w:rPr>
  </w:style>
  <w:style w:type="paragraph" w:customStyle="1" w:styleId="389">
    <w:name w:val="Char Char4 Char"/>
    <w:basedOn w:val="1"/>
    <w:qFormat/>
    <w:uiPriority w:val="0"/>
    <w:pPr>
      <w:spacing w:line="360" w:lineRule="auto"/>
      <w:ind w:firstLine="200"/>
    </w:pPr>
    <w:rPr>
      <w:rFonts w:ascii="宋体" w:hAnsi="宋体" w:cs="宋体"/>
      <w:sz w:val="24"/>
    </w:rPr>
  </w:style>
  <w:style w:type="paragraph" w:customStyle="1" w:styleId="390">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1">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2">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3">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4">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395">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6">
    <w:name w:val="Address"/>
    <w:basedOn w:val="1"/>
    <w:next w:val="1"/>
    <w:qFormat/>
    <w:uiPriority w:val="99"/>
    <w:pPr>
      <w:jc w:val="left"/>
    </w:pPr>
    <w:rPr>
      <w:i/>
      <w:sz w:val="24"/>
      <w:szCs w:val="20"/>
    </w:rPr>
  </w:style>
  <w:style w:type="paragraph" w:customStyle="1" w:styleId="397">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398">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399">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0">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1">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02">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0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04">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05">
    <w:name w:val="Char Char Char1 Char Char Char Char Char Char Char"/>
    <w:basedOn w:val="1"/>
    <w:qFormat/>
    <w:uiPriority w:val="0"/>
  </w:style>
  <w:style w:type="paragraph" w:customStyle="1" w:styleId="406">
    <w:name w:val="Char1"/>
    <w:basedOn w:val="1"/>
    <w:qFormat/>
    <w:uiPriority w:val="0"/>
    <w:rPr>
      <w:rFonts w:ascii="Tahoma" w:hAnsi="Tahoma"/>
      <w:sz w:val="24"/>
      <w:szCs w:val="20"/>
    </w:rPr>
  </w:style>
  <w:style w:type="paragraph" w:customStyle="1" w:styleId="40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08">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09">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0">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1">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12">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1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4">
    <w:name w:val=" Char Char Char1 Char Char Char Char Char Char Char"/>
    <w:basedOn w:val="1"/>
    <w:qFormat/>
    <w:uiPriority w:val="0"/>
  </w:style>
  <w:style w:type="paragraph" w:customStyle="1" w:styleId="415">
    <w:name w:val=" Char1"/>
    <w:basedOn w:val="1"/>
    <w:qFormat/>
    <w:uiPriority w:val="0"/>
    <w:rPr>
      <w:szCs w:val="21"/>
    </w:rPr>
  </w:style>
  <w:style w:type="paragraph" w:customStyle="1" w:styleId="416">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17">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1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9">
    <w:name w:val="正文(其它)"/>
    <w:basedOn w:val="1"/>
    <w:qFormat/>
    <w:uiPriority w:val="0"/>
    <w:pPr>
      <w:spacing w:line="312" w:lineRule="auto"/>
      <w:jc w:val="center"/>
    </w:pPr>
    <w:rPr>
      <w:rFonts w:ascii="黑体" w:eastAsia="黑体"/>
      <w:sz w:val="32"/>
      <w:szCs w:val="32"/>
    </w:rPr>
  </w:style>
  <w:style w:type="paragraph" w:customStyle="1" w:styleId="420">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1">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2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23">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4">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25">
    <w:name w:val="列出段落"/>
    <w:basedOn w:val="1"/>
    <w:qFormat/>
    <w:uiPriority w:val="0"/>
    <w:pPr>
      <w:ind w:firstLine="420"/>
    </w:pPr>
  </w:style>
  <w:style w:type="paragraph" w:customStyle="1" w:styleId="426">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27">
    <w:name w:val="标题_0"/>
    <w:basedOn w:val="428"/>
    <w:qFormat/>
    <w:uiPriority w:val="0"/>
    <w:pPr>
      <w:spacing w:before="120" w:after="120" w:line="360" w:lineRule="auto"/>
      <w:jc w:val="center"/>
      <w:outlineLvl w:val="0"/>
    </w:pPr>
    <w:rPr>
      <w:rFonts w:ascii="黑体" w:hAnsi="Arial" w:eastAsia="黑体"/>
      <w:b/>
      <w:bCs/>
      <w:sz w:val="32"/>
      <w:szCs w:val="32"/>
    </w:rPr>
  </w:style>
  <w:style w:type="paragraph" w:customStyle="1" w:styleId="428">
    <w:name w:val="正文_1"/>
    <w:qFormat/>
    <w:uiPriority w:val="0"/>
    <w:rPr>
      <w:rFonts w:hint="default" w:ascii="Times New Roman" w:hAnsi="Times New Roman" w:eastAsia="宋体" w:cs="Times New Roman"/>
      <w:sz w:val="21"/>
      <w:szCs w:val="22"/>
      <w:lang w:val="en-US" w:eastAsia="zh-CN" w:bidi="ar-SA"/>
    </w:rPr>
  </w:style>
  <w:style w:type="paragraph" w:customStyle="1" w:styleId="429">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0">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1">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32">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33">
    <w:name w:val="1"/>
    <w:basedOn w:val="1"/>
    <w:next w:val="1"/>
    <w:qFormat/>
    <w:uiPriority w:val="0"/>
  </w:style>
  <w:style w:type="paragraph" w:customStyle="1" w:styleId="434">
    <w:name w:val=" Char3"/>
    <w:basedOn w:val="1"/>
    <w:qFormat/>
    <w:uiPriority w:val="0"/>
    <w:rPr>
      <w:rFonts w:ascii="Tahoma" w:hAnsi="Tahoma"/>
      <w:sz w:val="24"/>
    </w:rPr>
  </w:style>
  <w:style w:type="paragraph" w:customStyle="1" w:styleId="435">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36">
    <w:name w:val="p0"/>
    <w:basedOn w:val="1"/>
    <w:qFormat/>
    <w:uiPriority w:val="0"/>
    <w:pPr>
      <w:widowControl/>
      <w:spacing w:before="100" w:beforeAutospacing="1" w:after="100" w:afterAutospacing="1"/>
      <w:jc w:val="left"/>
    </w:pPr>
    <w:rPr>
      <w:rFonts w:ascii="宋体" w:hAnsi="宋体" w:cs="宋体"/>
      <w:sz w:val="24"/>
    </w:rPr>
  </w:style>
  <w:style w:type="paragraph" w:customStyle="1" w:styleId="437">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38">
    <w:name w:val="_Style 37"/>
    <w:basedOn w:val="1"/>
    <w:next w:val="1"/>
    <w:qFormat/>
    <w:uiPriority w:val="0"/>
  </w:style>
  <w:style w:type="paragraph" w:customStyle="1" w:styleId="439">
    <w:name w:val=" Char Char Char Char1 Char Char Char"/>
    <w:basedOn w:val="1"/>
    <w:qFormat/>
    <w:uiPriority w:val="0"/>
    <w:rPr>
      <w:rFonts w:ascii="Tahoma" w:hAnsi="Tahoma"/>
      <w:sz w:val="24"/>
      <w:szCs w:val="20"/>
    </w:rPr>
  </w:style>
  <w:style w:type="paragraph" w:customStyle="1" w:styleId="440">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1">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2">
    <w:name w:val="Char Char Char Char Char Char Char"/>
    <w:basedOn w:val="1"/>
    <w:qFormat/>
    <w:uiPriority w:val="0"/>
    <w:pPr>
      <w:widowControl/>
      <w:spacing w:after="160" w:line="240" w:lineRule="exact"/>
      <w:jc w:val="left"/>
    </w:pPr>
  </w:style>
  <w:style w:type="paragraph" w:customStyle="1" w:styleId="443">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4">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45">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6">
    <w:name w:val=" Char Char1 Char Char Char Char Char Char Char Char Char Char"/>
    <w:basedOn w:val="1"/>
    <w:qFormat/>
    <w:uiPriority w:val="0"/>
    <w:rPr>
      <w:rFonts w:ascii="Tahoma" w:hAnsi="Tahoma"/>
      <w:sz w:val="24"/>
      <w:szCs w:val="20"/>
    </w:rPr>
  </w:style>
  <w:style w:type="paragraph" w:customStyle="1" w:styleId="447">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48">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49">
    <w:name w:val=" Char Char1 Char"/>
    <w:basedOn w:val="1"/>
    <w:qFormat/>
    <w:uiPriority w:val="0"/>
    <w:rPr>
      <w:rFonts w:ascii="Tahoma" w:hAnsi="Tahoma"/>
      <w:sz w:val="24"/>
      <w:szCs w:val="20"/>
    </w:rPr>
  </w:style>
  <w:style w:type="paragraph" w:customStyle="1" w:styleId="450">
    <w:name w:val="默认段落字体 Para Char Char Char Char Char Char Char Char Char Char"/>
    <w:basedOn w:val="1"/>
    <w:qFormat/>
    <w:uiPriority w:val="0"/>
    <w:rPr>
      <w:rFonts w:ascii="Tahoma" w:hAnsi="Tahoma"/>
      <w:sz w:val="24"/>
      <w:szCs w:val="20"/>
    </w:rPr>
  </w:style>
  <w:style w:type="paragraph" w:customStyle="1" w:styleId="451">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2">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53">
    <w:name w:val="2-2ji"/>
    <w:basedOn w:val="171"/>
    <w:qFormat/>
    <w:uiPriority w:val="0"/>
    <w:pPr>
      <w:spacing w:before="0" w:after="0" w:line="360" w:lineRule="auto"/>
      <w:jc w:val="center"/>
    </w:pPr>
    <w:rPr>
      <w:rFonts w:ascii="宋体" w:hAnsi="宋体"/>
      <w:sz w:val="36"/>
      <w:szCs w:val="24"/>
    </w:rPr>
  </w:style>
  <w:style w:type="paragraph" w:customStyle="1" w:styleId="454">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55">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56">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57">
    <w:name w:val="Blockquote"/>
    <w:basedOn w:val="1"/>
    <w:qFormat/>
    <w:uiPriority w:val="99"/>
    <w:pPr>
      <w:spacing w:before="100" w:after="100"/>
      <w:ind w:left="360" w:right="360"/>
      <w:jc w:val="left"/>
    </w:pPr>
    <w:rPr>
      <w:sz w:val="24"/>
      <w:szCs w:val="20"/>
    </w:rPr>
  </w:style>
  <w:style w:type="paragraph" w:customStyle="1" w:styleId="458">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59">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0">
    <w:name w:val="Char Char Char Char"/>
    <w:basedOn w:val="1"/>
    <w:qFormat/>
    <w:uiPriority w:val="0"/>
    <w:rPr>
      <w:rFonts w:ascii="Tahoma" w:hAnsi="Tahoma"/>
      <w:sz w:val="24"/>
      <w:szCs w:val="20"/>
    </w:rPr>
  </w:style>
  <w:style w:type="paragraph" w:customStyle="1" w:styleId="461">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62">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3">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64">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65">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66">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67">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8">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69">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0">
    <w:name w:val="List Paragraph"/>
    <w:basedOn w:val="1"/>
    <w:qFormat/>
    <w:uiPriority w:val="0"/>
    <w:pPr>
      <w:ind w:firstLine="420"/>
    </w:pPr>
    <w:rPr>
      <w:rFonts w:hint="eastAsia"/>
      <w:szCs w:val="21"/>
    </w:rPr>
  </w:style>
  <w:style w:type="paragraph" w:customStyle="1" w:styleId="471">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72">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3">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4">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7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6">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77">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78">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79">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0">
    <w:name w:val="Char2"/>
    <w:basedOn w:val="1"/>
    <w:qFormat/>
    <w:uiPriority w:val="99"/>
  </w:style>
  <w:style w:type="paragraph" w:customStyle="1" w:styleId="481">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82">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3">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84">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85">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6">
    <w:name w:val="TOC Heading"/>
    <w:basedOn w:val="170"/>
    <w:next w:val="1"/>
    <w:qFormat/>
    <w:uiPriority w:val="0"/>
    <w:pPr>
      <w:spacing w:before="340" w:after="330" w:line="576" w:lineRule="auto"/>
      <w:jc w:val="both"/>
      <w:outlineLvl w:val="9"/>
    </w:pPr>
    <w:rPr>
      <w:rFonts w:ascii="Calibri" w:hAnsi="Calibri"/>
      <w:sz w:val="44"/>
      <w:lang w:val="en-US" w:eastAsia="zh-CN"/>
    </w:rPr>
  </w:style>
  <w:style w:type="paragraph" w:customStyle="1" w:styleId="487">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88">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89">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0">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1">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2">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3">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494">
    <w:name w:val=" Char Char5 Char"/>
    <w:basedOn w:val="1"/>
    <w:qFormat/>
    <w:uiPriority w:val="0"/>
    <w:rPr>
      <w:szCs w:val="20"/>
    </w:rPr>
  </w:style>
  <w:style w:type="paragraph" w:customStyle="1" w:styleId="495">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6">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497">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98">
    <w:name w:val="样式1"/>
    <w:basedOn w:val="1"/>
    <w:next w:val="173"/>
    <w:qFormat/>
    <w:uiPriority w:val="0"/>
    <w:pPr>
      <w:spacing w:line="360" w:lineRule="auto"/>
      <w:ind w:firstLine="420"/>
    </w:pPr>
    <w:rPr>
      <w:rFonts w:ascii="宋体" w:hAnsi="宋体"/>
      <w:szCs w:val="21"/>
    </w:rPr>
  </w:style>
  <w:style w:type="paragraph" w:customStyle="1" w:styleId="499">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0">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1">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02">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03">
    <w:name w:val="正文缩进_0"/>
    <w:basedOn w:val="428"/>
    <w:qFormat/>
    <w:uiPriority w:val="0"/>
    <w:pPr>
      <w:widowControl w:val="0"/>
      <w:ind w:firstLine="420"/>
      <w:jc w:val="both"/>
    </w:pPr>
    <w:rPr>
      <w:u w:val="single"/>
    </w:rPr>
  </w:style>
  <w:style w:type="paragraph" w:customStyle="1" w:styleId="504">
    <w:name w:val="标题 1_0"/>
    <w:basedOn w:val="418"/>
    <w:next w:val="418"/>
    <w:qFormat/>
    <w:uiPriority w:val="0"/>
    <w:pPr>
      <w:keepNext/>
      <w:keepLines/>
      <w:spacing w:before="340" w:after="330" w:line="576" w:lineRule="auto"/>
      <w:outlineLvl w:val="0"/>
    </w:pPr>
    <w:rPr>
      <w:rFonts w:ascii="Times New Roman" w:hAnsi="Times New Roman"/>
      <w:b/>
      <w:bCs/>
      <w:sz w:val="44"/>
      <w:szCs w:val="44"/>
    </w:rPr>
  </w:style>
  <w:style w:type="paragraph" w:customStyle="1" w:styleId="505">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6">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07">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8">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0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0">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1">
    <w:name w:val="默认段落字体 Para Char Char Char Char"/>
    <w:basedOn w:val="1"/>
    <w:qFormat/>
    <w:uiPriority w:val="0"/>
    <w:rPr>
      <w:sz w:val="30"/>
      <w:szCs w:val="21"/>
    </w:rPr>
  </w:style>
  <w:style w:type="paragraph" w:customStyle="1" w:styleId="51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13">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14">
    <w:name w:val="标题 4_0"/>
    <w:basedOn w:val="418"/>
    <w:next w:val="418"/>
    <w:qFormat/>
    <w:uiPriority w:val="0"/>
    <w:pPr>
      <w:keepNext/>
      <w:keepLines/>
      <w:spacing w:before="280" w:after="290" w:line="372" w:lineRule="auto"/>
      <w:outlineLvl w:val="3"/>
    </w:pPr>
    <w:rPr>
      <w:rFonts w:ascii="Cambria" w:hAnsi="Cambria"/>
      <w:b/>
      <w:bCs/>
      <w:sz w:val="28"/>
      <w:szCs w:val="28"/>
    </w:rPr>
  </w:style>
  <w:style w:type="paragraph" w:customStyle="1" w:styleId="515">
    <w:name w:val=" Char Char4 Char"/>
    <w:basedOn w:val="1"/>
    <w:qFormat/>
    <w:uiPriority w:val="0"/>
    <w:pPr>
      <w:spacing w:line="360" w:lineRule="auto"/>
      <w:ind w:firstLine="200"/>
    </w:pPr>
    <w:rPr>
      <w:rFonts w:ascii="宋体" w:hAnsi="宋体" w:cs="宋体"/>
      <w:sz w:val="24"/>
    </w:rPr>
  </w:style>
  <w:style w:type="paragraph" w:customStyle="1" w:styleId="516">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17">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8">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19">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0">
    <w:name w:val="flNote"/>
    <w:basedOn w:val="1"/>
    <w:qFormat/>
    <w:uiPriority w:val="0"/>
    <w:pPr>
      <w:spacing w:before="320" w:after="160" w:line="360" w:lineRule="atLeast"/>
      <w:jc w:val="center"/>
    </w:pPr>
    <w:rPr>
      <w:rFonts w:ascii="Arial" w:eastAsia="黑体"/>
      <w:sz w:val="30"/>
      <w:szCs w:val="20"/>
    </w:rPr>
  </w:style>
  <w:style w:type="paragraph" w:customStyle="1" w:styleId="521">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22">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3">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24">
    <w:name w:val="Default Paragraph Char Char Char Char"/>
    <w:basedOn w:val="1"/>
    <w:next w:val="1"/>
    <w:qFormat/>
    <w:uiPriority w:val="0"/>
    <w:pPr>
      <w:widowControl/>
      <w:spacing w:line="360" w:lineRule="auto"/>
      <w:jc w:val="left"/>
    </w:pPr>
    <w:rPr>
      <w:szCs w:val="20"/>
      <w:lang w:eastAsia="en-US"/>
    </w:rPr>
  </w:style>
  <w:style w:type="paragraph" w:customStyle="1" w:styleId="525">
    <w:name w:val="标题 3_0"/>
    <w:basedOn w:val="418"/>
    <w:next w:val="418"/>
    <w:qFormat/>
    <w:uiPriority w:val="0"/>
    <w:pPr>
      <w:keepNext/>
      <w:keepLines/>
      <w:spacing w:before="260" w:after="260" w:line="413" w:lineRule="auto"/>
      <w:outlineLvl w:val="2"/>
    </w:pPr>
    <w:rPr>
      <w:rFonts w:ascii="Times New Roman" w:hAnsi="Times New Roman"/>
      <w:b/>
      <w:bCs/>
      <w:sz w:val="32"/>
      <w:szCs w:val="32"/>
    </w:rPr>
  </w:style>
  <w:style w:type="paragraph" w:customStyle="1" w:styleId="526">
    <w:name w:val="Char14 Char Char Char"/>
    <w:basedOn w:val="1"/>
    <w:qFormat/>
    <w:uiPriority w:val="99"/>
    <w:rPr>
      <w:szCs w:val="20"/>
    </w:rPr>
  </w:style>
  <w:style w:type="paragraph" w:customStyle="1" w:styleId="527">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28">
    <w:name w:val="TOC 标题_0"/>
    <w:basedOn w:val="504"/>
    <w:next w:val="418"/>
    <w:qFormat/>
    <w:uiPriority w:val="0"/>
    <w:pPr>
      <w:outlineLvl w:val="9"/>
    </w:pPr>
    <w:rPr>
      <w:rFonts w:ascii="Calibri" w:hAnsi="Calibri"/>
    </w:rPr>
  </w:style>
  <w:style w:type="paragraph" w:customStyle="1" w:styleId="529">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0">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1">
    <w:name w:val="正文文本_0"/>
    <w:basedOn w:val="418"/>
    <w:qFormat/>
    <w:uiPriority w:val="0"/>
    <w:pPr>
      <w:spacing w:after="60" w:line="360" w:lineRule="atLeast"/>
      <w:ind w:left="72" w:right="30"/>
      <w:jc w:val="center"/>
    </w:pPr>
    <w:rPr>
      <w:rFonts w:ascii="Times New Roman" w:hAnsi="Times New Roman"/>
      <w:sz w:val="20"/>
      <w:szCs w:val="20"/>
    </w:rPr>
  </w:style>
  <w:style w:type="paragraph" w:customStyle="1" w:styleId="532">
    <w:name w:val="TOC 标题"/>
    <w:basedOn w:val="170"/>
    <w:next w:val="1"/>
    <w:qFormat/>
    <w:uiPriority w:val="0"/>
    <w:pPr>
      <w:spacing w:before="340" w:after="330" w:line="578" w:lineRule="auto"/>
      <w:jc w:val="both"/>
      <w:outlineLvl w:val="9"/>
    </w:pPr>
    <w:rPr>
      <w:sz w:val="44"/>
      <w:lang w:val="en-US" w:eastAsia="zh-CN"/>
    </w:rPr>
  </w:style>
  <w:style w:type="paragraph" w:customStyle="1" w:styleId="533">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34">
    <w:name w:val="列出段落2"/>
    <w:basedOn w:val="1"/>
    <w:qFormat/>
    <w:uiPriority w:val="0"/>
    <w:pPr>
      <w:ind w:firstLine="420"/>
    </w:pPr>
    <w:rPr>
      <w:rFonts w:ascii="Calibri" w:hAnsi="Calibri"/>
      <w:szCs w:val="22"/>
    </w:rPr>
  </w:style>
  <w:style w:type="paragraph" w:customStyle="1" w:styleId="535">
    <w:name w:val="样式 标题 3 + (中文) 黑体 小四 非加粗 段前: 7.8 磅 段后: 0 磅 行距: 固定值 20 磅"/>
    <w:basedOn w:val="172"/>
    <w:qFormat/>
    <w:uiPriority w:val="0"/>
    <w:pPr>
      <w:tabs>
        <w:tab w:val="left" w:pos="720"/>
      </w:tabs>
      <w:spacing w:before="0" w:after="0" w:line="400" w:lineRule="exact"/>
    </w:pPr>
    <w:rPr>
      <w:rFonts w:eastAsia="黑体"/>
      <w:b/>
      <w:bCs w:val="0"/>
      <w:sz w:val="24"/>
      <w:szCs w:val="20"/>
    </w:rPr>
  </w:style>
  <w:style w:type="paragraph" w:customStyle="1" w:styleId="536">
    <w:name w:val="空半行"/>
    <w:basedOn w:val="1"/>
    <w:qFormat/>
    <w:uiPriority w:val="0"/>
    <w:pPr>
      <w:spacing w:line="120" w:lineRule="exact"/>
    </w:pPr>
    <w:rPr>
      <w:rFonts w:eastAsia="仿宋_GB2312"/>
      <w:color w:val="FFFFFF"/>
      <w:sz w:val="30"/>
      <w:szCs w:val="20"/>
    </w:rPr>
  </w:style>
  <w:style w:type="paragraph" w:customStyle="1" w:styleId="537">
    <w:name w:val="纯文本1"/>
    <w:basedOn w:val="1"/>
    <w:qFormat/>
    <w:uiPriority w:val="0"/>
    <w:rPr>
      <w:rFonts w:ascii="宋体" w:hAnsi="Courier New"/>
      <w:sz w:val="28"/>
    </w:rPr>
  </w:style>
  <w:style w:type="paragraph" w:customStyle="1" w:styleId="538">
    <w:name w:val="普通正文"/>
    <w:basedOn w:val="1"/>
    <w:qFormat/>
    <w:uiPriority w:val="0"/>
    <w:pPr>
      <w:spacing w:before="120" w:after="120" w:line="360" w:lineRule="auto"/>
      <w:ind w:firstLine="480"/>
      <w:jc w:val="left"/>
    </w:pPr>
    <w:rPr>
      <w:rFonts w:ascii="Arial" w:hAnsi="Arial"/>
      <w:sz w:val="24"/>
    </w:rPr>
  </w:style>
  <w:style w:type="paragraph" w:customStyle="1" w:styleId="539">
    <w:name w:val="Table Paragraph"/>
    <w:basedOn w:val="1"/>
    <w:qFormat/>
    <w:uiPriority w:val="1"/>
    <w:pPr>
      <w:jc w:val="left"/>
    </w:pPr>
    <w:rPr>
      <w:sz w:val="24"/>
    </w:rPr>
  </w:style>
  <w:style w:type="paragraph" w:customStyle="1" w:styleId="540">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1">
    <w:name w:val="纯文本21"/>
    <w:basedOn w:val="1"/>
    <w:qFormat/>
    <w:uiPriority w:val="99"/>
    <w:rPr>
      <w:rFonts w:ascii="宋体" w:hAnsi="Courier New" w:eastAsia="楷体_GB2312"/>
      <w:sz w:val="26"/>
      <w:szCs w:val="20"/>
    </w:rPr>
  </w:style>
  <w:style w:type="paragraph" w:customStyle="1" w:styleId="542">
    <w:name w:val="WPSOffice手动目录 1"/>
    <w:qFormat/>
    <w:uiPriority w:val="0"/>
    <w:rPr>
      <w:rFonts w:hint="default" w:ascii="Times New Roman" w:hAnsi="Times New Roman" w:eastAsia="宋体" w:cs="Times New Roman"/>
      <w:sz w:val="20"/>
      <w:szCs w:val="20"/>
    </w:rPr>
  </w:style>
  <w:style w:type="character" w:customStyle="1" w:styleId="543">
    <w:name w:val="hover3"/>
    <w:basedOn w:val="179"/>
    <w:link w:val="1"/>
    <w:qFormat/>
    <w:uiPriority w:val="0"/>
    <w:rPr>
      <w:color w:val="5FB878"/>
    </w:rPr>
  </w:style>
  <w:style w:type="character" w:customStyle="1" w:styleId="544">
    <w:name w:val="hover4"/>
    <w:basedOn w:val="179"/>
    <w:link w:val="1"/>
    <w:qFormat/>
    <w:uiPriority w:val="0"/>
    <w:rPr>
      <w:color w:val="FFFFFF"/>
    </w:rPr>
  </w:style>
  <w:style w:type="character" w:customStyle="1" w:styleId="545">
    <w:name w:val="first-child"/>
    <w:basedOn w:val="179"/>
    <w:link w:val="1"/>
    <w:qFormat/>
    <w:uiPriority w:val="0"/>
  </w:style>
  <w:style w:type="character" w:customStyle="1" w:styleId="546">
    <w:name w:val="layui-this"/>
    <w:basedOn w:val="179"/>
    <w:link w:val="1"/>
    <w:qFormat/>
    <w:uiPriority w:val="0"/>
    <w:rPr>
      <w:shd w:val="clear" w:color="auto" w:fill="FFFFFF"/>
    </w:rPr>
  </w:style>
  <w:style w:type="paragraph" w:customStyle="1" w:styleId="547">
    <w:name w:val="正文文本缩进 31"/>
    <w:basedOn w:val="1"/>
    <w:qFormat/>
    <w:uiPriority w:val="0"/>
    <w:pPr>
      <w:spacing w:line="400" w:lineRule="exact"/>
      <w:ind w:left="360"/>
    </w:pPr>
  </w:style>
  <w:style w:type="paragraph" w:customStyle="1" w:styleId="548">
    <w:name w:val="标题 21"/>
    <w:basedOn w:val="1"/>
    <w:next w:val="1"/>
    <w:qFormat/>
    <w:uiPriority w:val="0"/>
    <w:pPr>
      <w:keepNext/>
      <w:keepLines/>
      <w:spacing w:line="360" w:lineRule="auto"/>
      <w:outlineLvl w:val="1"/>
    </w:pPr>
    <w:rPr>
      <w:b/>
      <w:bCs/>
      <w:szCs w:val="32"/>
    </w:rPr>
  </w:style>
  <w:style w:type="paragraph" w:customStyle="1" w:styleId="549">
    <w:name w:val="标题 31"/>
    <w:basedOn w:val="1"/>
    <w:next w:val="1"/>
    <w:qFormat/>
    <w:uiPriority w:val="0"/>
    <w:pPr>
      <w:keepNext/>
      <w:keepLines/>
      <w:spacing w:before="260" w:after="260" w:line="416" w:lineRule="auto"/>
      <w:outlineLvl w:val="2"/>
    </w:pPr>
    <w:rPr>
      <w:b/>
      <w:bCs/>
      <w:sz w:val="32"/>
      <w:szCs w:val="32"/>
    </w:rPr>
  </w:style>
  <w:style w:type="paragraph" w:customStyle="1" w:styleId="550">
    <w:name w:val="目录 31"/>
    <w:basedOn w:val="1"/>
    <w:next w:val="1"/>
    <w:unhideWhenUsed/>
    <w:qFormat/>
    <w:uiPriority w:val="39"/>
    <w:pPr>
      <w:ind w:left="210"/>
      <w:jc w:val="left"/>
    </w:pPr>
    <w:rPr>
      <w:rFonts w:ascii="Calibri" w:hAnsi="Calibri" w:cs="Calibri"/>
      <w:sz w:val="20"/>
      <w:szCs w:val="20"/>
    </w:rPr>
  </w:style>
  <w:style w:type="paragraph" w:customStyle="1" w:styleId="551">
    <w:name w:val="正文文本缩进1"/>
    <w:basedOn w:val="1"/>
    <w:next w:val="552"/>
    <w:qFormat/>
    <w:uiPriority w:val="0"/>
    <w:pPr>
      <w:spacing w:before="100" w:beforeAutospacing="1" w:after="100" w:afterAutospacing="1"/>
      <w:ind w:left="420" w:firstLine="200"/>
    </w:pPr>
    <w:rPr>
      <w:rFonts w:ascii="Calibri" w:hAnsi="Calibri"/>
      <w:szCs w:val="22"/>
    </w:rPr>
  </w:style>
  <w:style w:type="paragraph" w:customStyle="1" w:styleId="552">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553">
    <w:name w:val="正文文本1"/>
    <w:basedOn w:val="1"/>
    <w:next w:val="1"/>
    <w:qFormat/>
    <w:uiPriority w:val="0"/>
    <w:pPr>
      <w:jc w:val="center"/>
    </w:pPr>
  </w:style>
  <w:style w:type="paragraph" w:customStyle="1" w:styleId="554">
    <w:name w:val="标题 11"/>
    <w:basedOn w:val="1"/>
    <w:next w:val="1"/>
    <w:qFormat/>
    <w:uiPriority w:val="0"/>
    <w:pPr>
      <w:keepNext/>
      <w:keepLines/>
      <w:tabs>
        <w:tab w:val="left" w:pos="330"/>
        <w:tab w:val="left" w:pos="7020"/>
      </w:tabs>
      <w:spacing w:line="360" w:lineRule="auto"/>
      <w:jc w:val="center"/>
      <w:outlineLvl w:val="0"/>
    </w:pPr>
    <w:rPr>
      <w:b/>
      <w:bCs/>
      <w:sz w:val="36"/>
      <w:szCs w:val="44"/>
    </w:rPr>
  </w:style>
  <w:style w:type="paragraph" w:customStyle="1" w:styleId="555">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table" w:customStyle="1" w:styleId="556">
    <w:name w:val="网格型1"/>
    <w:basedOn w:val="557"/>
    <w:qFormat/>
    <w:uiPriority w:val="0"/>
    <w:pPr>
      <w:widowControl w:val="0"/>
      <w:jc w:val="both"/>
    </w:pPr>
    <w:rPr>
      <w:rFonts w:ascii="Times New Roman" w:hAnsi="Times New Roman" w:eastAsia="宋体" w:cs="Times New Roman"/>
      <w:sz w:val="20"/>
      <w:szCs w:val="20"/>
    </w:rPr>
  </w:style>
  <w:style w:type="table" w:customStyle="1" w:styleId="557">
    <w:name w:val="普通表格1"/>
    <w:unhideWhenUsed/>
    <w:qFormat/>
    <w:uiPriority w:val="99"/>
    <w:rPr>
      <w:lang w:val="en-US" w:eastAsia="zh-CN" w:bidi="ar-SA"/>
    </w:rPr>
  </w:style>
  <w:style w:type="table" w:customStyle="1" w:styleId="558">
    <w:name w:val="Table Normal"/>
    <w:unhideWhenUsed/>
    <w:qFormat/>
    <w:uiPriority w:val="0"/>
  </w:style>
  <w:style w:type="paragraph" w:customStyle="1" w:styleId="559">
    <w:name w:val="Table Text"/>
    <w:basedOn w:val="1"/>
    <w:semiHidden/>
    <w:qFormat/>
    <w:uiPriority w:val="0"/>
    <w:rPr>
      <w:rFonts w:ascii="宋体" w:hAnsi="宋体" w:eastAsia="宋体" w:cs="宋体"/>
      <w:sz w:val="24"/>
      <w:szCs w:val="24"/>
      <w:lang w:val="en-US" w:eastAsia="en-US" w:bidi="ar-SA"/>
    </w:rPr>
  </w:style>
  <w:style w:type="paragraph" w:customStyle="1" w:styleId="560">
    <w:name w:val="页脚1"/>
    <w:basedOn w:val="1"/>
    <w:qFormat/>
    <w:uiPriority w:val="0"/>
    <w:pPr>
      <w:tabs>
        <w:tab w:val="center" w:pos="4153"/>
        <w:tab w:val="right" w:pos="8306"/>
      </w:tabs>
      <w:jc w:val="left"/>
    </w:pPr>
    <w:rPr>
      <w:sz w:val="18"/>
      <w:szCs w:val="18"/>
    </w:rPr>
  </w:style>
  <w:style w:type="paragraph" w:customStyle="1" w:styleId="561">
    <w:name w:val="批注文字1"/>
    <w:basedOn w:val="1"/>
    <w:qFormat/>
    <w:uiPriority w:val="0"/>
    <w:pPr>
      <w:jc w:val="left"/>
    </w:pPr>
  </w:style>
  <w:style w:type="character" w:customStyle="1" w:styleId="562">
    <w:name w:val="font01"/>
    <w:qFormat/>
    <w:uiPriority w:val="0"/>
    <w:rPr>
      <w:sz w:val="24"/>
      <w:szCs w:val="24"/>
      <w:lang w:val="en-US" w:eastAsia="zh-CN" w:bidi="ar-SA"/>
    </w:rPr>
  </w:style>
  <w:style w:type="character" w:customStyle="1" w:styleId="563">
    <w:name w:val="font11"/>
    <w:qFormat/>
    <w:uiPriority w:val="0"/>
    <w:rPr>
      <w:rFonts w:hint="eastAsia" w:ascii="宋体" w:hAnsi="宋体" w:eastAsia="宋体" w:cs="宋体"/>
      <w:color w:val="000000"/>
      <w:sz w:val="21"/>
      <w:szCs w:val="21"/>
      <w:u w:val="none"/>
    </w:rPr>
  </w:style>
  <w:style w:type="paragraph" w:customStyle="1" w:styleId="564">
    <w:name w:val="HTML 预设格式1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02"/>
      <w:jc w:val="left"/>
    </w:pPr>
    <w:rPr>
      <w:rFonts w:hint="default" w:ascii="黑体" w:hAnsi="Courier New" w:eastAsia="黑体" w:cs="Times New Roman"/>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xt256</Company>
  <Pages>107</Pages>
  <Words>53523</Words>
  <Characters>55997</Characters>
  <TotalTime>0</TotalTime>
  <ScaleCrop>false</ScaleCrop>
  <LinksUpToDate>false</LinksUpToDate>
  <CharactersWithSpaces>56665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Administrator</cp:lastModifiedBy>
  <dcterms:modified xsi:type="dcterms:W3CDTF">2026-09-18T11:10:10Z</dcterms:modified>
  <dc:title>附件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eyJoZGlkIjoiMjIxYjYxZjcxZTBkMTk5MDI1ZjM5MDc5MGEwYWM2OTgiLCJ1c2VySWQiOiI2MzM4MjQ1NjUifQ==</vt:lpwstr>
  </property>
  <property fmtid="{D5CDD505-2E9C-101B-9397-08002B2CF9AE}" pid="3" name="KSOProductBuildVer">
    <vt:lpwstr>2052-12.1.0.28505</vt:lpwstr>
  </property>
  <property fmtid="{D5CDD505-2E9C-101B-9397-08002B2CF9AE}" pid="4" name="ICV">
    <vt:lpwstr>61BFFA6AAAF849CE96B7BC5FD3D4EB63_13</vt:lpwstr>
  </property>
</Properties>
</file>