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z w:val="96"/>
          <w:szCs w:val="96"/>
          <w:highlight w:val="none"/>
        </w:rPr>
      </w:pPr>
      <w:r>
        <w:rPr>
          <w:rFonts w:ascii="宋体" w:hAnsi="宋体" w:cs="宋体"/>
          <w:b/>
          <w:color w:val="auto"/>
          <w:sz w:val="96"/>
          <w:szCs w:val="96"/>
          <w:highlight w:val="none"/>
        </w:rPr>
      </w:r>
      <w:r/>
    </w:p>
    <w:p>
      <w:pPr>
        <w:jc w:val="center"/>
        <w:rPr>
          <w:rFonts w:ascii="宋体" w:hAnsi="宋体" w:cs="宋体"/>
          <w:b/>
          <w:color w:val="auto"/>
          <w:spacing w:val="40"/>
          <w:sz w:val="72"/>
          <w:szCs w:val="72"/>
          <w:highlight w:val="none"/>
        </w:rPr>
      </w:pPr>
      <w:r/>
      <w:bookmarkStart w:id="0" w:name="_Toc23250"/>
      <w:r>
        <w:rPr>
          <w:rFonts w:hint="eastAsia" w:ascii="宋体" w:hAnsi="宋体" w:cs="宋体"/>
          <w:b/>
          <w:color w:val="auto"/>
          <w:spacing w:val="40"/>
          <w:sz w:val="72"/>
          <w:szCs w:val="72"/>
          <w:highlight w:val="none"/>
        </w:rPr>
        <w:t xml:space="preserve">苏州市吴江区政府采购</w:t>
      </w:r>
      <w:bookmarkEnd w:id="0"/>
      <w:r/>
      <w:r/>
    </w:p>
    <w:p>
      <w:pPr>
        <w:jc w:val="center"/>
        <w:rPr>
          <w:rFonts w:hint="eastAsia" w:ascii="宋体" w:hAnsi="宋体" w:cs="宋体"/>
          <w:b/>
          <w:color w:val="auto"/>
          <w:spacing w:val="20"/>
          <w:sz w:val="72"/>
          <w:szCs w:val="72"/>
          <w:highlight w:val="none"/>
        </w:rPr>
      </w:pPr>
      <w:r/>
      <w:bookmarkStart w:id="1" w:name="_Toc21822"/>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bookmarkEnd w:id="1"/>
      <w:r/>
      <w:r/>
    </w:p>
    <w:p>
      <w:pPr>
        <w:jc w:val="center"/>
        <w:rPr>
          <w:rFonts w:ascii="宋体" w:hAnsi="宋体" w:cs="宋体"/>
          <w:color w:val="auto"/>
          <w:highlight w:val="none"/>
        </w:rPr>
      </w:pPr>
      <w:r>
        <w:rPr>
          <w:rFonts w:ascii="宋体" w:hAnsi="宋体" w:cs="宋体"/>
          <w:color w:val="auto"/>
          <w:highlight w:val="none"/>
        </w:rPr>
      </w:r>
      <w:r/>
    </w:p>
    <w:p>
      <w:pPr>
        <w:pStyle w:val="1124"/>
        <w:spacing w:before="156" w:after="156"/>
        <w:rPr>
          <w:rFonts w:cs="宋体"/>
          <w:color w:val="auto"/>
          <w:highlight w:val="none"/>
        </w:rPr>
      </w:pPr>
      <w:r>
        <w:rPr>
          <w:rFonts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eastAsia="zh-CN"/>
        </w:rPr>
        <w:t xml:space="preserve">项目编号</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eastAsia="zh-CN"/>
        </w:rPr>
        <w:t xml:space="preserve">JSZC-320509-SZTY-C2026-0010</w:t>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2"/>
          <w:szCs w:val="32"/>
          <w:highlight w:val="none"/>
          <w:lang w:eastAsia="zh-CN"/>
        </w:rPr>
        <w:t xml:space="preserve">吴江区智慧健康软件2026年服务项目</w:t>
      </w:r>
      <w:r/>
    </w:p>
    <w:p>
      <w:pPr>
        <w:ind w:firstLine="1200"/>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苏州市吴江区卫生健康委员会</w:t>
      </w:r>
      <w:r/>
    </w:p>
    <w:p>
      <w:pPr>
        <w:jc w:val="center"/>
        <w:rPr>
          <w:rFonts w:ascii="宋体" w:hAnsi="宋体" w:cs="宋体"/>
          <w:color w:val="auto"/>
          <w:spacing w:val="-14"/>
          <w:sz w:val="30"/>
          <w:highlight w:val="none"/>
        </w:rPr>
      </w:pPr>
      <w:r>
        <w:rPr>
          <w:rFonts w:ascii="宋体" w:hAnsi="宋体" w:cs="宋体"/>
          <w:color w:val="auto"/>
          <w:spacing w:val="-14"/>
          <w:sz w:val="30"/>
          <w:highlight w:val="none"/>
        </w:rPr>
      </w:r>
      <w:r/>
    </w:p>
    <w:p>
      <w:pPr>
        <w:jc w:val="center"/>
        <w:rPr>
          <w:rFonts w:ascii="宋体" w:hAnsi="宋体" w:cs="宋体"/>
          <w:color w:val="auto"/>
          <w:sz w:val="32"/>
          <w:highlight w:val="none"/>
        </w:rPr>
      </w:pPr>
      <w:r>
        <w:rPr>
          <w:rFonts w:ascii="宋体" w:hAnsi="宋体" w:cs="宋体"/>
          <w:color w:val="auto"/>
          <w:sz w:val="32"/>
          <w:highlight w:val="none"/>
        </w:rPr>
      </w:r>
      <w:r/>
    </w:p>
    <w:p>
      <w:pPr>
        <w:jc w:val="center"/>
        <w:rPr>
          <w:rFonts w:ascii="宋体" w:hAnsi="宋体" w:cs="宋体"/>
          <w:color w:val="auto"/>
          <w:sz w:val="32"/>
          <w:highlight w:val="none"/>
        </w:rPr>
      </w:pPr>
      <w:r>
        <w:rPr>
          <w:rFonts w:ascii="宋体" w:hAnsi="宋体" w:cs="宋体"/>
          <w:color w:val="auto"/>
          <w:sz w:val="32"/>
          <w:highlight w:val="none"/>
        </w:rPr>
      </w:r>
      <w:r/>
    </w:p>
    <w:p>
      <w:pPr>
        <w:jc w:val="center"/>
        <w:rPr>
          <w:rFonts w:ascii="宋体" w:hAnsi="宋体" w:cs="宋体"/>
          <w:color w:val="auto"/>
          <w:sz w:val="30"/>
          <w:szCs w:val="30"/>
          <w:highlight w:val="none"/>
        </w:rPr>
      </w:pPr>
      <w:r>
        <w:rPr>
          <w:rFonts w:hint="eastAsia" w:ascii="宋体" w:hAnsi="宋体" w:cs="宋体"/>
          <w:color w:val="auto"/>
          <w:sz w:val="30"/>
          <w:szCs w:val="30"/>
          <w:highlight w:val="none"/>
        </w:rPr>
        <w:t xml:space="preserve">苏州通宜房地产土地评估咨询有限公司</w:t>
      </w:r>
      <w:r/>
    </w:p>
    <w:p>
      <w:pPr>
        <w:jc w:val="center"/>
        <w:rPr>
          <w:rFonts w:ascii="宋体" w:hAnsi="宋体" w:cs="宋体"/>
          <w:color w:val="auto"/>
          <w:sz w:val="30"/>
          <w:szCs w:val="30"/>
          <w:highlight w:val="none"/>
          <w:lang w:val="zh-CN"/>
        </w:rPr>
      </w:pPr>
      <w:r>
        <w:rPr>
          <w:rFonts w:hint="eastAsia" w:ascii="宋体" w:hAnsi="宋体" w:cs="宋体"/>
          <w:color w:val="auto"/>
          <w:sz w:val="30"/>
          <w:szCs w:val="30"/>
          <w:highlight w:val="none"/>
          <w:lang w:val="zh-CN"/>
        </w:rPr>
        <w:t xml:space="preserve">二</w:t>
      </w:r>
      <w:r>
        <w:rPr>
          <w:rFonts w:hint="eastAsia" w:ascii="宋体" w:hAnsi="宋体" w:cs="宋体"/>
          <w:color w:val="auto"/>
          <w:sz w:val="30"/>
          <w:szCs w:val="30"/>
          <w:highlight w:val="none"/>
        </w:rPr>
        <w:t xml:space="preserve">〇二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lang w:val="zh-CN"/>
        </w:rPr>
        <w:t xml:space="preserve">年</w:t>
      </w:r>
      <w:r>
        <w:rPr>
          <w:rFonts w:hint="eastAsia" w:ascii="宋体" w:hAnsi="宋体" w:cs="宋体"/>
          <w:color w:val="auto"/>
          <w:sz w:val="30"/>
          <w:szCs w:val="30"/>
          <w:highlight w:val="none"/>
          <w:lang w:val="en-US" w:eastAsia="zh-CN"/>
        </w:rPr>
        <w:t xml:space="preserve">十</w:t>
      </w:r>
      <w:r>
        <w:rPr>
          <w:rFonts w:hint="eastAsia" w:ascii="宋体" w:hAnsi="宋体" w:cs="宋体"/>
          <w:color w:val="auto"/>
          <w:sz w:val="30"/>
          <w:szCs w:val="30"/>
          <w:highlight w:val="none"/>
        </w:rPr>
        <w:t xml:space="preserve">月</w:t>
      </w:r>
      <w:r/>
    </w:p>
    <w:p>
      <w:pPr>
        <w:jc w:val="center"/>
        <w:rPr>
          <w:rFonts w:ascii="宋体" w:hAnsi="宋体" w:cs="宋体"/>
          <w:b/>
          <w:color w:val="auto"/>
          <w:sz w:val="52"/>
          <w:szCs w:val="52"/>
          <w:highlight w:val="none"/>
        </w:rPr>
      </w:pPr>
      <w:r/>
      <w:bookmarkStart w:id="2" w:name="_Toc27525"/>
      <w:r/>
      <w:r/>
    </w:p>
    <w:p>
      <w:pPr>
        <w:jc w:val="center"/>
        <w:rPr>
          <w:rFonts w:ascii="宋体" w:hAnsi="宋体" w:cs="宋体"/>
          <w:b/>
          <w:color w:val="auto"/>
          <w:sz w:val="52"/>
          <w:szCs w:val="52"/>
          <w:highlight w:val="none"/>
        </w:rPr>
        <w:sectPr>
          <w:headerReference w:type="default" r:id="rId9"/>
          <w:footerReference w:type="default" r:id="rId11"/>
          <w:footnotePr/>
          <w:endnotePr/>
          <w:type w:val="nextPage"/>
          <w:pgSz w:w="11906" w:h="16838" w:orient="portrait"/>
          <w:pgMar w:top="1440" w:right="1417" w:bottom="1134" w:left="1417" w:header="851" w:footer="850" w:gutter="0"/>
          <w:cols w:num="1" w:sep="0" w:space="1701" w:equalWidth="1"/>
          <w:docGrid w:linePitch="360"/>
        </w:sectPr>
      </w:pPr>
      <w:r>
        <w:rPr>
          <w:rFonts w:ascii="宋体" w:hAnsi="宋体" w:cs="宋体"/>
          <w:b/>
          <w:color w:val="auto"/>
          <w:sz w:val="52"/>
          <w:szCs w:val="52"/>
          <w:highlight w:val="none"/>
        </w:rPr>
      </w:r>
      <w:r/>
    </w:p>
    <w:p>
      <w:pPr>
        <w:jc w:val="center"/>
        <w:pageBreakBefore/>
        <w:rPr>
          <w:rFonts w:ascii="宋体" w:hAnsi="宋体" w:cs="宋体"/>
          <w:b/>
          <w:color w:val="auto"/>
          <w:sz w:val="32"/>
          <w:highlight w:val="none"/>
        </w:rPr>
      </w:pPr>
      <w:r>
        <w:rPr>
          <w:rFonts w:hint="eastAsia" w:ascii="宋体" w:hAnsi="宋体" w:cs="宋体"/>
          <w:b/>
          <w:color w:val="auto"/>
          <w:sz w:val="32"/>
          <w:highlight w:val="none"/>
        </w:rPr>
        <w:t xml:space="preserve">前附表</w:t>
      </w:r>
      <w:r/>
    </w:p>
    <w:p>
      <w:pPr>
        <w:pStyle w:val="895"/>
        <w:ind w:firstLine="420"/>
        <w:rPr>
          <w:rFonts w:ascii="宋体" w:hAnsi="宋体" w:cs="宋体"/>
          <w:color w:val="auto"/>
          <w:highlight w:val="none"/>
        </w:rPr>
      </w:pPr>
      <w:r>
        <w:rPr>
          <w:rFonts w:hint="eastAsia" w:ascii="宋体" w:hAnsi="宋体" w:cs="宋体"/>
          <w:color w:val="auto"/>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8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2034"/>
        <w:gridCol w:w="5638"/>
      </w:tblGrid>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吴江区智慧健康软件2026年服务项目</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预算金额</w:t>
            </w:r>
            <w:bookmarkStart w:id="3" w:name="OLE_LINK7"/>
            <w:r>
              <w:rPr>
                <w:rFonts w:hint="eastAsia" w:ascii="宋体" w:hAnsi="宋体" w:cs="宋体"/>
                <w:color w:val="auto"/>
                <w:szCs w:val="21"/>
                <w:highlight w:val="none"/>
              </w:rPr>
              <w:t xml:space="preserve">（元）</w:t>
            </w:r>
            <w:bookmarkEnd w:id="3"/>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ind w:firstLine="420"/>
              <w:rPr>
                <w:rFonts w:hint="eastAsia" w:eastAsia="宋体"/>
                <w:color w:val="auto"/>
                <w:highlight w:val="none"/>
                <w:lang w:eastAsia="zh-CN"/>
              </w:rPr>
            </w:pPr>
            <w:r>
              <w:rPr>
                <w:rFonts w:hint="eastAsia"/>
                <w:color w:val="auto"/>
                <w:highlight w:val="none"/>
                <w:lang w:eastAsia="zh-CN"/>
              </w:rPr>
              <w:t xml:space="preserve">人民币壹佰叁拾玖万元整（¥1390000元）</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hint="eastAsia" w:ascii="宋体" w:hAnsi="宋体" w:cs="宋体"/>
                <w:color w:val="auto"/>
                <w:szCs w:val="21"/>
                <w:highlight w:val="none"/>
              </w:rPr>
            </w:pPr>
            <w:r>
              <w:rPr>
                <w:rFonts w:hint="eastAsia" w:ascii="宋体" w:hAnsi="宋体"/>
                <w:color w:val="auto"/>
                <w:szCs w:val="21"/>
                <w:highlight w:val="none"/>
              </w:rPr>
              <w:t xml:space="preserve">最高限价</w:t>
            </w:r>
            <w:r>
              <w:rPr>
                <w:rFonts w:hint="eastAsia" w:ascii="宋体" w:hAnsi="宋体" w:cs="宋体"/>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ind w:firstLine="420"/>
              <w:rPr>
                <w:rFonts w:hint="eastAsia" w:eastAsia="宋体"/>
                <w:color w:val="auto"/>
                <w:highlight w:val="none"/>
                <w:lang w:eastAsia="zh-CN"/>
              </w:rPr>
            </w:pPr>
            <w:r>
              <w:rPr>
                <w:rFonts w:hint="eastAsia" w:ascii="宋体" w:hAnsi="宋体"/>
                <w:color w:val="auto"/>
                <w:szCs w:val="21"/>
                <w:highlight w:val="none"/>
                <w:lang w:eastAsia="zh-CN"/>
              </w:rPr>
              <w:t xml:space="preserve">人民币壹佰叁拾柒万元整（</w:t>
            </w:r>
            <w:r>
              <w:rPr>
                <w:rFonts w:hint="default" w:ascii="Arial" w:hAnsi="Arial" w:cs="Arial"/>
                <w:bCs/>
                <w:color w:val="auto"/>
                <w:szCs w:val="21"/>
                <w:highlight w:val="none"/>
                <w:lang w:eastAsia="zh-CN"/>
              </w:rPr>
              <w:t xml:space="preserve">¥</w:t>
            </w:r>
            <w:r>
              <w:rPr>
                <w:rFonts w:hint="eastAsia" w:ascii="宋体" w:hAnsi="宋体"/>
                <w:color w:val="auto"/>
                <w:szCs w:val="21"/>
                <w:highlight w:val="none"/>
                <w:lang w:eastAsia="zh-CN"/>
              </w:rPr>
              <w:t xml:space="preserve">1370000元）</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926"/>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rPr>
                <w:rFonts w:hint="eastAsia" w:ascii="宋体" w:hAnsi="宋体"/>
                <w:color w:val="auto"/>
                <w:highlight w:val="none"/>
              </w:rPr>
              <w:t xml:space="preserve">（成交后，成交单位向招标代理机构提供与电子投标文件内容一致的纸质投标文件两份。）</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人民币</w:t>
            </w:r>
            <w:r/>
          </w:p>
        </w:tc>
      </w:tr>
      <w:tr>
        <w:trPr>
          <w:jc w:val="center"/>
          <w:trHeight w:val="773"/>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926"/>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pStyle w:val="1123"/>
              <w:ind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月05</w:t>
            </w:r>
            <w:r>
              <w:rPr>
                <w:rFonts w:hint="eastAsia" w:ascii="宋体" w:hAnsi="宋体" w:cs="宋体"/>
                <w:color w:val="auto"/>
                <w:szCs w:val="21"/>
                <w:highlight w:val="none"/>
              </w:rPr>
              <w:t xml:space="preserve">日09：30 （北京时间）</w:t>
            </w:r>
            <w:r/>
          </w:p>
        </w:tc>
      </w:tr>
      <w:tr>
        <w:trPr>
          <w:jc w:val="center"/>
          <w:trHeight w:val="773"/>
        </w:trPr>
        <w:tc>
          <w:tcPr>
            <w:tcBorders>
              <w:left w:val="single" w:color="auto" w:sz="4" w:space="0"/>
              <w:right w:val="single" w:color="auto" w:sz="4" w:space="0"/>
            </w:tcBorders>
            <w:tcW w:w="647" w:type="dxa"/>
            <w:vAlign w:val="center"/>
            <w:vMerge w:val="restart"/>
            <w:textDirection w:val="lrTb"/>
            <w:noWrap/>
          </w:tcPr>
          <w:p>
            <w:pPr>
              <w:pStyle w:val="1123"/>
              <w:ind w:firstLine="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月05</w:t>
            </w:r>
            <w:r>
              <w:rPr>
                <w:rFonts w:hint="eastAsia" w:ascii="宋体" w:hAnsi="宋体" w:cs="宋体"/>
                <w:color w:val="auto"/>
                <w:szCs w:val="21"/>
                <w:highlight w:val="none"/>
              </w:rPr>
              <w:t xml:space="preserve">日09：30 （北京时间）</w:t>
            </w:r>
            <w:r/>
          </w:p>
        </w:tc>
      </w:tr>
      <w:tr>
        <w:trPr>
          <w:jc w:val="center"/>
          <w:trHeight w:val="1995"/>
        </w:trPr>
        <w:tc>
          <w:tcPr>
            <w:tcBorders>
              <w:left w:val="single" w:color="auto" w:sz="4" w:space="0"/>
              <w:bottom w:val="single" w:color="auto" w:sz="4" w:space="0"/>
              <w:right w:val="single" w:color="auto" w:sz="4" w:space="0"/>
            </w:tcBorders>
            <w:tcW w:w="647" w:type="dxa"/>
            <w:vAlign w:val="center"/>
            <w:vMerge w:val="continue"/>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月05</w:t>
            </w:r>
            <w:r>
              <w:rPr>
                <w:rFonts w:hint="eastAsia" w:ascii="宋体" w:hAnsi="宋体" w:cs="宋体"/>
                <w:color w:val="auto"/>
                <w:szCs w:val="21"/>
                <w:highlight w:val="none"/>
              </w:rPr>
              <w:t xml:space="preserve">日09：30 （北京时间）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166"/>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638"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月05</w:t>
            </w:r>
            <w:r>
              <w:rPr>
                <w:rFonts w:hint="eastAsia" w:ascii="宋体" w:hAnsi="宋体" w:cs="宋体"/>
                <w:color w:val="auto"/>
                <w:szCs w:val="21"/>
                <w:highlight w:val="none"/>
              </w:rPr>
              <w:t xml:space="preserve">日09：30（北京时间）</w:t>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苏州市吴江区开平路998号行政服务大楼三楼评标室</w:t>
            </w:r>
            <w:r/>
          </w:p>
        </w:tc>
      </w:tr>
    </w:tbl>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sectPr>
          <w:footerReference w:type="default" r:id="rId12"/>
          <w:footnotePr/>
          <w:endnotePr/>
          <w:type w:val="nextPage"/>
          <w:pgSz w:w="11906" w:h="16838" w:orient="portrait"/>
          <w:pgMar w:top="1440" w:right="1417" w:bottom="1134" w:left="1417" w:header="851" w:footer="850" w:gutter="0"/>
          <w:pgNumType w:start="1"/>
          <w:cols w:num="1" w:sep="0" w:space="1701" w:equalWidth="1"/>
          <w:docGrid w:linePitch="360"/>
        </w:sect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bookmarkEnd w:id="2"/>
      <w:r/>
      <w:r/>
    </w:p>
    <w:p>
      <w:pPr>
        <w:pStyle w:val="88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"1-2"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_Toc11016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一、竞争性磋商邀请函</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_Toc11016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8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_Toc26391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二、磋商供应商须知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_Toc26391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8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_Toc7652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三、采购需求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_Toc7652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19</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8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_Toc14846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四、评标办法及评分标准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_Toc14846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37</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8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_Toc21982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五、合同主要条款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_Toc21982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42</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8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_Toc30803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六、响应文件格式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_Toc30803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51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56"/>
        <w:rPr>
          <w:rFonts w:ascii="宋体" w:hAnsi="宋体" w:cs="宋体"/>
          <w:color w:val="auto"/>
          <w:highlight w:val="none"/>
        </w:rPr>
      </w:pPr>
      <w:r>
        <w:rPr>
          <w:rFonts w:hint="eastAsia" w:ascii="宋体" w:hAnsi="宋体" w:eastAsia="宋体" w:cs="宋体"/>
          <w:color w:val="auto"/>
          <w:sz w:val="30"/>
          <w:szCs w:val="30"/>
          <w:highlight w:val="none"/>
        </w:rPr>
        <w:fldChar w:fldCharType="end"/>
      </w:r>
      <w:bookmarkStart w:id="4" w:name="_Toc15176"/>
      <w:r/>
      <w:r/>
    </w:p>
    <w:p>
      <w:pPr>
        <w:pStyle w:val="856"/>
        <w:rPr>
          <w:rFonts w:ascii="宋体" w:hAnsi="宋体" w:cs="宋体"/>
          <w:color w:val="auto"/>
          <w:highlight w:val="none"/>
        </w:rPr>
        <w:sectPr>
          <w:footerReference w:type="default" r:id="rId13"/>
          <w:footnotePr/>
          <w:endnotePr/>
          <w:type w:val="nextPage"/>
          <w:pgSz w:w="11906" w:h="16838" w:orient="portrait"/>
          <w:pgMar w:top="1440" w:right="1417" w:bottom="1134" w:left="1417" w:header="851" w:footer="850" w:gutter="0"/>
          <w:cols w:num="1" w:sep="0" w:space="1701" w:equalWidth="1"/>
          <w:docGrid w:linePitch="360"/>
        </w:sectPr>
      </w:pPr>
      <w:r>
        <w:rPr>
          <w:rFonts w:ascii="宋体" w:hAnsi="宋体" w:cs="宋体"/>
          <w:color w:val="auto"/>
          <w:highlight w:val="none"/>
        </w:rPr>
      </w:r>
      <w:r/>
    </w:p>
    <w:p>
      <w:pPr>
        <w:pStyle w:val="856"/>
        <w:rPr>
          <w:rFonts w:ascii="宋体" w:hAnsi="宋体" w:cs="宋体"/>
          <w:color w:val="auto"/>
          <w:highlight w:val="none"/>
        </w:rPr>
      </w:pPr>
      <w:r/>
      <w:bookmarkStart w:id="5" w:name="_Toc11016"/>
      <w:r>
        <w:rPr>
          <w:rFonts w:hint="eastAsia" w:ascii="宋体" w:hAnsi="宋体" w:cs="宋体"/>
          <w:color w:val="auto"/>
          <w:highlight w:val="none"/>
        </w:rPr>
        <w:t xml:space="preserve">一、</w:t>
      </w:r>
      <w:bookmarkStart w:id="6" w:name="_Toc1"/>
      <w:r>
        <w:rPr>
          <w:rFonts w:hint="eastAsia" w:ascii="宋体" w:hAnsi="宋体" w:cs="宋体"/>
          <w:color w:val="auto"/>
          <w:highlight w:val="none"/>
        </w:rPr>
        <w:t xml:space="preserve">竞争性磋商邀请函</w:t>
      </w:r>
      <w:bookmarkEnd w:id="4"/>
      <w:r/>
      <w:bookmarkEnd w:id="5"/>
      <w:r/>
      <w:bookmarkEnd w:id="6"/>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spacing w:after="21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项目概况</w:t>
            </w:r>
            <w:r/>
          </w:p>
          <w:p>
            <w:pPr>
              <w:spacing w:after="21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吴江区智慧健康软件2026年服务项目JSZC-320509-SZTY-C2026-0010</w:t>
            </w:r>
            <w:r>
              <w:rPr>
                <w:rFonts w:hint="eastAsia" w:ascii="宋体" w:hAnsi="宋体" w:cs="宋体"/>
                <w:color w:val="auto"/>
                <w:szCs w:val="21"/>
                <w:highlight w:val="none"/>
              </w:rPr>
              <w:t xml:space="preserve">采购项目的潜在供应商应在“苏采云”系统获取采购文件，并于</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-05</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09:30（北京时间）前提交响应文件。</w:t>
            </w:r>
            <w:r/>
          </w:p>
        </w:tc>
      </w:tr>
    </w:tbl>
    <w:p>
      <w:pPr>
        <w:pStyle w:val="857"/>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7" w:name="_Toc30187"/>
      <w:r>
        <w:rPr>
          <w:rFonts w:hint="eastAsia" w:ascii="宋体" w:hAnsi="宋体" w:cs="宋体"/>
          <w:color w:val="auto"/>
          <w:sz w:val="21"/>
          <w:szCs w:val="21"/>
          <w:highlight w:val="none"/>
        </w:rPr>
        <w:t xml:space="preserve">一、项目基本情况</w:t>
      </w:r>
      <w:bookmarkEnd w:id="7"/>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JSZC-320509-SZTY-C2026-0010</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bookmarkStart w:id="8" w:name="OLE_LINK17"/>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吴江区智慧健康软件2026年服务项目</w:t>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3、采购方式：竞争性磋商</w:t>
      </w:r>
      <w:r/>
    </w:p>
    <w:p>
      <w:pPr>
        <w:numPr>
          <w:ilvl w:val="255"/>
          <w:numId w:val="0"/>
        </w:numPr>
        <w:ind w:firstLine="420"/>
        <w:spacing w:line="440" w:lineRule="exact"/>
        <w:shd w:val="clear" w:color="ffffff" w:fill="ffff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w:t>
      </w:r>
      <w:bookmarkStart w:id="9" w:name="OLE_LINK25"/>
      <w:r>
        <w:rPr>
          <w:rFonts w:hint="eastAsia" w:ascii="宋体" w:hAnsi="宋体" w:cs="宋体"/>
          <w:color w:val="auto"/>
          <w:szCs w:val="21"/>
          <w:highlight w:val="none"/>
        </w:rPr>
        <w:t xml:space="preserve">预算金额：</w:t>
      </w:r>
      <w:bookmarkEnd w:id="9"/>
      <w:r>
        <w:rPr>
          <w:rFonts w:hint="eastAsia" w:ascii="宋体" w:hAnsi="宋体" w:cs="宋体"/>
          <w:bCs/>
          <w:color w:val="auto"/>
          <w:szCs w:val="21"/>
          <w:highlight w:val="none"/>
          <w:lang w:eastAsia="zh-CN"/>
        </w:rPr>
        <w:t xml:space="preserve">人民币壹佰叁拾玖万元整（¥1390000元）</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w:t>
      </w:r>
      <w:r>
        <w:rPr>
          <w:rFonts w:hint="eastAsia" w:ascii="宋体" w:hAnsi="宋体"/>
          <w:color w:val="auto"/>
          <w:szCs w:val="21"/>
          <w:highlight w:val="none"/>
        </w:rPr>
        <w:t xml:space="preserve">最高限价：</w:t>
      </w:r>
      <w:bookmarkEnd w:id="8"/>
      <w:r>
        <w:rPr>
          <w:rFonts w:hint="eastAsia" w:ascii="宋体" w:hAnsi="宋体"/>
          <w:color w:val="auto"/>
          <w:szCs w:val="21"/>
          <w:highlight w:val="none"/>
          <w:lang w:eastAsia="zh-CN"/>
        </w:rPr>
        <w:t xml:space="preserve">人民币壹佰叁拾柒万元整（</w:t>
      </w:r>
      <w:r>
        <w:rPr>
          <w:rFonts w:hint="default" w:ascii="Arial" w:hAnsi="Arial" w:cs="Arial"/>
          <w:bCs/>
          <w:color w:val="auto"/>
          <w:szCs w:val="21"/>
          <w:highlight w:val="none"/>
          <w:lang w:eastAsia="zh-CN"/>
        </w:rPr>
        <w:t xml:space="preserve">¥</w:t>
      </w:r>
      <w:r>
        <w:rPr>
          <w:rFonts w:hint="eastAsia" w:ascii="宋体" w:hAnsi="宋体"/>
          <w:color w:val="auto"/>
          <w:szCs w:val="21"/>
          <w:highlight w:val="none"/>
          <w:lang w:eastAsia="zh-CN"/>
        </w:rPr>
        <w:t xml:space="preserve">1370000元）</w:t>
      </w:r>
      <w:r/>
    </w:p>
    <w:p>
      <w:pPr>
        <w:pStyle w:val="1123"/>
        <w:ind w:firstLine="420"/>
        <w:spacing w:line="400" w:lineRule="exact"/>
        <w:rPr>
          <w:rFonts w:ascii="宋体" w:hAnsi="宋体"/>
          <w:color w:val="auto"/>
          <w:sz w:val="21"/>
          <w:szCs w:val="21"/>
          <w:highlight w:val="none"/>
          <w:lang w:val="en-US"/>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采购需求</w:t>
      </w:r>
      <w:r>
        <w:rPr>
          <w:rFonts w:hint="eastAsia" w:ascii="宋体" w:hAnsi="宋体" w:cs="宋体"/>
          <w:color w:val="auto"/>
          <w:szCs w:val="21"/>
          <w:highlight w:val="none"/>
        </w:rPr>
        <w:t xml:space="preserve">：吴江区智慧健康服务项目为核心系统提供服务以及一些因政策原因需要临时开发的新项目建设，如医保政策调整、电子票据完善、省市相关政策调整等，目前常态化服务运维人员5名，服务不同的信息化系统，</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一年365天*24小时不间断的信息化系统保障服务，确保各类信息化正常运转。</w:t>
      </w:r>
      <w:r/>
    </w:p>
    <w:p>
      <w:pPr>
        <w:numPr>
          <w:ilvl w:val="255"/>
          <w:numId w:val="0"/>
        </w:numPr>
        <w:ind w:firstLine="420"/>
        <w:spacing w:line="440" w:lineRule="exact"/>
        <w:shd w:val="clear" w:color="ffffff" w:fill="ffffff"/>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7、合同履行期限：1年，服务起止日期以合同上签订的为准</w:t>
      </w:r>
      <w:r>
        <w:rPr>
          <w:rFonts w:hint="eastAsia" w:ascii="宋体" w:hAnsi="宋体" w:cs="宋体"/>
          <w:color w:val="auto"/>
          <w:szCs w:val="21"/>
          <w:highlight w:val="none"/>
          <w:lang w:val="en-US" w:eastAsia="zh-CN"/>
        </w:rPr>
        <w:t xml:space="preserve">。</w:t>
      </w:r>
      <w:r/>
    </w:p>
    <w:p>
      <w:pPr>
        <w:numPr>
          <w:ilvl w:val="255"/>
          <w:numId w:val="0"/>
        </w:numPr>
        <w:ind w:firstLine="420"/>
        <w:spacing w:line="440" w:lineRule="exact"/>
        <w:shd w:val="clear" w:color="ffffff" w:fill="ffff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8、本项目（是/否）接受联合体：否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p>
    <w:p>
      <w:pPr>
        <w:numPr>
          <w:ilvl w:val="255"/>
          <w:numId w:val="0"/>
        </w:numPr>
        <w:ind w:firstLine="420"/>
        <w:spacing w:line="440" w:lineRule="exact"/>
        <w:shd w:val="clear" w:color="ffffff" w:fill="ffff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9、本项目不允许转包、分包。</w:t>
      </w:r>
      <w:r/>
    </w:p>
    <w:p>
      <w:pPr>
        <w:pStyle w:val="857"/>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0" w:name="_Toc3178"/>
      <w:r>
        <w:rPr>
          <w:rFonts w:hint="eastAsia" w:ascii="宋体" w:hAnsi="宋体" w:cs="宋体"/>
          <w:color w:val="auto"/>
          <w:sz w:val="21"/>
          <w:szCs w:val="21"/>
          <w:highlight w:val="none"/>
        </w:rPr>
        <w:t xml:space="preserve">二、申请人的资格要求：</w:t>
      </w:r>
      <w:bookmarkEnd w:id="10"/>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（一）满足</w:t>
      </w:r>
      <w:bookmarkStart w:id="11" w:name="OLE_LINK42"/>
      <w:r>
        <w:rPr>
          <w:rFonts w:hint="eastAsia" w:ascii="宋体" w:hAnsi="宋体" w:cs="宋体"/>
          <w:color w:val="auto"/>
          <w:szCs w:val="21"/>
          <w:highlight w:val="none"/>
        </w:rPr>
        <w:t xml:space="preserve">《中华人民共和国政府采购法》第二十二条规定</w:t>
      </w:r>
      <w:bookmarkEnd w:id="11"/>
      <w:r>
        <w:rPr>
          <w:rFonts w:hint="eastAsia" w:ascii="宋体" w:hAnsi="宋体" w:cs="宋体"/>
          <w:color w:val="auto"/>
          <w:szCs w:val="21"/>
          <w:highlight w:val="none"/>
        </w:rPr>
        <w:t xml:space="preserve">：</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1.具有独立承担民事责任的能力</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2.具有良好的商业信誉和健全的财务会计制度</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3.具有履行合同所必需的设备和专业技术能力</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4.有依法缴纳税收和社会保障资金的良好记录</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5.参加政府采购活动前三年内，在经营活动中没有重大违法记录。</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6.法律、行政法规规定的其他条件。</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（二）落实政府采购政策需满足的资格要求：</w:t>
      </w:r>
      <w:bookmarkStart w:id="12" w:name="OLE_LINK49"/>
      <w:r>
        <w:rPr>
          <w:rFonts w:hint="eastAsia" w:ascii="宋体" w:hAnsi="宋体" w:cs="宋体"/>
          <w:b/>
          <w:bCs/>
          <w:color w:val="auto"/>
          <w:szCs w:val="21"/>
          <w:highlight w:val="none"/>
        </w:rPr>
        <w:t xml:space="preserve">本项目</w:t>
      </w:r>
      <w:r>
        <w:rPr>
          <w:rFonts w:hint="eastAsia" w:ascii="宋体" w:hAnsi="宋体" w:cs="宋体"/>
          <w:b/>
          <w:bCs/>
          <w:color w:val="auto"/>
          <w:szCs w:val="21"/>
          <w:highlight w:val="none"/>
          <w:lang w:val="en-US" w:eastAsia="zh-CN"/>
        </w:rPr>
        <w:t xml:space="preserve">非</w:t>
      </w:r>
      <w:r>
        <w:rPr>
          <w:rFonts w:hint="eastAsia" w:ascii="宋体" w:hAnsi="宋体" w:cs="宋体"/>
          <w:b/>
          <w:bCs/>
          <w:color w:val="auto"/>
          <w:szCs w:val="21"/>
          <w:highlight w:val="none"/>
        </w:rPr>
        <w:t xml:space="preserve">专门面向中小企业</w:t>
      </w:r>
      <w:bookmarkEnd w:id="12"/>
      <w:r>
        <w:rPr>
          <w:rFonts w:hint="eastAsia" w:ascii="宋体" w:hAnsi="宋体" w:cs="宋体"/>
          <w:b/>
          <w:bCs/>
          <w:color w:val="auto"/>
          <w:szCs w:val="21"/>
          <w:highlight w:val="none"/>
          <w:lang w:eastAsia="zh-CN"/>
        </w:rPr>
        <w:t xml:space="preserve">。</w:t>
      </w:r>
      <w:r>
        <w:rPr>
          <w:rFonts w:hint="eastAsia" w:ascii="宋体" w:hAnsi="宋体" w:eastAsia="宋体" w:cs="宋体"/>
          <w:color w:val="auto"/>
          <w:szCs w:val="21"/>
          <w:highlight w:val="none"/>
          <w:lang w:eastAsia="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color w:val="auto"/>
          <w:szCs w:val="21"/>
          <w:highlight w:val="none"/>
          <w:lang w:eastAsia="zh-CN"/>
        </w:rPr>
        <w:t xml:space="preserve">软件和信息技术服务业</w:t>
      </w:r>
      <w:r>
        <w:rPr>
          <w:rFonts w:hint="eastAsia" w:ascii="宋体" w:hAnsi="宋体" w:eastAsia="宋体" w:cs="宋体"/>
          <w:color w:val="auto"/>
          <w:szCs w:val="21"/>
          <w:highlight w:val="none"/>
          <w:lang w:eastAsia="zh-CN"/>
        </w:rPr>
        <w:t xml:space="preserve">。承接服务的供应商应为中小微企业、监狱企业、残疾人福利性单位。</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（三）本项目的特定资格要求：无</w:t>
      </w:r>
      <w:r>
        <w:rPr>
          <w:rFonts w:hint="eastAsia" w:ascii="宋体" w:hAnsi="宋体" w:cs="宋体"/>
          <w:color w:val="auto"/>
          <w:szCs w:val="21"/>
          <w:highlight w:val="none"/>
          <w:lang w:eastAsia="zh-CN"/>
        </w:rPr>
        <w:t xml:space="preserve">。</w:t>
      </w:r>
      <w:r/>
    </w:p>
    <w:p>
      <w:pPr>
        <w:ind w:firstLine="420"/>
        <w:spacing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（四）其他要求：</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1.未被“信用中国”网站（www.creditchina.gov.cn）列入失信被执行人、重大税收违法案件当事人名单、政府采购严重失信行为记录名单。</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Cs w:val="21"/>
          <w:highlight w:val="none"/>
          <w:lang w:eastAsia="zh-CN"/>
        </w:rPr>
        <w:t xml:space="preserve">。</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3.法人的分支机构不得参加本项目的采购活动(除银行、保险、石油石化、电力、电信等行业特殊情况外)。</w:t>
      </w:r>
      <w:r/>
    </w:p>
    <w:p>
      <w:pPr>
        <w:pStyle w:val="857"/>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3" w:name="_Toc15592"/>
      <w:r>
        <w:rPr>
          <w:rFonts w:hint="eastAsia" w:ascii="宋体" w:hAnsi="宋体" w:cs="宋体"/>
          <w:color w:val="auto"/>
          <w:sz w:val="21"/>
          <w:szCs w:val="21"/>
          <w:highlight w:val="none"/>
        </w:rPr>
        <w:t xml:space="preserve">三、获取采购文件</w:t>
      </w:r>
      <w:bookmarkEnd w:id="13"/>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1.时间：自公告发布之日起5个工作日</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2.地点：苏采云系统自行下载</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3.方式：“苏采云”系统报名后自行下载</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4.售价：免费。</w:t>
      </w:r>
      <w:r/>
    </w:p>
    <w:p>
      <w:pPr>
        <w:pStyle w:val="857"/>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4" w:name="_Toc819"/>
      <w:r>
        <w:rPr>
          <w:rFonts w:hint="eastAsia" w:ascii="宋体" w:hAnsi="宋体" w:cs="宋体"/>
          <w:color w:val="auto"/>
          <w:sz w:val="21"/>
          <w:szCs w:val="21"/>
          <w:highlight w:val="none"/>
        </w:rPr>
        <w:t xml:space="preserve">四、响应文件提交</w:t>
      </w:r>
      <w:bookmarkEnd w:id="14"/>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-05</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09：30 （北京时间）</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地点：“苏采云”系统（网址：http://jszfcg.jsczt.cn/） </w:t>
      </w:r>
      <w:r/>
    </w:p>
    <w:p>
      <w:pPr>
        <w:pStyle w:val="857"/>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5" w:name="_Toc19956"/>
      <w:r>
        <w:rPr>
          <w:rFonts w:hint="eastAsia" w:ascii="宋体" w:hAnsi="宋体" w:cs="宋体"/>
          <w:color w:val="auto"/>
          <w:sz w:val="21"/>
          <w:szCs w:val="21"/>
          <w:highlight w:val="none"/>
        </w:rPr>
        <w:t xml:space="preserve">五、开启</w:t>
      </w:r>
      <w:bookmarkEnd w:id="15"/>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05 </w:t>
      </w:r>
      <w:r>
        <w:rPr>
          <w:rFonts w:hint="eastAsia" w:ascii="宋体" w:hAnsi="宋体" w:cs="宋体"/>
          <w:color w:val="auto"/>
          <w:szCs w:val="21"/>
          <w:highlight w:val="none"/>
        </w:rPr>
        <w:t xml:space="preserve"> 09:30 （北京时间）</w:t>
      </w:r>
      <w:r/>
    </w:p>
    <w:p>
      <w:pPr>
        <w:pStyle w:val="857"/>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6" w:name="_Toc26104"/>
      <w:r>
        <w:rPr>
          <w:rFonts w:hint="eastAsia" w:ascii="宋体" w:hAnsi="宋体" w:cs="宋体"/>
          <w:color w:val="auto"/>
          <w:sz w:val="21"/>
          <w:szCs w:val="21"/>
          <w:highlight w:val="none"/>
        </w:rPr>
        <w:t xml:space="preserve">六、公告期限</w:t>
      </w:r>
      <w:bookmarkEnd w:id="16"/>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857"/>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7" w:name="_Toc386"/>
      <w:r>
        <w:rPr>
          <w:rFonts w:hint="eastAsia" w:ascii="宋体" w:hAnsi="宋体" w:cs="宋体"/>
          <w:color w:val="auto"/>
          <w:sz w:val="21"/>
          <w:szCs w:val="21"/>
          <w:highlight w:val="none"/>
        </w:rPr>
        <w:t xml:space="preserve">七、其他补充事宜</w:t>
      </w:r>
      <w:bookmarkEnd w:id="17"/>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18" w:name="OLE_LINK50"/>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采购文件获取方式：   </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（1）CA证书办理</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rPr>
        <w:t xml:space="preserve">苏州现场办理地址：苏州市高新区邓尉路105号狮山科技馆一楼服务大厅，咨询电话：0512-65737699。</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（2）参与采购活动</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（3）电子投标准备</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注册咨询：18261002950；</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CA技术咨询电话：400-608-6099；</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签章使用问题：025-83633811、025-83633812、15380932027、15371015030；</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440" w:lineRule="exact"/>
        <w:shd w:val="clear" w:color="ffffff" w:fill="ffff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请供应商确保电脑、系统及其他设备（视频输入输出设备等）无误，且开启直至项目结束始终保持系统在线状态。</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.有关本项目电子投标具体操作方法详见苏采云系统中的客户端使用说明和供应商《操作手册》。</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.补充通知（如有）。成功获取磋商文件的供应商通过“苏州市政府采购网”或“苏采云”系统自行查看所报项目的补充通知。</w:t>
      </w:r>
      <w:bookmarkEnd w:id="18"/>
      <w:r/>
      <w:r/>
    </w:p>
    <w:p>
      <w:pPr>
        <w:pStyle w:val="857"/>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9" w:name="_Toc24271"/>
      <w:r>
        <w:rPr>
          <w:rFonts w:hint="eastAsia" w:ascii="宋体" w:hAnsi="宋体" w:cs="宋体"/>
          <w:color w:val="auto"/>
          <w:sz w:val="21"/>
          <w:szCs w:val="21"/>
          <w:highlight w:val="none"/>
        </w:rPr>
        <w:t xml:space="preserve">八、凡对本次采购提出询问，请按以下方式联系。</w:t>
      </w:r>
      <w:bookmarkEnd w:id="19"/>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1.采购人信息</w:t>
      </w:r>
      <w:r/>
    </w:p>
    <w:p>
      <w:pPr>
        <w:ind w:firstLine="420"/>
        <w:spacing w:line="440" w:lineRule="exact"/>
        <w:shd w:val="clear" w:color="ffffff" w:fill="ffffff"/>
        <w:rPr>
          <w:rFonts w:hint="eastAsia" w:ascii="宋体" w:hAnsi="宋体" w:cs="宋体"/>
          <w:b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color w:val="auto"/>
          <w:szCs w:val="21"/>
          <w:highlight w:val="none"/>
        </w:rPr>
        <w:t xml:space="preserve">单位名称：苏州市吴江区卫生健康委员会 </w:t>
      </w:r>
      <w:r/>
    </w:p>
    <w:p>
      <w:pPr>
        <w:ind w:firstLine="420"/>
        <w:spacing w:line="440" w:lineRule="exact"/>
        <w:shd w:val="clear" w:color="ffffff" w:fill="ffffff"/>
        <w:rPr>
          <w:rFonts w:hint="eastAsia" w:ascii="宋体" w:hAnsi="宋体" w:cs="宋体"/>
          <w:b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color w:val="auto"/>
          <w:szCs w:val="21"/>
          <w:highlight w:val="none"/>
        </w:rPr>
        <w:t xml:space="preserve">地址：吴江区高新路551号公共卫生中心 </w:t>
      </w:r>
      <w:r/>
    </w:p>
    <w:p>
      <w:pPr>
        <w:ind w:firstLine="420"/>
        <w:spacing w:line="440" w:lineRule="exact"/>
        <w:shd w:val="clear" w:color="ffffff" w:fill="ffffff"/>
        <w:rPr>
          <w:rFonts w:hint="eastAsia" w:ascii="宋体" w:hAnsi="宋体" w:cs="宋体"/>
          <w:b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color w:val="auto"/>
          <w:szCs w:val="21"/>
          <w:highlight w:val="none"/>
        </w:rPr>
        <w:t xml:space="preserve">联系人：朱建光</w:t>
      </w:r>
      <w:r/>
    </w:p>
    <w:p>
      <w:pPr>
        <w:ind w:firstLine="420"/>
        <w:spacing w:line="440" w:lineRule="exact"/>
        <w:shd w:val="clear" w:color="ffffff" w:fill="ffffff"/>
        <w:rPr>
          <w:rFonts w:hint="eastAsia" w:ascii="宋体" w:hAnsi="宋体" w:cs="宋体"/>
          <w:b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color w:val="auto"/>
          <w:szCs w:val="21"/>
          <w:highlight w:val="none"/>
        </w:rPr>
        <w:t xml:space="preserve">联系电话：0512-63160066 　</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2.采购代理机构信息</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单位名称：苏州通宜房地产土地评估咨询有限公司</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单位地址：</w:t>
      </w:r>
      <w:bookmarkStart w:id="20" w:name="OLE_LINK3"/>
      <w:r>
        <w:rPr>
          <w:rFonts w:hint="eastAsia" w:ascii="宋体" w:hAnsi="宋体" w:cs="宋体"/>
          <w:color w:val="auto"/>
          <w:szCs w:val="21"/>
          <w:highlight w:val="none"/>
        </w:rPr>
        <w:t xml:space="preserve">吴江区松陵镇鲈乡南路鲈乡园别墅区103幢</w:t>
      </w:r>
      <w:bookmarkEnd w:id="20"/>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联系人：董鹏、朱雪芬</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联系电话：0512-63000883</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3.项目联系方式</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项目联系人：董鹏、朱雪芬</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电话：0512-63000883</w:t>
      </w:r>
      <w:r/>
    </w:p>
    <w:p>
      <w:pPr>
        <w:ind w:firstLine="420"/>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备注：本次采购的有关信息将在江苏省政府采购网、苏州政府采购网、中国政府采购网等媒体上发布，敬请留意，请各单位获取本次磋商采购文件后，认真阅读各项内容，进行必要准备工作，按文件的要求详细填写和编制响应文件，并按以上确定的时间、地点准时参加磋商。</w:t>
      </w:r>
      <w:r/>
    </w:p>
    <w:p>
      <w:pPr>
        <w:ind w:firstLine="420"/>
        <w:jc w:val="center"/>
        <w:spacing w:after="210"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bookmarkStart w:id="21" w:name="_Toc18157"/>
      <w:r/>
      <w:bookmarkStart w:id="22" w:name="_Toc25272"/>
      <w:r/>
      <w:bookmarkStart w:id="23" w:name="_Toc7179"/>
      <w:r/>
      <w:bookmarkStart w:id="24" w:name="_Toc26391"/>
      <w:r/>
      <w:bookmarkStart w:id="25" w:name="_Toc23541"/>
      <w:r/>
      <w:bookmarkStart w:id="26" w:name="_Toc11937"/>
      <w:r/>
      <w:bookmarkStart w:id="27" w:name="_Toc6289"/>
      <w:r/>
      <w:bookmarkStart w:id="28" w:name="_Toc19638"/>
      <w:r>
        <w:rPr>
          <w:rStyle w:val="1114"/>
          <w:rFonts w:hint="eastAsia" w:ascii="宋体" w:hAnsi="宋体" w:cs="宋体"/>
          <w:color w:val="auto"/>
          <w:highlight w:val="none"/>
        </w:rPr>
        <w:t xml:space="preserve">二、磋商供应商须知</w:t>
      </w:r>
      <w:bookmarkEnd w:id="21"/>
      <w:r/>
      <w:bookmarkEnd w:id="22"/>
      <w:r/>
      <w:bookmarkEnd w:id="23"/>
      <w:r/>
      <w:bookmarkEnd w:id="24"/>
      <w:r/>
      <w:bookmarkEnd w:id="25"/>
      <w:r/>
      <w:bookmarkEnd w:id="26"/>
      <w:r/>
      <w:bookmarkEnd w:id="27"/>
      <w:r/>
      <w:bookmarkEnd w:id="28"/>
      <w:r/>
      <w:r/>
    </w:p>
    <w:p>
      <w:pPr>
        <w:ind w:firstLine="422"/>
        <w:spacing w:line="440" w:lineRule="exact"/>
        <w:rPr>
          <w:rFonts w:hint="eastAsia" w:ascii="宋体" w:hAnsi="宋体" w:cs="宋体"/>
          <w:b/>
          <w:color w:val="auto"/>
          <w:szCs w:val="21"/>
          <w:highlight w:val="none"/>
          <w:lang w:eastAsia="zh-CN"/>
        </w:rPr>
      </w:pPr>
      <w:r/>
      <w:bookmarkStart w:id="29" w:name="_Toc29852"/>
      <w:r>
        <w:rPr>
          <w:rFonts w:hint="eastAsia" w:ascii="宋体" w:hAnsi="宋体" w:cs="宋体"/>
          <w:b/>
          <w:color w:val="auto"/>
          <w:szCs w:val="21"/>
          <w:highlight w:val="none"/>
          <w:lang w:eastAsia="zh-CN"/>
        </w:rPr>
        <w:t xml:space="preserve">一、说明和释义</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1.1本招标文件仅适用于苏州通宜房地产土地评估咨询有限公司的招标活动。</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1.2本次招标活动及因本次招标产生的合同受中国法律制约和保护。</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1.3本招标文件的解释权属于苏州通宜房地产土地评估咨询有限公司。</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1.4词语释义</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1.4.1招标代理机构：具体组织实施招标活动的法人。</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1.4.2投标人（投标单位）：经认定有资格响应招标，参加投标竞争的法人或其他组织和自然人。</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1.4.3响应：投标单位根据招标代理机构或招标代理机构发布的招标文件，编制投标文件并按规定投标的行为。</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1.4.4合同：采供双方根据招标文件和中标的投标文件及中标通知书规定的内容签署的以书面形式所达成的协议，包括所有的附件、附录和构成协议的所有文件。</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1.4.5 甲方（委托方）：合同中明确规定的实际购买货物和服务的法人或其他组织和自然人 。</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1.4.6乙方（服务方）：合同中规定的向采购单位提供货物和服务的法人或其他组织和自然人。</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1.4.7货物：系指乙方按招标文件规定，应向甲方提供的一切设备、备品、备件、工具、手册及其它有关技术资料和材料。</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1.4.8服务：系指本次招标文件规定乙方应承担的</w:t>
      </w:r>
      <w:r>
        <w:rPr>
          <w:rFonts w:hint="eastAsia" w:ascii="宋体" w:hAnsi="宋体" w:cs="宋体"/>
          <w:color w:val="auto"/>
          <w:szCs w:val="21"/>
          <w:highlight w:val="none"/>
          <w:lang w:eastAsia="zh-CN"/>
        </w:rPr>
        <w:t xml:space="preserve">吴江区智慧健康软件2026年服务项目</w:t>
      </w:r>
      <w:r>
        <w:rPr>
          <w:rFonts w:hint="eastAsia" w:ascii="宋体" w:hAnsi="宋体" w:cs="宋体"/>
          <w:color w:val="auto"/>
          <w:szCs w:val="21"/>
          <w:highlight w:val="none"/>
          <w:lang w:val="en-US" w:eastAsia="zh-CN"/>
        </w:rPr>
        <w:t xml:space="preserve">。</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1.4.9知识产权：指专利权、商标权、著作权等无形财产专有权的统称。</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1.4.10天：日历日。</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1.4.11交货地点：合同中明确约定的乙方提交的货物和服务最终交付地点。</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1.4.12合同价款：根据合同规定，乙方在正确地履行合同义务后甲方应支付乙方的价款。</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1.4.13产地：货物开采、生长、生产、最终制造、加工或提供服务的来源地。</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1.4.14 不可抗力：不能预见、不能避免并且不能克服的客观情况。</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1123"/>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1.4.17书面形式：指书面文字、合同书、信件和数据电文（包括传真、电子数据交换和电子邮件）等可以有形地表现所载内容的形式。</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2.★联合体响应：不接受。</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2.1.两个以上的自然人、法人或者其他组织可以组成一个联合体，以一个供应商的身份共同参加政府采购。</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2.2.鼓励大中型企业和其他自然人、法人或者其他组织与小型、微型企业组成联合体共同参加非专门面向中小企业的政府采购活动。</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2.2.以联合体形式参加</w:t>
      </w:r>
      <w:r>
        <w:rPr>
          <w:rFonts w:hint="eastAsia" w:ascii="宋体" w:hAnsi="宋体" w:cs="宋体"/>
          <w:color w:val="auto"/>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2.4. 联合体各方之间应当签订联合体协议，明确约定联合体各方承担的工作和相应的责任，并将联合体协议连同响应文件一并提交。</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2.5. 以联合体形式参加政府采购活动的，联合体各方不得再单独参加或者与其他供应商另外组成联合体参加同一合同项下的政府采购活动。</w:t>
      </w:r>
      <w:r/>
    </w:p>
    <w:p>
      <w:pPr>
        <w:ind w:firstLine="422"/>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3.★转包与分包与</w:t>
      </w:r>
      <w:r>
        <w:rPr>
          <w:rFonts w:hint="eastAsia" w:ascii="宋体" w:hAnsi="宋体" w:cs="宋体"/>
          <w:b/>
          <w:color w:val="auto"/>
          <w:szCs w:val="21"/>
          <w:highlight w:val="none"/>
        </w:rPr>
        <w:t xml:space="preserve">磋商费用</w:t>
      </w:r>
      <w:r/>
    </w:p>
    <w:p>
      <w:pPr>
        <w:pStyle w:val="1213"/>
        <w:spacing w:line="440" w:lineRule="exact"/>
        <w:rPr>
          <w:rFonts w:ascii="宋体" w:hAnsi="宋体" w:cs="宋体"/>
          <w:color w:val="auto"/>
          <w:highlight w:val="none"/>
        </w:rPr>
      </w:pPr>
      <w:r>
        <w:rPr>
          <w:rFonts w:hint="eastAsia" w:ascii="宋体" w:hAnsi="宋体" w:cs="宋体"/>
          <w:color w:val="auto"/>
          <w:highlight w:val="none"/>
        </w:rPr>
        <w:t xml:space="preserve">3.1.本项目不允许转包或分包。</w:t>
      </w:r>
      <w:r/>
    </w:p>
    <w:p>
      <w:pPr>
        <w:pStyle w:val="1199"/>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3.2.无论磋商过程中的做法和结果如何，磋商供应商自行承担所有与参加磋商有关的全部费用。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4.磋商文件</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4.1.磋商文件的内容如下：</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第一章 磋商邀请书</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第二章 磋商供应商须知</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第三章 采购需求</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第四章 评标办法及评分标准</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第五章 合同主要条款</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第六章 响应文件格式</w:t>
      </w:r>
      <w:r/>
    </w:p>
    <w:p>
      <w:pPr>
        <w:pStyle w:val="1199"/>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5.磋商文件的澄清和修改</w:t>
      </w:r>
      <w:r/>
    </w:p>
    <w:p>
      <w:pPr>
        <w:pStyle w:val="1199"/>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199"/>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5.2.磋商文件的澄清、修改等内容与竞争性磋商文件在同一内容的表述上不一致时，以发出日期最接近磋商时间的公告为准。</w:t>
      </w:r>
      <w:r/>
    </w:p>
    <w:p>
      <w:pPr>
        <w:pStyle w:val="1199"/>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5.3.磋商文件的澄清、修改等内容均将在财政部门指定的政府采购信息发布媒体上发布，作为磋商文件的组成部分，对供应商起约束作用。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6.★响应文件计量单位和使用文字</w:t>
      </w:r>
      <w:r/>
    </w:p>
    <w:p>
      <w:pPr>
        <w:pStyle w:val="1199"/>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6.1.响应文件中所使用的计量单位，除竞争性磋商文件中有特殊要求外，均应使用中华人民共和国法定计量单位。</w:t>
      </w:r>
      <w:r/>
    </w:p>
    <w:p>
      <w:pPr>
        <w:pStyle w:val="1199"/>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7.响应文件的组成及要求</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7.1封面</w:t>
      </w:r>
      <w:r/>
    </w:p>
    <w:p>
      <w:pPr>
        <w:pStyle w:val="1199"/>
        <w:ind w:firstLine="422"/>
        <w:spacing w:line="440" w:lineRule="exact"/>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rPr>
        <w:t xml:space="preserve">7.2开标一览表</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磋商报价表</w:t>
      </w:r>
      <w:r>
        <w:rPr>
          <w:rFonts w:hint="eastAsia" w:ascii="宋体" w:hAnsi="宋体" w:cs="宋体"/>
          <w:b/>
          <w:color w:val="auto"/>
          <w:sz w:val="21"/>
          <w:szCs w:val="21"/>
          <w:highlight w:val="none"/>
          <w:lang w:eastAsia="zh-CN"/>
        </w:rPr>
        <w:t xml:space="preserve">）</w:t>
      </w:r>
      <w:r/>
    </w:p>
    <w:p>
      <w:pPr>
        <w:pStyle w:val="1199"/>
        <w:spacing w:line="440" w:lineRule="exact"/>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7.2.1磋商报价分析表</w:t>
      </w:r>
      <w:r/>
    </w:p>
    <w:p>
      <w:pPr>
        <w:pStyle w:val="1199"/>
        <w:ind w:firstLine="422"/>
        <w:spacing w:line="44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7.3资格审查响应文件</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7.3.1具有独立承担民事责任的能力证明。（提供营业执照或事业单位法人证等法人证明材料（加盖公章））；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7.3.2具有良好的商业信誉和健全的财务会计制度证明（提供参加本次采购活动前的最近一期</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2025</w:t>
      </w:r>
      <w:r>
        <w:rPr>
          <w:rFonts w:hint="eastAsia" w:ascii="宋体" w:hAnsi="宋体" w:cs="宋体"/>
          <w:bCs/>
          <w:color w:val="auto"/>
          <w:sz w:val="21"/>
          <w:szCs w:val="21"/>
          <w:highlight w:val="none"/>
        </w:rPr>
        <w:t xml:space="preserve">年度</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的</w:t>
      </w:r>
      <w:r>
        <w:rPr>
          <w:rFonts w:hint="eastAsia" w:ascii="宋体" w:hAnsi="宋体" w:cs="宋体"/>
          <w:bCs/>
          <w:color w:val="auto"/>
          <w:sz w:val="21"/>
          <w:szCs w:val="21"/>
          <w:highlight w:val="none"/>
        </w:rPr>
        <w:t xml:space="preserve">审计报告</w:t>
      </w:r>
      <w:r>
        <w:rPr>
          <w:rFonts w:hint="eastAsia" w:ascii="宋体" w:hAnsi="宋体" w:cs="宋体"/>
          <w:bCs/>
          <w:color w:val="auto"/>
          <w:sz w:val="21"/>
          <w:szCs w:val="21"/>
          <w:highlight w:val="none"/>
          <w:lang w:val="en-US" w:eastAsia="zh-CN"/>
        </w:rPr>
        <w:t xml:space="preserve">或最近一期的财务</w:t>
      </w:r>
      <w:r>
        <w:rPr>
          <w:rFonts w:hint="eastAsia" w:ascii="宋体" w:hAnsi="宋体" w:cs="宋体"/>
          <w:bCs/>
          <w:color w:val="auto"/>
          <w:sz w:val="21"/>
          <w:szCs w:val="21"/>
          <w:highlight w:val="none"/>
        </w:rPr>
        <w:t xml:space="preserve">报表，其他组织、自然人及成立未满一年的法人应提供银行出具的资信证明（加盖公章））；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7.3.3有依法缴纳税收和社会保障资金的良好记录（提供参加本次政府采购活动前</w:t>
      </w:r>
      <w:r>
        <w:rPr>
          <w:rFonts w:hint="eastAsia" w:ascii="宋体" w:hAnsi="宋体" w:cs="宋体"/>
          <w:bCs/>
          <w:color w:val="auto"/>
          <w:sz w:val="21"/>
          <w:szCs w:val="21"/>
          <w:highlight w:val="none"/>
          <w:lang w:val="en-US" w:eastAsia="zh-CN"/>
        </w:rPr>
        <w:t xml:space="preserve">6个月内任意一期</w:t>
      </w:r>
      <w:r>
        <w:rPr>
          <w:rFonts w:hint="eastAsia" w:ascii="宋体" w:hAnsi="宋体" w:cs="宋体"/>
          <w:bCs/>
          <w:color w:val="auto"/>
          <w:sz w:val="21"/>
          <w:szCs w:val="21"/>
          <w:highlight w:val="none"/>
        </w:rPr>
        <w:t xml:space="preserve">依法缴纳税收和社会保障资金的相关材料。响应单位如依法享受缓缴、免缴税收、社会保障资金的应提供相关的证明材料（加盖公章））；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7.3.4</w:t>
      </w:r>
      <w:r>
        <w:rPr>
          <w:rFonts w:hint="eastAsia" w:ascii="宋体" w:hAnsi="宋体" w:cs="宋体"/>
          <w:color w:val="auto"/>
          <w:sz w:val="21"/>
          <w:szCs w:val="21"/>
          <w:highlight w:val="none"/>
        </w:rPr>
        <w:t xml:space="preserve">具有</w:t>
      </w:r>
      <w:r>
        <w:rPr>
          <w:rFonts w:hint="eastAsia" w:ascii="宋体" w:hAnsi="宋体" w:cs="宋体"/>
          <w:bCs/>
          <w:color w:val="auto"/>
          <w:sz w:val="21"/>
          <w:szCs w:val="21"/>
          <w:highlight w:val="none"/>
        </w:rPr>
        <w:t xml:space="preserve">履行合同所必需的设备和专业技术能力的证明材料或承诺；</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7.3.5参加政府采购活动前三年内在经营活动中没有重大违法记录的书面声明函；</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7.3.6法律、行政法规规定的其他条件；</w:t>
      </w:r>
      <w:r/>
    </w:p>
    <w:p>
      <w:pPr>
        <w:pStyle w:val="1199"/>
        <w:spacing w:line="44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7.3.7落实政府采购政策需满足的资格要求：</w:t>
      </w:r>
      <w:r>
        <w:rPr>
          <w:rFonts w:hint="eastAsia" w:ascii="宋体" w:hAnsi="宋体" w:cs="宋体"/>
          <w:b/>
          <w:bCs w:val="0"/>
          <w:color w:val="auto"/>
          <w:sz w:val="21"/>
          <w:szCs w:val="21"/>
          <w:highlight w:val="none"/>
        </w:rPr>
        <w:t xml:space="preserve">本项目</w:t>
      </w:r>
      <w:r>
        <w:rPr>
          <w:rFonts w:hint="eastAsia" w:ascii="宋体" w:hAnsi="宋体" w:cs="宋体"/>
          <w:b/>
          <w:bCs w:val="0"/>
          <w:color w:val="auto"/>
          <w:sz w:val="21"/>
          <w:szCs w:val="21"/>
          <w:highlight w:val="none"/>
          <w:lang w:val="en-US" w:eastAsia="zh-CN"/>
        </w:rPr>
        <w:t xml:space="preserve">非</w:t>
      </w:r>
      <w:r>
        <w:rPr>
          <w:rFonts w:hint="eastAsia" w:ascii="宋体" w:hAnsi="宋体" w:cs="宋体"/>
          <w:b/>
          <w:bCs w:val="0"/>
          <w:color w:val="auto"/>
          <w:sz w:val="21"/>
          <w:szCs w:val="21"/>
          <w:highlight w:val="none"/>
        </w:rPr>
        <w:t xml:space="preserve">专门面向中小企业，</w:t>
      </w: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Cs/>
          <w:color w:val="auto"/>
          <w:sz w:val="21"/>
          <w:szCs w:val="21"/>
          <w:highlight w:val="none"/>
          <w:lang w:eastAsia="zh-CN"/>
        </w:rPr>
        <w:t xml:space="preserve">软件和信息技术服务业。</w:t>
      </w:r>
      <w:r/>
    </w:p>
    <w:p>
      <w:pPr>
        <w:ind w:firstLine="420"/>
        <w:jc w:val="left"/>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7.3.8 本项目的特定资格要求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无</w:t>
      </w:r>
      <w:r>
        <w:rPr>
          <w:rFonts w:hint="eastAsia" w:ascii="宋体" w:hAnsi="宋体" w:cs="宋体"/>
          <w:bCs/>
          <w:color w:val="auto"/>
          <w:szCs w:val="21"/>
          <w:highlight w:val="none"/>
        </w:rPr>
        <w:t xml:space="preserve">。</w:t>
      </w:r>
      <w:r/>
    </w:p>
    <w:p>
      <w:pPr>
        <w:pStyle w:val="1199"/>
        <w:ind w:firstLine="422"/>
        <w:spacing w:line="44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7.4符合性审查响应文件</w:t>
      </w:r>
      <w:r/>
    </w:p>
    <w:p>
      <w:pPr>
        <w:pStyle w:val="1199"/>
        <w:spacing w:line="440" w:lineRule="exact"/>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报价符合性审查</w:t>
      </w:r>
      <w:r/>
    </w:p>
    <w:p>
      <w:pPr>
        <w:pStyle w:val="1199"/>
        <w:spacing w:line="44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2</w:t>
      </w:r>
      <w:r>
        <w:rPr>
          <w:rFonts w:hint="eastAsia" w:ascii="宋体" w:hAnsi="宋体" w:cs="宋体"/>
          <w:color w:val="auto"/>
          <w:sz w:val="21"/>
          <w:szCs w:val="21"/>
          <w:highlight w:val="none"/>
        </w:rPr>
        <w:t xml:space="preserve">磋商响应函（</w:t>
      </w:r>
      <w:r>
        <w:rPr>
          <w:rFonts w:hint="eastAsia" w:ascii="宋体" w:hAnsi="宋体" w:cs="宋体"/>
          <w:bCs/>
          <w:color w:val="auto"/>
          <w:sz w:val="21"/>
          <w:szCs w:val="21"/>
          <w:highlight w:val="none"/>
        </w:rPr>
        <w:t xml:space="preserve">格式见第六章）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法定代表人身份证</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法人授权委托书及委托代理人身份证复印件（如有授权）（格式见第六章）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关于资格文件的声明函（格式见第六章）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响应单位基本情况表（格式见第六章）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7服务/商务偏离表</w:t>
      </w:r>
      <w:r>
        <w:rPr>
          <w:rFonts w:hint="eastAsia" w:ascii="宋体" w:hAnsi="宋体" w:cs="宋体"/>
          <w:bCs/>
          <w:color w:val="auto"/>
          <w:sz w:val="21"/>
          <w:szCs w:val="21"/>
          <w:highlight w:val="none"/>
        </w:rPr>
        <w:t xml:space="preserve">（格式见第六章）</w:t>
      </w:r>
      <w:r/>
    </w:p>
    <w:p>
      <w:pPr>
        <w:pStyle w:val="1199"/>
        <w:spacing w:line="440" w:lineRule="exact"/>
        <w:rPr>
          <w:rFonts w:ascii="宋体" w:hAnsi="宋体" w:cs="宋体"/>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其他有关符合性证明的文件（投标（响应）保证承诺书等）</w:t>
      </w:r>
      <w:r/>
    </w:p>
    <w:p>
      <w:pPr>
        <w:pStyle w:val="1199"/>
        <w:ind w:firstLine="422"/>
        <w:spacing w:line="440" w:lineRule="exact"/>
        <w:rPr>
          <w:rFonts w:ascii="宋体" w:hAnsi="宋体" w:cs="宋体"/>
          <w:color w:val="auto"/>
          <w:sz w:val="21"/>
          <w:szCs w:val="21"/>
          <w:highlight w:val="none"/>
          <w:u w:val="single"/>
        </w:rPr>
      </w:pPr>
      <w:r>
        <w:rPr>
          <w:rFonts w:hint="eastAsia" w:ascii="宋体" w:hAnsi="宋体" w:cs="宋体"/>
          <w:b/>
          <w:color w:val="auto"/>
          <w:sz w:val="21"/>
          <w:szCs w:val="21"/>
          <w:highlight w:val="none"/>
          <w:u w:val="single"/>
        </w:rPr>
        <w:t xml:space="preserve">7.5综合评审响应文件</w:t>
      </w:r>
      <w:r/>
    </w:p>
    <w:p>
      <w:pPr>
        <w:ind w:firstLine="420"/>
        <w:spacing w:line="440" w:lineRule="exact"/>
        <w:rPr>
          <w:rFonts w:hint="eastAsia" w:ascii="宋体" w:hAnsi="宋体" w:cs="宋体"/>
          <w:color w:val="auto"/>
          <w:sz w:val="21"/>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针对本项目的</w:t>
      </w:r>
      <w:r>
        <w:rPr>
          <w:rFonts w:hint="eastAsia" w:ascii="宋体" w:hAnsi="宋体" w:cs="宋体"/>
          <w:color w:val="auto"/>
          <w:szCs w:val="24"/>
          <w:highlight w:val="none"/>
        </w:rPr>
        <w:t xml:space="preserve">需求理解</w:t>
      </w:r>
      <w:r/>
    </w:p>
    <w:p>
      <w:pPr>
        <w:ind w:firstLine="420"/>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7.5.2</w:t>
      </w:r>
      <w:r>
        <w:rPr>
          <w:rFonts w:hint="eastAsia" w:ascii="宋体" w:hAnsi="宋体" w:cs="宋体"/>
          <w:color w:val="auto"/>
          <w:szCs w:val="21"/>
          <w:highlight w:val="none"/>
          <w:lang w:val="zh-CN"/>
        </w:rPr>
        <w:t xml:space="preserve">服务</w:t>
      </w:r>
      <w:r>
        <w:rPr>
          <w:rFonts w:hint="eastAsia" w:ascii="宋体" w:hAnsi="宋体" w:cs="宋体"/>
          <w:color w:val="auto"/>
          <w:szCs w:val="21"/>
          <w:highlight w:val="none"/>
          <w:lang w:val="en-US" w:eastAsia="zh-CN"/>
        </w:rPr>
        <w:t xml:space="preserve">方案、项目实施方案及培训方案</w:t>
      </w:r>
      <w:r/>
    </w:p>
    <w:p>
      <w:pPr>
        <w:spacing w:line="440" w:lineRule="exact"/>
        <w:rPr>
          <w:rFonts w:hint="default" w:ascii="宋体" w:hAnsi="宋体" w:cs="宋体"/>
          <w:b/>
          <w:bCs/>
          <w:color w:val="auto"/>
          <w:szCs w:val="21"/>
          <w:highlight w:val="none"/>
          <w:lang w:val="en-US"/>
        </w:rPr>
      </w:pPr>
      <w:r>
        <w:rPr>
          <w:rFonts w:hint="eastAsia" w:ascii="宋体" w:hAnsi="宋体" w:cs="宋体"/>
          <w:color w:val="auto"/>
          <w:szCs w:val="21"/>
          <w:highlight w:val="none"/>
          <w:lang w:val="en-US" w:eastAsia="zh-CN"/>
        </w:rPr>
        <w:t xml:space="preserve">    </w:t>
      </w: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 </w:t>
      </w:r>
      <w:r>
        <w:rPr>
          <w:rFonts w:hint="eastAsia" w:ascii="宋体" w:hAnsi="宋体" w:cs="宋体"/>
          <w:color w:val="auto"/>
          <w:szCs w:val="21"/>
          <w:highlight w:val="none"/>
        </w:rPr>
        <w:t xml:space="preserve">响应单位针对本项目服务人员的配备及设备</w:t>
      </w:r>
      <w:r/>
    </w:p>
    <w:p>
      <w:pPr>
        <w:ind w:firstLine="420"/>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7.5.</w:t>
      </w:r>
      <w:r>
        <w:rPr>
          <w:rFonts w:hint="eastAsia" w:ascii="宋体" w:hAnsi="宋体" w:cs="宋体"/>
          <w:color w:val="auto"/>
          <w:szCs w:val="21"/>
          <w:highlight w:val="none"/>
          <w:lang w:val="en-US" w:eastAsia="zh-CN"/>
        </w:rPr>
        <w:t xml:space="preserve">4 响应单位履约能力</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其他可以证明投标人资质、服务质量的证书、文件等相关资料。</w:t>
      </w:r>
      <w:r/>
    </w:p>
    <w:p>
      <w:pPr>
        <w:pStyle w:val="1199"/>
        <w:ind w:firstLine="422"/>
        <w:spacing w:line="44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lang w:val="en-US" w:eastAsia="zh-CN"/>
        </w:rPr>
        <w:t xml:space="preserve">7.6</w:t>
      </w:r>
      <w:r>
        <w:rPr>
          <w:rFonts w:hint="eastAsia" w:ascii="宋体" w:hAnsi="宋体" w:eastAsia="宋体" w:cs="宋体"/>
          <w:b/>
          <w:color w:val="auto"/>
          <w:sz w:val="21"/>
          <w:szCs w:val="21"/>
          <w:highlight w:val="none"/>
          <w:u w:val="single"/>
        </w:rPr>
        <w:t xml:space="preserve">价格折扣响应文件</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6.1</w:t>
      </w:r>
      <w:r>
        <w:rPr>
          <w:rFonts w:hint="eastAsia" w:ascii="宋体" w:hAnsi="宋体" w:eastAsia="宋体" w:cs="宋体"/>
          <w:color w:val="auto"/>
          <w:szCs w:val="21"/>
          <w:highlight w:val="none"/>
          <w:lang w:val="zh-CN"/>
        </w:rPr>
        <w:t xml:space="preserve">中小企业声明函/残疾人福利性单位声明函/监狱企业的证明文件。</w:t>
      </w:r>
      <w:r/>
    </w:p>
    <w:p>
      <w:pPr>
        <w:ind w:firstLine="420"/>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7.6.2</w:t>
      </w:r>
      <w:r>
        <w:rPr>
          <w:rFonts w:hint="eastAsia" w:ascii="宋体" w:hAnsi="宋体" w:eastAsia="宋体" w:cs="宋体"/>
          <w:color w:val="auto"/>
          <w:szCs w:val="21"/>
          <w:highlight w:val="none"/>
          <w:lang w:val="zh-CN" w:eastAsia="zh-CN"/>
        </w:rPr>
        <w:t xml:space="preserve">供应商对其提供的产品出具《关于符合本国产品标准的声明函》或财政部会同有关部门规定的有关证明文件。如不提供将不享受本国产品价格评审优惠。</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en-US" w:eastAsia="zh-CN"/>
        </w:rPr>
        <w:t xml:space="preserve">本项目不涉及）</w:t>
      </w:r>
      <w:r/>
    </w:p>
    <w:p>
      <w:pPr>
        <w:pStyle w:val="1199"/>
        <w:ind w:firstLine="422"/>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（1）以上7.3.1-7.3.8为资格审查要求提供的材料，是作为对供应商资格审查、质疑身份认定的依据，响应供应商必须提供并加盖电子公章。否则，磋商响应文件将被认定为不符合资格审查要求。</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（2）以上7.4.1-7.4.</w:t>
      </w:r>
      <w:r>
        <w:rPr>
          <w:rFonts w:hint="eastAsia" w:ascii="宋体" w:hAnsi="宋体" w:cs="宋体"/>
          <w:b/>
          <w:color w:val="auto"/>
          <w:sz w:val="21"/>
          <w:szCs w:val="21"/>
          <w:highlight w:val="none"/>
          <w:lang w:val="en-US" w:eastAsia="zh-CN"/>
        </w:rPr>
        <w:t xml:space="preserve">8</w:t>
      </w:r>
      <w:r>
        <w:rPr>
          <w:rFonts w:hint="eastAsia" w:ascii="宋体" w:hAnsi="宋体" w:cs="宋体"/>
          <w:b/>
          <w:color w:val="auto"/>
          <w:sz w:val="21"/>
          <w:szCs w:val="21"/>
          <w:highlight w:val="none"/>
        </w:rPr>
        <w:t xml:space="preserve">为符合性审查须提供的资料，响应供应商必须提供并加盖电子公章。否则，磋商响应文件将被认定为未实质性响应。</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（3)制作电子响应文件时必须与投标文件制作软件目录一一对应，将相关资料上传至相应模块。</w:t>
      </w:r>
      <w:r/>
    </w:p>
    <w:p>
      <w:pPr>
        <w:pStyle w:val="1199"/>
        <w:ind w:firstLine="422"/>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（4）磋商响应文件编制要求：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b/>
          <w:color w:val="auto"/>
          <w:sz w:val="21"/>
          <w:szCs w:val="21"/>
          <w:highlight w:val="none"/>
        </w:rPr>
        <w:t xml:space="preserve">注：具体投标文件编制教程查看苏采云系统中的客户端使用说明和供应商《操作手册》。</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8.响应文件的解密与评审</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8.1采购代理机构按本须知规定的时间、地点主持磋商采购活动。</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8.2供应商通过“苏采云”系统在线参与磋商活动。供应商应当按照《苏采云系统供应商操作手册》规定在 “苏采云”系统规定的时间内对响应文件进行解密。</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8.3在磋商响应文件网上递交截止时间止成功解密的磋商供应商少于三家，则本次采购失败。</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8.4由磋商小组审查供应商解密的响应文件。</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磋商小组并非对每个供应商都作澄清要求。</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8.6磋商小组要求供应商澄清、说明或者更正响应文件应当以书面形式做出。供应商的澄清、说明或者更正应当由其单位加盖电子公章。</w:t>
      </w:r>
      <w:r/>
    </w:p>
    <w:p>
      <w:pPr>
        <w:pStyle w:val="1199"/>
        <w:ind w:firstLine="422"/>
        <w:spacing w:line="440" w:lineRule="exact"/>
        <w:rPr>
          <w:rFonts w:ascii="宋体" w:hAnsi="宋体" w:cs="宋体"/>
          <w:bCs/>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8.7对响应文件的审查</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8.7.1响应文件审查分为资格审查和符合性审查。</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8.7.1.1 资格审查：由磋商小组依据法律法规和磋商文件的规定，对响应文件中的资格证明文件进行审查，以确定供应商是否具备参加磋商的资格。</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8.7.1.2 符合性审查：依据磋商文件的规定，由磋商小组从响应文件的有效性、完整性和对磋商文件的响应程度进行审查，以确定是否对磋商文件的实质性要求作出响应。</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1199"/>
        <w:ind w:firstLine="422"/>
        <w:spacing w:line="440" w:lineRule="exact"/>
        <w:rPr>
          <w:rFonts w:ascii="宋体" w:hAnsi="宋体" w:cs="宋体"/>
          <w:bCs/>
          <w:color w:val="auto"/>
          <w:sz w:val="21"/>
          <w:szCs w:val="21"/>
          <w:highlight w:val="none"/>
        </w:rPr>
      </w:pPr>
      <w:r>
        <w:rPr>
          <w:rFonts w:hint="eastAsia" w:ascii="宋体" w:hAnsi="宋体" w:cs="宋体"/>
          <w:b w:val="0"/>
          <w:bCs/>
          <w:color w:val="auto"/>
          <w:sz w:val="21"/>
          <w:szCs w:val="21"/>
          <w:highlight w:val="none"/>
        </w:rPr>
        <w:t xml:space="preserve">8.10</w:t>
      </w:r>
      <w:r>
        <w:rPr>
          <w:rFonts w:hint="eastAsia" w:ascii="宋体" w:hAnsi="宋体" w:cs="宋体"/>
          <w:b/>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8.11经磋商确定最终采购需求和提交最后报价的供应商后，由磋商小组采用综合评分法对提交最后报价的供应商的响应文件和最后报价进行综合评分。</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8.12磋商小组根据磋商成交原则确定成交供应商，并将结果通知所有参加磋商的供应商。</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8.13评审过程的保密与公正</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8.13.1磋商小组、采购人和代理公司工作人员、相关监督人员等与评审工作有关的人员，对评审情况以及在评审过程中获悉的国家秘密、商业秘密负有保密责任。</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8.13.2在评审过程中，供应商不得以任何行为影响磋商评审过程，否则其响应文件将被作为无效响应文件。</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8.13.3在项目评审期间，代理公司将设专门人员与供应商联系。</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8.13.4 代理公司和磋商小组不向未成交的供应商解释未成交原因，也不公布评审过程中的相关细节。</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8.14如磋商过程中出现本采购文件未尽事宜，由磋商小组根据政府采购有关法律、法规讨论决定。</w:t>
      </w:r>
      <w:r/>
    </w:p>
    <w:p>
      <w:pPr>
        <w:pStyle w:val="1199"/>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9.未实质性响应磋商文件的情形</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9.1供应商在苏采云系统规定的时间内未成功解密电子响应文件的。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9.2供应商未按照磋商文件要求上传电子响应文件的。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9.3同一供应商提交两个（含两个）以上不同的响应文件或者最后报价的。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9.4供应商不具备磋商文件中规定资格要求的。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9.5供应商的报价超过了采购预算或最高限价。</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9.6不符合磋商文件中规定的实质性要求和条件的。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9.8响应文件含有采购人不能接受的附加条件的。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9.10响应文件未按照磋商文件要求加盖CA电子公章或签署的。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9.11法律、法规和招标文件规定的其他无效情形。</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9.12未实质性响应磋商文件的响应文件按无效响应处理。</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①如果响应文件实质上没有响应磋商文件的要求，磋商小组将予以拒绝，供应商不得通过修改或撤销不合要求的偏离或保留而使其成为实质性响应的文件。</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②供应商在项目评审全过程中应保持通讯畅通，并安排专人与代理公司及磋商小组联系。</w:t>
      </w:r>
      <w:r/>
    </w:p>
    <w:p>
      <w:pPr>
        <w:pStyle w:val="1199"/>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10.项目的终止</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10.1出现下列情形之一的，本次竞争性磋商采购活动将被终止：</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10.1.1因情况变化，不再符合规定的竞争性磋商采购方式适用情形的。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10.1.2出现影响采购公正的违法、违规行为的。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w:t>
      </w:r>
      <w:r>
        <w:rPr>
          <w:rFonts w:hint="eastAsia" w:ascii="宋体" w:hAnsi="宋体" w:cs="宋体"/>
          <w:bCs/>
          <w:color w:val="auto"/>
          <w:sz w:val="21"/>
          <w:szCs w:val="21"/>
          <w:highlight w:val="none"/>
          <w:lang w:val="en-US" w:eastAsia="zh-CN"/>
        </w:rPr>
        <w:t xml:space="preserve">或最高限价</w:t>
      </w:r>
      <w:r>
        <w:rPr>
          <w:rFonts w:hint="eastAsia" w:ascii="宋体" w:hAnsi="宋体" w:cs="宋体"/>
          <w:bCs/>
          <w:color w:val="auto"/>
          <w:sz w:val="21"/>
          <w:szCs w:val="21"/>
          <w:highlight w:val="none"/>
        </w:rPr>
        <w:t xml:space="preserve">的供应商不足3家的。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10.1.4在苏采云系统规定时间内成功解密电子响应文件的供应商不足3家的。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10.1.5供应商的报价均超过了采购预算</w:t>
      </w:r>
      <w:r>
        <w:rPr>
          <w:rFonts w:hint="eastAsia" w:ascii="宋体" w:hAnsi="宋体" w:cs="宋体"/>
          <w:bCs/>
          <w:color w:val="auto"/>
          <w:sz w:val="21"/>
          <w:szCs w:val="21"/>
          <w:highlight w:val="none"/>
          <w:lang w:val="en-US" w:eastAsia="zh-CN"/>
        </w:rPr>
        <w:t xml:space="preserve">或最高限价</w:t>
      </w:r>
      <w:r>
        <w:rPr>
          <w:rFonts w:hint="eastAsia" w:ascii="宋体" w:hAnsi="宋体" w:cs="宋体"/>
          <w:bCs/>
          <w:color w:val="auto"/>
          <w:sz w:val="21"/>
          <w:szCs w:val="21"/>
          <w:highlight w:val="none"/>
        </w:rPr>
        <w:t xml:space="preserve">，采购人不能支付的； </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10.1.6因重大变故，采购任务取消的。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10.2供应商应当遵循公平竞争的原则，不得恶意串通，不得妨碍其他供应商的竞争行为，不得损害采购人或者其他供应商的合法权益。</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10.3在评审过程中发现供应商有下述情形的，磋商小组应当认定其响应无效，并书面报告本级财政部门。</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10.4有下列情形之一的，视为供应商串通投标，其响应无效：</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10.4.1不同供应商的响应文件由同一单位或者个人编制；</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10.4.2不同供应商委托同一单位或者个人办理投标事宜；</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10.4.3不同供应商的响应文件载明的项目管理成员或者联系人员为同一人；</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10.4.4不同供应商的响应文件异常一致或者报价呈规律性差异；</w:t>
      </w:r>
      <w:r/>
    </w:p>
    <w:p>
      <w:pPr>
        <w:pStyle w:val="1199"/>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10.4.5不同供应商的响应文件相互混装。</w:t>
      </w:r>
      <w:r/>
    </w:p>
    <w:p>
      <w:pPr>
        <w:pStyle w:val="1199"/>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10.4.6</w:t>
      </w:r>
      <w:r>
        <w:rPr>
          <w:rFonts w:hint="eastAsia" w:ascii="宋体" w:hAnsi="宋体" w:cs="宋体"/>
          <w:bCs/>
          <w:color w:val="auto"/>
          <w:sz w:val="21"/>
          <w:szCs w:val="21"/>
          <w:highlight w:val="none"/>
        </w:rPr>
        <w:t xml:space="preserve">机器码检查中，出现不同投标人投标文件机器码一致情形的；</w:t>
      </w:r>
      <w:r/>
    </w:p>
    <w:p>
      <w:pPr>
        <w:pStyle w:val="1199"/>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11.成交</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11.1确定成交单位</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11.1.1磋商小组根据磋商成交原则确定成交供应商，并将结果通知所有参加磋商的供应商。</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11.2若有充分证据证明，成交供应商出现下列情况之一的，一经查实，将被取消成交资格：</w:t>
      </w:r>
      <w:r/>
    </w:p>
    <w:p>
      <w:pPr>
        <w:pStyle w:val="1199"/>
        <w:spacing w:line="440" w:lineRule="exact"/>
        <w:rPr>
          <w:rFonts w:ascii="宋体" w:hAnsi="宋体" w:cs="宋体"/>
          <w:bCs/>
          <w:color w:val="auto"/>
          <w:sz w:val="21"/>
          <w:szCs w:val="21"/>
          <w:highlight w:val="none"/>
        </w:rPr>
      </w:pPr>
      <w:r/>
      <w:bookmarkStart w:id="30" w:name="OLE_LINK5"/>
      <w:r>
        <w:rPr>
          <w:rFonts w:hint="eastAsia" w:ascii="宋体" w:hAnsi="宋体" w:cs="宋体"/>
          <w:bCs/>
          <w:color w:val="auto"/>
          <w:sz w:val="21"/>
          <w:szCs w:val="21"/>
          <w:highlight w:val="none"/>
        </w:rPr>
        <w:t xml:space="preserve">11.2.1提供虚假材料谋取成交的。</w:t>
      </w:r>
      <w:bookmarkEnd w:id="30"/>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11.2.2与评审专家、采购人、其他供应商或者代理公司工作人员恶意串通的。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11.2.3向评审专家、采购人或代理公司工作人员行贿或者提供其他不正当利益的。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11.2.4恶意竞争，最后报价明显低于其自身合理成本且又无法提供证明的。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11.2.5不满足本磋商文件规定的实质性要求，但在评审过程中又未被磋商小组发现的。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11.2.6成交后无正当理由拒不与采购人签订政府采购合同或者未按照磋商文件确定的事项签订政府采购合同的。</w:t>
      </w:r>
      <w:r/>
    </w:p>
    <w:p>
      <w:pPr>
        <w:pStyle w:val="1199"/>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11.2.7将政府采购合同转包的。</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12.质疑处理</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需同时提供网上报名确认单及质疑单位符合本项目合格响应单位资格要求的证明文件，因供应商资格条件或报名时间设定不符合有关法律法规规定等原因使供应商权益受损的质疑除外）。</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12.2本次采购文件要求供应商在法定质疑期内一次性提出针对同一采购程序环节的质疑，否则不予受理。</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12.3供应商提出质疑应当提交质疑函和必要的证明材料，质疑函应当包括下列内容：</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12.3.1供应商的姓名或者名称（以提供的营业执照副本复印件为准）、地址、邮编、联系人及联系电话；</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12.3.2质疑项目的名称、编号；</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12.3.3具体、明确的质疑事项和与质疑事项相关的请求；</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12.3.4事实依据；</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12.3.5必要的法律依据；</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12.3.6提出质疑的日期。</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sz w:val="21"/>
          <w:szCs w:val="21"/>
          <w:highlight w:val="none"/>
        </w:rPr>
        <w:t xml:space="preserve">授权委托书</w:t>
      </w:r>
      <w:r>
        <w:rPr>
          <w:rFonts w:hint="eastAsia" w:ascii="宋体" w:hAnsi="宋体" w:cs="宋体"/>
          <w:color w:val="auto"/>
          <w:sz w:val="21"/>
          <w:szCs w:val="21"/>
          <w:highlight w:val="none"/>
        </w:rPr>
        <w:t xml:space="preserve">上应当载明代理人的姓名或者名称、代理事项、具体权限、期限和相关事项。</w:t>
      </w:r>
      <w:r/>
    </w:p>
    <w:p>
      <w:pPr>
        <w:pStyle w:val="1199"/>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 w:val="21"/>
          <w:szCs w:val="21"/>
          <w:highlight w:val="none"/>
        </w:rPr>
        <w:t xml:space="preserve">。</w:t>
      </w:r>
      <w:r/>
    </w:p>
    <w:p>
      <w:pPr>
        <w:pStyle w:val="1199"/>
        <w:spacing w:line="440" w:lineRule="exact"/>
        <w:rPr>
          <w:rFonts w:ascii="宋体" w:hAnsi="宋体" w:cs="宋体"/>
          <w:b/>
          <w:color w:val="auto"/>
          <w:sz w:val="21"/>
          <w:szCs w:val="21"/>
          <w:highlight w:val="none"/>
        </w:rPr>
      </w:pPr>
      <w:r>
        <w:rPr>
          <w:rFonts w:hint="eastAsia" w:ascii="宋体" w:hAnsi="宋体" w:cs="宋体"/>
          <w:color w:val="auto"/>
          <w:sz w:val="21"/>
          <w:szCs w:val="21"/>
          <w:highlight w:val="none"/>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1"/>
          <w:szCs w:val="21"/>
          <w:highlight w:val="none"/>
        </w:rPr>
        <w:t xml:space="preserve">《投标供应商确认函》</w:t>
      </w:r>
      <w:r>
        <w:rPr>
          <w:rFonts w:hint="eastAsia" w:ascii="宋体" w:hAnsi="宋体" w:cs="宋体"/>
          <w:color w:val="auto"/>
          <w:sz w:val="21"/>
          <w:szCs w:val="21"/>
          <w:highlight w:val="none"/>
        </w:rPr>
        <w:t xml:space="preserve">）与质疑函一起递交，否则不予受理。</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12.5接收质疑函的方式：书面形式（当场送达或邮寄方式）</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en-US"/>
        </w:rPr>
        <w:t xml:space="preserve">苏州通宜房地产土地评估咨询有限公司</w:t>
      </w:r>
      <w:r/>
    </w:p>
    <w:p>
      <w:pPr>
        <w:pStyle w:val="1123"/>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地址:吴江区松陵镇鲈乡南路鲈乡园别墅区103幢</w:t>
      </w:r>
      <w:r/>
    </w:p>
    <w:p>
      <w:pPr>
        <w:pStyle w:val="1123"/>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联系人：董鹏、朱雪芬  </w:t>
      </w:r>
      <w:r/>
    </w:p>
    <w:p>
      <w:pPr>
        <w:pStyle w:val="1123"/>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rPr>
        <w:t xml:space="preserve">0512-</w:t>
      </w:r>
      <w:r>
        <w:rPr>
          <w:rFonts w:hint="eastAsia" w:ascii="宋体" w:hAnsi="宋体" w:cs="宋体"/>
          <w:color w:val="auto"/>
          <w:szCs w:val="21"/>
          <w:highlight w:val="none"/>
        </w:rPr>
        <w:t xml:space="preserve">63000883</w:t>
      </w:r>
      <w:r>
        <w:rPr>
          <w:rFonts w:hint="eastAsia" w:ascii="宋体" w:hAnsi="宋体" w:cs="宋体"/>
          <w:color w:val="auto"/>
          <w:szCs w:val="21"/>
          <w:highlight w:val="none"/>
          <w:lang w:val="en-US"/>
        </w:rPr>
        <w:t xml:space="preserve"> </w:t>
      </w:r>
      <w:r/>
    </w:p>
    <w:p>
      <w:pPr>
        <w:pStyle w:val="1123"/>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提交方式：书面形式原件（邮寄或当面递交）</w:t>
      </w:r>
      <w:r/>
    </w:p>
    <w:p>
      <w:pPr>
        <w:pStyle w:val="1123"/>
        <w:ind w:firstLine="420"/>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13.响应无效和终止磋商活动条款</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13.1响应人存在下列情况之一的，响应无效:</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13.1.1未按照竞争性磋商文件规定要求签署、盖章的；</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13.1.2供应商不具备竞争性磋商文件中规定资格条件的；</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13.1.3报价超过磋商文件中规定的预算金额或者最高限价的；</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13.1.4响应文件含有采购人不能接受的附加条件；</w:t>
      </w:r>
      <w:r/>
    </w:p>
    <w:p>
      <w:pPr>
        <w:pStyle w:val="1129"/>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13.1.5因磋商响应单位自身原因导致网上磋商响应文件无法递交的其他情况；</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13.1.6不符合法律、法规和竞争性磋商文件中规定的其他实质性要求的；</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13.1.7法律、法规及本竞争性磋商文件规定的其他无效的情形。</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13.2响应人应当遵循公平竞争的原则，不得恶意串通，不得妨碍其他响应人的竞争行为，不得损害采购人或者其他响应人的合法权益。</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磋商</w:t>
      </w:r>
      <w:r>
        <w:rPr>
          <w:rFonts w:hint="eastAsia" w:ascii="宋体" w:hAnsi="宋体" w:cs="宋体"/>
          <w:color w:val="auto"/>
          <w:sz w:val="21"/>
          <w:szCs w:val="21"/>
          <w:highlight w:val="none"/>
        </w:rPr>
        <w:t xml:space="preserve">过程中发现响应人有上述情形的，磋商小组应当认定其响应无效，并书面报告本级财政部门。</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13.3有下列情形之一的，视为响应人恶意串通，其响应无效：</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13.3.1不同响应人的响应文件由同一单位或者个人编制；</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13.3.2不同响应人委托同一单位或者个人办理磋商事宜；</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13.3.3不同响应人的响应文件载明的项目管理成员或者联系人员为同一人；</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13.3.4不同响应人的响应文件异常一致或者报价呈规律性差异；</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13.3.5不同响应人的响应文件相互混装；</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13.4终止竞争性磋商采购活动的条款</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13.4.1因情况变化，不再符合规定的竞争性磋商采购方式适用情形的；</w:t>
      </w:r>
      <w:r/>
    </w:p>
    <w:p>
      <w:pPr>
        <w:pStyle w:val="119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13.4.2出现影响采购公正的违法、违规行为的；</w:t>
      </w:r>
      <w:r/>
    </w:p>
    <w:p>
      <w:pPr>
        <w:pStyle w:val="1199"/>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13.4.3在采购过程中符合要求的供应商或者报价未超过采购预算</w:t>
      </w:r>
      <w:r>
        <w:rPr>
          <w:rFonts w:hint="eastAsia" w:ascii="宋体" w:hAnsi="宋体" w:cs="宋体"/>
          <w:bCs/>
          <w:color w:val="auto"/>
          <w:sz w:val="21"/>
          <w:szCs w:val="21"/>
          <w:highlight w:val="none"/>
          <w:lang w:val="en-US" w:eastAsia="zh-CN"/>
        </w:rPr>
        <w:t xml:space="preserve">或最高限价</w:t>
      </w:r>
      <w:r>
        <w:rPr>
          <w:rFonts w:hint="eastAsia" w:ascii="宋体" w:hAnsi="宋体" w:cs="宋体"/>
          <w:color w:val="auto"/>
          <w:sz w:val="21"/>
          <w:szCs w:val="21"/>
          <w:highlight w:val="none"/>
        </w:rPr>
        <w:t xml:space="preserve">的供应商不足3家的。</w:t>
      </w:r>
      <w:r/>
    </w:p>
    <w:p>
      <w:pPr>
        <w:ind w:firstLine="422"/>
        <w:spacing w:line="440" w:lineRule="exact"/>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14.政府采购政策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14.1小、微企业</w:t>
      </w:r>
      <w:r/>
    </w:p>
    <w:p>
      <w:pPr>
        <w:ind w:firstLine="420"/>
        <w:spacing w:line="440" w:lineRule="exact"/>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14.2残疾人福利性单位</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14.3监狱企业</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14.4</w:t>
      </w:r>
      <w:r>
        <w:rPr>
          <w:rFonts w:hint="eastAsia" w:ascii="宋体" w:hAnsi="宋体" w:cs="宋体"/>
          <w:color w:val="auto"/>
          <w:szCs w:val="21"/>
          <w:highlight w:val="none"/>
        </w:rPr>
        <w:t xml:space="preserve">强制采购节能产品、信息安全产品，优先采购环境标志产品。</w:t>
      </w:r>
      <w:r/>
    </w:p>
    <w:p>
      <w:pPr>
        <w:ind w:firstLine="420"/>
        <w:spacing w:line="440" w:lineRule="exact"/>
        <w:tabs>
          <w:tab w:val="left" w:pos="56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14.4.1</w:t>
      </w:r>
      <w:r>
        <w:rPr>
          <w:rFonts w:hint="eastAsia" w:ascii="宋体" w:hAnsi="宋体" w:cs="宋体"/>
          <w:color w:val="auto"/>
          <w:szCs w:val="21"/>
          <w:highlight w:val="none"/>
        </w:rPr>
        <w:t xml:space="preserve">节能产品是指列入财政部、国家发展和改革委员会制定的节能产品品目政府采购清单，且经过认定的节能产品</w:t>
      </w:r>
      <w:r>
        <w:rPr>
          <w:rFonts w:hint="eastAsia" w:ascii="宋体" w:hAnsi="宋体" w:cs="宋体"/>
          <w:color w:val="auto"/>
          <w:szCs w:val="21"/>
          <w:highlight w:val="none"/>
          <w:lang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14.4.2</w:t>
      </w:r>
      <w:r>
        <w:rPr>
          <w:rFonts w:hint="eastAsia" w:ascii="宋体" w:hAnsi="宋体" w:cs="宋体"/>
          <w:color w:val="auto"/>
          <w:szCs w:val="21"/>
          <w:highlight w:val="none"/>
        </w:rPr>
        <w:t xml:space="preserve">信息安全产品是指列入国家质检总局国家认监委《信息安全产品强制性认证目录》，并获得强制性产品认证证书的产品</w:t>
      </w:r>
      <w:r>
        <w:rPr>
          <w:rFonts w:hint="eastAsia" w:ascii="宋体" w:hAnsi="宋体" w:cs="宋体"/>
          <w:color w:val="auto"/>
          <w:szCs w:val="21"/>
          <w:highlight w:val="none"/>
          <w:lang w:val="en-US" w:eastAsia="zh-CN"/>
        </w:rPr>
        <w:t xml:space="preserve">.</w:t>
      </w:r>
      <w:r/>
    </w:p>
    <w:p>
      <w:pPr>
        <w:ind w:firstLine="420"/>
        <w:spacing w:line="440" w:lineRule="exact"/>
        <w:tabs>
          <w:tab w:val="left" w:pos="567"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14.4.3</w:t>
      </w:r>
      <w:r>
        <w:rPr>
          <w:rFonts w:hint="eastAsia" w:ascii="宋体" w:hAnsi="宋体" w:cs="宋体"/>
          <w:color w:val="auto"/>
          <w:szCs w:val="21"/>
          <w:highlight w:val="none"/>
        </w:rPr>
        <w:t xml:space="preserve">环境标志产品是指列入财政部、国家环保总局制定的环境标志产品品目政府采购清单，且经过认证的环境标志产品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提供的产品属于环境标志产品的,供应商应当选择经过认证的环境标志产品投标,并提供有效的环境标志产品认证证书扫描件。</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14.5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14.6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14.7政府采购中实施本国产品标准及相关政策</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14.7.1本项目对采购本国产品给予政策支持：</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14.7.1.1本项目政府采购活动中既有本国产品又有非本国产品参与竞争的，依法对本国产品给予价格评审优惠，对本国产品的报价给予20%的价格扣除，用扣除后的价格参与评审。</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14.7.1.3供应商需按照招标文件的要求提供《关于符合本国产品标准的声明函》（以下简称《声明函》），如不提供将不享受本国产品价格评审优惠。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tabs>
          <w:tab w:val="left" w:pos="567" w:leader="none"/>
        </w:tabs>
        <w:rPr>
          <w:rFonts w:hint="eastAsia"/>
          <w:color w:val="auto"/>
          <w:highlight w:val="none"/>
        </w:rPr>
      </w:pPr>
      <w:r>
        <w:rPr>
          <w:rFonts w:hint="eastAsia" w:ascii="宋体" w:hAnsi="宋体" w:cs="宋体"/>
          <w:color w:val="auto"/>
          <w:szCs w:val="21"/>
          <w:highlight w:val="none"/>
          <w:lang w:val="en-US" w:eastAsia="zh-CN"/>
        </w:rPr>
        <w:t xml:space="preserve">14.8</w:t>
      </w:r>
      <w:r>
        <w:rPr>
          <w:rFonts w:hint="eastAsia" w:ascii="宋体" w:hAnsi="宋体" w:cs="宋体"/>
          <w:color w:val="auto"/>
          <w:szCs w:val="21"/>
          <w:highlight w:val="none"/>
        </w:rPr>
        <w:t xml:space="preserve">如采购货物涉及协议供货相关产品的，执行协议供货相关政策。</w:t>
      </w:r>
      <w:r/>
    </w:p>
    <w:p>
      <w:pPr>
        <w:ind w:firstLine="422"/>
        <w:spacing w:line="440" w:lineRule="exact"/>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15.关于对参与供应商信用记录的政府采购要求</w:t>
      </w:r>
      <w:r/>
    </w:p>
    <w:p>
      <w:pPr>
        <w:ind w:firstLine="420"/>
        <w:spacing w:line="440" w:lineRule="exact"/>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15.1采购代理机构会在接收响应文件截止时间后，实时查询“信用中国”相关主体信用记录，并将查询结果递交评审小组并留档。</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15.3供应商若在经营活动中受到罚款的，请携带相关地方、部门对较大数额认定标准的证明材料，与响应文件一并提交。若无法提供，则可能承担响应无效等相应不利后果。</w:t>
      </w:r>
      <w:r/>
    </w:p>
    <w:p>
      <w:pPr>
        <w:ind w:firstLine="420"/>
        <w:spacing w:line="440" w:lineRule="exact"/>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15.4对存在失信信息的供应商，由失信供应商进行确认。同时，采购代理机构工作人员应根据评审小组确认的失信信息，登陆到相关来源网站页面进行复核并打印，作为证据留存。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1197"/>
        <w:ind w:firstLine="420"/>
        <w:jc w:val="both"/>
        <w:spacing w:before="0" w:beforeAutospacing="0" w:after="0" w:afterAutospacing="0" w:line="440" w:lineRule="exact"/>
        <w:widowControl w:val="off"/>
        <w:rPr>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1197"/>
        <w:ind w:firstLine="420"/>
        <w:jc w:val="both"/>
        <w:spacing w:before="0" w:beforeAutospacing="0" w:after="0" w:afterAutospacing="0" w:line="44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1197"/>
        <w:ind w:firstLine="422"/>
        <w:jc w:val="both"/>
        <w:spacing w:before="0" w:beforeAutospacing="0" w:after="0" w:afterAutospacing="0" w:line="440" w:lineRule="exact"/>
        <w:rPr>
          <w:bCs/>
          <w:color w:val="auto"/>
          <w:sz w:val="21"/>
          <w:szCs w:val="21"/>
          <w:highlight w:val="none"/>
        </w:rPr>
      </w:pPr>
      <w:r>
        <w:rPr>
          <w:rFonts w:hint="eastAsia"/>
          <w:b/>
          <w:color w:val="auto"/>
          <w:sz w:val="21"/>
          <w:szCs w:val="21"/>
          <w:highlight w:val="none"/>
        </w:rPr>
        <w:t xml:space="preserve">17.磋商保证金：</w:t>
      </w:r>
      <w:r>
        <w:rPr>
          <w:rFonts w:hint="eastAsia"/>
          <w:bCs/>
          <w:color w:val="auto"/>
          <w:sz w:val="21"/>
          <w:szCs w:val="21"/>
          <w:highlight w:val="none"/>
        </w:rPr>
        <w:t xml:space="preserve">本项目不收取保证金，但需在响应文件中提供《</w:t>
      </w:r>
      <w:r>
        <w:rPr>
          <w:rFonts w:hint="eastAsia"/>
          <w:bCs/>
          <w:color w:val="auto"/>
          <w:sz w:val="21"/>
          <w:szCs w:val="21"/>
          <w:highlight w:val="none"/>
          <w:lang w:val="zh-CN"/>
        </w:rPr>
        <w:t xml:space="preserve">投标（响应）保证承诺书》。</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18.代理服务费：</w:t>
      </w:r>
      <w:r>
        <w:rPr>
          <w:rFonts w:hint="eastAsia" w:ascii="宋体" w:hAnsi="宋体" w:cs="宋体"/>
          <w:b w:val="0"/>
          <w:bCs/>
          <w:color w:val="auto"/>
          <w:szCs w:val="21"/>
          <w:highlight w:val="none"/>
        </w:rPr>
        <w:t xml:space="preserve">采购人支付自代理服务履约完毕之日起 30 个工作日内支付款项。</w:t>
      </w:r>
      <w:r>
        <w:rPr>
          <w:rFonts w:hint="eastAsia" w:ascii="宋体" w:hAnsi="宋体" w:cs="宋体"/>
          <w:b w:val="0"/>
          <w:bCs/>
          <w:color w:val="auto"/>
          <w:szCs w:val="21"/>
          <w:highlight w:val="none"/>
          <w:lang w:val="zh-CN"/>
        </w:rPr>
        <w:t xml:space="preserve">按差额定率累进法</w:t>
      </w:r>
      <w:r>
        <w:rPr>
          <w:rFonts w:hint="eastAsia" w:ascii="宋体" w:hAnsi="宋体" w:cs="宋体"/>
          <w:b w:val="0"/>
          <w:bCs/>
          <w:color w:val="auto"/>
          <w:szCs w:val="21"/>
          <w:highlight w:val="none"/>
        </w:rPr>
        <w:t xml:space="preserve">分标段</w:t>
      </w:r>
      <w:r>
        <w:rPr>
          <w:rFonts w:hint="eastAsia" w:ascii="宋体" w:hAnsi="宋体" w:cs="宋体"/>
          <w:b w:val="0"/>
          <w:bCs/>
          <w:color w:val="auto"/>
          <w:szCs w:val="21"/>
          <w:highlight w:val="none"/>
          <w:lang w:val="zh-CN"/>
        </w:rPr>
        <w:t xml:space="preserve">计算收取，预</w:t>
      </w:r>
      <w:r>
        <w:rPr>
          <w:rFonts w:hint="eastAsia" w:ascii="宋体" w:hAnsi="宋体" w:cs="宋体"/>
          <w:color w:val="auto"/>
          <w:szCs w:val="21"/>
          <w:highlight w:val="none"/>
          <w:lang w:val="zh-CN"/>
        </w:rPr>
        <w:t xml:space="preserve">算金额100万以下费率为预算金额的1.5%；预算金额100万（含）-500万费率为预算金额的1.1%；</w:t>
      </w:r>
      <w:r>
        <w:rPr>
          <w:rFonts w:hint="eastAsia" w:ascii="宋体" w:hAnsi="宋体"/>
          <w:color w:val="auto"/>
          <w:szCs w:val="21"/>
          <w:highlight w:val="none"/>
        </w:rPr>
        <w:t xml:space="preserve">本项目经中介超市竞价，代理</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费为</w:t>
      </w:r>
      <w:r>
        <w:rPr>
          <w:rFonts w:hint="eastAsia" w:ascii="宋体" w:hAnsi="宋体"/>
          <w:color w:val="auto"/>
          <w:szCs w:val="21"/>
          <w:highlight w:val="none"/>
          <w:lang w:val="en-US" w:eastAsia="zh-CN"/>
        </w:rPr>
        <w:t xml:space="preserve">18000</w:t>
      </w:r>
      <w:r>
        <w:rPr>
          <w:rFonts w:hint="eastAsia" w:ascii="宋体" w:hAnsi="宋体"/>
          <w:color w:val="auto"/>
          <w:szCs w:val="21"/>
          <w:highlight w:val="none"/>
        </w:rPr>
        <w:t xml:space="preserve">元。</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服务费交纳账户：苏州通宜房地产土地评估咨询有限公司</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账号：0706678011120100265232</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开户银行：苏州农村商业银行营业部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19.磋商说明：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19.1不符合供应商资格要求的响应文件将被拒绝；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19.2参加磋商的供应商必须</w:t>
      </w:r>
      <w:r>
        <w:rPr>
          <w:rFonts w:hint="eastAsia" w:ascii="宋体" w:hAnsi="宋体" w:cs="宋体"/>
          <w:color w:val="auto"/>
          <w:szCs w:val="21"/>
          <w:highlight w:val="none"/>
        </w:rPr>
        <w:t xml:space="preserve">法定代表人或授权委托人</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19.3响应文件签署不符合要求的，响应文件将被拒绝；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19.4最终报价超过采购预算</w:t>
      </w:r>
      <w:r>
        <w:rPr>
          <w:rFonts w:hint="eastAsia" w:ascii="宋体" w:hAnsi="宋体" w:cs="宋体"/>
          <w:bCs/>
          <w:color w:val="auto"/>
          <w:sz w:val="21"/>
          <w:szCs w:val="21"/>
          <w:highlight w:val="none"/>
          <w:lang w:val="en-US" w:eastAsia="zh-CN"/>
        </w:rPr>
        <w:t xml:space="preserve">或最高限价</w:t>
      </w:r>
      <w:r>
        <w:rPr>
          <w:rFonts w:hint="eastAsia" w:ascii="宋体" w:hAnsi="宋体" w:cs="宋体"/>
          <w:bCs/>
          <w:color w:val="auto"/>
          <w:szCs w:val="21"/>
          <w:highlight w:val="none"/>
        </w:rPr>
        <w:t xml:space="preserve">的，不能成交</w:t>
      </w:r>
      <w:bookmarkStart w:id="81" w:name="_GoBack"/>
      <w:r/>
      <w:bookmarkEnd w:id="81"/>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19.5不实质性响应磋商文件的不能成交；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19.6</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各标段</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实质性响应磋商文件不满三家或进入二次报价的不满三家或二次报价在采购预算内不满三家的，磋商采购失败。</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20</w:t>
      </w:r>
      <w:r>
        <w:rPr>
          <w:rFonts w:hint="eastAsia" w:ascii="宋体" w:hAnsi="宋体" w:cs="宋体"/>
          <w:b/>
          <w:color w:val="auto"/>
          <w:szCs w:val="21"/>
          <w:highlight w:val="none"/>
        </w:rPr>
        <w:t xml:space="preserve">.勘查现场</w:t>
      </w:r>
      <w:r>
        <w:rPr>
          <w:rFonts w:hint="eastAsia" w:ascii="宋体" w:hAnsi="宋体"/>
          <w:b/>
          <w:color w:val="auto"/>
          <w:sz w:val="21"/>
          <w:szCs w:val="21"/>
          <w:highlight w:val="none"/>
        </w:rPr>
        <w:t xml:space="preserve">（不涉及此条的忽略）</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.1勘查现场：投标单位自行与采购单位联系后至项目现场进行勘察，了解项目实际情况和风险后进行投标报价，勘查现场费用自理。</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.2经采购人允许，投标单位可为勘察目的进入采购人的项目现场，但投标单位不得因此使采购人承担有关的责任和蒙受损失。投标单位应承担勘查现场的责任和风险。</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3投标单位应在现场勘察时，熟悉现场及周围交通道路等情况，以获得一切可能影响其投标的直接资料。投标单位中标后，不得以不完全了解现场情况为理由而向采购人或采购代理机构提出任何索赔的要求，对此采购人或采购代理机构不承担任何责任并将不作任何答复与考虑。</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4采购人或采购代理机构向投标单位提供的有关现场的资料和数据，是采购人或采购代理机构现有的并认为能使投标单位可利用的资料。采购人或采购代理机构对投标单位由此而做出的推论、理解和结论概不负责。</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.未尽事宜：</w:t>
      </w:r>
      <w:r>
        <w:rPr>
          <w:rFonts w:hint="eastAsia" w:ascii="宋体" w:hAnsi="宋体" w:cs="宋体"/>
          <w:color w:val="auto"/>
          <w:szCs w:val="21"/>
          <w:highlight w:val="none"/>
        </w:rPr>
        <w:t xml:space="preserve">按《中华人民共和国政府采购法》及其他有关的法律法规的规定执行。</w:t>
      </w:r>
      <w:r/>
    </w:p>
    <w:p>
      <w:pPr>
        <w:ind w:firstLine="422"/>
        <w:spacing w:line="440" w:lineRule="exact"/>
        <w:rPr>
          <w:rFonts w:ascii="宋体" w:hAnsi="宋体" w:cs="宋体"/>
          <w:b/>
          <w:color w:val="auto"/>
          <w:szCs w:val="21"/>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.备注：本文件打“★”为实质性条款，不可负偏离，如负偏离响应文件无效。</w:t>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bookmarkEnd w:id="29"/>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rPr>
          <w:rStyle w:val="1114"/>
          <w:rFonts w:ascii="宋体" w:hAnsi="宋体" w:cs="宋体"/>
          <w:color w:val="auto"/>
          <w:highlight w:val="none"/>
        </w:rPr>
      </w:pPr>
      <w:r/>
      <w:bookmarkStart w:id="31" w:name="_Toc18546"/>
      <w:r>
        <w:rPr>
          <w:rStyle w:val="1114"/>
          <w:rFonts w:hint="eastAsia" w:ascii="宋体" w:hAnsi="宋体" w:cs="宋体"/>
          <w:color w:val="auto"/>
          <w:highlight w:val="none"/>
        </w:rPr>
        <w:br w:type="page" w:clear="all"/>
      </w:r>
      <w:r/>
    </w:p>
    <w:p>
      <w:pPr>
        <w:pStyle w:val="856"/>
        <w:rPr>
          <w:color w:val="auto"/>
          <w:highlight w:val="none"/>
        </w:rPr>
      </w:pPr>
      <w:r/>
      <w:bookmarkStart w:id="32" w:name="_Toc7652"/>
      <w:r>
        <w:rPr>
          <w:rFonts w:hint="eastAsia"/>
          <w:color w:val="auto"/>
          <w:highlight w:val="none"/>
        </w:rPr>
        <w:t xml:space="preserve">三、采购需求</w:t>
      </w:r>
      <w:bookmarkEnd w:id="31"/>
      <w:r/>
      <w:bookmarkEnd w:id="32"/>
      <w:r/>
      <w:r/>
    </w:p>
    <w:p>
      <w:pPr>
        <w:ind w:firstLine="420"/>
        <w:jc w:val="left"/>
        <w:shd w:val="clear" w:color="ffffff" w:themeColor="background1" w:fill="ffffff" w:themeFill="background1"/>
        <w:widowControl/>
        <w:rPr>
          <w:rFonts w:ascii="宋体" w:hAnsi="宋体" w:cs="宋体"/>
          <w:bCs/>
          <w:color w:val="auto"/>
          <w:szCs w:val="21"/>
          <w:highlight w:val="none"/>
        </w:rPr>
      </w:pPr>
      <w:r/>
      <w:bookmarkStart w:id="33" w:name="_Toc20120"/>
      <w:r>
        <w:rPr>
          <w:rFonts w:hint="eastAsia" w:ascii="宋体" w:hAnsi="宋体" w:cs="宋体"/>
          <w:bCs/>
          <w:color w:val="auto"/>
          <w:szCs w:val="21"/>
          <w:highlight w:val="none"/>
        </w:rPr>
        <w:t xml:space="preserve">受</w:t>
      </w:r>
      <w:r>
        <w:rPr>
          <w:rFonts w:hint="eastAsia" w:ascii="宋体" w:hAnsi="宋体" w:cs="宋体"/>
          <w:bCs/>
          <w:color w:val="auto"/>
          <w:szCs w:val="21"/>
          <w:highlight w:val="none"/>
          <w:lang w:eastAsia="zh-CN"/>
        </w:rPr>
        <w:t xml:space="preserve">苏州市吴江区卫生健康委员会</w:t>
      </w:r>
      <w:r>
        <w:rPr>
          <w:rFonts w:hint="eastAsia" w:ascii="宋体" w:hAnsi="宋体" w:cs="宋体"/>
          <w:bCs/>
          <w:color w:val="auto"/>
          <w:szCs w:val="21"/>
          <w:highlight w:val="none"/>
        </w:rPr>
        <w:t xml:space="preserve">之委托，苏州通宜房地产土地评估咨询有限公司对其需采购的</w:t>
      </w:r>
      <w:r>
        <w:rPr>
          <w:rFonts w:hint="eastAsia" w:ascii="宋体" w:hAnsi="宋体" w:cs="宋体"/>
          <w:bCs/>
          <w:color w:val="auto"/>
          <w:szCs w:val="21"/>
          <w:highlight w:val="none"/>
          <w:lang w:eastAsia="zh-CN"/>
        </w:rPr>
        <w:t xml:space="preserve">吴江区智慧健康软件2026年服务项目</w:t>
      </w:r>
      <w:r>
        <w:rPr>
          <w:rFonts w:hint="eastAsia" w:ascii="宋体" w:hAnsi="宋体" w:cs="宋体"/>
          <w:bCs/>
          <w:color w:val="auto"/>
          <w:szCs w:val="21"/>
          <w:highlight w:val="none"/>
        </w:rPr>
        <w:t xml:space="preserve">在国内组织竞争性磋商采购。欢迎符合资格条件的响应单位前来报名参加。</w:t>
      </w:r>
      <w:bookmarkEnd w:id="33"/>
      <w:r/>
      <w:r/>
    </w:p>
    <w:p>
      <w:pPr>
        <w:ind w:firstLine="422"/>
        <w:rPr>
          <w:rFonts w:hint="eastAsia" w:ascii="宋体" w:hAnsi="宋体" w:eastAsia="宋体" w:cs="宋体"/>
          <w:color w:val="auto"/>
          <w:szCs w:val="21"/>
          <w:highlight w:val="none"/>
          <w:lang w:eastAsia="zh-CN"/>
        </w:rPr>
      </w:pPr>
      <w:r/>
      <w:bookmarkStart w:id="34" w:name="_Toc3978"/>
      <w:r>
        <w:rPr>
          <w:rFonts w:hint="eastAsia" w:ascii="宋体" w:hAnsi="宋体" w:cs="宋体"/>
          <w:b/>
          <w:color w:val="auto"/>
          <w:szCs w:val="21"/>
          <w:highlight w:val="none"/>
        </w:rPr>
        <w:t xml:space="preserve">一、</w:t>
      </w:r>
      <w:r>
        <w:rPr>
          <w:rFonts w:hint="eastAsia" w:ascii="宋体" w:hAnsi="宋体" w:cs="宋体"/>
          <w:b/>
          <w:color w:val="auto"/>
          <w:szCs w:val="21"/>
          <w:highlight w:val="none"/>
          <w:lang w:eastAsia="zh-CN"/>
        </w:rPr>
        <w:t xml:space="preserve">项目编号</w:t>
      </w:r>
      <w:r>
        <w:rPr>
          <w:rFonts w:hint="eastAsia" w:ascii="宋体" w:hAnsi="宋体" w:cs="宋体"/>
          <w:color w:val="auto"/>
          <w:szCs w:val="21"/>
          <w:highlight w:val="none"/>
        </w:rPr>
        <w:t xml:space="preserve">：</w:t>
      </w:r>
      <w:bookmarkEnd w:id="34"/>
      <w:r>
        <w:rPr>
          <w:rFonts w:hint="eastAsia" w:ascii="宋体" w:hAnsi="宋体" w:cs="宋体"/>
          <w:color w:val="auto"/>
          <w:szCs w:val="21"/>
          <w:highlight w:val="none"/>
          <w:lang w:eastAsia="zh-CN"/>
        </w:rPr>
        <w:t xml:space="preserve">JSZC-320509-SZTY-C2026-0010</w:t>
      </w:r>
      <w:r/>
    </w:p>
    <w:p>
      <w:pPr>
        <w:ind w:firstLine="422"/>
        <w:rPr>
          <w:rFonts w:hint="eastAsia" w:ascii="宋体" w:hAnsi="宋体" w:eastAsia="宋体" w:cs="宋体"/>
          <w:b/>
          <w:color w:val="auto"/>
          <w:szCs w:val="21"/>
          <w:highlight w:val="none"/>
          <w:lang w:eastAsia="zh-CN"/>
        </w:rPr>
      </w:pPr>
      <w:r/>
      <w:bookmarkStart w:id="35" w:name="_Toc5894"/>
      <w:r>
        <w:rPr>
          <w:rFonts w:hint="eastAsia" w:ascii="宋体" w:hAnsi="宋体" w:cs="宋体"/>
          <w:b/>
          <w:color w:val="auto"/>
          <w:szCs w:val="21"/>
          <w:highlight w:val="none"/>
        </w:rPr>
        <w:t xml:space="preserve">二、项目名称：</w:t>
      </w:r>
      <w:bookmarkEnd w:id="35"/>
      <w:r>
        <w:rPr>
          <w:rFonts w:hint="eastAsia" w:ascii="宋体" w:hAnsi="宋体" w:cs="宋体"/>
          <w:bCs/>
          <w:color w:val="auto"/>
          <w:szCs w:val="21"/>
          <w:highlight w:val="none"/>
          <w:lang w:eastAsia="zh-CN"/>
        </w:rPr>
        <w:t xml:space="preserve">吴江区智慧健康软件2026年服务项目</w:t>
      </w:r>
      <w:r/>
    </w:p>
    <w:p>
      <w:pPr>
        <w:ind w:firstLine="422"/>
        <w:rPr>
          <w:rFonts w:hint="eastAsia" w:ascii="宋体" w:hAnsi="宋体" w:eastAsia="宋体" w:cs="宋体"/>
          <w:bCs/>
          <w:color w:val="auto"/>
          <w:szCs w:val="21"/>
          <w:highlight w:val="none"/>
          <w:lang w:eastAsia="zh-CN"/>
        </w:rPr>
      </w:pPr>
      <w:r>
        <w:rPr>
          <w:rFonts w:hint="eastAsia" w:ascii="宋体" w:hAnsi="宋体" w:cs="宋体"/>
          <w:b/>
          <w:color w:val="auto"/>
          <w:szCs w:val="21"/>
          <w:highlight w:val="none"/>
        </w:rPr>
        <w:t xml:space="preserve">三、预算金额：</w:t>
      </w:r>
      <w:r>
        <w:rPr>
          <w:rFonts w:hint="eastAsia" w:ascii="宋体" w:hAnsi="宋体" w:cs="宋体"/>
          <w:bCs/>
          <w:color w:val="auto"/>
          <w:szCs w:val="21"/>
          <w:highlight w:val="none"/>
          <w:lang w:eastAsia="zh-CN"/>
        </w:rPr>
        <w:t xml:space="preserve">人民币壹佰叁拾玖万元整（¥1390000元）</w:t>
      </w:r>
      <w:r/>
    </w:p>
    <w:p>
      <w:pPr>
        <w:ind w:firstLine="840"/>
        <w:rPr>
          <w:rFonts w:hint="eastAsia" w:ascii="宋体" w:hAnsi="宋体" w:eastAsia="宋体" w:cs="宋体"/>
          <w:bCs/>
          <w:color w:val="auto"/>
          <w:szCs w:val="21"/>
          <w:highlight w:val="none"/>
          <w:lang w:eastAsia="zh-CN"/>
        </w:rPr>
      </w:pPr>
      <w:r/>
      <w:bookmarkStart w:id="36" w:name="OLE_LINK4"/>
      <w:r>
        <w:rPr>
          <w:rFonts w:hint="eastAsia" w:ascii="宋体" w:hAnsi="宋体" w:cs="宋体"/>
          <w:bCs/>
          <w:color w:val="auto"/>
          <w:szCs w:val="21"/>
          <w:highlight w:val="none"/>
        </w:rPr>
        <w:t xml:space="preserve">最高限价：</w:t>
      </w:r>
      <w:bookmarkEnd w:id="36"/>
      <w:r>
        <w:rPr>
          <w:rFonts w:hint="eastAsia" w:ascii="宋体" w:hAnsi="宋体" w:cs="宋体"/>
          <w:bCs/>
          <w:color w:val="auto"/>
          <w:szCs w:val="21"/>
          <w:highlight w:val="none"/>
          <w:lang w:eastAsia="zh-CN"/>
        </w:rPr>
        <w:t xml:space="preserve">人民币壹佰叁拾柒万元整（</w:t>
      </w:r>
      <w:r>
        <w:rPr>
          <w:rFonts w:hint="default" w:ascii="Arial" w:hAnsi="Arial" w:cs="Arial"/>
          <w:bCs/>
          <w:color w:val="auto"/>
          <w:szCs w:val="21"/>
          <w:highlight w:val="none"/>
          <w:lang w:eastAsia="zh-CN"/>
        </w:rPr>
        <w:t xml:space="preserve">¥</w:t>
      </w:r>
      <w:r>
        <w:rPr>
          <w:rFonts w:hint="eastAsia" w:ascii="宋体" w:hAnsi="宋体" w:cs="宋体"/>
          <w:bCs/>
          <w:color w:val="auto"/>
          <w:szCs w:val="21"/>
          <w:highlight w:val="none"/>
          <w:lang w:eastAsia="zh-CN"/>
        </w:rPr>
        <w:t xml:space="preserve">1370000元）</w:t>
      </w:r>
      <w:r/>
    </w:p>
    <w:p>
      <w:pPr>
        <w:ind w:firstLine="422"/>
        <w:rPr>
          <w:rFonts w:ascii="宋体" w:hAnsi="宋体" w:cs="宋体"/>
          <w:b w:val="0"/>
          <w:bCs/>
          <w:i w:val="0"/>
          <w:iCs w:val="0"/>
          <w:color w:val="auto"/>
          <w:szCs w:val="21"/>
          <w:highlight w:val="none"/>
        </w:rPr>
      </w:pPr>
      <w:r>
        <w:rPr>
          <w:rFonts w:hint="eastAsia" w:ascii="宋体" w:hAnsi="宋体" w:cs="宋体"/>
          <w:b/>
          <w:color w:val="auto"/>
          <w:szCs w:val="21"/>
          <w:highlight w:val="none"/>
        </w:rPr>
        <w:t xml:space="preserve">四、服务期限：</w:t>
      </w:r>
      <w:bookmarkStart w:id="37" w:name="OLE_LINK1"/>
      <w:r>
        <w:rPr>
          <w:rFonts w:hint="eastAsia" w:ascii="宋体" w:hAnsi="宋体" w:cs="宋体"/>
          <w:color w:val="auto"/>
          <w:szCs w:val="21"/>
          <w:highlight w:val="none"/>
        </w:rPr>
        <w:t xml:space="preserve">1年，服务起止日期以合同上签订的为准。</w:t>
      </w:r>
      <w:r>
        <w:rPr>
          <w:rFonts w:hint="eastAsia" w:ascii="宋体" w:hAnsi="宋体" w:cs="宋体"/>
          <w:b w:val="0"/>
          <w:bCs/>
          <w:i w:val="0"/>
          <w:iCs w:val="0"/>
          <w:color w:val="auto"/>
          <w:szCs w:val="21"/>
          <w:highlight w:val="none"/>
        </w:rPr>
        <w:t xml:space="preserve"> </w:t>
      </w:r>
      <w:bookmarkEnd w:id="37"/>
      <w:r/>
      <w:r/>
    </w:p>
    <w:p>
      <w:pPr>
        <w:ind w:firstLine="422"/>
        <w:rPr>
          <w:rFonts w:hint="eastAsia" w:ascii="宋体" w:hAnsi="宋体" w:cs="宋体"/>
          <w:b/>
          <w:bCs/>
          <w:color w:val="auto"/>
          <w:szCs w:val="21"/>
          <w:highlight w:val="none"/>
          <w:lang w:bidi="zh-CN"/>
        </w:rPr>
      </w:pPr>
      <w:r/>
      <w:bookmarkStart w:id="38" w:name="_Toc1554"/>
      <w:r>
        <w:rPr>
          <w:rFonts w:hint="eastAsia" w:ascii="宋体" w:hAnsi="宋体" w:cs="宋体"/>
          <w:b/>
          <w:color w:val="auto"/>
          <w:szCs w:val="21"/>
          <w:highlight w:val="none"/>
        </w:rPr>
        <w:t xml:space="preserve">五</w:t>
      </w:r>
      <w:r>
        <w:rPr>
          <w:rFonts w:hint="eastAsia" w:ascii="宋体" w:hAnsi="宋体" w:cs="宋体"/>
          <w:b/>
          <w:color w:val="auto"/>
          <w:szCs w:val="21"/>
          <w:highlight w:val="none"/>
          <w:lang w:val="zh-CN"/>
        </w:rPr>
        <w:t xml:space="preserve">、</w:t>
      </w:r>
      <w:bookmarkEnd w:id="38"/>
      <w:r>
        <w:rPr>
          <w:rFonts w:hint="eastAsia" w:ascii="宋体" w:hAnsi="宋体" w:cs="宋体"/>
          <w:b/>
          <w:color w:val="auto"/>
          <w:szCs w:val="21"/>
          <w:highlight w:val="none"/>
          <w:lang w:val="en-US" w:eastAsia="zh-CN"/>
        </w:rPr>
        <w:t xml:space="preserve">采购需求</w:t>
      </w:r>
      <w:r>
        <w:rPr>
          <w:rFonts w:hint="eastAsia" w:ascii="宋体" w:hAnsi="宋体" w:cs="宋体"/>
          <w:b/>
          <w:bCs/>
          <w:color w:val="auto"/>
          <w:szCs w:val="21"/>
          <w:highlight w:val="none"/>
          <w:lang w:bidi="zh-CN"/>
        </w:rPr>
        <w:t xml:space="preserve">：</w:t>
      </w:r>
      <w:r/>
    </w:p>
    <w:p>
      <w:pPr>
        <w:ind w:firstLine="420"/>
        <w:jc w:val="left"/>
        <w:shd w:val="clear" w:color="ffffff" w:themeColor="background1" w:fill="ffffff" w:themeFill="background1"/>
        <w:widowControl/>
        <w:rPr>
          <w:rFonts w:hint="eastAsia" w:ascii="宋体" w:hAnsi="宋体" w:cs="宋体"/>
          <w:bCs/>
          <w:color w:val="auto"/>
          <w:szCs w:val="21"/>
          <w:highlight w:val="none"/>
          <w:lang w:eastAsia="zh-CN"/>
        </w:rPr>
      </w:pP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一</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项目背景：</w:t>
      </w:r>
      <w:r>
        <w:rPr>
          <w:rFonts w:hint="eastAsia" w:ascii="宋体" w:hAnsi="宋体" w:cs="宋体"/>
          <w:bCs/>
          <w:color w:val="auto"/>
          <w:szCs w:val="21"/>
          <w:highlight w:val="none"/>
          <w:lang w:val="en-US" w:eastAsia="zh-CN"/>
        </w:rPr>
        <w:t xml:space="preserve">吴江区智慧健康一直走在前列，经过多期的建设，目前吴江区智慧卫生信息化建设已经初步建设完成，主要内容涵盖卫健委及所有基层医疗机构的云his、云lis、云检验、体检系统、卫生健康数据中心、卫生资源池、长三角一体化等。</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（二）</w:t>
      </w:r>
      <w:r>
        <w:rPr>
          <w:rFonts w:hint="eastAsia" w:ascii="宋体" w:hAnsi="宋体" w:cs="宋体"/>
          <w:b/>
          <w:bCs/>
          <w:color w:val="auto"/>
          <w:szCs w:val="21"/>
          <w:highlight w:val="none"/>
          <w:lang w:val="en-US" w:bidi="zh-CN"/>
        </w:rPr>
        <w:t xml:space="preserve">采购需求</w:t>
      </w:r>
      <w:r>
        <w:rPr>
          <w:rFonts w:hint="eastAsia" w:ascii="宋体" w:hAnsi="宋体" w:cs="宋体"/>
          <w:b/>
          <w:bCs/>
          <w:color w:val="auto"/>
          <w:szCs w:val="21"/>
          <w:highlight w:val="none"/>
          <w:lang w:bidi="zh-CN"/>
        </w:rPr>
        <w:t xml:space="preserve">：</w:t>
      </w:r>
      <w:r/>
    </w:p>
    <w:p>
      <w:pPr>
        <w:ind w:firstLine="480"/>
        <w:rPr>
          <w:rFonts w:hint="eastAsia"/>
          <w:color w:val="auto"/>
          <w:highlight w:val="none"/>
        </w:rPr>
      </w:pPr>
      <w:r/>
      <w:bookmarkStart w:id="39" w:name="OLE_LINK6"/>
      <w:r>
        <w:rPr>
          <w:rFonts w:hint="eastAsia"/>
          <w:color w:val="auto"/>
          <w:highlight w:val="none"/>
        </w:rPr>
        <w:t xml:space="preserve">吴江区智慧健康服务项目为核心系统提供服务以及一些因政策原因需要临时开发的新项目建设，如医保政策调整、电子票据完善、省市相关政策调整等，目前</w:t>
      </w:r>
      <w:r>
        <w:rPr>
          <w:rFonts w:hint="eastAsia"/>
          <w:color w:val="auto"/>
          <w:highlight w:val="none"/>
          <w:lang w:eastAsia="zh-CN"/>
        </w:rPr>
        <w:t xml:space="preserve">常态化服务</w:t>
      </w:r>
      <w:r>
        <w:rPr>
          <w:rFonts w:hint="eastAsia"/>
          <w:color w:val="auto"/>
          <w:highlight w:val="none"/>
        </w:rPr>
        <w:t xml:space="preserve">运维人员</w:t>
      </w:r>
      <w:r>
        <w:rPr>
          <w:rFonts w:hint="eastAsia"/>
          <w:color w:val="auto"/>
          <w:highlight w:val="none"/>
          <w:lang w:val="en-US" w:eastAsia="zh-CN"/>
        </w:rPr>
        <w:t xml:space="preserve">5</w:t>
      </w:r>
      <w:r>
        <w:rPr>
          <w:rFonts w:hint="eastAsia"/>
          <w:color w:val="auto"/>
          <w:highlight w:val="none"/>
        </w:rPr>
        <w:t xml:space="preserve">名，服务不同的信息化系统，</w:t>
      </w:r>
      <w:r>
        <w:rPr>
          <w:rFonts w:hint="eastAsia"/>
          <w:color w:val="auto"/>
          <w:highlight w:val="none"/>
          <w:lang w:val="en-US" w:eastAsia="zh-CN"/>
        </w:rPr>
        <w:t xml:space="preserve">提供</w:t>
      </w:r>
      <w:r>
        <w:rPr>
          <w:rFonts w:hint="eastAsia"/>
          <w:color w:val="auto"/>
          <w:highlight w:val="none"/>
        </w:rPr>
        <w:t xml:space="preserve">一年365天*24小时不间断的信息化系统保障服务，确保各类信息化正常运转。</w:t>
      </w:r>
      <w:r/>
    </w:p>
    <w:p>
      <w:pPr>
        <w:ind w:firstLine="480"/>
        <w:rPr>
          <w:rFonts w:hint="eastAsia"/>
          <w:color w:val="auto"/>
          <w:highlight w:val="none"/>
        </w:rPr>
      </w:pPr>
      <w:r>
        <w:rPr>
          <w:rFonts w:hint="eastAsia"/>
          <w:color w:val="auto"/>
          <w:highlight w:val="none"/>
        </w:rPr>
        <w:t xml:space="preserve">吴江区智慧健康覆盖机构众多、业务广泛、稳定性和政策性要求高，由于卫生信息系统的特殊性，迫切需要7*24h的技术服务支撑，以保证现有信息系统平稳运行。</w:t>
      </w:r>
      <w:r/>
    </w:p>
    <w:p>
      <w:pPr>
        <w:ind w:firstLine="480"/>
        <w:rPr>
          <w:rFonts w:hint="eastAsia"/>
          <w:color w:val="auto"/>
          <w:highlight w:val="none"/>
        </w:rPr>
      </w:pPr>
      <w:r>
        <w:rPr>
          <w:rFonts w:hint="eastAsia"/>
          <w:color w:val="auto"/>
          <w:highlight w:val="none"/>
          <w:lang w:val="en-US" w:eastAsia="zh-CN"/>
        </w:rPr>
        <w:t xml:space="preserve">要求供应商能够保障</w:t>
      </w:r>
      <w:r>
        <w:rPr>
          <w:rFonts w:hint="eastAsia"/>
          <w:color w:val="auto"/>
          <w:highlight w:val="none"/>
        </w:rPr>
        <w:t xml:space="preserve">苏州市吴江区卫生健康委员会、区内各医疗卫生单位共23家及下属社区卫生服务站软件、网络安全设备等基础业务系统的业务正常运转，也要保障机房设备及网络安全设备的稳定运行，同时要确保等保评测通过、ca签名正常、短信平台等正常运行。</w:t>
      </w:r>
      <w:bookmarkEnd w:id="39"/>
      <w:r/>
      <w:r/>
    </w:p>
    <w:p>
      <w:pPr>
        <w:ind w:firstLine="422"/>
        <w:rPr>
          <w:rFonts w:hint="eastAsia" w:ascii="宋体" w:hAnsi="宋体" w:cs="宋体"/>
          <w:b/>
          <w:bCs/>
          <w:color w:val="auto"/>
          <w:szCs w:val="21"/>
          <w:highlight w:val="none"/>
          <w:lang w:val="en-US" w:eastAsia="zh-CN" w:bidi="zh-CN"/>
        </w:rPr>
      </w:pPr>
      <w:r>
        <w:rPr>
          <w:rFonts w:hint="eastAsia" w:ascii="宋体" w:hAnsi="宋体" w:cs="宋体"/>
          <w:b/>
          <w:bCs/>
          <w:color w:val="auto"/>
          <w:szCs w:val="21"/>
          <w:highlight w:val="none"/>
          <w:lang w:val="en-US" w:eastAsia="zh-CN" w:bidi="zh-CN"/>
        </w:rPr>
        <w:t xml:space="preserve">（三）服务内容</w:t>
      </w:r>
      <w:r/>
    </w:p>
    <w:p>
      <w:pPr>
        <w:ind w:firstLine="422"/>
        <w:rPr>
          <w:rFonts w:hint="default"/>
          <w:color w:val="auto"/>
          <w:highlight w:val="none"/>
          <w:lang w:val="en-US" w:eastAsia="zh-CN"/>
        </w:rPr>
      </w:pPr>
      <w:r>
        <w:rPr>
          <w:rFonts w:hint="eastAsia" w:ascii="宋体" w:hAnsi="宋体" w:cs="宋体"/>
          <w:b/>
          <w:bCs/>
          <w:color w:val="auto"/>
          <w:szCs w:val="21"/>
          <w:highlight w:val="none"/>
          <w:lang w:val="en-US" w:eastAsia="zh-CN" w:bidi="zh-CN"/>
        </w:rPr>
        <w:t xml:space="preserve">1、服务清单</w:t>
      </w:r>
      <w:r/>
    </w:p>
    <w:tbl>
      <w:tblPr>
        <w:tblStyle w:val="866"/>
        <w:tblpPr w:horzAnchor="text" w:tblpXSpec="center" w:vertAnchor="text" w:tblpY="1" w:leftFromText="180" w:topFromText="0" w:rightFromText="180" w:bottomFromText="0"/>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809"/>
        <w:gridCol w:w="6663"/>
      </w:tblGrid>
      <w:tr>
        <w:trPr>
          <w:jc w:val="center"/>
          <w:tblHeader/>
        </w:trPr>
        <w:tc>
          <w:tcPr>
            <w:gridSpan w:val="2"/>
            <w:shd w:val="clear" w:color="auto" w:fill="auto"/>
            <w:tcW w:w="8472" w:type="dxa"/>
            <w:vAlign w:val="center"/>
            <w:textDirection w:val="lrTb"/>
            <w:noWrap w:val="false"/>
          </w:tcPr>
          <w:p>
            <w:pPr>
              <w:ind w:firstLine="0"/>
              <w:jc w:val="both"/>
              <w:rPr>
                <w:rFonts w:hint="eastAsia" w:ascii="宋体" w:hAnsi="宋体"/>
                <w:b w:val="0"/>
                <w:bCs w:val="0"/>
                <w:color w:val="auto"/>
                <w:sz w:val="21"/>
                <w:szCs w:val="21"/>
                <w:highlight w:val="none"/>
                <w:shd w:val="clear" w:color="auto" w:fill="auto"/>
              </w:rPr>
            </w:pPr>
            <w:r>
              <w:rPr>
                <w:rFonts w:hint="eastAsia" w:ascii="宋体" w:hAnsi="宋体"/>
                <w:b/>
                <w:bCs/>
                <w:color w:val="auto"/>
                <w:sz w:val="21"/>
                <w:szCs w:val="21"/>
                <w:highlight w:val="none"/>
                <w:shd w:val="clear" w:color="auto" w:fill="auto"/>
                <w:lang w:val="en-US" w:eastAsia="zh-CN"/>
              </w:rPr>
              <w:t xml:space="preserve">1.1</w:t>
            </w:r>
            <w:r>
              <w:rPr>
                <w:rFonts w:hint="eastAsia" w:ascii="宋体" w:hAnsi="宋体"/>
                <w:b/>
                <w:bCs/>
                <w:color w:val="auto"/>
                <w:sz w:val="21"/>
                <w:szCs w:val="21"/>
                <w:highlight w:val="none"/>
                <w:shd w:val="clear" w:color="auto" w:fill="auto"/>
              </w:rPr>
              <w:t xml:space="preserve">基层医疗系统、国家医保接口服务</w:t>
            </w:r>
            <w:r/>
          </w:p>
        </w:tc>
      </w:tr>
      <w:tr>
        <w:trPr>
          <w:jc w:val="center"/>
          <w:trHeight w:val="90"/>
          <w:tblHeader/>
        </w:trPr>
        <w:tc>
          <w:tcPr>
            <w:shd w:val="clear" w:color="auto" w:fill="auto"/>
            <w:tcW w:w="1809" w:type="dxa"/>
            <w:vAlign w:val="center"/>
            <w:textDirection w:val="lrTb"/>
            <w:noWrap w:val="false"/>
          </w:tcPr>
          <w:p>
            <w:pPr>
              <w:ind w:firstLine="0"/>
              <w:jc w:val="both"/>
              <w:rPr>
                <w:rFonts w:ascii="宋体" w:hAnsi="宋体"/>
                <w:b w:val="0"/>
                <w:bCs w:val="0"/>
                <w:color w:val="auto"/>
                <w:sz w:val="21"/>
                <w:szCs w:val="21"/>
                <w:highlight w:val="none"/>
                <w:shd w:val="clear" w:color="auto" w:fill="auto"/>
              </w:rPr>
            </w:pPr>
            <w:r>
              <w:rPr>
                <w:rFonts w:hint="eastAsia" w:ascii="宋体" w:hAnsi="宋体"/>
                <w:b w:val="0"/>
                <w:bCs w:val="0"/>
                <w:color w:val="auto"/>
                <w:sz w:val="21"/>
                <w:szCs w:val="21"/>
                <w:highlight w:val="none"/>
                <w:shd w:val="clear" w:color="auto" w:fill="auto"/>
              </w:rPr>
              <w:t xml:space="preserve">工作内容</w:t>
            </w:r>
            <w:r/>
          </w:p>
        </w:tc>
        <w:tc>
          <w:tcPr>
            <w:shd w:val="clear" w:color="auto" w:fill="auto"/>
            <w:tcW w:w="6663" w:type="dxa"/>
            <w:vAlign w:val="center"/>
            <w:textDirection w:val="lrTb"/>
            <w:noWrap w:val="false"/>
          </w:tcPr>
          <w:p>
            <w:pPr>
              <w:ind w:firstLine="0"/>
              <w:jc w:val="both"/>
              <w:rPr>
                <w:rFonts w:ascii="宋体" w:hAnsi="宋体"/>
                <w:b w:val="0"/>
                <w:bCs w:val="0"/>
                <w:color w:val="auto"/>
                <w:sz w:val="21"/>
                <w:szCs w:val="21"/>
                <w:highlight w:val="none"/>
                <w:shd w:val="clear" w:color="auto" w:fill="auto"/>
              </w:rPr>
            </w:pPr>
            <w:r>
              <w:rPr>
                <w:rFonts w:hint="eastAsia" w:ascii="宋体" w:hAnsi="宋体"/>
                <w:b w:val="0"/>
                <w:bCs w:val="0"/>
                <w:color w:val="auto"/>
                <w:sz w:val="21"/>
                <w:szCs w:val="21"/>
                <w:highlight w:val="none"/>
                <w:shd w:val="clear" w:color="auto" w:fill="auto"/>
              </w:rPr>
              <w:t xml:space="preserve">工作产出</w:t>
            </w:r>
            <w:r/>
          </w:p>
        </w:tc>
      </w:tr>
      <w:tr>
        <w:trPr>
          <w:jc w:val="center"/>
        </w:trPr>
        <w:tc>
          <w:tcPr>
            <w:shd w:val="clear" w:color="auto" w:fill="auto"/>
            <w:tcW w:w="1809" w:type="dxa"/>
            <w:vAlign w:val="center"/>
            <w:textDirection w:val="lrTb"/>
            <w:noWrap w:val="false"/>
          </w:tcPr>
          <w:p>
            <w:pPr>
              <w:pStyle w:val="1140"/>
              <w:jc w:val="both"/>
              <w:spacing w:line="360" w:lineRule="auto"/>
              <w:rPr>
                <w:rFonts w:ascii="宋体" w:hAnsi="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软件改正性维护</w:t>
            </w:r>
            <w:r/>
          </w:p>
        </w:tc>
        <w:tc>
          <w:tcPr>
            <w:shd w:val="clear" w:color="auto" w:fill="auto"/>
            <w:tcW w:w="6663" w:type="dxa"/>
            <w:vAlign w:val="center"/>
            <w:textDirection w:val="lrTb"/>
            <w:noWrap w:val="false"/>
          </w:tcPr>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修复出院证增加自动修改lsbz功能；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修复药房调拨单增加库存数量显示；</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优化扫码付异常退款；</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限制药库一张调价单至多50条记录；</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修复住院检验开单住两次院不能计费的问题；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修复门诊发药模板药房修改包装后导致发药不正确的问题；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药库角色增加药品调入站点的功能；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门诊病历打印增加皮试药品显示；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修复医嘱本打印医嘱重复的问题；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修复病区病人转科体温单上显示零点的问题；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修复住院账户明细按日期显示不对的问题；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住院检验计费接口增加事务控制；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修复药房月报调价增减值不显示的问题；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修复门诊药房退药取当前价格的问题；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修复病区医嘱列表自备药品停嘱后不显示；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修复病区药房发药有未盘点完成的盘点单不给发药增加提示；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修复不是传染病跳出传染病报卡界面的问题；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修复就诊历史中修改诊断报错的问题；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修复医保交易冲正报错问题；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修复春晖堂生成调价单的功能；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药库调价单中增加一键生成天灵调价单功能；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修复药库发票号码不能大于20的问题；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药库入库单打印发票号显示不全的问题；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修复住院春晖堂草药开单药品目录不对的问题；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修复注销的个人档案打开保存过后又恢复正常的问题；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修复异地医保冲正提示参保地不能为空的问题；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增加江苏省新病案首页上传接口，支持新病案首页接口；</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修复医保电子凭证读不了的问题；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修复病区在院病人汇总表；</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修复药库基药使用情况报表查询不了的问题；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增加不规范档案查询列表；</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修复责任医生、建档医生及核实医生不显示的问题；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修复死亡登记导出execl空白的问题；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管理员账号增加重载字典和schema功能；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增加处方点评明细表；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住院护士角色费用清单增加分类汇总表；</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修复就诊历史中非本院的诊断不显示的问题；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修复取消发药界面处方打印没有处方号码的问题；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处方点评统计表增加导出功能；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住院护士账卡总增加费用分类汇总表；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修复门诊医保结算有相同的诊断报错的问题；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修复住院病区注销后导致住院病案首页打印不了的问题；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挂号建档界面增加监护人身份证号；</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修复天灵外送长期医嘱的问题；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修复天灵外送不支持长期医嘱的问题；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门诊就诊增加妇保档案及孕妇提醒；</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门诊病历和处方打印增加中医证候；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修复春晖堂不自动增加代煎费的问题；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优化已支付未签约列表；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修复结算清单上传问题；</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修复病案首页责任护士不显示的问题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放开住院电子病历修改权限控制；</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当天第二次挂号修改为不减免挂专家费；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病人列表就诊医生不显示红色；</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修复停嘱复核bug；</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修复其他入库数量填负数时，零售金额没有取库存明细金额的问题；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修复医嘱本打印问题；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修改结算清单诊断上传国家疾病目录名称；</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修复挂号登记时照片不能上传的问题；</w:t>
            </w:r>
            <w:r/>
          </w:p>
        </w:tc>
      </w:tr>
      <w:tr>
        <w:trPr>
          <w:jc w:val="center"/>
        </w:trPr>
        <w:tc>
          <w:tcPr>
            <w:shd w:val="clear" w:color="auto" w:fill="auto"/>
            <w:tcW w:w="1809" w:type="dxa"/>
            <w:vAlign w:val="center"/>
            <w:textDirection w:val="lrTb"/>
            <w:noWrap w:val="false"/>
          </w:tcPr>
          <w:p>
            <w:pPr>
              <w:pStyle w:val="1140"/>
              <w:jc w:val="both"/>
              <w:spacing w:line="360" w:lineRule="auto"/>
              <w:rPr>
                <w:rFonts w:ascii="宋体" w:hAnsi="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系统调整和数据处理</w:t>
            </w:r>
            <w:r/>
          </w:p>
        </w:tc>
        <w:tc>
          <w:tcPr>
            <w:shd w:val="clear" w:color="auto" w:fill="auto"/>
            <w:tcW w:w="6663" w:type="dxa"/>
            <w:vAlign w:val="center"/>
            <w:textDirection w:val="lrTb"/>
            <w:noWrap w:val="false"/>
          </w:tcPr>
          <w:p>
            <w:pPr>
              <w:pStyle w:val="1207"/>
              <w:jc w:val="both"/>
              <w:spacing w:before="0" w:after="0" w:line="360" w:lineRule="auto"/>
              <w:rPr>
                <w:rFonts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针对用户职能改变，提供相应的系统调整和数据处理服务</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增加江陵社区卫生服务中扫码付；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增加住院支持春晖堂代煎；</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增加医保电子凭证使用场景；</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窗口增加医保刷脸功能；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过滤国家医保日志记录；</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增加医保交易查询功能；</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优化医保费用清账；</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医保费用上传中增加限制用药条件；</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扫码付增加支持普通二维码扫码墩；</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增加自助机疫苗收费套餐维护功能；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结算清单增加确认步骤；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病区护士站增加医嘱双签名；</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去除病案首页签名输入密码限制；</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病区增加停嘱复核流程；</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修复病案首页医生选择重复的问题；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增加结构化电子病历红色显示；</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住院结算单据增加扫码付标识；</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医保挂号结算增加救助类型；</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医保挂号读卡界面拉宽身份证栏目；</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修改国家医保月度对账规则；</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国家医保对账修改；出院结算增加医保卡是否正确验证；</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增加同里医保退号推送排队队列；</w:t>
            </w:r>
            <w:r/>
          </w:p>
        </w:tc>
      </w:tr>
      <w:tr>
        <w:trPr>
          <w:jc w:val="center"/>
        </w:trPr>
        <w:tc>
          <w:tcPr>
            <w:shd w:val="clear" w:color="auto" w:fill="auto"/>
            <w:tcW w:w="1809" w:type="dxa"/>
            <w:vAlign w:val="center"/>
            <w:textDirection w:val="lrTb"/>
            <w:noWrap w:val="false"/>
          </w:tcPr>
          <w:p>
            <w:pPr>
              <w:pStyle w:val="1140"/>
              <w:jc w:val="both"/>
              <w:spacing w:line="360" w:lineRule="auto"/>
              <w:rPr>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系统运行可靠性</w:t>
            </w:r>
            <w:r/>
          </w:p>
        </w:tc>
        <w:tc>
          <w:tcPr>
            <w:shd w:val="clear" w:color="auto" w:fill="auto"/>
            <w:tcW w:w="6663" w:type="dxa"/>
            <w:vAlign w:val="center"/>
            <w:textDirection w:val="lrTb"/>
            <w:noWrap w:val="false"/>
          </w:tcPr>
          <w:p>
            <w:pPr>
              <w:pStyle w:val="1207"/>
              <w:jc w:val="both"/>
              <w:spacing w:before="0" w:after="0" w:line="360" w:lineRule="auto"/>
              <w:rPr>
                <w:b w:val="0"/>
                <w:b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针对系统存在的不安全因素，增加软件系统运行的可靠性，防患于未然而进行的相关维护服务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ascii="宋体" w:hAnsi="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系统现场巡检</w:t>
            </w:r>
            <w:r/>
          </w:p>
        </w:tc>
        <w:tc>
          <w:tcPr>
            <w:shd w:val="clear" w:color="auto" w:fill="auto"/>
            <w:tcW w:w="6663" w:type="dxa"/>
            <w:vAlign w:val="center"/>
            <w:textDirection w:val="lrTb"/>
            <w:noWrap w:val="false"/>
          </w:tcPr>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提供定期的用户现场巡检、例行检测和应用软件整体优化活动</w:t>
            </w:r>
            <w:r/>
          </w:p>
        </w:tc>
      </w:tr>
      <w:tr>
        <w:trPr>
          <w:jc w:val="center"/>
        </w:trPr>
        <w:tc>
          <w:tcPr>
            <w:shd w:val="clear" w:color="auto" w:fill="auto"/>
            <w:tcW w:w="1809" w:type="dxa"/>
            <w:vAlign w:val="center"/>
            <w:textDirection w:val="lrTb"/>
            <w:noWrap w:val="false"/>
          </w:tcPr>
          <w:p>
            <w:pPr>
              <w:pStyle w:val="1140"/>
              <w:jc w:val="both"/>
              <w:spacing w:line="360" w:lineRule="auto"/>
              <w:rPr>
                <w:rFonts w:ascii="宋体" w:hAnsi="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应急突发问题处理</w:t>
            </w:r>
            <w:r/>
          </w:p>
        </w:tc>
        <w:tc>
          <w:tcPr>
            <w:shd w:val="clear" w:color="auto" w:fill="auto"/>
            <w:tcW w:w="6663" w:type="dxa"/>
            <w:vAlign w:val="center"/>
            <w:textDirection w:val="lrTb"/>
            <w:noWrap w:val="false"/>
          </w:tcPr>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针对特殊性业务、临时性统计、历史数据错误排查、年度参数设置、突发事件处理等临时性问题进行维护服务。</w:t>
            </w:r>
            <w:r/>
          </w:p>
        </w:tc>
      </w:tr>
      <w:tr>
        <w:trPr>
          <w:jc w:val="center"/>
        </w:trPr>
        <w:tc>
          <w:tcPr>
            <w:shd w:val="clear" w:color="auto" w:fill="auto"/>
            <w:tcW w:w="1809" w:type="dxa"/>
            <w:vAlign w:val="center"/>
            <w:vMerge w:val="restart"/>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国家医保接口日常运维</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人员基本信息获取</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医药机构信息获取</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西药中成药目录下载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中药饮片目录下载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医疗机构制剂目录下载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民族药品目录下载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医疗服务项目目录下载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医用耗材目录下载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疾病与诊断目录下载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手术操作目录下载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门诊慢特病种目录下载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按病种付费病种目录下载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日间手术治疗病种目录下载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医保目录信息下载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肿瘤形态学目录下载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中医疾病目录下载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中医证候目录下载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医疗目录与医保目录匹配信息下载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医药机构目录匹配信息下载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医保目录限价信息下载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医保目录先自付比例信息下载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字典表下载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人员待遇享受检查</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门诊挂号</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门诊挂号撤销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门诊就诊信息上传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门诊就诊信息上传</w:t>
            </w:r>
            <w:r>
              <w:rPr>
                <w:rFonts w:ascii="宋体" w:hAnsi="宋体" w:cs="宋体"/>
                <w:b w:val="0"/>
                <w:bCs w:val="0"/>
                <w:i w:val="0"/>
                <w:iCs w:val="0"/>
                <w:color w:val="auto"/>
                <w:sz w:val="21"/>
                <w:szCs w:val="21"/>
                <w:highlight w:val="none"/>
                <w:shd w:val="clear" w:color="auto" w:fill="auto"/>
              </w:rPr>
              <w:t xml:space="preserve">A</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门诊费用明细信息上传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门诊费用明细信息撤销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门诊预结算</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门诊结算</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门诊结算撤销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住院费用明细上传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住院费用明细撤销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住院预结算</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住院结算</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住院结算撤销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入院办理</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出院办理</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入院信息变更</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入院撤销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出院撤销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转院备案</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转院备案</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转院备案撤销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人员慢特病备案</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人员慢特病备案撤销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人员定点备案</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人员定点备案撤销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冲正交易</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明细审核分析服务</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医药机构费用结算对总账</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医药机构费用结算对明细账</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异地就医-就医地</w:t>
            </w:r>
            <w:r>
              <w:rPr>
                <w:rFonts w:ascii="宋体" w:hAnsi="宋体" w:cs="宋体"/>
                <w:b w:val="0"/>
                <w:bCs w:val="0"/>
                <w:i w:val="0"/>
                <w:iCs w:val="0"/>
                <w:color w:val="auto"/>
                <w:sz w:val="21"/>
                <w:szCs w:val="21"/>
                <w:highlight w:val="none"/>
                <w:shd w:val="clear" w:color="auto" w:fill="auto"/>
              </w:rPr>
              <w:t xml:space="preserve">-</w:t>
            </w:r>
            <w:r>
              <w:rPr>
                <w:rFonts w:hint="eastAsia" w:ascii="宋体" w:hAnsi="宋体" w:cs="宋体"/>
                <w:b w:val="0"/>
                <w:bCs w:val="0"/>
                <w:i w:val="0"/>
                <w:iCs w:val="0"/>
                <w:color w:val="auto"/>
                <w:sz w:val="21"/>
                <w:szCs w:val="21"/>
                <w:highlight w:val="none"/>
                <w:shd w:val="clear" w:color="auto" w:fill="auto"/>
              </w:rPr>
              <w:t xml:space="preserve">医药机构费用结算对总账</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对账权限查询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月度对账状态查询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月度结算信息上传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月度结算信息查询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月度结算信息删除</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月度结算信息上传确认</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月度结算信息对账</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月度对账信息查询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日结算信息上传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日结算信息查询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日结算信息删除</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日结算信息确认</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日结算信息对账</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日对账信息查询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结算信息明细对账</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结算费用申报</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结算费用撤销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医药机构实际结付信息查询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目录对照上传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目录对照撤销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科室信息上传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ascii="宋体" w:hAnsi="宋体" w:cs="宋体"/>
                <w:b w:val="0"/>
                <w:bCs w:val="0"/>
                <w:i w:val="0"/>
                <w:iCs w:val="0"/>
                <w:color w:val="auto"/>
                <w:sz w:val="21"/>
                <w:szCs w:val="21"/>
                <w:highlight w:val="none"/>
                <w:shd w:val="clear" w:color="auto" w:fill="auto"/>
              </w:rPr>
              <w:t xml:space="preserve">批量</w:t>
            </w:r>
            <w:r>
              <w:rPr>
                <w:rFonts w:hint="eastAsia" w:ascii="宋体" w:hAnsi="宋体" w:cs="宋体"/>
                <w:b w:val="0"/>
                <w:bCs w:val="0"/>
                <w:i w:val="0"/>
                <w:iCs w:val="0"/>
                <w:color w:val="auto"/>
                <w:sz w:val="21"/>
                <w:szCs w:val="21"/>
                <w:highlight w:val="none"/>
                <w:shd w:val="clear" w:color="auto" w:fill="auto"/>
              </w:rPr>
              <w:t xml:space="preserve">科室信息上传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科室信息变更</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科室信息撤销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商品盘存上传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商品库存变更</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商品采购</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商品采购退货</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商品销售</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商品销售退货</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商品信息删除</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医疗保障基金结算清单信息上传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医疗保障基金结算清单信息上传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医疗保障基金结算清单状态修改</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医疗保障基金结算清单详细信息查询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自费病人费用明细信息上传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住院病案首页信息</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结算信息查询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费用明细查询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结算信息查询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个人医疗待遇余额查询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人员慢特病备案查询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人员定点信息查询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在院信息查询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转院信息查询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医保结算结果通知</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电子处方上传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处方审核结果反馈</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处方购药结果反馈</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电子处方撤销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处方二维码解析</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电子处方查询</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电子处方下载</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电子处方审核</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配送信息上传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签到</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签退</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文件上传</w:t>
            </w:r>
            <w:r/>
          </w:p>
        </w:tc>
      </w:tr>
      <w:tr>
        <w:trPr>
          <w:jc w:val="center"/>
        </w:trPr>
        <w:tc>
          <w:tcPr>
            <w:shd w:val="clear" w:color="auto" w:fill="auto"/>
            <w:tcW w:w="1809" w:type="dxa"/>
            <w:vAlign w:val="center"/>
            <w:vMerge w:val="continue"/>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b w:val="0"/>
                <w:bCs w:val="0"/>
                <w:color w:val="auto"/>
                <w:sz w:val="21"/>
                <w:szCs w:val="21"/>
                <w:highlight w:val="none"/>
                <w:shd w:val="clear" w:color="auto" w:fill="auto"/>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文件下载</w:t>
            </w:r>
            <w:r/>
          </w:p>
        </w:tc>
      </w:tr>
      <w:tr>
        <w:trPr>
          <w:jc w:val="center"/>
        </w:trPr>
        <w:tc>
          <w:tcPr>
            <w:gridSpan w:val="2"/>
            <w:shd w:val="clear" w:color="auto" w:fill="auto"/>
            <w:tcW w:w="8472"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bCs/>
                <w:i w:val="0"/>
                <w:iCs w:val="0"/>
                <w:color w:val="auto"/>
                <w:sz w:val="21"/>
                <w:szCs w:val="21"/>
                <w:highlight w:val="none"/>
                <w:shd w:val="clear" w:color="auto" w:fill="auto"/>
                <w:lang w:val="en-US" w:eastAsia="zh-CN"/>
              </w:rPr>
              <w:t xml:space="preserve">1.2</w:t>
            </w:r>
            <w:r>
              <w:rPr>
                <w:rFonts w:hint="eastAsia" w:ascii="宋体" w:hAnsi="宋体" w:cs="宋体"/>
                <w:b/>
                <w:bCs/>
                <w:i w:val="0"/>
                <w:iCs w:val="0"/>
                <w:color w:val="auto"/>
                <w:sz w:val="21"/>
                <w:szCs w:val="21"/>
                <w:highlight w:val="none"/>
                <w:shd w:val="clear" w:color="auto" w:fill="auto"/>
              </w:rPr>
              <w:t xml:space="preserve">基层公卫系统服务</w:t>
            </w:r>
            <w:r/>
          </w:p>
        </w:tc>
      </w:tr>
      <w:tr>
        <w:trPr>
          <w:jc w:val="center"/>
        </w:trPr>
        <w:tc>
          <w:tcPr>
            <w:shd w:val="clear" w:color="auto" w:fill="auto"/>
            <w:tcW w:w="1809" w:type="dxa"/>
            <w:vAlign w:val="center"/>
            <w:textDirection w:val="lrTb"/>
            <w:noWrap w:val="false"/>
          </w:tcPr>
          <w:p>
            <w:pPr>
              <w:ind w:firstLine="0"/>
              <w:jc w:val="both"/>
              <w:rPr>
                <w:rFonts w:hint="eastAsia"/>
                <w:b w:val="0"/>
                <w:bCs w:val="0"/>
                <w:color w:val="auto"/>
                <w:sz w:val="21"/>
                <w:szCs w:val="21"/>
                <w:highlight w:val="none"/>
                <w:shd w:val="clear" w:color="auto" w:fill="auto"/>
              </w:rPr>
            </w:pPr>
            <w:r>
              <w:rPr>
                <w:rFonts w:hint="eastAsia" w:ascii="宋体" w:hAnsi="宋体"/>
                <w:b w:val="0"/>
                <w:bCs w:val="0"/>
                <w:color w:val="auto"/>
                <w:szCs w:val="24"/>
                <w:highlight w:val="none"/>
                <w:shd w:val="clear" w:color="auto" w:fill="auto"/>
              </w:rPr>
              <w:t xml:space="preserve">工作内容</w:t>
            </w:r>
            <w:r/>
          </w:p>
        </w:tc>
        <w:tc>
          <w:tcPr>
            <w:shd w:val="clear" w:color="auto" w:fill="auto"/>
            <w:tcW w:w="6663" w:type="dxa"/>
            <w:vAlign w:val="center"/>
            <w:textDirection w:val="lrTb"/>
            <w:noWrap w:val="false"/>
          </w:tcPr>
          <w:p>
            <w:pPr>
              <w:ind w:firstLine="0"/>
              <w:jc w:val="both"/>
              <w:rPr>
                <w:rFonts w:hint="eastAsia" w:ascii="宋体" w:hAnsi="宋体" w:cs="宋体"/>
                <w:b w:val="0"/>
                <w:bCs w:val="0"/>
                <w:i w:val="0"/>
                <w:iCs w:val="0"/>
                <w:color w:val="auto"/>
                <w:sz w:val="21"/>
                <w:szCs w:val="21"/>
                <w:highlight w:val="none"/>
                <w:shd w:val="clear" w:color="auto" w:fill="auto"/>
              </w:rPr>
            </w:pPr>
            <w:r>
              <w:rPr>
                <w:rFonts w:hint="eastAsia" w:ascii="宋体" w:hAnsi="宋体"/>
                <w:b w:val="0"/>
                <w:bCs w:val="0"/>
                <w:color w:val="auto"/>
                <w:szCs w:val="24"/>
                <w:highlight w:val="none"/>
                <w:shd w:val="clear" w:color="auto" w:fill="auto"/>
              </w:rPr>
              <w:t xml:space="preserve">工作产出</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软件改正性维护</w:t>
            </w:r>
            <w:r/>
          </w:p>
        </w:tc>
        <w:tc>
          <w:tcPr>
            <w:shd w:val="clear" w:color="auto" w:fill="auto"/>
            <w:tcW w:w="6663" w:type="dxa"/>
            <w:vAlign w:val="center"/>
            <w:textDirection w:val="lrTb"/>
            <w:noWrap w:val="false"/>
          </w:tcPr>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国家健康档案首页新版修改；</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食源性接口调整；（按苏州市疾控食源性系统上报接口规范）</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优化his及公卫随访sql；</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修复高血压随访血压不满意不增加随访的问题；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修复档案迁移中不显示注销医生的问题；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糖尿病随访表单radio允许取消；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修复健康档案首页打印建档人为空的问题；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修复个人档案列表签约标志过滤不正确的问题；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家庭医生签约修改成lodop打印；</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修复高血压糖尿病血压和血糖曲线图不显示的问题；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家庭医生解约限制改为36元的只能签约医生解约，2元的不限制；</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家庭医生签约图标区分36元和基本签约；</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健康档案查询条件增加出生日期；</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修复健康档案查询时如果有日期格式的字段时会导致查询条件失败的问题；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修复签约已付费未签约的查询无效的问题；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上转表单增加现住址和户籍地址；</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修复家庭医生签约问题；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恢复签约解约功能；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家庭医生签约增加个人档案未核实不给签约判断；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增加收了签约费未签约的列表查询；</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修改糖尿病、高血压随访读卡逻辑；</w:t>
            </w:r>
            <w:r/>
          </w:p>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系统调整和数据处理</w:t>
            </w:r>
            <w:r/>
          </w:p>
        </w:tc>
        <w:tc>
          <w:tcPr>
            <w:shd w:val="clear" w:color="auto" w:fill="auto"/>
            <w:tcW w:w="6663" w:type="dxa"/>
            <w:vAlign w:val="center"/>
            <w:textDirection w:val="lrTb"/>
            <w:noWrap w:val="false"/>
          </w:tcPr>
          <w:p>
            <w:pPr>
              <w:pStyle w:val="1207"/>
              <w:jc w:val="both"/>
              <w:spacing w:before="0" w:after="0" w:line="360" w:lineRule="auto"/>
              <w:rPr>
                <w:rFonts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针对用户职能改变，提供相应的系统调整和数据处理服务</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防保科长角色增加老年人智力筛查明细表和老年人抑郁症筛查明细表；</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公卫绩效考核表增加老年人智力筛查数和老年人一月症筛查数；</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公卫增加老年人智力筛查和抑郁症筛查；</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增加公卫随访读卡支持医保电子凭证；</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增加慢性病随访一年不可超过8次限制；</w:t>
            </w:r>
            <w:r/>
          </w:p>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系统运行可靠性</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针对系统存在的不安全因素，增加软件系统运行的可靠性，防患于未然而进行的相关维护服务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系统现场巡检</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提供定期的用户现场巡检、例行检测和应用软件整体优化活动</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应急突发问题处理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针对特殊性业务、临时性统计、历史数据错误排查、年度参数设置、突发事件处理等临时性问题进行维护服务。</w:t>
            </w:r>
            <w:r/>
          </w:p>
        </w:tc>
      </w:tr>
      <w:tr>
        <w:trPr>
          <w:jc w:val="center"/>
        </w:trPr>
        <w:tc>
          <w:tcPr>
            <w:gridSpan w:val="2"/>
            <w:shd w:val="clear" w:color="auto" w:fill="auto"/>
            <w:tcW w:w="8472" w:type="dxa"/>
            <w:vAlign w:val="center"/>
            <w:textDirection w:val="lrTb"/>
            <w:noWrap w:val="false"/>
          </w:tcPr>
          <w:p>
            <w:pPr>
              <w:pStyle w:val="1207"/>
              <w:jc w:val="both"/>
              <w:spacing w:before="0" w:after="0" w:line="360" w:lineRule="auto"/>
              <w:rPr>
                <w:rFonts w:hint="eastAsia" w:ascii="宋体" w:hAnsi="宋体" w:cs="宋体"/>
                <w:b/>
                <w:bCs/>
                <w:i w:val="0"/>
                <w:iCs w:val="0"/>
                <w:color w:val="auto"/>
                <w:sz w:val="21"/>
                <w:szCs w:val="21"/>
                <w:highlight w:val="none"/>
                <w:shd w:val="clear" w:color="auto" w:fill="auto"/>
              </w:rPr>
            </w:pPr>
            <w:r>
              <w:rPr>
                <w:rFonts w:hint="eastAsia" w:ascii="宋体" w:hAnsi="宋体" w:cs="宋体"/>
                <w:b/>
                <w:bCs/>
                <w:i w:val="0"/>
                <w:iCs w:val="0"/>
                <w:color w:val="auto"/>
                <w:sz w:val="21"/>
                <w:szCs w:val="21"/>
                <w:highlight w:val="none"/>
                <w:shd w:val="clear" w:color="auto" w:fill="auto"/>
                <w:lang w:val="en-US" w:eastAsia="zh-CN"/>
              </w:rPr>
              <w:t xml:space="preserve">1.</w:t>
            </w:r>
            <w:r>
              <w:rPr>
                <w:rFonts w:hint="eastAsia" w:ascii="宋体" w:hAnsi="宋体" w:cs="宋体"/>
                <w:b/>
                <w:bCs/>
                <w:i w:val="0"/>
                <w:iCs w:val="0"/>
                <w:color w:val="auto"/>
                <w:sz w:val="21"/>
                <w:szCs w:val="21"/>
                <w:highlight w:val="none"/>
                <w:shd w:val="clear" w:color="auto" w:fill="auto"/>
              </w:rPr>
              <w:t xml:space="preserve">3区域大数据健康平台</w:t>
            </w:r>
            <w:r/>
          </w:p>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bCs/>
                <w:i w:val="0"/>
                <w:iCs w:val="0"/>
                <w:color w:val="auto"/>
                <w:sz w:val="21"/>
                <w:szCs w:val="21"/>
                <w:highlight w:val="none"/>
                <w:shd w:val="clear" w:color="auto" w:fill="auto"/>
              </w:rPr>
              <w:t xml:space="preserve">数据报表调整，数据采集质量控制、上传苏州市、江苏省平台日常服务</w:t>
            </w:r>
            <w:r/>
          </w:p>
        </w:tc>
      </w:tr>
      <w:tr>
        <w:trPr>
          <w:jc w:val="center"/>
        </w:trPr>
        <w:tc>
          <w:tcPr>
            <w:shd w:val="clear" w:color="auto" w:fill="auto"/>
            <w:tcW w:w="1809" w:type="dxa"/>
            <w:vAlign w:val="center"/>
            <w:textDirection w:val="lrTb"/>
            <w:noWrap w:val="false"/>
          </w:tcPr>
          <w:p>
            <w:pPr>
              <w:ind w:firstLine="0"/>
              <w:jc w:val="both"/>
              <w:rPr>
                <w:rFonts w:hint="eastAsia" w:ascii="宋体" w:hAnsi="宋体" w:cs="宋体"/>
                <w:b w:val="0"/>
                <w:bCs w:val="0"/>
                <w:color w:val="auto"/>
                <w:sz w:val="21"/>
                <w:szCs w:val="21"/>
                <w:highlight w:val="none"/>
                <w:shd w:val="clear" w:color="auto" w:fill="auto"/>
              </w:rPr>
            </w:pPr>
            <w:r>
              <w:rPr>
                <w:rFonts w:hint="eastAsia" w:ascii="宋体" w:hAnsi="宋体"/>
                <w:b w:val="0"/>
                <w:bCs w:val="0"/>
                <w:color w:val="auto"/>
                <w:szCs w:val="24"/>
                <w:highlight w:val="none"/>
                <w:shd w:val="clear" w:color="auto" w:fill="auto"/>
              </w:rPr>
              <w:t xml:space="preserve">工作内容</w:t>
            </w:r>
            <w:r/>
          </w:p>
        </w:tc>
        <w:tc>
          <w:tcPr>
            <w:shd w:val="clear" w:color="auto" w:fill="auto"/>
            <w:tcW w:w="6663" w:type="dxa"/>
            <w:vAlign w:val="center"/>
            <w:textDirection w:val="lrTb"/>
            <w:noWrap w:val="false"/>
          </w:tcPr>
          <w:p>
            <w:pPr>
              <w:ind w:firstLine="0"/>
              <w:jc w:val="both"/>
              <w:rPr>
                <w:rFonts w:hint="eastAsia" w:ascii="宋体" w:hAnsi="宋体" w:cs="宋体"/>
                <w:b w:val="0"/>
                <w:bCs w:val="0"/>
                <w:i w:val="0"/>
                <w:iCs w:val="0"/>
                <w:color w:val="auto"/>
                <w:sz w:val="21"/>
                <w:szCs w:val="21"/>
                <w:highlight w:val="none"/>
                <w:shd w:val="clear" w:color="auto" w:fill="auto"/>
              </w:rPr>
            </w:pPr>
            <w:r>
              <w:rPr>
                <w:rFonts w:hint="eastAsia" w:ascii="宋体" w:hAnsi="宋体"/>
                <w:b w:val="0"/>
                <w:bCs w:val="0"/>
                <w:color w:val="auto"/>
                <w:szCs w:val="24"/>
                <w:highlight w:val="none"/>
                <w:shd w:val="clear" w:color="auto" w:fill="auto"/>
              </w:rPr>
              <w:t xml:space="preserve">工作产出</w:t>
            </w:r>
            <w:r/>
          </w:p>
        </w:tc>
      </w:tr>
      <w:tr>
        <w:trPr>
          <w:jc w:val="center"/>
        </w:trPr>
        <w:tc>
          <w:tcPr>
            <w:shd w:val="clear" w:color="auto" w:fill="auto"/>
            <w:tcW w:w="1809" w:type="dxa"/>
            <w:vAlign w:val="center"/>
            <w:textDirection w:val="lrTb"/>
            <w:noWrap w:val="false"/>
          </w:tcPr>
          <w:p>
            <w:pPr>
              <w:ind w:firstLine="0"/>
              <w:jc w:val="both"/>
              <w:widowControl/>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Cs w:val="24"/>
                <w:highlight w:val="none"/>
                <w:shd w:val="clear" w:color="auto" w:fill="auto"/>
                <w:lang w:bidi="ar"/>
              </w:rPr>
              <w:t xml:space="preserve">数据报表调整</w:t>
            </w:r>
            <w:r/>
          </w:p>
        </w:tc>
        <w:tc>
          <w:tcPr>
            <w:shd w:val="clear" w:color="auto" w:fill="auto"/>
            <w:tcW w:w="6663" w:type="dxa"/>
            <w:vAlign w:val="center"/>
            <w:textDirection w:val="lrTb"/>
            <w:noWrap w:val="false"/>
          </w:tcPr>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修复住院日终结账报表不正确的问题；</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增加国家医保对账报表及结算记录表增加参保地区划等信息；</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修复城镇职工医保省内异地报表不正确的问题；</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门诊按病种统计表增加导出功能；</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修复住院床位使用率报表不准确的问题；</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修复电子发票个人自负有负数的问题；</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优化门诊病人分病种统计报表；</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挂号分类报表就诊量为0报错修复；</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物资系统汇总和月报的报表优化无法打开当月数据的问题；</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物资报表不再强制将多余列分页到第二行；</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修改出库报表中因核算类别错误导致的数据缺失；</w:t>
            </w:r>
            <w:r/>
          </w:p>
          <w:p>
            <w:pPr>
              <w:ind w:firstLine="0"/>
              <w:jc w:val="both"/>
              <w:widowControl/>
              <w:rPr>
                <w:rFonts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后勤物资出库汇总报表中数据缺失修复，物资库房收支汇总和月报修复，出库预扣款问题处理，出库再退回导致数据错乱问题修复，退回库存</w:t>
            </w:r>
            <w:r/>
          </w:p>
          <w:p>
            <w:pPr>
              <w:ind w:firstLine="0"/>
              <w:jc w:val="both"/>
              <w:widowControl/>
              <w:rPr>
                <w:rFonts w:hint="eastAsia" w:ascii="宋体" w:hAnsi="宋体" w:cs="宋体"/>
                <w:b w:val="0"/>
                <w:bCs w:val="0"/>
                <w:i w:val="0"/>
                <w:iCs w:val="0"/>
                <w:color w:val="auto"/>
                <w:sz w:val="21"/>
                <w:szCs w:val="21"/>
                <w:highlight w:val="none"/>
                <w:shd w:val="clear" w:color="auto" w:fill="auto"/>
              </w:rPr>
            </w:pPr>
            <w:r>
              <w:rPr>
                <w:rFonts w:hint="eastAsia" w:ascii="宋体" w:hAnsi="宋体"/>
                <w:b w:val="0"/>
                <w:bCs w:val="0"/>
                <w:i/>
                <w:iCs/>
                <w:color w:val="auto"/>
                <w:szCs w:val="24"/>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4"/>
                <w:highlight w:val="none"/>
                <w:shd w:val="clear" w:color="auto" w:fill="auto"/>
                <w:lang w:val="en-US" w:eastAsia="zh-CN" w:bidi="ar"/>
              </w:rPr>
              <w:t xml:space="preserve">数据转换问题处理</w:t>
            </w:r>
            <w:r/>
          </w:p>
        </w:tc>
        <w:tc>
          <w:tcPr>
            <w:shd w:val="clear" w:color="auto" w:fill="auto"/>
            <w:tcW w:w="6663" w:type="dxa"/>
            <w:vAlign w:val="center"/>
            <w:textDirection w:val="lrTb"/>
            <w:noWrap w:val="false"/>
          </w:tcPr>
          <w:p>
            <w:pPr>
              <w:ind w:firstLine="0"/>
              <w:jc w:val="both"/>
              <w:rPr>
                <w:rFonts w:hint="eastAsia" w:ascii="宋体" w:hAnsi="宋体" w:cs="宋体"/>
                <w:b w:val="0"/>
                <w:bCs w:val="0"/>
                <w:i w:val="0"/>
                <w:iCs w:val="0"/>
                <w:color w:val="auto"/>
                <w:sz w:val="21"/>
                <w:szCs w:val="21"/>
                <w:highlight w:val="none"/>
                <w:shd w:val="clear" w:color="auto" w:fill="auto"/>
              </w:rPr>
            </w:pPr>
            <w:r>
              <w:rPr>
                <w:rFonts w:hint="eastAsia"/>
                <w:b w:val="0"/>
                <w:bCs w:val="0"/>
                <w:color w:val="auto"/>
                <w:szCs w:val="24"/>
                <w:highlight w:val="none"/>
                <w:shd w:val="clear" w:color="auto" w:fill="auto"/>
              </w:rPr>
              <w:t xml:space="preserve">按照省平台数据标准规范需求，对本地相关问题数据进行清洗比对、标准化处理。</w:t>
            </w:r>
            <w:r/>
          </w:p>
        </w:tc>
      </w:tr>
      <w:tr>
        <w:trPr>
          <w:jc w:val="center"/>
        </w:trPr>
        <w:tc>
          <w:tcPr>
            <w:shd w:val="clear" w:color="auto" w:fill="auto"/>
            <w:tcW w:w="1809" w:type="dxa"/>
            <w:vAlign w:val="center"/>
            <w:textDirection w:val="lrTb"/>
            <w:noWrap w:val="false"/>
          </w:tcPr>
          <w:p>
            <w:pPr>
              <w:ind w:firstLine="0"/>
              <w:jc w:val="both"/>
              <w:widowControl/>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Cs w:val="24"/>
                <w:highlight w:val="none"/>
                <w:shd w:val="clear" w:color="auto" w:fill="auto"/>
                <w:lang w:bidi="ar"/>
              </w:rPr>
              <w:t xml:space="preserve">数据采集质量</w:t>
            </w:r>
            <w:r/>
          </w:p>
        </w:tc>
        <w:tc>
          <w:tcPr>
            <w:shd w:val="clear" w:color="auto" w:fill="auto"/>
            <w:tcW w:w="6663" w:type="dxa"/>
            <w:vAlign w:val="center"/>
            <w:textDirection w:val="lrTb"/>
            <w:noWrap w:val="false"/>
          </w:tcPr>
          <w:p>
            <w:pPr>
              <w:ind w:firstLine="0"/>
              <w:jc w:val="both"/>
              <w:widowControl/>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color w:val="auto"/>
                <w:szCs w:val="24"/>
                <w:highlight w:val="none"/>
                <w:shd w:val="clear" w:color="auto" w:fill="auto"/>
                <w:lang w:bidi="ar"/>
              </w:rPr>
              <w:t xml:space="preserve">做好吴江卫健委与跨部门间的业务协同与数据共享运维服务，包括与区大数据局对接数据。</w:t>
            </w:r>
            <w:r/>
          </w:p>
        </w:tc>
      </w:tr>
      <w:tr>
        <w:trPr>
          <w:jc w:val="center"/>
        </w:trPr>
        <w:tc>
          <w:tcPr>
            <w:shd w:val="clear" w:color="auto" w:fill="auto"/>
            <w:tcW w:w="1809" w:type="dxa"/>
            <w:vAlign w:val="center"/>
            <w:textDirection w:val="lrTb"/>
            <w:noWrap w:val="false"/>
          </w:tcPr>
          <w:p>
            <w:pPr>
              <w:ind w:firstLine="0"/>
              <w:jc w:val="both"/>
              <w:widowControl/>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Cs w:val="24"/>
                <w:highlight w:val="none"/>
                <w:shd w:val="clear" w:color="auto" w:fill="auto"/>
                <w:lang w:bidi="ar"/>
              </w:rPr>
              <w:t xml:space="preserve">上传苏州接口日常服务</w:t>
            </w:r>
            <w:r/>
          </w:p>
        </w:tc>
        <w:tc>
          <w:tcPr>
            <w:shd w:val="clear" w:color="auto" w:fill="auto"/>
            <w:tcW w:w="6663" w:type="dxa"/>
            <w:vAlign w:val="center"/>
            <w:textDirection w:val="lrTb"/>
            <w:noWrap w:val="false"/>
          </w:tcPr>
          <w:p>
            <w:pPr>
              <w:ind w:firstLine="0"/>
              <w:jc w:val="both"/>
              <w:widowControl/>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color w:val="auto"/>
                <w:szCs w:val="24"/>
                <w:highlight w:val="none"/>
                <w:shd w:val="clear" w:color="auto" w:fill="auto"/>
                <w:lang w:bidi="ar"/>
              </w:rPr>
              <w:t xml:space="preserve">上传居民健康档案信息至苏州市全民健康信息平台。</w:t>
            </w:r>
            <w:r/>
          </w:p>
        </w:tc>
      </w:tr>
      <w:tr>
        <w:trPr>
          <w:jc w:val="center"/>
        </w:trPr>
        <w:tc>
          <w:tcPr>
            <w:shd w:val="clear" w:color="auto" w:fill="auto"/>
            <w:tcW w:w="1809" w:type="dxa"/>
            <w:vAlign w:val="center"/>
            <w:textDirection w:val="lrTb"/>
            <w:noWrap w:val="false"/>
          </w:tcPr>
          <w:p>
            <w:pPr>
              <w:ind w:firstLine="0"/>
              <w:jc w:val="both"/>
              <w:widowControl/>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Cs w:val="24"/>
                <w:highlight w:val="none"/>
                <w:shd w:val="clear" w:color="auto" w:fill="auto"/>
                <w:lang w:bidi="ar"/>
              </w:rPr>
              <w:t xml:space="preserve">上传江苏省平台日常服务</w:t>
            </w:r>
            <w:r/>
          </w:p>
        </w:tc>
        <w:tc>
          <w:tcPr>
            <w:shd w:val="clear" w:color="auto" w:fill="auto"/>
            <w:tcW w:w="6663" w:type="dxa"/>
            <w:vAlign w:val="center"/>
            <w:textDirection w:val="lrTb"/>
            <w:noWrap w:val="false"/>
          </w:tcPr>
          <w:p>
            <w:pPr>
              <w:ind w:firstLine="0"/>
              <w:jc w:val="both"/>
              <w:widowControl/>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color w:val="auto"/>
                <w:szCs w:val="24"/>
                <w:highlight w:val="none"/>
                <w:shd w:val="clear" w:color="auto" w:fill="auto"/>
                <w:lang w:bidi="ar"/>
              </w:rPr>
              <w:t xml:space="preserve">江苏省平台接口服务、上传江苏省平台日常服务。</w:t>
            </w:r>
            <w:r/>
          </w:p>
        </w:tc>
      </w:tr>
      <w:tr>
        <w:trPr>
          <w:jc w:val="center"/>
        </w:trPr>
        <w:tc>
          <w:tcPr>
            <w:gridSpan w:val="2"/>
            <w:shd w:val="clear" w:color="auto" w:fill="auto"/>
            <w:tcW w:w="8472" w:type="dxa"/>
            <w:vAlign w:val="center"/>
            <w:textDirection w:val="lrTb"/>
            <w:noWrap w:val="false"/>
          </w:tcPr>
          <w:p>
            <w:pPr>
              <w:ind w:firstLine="0"/>
              <w:jc w:val="both"/>
              <w:widowControl/>
              <w:rPr>
                <w:rFonts w:hint="eastAsia" w:ascii="宋体" w:hAnsi="宋体" w:cs="宋体"/>
                <w:b w:val="0"/>
                <w:bCs w:val="0"/>
                <w:color w:val="auto"/>
                <w:szCs w:val="24"/>
                <w:highlight w:val="none"/>
                <w:shd w:val="clear" w:color="auto" w:fill="auto"/>
                <w:lang w:bidi="ar"/>
              </w:rPr>
            </w:pPr>
            <w:r>
              <w:rPr>
                <w:rFonts w:hint="eastAsia" w:ascii="宋体" w:hAnsi="宋体" w:cs="宋体"/>
                <w:b/>
                <w:bCs/>
                <w:color w:val="auto"/>
                <w:szCs w:val="24"/>
                <w:highlight w:val="none"/>
                <w:shd w:val="clear" w:color="auto" w:fill="auto"/>
                <w:lang w:val="en-US" w:eastAsia="zh-CN" w:bidi="ar"/>
              </w:rPr>
              <w:t xml:space="preserve">1.4</w:t>
            </w:r>
            <w:r>
              <w:rPr>
                <w:rFonts w:hint="eastAsia" w:ascii="宋体" w:hAnsi="宋体" w:cs="宋体"/>
                <w:b/>
                <w:bCs/>
                <w:color w:val="auto"/>
                <w:szCs w:val="24"/>
                <w:highlight w:val="none"/>
                <w:shd w:val="clear" w:color="auto" w:fill="auto"/>
                <w:lang w:bidi="ar"/>
              </w:rPr>
              <w:t xml:space="preserve">区域影像平台服务</w:t>
            </w:r>
            <w:r/>
          </w:p>
        </w:tc>
      </w:tr>
      <w:tr>
        <w:trPr>
          <w:jc w:val="center"/>
        </w:trPr>
        <w:tc>
          <w:tcPr>
            <w:shd w:val="clear" w:color="auto" w:fill="auto"/>
            <w:tcW w:w="1809" w:type="dxa"/>
            <w:vAlign w:val="center"/>
            <w:textDirection w:val="lrTb"/>
            <w:noWrap w:val="false"/>
          </w:tcPr>
          <w:p>
            <w:pPr>
              <w:ind w:firstLine="0"/>
              <w:jc w:val="both"/>
              <w:rPr>
                <w:rFonts w:hint="eastAsia" w:ascii="宋体" w:hAnsi="宋体" w:cs="宋体"/>
                <w:b w:val="0"/>
                <w:bCs w:val="0"/>
                <w:color w:val="auto"/>
                <w:szCs w:val="24"/>
                <w:highlight w:val="none"/>
                <w:shd w:val="clear" w:color="auto" w:fill="auto"/>
                <w:lang w:bidi="ar"/>
              </w:rPr>
            </w:pPr>
            <w:r>
              <w:rPr>
                <w:rFonts w:hint="eastAsia" w:ascii="宋体" w:hAnsi="宋体"/>
                <w:b w:val="0"/>
                <w:bCs w:val="0"/>
                <w:color w:val="auto"/>
                <w:szCs w:val="24"/>
                <w:highlight w:val="none"/>
                <w:shd w:val="clear" w:color="auto" w:fill="auto"/>
              </w:rPr>
              <w:t xml:space="preserve">工作内容</w:t>
            </w:r>
            <w:r/>
          </w:p>
        </w:tc>
        <w:tc>
          <w:tcPr>
            <w:shd w:val="clear" w:color="auto" w:fill="auto"/>
            <w:tcW w:w="6663" w:type="dxa"/>
            <w:vAlign w:val="center"/>
            <w:textDirection w:val="lrTb"/>
            <w:noWrap w:val="false"/>
          </w:tcPr>
          <w:p>
            <w:pPr>
              <w:ind w:firstLine="0"/>
              <w:jc w:val="both"/>
              <w:rPr>
                <w:rFonts w:hint="eastAsia" w:ascii="宋体" w:hAnsi="宋体" w:cs="宋体"/>
                <w:b w:val="0"/>
                <w:bCs w:val="0"/>
                <w:color w:val="auto"/>
                <w:szCs w:val="24"/>
                <w:highlight w:val="none"/>
                <w:shd w:val="clear" w:color="auto" w:fill="auto"/>
                <w:lang w:bidi="ar"/>
              </w:rPr>
            </w:pPr>
            <w:r>
              <w:rPr>
                <w:rFonts w:hint="eastAsia" w:ascii="宋体" w:hAnsi="宋体"/>
                <w:b w:val="0"/>
                <w:bCs w:val="0"/>
                <w:color w:val="auto"/>
                <w:szCs w:val="24"/>
                <w:highlight w:val="none"/>
                <w:shd w:val="clear" w:color="auto" w:fill="auto"/>
              </w:rPr>
              <w:t xml:space="preserve">工作产出</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软件改正性维护</w:t>
            </w:r>
            <w:r/>
          </w:p>
        </w:tc>
        <w:tc>
          <w:tcPr>
            <w:shd w:val="clear" w:color="auto" w:fill="auto"/>
            <w:tcW w:w="6663" w:type="dxa"/>
            <w:vAlign w:val="center"/>
            <w:textDirection w:val="lrTb"/>
            <w:noWrap w:val="false"/>
          </w:tcPr>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修复心血管筛查界面布局问题；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修复心电报告不显示的问题；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增加站点开中心的检查申请单；</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修复医技角色退回医技单病区无法再提交的问题；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增加扫码支付订单查询功能；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协同平台上报 机构id与省平台不一致；</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修改phis web.xml中servlet 映射，尝试解决打印出现x的问题；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修复住院检查单重复提交的问题；</w:t>
            </w:r>
            <w:r/>
          </w:p>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b w:val="0"/>
                <w:bCs w:val="0"/>
                <w:i w:val="0"/>
                <w:iCs w:val="0"/>
                <w:color w:val="auto"/>
                <w:sz w:val="21"/>
                <w:szCs w:val="21"/>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系统调整和数据处理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针对用户职能改变，提供相应的系统调整和数据处理服务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系统运行可靠性</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针对系统存在的不安全因素，增加软件系统运行的可靠性，防患于未然而进行的相关维护服务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系统现场巡检</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提供定期的用户现场巡检、例行检测和应用软件整体优化活动</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应急突发问题处理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针对特殊性业务、临时性统计、历史数据错误排查、年度参数设置、突发事件处理等临时性问题进行维护服务。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江苏省云影像对接日常服务</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检查结果共享互认：在医生工作站添加相应按钮，如“跨院调阅”，通过该按钮访问省“影像平台”医学影像数据跨院共享系统，实现医学影像检查结果的跨院查询、调阅及互认。</w:t>
            </w:r>
            <w:r/>
          </w:p>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重复检查智能提醒：在医生使用医生工作站查看患者信息的时候，会在省</w:t>
            </w:r>
            <w:r>
              <w:rPr>
                <w:rFonts w:hint="eastAsia" w:ascii="宋体" w:hAnsi="宋体" w:cs="宋体"/>
                <w:b w:val="0"/>
                <w:bCs w:val="0"/>
                <w:i w:val="0"/>
                <w:iCs w:val="0"/>
                <w:color w:val="auto"/>
                <w:sz w:val="21"/>
                <w:szCs w:val="21"/>
                <w:highlight w:val="none"/>
                <w:shd w:val="clear" w:color="auto" w:fill="auto"/>
              </w:rPr>
              <w:t xml:space="preserve">“影像平台”比对该患者近期是否有过检查，从而进行省“影像平台”数据层的预缓存，以加速智能提醒的效率。不论该患者是否存在检查，均对院端现有主流程不造成任何影响。当医生在医生工作站开具申请单/检查单时，会将患者本次的检查部位所对应的院内HIS院内编码传递到省“影像平台”，省“影像平台”会返回该患者近期「是/否」有类似部位的检查记录。如果有类似的检查记录，则会在医生工作站进行自动弹窗提醒，医生可以通过点击弹窗上的“查看”按键，跳转访问省“影像平台”医学影像数据跨院共享系统，进行类似检查结果的跨院查询、调阅及互认。</w:t>
            </w:r>
            <w:r/>
          </w:p>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在医生执行确认开单操作时，院内HIS系统会将本次实际开单的详细内容回执给“影像平台”，省“影像平台”会存证开单内容。</w:t>
            </w:r>
            <w:r/>
          </w:p>
        </w:tc>
      </w:tr>
      <w:tr>
        <w:trPr>
          <w:jc w:val="center"/>
          <w:trHeight w:val="3670"/>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苏州云影像对接日常服务</w:t>
            </w:r>
            <w:r/>
          </w:p>
        </w:tc>
        <w:tc>
          <w:tcPr>
            <w:shd w:val="clear" w:color="auto" w:fill="auto"/>
            <w:tcW w:w="6663" w:type="dxa"/>
            <w:vAlign w:val="center"/>
            <w:textDirection w:val="lrTb"/>
            <w:noWrap w:val="false"/>
          </w:tcPr>
          <w:p>
            <w:pPr>
              <w:pStyle w:val="1207"/>
              <w:jc w:val="both"/>
              <w:spacing w:before="0" w:after="0" w:line="360" w:lineRule="auto"/>
              <w:rPr>
                <w:rFonts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苏州市医疗健康大数据中心医疗影像云平台调阅接口规范，目的是将平台上整合完成的各影像系统的检查数据信息，提供给第三方信息系统进行调阅，实现范围内的医学影像检查信息的安全共享。</w:t>
            </w:r>
            <w:r/>
          </w:p>
          <w:p>
            <w:pPr>
              <w:pStyle w:val="1207"/>
              <w:jc w:val="both"/>
              <w:spacing w:before="0" w:after="0" w:line="360" w:lineRule="auto"/>
              <w:rPr>
                <w:rFonts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提供 HTTP 页面进行访问，每次调用页面时，由调用方在 URL 中传输加密访问参数。URL为http://2.46.6.20:10030/neusoftpm/loadThirdPartyRSA?access_token=访问参数。加密参数中需包括患者身份证号、调用方组织机构代码、调用授权码、调用时间戳等。加密算法使用 RSA2.0。</w:t>
            </w:r>
            <w:r/>
          </w:p>
          <w:p>
            <w:pPr>
              <w:pStyle w:val="1207"/>
              <w:jc w:val="both"/>
              <w:spacing w:before="0" w:after="0" w:line="360" w:lineRule="auto"/>
              <w:rPr>
                <w:rFonts w:hint="eastAsia" w:ascii="宋体" w:hAnsi="宋体" w:eastAsia="宋体" w:cs="宋体"/>
                <w:b w:val="0"/>
                <w:bCs w:val="0"/>
                <w:i w:val="0"/>
                <w:iCs w:val="0"/>
                <w:color w:val="auto"/>
                <w:sz w:val="21"/>
                <w:szCs w:val="21"/>
                <w:highlight w:val="none"/>
                <w:shd w:val="clear" w:color="auto" w:fill="auto"/>
                <w:lang w:eastAsia="zh-CN"/>
              </w:rPr>
            </w:pPr>
            <w:r>
              <w:rPr>
                <w:rFonts w:hint="eastAsia" w:ascii="宋体" w:hAnsi="宋体" w:cs="宋体"/>
                <w:b w:val="0"/>
                <w:bCs w:val="0"/>
                <w:i w:val="0"/>
                <w:iCs w:val="0"/>
                <w:color w:val="auto"/>
                <w:sz w:val="21"/>
                <w:szCs w:val="21"/>
                <w:highlight w:val="none"/>
                <w:shd w:val="clear" w:color="auto" w:fill="auto"/>
              </w:rPr>
              <w:t xml:space="preserve">必填参数说明</w:t>
            </w:r>
            <w:r>
              <w:rPr>
                <w:rFonts w:hint="eastAsia" w:ascii="宋体" w:hAnsi="宋体" w:cs="宋体"/>
                <w:b w:val="0"/>
                <w:bCs w:val="0"/>
                <w:i w:val="0"/>
                <w:iCs w:val="0"/>
                <w:color w:val="auto"/>
                <w:sz w:val="21"/>
                <w:szCs w:val="21"/>
                <w:highlight w:val="none"/>
                <w:shd w:val="clear" w:color="auto" w:fill="auto"/>
                <w:lang w:eastAsia="zh-CN"/>
              </w:rPr>
              <w:t xml:space="preserve">：</w:t>
            </w:r>
            <w:r/>
          </w:p>
          <w:p>
            <w:pPr>
              <w:pStyle w:val="1207"/>
              <w:jc w:val="both"/>
              <w:spacing w:before="0" w:after="0" w:line="360" w:lineRule="auto"/>
              <w:rPr>
                <w:rFonts w:hint="eastAsia" w:ascii="宋体" w:hAnsi="宋体" w:eastAsia="宋体" w:cs="宋体"/>
                <w:b w:val="0"/>
                <w:bCs w:val="0"/>
                <w:i w:val="0"/>
                <w:iCs w:val="0"/>
                <w:color w:val="auto"/>
                <w:sz w:val="21"/>
                <w:szCs w:val="21"/>
                <w:highlight w:val="none"/>
                <w:shd w:val="clear" w:color="auto" w:fill="auto"/>
                <w:lang w:eastAsia="zh-CN"/>
              </w:rPr>
            </w:pPr>
            <w:r>
              <w:rPr>
                <w:rFonts w:ascii="宋体" w:hAnsi="宋体" w:cs="宋体"/>
                <w:b w:val="0"/>
                <w:bCs w:val="0"/>
                <w:i w:val="0"/>
                <w:iCs w:val="0"/>
                <w:color w:val="auto"/>
                <w:sz w:val="21"/>
                <w:szCs w:val="21"/>
                <w:highlight w:val="none"/>
                <w:shd w:val="clear" w:color="auto" w:fill="auto"/>
              </w:rPr>
              <w:t xml:space="preserve">身份证号</w:t>
            </w:r>
            <w:r>
              <w:rPr>
                <w:rFonts w:hint="eastAsia" w:ascii="宋体" w:hAnsi="宋体" w:cs="宋体"/>
                <w:b w:val="0"/>
                <w:bCs w:val="0"/>
                <w:i w:val="0"/>
                <w:iCs w:val="0"/>
                <w:color w:val="auto"/>
                <w:sz w:val="21"/>
                <w:szCs w:val="21"/>
                <w:highlight w:val="none"/>
                <w:shd w:val="clear" w:color="auto" w:fill="auto"/>
              </w:rPr>
              <w:t xml:space="preserve">：</w:t>
            </w:r>
            <w:r>
              <w:rPr>
                <w:rFonts w:ascii="宋体" w:hAnsi="宋体" w:cs="宋体"/>
                <w:b w:val="0"/>
                <w:bCs w:val="0"/>
                <w:i w:val="0"/>
                <w:iCs w:val="0"/>
                <w:color w:val="auto"/>
                <w:sz w:val="21"/>
                <w:szCs w:val="21"/>
                <w:highlight w:val="none"/>
                <w:shd w:val="clear" w:color="auto" w:fill="auto"/>
              </w:rPr>
              <w:t xml:space="preserve">或者护照号、台胞证等</w:t>
            </w:r>
            <w:r>
              <w:rPr>
                <w:rFonts w:hint="eastAsia" w:ascii="宋体" w:hAnsi="宋体" w:cs="宋体"/>
                <w:b w:val="0"/>
                <w:bCs w:val="0"/>
                <w:i w:val="0"/>
                <w:iCs w:val="0"/>
                <w:color w:val="auto"/>
                <w:sz w:val="21"/>
                <w:szCs w:val="21"/>
                <w:highlight w:val="none"/>
                <w:shd w:val="clear" w:color="auto" w:fill="auto"/>
                <w:lang w:eastAsia="zh-CN"/>
              </w:rPr>
              <w:t xml:space="preserve">；</w:t>
            </w:r>
            <w:r/>
          </w:p>
          <w:p>
            <w:pPr>
              <w:pStyle w:val="1207"/>
              <w:jc w:val="both"/>
              <w:spacing w:before="0" w:after="0" w:line="360" w:lineRule="auto"/>
              <w:rPr>
                <w:rFonts w:hint="eastAsia" w:ascii="宋体" w:hAnsi="宋体" w:eastAsia="宋体" w:cs="宋体"/>
                <w:b w:val="0"/>
                <w:bCs w:val="0"/>
                <w:i w:val="0"/>
                <w:iCs w:val="0"/>
                <w:color w:val="auto"/>
                <w:sz w:val="21"/>
                <w:szCs w:val="21"/>
                <w:highlight w:val="none"/>
                <w:shd w:val="clear" w:color="auto" w:fill="auto"/>
                <w:lang w:eastAsia="zh-CN"/>
              </w:rPr>
            </w:pPr>
            <w:r>
              <w:rPr>
                <w:rFonts w:ascii="宋体" w:hAnsi="宋体" w:cs="宋体"/>
                <w:b w:val="0"/>
                <w:bCs w:val="0"/>
                <w:i w:val="0"/>
                <w:iCs w:val="0"/>
                <w:color w:val="auto"/>
                <w:sz w:val="21"/>
                <w:szCs w:val="21"/>
                <w:highlight w:val="none"/>
                <w:shd w:val="clear" w:color="auto" w:fill="auto"/>
              </w:rPr>
              <w:t xml:space="preserve">检查开始时间</w:t>
            </w:r>
            <w:r>
              <w:rPr>
                <w:rFonts w:hint="eastAsia" w:ascii="宋体" w:hAnsi="宋体" w:cs="宋体"/>
                <w:b w:val="0"/>
                <w:bCs w:val="0"/>
                <w:i w:val="0"/>
                <w:iCs w:val="0"/>
                <w:color w:val="auto"/>
                <w:sz w:val="21"/>
                <w:szCs w:val="21"/>
                <w:highlight w:val="none"/>
                <w:shd w:val="clear" w:color="auto" w:fill="auto"/>
              </w:rPr>
              <w:t xml:space="preserve">：</w:t>
            </w:r>
            <w:r>
              <w:rPr>
                <w:rFonts w:ascii="宋体" w:hAnsi="宋体" w:cs="宋体"/>
                <w:b w:val="0"/>
                <w:bCs w:val="0"/>
                <w:i w:val="0"/>
                <w:iCs w:val="0"/>
                <w:color w:val="auto"/>
                <w:sz w:val="21"/>
                <w:szCs w:val="21"/>
                <w:highlight w:val="none"/>
                <w:shd w:val="clear" w:color="auto" w:fill="auto"/>
              </w:rPr>
              <w:t xml:space="preserve">格式为 yyyyMM</w:t>
            </w:r>
            <w:r>
              <w:rPr>
                <w:rFonts w:hint="eastAsia" w:ascii="宋体" w:hAnsi="宋体" w:cs="宋体"/>
                <w:b w:val="0"/>
                <w:bCs w:val="0"/>
                <w:i w:val="0"/>
                <w:iCs w:val="0"/>
                <w:color w:val="auto"/>
                <w:sz w:val="21"/>
                <w:szCs w:val="21"/>
                <w:highlight w:val="none"/>
                <w:shd w:val="clear" w:color="auto" w:fill="auto"/>
                <w:lang w:eastAsia="zh-CN"/>
              </w:rPr>
              <w:t xml:space="preserve">；</w:t>
            </w:r>
            <w:r/>
          </w:p>
          <w:p>
            <w:pPr>
              <w:pStyle w:val="1207"/>
              <w:jc w:val="both"/>
              <w:spacing w:before="0" w:after="0" w:line="360" w:lineRule="auto"/>
              <w:rPr>
                <w:rFonts w:hint="eastAsia" w:ascii="宋体" w:hAnsi="宋体" w:eastAsia="宋体" w:cs="宋体"/>
                <w:b w:val="0"/>
                <w:bCs w:val="0"/>
                <w:i w:val="0"/>
                <w:iCs w:val="0"/>
                <w:color w:val="auto"/>
                <w:sz w:val="21"/>
                <w:szCs w:val="21"/>
                <w:highlight w:val="none"/>
                <w:shd w:val="clear" w:color="auto" w:fill="auto"/>
                <w:lang w:eastAsia="zh-CN"/>
              </w:rPr>
            </w:pPr>
            <w:r>
              <w:rPr>
                <w:rFonts w:ascii="宋体" w:hAnsi="宋体" w:cs="宋体"/>
                <w:b w:val="0"/>
                <w:bCs w:val="0"/>
                <w:i w:val="0"/>
                <w:iCs w:val="0"/>
                <w:color w:val="auto"/>
                <w:sz w:val="21"/>
                <w:szCs w:val="21"/>
                <w:highlight w:val="none"/>
                <w:shd w:val="clear" w:color="auto" w:fill="auto"/>
              </w:rPr>
              <w:t xml:space="preserve">检查结束时间</w:t>
            </w:r>
            <w:r>
              <w:rPr>
                <w:rFonts w:hint="eastAsia" w:ascii="宋体" w:hAnsi="宋体" w:cs="宋体"/>
                <w:b w:val="0"/>
                <w:bCs w:val="0"/>
                <w:i w:val="0"/>
                <w:iCs w:val="0"/>
                <w:color w:val="auto"/>
                <w:sz w:val="21"/>
                <w:szCs w:val="21"/>
                <w:highlight w:val="none"/>
                <w:shd w:val="clear" w:color="auto" w:fill="auto"/>
              </w:rPr>
              <w:t xml:space="preserve">：</w:t>
            </w:r>
            <w:r>
              <w:rPr>
                <w:rFonts w:ascii="宋体" w:hAnsi="宋体" w:cs="宋体"/>
                <w:b w:val="0"/>
                <w:bCs w:val="0"/>
                <w:i w:val="0"/>
                <w:iCs w:val="0"/>
                <w:color w:val="auto"/>
                <w:sz w:val="21"/>
                <w:szCs w:val="21"/>
                <w:highlight w:val="none"/>
                <w:shd w:val="clear" w:color="auto" w:fill="auto"/>
              </w:rPr>
              <w:t xml:space="preserve">格式为 yyyyMM</w:t>
            </w:r>
            <w:r>
              <w:rPr>
                <w:rFonts w:hint="eastAsia" w:ascii="宋体" w:hAnsi="宋体" w:cs="宋体"/>
                <w:b w:val="0"/>
                <w:bCs w:val="0"/>
                <w:i w:val="0"/>
                <w:iCs w:val="0"/>
                <w:color w:val="auto"/>
                <w:sz w:val="21"/>
                <w:szCs w:val="21"/>
                <w:highlight w:val="none"/>
                <w:shd w:val="clear" w:color="auto" w:fill="auto"/>
                <w:lang w:eastAsia="zh-CN"/>
              </w:rPr>
              <w:t xml:space="preserve">；</w:t>
            </w:r>
            <w:r/>
          </w:p>
          <w:p>
            <w:pPr>
              <w:pStyle w:val="1207"/>
              <w:jc w:val="both"/>
              <w:spacing w:before="0" w:after="0" w:line="360" w:lineRule="auto"/>
              <w:rPr>
                <w:rFonts w:hint="eastAsia" w:ascii="宋体" w:hAnsi="宋体" w:eastAsia="宋体" w:cs="宋体"/>
                <w:b w:val="0"/>
                <w:bCs w:val="0"/>
                <w:i w:val="0"/>
                <w:iCs w:val="0"/>
                <w:color w:val="auto"/>
                <w:sz w:val="21"/>
                <w:szCs w:val="21"/>
                <w:highlight w:val="none"/>
                <w:shd w:val="clear" w:color="auto" w:fill="auto"/>
                <w:lang w:eastAsia="zh-CN"/>
              </w:rPr>
            </w:pPr>
            <w:r>
              <w:rPr>
                <w:rFonts w:ascii="宋体" w:hAnsi="宋体" w:cs="宋体"/>
                <w:b w:val="0"/>
                <w:bCs w:val="0"/>
                <w:i w:val="0"/>
                <w:iCs w:val="0"/>
                <w:color w:val="auto"/>
                <w:sz w:val="21"/>
                <w:szCs w:val="21"/>
                <w:highlight w:val="none"/>
                <w:shd w:val="clear" w:color="auto" w:fill="auto"/>
              </w:rPr>
              <w:t xml:space="preserve">调用影像浏览服务的用户所在机构的组织机构代码</w:t>
            </w:r>
            <w:r>
              <w:rPr>
                <w:rFonts w:hint="eastAsia" w:ascii="宋体" w:hAnsi="宋体" w:cs="宋体"/>
                <w:b w:val="0"/>
                <w:bCs w:val="0"/>
                <w:i w:val="0"/>
                <w:iCs w:val="0"/>
                <w:color w:val="auto"/>
                <w:sz w:val="21"/>
                <w:szCs w:val="21"/>
                <w:highlight w:val="none"/>
                <w:shd w:val="clear" w:color="auto" w:fill="auto"/>
              </w:rPr>
              <w:t xml:space="preserve">：</w:t>
            </w:r>
            <w:r>
              <w:rPr>
                <w:rFonts w:ascii="宋体" w:hAnsi="宋体" w:cs="宋体"/>
                <w:b w:val="0"/>
                <w:bCs w:val="0"/>
                <w:i w:val="0"/>
                <w:iCs w:val="0"/>
                <w:color w:val="auto"/>
                <w:sz w:val="21"/>
                <w:szCs w:val="21"/>
                <w:highlight w:val="none"/>
                <w:shd w:val="clear" w:color="auto" w:fill="auto"/>
              </w:rPr>
              <w:t xml:space="preserve">由苏州市医疗健康大数据中心统一发布的机构信息代码 （即机构统一 社会信用代码）</w:t>
            </w:r>
            <w:r>
              <w:rPr>
                <w:rFonts w:hint="eastAsia" w:ascii="宋体" w:hAnsi="宋体" w:cs="宋体"/>
                <w:b w:val="0"/>
                <w:bCs w:val="0"/>
                <w:i w:val="0"/>
                <w:iCs w:val="0"/>
                <w:color w:val="auto"/>
                <w:sz w:val="21"/>
                <w:szCs w:val="21"/>
                <w:highlight w:val="none"/>
                <w:shd w:val="clear" w:color="auto" w:fill="auto"/>
                <w:lang w:eastAsia="zh-CN"/>
              </w:rPr>
              <w:t xml:space="preserve">；</w:t>
            </w:r>
            <w:r/>
          </w:p>
          <w:p>
            <w:pPr>
              <w:pStyle w:val="1207"/>
              <w:jc w:val="both"/>
              <w:spacing w:before="0" w:after="0" w:line="360" w:lineRule="auto"/>
              <w:rPr>
                <w:rFonts w:hint="eastAsia" w:ascii="宋体" w:hAnsi="宋体" w:eastAsia="宋体" w:cs="宋体"/>
                <w:b w:val="0"/>
                <w:bCs w:val="0"/>
                <w:i w:val="0"/>
                <w:iCs w:val="0"/>
                <w:color w:val="auto"/>
                <w:sz w:val="21"/>
                <w:szCs w:val="21"/>
                <w:highlight w:val="none"/>
                <w:shd w:val="clear" w:color="auto" w:fill="auto"/>
                <w:lang w:eastAsia="zh-CN"/>
              </w:rPr>
            </w:pPr>
            <w:r>
              <w:rPr>
                <w:rFonts w:ascii="宋体" w:hAnsi="宋体" w:cs="宋体"/>
                <w:b w:val="0"/>
                <w:bCs w:val="0"/>
                <w:i w:val="0"/>
                <w:iCs w:val="0"/>
                <w:color w:val="auto"/>
                <w:sz w:val="21"/>
                <w:szCs w:val="21"/>
                <w:highlight w:val="none"/>
                <w:shd w:val="clear" w:color="auto" w:fill="auto"/>
              </w:rPr>
              <w:t xml:space="preserve">申请访问医生姓名</w:t>
            </w:r>
            <w:r>
              <w:rPr>
                <w:rFonts w:hint="eastAsia" w:ascii="宋体" w:hAnsi="宋体" w:cs="宋体"/>
                <w:b w:val="0"/>
                <w:bCs w:val="0"/>
                <w:i w:val="0"/>
                <w:iCs w:val="0"/>
                <w:color w:val="auto"/>
                <w:sz w:val="21"/>
                <w:szCs w:val="21"/>
                <w:highlight w:val="none"/>
                <w:shd w:val="clear" w:color="auto" w:fill="auto"/>
                <w:lang w:eastAsia="zh-CN"/>
              </w:rPr>
              <w:t xml:space="preserve">；</w:t>
            </w:r>
            <w:r/>
          </w:p>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eastAsia="zh-CN"/>
              </w:rPr>
            </w:pPr>
            <w:r>
              <w:rPr>
                <w:rFonts w:ascii="宋体" w:hAnsi="宋体" w:cs="宋体"/>
                <w:b w:val="0"/>
                <w:bCs w:val="0"/>
                <w:i w:val="0"/>
                <w:iCs w:val="0"/>
                <w:color w:val="auto"/>
                <w:sz w:val="21"/>
                <w:szCs w:val="21"/>
                <w:highlight w:val="none"/>
                <w:shd w:val="clear" w:color="auto" w:fill="auto"/>
              </w:rPr>
              <w:t xml:space="preserve">申请访问医生工号</w:t>
            </w:r>
            <w:r>
              <w:rPr>
                <w:rFonts w:hint="eastAsia" w:ascii="宋体" w:hAnsi="宋体" w:cs="宋体"/>
                <w:b w:val="0"/>
                <w:bCs w:val="0"/>
                <w:i w:val="0"/>
                <w:iCs w:val="0"/>
                <w:color w:val="auto"/>
                <w:sz w:val="21"/>
                <w:szCs w:val="21"/>
                <w:highlight w:val="none"/>
                <w:shd w:val="clear" w:color="auto" w:fill="auto"/>
                <w:lang w:eastAsia="zh-CN"/>
              </w:rPr>
              <w:t xml:space="preserve">；</w:t>
            </w:r>
            <w:r/>
          </w:p>
          <w:p>
            <w:pPr>
              <w:pStyle w:val="1207"/>
              <w:jc w:val="both"/>
              <w:spacing w:before="0" w:after="0" w:line="360" w:lineRule="auto"/>
              <w:rPr>
                <w:rFonts w:hint="eastAsia" w:ascii="宋体" w:hAnsi="宋体" w:eastAsia="宋体" w:cs="宋体"/>
                <w:b w:val="0"/>
                <w:bCs w:val="0"/>
                <w:i w:val="0"/>
                <w:iCs w:val="0"/>
                <w:color w:val="auto"/>
                <w:sz w:val="21"/>
                <w:szCs w:val="21"/>
                <w:highlight w:val="none"/>
                <w:shd w:val="clear" w:color="auto" w:fill="auto"/>
                <w:lang w:eastAsia="zh-CN"/>
              </w:rPr>
            </w:pPr>
            <w:r>
              <w:rPr>
                <w:rFonts w:ascii="宋体" w:hAnsi="宋体" w:cs="宋体"/>
                <w:b w:val="0"/>
                <w:bCs w:val="0"/>
                <w:i w:val="0"/>
                <w:iCs w:val="0"/>
                <w:color w:val="auto"/>
                <w:sz w:val="21"/>
                <w:szCs w:val="21"/>
                <w:highlight w:val="none"/>
                <w:shd w:val="clear" w:color="auto" w:fill="auto"/>
              </w:rPr>
              <w:t xml:space="preserve">平台授权码</w:t>
            </w:r>
            <w:r>
              <w:rPr>
                <w:rFonts w:hint="eastAsia" w:ascii="宋体" w:hAnsi="宋体" w:cs="宋体"/>
                <w:b w:val="0"/>
                <w:bCs w:val="0"/>
                <w:i w:val="0"/>
                <w:iCs w:val="0"/>
                <w:color w:val="auto"/>
                <w:sz w:val="21"/>
                <w:szCs w:val="21"/>
                <w:highlight w:val="none"/>
                <w:shd w:val="clear" w:color="auto" w:fill="auto"/>
              </w:rPr>
              <w:t xml:space="preserve">：</w:t>
            </w:r>
            <w:r>
              <w:rPr>
                <w:rFonts w:ascii="宋体" w:hAnsi="宋体" w:cs="宋体"/>
                <w:b w:val="0"/>
                <w:bCs w:val="0"/>
                <w:i w:val="0"/>
                <w:iCs w:val="0"/>
                <w:color w:val="auto"/>
                <w:sz w:val="21"/>
                <w:szCs w:val="21"/>
                <w:highlight w:val="none"/>
                <w:shd w:val="clear" w:color="auto" w:fill="auto"/>
              </w:rPr>
              <w:t xml:space="preserve">由影像平台发布的授权码，请联系苏州市卫生计生统计信息中心获取</w:t>
            </w:r>
            <w:r>
              <w:rPr>
                <w:rFonts w:hint="eastAsia" w:ascii="宋体" w:hAnsi="宋体" w:cs="宋体"/>
                <w:b w:val="0"/>
                <w:bCs w:val="0"/>
                <w:i w:val="0"/>
                <w:iCs w:val="0"/>
                <w:color w:val="auto"/>
                <w:sz w:val="21"/>
                <w:szCs w:val="21"/>
                <w:highlight w:val="none"/>
                <w:shd w:val="clear" w:color="auto" w:fill="auto"/>
                <w:lang w:eastAsia="zh-CN"/>
              </w:rPr>
              <w:t xml:space="preserve">。</w:t>
            </w:r>
            <w:r/>
          </w:p>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ascii="宋体" w:hAnsi="宋体" w:cs="宋体"/>
                <w:b w:val="0"/>
                <w:bCs w:val="0"/>
                <w:i w:val="0"/>
                <w:iCs w:val="0"/>
                <w:color w:val="auto"/>
                <w:sz w:val="21"/>
                <w:szCs w:val="21"/>
                <w:highlight w:val="none"/>
                <w:shd w:val="clear" w:color="auto" w:fill="auto"/>
              </w:rPr>
              <w:t xml:space="preserve">访问时间戳</w:t>
            </w:r>
            <w:r>
              <w:rPr>
                <w:rFonts w:hint="eastAsia" w:ascii="宋体" w:hAnsi="宋体" w:cs="宋体"/>
                <w:b w:val="0"/>
                <w:bCs w:val="0"/>
                <w:i w:val="0"/>
                <w:iCs w:val="0"/>
                <w:color w:val="auto"/>
                <w:sz w:val="21"/>
                <w:szCs w:val="21"/>
                <w:highlight w:val="none"/>
                <w:shd w:val="clear" w:color="auto" w:fill="auto"/>
              </w:rPr>
              <w:t xml:space="preserve">：</w:t>
            </w:r>
            <w:r>
              <w:rPr>
                <w:rFonts w:ascii="宋体" w:hAnsi="宋体" w:cs="宋体"/>
                <w:b w:val="0"/>
                <w:bCs w:val="0"/>
                <w:i w:val="0"/>
                <w:iCs w:val="0"/>
                <w:color w:val="auto"/>
                <w:sz w:val="21"/>
                <w:szCs w:val="21"/>
                <w:highlight w:val="none"/>
                <w:shd w:val="clear" w:color="auto" w:fill="auto"/>
              </w:rPr>
              <w:t xml:space="preserve">格式为yyyyMM-dd HH:mm:ss</w:t>
            </w:r>
            <w:r>
              <w:rPr>
                <w:rFonts w:hint="eastAsia" w:ascii="宋体" w:hAnsi="宋体" w:cs="宋体"/>
                <w:b w:val="0"/>
                <w:bCs w:val="0"/>
                <w:i w:val="0"/>
                <w:iCs w:val="0"/>
                <w:color w:val="auto"/>
                <w:sz w:val="21"/>
                <w:szCs w:val="21"/>
                <w:highlight w:val="none"/>
                <w:shd w:val="clear" w:color="auto" w:fill="auto"/>
                <w:lang w:eastAsia="zh-CN"/>
              </w:rPr>
              <w:t xml:space="preserve">，</w:t>
            </w:r>
            <w:r>
              <w:rPr>
                <w:rFonts w:ascii="宋体" w:hAnsi="宋体" w:cs="宋体"/>
                <w:b w:val="0"/>
                <w:bCs w:val="0"/>
                <w:i w:val="0"/>
                <w:iCs w:val="0"/>
                <w:color w:val="auto"/>
                <w:sz w:val="21"/>
                <w:szCs w:val="21"/>
                <w:highlight w:val="none"/>
                <w:shd w:val="clear" w:color="auto" w:fill="auto"/>
              </w:rPr>
              <w:t xml:space="preserve">注意要使用24小时格式 时间戳验证：请求时加上客户端当前时间戳， 服务端对请求时间戳进行判 断，如超过15分钟，认定为重放攻击，请</w:t>
            </w:r>
            <w:r>
              <w:rPr>
                <w:rFonts w:hint="eastAsia" w:ascii="宋体" w:hAnsi="宋体" w:cs="宋体"/>
                <w:b w:val="0"/>
                <w:bCs w:val="0"/>
                <w:i w:val="0"/>
                <w:iCs w:val="0"/>
                <w:color w:val="auto"/>
                <w:sz w:val="21"/>
                <w:szCs w:val="21"/>
                <w:highlight w:val="none"/>
                <w:shd w:val="clear" w:color="auto" w:fill="auto"/>
              </w:rPr>
              <w:t xml:space="preserve">无效。</w:t>
            </w:r>
            <w:r/>
          </w:p>
        </w:tc>
      </w:tr>
      <w:tr>
        <w:trPr>
          <w:jc w:val="center"/>
        </w:trPr>
        <w:tc>
          <w:tcPr>
            <w:gridSpan w:val="2"/>
            <w:shd w:val="clear" w:color="auto" w:fill="auto"/>
            <w:tcW w:w="8472" w:type="dxa"/>
            <w:vAlign w:val="center"/>
            <w:textDirection w:val="lrTb"/>
            <w:noWrap w:val="false"/>
          </w:tcPr>
          <w:p>
            <w:pPr>
              <w:ind w:firstLine="0"/>
              <w:jc w:val="both"/>
              <w:widowControl/>
              <w:rPr>
                <w:rFonts w:hint="eastAsia" w:ascii="宋体" w:hAnsi="宋体" w:cs="宋体"/>
                <w:b w:val="0"/>
                <w:bCs w:val="0"/>
                <w:color w:val="auto"/>
                <w:szCs w:val="24"/>
                <w:highlight w:val="none"/>
                <w:shd w:val="clear" w:color="auto" w:fill="auto"/>
                <w:lang w:bidi="ar"/>
              </w:rPr>
            </w:pPr>
            <w:r>
              <w:rPr>
                <w:rFonts w:hint="eastAsia" w:ascii="宋体" w:hAnsi="宋体" w:cs="宋体"/>
                <w:b/>
                <w:bCs/>
                <w:color w:val="auto"/>
                <w:szCs w:val="24"/>
                <w:highlight w:val="none"/>
                <w:shd w:val="clear" w:color="auto" w:fill="auto"/>
                <w:lang w:val="en-US" w:eastAsia="zh-CN" w:bidi="ar"/>
              </w:rPr>
              <w:t xml:space="preserve">1.5</w:t>
            </w:r>
            <w:r>
              <w:rPr>
                <w:rFonts w:hint="eastAsia" w:ascii="宋体" w:hAnsi="宋体" w:cs="宋体"/>
                <w:b/>
                <w:bCs/>
                <w:color w:val="auto"/>
                <w:szCs w:val="24"/>
                <w:highlight w:val="none"/>
                <w:shd w:val="clear" w:color="auto" w:fill="auto"/>
                <w:lang w:bidi="ar"/>
              </w:rPr>
              <w:t xml:space="preserve">资源管理平台服务</w:t>
            </w:r>
            <w:r/>
          </w:p>
        </w:tc>
      </w:tr>
      <w:tr>
        <w:trPr>
          <w:jc w:val="center"/>
        </w:trPr>
        <w:tc>
          <w:tcPr>
            <w:shd w:val="clear" w:color="auto" w:fill="auto"/>
            <w:tcW w:w="1809" w:type="dxa"/>
            <w:vAlign w:val="center"/>
            <w:textDirection w:val="lrTb"/>
            <w:noWrap w:val="false"/>
          </w:tcPr>
          <w:p>
            <w:pPr>
              <w:ind w:firstLine="0"/>
              <w:jc w:val="both"/>
              <w:rPr>
                <w:rFonts w:hint="eastAsia" w:ascii="宋体" w:hAnsi="宋体" w:cs="宋体"/>
                <w:b w:val="0"/>
                <w:bCs w:val="0"/>
                <w:color w:val="auto"/>
                <w:szCs w:val="24"/>
                <w:highlight w:val="none"/>
                <w:shd w:val="clear" w:color="auto" w:fill="auto"/>
                <w:lang w:bidi="ar"/>
              </w:rPr>
            </w:pPr>
            <w:r>
              <w:rPr>
                <w:rFonts w:hint="eastAsia" w:ascii="宋体" w:hAnsi="宋体"/>
                <w:b w:val="0"/>
                <w:bCs w:val="0"/>
                <w:color w:val="auto"/>
                <w:szCs w:val="24"/>
                <w:highlight w:val="none"/>
                <w:shd w:val="clear" w:color="auto" w:fill="auto"/>
              </w:rPr>
              <w:t xml:space="preserve">工作内容</w:t>
            </w:r>
            <w:r/>
          </w:p>
        </w:tc>
        <w:tc>
          <w:tcPr>
            <w:shd w:val="clear" w:color="auto" w:fill="auto"/>
            <w:tcW w:w="6663" w:type="dxa"/>
            <w:vAlign w:val="center"/>
            <w:textDirection w:val="lrTb"/>
            <w:noWrap w:val="false"/>
          </w:tcPr>
          <w:p>
            <w:pPr>
              <w:ind w:firstLine="0"/>
              <w:jc w:val="both"/>
              <w:rPr>
                <w:rFonts w:hint="eastAsia" w:ascii="宋体" w:hAnsi="宋体" w:cs="宋体"/>
                <w:b w:val="0"/>
                <w:bCs w:val="0"/>
                <w:color w:val="auto"/>
                <w:szCs w:val="24"/>
                <w:highlight w:val="none"/>
                <w:shd w:val="clear" w:color="auto" w:fill="auto"/>
                <w:lang w:bidi="ar"/>
              </w:rPr>
            </w:pPr>
            <w:r>
              <w:rPr>
                <w:rFonts w:hint="eastAsia" w:ascii="宋体" w:hAnsi="宋体"/>
                <w:b w:val="0"/>
                <w:bCs w:val="0"/>
                <w:color w:val="auto"/>
                <w:szCs w:val="24"/>
                <w:highlight w:val="none"/>
                <w:shd w:val="clear" w:color="auto" w:fill="auto"/>
              </w:rPr>
              <w:t xml:space="preserve">工作产出</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软件改正性维护</w:t>
            </w:r>
            <w:r/>
          </w:p>
        </w:tc>
        <w:tc>
          <w:tcPr>
            <w:shd w:val="clear" w:color="auto" w:fill="auto"/>
            <w:tcW w:w="6663" w:type="dxa"/>
            <w:vAlign w:val="center"/>
            <w:textDirection w:val="lrTb"/>
            <w:noWrap w:val="false"/>
          </w:tcPr>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上转表单增加现住址和户籍地；</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双向转诊增加brid和jzxh两个字段；</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增加江苏省互联互通评测功能；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修复双向转诊调用接口报错时没有任何提示的问题；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修复emrview和ehrview头部图片宽度过大导致按钮或文字看不到的问题；</w:t>
            </w:r>
            <w:r/>
          </w:p>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b w:val="0"/>
                <w:bCs w:val="0"/>
                <w:i w:val="0"/>
                <w:iCs w:val="0"/>
                <w:color w:val="auto"/>
                <w:sz w:val="21"/>
                <w:szCs w:val="21"/>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系统调整和数据处理</w:t>
            </w:r>
            <w:r/>
          </w:p>
        </w:tc>
        <w:tc>
          <w:tcPr>
            <w:shd w:val="clear" w:color="auto" w:fill="auto"/>
            <w:tcW w:w="6663" w:type="dxa"/>
            <w:vAlign w:val="center"/>
            <w:textDirection w:val="lrTb"/>
            <w:noWrap w:val="false"/>
          </w:tcPr>
          <w:p>
            <w:pPr>
              <w:pStyle w:val="1207"/>
              <w:jc w:val="both"/>
              <w:spacing w:before="0" w:after="0" w:line="360" w:lineRule="auto"/>
              <w:rPr>
                <w:rFonts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针对用户职能改变，提供相应的系统调整和数据处理服务</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重构批量打印；</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链接协同平台增加慢阻肺报卡；</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个人档案列表增加疑似死亡查询（匹配公安和民政死亡数据）；</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增加江苏省健康档案浏览器调阅；</w:t>
            </w:r>
            <w:r/>
          </w:p>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b w:val="0"/>
                <w:bCs w:val="0"/>
                <w:i w:val="0"/>
                <w:iCs w:val="0"/>
                <w:color w:val="auto"/>
                <w:sz w:val="21"/>
                <w:szCs w:val="21"/>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系统运行可靠性</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针对系统存在的不安全因素，增加软件系统运行的可靠性，防患于未然而进行的相关维护服务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系统现场巡检</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提供定期的用户现场巡检、例行检测和应用软件整体优化活动</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应急突发问题处理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针对特殊性业务、临时性统计、历史数据错误排查、年度参数设置、突发事件处理等临时性问题进行维护服务。</w:t>
            </w:r>
            <w:r/>
          </w:p>
        </w:tc>
      </w:tr>
      <w:tr>
        <w:trPr>
          <w:jc w:val="center"/>
        </w:trPr>
        <w:tc>
          <w:tcPr>
            <w:shd w:val="clear" w:color="auto" w:fill="auto"/>
            <w:tcW w:w="1809" w:type="dxa"/>
            <w:vAlign w:val="center"/>
            <w:vMerge w:val="restart"/>
            <w:textDirection w:val="lrTb"/>
            <w:noWrap w:val="false"/>
          </w:tcPr>
          <w:p>
            <w:pPr>
              <w:ind w:firstLine="0"/>
              <w:jc w:val="both"/>
              <w:widowControl/>
              <w:rPr>
                <w:rFonts w:hint="eastAsia"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t xml:space="preserve">苏州12320接口服务</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预约接口维护</w:t>
            </w:r>
            <w:r/>
          </w:p>
        </w:tc>
      </w:tr>
      <w:tr>
        <w:trPr>
          <w:jc w:val="center"/>
        </w:trPr>
        <w:tc>
          <w:tcPr>
            <w:shd w:val="clear" w:color="auto" w:fill="auto"/>
            <w:tcW w:w="1809" w:type="dxa"/>
            <w:vAlign w:val="center"/>
            <w:vMerge w:val="continue"/>
            <w:textDirection w:val="lrTb"/>
            <w:noWrap w:val="false"/>
          </w:tcPr>
          <w:p>
            <w:pPr>
              <w:ind w:firstLine="0"/>
              <w:jc w:val="both"/>
              <w:widowControl/>
              <w:rPr>
                <w:rFonts w:hint="eastAsia"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取号接口维护</w:t>
            </w:r>
            <w:r/>
          </w:p>
        </w:tc>
      </w:tr>
      <w:tr>
        <w:trPr>
          <w:jc w:val="center"/>
        </w:trPr>
        <w:tc>
          <w:tcPr>
            <w:shd w:val="clear" w:color="auto" w:fill="auto"/>
            <w:tcW w:w="1809" w:type="dxa"/>
            <w:vAlign w:val="center"/>
            <w:vMerge w:val="continue"/>
            <w:textDirection w:val="lrTb"/>
            <w:noWrap w:val="false"/>
          </w:tcPr>
          <w:p>
            <w:pPr>
              <w:ind w:firstLine="0"/>
              <w:jc w:val="both"/>
              <w:widowControl/>
              <w:rPr>
                <w:rFonts w:hint="eastAsia"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号源查询接口维护</w:t>
            </w:r>
            <w:r/>
          </w:p>
        </w:tc>
      </w:tr>
      <w:tr>
        <w:trPr>
          <w:jc w:val="center"/>
        </w:trPr>
        <w:tc>
          <w:tcPr>
            <w:shd w:val="clear" w:color="auto" w:fill="auto"/>
            <w:tcW w:w="1809" w:type="dxa"/>
            <w:vAlign w:val="center"/>
            <w:vMerge w:val="continue"/>
            <w:textDirection w:val="lrTb"/>
            <w:noWrap w:val="false"/>
          </w:tcPr>
          <w:p>
            <w:pPr>
              <w:ind w:firstLine="0"/>
              <w:jc w:val="both"/>
              <w:widowControl/>
              <w:rPr>
                <w:rFonts w:hint="eastAsia"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医生排班接口维护</w:t>
            </w:r>
            <w:r/>
          </w:p>
        </w:tc>
      </w:tr>
      <w:tr>
        <w:trPr>
          <w:jc w:val="center"/>
        </w:trPr>
        <w:tc>
          <w:tcPr>
            <w:shd w:val="clear" w:color="auto" w:fill="auto"/>
            <w:tcW w:w="1809" w:type="dxa"/>
            <w:vAlign w:val="center"/>
            <w:vMerge w:val="continue"/>
            <w:textDirection w:val="lrTb"/>
            <w:noWrap w:val="false"/>
          </w:tcPr>
          <w:p>
            <w:pPr>
              <w:ind w:firstLine="0"/>
              <w:jc w:val="both"/>
              <w:widowControl/>
              <w:rPr>
                <w:rFonts w:hint="eastAsia" w:ascii="宋体" w:hAnsi="宋体" w:cs="宋体"/>
                <w:b w:val="0"/>
                <w:bCs w:val="0"/>
                <w:color w:val="auto"/>
                <w:szCs w:val="24"/>
                <w:highlight w:val="none"/>
                <w:shd w:val="clear" w:color="auto" w:fill="auto"/>
                <w:lang w:bidi="ar"/>
              </w:rPr>
            </w:pPr>
            <w:r>
              <w:rPr>
                <w:rFonts w:hint="eastAsia" w:ascii="宋体" w:hAnsi="宋体" w:cs="宋体"/>
                <w:b w:val="0"/>
                <w:bCs w:val="0"/>
                <w:color w:val="auto"/>
                <w:szCs w:val="24"/>
                <w:highlight w:val="none"/>
                <w:shd w:val="clear" w:color="auto" w:fill="auto"/>
                <w:lang w:bidi="ar"/>
              </w:rPr>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号源同步接口维护</w:t>
            </w:r>
            <w:r/>
          </w:p>
        </w:tc>
      </w:tr>
      <w:tr>
        <w:trPr>
          <w:jc w:val="center"/>
        </w:trPr>
        <w:tc>
          <w:tcPr>
            <w:gridSpan w:val="2"/>
            <w:shd w:val="clear" w:color="auto" w:fill="auto"/>
            <w:tcW w:w="8472" w:type="dxa"/>
            <w:vAlign w:val="center"/>
            <w:textDirection w:val="lrTb"/>
            <w:noWrap w:val="false"/>
          </w:tcPr>
          <w:p>
            <w:pPr>
              <w:ind w:firstLine="0"/>
              <w:jc w:val="both"/>
              <w:widowControl/>
              <w:rPr>
                <w:rFonts w:hint="eastAsia" w:ascii="宋体" w:hAnsi="宋体" w:cs="宋体"/>
                <w:b w:val="0"/>
                <w:bCs w:val="0"/>
                <w:color w:val="auto"/>
                <w:szCs w:val="24"/>
                <w:highlight w:val="none"/>
                <w:shd w:val="clear" w:color="auto" w:fill="auto"/>
                <w:lang w:bidi="ar"/>
              </w:rPr>
            </w:pPr>
            <w:r/>
            <w:bookmarkStart w:id="40" w:name="_Toc210924377"/>
            <w:r>
              <w:rPr>
                <w:rFonts w:hint="eastAsia"/>
                <w:b/>
                <w:bCs/>
                <w:color w:val="auto"/>
                <w:highlight w:val="none"/>
                <w:shd w:val="clear" w:color="auto" w:fill="auto"/>
                <w:lang w:val="en-US" w:eastAsia="zh-CN"/>
              </w:rPr>
              <w:t xml:space="preserve">1.6</w:t>
            </w:r>
            <w:r>
              <w:rPr>
                <w:rFonts w:hint="eastAsia"/>
                <w:b/>
                <w:bCs/>
                <w:color w:val="auto"/>
                <w:highlight w:val="none"/>
                <w:shd w:val="clear" w:color="auto" w:fill="auto"/>
              </w:rPr>
              <w:t xml:space="preserve">自助机自助服务</w:t>
            </w:r>
            <w:bookmarkEnd w:id="40"/>
            <w:r/>
            <w:r/>
          </w:p>
        </w:tc>
      </w:tr>
      <w:tr>
        <w:trPr>
          <w:jc w:val="center"/>
        </w:trPr>
        <w:tc>
          <w:tcPr>
            <w:shd w:val="clear" w:color="auto" w:fill="auto"/>
            <w:tcW w:w="1809" w:type="dxa"/>
            <w:vAlign w:val="center"/>
            <w:textDirection w:val="lrTb"/>
            <w:noWrap w:val="false"/>
          </w:tcPr>
          <w:p>
            <w:pPr>
              <w:ind w:firstLine="0"/>
              <w:jc w:val="both"/>
              <w:rPr>
                <w:rFonts w:hint="eastAsia" w:ascii="宋体" w:hAnsi="宋体" w:cs="宋体"/>
                <w:b w:val="0"/>
                <w:bCs w:val="0"/>
                <w:color w:val="auto"/>
                <w:szCs w:val="24"/>
                <w:highlight w:val="none"/>
                <w:shd w:val="clear" w:color="auto" w:fill="auto"/>
                <w:lang w:bidi="ar"/>
              </w:rPr>
            </w:pPr>
            <w:r>
              <w:rPr>
                <w:rFonts w:hint="eastAsia" w:ascii="宋体" w:hAnsi="宋体"/>
                <w:b w:val="0"/>
                <w:bCs w:val="0"/>
                <w:color w:val="auto"/>
                <w:szCs w:val="24"/>
                <w:highlight w:val="none"/>
                <w:shd w:val="clear" w:color="auto" w:fill="auto"/>
              </w:rPr>
              <w:t xml:space="preserve">工作内容</w:t>
            </w:r>
            <w:r/>
          </w:p>
        </w:tc>
        <w:tc>
          <w:tcPr>
            <w:shd w:val="clear" w:color="auto" w:fill="auto"/>
            <w:tcW w:w="6663" w:type="dxa"/>
            <w:vAlign w:val="center"/>
            <w:textDirection w:val="lrTb"/>
            <w:noWrap w:val="false"/>
          </w:tcPr>
          <w:p>
            <w:pPr>
              <w:ind w:firstLine="0"/>
              <w:jc w:val="both"/>
              <w:rPr>
                <w:rFonts w:hint="eastAsia" w:ascii="宋体" w:hAnsi="宋体" w:cs="宋体"/>
                <w:b w:val="0"/>
                <w:bCs w:val="0"/>
                <w:color w:val="auto"/>
                <w:szCs w:val="24"/>
                <w:highlight w:val="none"/>
                <w:shd w:val="clear" w:color="auto" w:fill="auto"/>
                <w:lang w:bidi="ar"/>
              </w:rPr>
            </w:pPr>
            <w:r>
              <w:rPr>
                <w:rFonts w:hint="eastAsia" w:ascii="宋体" w:hAnsi="宋体"/>
                <w:b w:val="0"/>
                <w:bCs w:val="0"/>
                <w:color w:val="auto"/>
                <w:szCs w:val="24"/>
                <w:highlight w:val="none"/>
                <w:shd w:val="clear" w:color="auto" w:fill="auto"/>
              </w:rPr>
              <w:t xml:space="preserve">工作产出</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软件改正性维护</w:t>
            </w:r>
            <w:r/>
          </w:p>
        </w:tc>
        <w:tc>
          <w:tcPr>
            <w:shd w:val="clear" w:color="auto" w:fill="auto"/>
            <w:tcW w:w="6663" w:type="dxa"/>
            <w:vAlign w:val="center"/>
            <w:textDirection w:val="lrTb"/>
            <w:noWrap w:val="false"/>
          </w:tcPr>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修复扫码付对账自助机部分不对照的问题；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挂号科室维护增加自助机标志；</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窗口取号不再区分上下午号源，统一改成取候诊时间大于当前时间的号，同自助机取号；</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修复自助机疫苗收费套餐维护功能；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修复同里自助发药机接口；</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修复自助机服务（同里排队叫号及挂号数据初始化服务）；</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修复自助建档服务；</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修复自助机建档身份证效验不通过问题；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修复自助机增加病人档案问题；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修复自助机新增档案服务问题；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修复自助机电子发票上传接口；</w:t>
            </w:r>
            <w:r/>
          </w:p>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b w:val="0"/>
                <w:bCs w:val="0"/>
                <w:i w:val="0"/>
                <w:iCs w:val="0"/>
                <w:color w:val="auto"/>
                <w:sz w:val="21"/>
                <w:szCs w:val="21"/>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系统运行可靠性</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针对系统存在的不安全因素，增加软件系统运行的可靠性，防患于未然而进行的相关维护服务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系统现场巡检</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提供定期的用户现场巡检、例行检测和应用软件整体优化活动</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应急突发问题处理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针对特殊性业务、临时性统计、历史数据错误排查、年度参数设置、突发事件处理等临时性问题进行维护服务。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color w:val="auto"/>
                <w:sz w:val="21"/>
                <w:szCs w:val="21"/>
                <w:highlight w:val="none"/>
                <w:shd w:val="clear" w:color="auto" w:fill="auto"/>
              </w:rPr>
              <w:t xml:space="preserve">国家医保接口日常运维</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color w:val="auto"/>
                <w:sz w:val="21"/>
                <w:szCs w:val="21"/>
                <w:highlight w:val="none"/>
                <w:shd w:val="clear" w:color="auto" w:fill="auto"/>
                <w:lang w:bidi="ar"/>
              </w:rPr>
            </w:pPr>
            <w:r>
              <w:rPr>
                <w:rFonts w:hint="eastAsia" w:ascii="宋体" w:hAnsi="宋体" w:cs="宋体"/>
                <w:b w:val="0"/>
                <w:bCs w:val="0"/>
                <w:i w:val="0"/>
                <w:iCs w:val="0"/>
                <w:color w:val="auto"/>
                <w:sz w:val="21"/>
                <w:szCs w:val="21"/>
                <w:highlight w:val="none"/>
                <w:shd w:val="clear" w:color="auto" w:fill="auto"/>
              </w:rPr>
              <w:t xml:space="preserve">保障已对接的国家医保接口正常运行。</w:t>
            </w:r>
            <w:r/>
          </w:p>
        </w:tc>
      </w:tr>
      <w:tr>
        <w:trPr>
          <w:jc w:val="center"/>
        </w:trPr>
        <w:tc>
          <w:tcPr>
            <w:gridSpan w:val="2"/>
            <w:shd w:val="clear" w:color="auto" w:fill="auto"/>
            <w:tcW w:w="8472"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bCs/>
                <w:i w:val="0"/>
                <w:iCs w:val="0"/>
                <w:color w:val="auto"/>
                <w:sz w:val="21"/>
                <w:szCs w:val="21"/>
                <w:highlight w:val="none"/>
                <w:shd w:val="clear" w:color="auto" w:fill="auto"/>
                <w:lang w:val="en-US" w:eastAsia="zh-CN"/>
              </w:rPr>
              <w:t xml:space="preserve">1.7</w:t>
            </w:r>
            <w:r>
              <w:rPr>
                <w:rFonts w:hint="eastAsia" w:ascii="宋体" w:hAnsi="宋体" w:cs="宋体"/>
                <w:b/>
                <w:bCs/>
                <w:i w:val="0"/>
                <w:iCs w:val="0"/>
                <w:color w:val="auto"/>
                <w:sz w:val="21"/>
                <w:szCs w:val="21"/>
                <w:highlight w:val="none"/>
                <w:shd w:val="clear" w:color="auto" w:fill="auto"/>
              </w:rPr>
              <w:t xml:space="preserve">区域检验及临检中心服务</w:t>
            </w:r>
            <w:r/>
          </w:p>
        </w:tc>
      </w:tr>
      <w:tr>
        <w:trPr>
          <w:jc w:val="center"/>
        </w:trPr>
        <w:tc>
          <w:tcPr>
            <w:shd w:val="clear" w:color="auto" w:fill="auto"/>
            <w:tcW w:w="1809" w:type="dxa"/>
            <w:vAlign w:val="center"/>
            <w:textDirection w:val="lrTb"/>
            <w:noWrap w:val="false"/>
          </w:tcPr>
          <w:p>
            <w:pPr>
              <w:ind w:firstLine="0"/>
              <w:jc w:val="both"/>
              <w:rPr>
                <w:rFonts w:hint="eastAsia" w:ascii="宋体" w:hAnsi="宋体" w:cs="宋体"/>
                <w:b w:val="0"/>
                <w:bCs w:val="0"/>
                <w:color w:val="auto"/>
                <w:sz w:val="21"/>
                <w:szCs w:val="21"/>
                <w:highlight w:val="none"/>
                <w:shd w:val="clear" w:color="auto" w:fill="auto"/>
              </w:rPr>
            </w:pPr>
            <w:r>
              <w:rPr>
                <w:rFonts w:hint="eastAsia" w:ascii="宋体" w:hAnsi="宋体"/>
                <w:b w:val="0"/>
                <w:bCs w:val="0"/>
                <w:color w:val="auto"/>
                <w:szCs w:val="24"/>
                <w:highlight w:val="none"/>
                <w:shd w:val="clear" w:color="auto" w:fill="auto"/>
              </w:rPr>
              <w:t xml:space="preserve">工作内容</w:t>
            </w:r>
            <w:r/>
          </w:p>
        </w:tc>
        <w:tc>
          <w:tcPr>
            <w:shd w:val="clear" w:color="auto" w:fill="auto"/>
            <w:tcW w:w="6663" w:type="dxa"/>
            <w:vAlign w:val="center"/>
            <w:textDirection w:val="lrTb"/>
            <w:noWrap w:val="false"/>
          </w:tcPr>
          <w:p>
            <w:pPr>
              <w:ind w:firstLine="0"/>
              <w:jc w:val="both"/>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b w:val="0"/>
                <w:bCs w:val="0"/>
                <w:color w:val="auto"/>
                <w:szCs w:val="24"/>
                <w:highlight w:val="none"/>
                <w:shd w:val="clear" w:color="auto" w:fill="auto"/>
              </w:rPr>
              <w:t xml:space="preserve">工作产出</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软件改正性维护</w:t>
            </w:r>
            <w:r/>
          </w:p>
        </w:tc>
        <w:tc>
          <w:tcPr>
            <w:shd w:val="clear" w:color="auto" w:fill="auto"/>
            <w:tcW w:w="6663" w:type="dxa"/>
            <w:vAlign w:val="center"/>
            <w:textDirection w:val="lrTb"/>
            <w:noWrap w:val="false"/>
          </w:tcPr>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修复检验开单偶尔出现费用没记上的问题；</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修复检验开单附加费用问题；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修复住院检验检查病理计费费用科室为空的问题；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修复健康体检打印增加检验异常箭头显示；</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修复检验调用his诊断不对的问题；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修复住院检验报告查询增加同时显示该病人门诊报告；</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修复检验开单自动添加试管费用作废后无法自动删除；</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修复打开检验报告查询不对的问题；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修复检验开单孕产妇减免功能；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重写重复用药重复检验检查校验接口；</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修复门诊医生站增加长三角一体化检验检查互认功能；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修复检验检查病理费用计账时住院号和医嘱号为空的问题；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修复检验开单接口增加ztbh的报错；</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修复药品、检验和检查重复提醒功能；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修复门诊检验危急值出现在住院模块中的问题；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修复检验报告签名去除多余图片字符；</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修复检验接口增加CA签名接口；</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病区项目提交过滤掉医生开的检验单和检查单； </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修复病区检验单重复计费的问题；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修复住院检验计费接口增加事务控制；</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检验检查接口增加日志输出； </w:t>
            </w:r>
            <w:r/>
          </w:p>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b w:val="0"/>
                <w:bCs w:val="0"/>
                <w:i w:val="0"/>
                <w:iCs w:val="0"/>
                <w:color w:val="auto"/>
                <w:sz w:val="21"/>
                <w:szCs w:val="21"/>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系统调整和数据处理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cs="宋体"/>
                <w:b w:val="0"/>
                <w:bCs w:val="0"/>
                <w:i w:val="0"/>
                <w:iCs w:val="0"/>
                <w:color w:val="auto"/>
                <w:sz w:val="21"/>
                <w:szCs w:val="21"/>
                <w:highlight w:val="none"/>
                <w:shd w:val="clear" w:color="auto" w:fill="auto"/>
              </w:rPr>
              <w:t xml:space="preserve">针对用户职能改变，提供相应的系统调整和数据处理服务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系统运行可靠性</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cs="宋体"/>
                <w:b w:val="0"/>
                <w:bCs w:val="0"/>
                <w:i w:val="0"/>
                <w:iCs w:val="0"/>
                <w:color w:val="auto"/>
                <w:sz w:val="21"/>
                <w:szCs w:val="21"/>
                <w:highlight w:val="none"/>
                <w:shd w:val="clear" w:color="auto" w:fill="auto"/>
              </w:rPr>
              <w:t xml:space="preserve">针对系统存在的不安全因素，增加软件系统运行的可靠性，防患于未然而进行的相关维护服务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系统现场巡检</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cs="宋体"/>
                <w:b w:val="0"/>
                <w:bCs w:val="0"/>
                <w:i w:val="0"/>
                <w:iCs w:val="0"/>
                <w:color w:val="auto"/>
                <w:sz w:val="21"/>
                <w:szCs w:val="21"/>
                <w:highlight w:val="none"/>
                <w:shd w:val="clear" w:color="auto" w:fill="auto"/>
              </w:rPr>
              <w:t xml:space="preserve">提供定期的用户现场巡检、例行检测和应用软件整体优化活动</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应急突发问题处理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cs="宋体"/>
                <w:b w:val="0"/>
                <w:bCs w:val="0"/>
                <w:i w:val="0"/>
                <w:iCs w:val="0"/>
                <w:color w:val="auto"/>
                <w:sz w:val="21"/>
                <w:szCs w:val="21"/>
                <w:highlight w:val="none"/>
                <w:shd w:val="clear" w:color="auto" w:fill="auto"/>
              </w:rPr>
              <w:t xml:space="preserve">针对特殊性业务、临时性统计、历史数据错误排查、年度参数设置、突发事件处理等临时性问题进行维护服务。</w:t>
            </w:r>
            <w:r/>
          </w:p>
        </w:tc>
      </w:tr>
      <w:tr>
        <w:trPr>
          <w:jc w:val="center"/>
        </w:trPr>
        <w:tc>
          <w:tcPr>
            <w:gridSpan w:val="2"/>
            <w:shd w:val="clear" w:color="auto" w:fill="auto"/>
            <w:tcW w:w="8472"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bCs/>
                <w:i w:val="0"/>
                <w:iCs w:val="0"/>
                <w:color w:val="auto"/>
                <w:sz w:val="21"/>
                <w:szCs w:val="21"/>
                <w:highlight w:val="none"/>
                <w:shd w:val="clear" w:color="auto" w:fill="auto"/>
                <w:lang w:val="en-US" w:eastAsia="zh-CN"/>
              </w:rPr>
              <w:t xml:space="preserve">1.8 </w:t>
            </w:r>
            <w:r>
              <w:rPr>
                <w:rFonts w:hint="eastAsia" w:ascii="宋体" w:hAnsi="宋体" w:cs="宋体"/>
                <w:b/>
                <w:bCs/>
                <w:i w:val="0"/>
                <w:iCs w:val="0"/>
                <w:color w:val="auto"/>
                <w:sz w:val="21"/>
                <w:szCs w:val="21"/>
                <w:highlight w:val="none"/>
                <w:shd w:val="clear" w:color="auto" w:fill="auto"/>
              </w:rPr>
              <w:t xml:space="preserve">MDT多学科远程会诊服务</w:t>
            </w:r>
            <w:r/>
          </w:p>
        </w:tc>
      </w:tr>
      <w:tr>
        <w:trPr>
          <w:jc w:val="center"/>
        </w:trPr>
        <w:tc>
          <w:tcPr>
            <w:shd w:val="clear" w:color="auto" w:fill="auto"/>
            <w:tcW w:w="1809" w:type="dxa"/>
            <w:vAlign w:val="center"/>
            <w:textDirection w:val="lrTb"/>
            <w:noWrap w:val="false"/>
          </w:tcPr>
          <w:p>
            <w:pPr>
              <w:ind w:firstLine="0"/>
              <w:jc w:val="both"/>
              <w:rPr>
                <w:rFonts w:hint="eastAsia" w:ascii="宋体" w:hAnsi="宋体" w:cs="宋体"/>
                <w:b w:val="0"/>
                <w:bCs w:val="0"/>
                <w:color w:val="auto"/>
                <w:sz w:val="21"/>
                <w:szCs w:val="21"/>
                <w:highlight w:val="none"/>
                <w:shd w:val="clear" w:color="auto" w:fill="auto"/>
              </w:rPr>
            </w:pPr>
            <w:r>
              <w:rPr>
                <w:rFonts w:hint="eastAsia" w:ascii="宋体" w:hAnsi="宋体"/>
                <w:b w:val="0"/>
                <w:bCs w:val="0"/>
                <w:color w:val="auto"/>
                <w:szCs w:val="24"/>
                <w:highlight w:val="none"/>
                <w:shd w:val="clear" w:color="auto" w:fill="auto"/>
              </w:rPr>
              <w:t xml:space="preserve">工作内容</w:t>
            </w:r>
            <w:r/>
          </w:p>
        </w:tc>
        <w:tc>
          <w:tcPr>
            <w:shd w:val="clear" w:color="auto" w:fill="auto"/>
            <w:tcW w:w="6663" w:type="dxa"/>
            <w:vAlign w:val="center"/>
            <w:textDirection w:val="lrTb"/>
            <w:noWrap w:val="false"/>
          </w:tcPr>
          <w:p>
            <w:pPr>
              <w:ind w:firstLine="0"/>
              <w:jc w:val="both"/>
              <w:rPr>
                <w:rFonts w:hint="eastAsia" w:ascii="宋体" w:hAnsi="宋体" w:cs="宋体"/>
                <w:b w:val="0"/>
                <w:bCs w:val="0"/>
                <w:i w:val="0"/>
                <w:iCs w:val="0"/>
                <w:color w:val="auto"/>
                <w:sz w:val="21"/>
                <w:szCs w:val="21"/>
                <w:highlight w:val="none"/>
                <w:shd w:val="clear" w:color="auto" w:fill="auto"/>
              </w:rPr>
            </w:pPr>
            <w:r>
              <w:rPr>
                <w:rFonts w:hint="eastAsia" w:ascii="宋体" w:hAnsi="宋体"/>
                <w:b w:val="0"/>
                <w:bCs w:val="0"/>
                <w:color w:val="auto"/>
                <w:szCs w:val="24"/>
                <w:highlight w:val="none"/>
                <w:shd w:val="clear" w:color="auto" w:fill="auto"/>
              </w:rPr>
              <w:t xml:space="preserve">工作产出</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软件改正性维护</w:t>
            </w:r>
            <w:r/>
          </w:p>
        </w:tc>
        <w:tc>
          <w:tcPr>
            <w:shd w:val="clear" w:color="auto" w:fill="auto"/>
            <w:tcW w:w="6663" w:type="dxa"/>
            <w:vAlign w:val="center"/>
            <w:textDirection w:val="lrTb"/>
            <w:noWrap w:val="false"/>
          </w:tcPr>
          <w:p>
            <w:pPr>
              <w:pStyle w:val="1207"/>
              <w:jc w:val="both"/>
              <w:spacing w:before="0" w:after="0" w:line="360" w:lineRule="auto"/>
              <w:rPr>
                <w:rFonts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通过电话、网络等多种渠道，支持各项信息业务（系统运行、数据报错等等），当系统数据出现系统故障，第一时间查明原因，反馈给相关单位或个人，同时积极协调解决问题，保障系统的所有模块、对外系统、业务软件的正常运行。</w:t>
            </w:r>
            <w:r/>
          </w:p>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增加多学科远程会诊链接；</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系统调整和数据处理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针对用户职能改变，提供相应的系统调整和数据处理服务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系统运行可靠性</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针对系统存在的不安全因素，增加软件系统运行的可靠性，防患于未然而进行的相关维护服务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系统现场巡检</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提供定期的用户现场巡检、例行检测和应用软件整体优化活动</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应急突发问题处理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针对特殊性业务、临时性统计、历史数据错误排查、年度参数设置、突发事件处理等临时性问题进行维护服务。</w:t>
            </w:r>
            <w:r/>
          </w:p>
        </w:tc>
      </w:tr>
      <w:tr>
        <w:trPr>
          <w:jc w:val="center"/>
        </w:trPr>
        <w:tc>
          <w:tcPr>
            <w:gridSpan w:val="2"/>
            <w:shd w:val="clear" w:color="auto" w:fill="auto"/>
            <w:tcW w:w="8472"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rPr>
            </w:pPr>
            <w:r>
              <w:rPr>
                <w:rFonts w:hint="eastAsia" w:ascii="宋体" w:hAnsi="宋体" w:cs="宋体"/>
                <w:b/>
                <w:bCs/>
                <w:i w:val="0"/>
                <w:iCs w:val="0"/>
                <w:color w:val="auto"/>
                <w:sz w:val="21"/>
                <w:szCs w:val="21"/>
                <w:highlight w:val="none"/>
                <w:shd w:val="clear" w:color="auto" w:fill="auto"/>
                <w:lang w:val="en-US" w:eastAsia="zh-CN"/>
              </w:rPr>
              <w:t xml:space="preserve">1.9</w:t>
            </w:r>
            <w:r>
              <w:rPr>
                <w:rFonts w:hint="eastAsia" w:ascii="宋体" w:hAnsi="宋体" w:cs="宋体"/>
                <w:b/>
                <w:bCs/>
                <w:i w:val="0"/>
                <w:iCs w:val="0"/>
                <w:color w:val="auto"/>
                <w:sz w:val="21"/>
                <w:szCs w:val="21"/>
                <w:highlight w:val="none"/>
                <w:shd w:val="clear" w:color="auto" w:fill="auto"/>
              </w:rPr>
              <w:t xml:space="preserve">区域体检系统服务</w:t>
            </w:r>
            <w:r/>
          </w:p>
        </w:tc>
      </w:tr>
      <w:tr>
        <w:trPr>
          <w:jc w:val="center"/>
        </w:trPr>
        <w:tc>
          <w:tcPr>
            <w:shd w:val="clear" w:color="auto" w:fill="auto"/>
            <w:tcW w:w="1809" w:type="dxa"/>
            <w:vAlign w:val="center"/>
            <w:textDirection w:val="lrTb"/>
            <w:noWrap w:val="false"/>
          </w:tcPr>
          <w:p>
            <w:pPr>
              <w:ind w:firstLine="0"/>
              <w:jc w:val="both"/>
              <w:rPr>
                <w:rFonts w:hint="eastAsia" w:ascii="宋体" w:hAnsi="宋体" w:cs="宋体"/>
                <w:b w:val="0"/>
                <w:bCs w:val="0"/>
                <w:color w:val="auto"/>
                <w:sz w:val="21"/>
                <w:szCs w:val="21"/>
                <w:highlight w:val="none"/>
                <w:shd w:val="clear" w:color="auto" w:fill="auto"/>
              </w:rPr>
            </w:pPr>
            <w:r>
              <w:rPr>
                <w:rFonts w:hint="eastAsia" w:ascii="宋体" w:hAnsi="宋体"/>
                <w:b w:val="0"/>
                <w:bCs w:val="0"/>
                <w:color w:val="auto"/>
                <w:szCs w:val="24"/>
                <w:highlight w:val="none"/>
                <w:shd w:val="clear" w:color="auto" w:fill="auto"/>
              </w:rPr>
              <w:t xml:space="preserve">工作内容</w:t>
            </w:r>
            <w:r/>
          </w:p>
        </w:tc>
        <w:tc>
          <w:tcPr>
            <w:shd w:val="clear" w:color="auto" w:fill="auto"/>
            <w:tcW w:w="6663" w:type="dxa"/>
            <w:vAlign w:val="center"/>
            <w:textDirection w:val="lrTb"/>
            <w:noWrap w:val="false"/>
          </w:tcPr>
          <w:p>
            <w:pPr>
              <w:ind w:firstLine="0"/>
              <w:jc w:val="both"/>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b w:val="0"/>
                <w:bCs w:val="0"/>
                <w:color w:val="auto"/>
                <w:szCs w:val="24"/>
                <w:highlight w:val="none"/>
                <w:shd w:val="clear" w:color="auto" w:fill="auto"/>
              </w:rPr>
              <w:t xml:space="preserve">工作产出</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软件改正性维护</w:t>
            </w:r>
            <w:r/>
          </w:p>
        </w:tc>
        <w:tc>
          <w:tcPr>
            <w:shd w:val="clear" w:color="auto" w:fill="auto"/>
            <w:tcW w:w="6663" w:type="dxa"/>
            <w:vAlign w:val="center"/>
            <w:textDirection w:val="lrTb"/>
            <w:noWrap w:val="false"/>
          </w:tcPr>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修复健康体检打印增加尿微量白蛋白；</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修复健康体检计算BMI指标异常时不清空原来异常的问题；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健康体检中心型肥胖的建议改成一行；</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健康体检减体重目标值为本次体检体重值随机减去2~3kg,减腰围目标值为本次体检腰围值随机减去2~3cm</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健康体检中心型肥胖的小结里增加：腰围：93cm,中心型肥胖</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健康体检中心型肥胖的建议改成：您的腰围超过正常值，建议合理控制饮食，适量运动；</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健康体检腰围男性腰围≥90cm，女性≥85cm，自动判断为中心型肥胖；</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修复门诊医生打开健康体检老年人评估保存出错的问题；</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修复职业病体检问题；</w:t>
            </w:r>
            <w:r/>
          </w:p>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b w:val="0"/>
                <w:bCs w:val="0"/>
                <w:i w:val="0"/>
                <w:iCs w:val="0"/>
                <w:color w:val="auto"/>
                <w:sz w:val="21"/>
                <w:szCs w:val="21"/>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系统调整和数据处理</w:t>
            </w:r>
            <w:r/>
          </w:p>
        </w:tc>
        <w:tc>
          <w:tcPr>
            <w:shd w:val="clear" w:color="auto" w:fill="auto"/>
            <w:tcW w:w="6663" w:type="dxa"/>
            <w:vAlign w:val="center"/>
            <w:textDirection w:val="lrTb"/>
            <w:noWrap w:val="false"/>
          </w:tcPr>
          <w:p>
            <w:pPr>
              <w:pStyle w:val="1207"/>
              <w:jc w:val="both"/>
              <w:spacing w:before="0" w:after="0" w:line="360" w:lineRule="auto"/>
              <w:rPr>
                <w:rFonts w:ascii="宋体" w:hAnsi="宋体" w:cs="宋体"/>
                <w:b w:val="0"/>
                <w:bCs w:val="0"/>
                <w:i w:val="0"/>
                <w:iCs w:val="0"/>
                <w:color w:val="auto"/>
                <w:sz w:val="21"/>
                <w:szCs w:val="21"/>
                <w:highlight w:val="none"/>
                <w:shd w:val="clear" w:color="auto" w:fill="auto"/>
              </w:rPr>
            </w:pPr>
            <w:r>
              <w:rPr>
                <w:rFonts w:hint="eastAsia" w:ascii="宋体" w:hAnsi="宋体" w:cs="宋体"/>
                <w:b w:val="0"/>
                <w:bCs w:val="0"/>
                <w:i w:val="0"/>
                <w:iCs w:val="0"/>
                <w:color w:val="auto"/>
                <w:sz w:val="21"/>
                <w:szCs w:val="21"/>
                <w:highlight w:val="none"/>
                <w:shd w:val="clear" w:color="auto" w:fill="auto"/>
              </w:rPr>
              <w:t xml:space="preserve">针对用户职能改变，提供相应的系统调整和数据处理服务</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增加城镇职工体检医保上传新接口；</w:t>
            </w:r>
            <w:r/>
          </w:p>
          <w:p>
            <w:pPr>
              <w:pStyle w:val="1207"/>
              <w:jc w:val="both"/>
              <w:spacing w:before="0" w:after="0" w:line="360" w:lineRule="auto"/>
              <w:rPr>
                <w:rFonts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城镇职工体检增加支持读身份证；</w:t>
            </w:r>
            <w:r/>
          </w:p>
          <w:p>
            <w:pPr>
              <w:pStyle w:val="1207"/>
              <w:jc w:val="both"/>
              <w:spacing w:before="0" w:after="0" w:line="360" w:lineRule="auto"/>
              <w:rPr>
                <w:rFonts w:hint="eastAsia" w:ascii="宋体" w:hAnsi="宋体"/>
                <w:b w:val="0"/>
                <w:bCs w:val="0"/>
                <w:i w:val="0"/>
                <w:iCs w:val="0"/>
                <w:color w:val="auto"/>
                <w:sz w:val="21"/>
                <w:szCs w:val="21"/>
                <w:highlight w:val="none"/>
                <w:shd w:val="clear" w:color="auto" w:fill="auto"/>
              </w:rPr>
            </w:pPr>
            <w:r>
              <w:rPr>
                <w:rFonts w:hint="eastAsia" w:ascii="宋体" w:hAnsi="宋体"/>
                <w:b w:val="0"/>
                <w:bCs w:val="0"/>
                <w:i w:val="0"/>
                <w:iCs w:val="0"/>
                <w:color w:val="auto"/>
                <w:sz w:val="21"/>
                <w:szCs w:val="21"/>
                <w:highlight w:val="none"/>
                <w:shd w:val="clear" w:color="auto" w:fill="auto"/>
              </w:rPr>
              <w:t xml:space="preserve">健康体检血型取个人档案血型内容；</w:t>
            </w:r>
            <w:r/>
          </w:p>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b w:val="0"/>
                <w:bCs w:val="0"/>
                <w:i w:val="0"/>
                <w:iCs w:val="0"/>
                <w:color w:val="auto"/>
                <w:sz w:val="21"/>
                <w:szCs w:val="21"/>
                <w:highlight w:val="none"/>
                <w:shd w:val="clear" w:color="auto" w:fill="auto"/>
              </w:rPr>
              <w:t xml:space="preserve">……</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系统运行可靠性</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cs="宋体"/>
                <w:b w:val="0"/>
                <w:bCs w:val="0"/>
                <w:i w:val="0"/>
                <w:iCs w:val="0"/>
                <w:color w:val="auto"/>
                <w:sz w:val="21"/>
                <w:szCs w:val="21"/>
                <w:highlight w:val="none"/>
                <w:shd w:val="clear" w:color="auto" w:fill="auto"/>
              </w:rPr>
              <w:t xml:space="preserve">针对系统存在的不安全因素，增加软件系统运行的可靠性，防患于未然而进行的相关维护服务</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系统现场巡检</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cs="宋体"/>
                <w:b w:val="0"/>
                <w:bCs w:val="0"/>
                <w:i w:val="0"/>
                <w:iCs w:val="0"/>
                <w:color w:val="auto"/>
                <w:sz w:val="21"/>
                <w:szCs w:val="21"/>
                <w:highlight w:val="none"/>
                <w:shd w:val="clear" w:color="auto" w:fill="auto"/>
              </w:rPr>
              <w:t xml:space="preserve">提供定期的用户现场巡检、例行检测和应用软件整体优化活动</w:t>
            </w:r>
            <w:r/>
          </w:p>
        </w:tc>
      </w:tr>
      <w:tr>
        <w:trPr>
          <w:jc w:val="center"/>
        </w:trPr>
        <w:tc>
          <w:tcPr>
            <w:shd w:val="clear" w:color="auto" w:fill="auto"/>
            <w:tcW w:w="1809" w:type="dxa"/>
            <w:vAlign w:val="center"/>
            <w:textDirection w:val="lrTb"/>
            <w:noWrap w:val="false"/>
          </w:tcPr>
          <w:p>
            <w:pPr>
              <w:pStyle w:val="1140"/>
              <w:jc w:val="both"/>
              <w:spacing w:line="360" w:lineRule="auto"/>
              <w:rPr>
                <w:rFonts w:hint="eastAsia" w:ascii="宋体" w:hAnsi="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rPr>
              <w:t xml:space="preserve">应急突发问题处理</w:t>
            </w:r>
            <w:r/>
          </w:p>
        </w:tc>
        <w:tc>
          <w:tcPr>
            <w:shd w:val="clear" w:color="auto" w:fill="auto"/>
            <w:tcW w:w="6663" w:type="dxa"/>
            <w:vAlign w:val="center"/>
            <w:textDirection w:val="lrTb"/>
            <w:noWrap w:val="false"/>
          </w:tcPr>
          <w:p>
            <w:pPr>
              <w:pStyle w:val="1207"/>
              <w:jc w:val="both"/>
              <w:spacing w:before="0" w:after="0" w:line="360" w:lineRule="auto"/>
              <w:rPr>
                <w:rFonts w:hint="eastAsia" w:ascii="宋体" w:hAnsi="宋体" w:cs="宋体"/>
                <w:b w:val="0"/>
                <w:bCs w:val="0"/>
                <w:i w:val="0"/>
                <w:iCs w:val="0"/>
                <w:color w:val="auto"/>
                <w:sz w:val="21"/>
                <w:szCs w:val="21"/>
                <w:highlight w:val="none"/>
                <w:shd w:val="clear" w:color="auto" w:fill="auto"/>
                <w:lang w:val="en-US" w:eastAsia="zh-CN"/>
              </w:rPr>
            </w:pPr>
            <w:r>
              <w:rPr>
                <w:rFonts w:hint="eastAsia" w:ascii="宋体" w:hAnsi="宋体" w:cs="宋体"/>
                <w:b w:val="0"/>
                <w:bCs w:val="0"/>
                <w:i w:val="0"/>
                <w:iCs w:val="0"/>
                <w:color w:val="auto"/>
                <w:sz w:val="21"/>
                <w:szCs w:val="21"/>
                <w:highlight w:val="none"/>
                <w:shd w:val="clear" w:color="auto" w:fill="auto"/>
              </w:rPr>
              <w:t xml:space="preserve">针对特殊性业务、临时性统计、历史数据错误排查、年度参数设置、突发事件处理等临时性问题进行维护服务。</w:t>
            </w:r>
            <w:r/>
          </w:p>
        </w:tc>
      </w:tr>
    </w:tbl>
    <w:p>
      <w:pPr>
        <w:pStyle w:val="867"/>
        <w:ind w:left="420" w:firstLine="420"/>
        <w:keepLines w:val="0"/>
        <w:keepNext w:val="0"/>
        <w:pageBreakBefore w:val="0"/>
        <w:spacing w:after="0"/>
        <w:widowControl w:val="off"/>
        <w:rPr>
          <w:rFonts w:hint="eastAsia" w:ascii="宋体" w:hAnsi="宋体" w:cs="宋体"/>
          <w:b/>
          <w:bCs/>
          <w:color w:val="auto"/>
          <w:szCs w:val="21"/>
          <w:highlight w:val="none"/>
          <w:lang w:val="en-US" w:eastAsia="zh-CN" w:bidi="zh-CN"/>
        </w:rPr>
      </w:pPr>
      <w:r>
        <w:rPr>
          <w:rFonts w:hint="eastAsia" w:ascii="宋体" w:hAnsi="宋体" w:cs="宋体"/>
          <w:b/>
          <w:bCs/>
          <w:color w:val="auto"/>
          <w:szCs w:val="21"/>
          <w:highlight w:val="none"/>
          <w:lang w:val="en-US" w:eastAsia="zh-CN" w:bidi="zh-CN"/>
        </w:rPr>
      </w:r>
      <w:r/>
    </w:p>
    <w:p>
      <w:pPr>
        <w:ind w:firstLine="422"/>
        <w:rPr>
          <w:rFonts w:hint="eastAsia" w:ascii="宋体" w:hAnsi="宋体" w:cs="宋体"/>
          <w:b/>
          <w:bCs/>
          <w:color w:val="auto"/>
          <w:szCs w:val="21"/>
          <w:highlight w:val="none"/>
          <w:lang w:val="en-US" w:eastAsia="zh-CN" w:bidi="zh-CN"/>
        </w:rPr>
      </w:pPr>
      <w:r>
        <w:rPr>
          <w:rFonts w:hint="eastAsia" w:ascii="宋体" w:hAnsi="宋体" w:cs="宋体"/>
          <w:b/>
          <w:bCs/>
          <w:color w:val="auto"/>
          <w:szCs w:val="21"/>
          <w:highlight w:val="none"/>
          <w:lang w:val="en-US" w:eastAsia="zh-CN" w:bidi="zh-CN"/>
        </w:rPr>
        <w:t xml:space="preserve">2.运维要求</w:t>
      </w:r>
      <w:r/>
    </w:p>
    <w:p>
      <w:pPr>
        <w:ind w:firstLine="480"/>
        <w:rPr>
          <w:rFonts w:hint="eastAsia"/>
          <w:b w:val="0"/>
          <w:bCs w:val="0"/>
          <w:color w:val="auto"/>
          <w:highlight w:val="none"/>
          <w:lang w:val="en-US" w:eastAsia="zh-CN"/>
        </w:rPr>
      </w:pPr>
      <w:r>
        <w:rPr>
          <w:rFonts w:hint="eastAsia"/>
          <w:b w:val="0"/>
          <w:bCs w:val="0"/>
          <w:color w:val="auto"/>
          <w:highlight w:val="none"/>
          <w:lang w:val="en-US" w:eastAsia="zh-CN"/>
        </w:rPr>
        <w:t xml:space="preserve">2.1维护服务总体要求</w:t>
      </w:r>
      <w:r/>
    </w:p>
    <w:p>
      <w:pPr>
        <w:ind w:firstLine="480"/>
        <w:rPr>
          <w:rFonts w:hint="eastAsia"/>
          <w:color w:val="auto"/>
          <w:highlight w:val="none"/>
          <w:lang w:val="en-US" w:eastAsia="zh-CN"/>
        </w:rPr>
      </w:pPr>
      <w:r>
        <w:rPr>
          <w:rFonts w:hint="eastAsia"/>
          <w:color w:val="auto"/>
          <w:highlight w:val="none"/>
          <w:lang w:val="en-US" w:eastAsia="zh-CN"/>
        </w:rPr>
        <w:t xml:space="preserve">保障苏州市吴江区卫生健康委员会、区内各医疗卫生单位信息系统为365天*24小时的高可用生产模式，需要高级别的系统运行和支撑技术保障。保障信息系统的健康、可靠地运行。本项目维护服务要求：</w:t>
      </w:r>
      <w:r/>
    </w:p>
    <w:p>
      <w:pPr>
        <w:ind w:firstLine="480"/>
        <w:rPr>
          <w:rFonts w:hint="eastAsia"/>
          <w:color w:val="auto"/>
          <w:highlight w:val="none"/>
          <w:lang w:val="en-US" w:eastAsia="zh-CN"/>
        </w:rPr>
      </w:pPr>
      <w:r>
        <w:rPr>
          <w:rFonts w:hint="eastAsia"/>
          <w:color w:val="auto"/>
          <w:highlight w:val="none"/>
          <w:lang w:val="en-US" w:eastAsia="zh-CN"/>
        </w:rPr>
        <w:t xml:space="preserve">系统可用性要求高：要求能够保障系统365天*24不间断运行；</w:t>
      </w:r>
      <w:r/>
    </w:p>
    <w:p>
      <w:pPr>
        <w:ind w:firstLine="480"/>
        <w:rPr>
          <w:rFonts w:hint="eastAsia"/>
          <w:color w:val="auto"/>
          <w:highlight w:val="none"/>
          <w:lang w:val="en-US" w:eastAsia="zh-CN"/>
        </w:rPr>
      </w:pPr>
      <w:r>
        <w:rPr>
          <w:rFonts w:hint="eastAsia"/>
          <w:color w:val="auto"/>
          <w:highlight w:val="none"/>
          <w:lang w:val="en-US" w:eastAsia="zh-CN"/>
        </w:rPr>
        <w:t xml:space="preserve">规范化管理要求高：要求能实现并达到流程和文档的规范化管理；</w:t>
      </w:r>
      <w:r/>
    </w:p>
    <w:p>
      <w:pPr>
        <w:ind w:firstLine="480"/>
        <w:rPr>
          <w:rFonts w:hint="eastAsia"/>
          <w:color w:val="auto"/>
          <w:highlight w:val="none"/>
          <w:lang w:val="en-US" w:eastAsia="zh-CN"/>
        </w:rPr>
      </w:pPr>
      <w:r>
        <w:rPr>
          <w:rFonts w:hint="eastAsia"/>
          <w:color w:val="auto"/>
          <w:highlight w:val="none"/>
          <w:lang w:val="en-US" w:eastAsia="zh-CN"/>
        </w:rPr>
        <w:t xml:space="preserve">系统安全性要求高：保障数据库系统的正常稳定运行，同时要求能规避内部和外部的安全隐患；</w:t>
      </w:r>
      <w:r/>
    </w:p>
    <w:p>
      <w:pPr>
        <w:ind w:firstLine="480"/>
        <w:rPr>
          <w:color w:val="auto"/>
          <w:szCs w:val="21"/>
          <w:highlight w:val="none"/>
        </w:rPr>
      </w:pPr>
      <w:r>
        <w:rPr>
          <w:rFonts w:hint="eastAsia"/>
          <w:color w:val="auto"/>
          <w:highlight w:val="none"/>
          <w:lang w:val="en-US" w:eastAsia="zh-CN"/>
        </w:rPr>
        <w:t xml:space="preserve">系统扩展性要求高：要求在维护服务的基础上能够，保障未来平滑升级的要求，以满足后续发</w:t>
      </w:r>
      <w:r>
        <w:rPr>
          <w:color w:val="auto"/>
          <w:szCs w:val="21"/>
          <w:highlight w:val="none"/>
        </w:rPr>
        <w:t xml:space="preserve">展；</w:t>
      </w:r>
      <w:r/>
    </w:p>
    <w:p>
      <w:pPr>
        <w:ind w:firstLine="480"/>
        <w:rPr>
          <w:rFonts w:hint="eastAsia"/>
          <w:color w:val="auto"/>
          <w:highlight w:val="none"/>
          <w:lang w:val="en-US" w:eastAsia="zh-CN"/>
        </w:rPr>
      </w:pPr>
      <w:r>
        <w:rPr>
          <w:rFonts w:hint="eastAsia"/>
          <w:color w:val="auto"/>
          <w:highlight w:val="none"/>
          <w:lang w:val="en-US" w:eastAsia="zh-CN"/>
        </w:rPr>
        <w:t xml:space="preserve">技术服务要求高：要求本项目维护服务人员具有专业技能，能够快速有效地解决维护服务过程中的各项问题。</w:t>
      </w:r>
      <w:r/>
    </w:p>
    <w:p>
      <w:pPr>
        <w:ind w:firstLine="480"/>
        <w:rPr>
          <w:rFonts w:hint="eastAsia"/>
          <w:color w:val="auto"/>
          <w:highlight w:val="none"/>
          <w:lang w:val="en-US" w:eastAsia="zh-CN"/>
        </w:rPr>
      </w:pPr>
      <w:r>
        <w:rPr>
          <w:rFonts w:hint="eastAsia"/>
          <w:color w:val="auto"/>
          <w:highlight w:val="none"/>
          <w:lang w:val="en-US" w:eastAsia="zh-CN"/>
        </w:rPr>
        <w:t xml:space="preserve">供应商提供的维护服务不涉及到软件底层库结构的修改。</w:t>
      </w:r>
      <w:r/>
    </w:p>
    <w:p>
      <w:pPr>
        <w:ind w:firstLine="480"/>
        <w:rPr>
          <w:rFonts w:hint="eastAsia"/>
          <w:b w:val="0"/>
          <w:bCs w:val="0"/>
          <w:color w:val="auto"/>
          <w:highlight w:val="none"/>
          <w:lang w:val="en-US" w:eastAsia="zh-CN"/>
        </w:rPr>
      </w:pPr>
      <w:r>
        <w:rPr>
          <w:rFonts w:hint="eastAsia"/>
          <w:b w:val="0"/>
          <w:bCs w:val="0"/>
          <w:color w:val="auto"/>
          <w:highlight w:val="none"/>
          <w:lang w:val="en-US" w:eastAsia="zh-CN"/>
        </w:rPr>
        <w:t xml:space="preserve">2.2维护服务具体要求</w:t>
      </w:r>
      <w:r/>
    </w:p>
    <w:p>
      <w:pPr>
        <w:ind w:firstLine="480"/>
        <w:rPr>
          <w:rFonts w:hint="eastAsia"/>
          <w:color w:val="auto"/>
          <w:highlight w:val="none"/>
          <w:lang w:val="en-US" w:eastAsia="zh-CN"/>
        </w:rPr>
      </w:pPr>
      <w:r>
        <w:rPr>
          <w:rFonts w:hint="eastAsia"/>
          <w:color w:val="auto"/>
          <w:highlight w:val="none"/>
          <w:lang w:val="en-US" w:eastAsia="zh-CN"/>
        </w:rPr>
        <w:t xml:space="preserve">2.2.1服务内容</w:t>
      </w:r>
      <w:r/>
    </w:p>
    <w:p>
      <w:pPr>
        <w:ind w:firstLine="480"/>
        <w:rPr>
          <w:rFonts w:hint="eastAsia"/>
          <w:color w:val="auto"/>
          <w:highlight w:val="none"/>
          <w:lang w:val="en-US" w:eastAsia="zh-CN"/>
        </w:rPr>
      </w:pPr>
      <w:r>
        <w:rPr>
          <w:rFonts w:hint="eastAsia"/>
          <w:color w:val="auto"/>
          <w:highlight w:val="none"/>
          <w:lang w:val="en-US" w:eastAsia="zh-CN"/>
        </w:rPr>
        <w:t xml:space="preserve">为保障苏州市吴江区卫生健康委员会、区内各医疗卫生单位信息系统软件的正常运作，维护正常的医疗秩序，充分保障群众的医疗权益，中标人需具有一定的技术维护服务能力，能够保障7*24小时为苏州市吴江区卫生健康委员会提供技术服务，建立规范的维护流程、应急处理办法及完善的保障措施，应提供以下服务：</w:t>
      </w:r>
      <w:r/>
    </w:p>
    <w:p>
      <w:pPr>
        <w:ind w:firstLine="480"/>
        <w:rPr>
          <w:rFonts w:hint="eastAsia"/>
          <w:color w:val="auto"/>
          <w:highlight w:val="none"/>
          <w:lang w:val="en-US" w:eastAsia="zh-CN"/>
        </w:rPr>
      </w:pPr>
      <w:r>
        <w:rPr>
          <w:rFonts w:hint="eastAsia"/>
          <w:color w:val="auto"/>
          <w:highlight w:val="none"/>
          <w:lang w:val="en-US" w:eastAsia="zh-CN"/>
        </w:rPr>
        <w:t xml:space="preserve">2.2.2日常服务</w:t>
      </w:r>
      <w:r/>
    </w:p>
    <w:p>
      <w:pPr>
        <w:ind w:firstLine="480"/>
        <w:rPr>
          <w:rFonts w:hint="eastAsia"/>
          <w:color w:val="auto"/>
          <w:highlight w:val="none"/>
          <w:lang w:val="en-US" w:eastAsia="zh-CN"/>
        </w:rPr>
      </w:pPr>
      <w:r>
        <w:rPr>
          <w:rFonts w:hint="eastAsia"/>
          <w:color w:val="auto"/>
          <w:highlight w:val="none"/>
          <w:lang w:val="en-US" w:eastAsia="zh-CN"/>
        </w:rPr>
        <w:t xml:space="preserve">主要是指为了保障系统正常运作所需要做的预防性、保障性的技术维护服务。日常服务应至少包含以下内容：</w:t>
      </w:r>
      <w:r/>
    </w:p>
    <w:p>
      <w:pPr>
        <w:ind w:firstLine="480"/>
        <w:rPr>
          <w:rFonts w:hint="eastAsia"/>
          <w:color w:val="auto"/>
          <w:highlight w:val="none"/>
          <w:lang w:val="en-US" w:eastAsia="zh-CN"/>
        </w:rPr>
      </w:pPr>
      <w:r>
        <w:rPr>
          <w:rFonts w:hint="eastAsia"/>
          <w:color w:val="auto"/>
          <w:highlight w:val="none"/>
          <w:lang w:val="en-US" w:eastAsia="zh-CN"/>
        </w:rPr>
        <w:t xml:space="preserve">（1）技术支持：电话及远程咨询解答、技术文档解答、应用软件操作指导；</w:t>
      </w:r>
      <w:r/>
    </w:p>
    <w:p>
      <w:pPr>
        <w:ind w:firstLine="480"/>
        <w:rPr>
          <w:rFonts w:hint="eastAsia"/>
          <w:color w:val="auto"/>
          <w:highlight w:val="none"/>
          <w:lang w:val="en-US" w:eastAsia="zh-CN"/>
        </w:rPr>
      </w:pPr>
      <w:r>
        <w:rPr>
          <w:rFonts w:hint="eastAsia"/>
          <w:color w:val="auto"/>
          <w:highlight w:val="none"/>
          <w:lang w:val="en-US" w:eastAsia="zh-CN"/>
        </w:rPr>
        <w:t xml:space="preserve">（2）故障处理：解决应用软件故障（除计算机病毒、硬件及甲方人员问题外）导致的死机、数据错误的分析与处理、无法登录应用程序；</w:t>
      </w:r>
      <w:r/>
    </w:p>
    <w:p>
      <w:pPr>
        <w:ind w:firstLine="480"/>
        <w:rPr>
          <w:rFonts w:hint="eastAsia"/>
          <w:color w:val="auto"/>
          <w:highlight w:val="none"/>
          <w:lang w:val="en-US" w:eastAsia="zh-CN"/>
        </w:rPr>
      </w:pPr>
      <w:r>
        <w:rPr>
          <w:rFonts w:hint="eastAsia"/>
          <w:color w:val="auto"/>
          <w:highlight w:val="none"/>
          <w:lang w:val="en-US" w:eastAsia="zh-CN"/>
        </w:rPr>
        <w:t xml:space="preserve">（3）BUG处理：软件程序出错或因操作失误造成数据混乱，负责调整数据及因程序本身BUG产生的程序修改；</w:t>
      </w:r>
      <w:r/>
    </w:p>
    <w:p>
      <w:pPr>
        <w:ind w:firstLine="480"/>
        <w:rPr>
          <w:rFonts w:hint="eastAsia"/>
          <w:color w:val="auto"/>
          <w:highlight w:val="none"/>
          <w:lang w:val="en-US" w:eastAsia="zh-CN"/>
        </w:rPr>
      </w:pPr>
      <w:r>
        <w:rPr>
          <w:rFonts w:hint="eastAsia"/>
          <w:color w:val="auto"/>
          <w:highlight w:val="none"/>
          <w:lang w:val="en-US" w:eastAsia="zh-CN"/>
        </w:rPr>
        <w:t xml:space="preserve">（4）数据核对：针对报表数据与实际不符或与其他报表不对应的情况，协助进行查对或讲解说明；</w:t>
      </w:r>
      <w:r/>
    </w:p>
    <w:p>
      <w:pPr>
        <w:ind w:firstLine="480"/>
        <w:rPr>
          <w:rFonts w:hint="eastAsia"/>
          <w:color w:val="auto"/>
          <w:highlight w:val="none"/>
          <w:lang w:val="en-US" w:eastAsia="zh-CN"/>
        </w:rPr>
      </w:pPr>
      <w:r>
        <w:rPr>
          <w:rFonts w:hint="eastAsia"/>
          <w:color w:val="auto"/>
          <w:highlight w:val="none"/>
          <w:lang w:val="en-US" w:eastAsia="zh-CN"/>
        </w:rPr>
        <w:t xml:space="preserve">（5）配置管理：针对具体的业务应用，进行软件的配置管理；</w:t>
      </w:r>
      <w:r/>
    </w:p>
    <w:p>
      <w:pPr>
        <w:ind w:firstLine="480"/>
        <w:rPr>
          <w:rFonts w:hint="eastAsia"/>
          <w:color w:val="auto"/>
          <w:highlight w:val="none"/>
          <w:lang w:val="en-US" w:eastAsia="zh-CN"/>
        </w:rPr>
      </w:pPr>
      <w:r>
        <w:rPr>
          <w:rFonts w:hint="eastAsia"/>
          <w:color w:val="auto"/>
          <w:highlight w:val="none"/>
          <w:lang w:val="en-US" w:eastAsia="zh-CN"/>
        </w:rPr>
        <w:t xml:space="preserve">（6）环境管理：由于环境原因导致的系统显示错误、数据错误、运行效率降低等问题；</w:t>
      </w:r>
      <w:r/>
    </w:p>
    <w:p>
      <w:pPr>
        <w:ind w:firstLine="480"/>
        <w:rPr>
          <w:rFonts w:hint="eastAsia"/>
          <w:color w:val="auto"/>
          <w:highlight w:val="none"/>
          <w:lang w:val="en-US" w:eastAsia="zh-CN"/>
        </w:rPr>
      </w:pPr>
      <w:r>
        <w:rPr>
          <w:rFonts w:hint="eastAsia"/>
          <w:color w:val="auto"/>
          <w:highlight w:val="none"/>
          <w:lang w:val="en-US" w:eastAsia="zh-CN"/>
        </w:rPr>
        <w:t xml:space="preserve">（7）数据备份：定期对软件的数据库进行备份，当应用系统出现使用异常时，能够进行数据恢复。</w:t>
      </w:r>
      <w:r/>
    </w:p>
    <w:p>
      <w:pPr>
        <w:ind w:firstLine="480"/>
        <w:rPr>
          <w:rFonts w:hint="eastAsia"/>
          <w:color w:val="auto"/>
          <w:highlight w:val="none"/>
          <w:lang w:val="en-US" w:eastAsia="zh-CN"/>
        </w:rPr>
      </w:pPr>
      <w:r>
        <w:rPr>
          <w:rFonts w:hint="eastAsia"/>
          <w:color w:val="auto"/>
          <w:highlight w:val="none"/>
          <w:lang w:val="en-US" w:eastAsia="zh-CN"/>
        </w:rPr>
        <w:t xml:space="preserve">（8）软件与系统软件及数据库系统适配带来的调整工作（不含系统软件及数据库的安装）。</w:t>
      </w:r>
      <w:r/>
    </w:p>
    <w:p>
      <w:pPr>
        <w:ind w:firstLine="480"/>
        <w:rPr>
          <w:rFonts w:hint="eastAsia"/>
          <w:color w:val="auto"/>
          <w:highlight w:val="none"/>
          <w:lang w:val="en-US" w:eastAsia="zh-CN"/>
        </w:rPr>
      </w:pPr>
      <w:r>
        <w:rPr>
          <w:rFonts w:hint="eastAsia"/>
          <w:color w:val="auto"/>
          <w:highlight w:val="none"/>
          <w:lang w:val="en-US" w:eastAsia="zh-CN"/>
        </w:rPr>
        <w:t xml:space="preserve">（9）投标人指导甲方查明各系统不能运行的原因并解决问题（除硬件问题外）。</w:t>
      </w:r>
      <w:r/>
    </w:p>
    <w:p>
      <w:pPr>
        <w:ind w:firstLine="480"/>
        <w:rPr>
          <w:rFonts w:hint="eastAsia"/>
          <w:color w:val="auto"/>
          <w:highlight w:val="none"/>
          <w:lang w:val="en-US" w:eastAsia="zh-CN"/>
        </w:rPr>
      </w:pPr>
      <w:r>
        <w:rPr>
          <w:rFonts w:hint="eastAsia"/>
          <w:color w:val="auto"/>
          <w:highlight w:val="none"/>
          <w:lang w:val="en-US" w:eastAsia="zh-CN"/>
        </w:rPr>
        <w:t xml:space="preserve">2.2.2紧急服务</w:t>
      </w:r>
      <w:r/>
    </w:p>
    <w:p>
      <w:pPr>
        <w:ind w:firstLine="480"/>
        <w:rPr>
          <w:rFonts w:hint="eastAsia"/>
          <w:color w:val="auto"/>
          <w:highlight w:val="none"/>
          <w:lang w:val="en-US" w:eastAsia="zh-CN"/>
        </w:rPr>
      </w:pPr>
      <w:r>
        <w:rPr>
          <w:rFonts w:hint="eastAsia"/>
          <w:color w:val="auto"/>
          <w:highlight w:val="none"/>
          <w:lang w:val="en-US" w:eastAsia="zh-CN"/>
        </w:rPr>
        <w:t xml:space="preserve">主要是指系统发生故障或者系统运作无法再满足医院环境需要时，需要进行维修、维护或者系统提升所进行的服务方式。紧急服务应至少包含以下内容：</w:t>
      </w:r>
      <w:r/>
    </w:p>
    <w:p>
      <w:pPr>
        <w:ind w:firstLine="480"/>
        <w:rPr>
          <w:rFonts w:hint="eastAsia"/>
          <w:color w:val="auto"/>
          <w:highlight w:val="none"/>
          <w:lang w:val="en-US" w:eastAsia="zh-CN"/>
        </w:rPr>
      </w:pPr>
      <w:r>
        <w:rPr>
          <w:rFonts w:hint="eastAsia"/>
          <w:color w:val="auto"/>
          <w:highlight w:val="none"/>
          <w:lang w:val="en-US" w:eastAsia="zh-CN"/>
        </w:rPr>
        <w:t xml:space="preserve">（1）因医院信息系统软件算法或计算导致乱收费问题，需要紧急协助医院相关人员进行处理；</w:t>
      </w:r>
      <w:r/>
    </w:p>
    <w:p>
      <w:pPr>
        <w:ind w:firstLine="480"/>
        <w:rPr>
          <w:rFonts w:hint="eastAsia"/>
          <w:color w:val="auto"/>
          <w:highlight w:val="none"/>
          <w:lang w:val="en-US" w:eastAsia="zh-CN"/>
        </w:rPr>
      </w:pPr>
      <w:r>
        <w:rPr>
          <w:rFonts w:hint="eastAsia"/>
          <w:color w:val="auto"/>
          <w:highlight w:val="none"/>
          <w:lang w:val="en-US" w:eastAsia="zh-CN"/>
        </w:rPr>
        <w:t xml:space="preserve">（2）因意外情况导致医院信息系统软件及中心数据库服务器无法运行，如：雷雨天气导致中心机房断电断网、光纤网络中断等需要紧急协助医院相关人员进行处理。</w:t>
      </w:r>
      <w:r/>
    </w:p>
    <w:p>
      <w:pPr>
        <w:ind w:firstLine="480"/>
        <w:rPr>
          <w:rFonts w:hint="eastAsia"/>
          <w:color w:val="auto"/>
          <w:highlight w:val="none"/>
          <w:lang w:val="en-US" w:eastAsia="zh-CN"/>
        </w:rPr>
      </w:pPr>
      <w:r>
        <w:rPr>
          <w:rFonts w:hint="eastAsia"/>
          <w:color w:val="auto"/>
          <w:highlight w:val="none"/>
          <w:lang w:val="en-US" w:eastAsia="zh-CN"/>
        </w:rPr>
        <w:t xml:space="preserve">紧急服务通常以医院下达的技术服务任务单作为依据，在特殊情况下，可以先通过电话等方式报障或下达任务书。紧急服务时间：采取由医院下达任务书、服务方响应的方式，在规定时间内响应并解决问题。</w:t>
      </w:r>
      <w:r/>
    </w:p>
    <w:p>
      <w:pPr>
        <w:ind w:firstLine="480"/>
        <w:rPr>
          <w:rFonts w:hint="eastAsia"/>
          <w:color w:val="auto"/>
          <w:highlight w:val="none"/>
          <w:lang w:val="en-US" w:eastAsia="zh-CN"/>
        </w:rPr>
      </w:pPr>
      <w:r>
        <w:rPr>
          <w:rFonts w:hint="eastAsia"/>
          <w:color w:val="auto"/>
          <w:highlight w:val="none"/>
          <w:lang w:val="en-US" w:eastAsia="zh-CN"/>
        </w:rPr>
        <w:t xml:space="preserve">2.3服务流程</w:t>
      </w:r>
      <w:r/>
    </w:p>
    <w:p>
      <w:pPr>
        <w:ind w:firstLine="480"/>
        <w:rPr>
          <w:rFonts w:hint="eastAsia"/>
          <w:color w:val="auto"/>
          <w:highlight w:val="none"/>
          <w:lang w:val="en-US" w:eastAsia="zh-CN"/>
        </w:rPr>
      </w:pPr>
      <w:r>
        <w:rPr>
          <w:rFonts w:hint="eastAsia"/>
          <w:color w:val="auto"/>
          <w:highlight w:val="none"/>
          <w:lang w:val="en-US" w:eastAsia="zh-CN"/>
        </w:rPr>
        <w:t xml:space="preserve">2.3.1当医院通过电话、邮件等形式提出服务请求，供应商服务工程师应以最快速度了解医院服务请求内容并初步分析判断故障原因；</w:t>
      </w:r>
      <w:r/>
    </w:p>
    <w:p>
      <w:pPr>
        <w:ind w:firstLine="480"/>
        <w:rPr>
          <w:rFonts w:hint="eastAsia"/>
          <w:color w:val="auto"/>
          <w:highlight w:val="none"/>
          <w:lang w:val="en-US" w:eastAsia="zh-CN"/>
        </w:rPr>
      </w:pPr>
      <w:r>
        <w:rPr>
          <w:rFonts w:hint="eastAsia"/>
          <w:color w:val="auto"/>
          <w:highlight w:val="none"/>
          <w:lang w:val="en-US" w:eastAsia="zh-CN"/>
        </w:rPr>
        <w:t xml:space="preserve">2.3.2如果供应商服务工程师通过电话服务方式解决了医院问题，就直接在系统问题单上记录问题处理结果，存入系统档案库，存档备案；</w:t>
      </w:r>
      <w:r/>
    </w:p>
    <w:p>
      <w:pPr>
        <w:ind w:firstLine="480"/>
        <w:rPr>
          <w:rFonts w:hint="eastAsia"/>
          <w:color w:val="auto"/>
          <w:highlight w:val="none"/>
          <w:lang w:val="en-US" w:eastAsia="zh-CN"/>
        </w:rPr>
      </w:pPr>
      <w:r>
        <w:rPr>
          <w:rFonts w:hint="eastAsia"/>
          <w:color w:val="auto"/>
          <w:highlight w:val="none"/>
          <w:lang w:val="en-US" w:eastAsia="zh-CN"/>
        </w:rPr>
        <w:t xml:space="preserve">2.3.3如果供应商服务工程师不能通过电话服务方式解决医院问题，就立即通知相应的现场服务工程师处理故障情况，并记录故障处理过程，医院签字确认，存档备案；</w:t>
      </w:r>
      <w:r/>
    </w:p>
    <w:p>
      <w:pPr>
        <w:ind w:firstLine="480"/>
        <w:rPr>
          <w:rFonts w:hint="eastAsia"/>
          <w:color w:val="auto"/>
          <w:highlight w:val="none"/>
          <w:lang w:val="en-US" w:eastAsia="zh-CN"/>
        </w:rPr>
      </w:pPr>
      <w:r>
        <w:rPr>
          <w:rFonts w:hint="eastAsia"/>
          <w:color w:val="auto"/>
          <w:highlight w:val="none"/>
          <w:lang w:val="en-US" w:eastAsia="zh-CN"/>
        </w:rPr>
        <w:t xml:space="preserve">2.3.4对问题处理全过程进行跟踪管理。</w:t>
      </w:r>
      <w:r/>
    </w:p>
    <w:p>
      <w:pPr>
        <w:ind w:firstLine="480"/>
        <w:rPr>
          <w:rFonts w:hint="eastAsia"/>
          <w:color w:val="auto"/>
          <w:highlight w:val="none"/>
          <w:lang w:val="en-US" w:eastAsia="zh-CN"/>
        </w:rPr>
      </w:pPr>
      <w:r>
        <w:rPr>
          <w:rFonts w:hint="eastAsia"/>
          <w:color w:val="auto"/>
          <w:highlight w:val="none"/>
          <w:lang w:val="en-US" w:eastAsia="zh-CN"/>
        </w:rPr>
        <w:t xml:space="preserve">2.4维护服务具体方式</w:t>
      </w:r>
      <w:r/>
    </w:p>
    <w:p>
      <w:pPr>
        <w:ind w:firstLine="480"/>
        <w:rPr>
          <w:rFonts w:hint="eastAsia"/>
          <w:color w:val="auto"/>
          <w:highlight w:val="none"/>
          <w:lang w:val="en-US" w:eastAsia="zh-CN"/>
        </w:rPr>
      </w:pPr>
      <w:r>
        <w:rPr>
          <w:rFonts w:hint="eastAsia"/>
          <w:color w:val="auto"/>
          <w:highlight w:val="none"/>
          <w:lang w:val="en-US" w:eastAsia="zh-CN"/>
        </w:rPr>
        <w:t xml:space="preserve">2.4.1现场支持服务</w:t>
      </w:r>
      <w:r/>
    </w:p>
    <w:p>
      <w:pPr>
        <w:ind w:firstLine="480"/>
        <w:rPr>
          <w:rFonts w:hint="eastAsia"/>
          <w:color w:val="auto"/>
          <w:highlight w:val="none"/>
          <w:lang w:val="en-US" w:eastAsia="zh-CN"/>
        </w:rPr>
      </w:pPr>
      <w:r>
        <w:rPr>
          <w:rFonts w:hint="eastAsia"/>
          <w:color w:val="auto"/>
          <w:highlight w:val="none"/>
          <w:lang w:val="en-US" w:eastAsia="zh-CN"/>
        </w:rPr>
        <w:t xml:space="preserve">公司为用户提供及时有效的及时支持服务。为业务系统提供服务7×24（即每周7个工作日，每天24小时，8小时内在现场办公）全天技术支持服务，并根据医院的需要提供现场支持服务。每年现场工作时间平均不少于每月22个工作日。春节国庆等法定假日除外，公司特殊活动事先通报，在征得院方同意、且安排好工作后，方可离开现场。</w:t>
      </w:r>
      <w:r/>
    </w:p>
    <w:p>
      <w:pPr>
        <w:ind w:firstLine="480"/>
        <w:rPr>
          <w:rFonts w:hint="eastAsia"/>
          <w:color w:val="auto"/>
          <w:highlight w:val="none"/>
          <w:lang w:val="en-US" w:eastAsia="zh-CN"/>
        </w:rPr>
      </w:pPr>
      <w:r>
        <w:rPr>
          <w:rFonts w:hint="eastAsia"/>
          <w:color w:val="auto"/>
          <w:highlight w:val="none"/>
          <w:lang w:val="en-US" w:eastAsia="zh-CN"/>
        </w:rPr>
        <w:t xml:space="preserve">2.4.2巡检</w:t>
      </w:r>
      <w:r/>
    </w:p>
    <w:p>
      <w:pPr>
        <w:ind w:firstLine="480"/>
        <w:rPr>
          <w:rFonts w:hint="eastAsia"/>
          <w:color w:val="auto"/>
          <w:highlight w:val="none"/>
          <w:lang w:val="en-US" w:eastAsia="zh-CN"/>
        </w:rPr>
      </w:pPr>
      <w:r>
        <w:rPr>
          <w:rFonts w:hint="eastAsia"/>
          <w:color w:val="auto"/>
          <w:highlight w:val="none"/>
          <w:lang w:val="en-US" w:eastAsia="zh-CN"/>
        </w:rPr>
        <w:t xml:space="preserve">为了避免出现重大故障，在不干扰业务运行的前提下，要求服务单位每月至少一次的频率对系统进行常规巡检，对应用系统进行经常性的性能和效能分析，以便对故障征兆进行提前预防，保证系统在最优化的状态下稳定运行。</w:t>
      </w:r>
      <w:r/>
    </w:p>
    <w:p>
      <w:pPr>
        <w:ind w:firstLine="480"/>
        <w:rPr>
          <w:rFonts w:hint="eastAsia"/>
          <w:color w:val="auto"/>
          <w:highlight w:val="none"/>
          <w:lang w:val="en-US" w:eastAsia="zh-CN"/>
        </w:rPr>
      </w:pPr>
      <w:r>
        <w:rPr>
          <w:rFonts w:hint="eastAsia"/>
          <w:color w:val="auto"/>
          <w:highlight w:val="none"/>
          <w:lang w:val="en-US" w:eastAsia="zh-CN"/>
        </w:rPr>
        <w:t xml:space="preserve">巡检结束后出具系统巡检结果的书面报告，包括：系统运行情况报告；系统运行建议等。</w:t>
      </w:r>
      <w:r/>
    </w:p>
    <w:p>
      <w:pPr>
        <w:ind w:firstLine="480"/>
        <w:rPr>
          <w:rFonts w:hint="eastAsia"/>
          <w:color w:val="auto"/>
          <w:highlight w:val="none"/>
          <w:lang w:val="en-US" w:eastAsia="zh-CN"/>
        </w:rPr>
      </w:pPr>
      <w:r>
        <w:rPr>
          <w:rFonts w:hint="eastAsia"/>
          <w:color w:val="auto"/>
          <w:highlight w:val="none"/>
          <w:lang w:val="en-US" w:eastAsia="zh-CN"/>
        </w:rPr>
        <w:t xml:space="preserve">2.4.3常规服务</w:t>
      </w:r>
      <w:r/>
    </w:p>
    <w:p>
      <w:pPr>
        <w:ind w:firstLine="480"/>
        <w:rPr>
          <w:rFonts w:hint="eastAsia"/>
          <w:color w:val="auto"/>
          <w:highlight w:val="none"/>
          <w:lang w:val="en-US" w:eastAsia="zh-CN"/>
        </w:rPr>
      </w:pPr>
      <w:r>
        <w:rPr>
          <w:rFonts w:hint="eastAsia"/>
          <w:color w:val="auto"/>
          <w:highlight w:val="none"/>
          <w:lang w:val="en-US" w:eastAsia="zh-CN"/>
        </w:rPr>
        <w:t xml:space="preserve">2.4.3.1远程服务</w:t>
      </w:r>
      <w:r/>
    </w:p>
    <w:p>
      <w:pPr>
        <w:ind w:firstLine="480"/>
        <w:rPr>
          <w:rFonts w:hint="eastAsia"/>
          <w:color w:val="auto"/>
          <w:highlight w:val="none"/>
          <w:lang w:val="en-US" w:eastAsia="zh-CN"/>
        </w:rPr>
      </w:pPr>
      <w:r>
        <w:rPr>
          <w:rFonts w:hint="eastAsia"/>
          <w:color w:val="auto"/>
          <w:highlight w:val="none"/>
          <w:lang w:val="en-US" w:eastAsia="zh-CN"/>
        </w:rPr>
        <w:t xml:space="preserve">供应商应提供5天*8小时远程协助服务，医院通过网上报修、电子邮件、远程协助等得到工程师技术服务。工程师可以实时对医院请求进行处理。包括服务请求、远程故障诊断、技术咨询等服务。</w:t>
      </w:r>
      <w:r/>
    </w:p>
    <w:p>
      <w:pPr>
        <w:ind w:firstLine="480"/>
        <w:rPr>
          <w:rFonts w:hint="eastAsia"/>
          <w:color w:val="auto"/>
          <w:highlight w:val="none"/>
          <w:lang w:val="en-US" w:eastAsia="zh-CN"/>
        </w:rPr>
      </w:pPr>
      <w:r>
        <w:rPr>
          <w:rFonts w:hint="eastAsia"/>
          <w:color w:val="auto"/>
          <w:highlight w:val="none"/>
          <w:lang w:val="en-US" w:eastAsia="zh-CN"/>
        </w:rPr>
        <w:t xml:space="preserve">2.4.3.2电话服务</w:t>
      </w:r>
      <w:r/>
    </w:p>
    <w:p>
      <w:pPr>
        <w:ind w:firstLine="480"/>
        <w:rPr>
          <w:rFonts w:hint="eastAsia"/>
          <w:color w:val="auto"/>
          <w:highlight w:val="none"/>
          <w:lang w:val="en-US" w:eastAsia="zh-CN"/>
        </w:rPr>
      </w:pPr>
      <w:r>
        <w:rPr>
          <w:rFonts w:hint="eastAsia"/>
          <w:color w:val="auto"/>
          <w:highlight w:val="none"/>
          <w:lang w:val="en-US" w:eastAsia="zh-CN"/>
        </w:rPr>
        <w:t xml:space="preserve">供应商应提供5天*8小时服务热线，工程师可以实时对医院请求进行处理。</w:t>
      </w:r>
      <w:r/>
    </w:p>
    <w:p>
      <w:pPr>
        <w:ind w:firstLine="480"/>
        <w:rPr>
          <w:rFonts w:hint="eastAsia"/>
          <w:color w:val="auto"/>
          <w:highlight w:val="none"/>
          <w:lang w:val="en-US" w:eastAsia="zh-CN"/>
        </w:rPr>
      </w:pPr>
      <w:r>
        <w:rPr>
          <w:rFonts w:hint="eastAsia"/>
          <w:color w:val="auto"/>
          <w:highlight w:val="none"/>
          <w:lang w:val="en-US" w:eastAsia="zh-CN"/>
        </w:rPr>
        <w:t xml:space="preserve">对于系统故障，医院可以直接拨打供应商提供的报修电话或5天*8小时报修热线手机，要求工程师进行紧急故障处理。</w:t>
      </w:r>
      <w:r/>
    </w:p>
    <w:p>
      <w:pPr>
        <w:ind w:firstLine="480"/>
        <w:rPr>
          <w:rFonts w:hint="eastAsia"/>
          <w:color w:val="auto"/>
          <w:highlight w:val="none"/>
          <w:lang w:val="en-US" w:eastAsia="zh-CN"/>
        </w:rPr>
      </w:pPr>
      <w:r>
        <w:rPr>
          <w:rFonts w:hint="eastAsia"/>
          <w:color w:val="auto"/>
          <w:highlight w:val="none"/>
          <w:lang w:val="en-US" w:eastAsia="zh-CN"/>
        </w:rPr>
        <w:t xml:space="preserve">2.4.3.3在线服务</w:t>
      </w:r>
      <w:r/>
    </w:p>
    <w:p>
      <w:pPr>
        <w:ind w:firstLine="480"/>
        <w:rPr>
          <w:rFonts w:hint="eastAsia"/>
          <w:color w:val="auto"/>
          <w:highlight w:val="none"/>
          <w:lang w:val="en-US" w:eastAsia="zh-CN"/>
        </w:rPr>
      </w:pPr>
      <w:r>
        <w:rPr>
          <w:rFonts w:hint="eastAsia"/>
          <w:color w:val="auto"/>
          <w:highlight w:val="none"/>
          <w:lang w:val="en-US" w:eastAsia="zh-CN"/>
        </w:rPr>
        <w:t xml:space="preserve">供应商应提供5天*8小时资深技术人员在线咨询服务，医院可通过微信等即时服务工具与服务人员交流，或通过查询相关解决方案，由服务方指定技术人员负责解决事件，并反馈信息。</w:t>
      </w:r>
      <w:r/>
    </w:p>
    <w:p>
      <w:pPr>
        <w:ind w:firstLine="480"/>
        <w:rPr>
          <w:rFonts w:hint="eastAsia"/>
          <w:color w:val="auto"/>
          <w:highlight w:val="none"/>
          <w:lang w:val="en-US" w:eastAsia="zh-CN"/>
        </w:rPr>
      </w:pPr>
      <w:r>
        <w:rPr>
          <w:rFonts w:hint="eastAsia"/>
          <w:color w:val="auto"/>
          <w:highlight w:val="none"/>
          <w:lang w:val="en-US" w:eastAsia="zh-CN"/>
        </w:rPr>
        <w:t xml:space="preserve">2.4.3.4文档管理（成果要求）</w:t>
      </w:r>
      <w:r/>
    </w:p>
    <w:p>
      <w:pPr>
        <w:ind w:firstLine="480"/>
        <w:rPr>
          <w:rFonts w:hint="eastAsia"/>
          <w:color w:val="auto"/>
          <w:highlight w:val="none"/>
          <w:lang w:val="en-US" w:eastAsia="zh-CN"/>
        </w:rPr>
      </w:pPr>
      <w:r>
        <w:rPr>
          <w:rFonts w:hint="eastAsia"/>
          <w:color w:val="auto"/>
          <w:highlight w:val="none"/>
          <w:lang w:val="en-US" w:eastAsia="zh-CN"/>
        </w:rPr>
        <w:t xml:space="preserve">成交人须按照项目阶段，提供符合采购人文件管理及版本控制要求的项目文档，要求如下：</w:t>
      </w:r>
      <w:r/>
    </w:p>
    <w:p>
      <w:pPr>
        <w:ind w:firstLine="480"/>
        <w:rPr>
          <w:rFonts w:hint="eastAsia"/>
          <w:color w:val="auto"/>
          <w:highlight w:val="none"/>
          <w:lang w:eastAsia="zh-CN"/>
        </w:rPr>
      </w:pPr>
      <w:r>
        <w:rPr>
          <w:rFonts w:hint="eastAsia" w:ascii="宋体" w:hAnsi="宋体" w:eastAsia="宋体" w:cs="宋体"/>
          <w:color w:val="auto"/>
          <w:highlight w:val="none"/>
        </w:rPr>
        <w:t xml:space="preserve">①</w:t>
      </w:r>
      <w:r>
        <w:rPr>
          <w:rFonts w:hint="eastAsia"/>
          <w:color w:val="auto"/>
          <w:highlight w:val="none"/>
        </w:rPr>
        <w:t xml:space="preserve">服务过程文档，包括服务处理记录、完善操作手册和考核表</w:t>
      </w:r>
      <w:r>
        <w:rPr>
          <w:rFonts w:hint="eastAsia"/>
          <w:color w:val="auto"/>
          <w:highlight w:val="none"/>
          <w:lang w:eastAsia="zh-CN"/>
        </w:rPr>
        <w:t xml:space="preserve">；</w:t>
      </w:r>
      <w:r/>
    </w:p>
    <w:p>
      <w:pPr>
        <w:ind w:firstLine="480"/>
        <w:rPr>
          <w:rFonts w:hint="eastAsia"/>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color w:val="auto"/>
          <w:highlight w:val="none"/>
          <w:lang w:val="en-US" w:eastAsia="zh-CN"/>
        </w:rPr>
        <w:t xml:space="preserve">系统运行情况报告：包括详细系统环境、运行状况评估、故障问题报告等信息；</w:t>
      </w:r>
      <w:r/>
    </w:p>
    <w:p>
      <w:pPr>
        <w:ind w:firstLine="480"/>
        <w:rPr>
          <w:color w:val="auto"/>
          <w:highlight w:val="none"/>
        </w:rPr>
      </w:pPr>
      <w:r>
        <w:rPr>
          <w:rFonts w:hint="eastAsia" w:ascii="宋体" w:hAnsi="宋体" w:eastAsia="宋体" w:cs="宋体"/>
          <w:color w:val="auto"/>
          <w:highlight w:val="none"/>
          <w:lang w:val="en-US" w:eastAsia="zh-CN"/>
        </w:rPr>
        <w:t xml:space="preserve">③</w:t>
      </w:r>
      <w:r>
        <w:rPr>
          <w:rFonts w:hint="eastAsia"/>
          <w:color w:val="auto"/>
          <w:highlight w:val="none"/>
          <w:lang w:val="en-US" w:eastAsia="zh-CN"/>
        </w:rPr>
        <w:t xml:space="preserve">系统运行建议。</w:t>
      </w:r>
      <w:r/>
    </w:p>
    <w:p>
      <w:pPr>
        <w:ind w:firstLine="422"/>
        <w:rPr>
          <w:rFonts w:hint="eastAsia"/>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服务成果验收</w:t>
      </w:r>
      <w:r/>
    </w:p>
    <w:p>
      <w:pPr>
        <w:pStyle w:val="1222"/>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服务期满或完成服务后，采购人应对服务的成果进行详细而全面的检验。检验合格后，由采购人组成的验收小组签署验收报告，作为付款凭据之一。</w:t>
      </w:r>
      <w:r/>
    </w:p>
    <w:p>
      <w:pPr>
        <w:ind w:firstLine="422"/>
        <w:rPr>
          <w:rFonts w:hint="eastAsia"/>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培训要求</w:t>
      </w:r>
      <w:r/>
    </w:p>
    <w:p>
      <w:pPr>
        <w:ind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1、投标人必须针对本项目应用软件及采用的相关技术等提出全面培训计划和培训方案并征得业主方同意后实施。培训工作须满足招标文件要求的培训服务。</w:t>
      </w:r>
      <w:r/>
    </w:p>
    <w:p>
      <w:pPr>
        <w:ind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2、培训对象应分为普通业务操作员、系统管理员，投标人必须针对不同的对象制定不同的培训计划，并分别培训。</w:t>
      </w:r>
      <w:r/>
    </w:p>
    <w:p>
      <w:pPr>
        <w:ind w:firstLine="420"/>
        <w:spacing w:line="360" w:lineRule="auto"/>
        <w:rPr>
          <w:rFonts w:hint="default"/>
          <w:color w:val="auto"/>
          <w:highlight w:val="none"/>
          <w:lang w:val="en-US" w:eastAsia="zh-CN"/>
        </w:rPr>
      </w:pPr>
      <w:r>
        <w:rPr>
          <w:rFonts w:hint="eastAsia" w:ascii="宋体" w:hAnsi="宋体" w:cstheme="minorEastAsia"/>
          <w:color w:val="auto"/>
          <w:sz w:val="21"/>
          <w:szCs w:val="21"/>
          <w:highlight w:val="none"/>
        </w:rPr>
        <w:t xml:space="preserve">3、投标人必须为所有被培训人员进行现场培训，提供文字资料、讲义等相关用品。所有的资料必须是中文书写。</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rPr>
        <w:t xml:space="preserve">、知识产权及安全：</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1、投标单位应保证所提供的服务涉及到的知识产权是合法取得，并享有完整的知识产权，不会因为招标单位的使用而被责令停止使用、追偿或要求赔偿损失，如出现此情况，一切经济和法律责任均由投标单位承担。与本次招标项目相关的所有项目质量安全问题均由投标单位终身负责，如因上述原因造成的一切后果均由投标单位自行承担，与采购方无关。</w:t>
      </w:r>
      <w:r/>
    </w:p>
    <w:p>
      <w:pPr>
        <w:ind w:firstLine="422"/>
        <w:rPr>
          <w:rFonts w:hint="eastAsia" w:ascii="宋体" w:hAnsi="宋体" w:eastAsia="宋体" w:cs="宋体"/>
          <w:b w:val="0"/>
          <w:bCs w:val="0"/>
          <w:color w:val="auto"/>
          <w:szCs w:val="21"/>
          <w:highlight w:val="none"/>
          <w:lang w:val="en-US" w:eastAsia="zh-CN" w:bidi="zh-CN"/>
        </w:rPr>
      </w:pPr>
      <w:r>
        <w:rPr>
          <w:rFonts w:hint="eastAsia" w:ascii="宋体" w:hAnsi="宋体" w:eastAsia="宋体" w:cs="宋体"/>
          <w:b w:val="0"/>
          <w:bCs w:val="0"/>
          <w:color w:val="auto"/>
          <w:szCs w:val="21"/>
          <w:highlight w:val="none"/>
          <w:lang w:val="en-US" w:eastAsia="zh-CN" w:bidi="zh-CN"/>
        </w:rPr>
        <w:t xml:space="preserve">2、成交单位在项目实施期间需按质量管理体系，对运维服务各阶段进行严格的质量监督与控制。在运维服务过程中要引入质量管理、文档管理等管理办法，加强问题跟踪管理，严格按照双方确定的计划进度保质保量完成工作。成交单位应严格遵守国家相关法律法规，确保项目实施过程中的数据安全和系统安全，防止信息泄露和恶意攻击。项目人员应与甲方签订保密协议，人员变动应提前通知采购方，并回收系统账号权限等。</w:t>
      </w:r>
      <w:r>
        <w:rPr>
          <w:rFonts w:hint="eastAsia" w:ascii="宋体" w:hAnsi="宋体" w:cs="宋体"/>
          <w:b w:val="0"/>
          <w:bCs w:val="0"/>
          <w:color w:val="auto"/>
          <w:szCs w:val="21"/>
          <w:highlight w:val="none"/>
          <w:lang w:val="en-US" w:eastAsia="zh-CN" w:bidi="zh-CN"/>
        </w:rPr>
        <w:t xml:space="preserve">对因成交方原因所造成的泄密结果，成交方应承担全部责任。</w:t>
      </w:r>
      <w:r/>
    </w:p>
    <w:p>
      <w:pPr>
        <w:ind w:firstLine="422"/>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九、综合说明：</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1.投标人按照招标文件的要求提交投标文件，并对所提供的全部资料的真实性承担法律责任。</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2.此次响应报价包括在相应服务期限内所需要的所有人员工资、办公设备、系统开发与调试、试运行、运维服务、成果验收费、技术支持、</w:t>
      </w:r>
      <w:r>
        <w:rPr>
          <w:rFonts w:hint="eastAsia" w:ascii="宋体" w:hAnsi="宋体" w:cs="宋体"/>
          <w:color w:val="auto"/>
          <w:highlight w:val="none"/>
          <w:lang w:val="en-US" w:eastAsia="zh-CN"/>
        </w:rPr>
        <w:t xml:space="preserve">政策性文件规定及合同包含的所有风险、责任等其它投标单位认为应纳入的一切费用，除非合同条款中另有规定，否则，投标单位所报价格在合同实施期间不因市场变化因素而变动。</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3.付款步骤：合同签订生效后，甲方向乙方支付合同总价款的30%作为预付款；合同签订后一年内甲方向乙方支付剩余的合同总价款的40%款项（累计付至合同总价款的70%）；全部运维服务结束，乙方提交全部运维归档材料，经甲方最终验收通过之日起一年内，甲方付清剩余30%合同款。</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注：（1）在履行合同过程中，追加合同金额不得超过原合同价的10%。</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（2）每次付款前乙方需按照甲方要求开具对应款项的合法有效的增值税发票。</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（3）如乙方对服务缺陷不予更正，甲方有权另请第三方单位更正服务，所发生的费用在当年应付的合同金额中扣除。</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（4）履约验收方案详见合同附件。</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4.履约保证金：无。</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5.中标人将根据招标文件、投标文件的相关约定，承担合同责任，履行合同义务。</w:t>
      </w:r>
      <w:r/>
    </w:p>
    <w:p>
      <w:pPr>
        <w:ind w:firstLine="422"/>
        <w:rPr>
          <w:rFonts w:ascii="宋体" w:hAnsi="宋体" w:cs="宋体"/>
          <w:color w:val="auto"/>
          <w:szCs w:val="21"/>
          <w:highlight w:val="none"/>
        </w:rPr>
      </w:pPr>
      <w:r>
        <w:rPr>
          <w:rFonts w:hint="eastAsia" w:ascii="宋体" w:hAnsi="宋体" w:cs="宋体"/>
          <w:b/>
          <w:color w:val="auto"/>
          <w:szCs w:val="21"/>
          <w:highlight w:val="none"/>
          <w:lang w:val="en-US" w:eastAsia="zh-CN"/>
        </w:rPr>
        <w:t xml:space="preserve">十、凡涉及招标文件的补充说明和修改，均以网上发布的通知为准。</w:t>
      </w:r>
      <w:r>
        <w:rPr>
          <w:rFonts w:hint="eastAsia" w:ascii="宋体" w:hAnsi="宋体" w:cs="宋体"/>
          <w:bCs/>
          <w:color w:val="auto"/>
          <w:szCs w:val="21"/>
          <w:highlight w:val="none"/>
        </w:rPr>
        <w:br w:type="page" w:clear="all"/>
      </w:r>
      <w:r/>
    </w:p>
    <w:p>
      <w:pPr>
        <w:pStyle w:val="856"/>
        <w:rPr>
          <w:color w:val="auto"/>
          <w:highlight w:val="none"/>
        </w:rPr>
      </w:pPr>
      <w:r/>
      <w:bookmarkStart w:id="41" w:name="_Toc14846"/>
      <w:r/>
      <w:bookmarkStart w:id="42" w:name="_Toc7862"/>
      <w:r>
        <w:rPr>
          <w:rFonts w:hint="eastAsia"/>
          <w:color w:val="auto"/>
          <w:highlight w:val="none"/>
        </w:rPr>
        <w:t xml:space="preserve">四、评标办法及评分标准</w:t>
      </w:r>
      <w:bookmarkEnd w:id="41"/>
      <w:r/>
      <w:bookmarkEnd w:id="42"/>
      <w:r/>
      <w:r/>
    </w:p>
    <w:p>
      <w:pPr>
        <w:ind w:firstLine="422"/>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pStyle w:val="1206"/>
        <w:ind w:firstLine="420"/>
        <w:rPr>
          <w:rFonts w:ascii="宋体" w:hAnsi="宋体" w:cs="宋体"/>
          <w:color w:val="auto"/>
          <w:highlight w:val="none"/>
        </w:rPr>
      </w:pPr>
      <w:r/>
      <w:bookmarkStart w:id="43" w:name="_Toc2682"/>
      <w:r>
        <w:rPr>
          <w:rFonts w:hint="eastAsia" w:ascii="宋体" w:hAnsi="宋体" w:cs="宋体"/>
          <w:color w:val="auto"/>
          <w:highlight w:val="none"/>
        </w:rPr>
        <w:t xml:space="preserve">1.本次磋商评标采用综合评分法，综合评分法是指投标文件满足投标文件全部实质性要求，且按照评审因素的量化指标评审得分最高的投标人为中标人的评标方法。</w:t>
      </w:r>
      <w:r/>
    </w:p>
    <w:p>
      <w:pPr>
        <w:pStyle w:val="1206"/>
        <w:ind w:firstLine="420"/>
        <w:rPr>
          <w:rFonts w:hint="eastAsia" w:ascii="宋体" w:hAnsi="宋体" w:cs="宋体"/>
          <w:color w:val="auto"/>
          <w:highlight w:val="none"/>
        </w:rPr>
      </w:pPr>
      <w:r>
        <w:rPr>
          <w:rFonts w:hint="eastAsia" w:ascii="宋体" w:hAnsi="宋体" w:cs="宋体"/>
          <w:color w:val="auto"/>
          <w:highlight w:val="none"/>
        </w:rPr>
        <w:t xml:space="preserve">2.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pStyle w:val="1206"/>
        <w:ind w:firstLine="420"/>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pStyle w:val="1206"/>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1206"/>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(2)投标（响应）报价低于通过符合性审查的次低报价供应商投标（响应）报价50%的，即投标（响应）报价&lt;通过符合性审查的次低报价供应商投标（响应）报价×50%； </w:t>
      </w:r>
      <w:r/>
    </w:p>
    <w:p>
      <w:pPr>
        <w:pStyle w:val="1206"/>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(3)投标（响应）报价低于采购项目最高限价45%的，即投标（响应）报价&lt;采购项目最高限价×45%； </w:t>
      </w:r>
      <w:r/>
    </w:p>
    <w:p>
      <w:pPr>
        <w:pStyle w:val="1206"/>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 磋商小组基于专业判断，认为供应商报价过低，有可能影响产品质量或者不能诚信履约的其他情形。 </w:t>
      </w:r>
      <w:r/>
    </w:p>
    <w:p>
      <w:pPr>
        <w:pStyle w:val="1206"/>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相关法律法规对供应商报价有规定的，从其规定。</w:t>
      </w:r>
      <w:r/>
    </w:p>
    <w:p>
      <w:pPr>
        <w:pStyle w:val="1206"/>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1206"/>
        <w:ind w:firstLine="420"/>
        <w:rPr>
          <w:rFonts w:hint="eastAsia" w:ascii="宋体" w:hAnsi="宋体" w:cs="宋体"/>
          <w:color w:val="auto"/>
          <w:highlight w:val="none"/>
        </w:rPr>
      </w:pPr>
      <w:r>
        <w:rPr>
          <w:rFonts w:hint="eastAsia" w:ascii="宋体" w:hAnsi="宋体" w:cs="宋体"/>
          <w:color w:val="auto"/>
          <w:highlight w:val="none"/>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1206"/>
        <w:ind w:firstLine="420"/>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对报价异常低且经评审委员会启动相关审查机制后仍中标或成交的供应商，采购人要重点关注其履约能力、履约承诺、实际履约情况等。如供应商在中标或成交后无正当理由拒不签订采购合同，采购人将依法追究其法律责任；如供应商在签订采购合同后不严格履行合同，采购人应按照采购合同约定追究供应商违约责任。</w:t>
      </w:r>
      <w:r/>
    </w:p>
    <w:p>
      <w:pPr>
        <w:pStyle w:val="1206"/>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spacing w:line="360" w:lineRule="auto"/>
        <w:tabs>
          <w:tab w:val="left" w:pos="2870" w:leader="none"/>
        </w:tabs>
        <w:rPr>
          <w:rFonts w:ascii="宋体" w:hAnsi="宋体" w:cs="宋体"/>
          <w:color w:val="auto"/>
          <w:szCs w:val="21"/>
          <w:highlight w:val="none"/>
        </w:rPr>
        <w:outlineLvl w:val="1"/>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针对小型、微</w:t>
      </w:r>
      <w:r>
        <w:rPr>
          <w:rFonts w:hint="eastAsia" w:ascii="宋体" w:hAnsi="宋体" w:cs="宋体"/>
          <w:color w:val="auto"/>
          <w:szCs w:val="21"/>
          <w:highlight w:val="none"/>
        </w:rPr>
        <w:t xml:space="preserve">型企业的价格评审办法：</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，采用综合评分法的采购项目对属于小型、微型企业的投标单位给予评审优惠：</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（1）如投标单位属于小型或微型企业且提供自有服务的，对其报价给予20%的扣除；扣除后的价格参与价格评审。</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（3）中小微企业在投标文件中提供签署的《中小企业声明函》。未按招标文件的规定在投标文件中提供《中小企业声明函》的，不享受促进中小微企业发展的相关政府采购政策。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②若投标单位提供的“中小企业声明函”（见第六章格式）为虚假声明则视同提供虚假材料，按“政府采购法”相关规定处理并报请政府监管部门给予行政处罚。</w:t>
      </w:r>
      <w:r/>
    </w:p>
    <w:p>
      <w:pPr>
        <w:ind w:firstLine="420"/>
        <w:spacing w:line="360" w:lineRule="auto"/>
        <w:tabs>
          <w:tab w:val="left" w:pos="287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③专门面向中小企业采购的项目或者采购包，不再执行价格评审优惠的扶持政策。</w:t>
      </w:r>
      <w:r/>
    </w:p>
    <w:p>
      <w:pPr>
        <w:ind w:firstLine="420"/>
        <w:spacing w:line="360" w:lineRule="auto"/>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针对残疾人福利性单位的评审：</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根据《关于促进残疾人就业政府采购政策的通知》（财库〔2017〕141号）的通知规定，对属于残疾人福利性单位的投标单位给予评审加分：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》第七十七条第一款的规定追究法律责任。</w:t>
      </w:r>
      <w:r/>
    </w:p>
    <w:p>
      <w:pPr>
        <w:ind w:firstLine="420"/>
        <w:spacing w:line="360" w:lineRule="auto"/>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.针对监狱企业的评审加分：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根据《关于政府采购支持监狱企业发展有关问题的通知》（财库〔2014〕68号）的通知规定，对属于监狱企业的投标单位给予评审加分：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pStyle w:val="1123"/>
        <w:ind w:firstLine="422"/>
        <w:spacing w:line="360" w:lineRule="auto"/>
        <w:widowControl w:val="off"/>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注：</w:t>
      </w:r>
      <w:bookmarkStart w:id="44" w:name="_Hlk60839198"/>
      <w:r>
        <w:rPr>
          <w:rFonts w:hint="eastAsia" w:ascii="宋体" w:hAnsi="宋体" w:cs="宋体"/>
          <w:b/>
          <w:bCs/>
          <w:color w:val="auto"/>
          <w:sz w:val="21"/>
          <w:szCs w:val="21"/>
          <w:highlight w:val="none"/>
          <w:lang w:val="en-US"/>
        </w:rPr>
        <w:t xml:space="preserve">上述优惠政策不重复享受。</w:t>
      </w:r>
      <w:bookmarkEnd w:id="44"/>
      <w:r/>
      <w:r/>
    </w:p>
    <w:p>
      <w:pPr>
        <w:numPr>
          <w:ilvl w:val="0"/>
          <w:numId w:val="5"/>
        </w:numPr>
        <w:ind w:firstLine="422"/>
        <w:rPr>
          <w:rFonts w:ascii="宋体" w:hAnsi="宋体" w:cs="宋体"/>
          <w:b/>
          <w:color w:val="auto"/>
          <w:szCs w:val="21"/>
          <w:highlight w:val="none"/>
        </w:rPr>
      </w:pPr>
      <w:r>
        <w:rPr>
          <w:rFonts w:hint="eastAsia" w:ascii="宋体" w:hAnsi="宋体" w:cs="宋体"/>
          <w:b/>
          <w:color w:val="auto"/>
          <w:szCs w:val="21"/>
          <w:highlight w:val="none"/>
        </w:rPr>
        <w:t xml:space="preserve">评分标准</w:t>
      </w:r>
      <w:bookmarkEnd w:id="43"/>
      <w:r/>
      <w:r/>
    </w:p>
    <w:p>
      <w:pPr>
        <w:pStyle w:val="1206"/>
        <w:ind w:firstLine="420"/>
        <w:rPr>
          <w:rFonts w:ascii="宋体" w:hAnsi="宋体" w:cs="宋体"/>
          <w:color w:val="auto"/>
          <w:highlight w:val="none"/>
        </w:rPr>
      </w:pPr>
      <w:r>
        <w:rPr>
          <w:rFonts w:hint="eastAsia" w:ascii="宋体" w:hAnsi="宋体" w:cs="宋体"/>
          <w:color w:val="auto"/>
          <w:highlight w:val="none"/>
        </w:rPr>
        <w:t xml:space="preserve">总分值均为100分，评审因素及各比重如下：价格分值占总分值的比重为10%（权重），技术与方案及其它占90%（权重）。</w:t>
      </w:r>
      <w:r/>
    </w:p>
    <w:p>
      <w:pPr>
        <w:pStyle w:val="1206"/>
        <w:numPr>
          <w:ilvl w:val="0"/>
          <w:numId w:val="6"/>
        </w:numPr>
        <w:rPr>
          <w:rFonts w:ascii="宋体" w:hAnsi="宋体" w:cs="宋体"/>
          <w:b/>
          <w:bCs/>
          <w:color w:val="auto"/>
          <w:highlight w:val="none"/>
        </w:rPr>
      </w:pPr>
      <w:r/>
      <w:bookmarkStart w:id="45" w:name="_Toc1758"/>
      <w:r>
        <w:rPr>
          <w:rFonts w:hint="eastAsia" w:ascii="宋体" w:hAnsi="宋体" w:cs="宋体"/>
          <w:b/>
          <w:bCs/>
          <w:color w:val="auto"/>
          <w:highlight w:val="none"/>
        </w:rPr>
        <w:t xml:space="preserve">价格分（10分）</w:t>
      </w:r>
      <w:r/>
    </w:p>
    <w:p>
      <w:pPr>
        <w:pStyle w:val="1206"/>
        <w:ind w:firstLine="420"/>
        <w:rPr>
          <w:rFonts w:ascii="宋体" w:hAnsi="宋体" w:cs="宋体"/>
          <w:color w:val="auto"/>
          <w:highlight w:val="none"/>
        </w:rPr>
      </w:pPr>
      <w:r/>
      <w:bookmarkStart w:id="46" w:name="OLE_LINK39"/>
      <w:r/>
      <w:bookmarkStart w:id="47" w:name="OLE_LINK19"/>
      <w:r>
        <w:rPr>
          <w:rFonts w:hint="eastAsia" w:ascii="宋体" w:hAnsi="宋体" w:cs="宋体"/>
          <w:color w:val="auto"/>
          <w:highlight w:val="none"/>
        </w:rPr>
        <w:t xml:space="preserve">1.投标总报价低于或等于</w:t>
      </w:r>
      <w:r>
        <w:rPr>
          <w:rFonts w:hint="eastAsia" w:ascii="宋体" w:hAnsi="宋体" w:cs="宋体"/>
          <w:color w:val="auto"/>
          <w:highlight w:val="none"/>
          <w:lang w:val="en-US" w:eastAsia="zh-CN"/>
        </w:rPr>
        <w:t xml:space="preserve">最高限价</w:t>
      </w:r>
      <w:r>
        <w:rPr>
          <w:rFonts w:hint="eastAsia" w:ascii="宋体" w:hAnsi="宋体" w:cs="宋体"/>
          <w:color w:val="auto"/>
          <w:highlight w:val="none"/>
        </w:rPr>
        <w:t xml:space="preserve">的，为有效投标报价。超</w:t>
      </w:r>
      <w:r>
        <w:rPr>
          <w:rFonts w:hint="eastAsia" w:ascii="宋体" w:hAnsi="宋体" w:cs="宋体"/>
          <w:color w:val="auto"/>
          <w:highlight w:val="none"/>
          <w:lang w:val="en-US" w:eastAsia="zh-CN"/>
        </w:rPr>
        <w:t xml:space="preserve">最高限价</w:t>
      </w:r>
      <w:r>
        <w:rPr>
          <w:rFonts w:hint="eastAsia" w:ascii="宋体" w:hAnsi="宋体" w:cs="宋体"/>
          <w:color w:val="auto"/>
          <w:highlight w:val="none"/>
        </w:rPr>
        <w:t xml:space="preserve">的投标报价为无效投标报价。无效投标报价的投标文件不进行评审，也不得标。</w:t>
      </w:r>
      <w:r/>
    </w:p>
    <w:p>
      <w:pPr>
        <w:pStyle w:val="1206"/>
        <w:ind w:firstLine="420"/>
        <w:rPr>
          <w:rFonts w:ascii="宋体" w:hAnsi="宋体" w:cs="宋体"/>
          <w:color w:val="auto"/>
          <w:highlight w:val="none"/>
        </w:rPr>
      </w:pPr>
      <w:r>
        <w:rPr>
          <w:rFonts w:hint="eastAsia" w:ascii="宋体" w:hAnsi="宋体" w:cs="宋体"/>
          <w:color w:val="auto"/>
          <w:highlight w:val="none"/>
        </w:rPr>
        <w:t xml:space="preserve">2.价格分采用低价优先法计算，即满足招标文件要求且投标价格最低的投标报价为评标基准价。其他响应单位的价格分按照下列公式计算（计算结果四舍五入保留两位小数）。</w:t>
      </w:r>
      <w:r/>
    </w:p>
    <w:p>
      <w:pPr>
        <w:pStyle w:val="1206"/>
        <w:ind w:firstLine="420"/>
        <w:rPr>
          <w:rFonts w:ascii="宋体" w:hAnsi="宋体" w:cs="宋体"/>
          <w:color w:val="auto"/>
          <w:highlight w:val="none"/>
        </w:rPr>
      </w:pPr>
      <w:r>
        <w:rPr>
          <w:rFonts w:hint="eastAsia" w:ascii="宋体" w:hAnsi="宋体" w:cs="宋体"/>
          <w:color w:val="auto"/>
          <w:highlight w:val="none"/>
        </w:rPr>
        <w:t xml:space="preserve">投标报价得分=（评标基准价/投标报价）*10%*100，小数点后保留两位。</w:t>
      </w:r>
      <w:bookmarkEnd w:id="46"/>
      <w:r/>
      <w:bookmarkEnd w:id="47"/>
      <w:r/>
      <w:r/>
    </w:p>
    <w:p>
      <w:pPr>
        <w:pStyle w:val="1206"/>
        <w:ind w:firstLine="420"/>
        <w:rPr>
          <w:rFonts w:ascii="宋体" w:hAnsi="宋体" w:cs="宋体"/>
          <w:color w:val="auto"/>
          <w:highlight w:val="none"/>
        </w:rPr>
      </w:pPr>
      <w:r>
        <w:rPr>
          <w:rFonts w:hint="eastAsia" w:ascii="宋体" w:hAnsi="宋体" w:cs="宋体"/>
          <w:color w:val="auto"/>
          <w:highlight w:val="none"/>
        </w:rPr>
        <w:t xml:space="preserve">3.报价修正规则</w:t>
      </w:r>
      <w:r/>
    </w:p>
    <w:p>
      <w:pPr>
        <w:pStyle w:val="1206"/>
        <w:ind w:firstLine="420"/>
        <w:rPr>
          <w:rFonts w:ascii="宋体" w:hAnsi="宋体" w:cs="宋体"/>
          <w:color w:val="auto"/>
          <w:highlight w:val="none"/>
        </w:rPr>
      </w:pPr>
      <w:r>
        <w:rPr>
          <w:rFonts w:hint="eastAsia" w:ascii="宋体" w:hAnsi="宋体" w:cs="宋体"/>
          <w:color w:val="auto"/>
          <w:highlight w:val="none"/>
        </w:rPr>
        <w:t xml:space="preserve">在评审中，对投标报价出现前后不一致的，除招标文件另有规定外，按照下列规定修正：</w:t>
      </w:r>
      <w:r/>
    </w:p>
    <w:p>
      <w:pPr>
        <w:pStyle w:val="1206"/>
        <w:ind w:firstLine="420"/>
        <w:rPr>
          <w:rFonts w:ascii="宋体" w:hAnsi="宋体" w:cs="宋体"/>
          <w:color w:val="auto"/>
          <w:highlight w:val="none"/>
        </w:rPr>
      </w:pPr>
      <w:r>
        <w:rPr>
          <w:rFonts w:hint="eastAsia" w:ascii="宋体" w:hAnsi="宋体" w:cs="宋体"/>
          <w:color w:val="auto"/>
          <w:highlight w:val="none"/>
        </w:rPr>
        <w:t xml:space="preserve">（1）投标文件中磋商响应报价表内容与投标文件中明细表内容不一致的，以磋商响应报价表为准。</w:t>
      </w:r>
      <w:r/>
    </w:p>
    <w:p>
      <w:pPr>
        <w:pStyle w:val="1206"/>
        <w:ind w:firstLine="420"/>
        <w:rPr>
          <w:rFonts w:ascii="宋体" w:hAnsi="宋体" w:cs="宋体"/>
          <w:color w:val="auto"/>
          <w:highlight w:val="none"/>
        </w:rPr>
      </w:pPr>
      <w:r>
        <w:rPr>
          <w:rFonts w:hint="eastAsia" w:ascii="宋体" w:hAnsi="宋体" w:cs="宋体"/>
          <w:color w:val="auto"/>
          <w:highlight w:val="none"/>
        </w:rPr>
        <w:t xml:space="preserve">（2）投标文件的大写金额和小写金额不一致的，以大写金额为准。</w:t>
      </w:r>
      <w:r/>
    </w:p>
    <w:p>
      <w:pPr>
        <w:pStyle w:val="1206"/>
        <w:ind w:firstLine="420"/>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（3）单价金额小数点或者百分比有明显错位的，以磋商响应报价表的总价为准，并修改单价。</w:t>
      </w:r>
      <w:r/>
    </w:p>
    <w:p>
      <w:pPr>
        <w:pStyle w:val="1206"/>
        <w:ind w:firstLine="420"/>
        <w:rPr>
          <w:rFonts w:ascii="宋体" w:hAnsi="宋体" w:cs="宋体"/>
          <w:color w:val="auto"/>
          <w:highlight w:val="none"/>
        </w:rPr>
      </w:pPr>
      <w:r>
        <w:rPr>
          <w:rFonts w:hint="eastAsia" w:ascii="宋体" w:hAnsi="宋体" w:cs="宋体"/>
          <w:color w:val="auto"/>
          <w:highlight w:val="none"/>
        </w:rPr>
        <w:t xml:space="preserve">（4）总价金额与按单价汇总金额不一致的，以单价金额计算结果为准。</w:t>
      </w:r>
      <w:r/>
    </w:p>
    <w:p>
      <w:pPr>
        <w:pStyle w:val="1206"/>
        <w:ind w:firstLine="420"/>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w:t>
      </w:r>
      <w:r/>
    </w:p>
    <w:p>
      <w:pPr>
        <w:pStyle w:val="1206"/>
        <w:ind w:firstLine="420"/>
        <w:rPr>
          <w:rFonts w:ascii="宋体" w:hAnsi="宋体" w:cs="宋体"/>
          <w:color w:val="auto"/>
          <w:highlight w:val="none"/>
        </w:rPr>
      </w:pPr>
      <w:r>
        <w:rPr>
          <w:rFonts w:hint="eastAsia" w:ascii="宋体" w:hAnsi="宋体" w:cs="宋体"/>
          <w:color w:val="auto"/>
          <w:highlight w:val="none"/>
        </w:rPr>
        <w:t xml:space="preserve">按上述方法调整后的投标报价经投标人确认后产生约束力，投标人不确认的，其投标无效。</w:t>
      </w:r>
      <w:r/>
    </w:p>
    <w:p>
      <w:pPr>
        <w:pStyle w:val="1206"/>
        <w:numPr>
          <w:ilvl w:val="0"/>
          <w:numId w:val="6"/>
        </w:numPr>
        <w:rPr>
          <w:rFonts w:ascii="宋体" w:hAnsi="宋体" w:cs="宋体"/>
          <w:b/>
          <w:bCs/>
          <w:color w:val="auto"/>
          <w:highlight w:val="none"/>
        </w:rPr>
      </w:pPr>
      <w:r>
        <w:rPr>
          <w:rFonts w:hint="eastAsia" w:ascii="宋体" w:hAnsi="宋体" w:cs="宋体"/>
          <w:b/>
          <w:bCs/>
          <w:color w:val="auto"/>
          <w:highlight w:val="none"/>
        </w:rPr>
        <w:t xml:space="preserve">技术及商务评分（90分）</w:t>
      </w:r>
      <w:r/>
    </w:p>
    <w:tbl>
      <w:tblPr>
        <w:tblStyle w:val="866"/>
        <w:tblW w:w="831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529"/>
        <w:gridCol w:w="5282"/>
        <w:gridCol w:w="765"/>
      </w:tblGrid>
      <w:tr>
        <w:trPr>
          <w:trHeight w:val="664"/>
        </w:trPr>
        <w:tc>
          <w:tcPr>
            <w:tcW w:w="734" w:type="dxa"/>
            <w:vAlign w:val="center"/>
            <w:textDirection w:val="lrTb"/>
            <w:noWrap w:val="false"/>
          </w:tcPr>
          <w:p>
            <w:pPr>
              <w:jc w:val="center"/>
              <w:spacing w:line="360" w:lineRule="auto"/>
              <w:widowControl/>
              <w:rPr>
                <w:rFonts w:ascii="宋体" w:hAnsi="宋体" w:cs="宋体"/>
                <w:color w:val="auto"/>
                <w:szCs w:val="24"/>
                <w:highlight w:val="none"/>
              </w:rPr>
            </w:pPr>
            <w:r>
              <w:rPr>
                <w:rFonts w:hint="eastAsia" w:ascii="宋体" w:hAnsi="宋体" w:cs="宋体"/>
                <w:color w:val="auto"/>
                <w:szCs w:val="24"/>
                <w:highlight w:val="none"/>
              </w:rPr>
              <w:t xml:space="preserve">序号</w:t>
            </w:r>
            <w:r/>
          </w:p>
        </w:tc>
        <w:tc>
          <w:tcPr>
            <w:tcW w:w="1529" w:type="dxa"/>
            <w:vAlign w:val="center"/>
            <w:textDirection w:val="lrTb"/>
            <w:noWrap w:val="false"/>
          </w:tcPr>
          <w:p>
            <w:pPr>
              <w:jc w:val="center"/>
              <w:spacing w:line="360" w:lineRule="auto"/>
              <w:widowControl/>
              <w:rPr>
                <w:rFonts w:ascii="宋体" w:hAnsi="宋体" w:cs="宋体"/>
                <w:color w:val="auto"/>
                <w:szCs w:val="24"/>
                <w:highlight w:val="none"/>
              </w:rPr>
            </w:pPr>
            <w:r>
              <w:rPr>
                <w:rFonts w:hint="eastAsia" w:ascii="宋体" w:hAnsi="宋体" w:cs="宋体"/>
                <w:color w:val="auto"/>
                <w:szCs w:val="24"/>
                <w:highlight w:val="none"/>
              </w:rPr>
              <w:t xml:space="preserve">评审因素</w:t>
            </w:r>
            <w:r/>
          </w:p>
        </w:tc>
        <w:tc>
          <w:tcPr>
            <w:tcW w:w="5282" w:type="dxa"/>
            <w:vAlign w:val="center"/>
            <w:textDirection w:val="lrTb"/>
            <w:noWrap w:val="false"/>
          </w:tcPr>
          <w:p>
            <w:pPr>
              <w:jc w:val="center"/>
              <w:spacing w:line="360" w:lineRule="auto"/>
              <w:widowControl/>
              <w:rPr>
                <w:rFonts w:ascii="宋体" w:hAnsi="宋体" w:cs="宋体"/>
                <w:color w:val="auto"/>
                <w:szCs w:val="24"/>
                <w:highlight w:val="none"/>
              </w:rPr>
            </w:pPr>
            <w:r>
              <w:rPr>
                <w:rFonts w:hint="eastAsia" w:ascii="宋体" w:hAnsi="宋体" w:cs="宋体"/>
                <w:color w:val="auto"/>
                <w:szCs w:val="24"/>
                <w:highlight w:val="none"/>
              </w:rPr>
              <w:t xml:space="preserve">评分标准</w:t>
            </w:r>
            <w:r/>
          </w:p>
        </w:tc>
        <w:tc>
          <w:tcPr>
            <w:tcW w:w="765" w:type="dxa"/>
            <w:vAlign w:val="center"/>
            <w:textDirection w:val="lrTb"/>
            <w:noWrap w:val="false"/>
          </w:tcPr>
          <w:p>
            <w:pPr>
              <w:jc w:val="center"/>
              <w:spacing w:line="360" w:lineRule="auto"/>
              <w:widowControl/>
              <w:rPr>
                <w:rFonts w:hint="eastAsia" w:ascii="宋体" w:hAnsi="宋体" w:cs="宋体"/>
                <w:color w:val="auto"/>
                <w:szCs w:val="24"/>
                <w:highlight w:val="none"/>
              </w:rPr>
            </w:pPr>
            <w:r>
              <w:rPr>
                <w:rFonts w:hint="eastAsia" w:ascii="宋体" w:hAnsi="宋体" w:cs="宋体"/>
                <w:color w:val="auto"/>
                <w:szCs w:val="24"/>
                <w:highlight w:val="none"/>
              </w:rPr>
              <w:t xml:space="preserve">分值</w:t>
            </w:r>
            <w:r/>
          </w:p>
        </w:tc>
      </w:tr>
      <w:tr>
        <w:trPr>
          <w:trHeight w:val="90"/>
        </w:trPr>
        <w:tc>
          <w:tcPr>
            <w:tcW w:w="734" w:type="dxa"/>
            <w:vAlign w:val="center"/>
            <w:textDirection w:val="lrTb"/>
            <w:noWrap w:val="false"/>
          </w:tcPr>
          <w:p>
            <w:pPr>
              <w:jc w:val="center"/>
              <w:spacing w:line="360" w:lineRule="auto"/>
              <w:widowControl/>
              <w:rPr>
                <w:rFonts w:ascii="宋体" w:hAnsi="宋体" w:cs="宋体"/>
                <w:color w:val="auto"/>
                <w:szCs w:val="24"/>
                <w:highlight w:val="none"/>
              </w:rPr>
            </w:pPr>
            <w:r>
              <w:rPr>
                <w:rFonts w:ascii="宋体" w:hAnsi="宋体" w:cs="宋体"/>
                <w:color w:val="auto"/>
                <w:szCs w:val="24"/>
                <w:highlight w:val="none"/>
              </w:rPr>
              <w:t xml:space="preserve">1</w:t>
            </w:r>
            <w:r/>
          </w:p>
        </w:tc>
        <w:tc>
          <w:tcPr>
            <w:tcW w:w="152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需求理解</w:t>
            </w:r>
            <w:r/>
          </w:p>
        </w:tc>
        <w:tc>
          <w:tcPr>
            <w:tcW w:w="5282" w:type="dxa"/>
            <w:vAlign w:val="center"/>
            <w:textDirection w:val="lrTb"/>
            <w:noWrap w:val="false"/>
          </w:tcPr>
          <w:p>
            <w:pPr>
              <w:jc w:val="left"/>
              <w:spacing w:line="360" w:lineRule="auto"/>
              <w:rPr>
                <w:rFonts w:hint="eastAsia" w:ascii="宋体" w:hAnsi="宋体" w:cs="宋体"/>
                <w:bCs/>
                <w:color w:val="auto"/>
                <w:szCs w:val="24"/>
                <w:highlight w:val="none"/>
                <w:lang w:val="zh-CN"/>
              </w:rPr>
            </w:pPr>
            <w:r>
              <w:rPr>
                <w:rFonts w:hint="eastAsia" w:ascii="宋体" w:hAnsi="宋体" w:cs="宋体"/>
                <w:bCs/>
                <w:color w:val="auto"/>
                <w:szCs w:val="24"/>
                <w:highlight w:val="none"/>
                <w:lang w:val="zh-CN"/>
              </w:rPr>
              <w:t xml:space="preserve">投标人提供</w:t>
            </w:r>
            <w:r>
              <w:rPr>
                <w:rFonts w:hint="eastAsia" w:ascii="宋体" w:hAnsi="宋体" w:cs="宋体"/>
                <w:bCs/>
                <w:color w:val="auto"/>
                <w:szCs w:val="24"/>
                <w:highlight w:val="none"/>
              </w:rPr>
              <w:t xml:space="preserve">本</w:t>
            </w:r>
            <w:r>
              <w:rPr>
                <w:rFonts w:hint="eastAsia" w:ascii="宋体" w:hAnsi="宋体" w:cs="宋体"/>
                <w:bCs/>
                <w:color w:val="auto"/>
                <w:szCs w:val="24"/>
                <w:highlight w:val="none"/>
                <w:lang w:val="zh-CN"/>
              </w:rPr>
              <w:t xml:space="preserve">项目的需求理解，包含：</w:t>
            </w:r>
            <w:r/>
          </w:p>
          <w:p>
            <w:pPr>
              <w:numPr>
                <w:ilvl w:val="0"/>
                <w:numId w:val="7"/>
              </w:numPr>
              <w:spacing w:line="360" w:lineRule="auto"/>
              <w:rPr>
                <w:rFonts w:hint="eastAsia" w:ascii="宋体" w:hAnsi="宋体" w:cs="宋体"/>
                <w:color w:val="auto"/>
                <w:szCs w:val="24"/>
                <w:highlight w:val="none"/>
              </w:rPr>
            </w:pPr>
            <w:r>
              <w:rPr>
                <w:rFonts w:ascii="宋体" w:hAnsi="宋体"/>
                <w:color w:val="auto"/>
                <w:szCs w:val="24"/>
                <w:highlight w:val="none"/>
              </w:rPr>
              <w:t xml:space="preserve">用户现状</w:t>
            </w:r>
            <w:r>
              <w:rPr>
                <w:rFonts w:hint="eastAsia" w:ascii="宋体" w:hAnsi="宋体" w:cs="宋体"/>
                <w:color w:val="auto"/>
                <w:szCs w:val="24"/>
                <w:highlight w:val="none"/>
              </w:rPr>
              <w:t xml:space="preserve">②</w:t>
            </w:r>
            <w:r>
              <w:rPr>
                <w:rFonts w:hint="eastAsia" w:ascii="宋体" w:hAnsi="宋体" w:cs="宋体"/>
                <w:bCs/>
                <w:color w:val="auto"/>
                <w:szCs w:val="24"/>
                <w:highlight w:val="none"/>
                <w:lang w:val="zh-CN"/>
              </w:rPr>
              <w:t xml:space="preserve">采购需求</w:t>
            </w:r>
            <w:r>
              <w:rPr>
                <w:rFonts w:hint="eastAsia" w:ascii="宋体" w:hAnsi="宋体" w:cs="宋体"/>
                <w:color w:val="auto"/>
                <w:szCs w:val="24"/>
                <w:highlight w:val="none"/>
              </w:rPr>
              <w:t xml:space="preserve">③</w:t>
            </w:r>
            <w:r>
              <w:rPr>
                <w:rFonts w:ascii="宋体" w:hAnsi="宋体"/>
                <w:color w:val="auto"/>
                <w:szCs w:val="24"/>
                <w:highlight w:val="none"/>
              </w:rPr>
              <w:t xml:space="preserve">服务范围</w:t>
            </w:r>
            <w:r>
              <w:rPr>
                <w:rFonts w:hint="eastAsia" w:ascii="宋体" w:hAnsi="宋体"/>
                <w:color w:val="auto"/>
                <w:szCs w:val="24"/>
                <w:highlight w:val="none"/>
                <w:lang w:eastAsia="zh-CN"/>
              </w:rPr>
              <w:t xml:space="preserve">。</w:t>
            </w:r>
            <w:r/>
          </w:p>
          <w:p>
            <w:pPr>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方案完整、符合本项目实际需求的，每</w:t>
            </w:r>
            <w:r>
              <w:rPr>
                <w:rFonts w:hint="eastAsia" w:ascii="宋体" w:hAnsi="宋体" w:cs="宋体"/>
                <w:color w:val="auto"/>
                <w:szCs w:val="24"/>
                <w:highlight w:val="none"/>
                <w:lang w:val="en-US" w:eastAsia="zh-CN"/>
              </w:rPr>
              <w:t xml:space="preserve">项</w:t>
            </w:r>
            <w:r>
              <w:rPr>
                <w:rFonts w:hint="eastAsia" w:ascii="宋体" w:hAnsi="宋体" w:cs="宋体"/>
                <w:color w:val="auto"/>
                <w:szCs w:val="24"/>
                <w:highlight w:val="none"/>
              </w:rPr>
              <w:t xml:space="preserve">得</w:t>
            </w:r>
            <w:r>
              <w:rPr>
                <w:rFonts w:ascii="宋体" w:hAnsi="宋体" w:cs="宋体"/>
                <w:color w:val="auto"/>
                <w:szCs w:val="24"/>
                <w:highlight w:val="none"/>
              </w:rPr>
              <w:t xml:space="preserve">5</w:t>
            </w:r>
            <w:r>
              <w:rPr>
                <w:rFonts w:hint="eastAsia" w:ascii="宋体" w:hAnsi="宋体" w:cs="宋体"/>
                <w:color w:val="auto"/>
                <w:szCs w:val="24"/>
                <w:highlight w:val="none"/>
              </w:rPr>
              <w:t xml:space="preserve">分，未提供不得分；每项内容里有一处内容不合理或错误的得2.5分，出现二处及以上的此项不得分。最高分</w:t>
            </w:r>
            <w:r>
              <w:rPr>
                <w:rFonts w:ascii="宋体" w:hAnsi="宋体" w:cs="宋体"/>
                <w:color w:val="auto"/>
                <w:szCs w:val="24"/>
                <w:highlight w:val="none"/>
              </w:rPr>
              <w:t xml:space="preserve">15</w:t>
            </w:r>
            <w:r>
              <w:rPr>
                <w:rFonts w:hint="eastAsia" w:ascii="宋体" w:hAnsi="宋体" w:cs="宋体"/>
                <w:color w:val="auto"/>
                <w:szCs w:val="24"/>
                <w:highlight w:val="none"/>
              </w:rPr>
              <w:t xml:space="preserve">分。</w:t>
            </w:r>
            <w:r/>
          </w:p>
          <w:p>
            <w:pPr>
              <w:jc w:val="left"/>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注：以上内容“不合理”、“错误”是指：存在不适用项目实际情况、套用其他无关内容、内容不完整、与本项目履约无关、逻辑存在漏洞以及不满足采购文件要求的其他情况。</w:t>
            </w:r>
            <w:r/>
          </w:p>
        </w:tc>
        <w:tc>
          <w:tcPr>
            <w:tcW w:w="765" w:type="dxa"/>
            <w:vAlign w:val="center"/>
            <w:textDirection w:val="lrTb"/>
            <w:noWrap w:val="false"/>
          </w:tcPr>
          <w:p>
            <w:pPr>
              <w:jc w:val="left"/>
              <w:spacing w:line="360" w:lineRule="auto"/>
              <w:rPr>
                <w:rFonts w:hint="eastAsia" w:ascii="宋体" w:hAnsi="宋体" w:cs="宋体"/>
                <w:color w:val="auto"/>
                <w:szCs w:val="24"/>
                <w:highlight w:val="none"/>
              </w:rPr>
            </w:pPr>
            <w:r>
              <w:rPr>
                <w:rFonts w:ascii="宋体" w:hAnsi="宋体" w:cs="宋体"/>
                <w:color w:val="auto"/>
                <w:szCs w:val="24"/>
                <w:highlight w:val="none"/>
              </w:rPr>
              <w:t xml:space="preserve">15</w:t>
            </w:r>
            <w:r>
              <w:rPr>
                <w:rFonts w:hint="eastAsia" w:ascii="宋体" w:hAnsi="宋体" w:cs="宋体"/>
                <w:color w:val="auto"/>
                <w:szCs w:val="24"/>
                <w:highlight w:val="none"/>
              </w:rPr>
              <w:t xml:space="preserve">分</w:t>
            </w:r>
            <w:r/>
          </w:p>
        </w:tc>
      </w:tr>
      <w:tr>
        <w:trPr>
          <w:trHeight w:val="108"/>
        </w:trPr>
        <w:tc>
          <w:tcPr>
            <w:tcW w:w="734" w:type="dxa"/>
            <w:vAlign w:val="center"/>
            <w:textDirection w:val="lrTb"/>
            <w:noWrap w:val="false"/>
          </w:tcPr>
          <w:p>
            <w:pPr>
              <w:jc w:val="center"/>
              <w:spacing w:line="360" w:lineRule="auto"/>
              <w:widowControl/>
              <w:rPr>
                <w:rFonts w:ascii="宋体" w:hAnsi="宋体" w:cs="宋体"/>
                <w:color w:val="auto"/>
                <w:szCs w:val="24"/>
                <w:highlight w:val="none"/>
              </w:rPr>
            </w:pPr>
            <w:r>
              <w:rPr>
                <w:rFonts w:hint="eastAsia" w:ascii="宋体" w:hAnsi="宋体" w:cs="宋体"/>
                <w:color w:val="auto"/>
                <w:szCs w:val="24"/>
                <w:highlight w:val="none"/>
              </w:rPr>
              <w:t xml:space="preserve">2</w:t>
            </w:r>
            <w:r/>
          </w:p>
        </w:tc>
        <w:tc>
          <w:tcPr>
            <w:tcW w:w="152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olor w:val="auto"/>
                <w:szCs w:val="24"/>
                <w:highlight w:val="none"/>
              </w:rPr>
              <w:t xml:space="preserve">服务</w:t>
            </w:r>
            <w:r>
              <w:rPr>
                <w:rFonts w:ascii="宋体" w:hAnsi="宋体"/>
                <w:color w:val="auto"/>
                <w:szCs w:val="24"/>
                <w:highlight w:val="none"/>
              </w:rPr>
              <w:t xml:space="preserve">方案</w:t>
            </w:r>
            <w:r/>
          </w:p>
        </w:tc>
        <w:tc>
          <w:tcPr>
            <w:tcW w:w="5282" w:type="dxa"/>
            <w:vAlign w:val="center"/>
            <w:textDirection w:val="lrTb"/>
            <w:noWrap w:val="false"/>
          </w:tcPr>
          <w:p>
            <w:pPr>
              <w:jc w:val="left"/>
              <w:spacing w:line="360" w:lineRule="auto"/>
              <w:rPr>
                <w:rFonts w:ascii="宋体" w:hAnsi="宋体" w:cs="宋体"/>
                <w:color w:val="auto"/>
                <w:szCs w:val="24"/>
                <w:highlight w:val="none"/>
              </w:rPr>
            </w:pPr>
            <w:r/>
            <w:bookmarkStart w:id="48" w:name="OLE_LINK10"/>
            <w:r>
              <w:rPr>
                <w:rFonts w:hint="eastAsia" w:ascii="宋体" w:hAnsi="宋体" w:cs="宋体"/>
                <w:bCs/>
                <w:color w:val="auto"/>
                <w:szCs w:val="24"/>
                <w:highlight w:val="none"/>
                <w:lang w:val="zh-CN"/>
              </w:rPr>
              <w:t xml:space="preserve">投标人</w:t>
            </w:r>
            <w:r>
              <w:rPr>
                <w:rFonts w:hint="eastAsia" w:ascii="宋体" w:hAnsi="宋体" w:cs="宋体"/>
                <w:color w:val="auto"/>
                <w:szCs w:val="24"/>
                <w:highlight w:val="none"/>
              </w:rPr>
              <w:t xml:space="preserve">提供本项目的服务方案，包含：</w:t>
            </w:r>
            <w:r/>
          </w:p>
          <w:p>
            <w:pPr>
              <w:numPr>
                <w:ilvl w:val="0"/>
                <w:numId w:val="8"/>
              </w:numPr>
              <w:spacing w:line="360" w:lineRule="auto"/>
              <w:rPr>
                <w:rFonts w:hint="eastAsia" w:ascii="宋体" w:hAnsi="宋体"/>
                <w:color w:val="auto"/>
                <w:szCs w:val="24"/>
                <w:highlight w:val="none"/>
              </w:rPr>
            </w:pPr>
            <w:r>
              <w:rPr>
                <w:rFonts w:hint="eastAsia" w:ascii="宋体" w:hAnsi="宋体"/>
                <w:color w:val="auto"/>
                <w:szCs w:val="24"/>
                <w:highlight w:val="none"/>
              </w:rPr>
              <w:t xml:space="preserve">服务内容②服务方式③服务流程</w:t>
            </w:r>
            <w:r>
              <w:rPr>
                <w:rFonts w:hint="eastAsia" w:ascii="宋体" w:hAnsi="宋体"/>
                <w:color w:val="auto"/>
                <w:szCs w:val="24"/>
                <w:highlight w:val="none"/>
                <w:lang w:eastAsia="zh-CN"/>
              </w:rPr>
              <w:t xml:space="preserve">。</w:t>
            </w:r>
            <w:r/>
          </w:p>
          <w:p>
            <w:pPr>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方案完整、符合本项目实际需求的，每项得</w:t>
            </w:r>
            <w:r>
              <w:rPr>
                <w:rFonts w:ascii="宋体" w:hAnsi="宋体" w:cs="宋体"/>
                <w:color w:val="auto"/>
                <w:szCs w:val="24"/>
                <w:highlight w:val="none"/>
              </w:rPr>
              <w:t xml:space="preserve">5</w:t>
            </w:r>
            <w:r>
              <w:rPr>
                <w:rFonts w:hint="eastAsia" w:ascii="宋体" w:hAnsi="宋体" w:cs="宋体"/>
                <w:color w:val="auto"/>
                <w:szCs w:val="24"/>
                <w:highlight w:val="none"/>
              </w:rPr>
              <w:t xml:space="preserve">分，未提供不得分；每项内容里有一处内容不合理或错误的得2.5分，出现二处及以上的此项不得分。最高分</w:t>
            </w:r>
            <w:r>
              <w:rPr>
                <w:rFonts w:ascii="宋体" w:hAnsi="宋体" w:cs="宋体"/>
                <w:color w:val="auto"/>
                <w:szCs w:val="24"/>
                <w:highlight w:val="none"/>
              </w:rPr>
              <w:t xml:space="preserve">15</w:t>
            </w:r>
            <w:r>
              <w:rPr>
                <w:rFonts w:hint="eastAsia" w:ascii="宋体" w:hAnsi="宋体" w:cs="宋体"/>
                <w:color w:val="auto"/>
                <w:szCs w:val="24"/>
                <w:highlight w:val="none"/>
              </w:rPr>
              <w:t xml:space="preserve">分。</w:t>
            </w:r>
            <w:r/>
          </w:p>
          <w:p>
            <w:pPr>
              <w:pStyle w:val="868"/>
              <w:ind w:left="0" w:firstLine="0"/>
              <w:spacing w:line="360" w:lineRule="auto"/>
              <w:rPr>
                <w:rFonts w:hint="eastAsia" w:ascii="宋体" w:hAnsi="宋体"/>
                <w:color w:val="auto"/>
                <w:szCs w:val="24"/>
                <w:highlight w:val="none"/>
              </w:rPr>
            </w:pPr>
            <w:r>
              <w:rPr>
                <w:rFonts w:hint="eastAsia" w:ascii="宋体" w:hAnsi="宋体" w:cs="宋体"/>
                <w:color w:val="auto"/>
                <w:szCs w:val="24"/>
                <w:highlight w:val="none"/>
              </w:rPr>
              <w:t xml:space="preserve">注：以上内容“不合理”、“错误”是指：存在不适用项目实际情况、套用其他无关内容、内容不完整、与本项目履约无关、逻辑存在漏洞以及不满足采购文件要求的其他情况。</w:t>
            </w:r>
            <w:bookmarkEnd w:id="48"/>
            <w:r/>
            <w:r/>
          </w:p>
        </w:tc>
        <w:tc>
          <w:tcPr>
            <w:tcW w:w="765" w:type="dxa"/>
            <w:vAlign w:val="center"/>
            <w:textDirection w:val="lrTb"/>
            <w:noWrap w:val="false"/>
          </w:tcPr>
          <w:p>
            <w:pPr>
              <w:jc w:val="left"/>
              <w:spacing w:line="360" w:lineRule="auto"/>
              <w:rPr>
                <w:rFonts w:hint="eastAsia" w:ascii="宋体" w:hAnsi="宋体" w:cs="宋体"/>
                <w:bCs/>
                <w:color w:val="auto"/>
                <w:szCs w:val="24"/>
                <w:highlight w:val="none"/>
                <w:lang w:val="zh-CN"/>
              </w:rPr>
            </w:pPr>
            <w:r>
              <w:rPr>
                <w:rFonts w:hint="eastAsia" w:ascii="宋体" w:hAnsi="宋体" w:cs="宋体"/>
                <w:bCs/>
                <w:color w:val="auto"/>
                <w:szCs w:val="24"/>
                <w:highlight w:val="none"/>
                <w:lang w:val="zh-CN"/>
              </w:rPr>
              <w:t xml:space="preserve">1</w:t>
            </w:r>
            <w:r>
              <w:rPr>
                <w:rFonts w:ascii="宋体" w:hAnsi="宋体" w:cs="宋体"/>
                <w:bCs/>
                <w:color w:val="auto"/>
                <w:szCs w:val="24"/>
                <w:highlight w:val="none"/>
                <w:lang w:val="zh-CN"/>
              </w:rPr>
              <w:t xml:space="preserve">5</w:t>
            </w:r>
            <w:r>
              <w:rPr>
                <w:rFonts w:hint="eastAsia" w:ascii="宋体" w:hAnsi="宋体" w:cs="宋体"/>
                <w:bCs/>
                <w:color w:val="auto"/>
                <w:szCs w:val="24"/>
                <w:highlight w:val="none"/>
                <w:lang w:val="zh-CN"/>
              </w:rPr>
              <w:t xml:space="preserve">分</w:t>
            </w:r>
            <w:r/>
          </w:p>
        </w:tc>
      </w:tr>
      <w:tr>
        <w:trPr>
          <w:trHeight w:val="841"/>
        </w:trPr>
        <w:tc>
          <w:tcPr>
            <w:tcW w:w="734" w:type="dxa"/>
            <w:vAlign w:val="center"/>
            <w:textDirection w:val="lrTb"/>
            <w:noWrap w:val="false"/>
          </w:tcPr>
          <w:p>
            <w:pPr>
              <w:jc w:val="center"/>
              <w:spacing w:line="360" w:lineRule="auto"/>
              <w:rPr>
                <w:rFonts w:ascii="宋体" w:hAnsi="宋体" w:cs="宋体"/>
                <w:color w:val="auto"/>
                <w:szCs w:val="24"/>
                <w:highlight w:val="none"/>
              </w:rPr>
            </w:pPr>
            <w:r>
              <w:rPr>
                <w:rFonts w:ascii="宋体" w:hAnsi="宋体" w:cs="宋体"/>
                <w:color w:val="auto"/>
                <w:szCs w:val="24"/>
                <w:highlight w:val="none"/>
              </w:rPr>
              <w:t xml:space="preserve">3</w:t>
            </w:r>
            <w:r/>
          </w:p>
        </w:tc>
        <w:tc>
          <w:tcPr>
            <w:tcW w:w="1529" w:type="dxa"/>
            <w:vAlign w:val="center"/>
            <w:textDirection w:val="lrTb"/>
            <w:noWrap w:val="false"/>
          </w:tcPr>
          <w:p>
            <w:pPr>
              <w:jc w:val="center"/>
              <w:spacing w:line="360" w:lineRule="auto"/>
              <w:rPr>
                <w:rFonts w:ascii="宋体" w:hAnsi="宋体" w:cs="宋体"/>
                <w:bCs/>
                <w:color w:val="auto"/>
                <w:szCs w:val="24"/>
                <w:highlight w:val="none"/>
              </w:rPr>
            </w:pPr>
            <w:r>
              <w:rPr>
                <w:rFonts w:hint="eastAsia" w:ascii="宋体" w:hAnsi="宋体" w:cs="宋体"/>
                <w:color w:val="auto"/>
                <w:szCs w:val="24"/>
                <w:highlight w:val="none"/>
              </w:rPr>
              <w:t xml:space="preserve">项目实施方案</w:t>
            </w:r>
            <w:r/>
          </w:p>
        </w:tc>
        <w:tc>
          <w:tcPr>
            <w:tcW w:w="5282"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bCs/>
                <w:color w:val="auto"/>
                <w:szCs w:val="24"/>
                <w:highlight w:val="none"/>
                <w:lang w:val="zh-CN"/>
              </w:rPr>
              <w:t xml:space="preserve">投标人</w:t>
            </w:r>
            <w:r>
              <w:rPr>
                <w:rFonts w:hint="eastAsia" w:ascii="宋体" w:hAnsi="宋体" w:cs="宋体"/>
                <w:color w:val="auto"/>
                <w:szCs w:val="24"/>
                <w:highlight w:val="none"/>
              </w:rPr>
              <w:t xml:space="preserve">提供本项目的实施方案，包含：</w:t>
            </w:r>
            <w:r/>
          </w:p>
          <w:p>
            <w:pPr>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①项目管理方案②质量保障体系③应急方案④系统安全方案</w:t>
            </w:r>
            <w:r>
              <w:rPr>
                <w:rFonts w:hint="eastAsia" w:ascii="宋体" w:hAnsi="宋体" w:cs="宋体"/>
                <w:color w:val="auto"/>
                <w:szCs w:val="24"/>
                <w:highlight w:val="none"/>
                <w:lang w:eastAsia="zh-CN"/>
              </w:rPr>
              <w:t xml:space="preserve">。</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方案完整、符合本项目实际需求的，每项得4分，未提供不得分；每项内容里有一处内容不合理或错误的得2分，出现二处及以上的此项不得分。最高分</w:t>
            </w:r>
            <w:r>
              <w:rPr>
                <w:rFonts w:ascii="宋体" w:hAnsi="宋体" w:cs="宋体"/>
                <w:color w:val="auto"/>
                <w:szCs w:val="24"/>
                <w:highlight w:val="none"/>
              </w:rPr>
              <w:t xml:space="preserve">1</w:t>
            </w:r>
            <w:r>
              <w:rPr>
                <w:rFonts w:hint="eastAsia" w:ascii="宋体" w:hAnsi="宋体" w:cs="宋体"/>
                <w:color w:val="auto"/>
                <w:szCs w:val="24"/>
                <w:highlight w:val="none"/>
              </w:rPr>
              <w:t xml:space="preserve">6分。</w:t>
            </w:r>
            <w:r/>
          </w:p>
          <w:p>
            <w:pP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注：以上内容“不合理”、“错误”是指：存在不适用项目实际情况、套用其他无关内容、内容不完整、与本项目履约无关、逻辑存在漏洞以及不满足采购文件要求的其他情况。</w:t>
            </w:r>
            <w:r/>
          </w:p>
        </w:tc>
        <w:tc>
          <w:tcPr>
            <w:tcW w:w="765" w:type="dxa"/>
            <w:vAlign w:val="center"/>
            <w:textDirection w:val="lrTb"/>
            <w:noWrap w:val="false"/>
          </w:tcPr>
          <w:p>
            <w:pPr>
              <w:spacing w:line="360" w:lineRule="auto"/>
              <w:rPr>
                <w:rFonts w:hint="eastAsia" w:ascii="宋体" w:hAnsi="宋体" w:cs="宋体"/>
                <w:color w:val="auto"/>
                <w:szCs w:val="24"/>
                <w:highlight w:val="none"/>
              </w:rPr>
            </w:pPr>
            <w:r>
              <w:rPr>
                <w:rFonts w:ascii="宋体" w:hAnsi="宋体" w:cs="宋体"/>
                <w:color w:val="auto"/>
                <w:szCs w:val="24"/>
                <w:highlight w:val="none"/>
              </w:rPr>
              <w:t xml:space="preserve">1</w:t>
            </w:r>
            <w:r>
              <w:rPr>
                <w:rFonts w:hint="eastAsia" w:ascii="宋体" w:hAnsi="宋体" w:cs="宋体"/>
                <w:color w:val="auto"/>
                <w:szCs w:val="24"/>
                <w:highlight w:val="none"/>
              </w:rPr>
              <w:t xml:space="preserve">6分</w:t>
            </w:r>
            <w:r/>
          </w:p>
        </w:tc>
      </w:tr>
      <w:tr>
        <w:trPr>
          <w:trHeight w:val="891"/>
        </w:trPr>
        <w:tc>
          <w:tcPr>
            <w:tcW w:w="734" w:type="dxa"/>
            <w:vAlign w:val="center"/>
            <w:textDirection w:val="lrTb"/>
            <w:noWrap w:val="false"/>
          </w:tcPr>
          <w:p>
            <w:pPr>
              <w:jc w:val="center"/>
              <w:spacing w:line="360" w:lineRule="auto"/>
              <w:rPr>
                <w:rFonts w:ascii="宋体" w:hAnsi="宋体" w:cs="宋体"/>
                <w:color w:val="auto"/>
                <w:szCs w:val="24"/>
                <w:highlight w:val="none"/>
              </w:rPr>
            </w:pPr>
            <w:r>
              <w:rPr>
                <w:rFonts w:ascii="宋体" w:hAnsi="宋体" w:cs="宋体"/>
                <w:color w:val="auto"/>
                <w:szCs w:val="24"/>
                <w:highlight w:val="none"/>
              </w:rPr>
              <w:t xml:space="preserve">4</w:t>
            </w:r>
            <w:r/>
          </w:p>
        </w:tc>
        <w:tc>
          <w:tcPr>
            <w:tcW w:w="152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培训方案</w:t>
            </w:r>
            <w:r/>
          </w:p>
        </w:tc>
        <w:tc>
          <w:tcPr>
            <w:tcW w:w="5282"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bCs/>
                <w:color w:val="auto"/>
                <w:szCs w:val="24"/>
                <w:highlight w:val="none"/>
                <w:lang w:val="zh-CN"/>
              </w:rPr>
              <w:t xml:space="preserve">投标人</w:t>
            </w:r>
            <w:r>
              <w:rPr>
                <w:rFonts w:hint="eastAsia" w:ascii="宋体" w:hAnsi="宋体" w:cs="宋体"/>
                <w:color w:val="auto"/>
                <w:szCs w:val="24"/>
                <w:highlight w:val="none"/>
              </w:rPr>
              <w:t xml:space="preserve">提供本项目的培训方案，包含：</w:t>
            </w:r>
            <w:r/>
          </w:p>
          <w:p>
            <w:pPr>
              <w:numPr>
                <w:ilvl w:val="0"/>
                <w:numId w:val="9"/>
              </w:num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培训内容②培训计划③培训对象</w:t>
            </w:r>
            <w:r>
              <w:rPr>
                <w:rFonts w:hint="eastAsia" w:ascii="宋体" w:hAnsi="宋体" w:cs="宋体"/>
                <w:color w:val="auto"/>
                <w:szCs w:val="24"/>
                <w:highlight w:val="none"/>
                <w:lang w:eastAsia="zh-CN"/>
              </w:rPr>
              <w:t xml:space="preserve">。</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方案完整、符合本项目实际需求的，每项得</w:t>
            </w:r>
            <w:r>
              <w:rPr>
                <w:rFonts w:ascii="宋体" w:hAnsi="宋体" w:cs="宋体"/>
                <w:color w:val="auto"/>
                <w:szCs w:val="24"/>
                <w:highlight w:val="none"/>
              </w:rPr>
              <w:t xml:space="preserve">4</w:t>
            </w:r>
            <w:r>
              <w:rPr>
                <w:rFonts w:hint="eastAsia" w:ascii="宋体" w:hAnsi="宋体" w:cs="宋体"/>
                <w:color w:val="auto"/>
                <w:szCs w:val="24"/>
                <w:highlight w:val="none"/>
              </w:rPr>
              <w:t xml:space="preserve">分，未提供不得分；每项内容里有一处内容不合理或错误的得2分，出现二处及以上的此项不得分。最高分</w:t>
            </w:r>
            <w:r>
              <w:rPr>
                <w:rFonts w:ascii="宋体" w:hAnsi="宋体" w:cs="宋体"/>
                <w:color w:val="auto"/>
                <w:szCs w:val="24"/>
                <w:highlight w:val="none"/>
              </w:rPr>
              <w:t xml:space="preserve">12</w:t>
            </w:r>
            <w:r>
              <w:rPr>
                <w:rFonts w:hint="eastAsia" w:ascii="宋体" w:hAnsi="宋体" w:cs="宋体"/>
                <w:color w:val="auto"/>
                <w:szCs w:val="24"/>
                <w:highlight w:val="none"/>
              </w:rPr>
              <w:t xml:space="preserve">分。</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注：以上内容“不合理”、“错误”是指：存在不适用项目实际情况、套用其他无关内容、内容不完整、与本项目履约无关、逻辑存在漏洞以及不满足采购文件要求的其他情况。</w:t>
            </w:r>
            <w:r/>
          </w:p>
        </w:tc>
        <w:tc>
          <w:tcPr>
            <w:tcW w:w="765" w:type="dxa"/>
            <w:vAlign w:val="center"/>
            <w:textDirection w:val="lrTb"/>
            <w:noWrap w:val="false"/>
          </w:tcPr>
          <w:p>
            <w:pPr>
              <w:spacing w:line="360" w:lineRule="auto"/>
              <w:rPr>
                <w:rFonts w:hint="eastAsia" w:ascii="宋体" w:hAnsi="宋体" w:cs="宋体"/>
                <w:color w:val="auto"/>
                <w:szCs w:val="24"/>
                <w:highlight w:val="none"/>
              </w:rPr>
            </w:pPr>
            <w:r>
              <w:rPr>
                <w:rFonts w:ascii="宋体" w:hAnsi="宋体" w:cs="宋体"/>
                <w:color w:val="auto"/>
                <w:szCs w:val="24"/>
                <w:highlight w:val="none"/>
              </w:rPr>
              <w:t xml:space="preserve">12</w:t>
            </w:r>
            <w:r>
              <w:rPr>
                <w:rFonts w:hint="eastAsia" w:ascii="宋体" w:hAnsi="宋体" w:cs="宋体"/>
                <w:color w:val="auto"/>
                <w:szCs w:val="24"/>
                <w:highlight w:val="none"/>
              </w:rPr>
              <w:t xml:space="preserve">分</w:t>
            </w:r>
            <w:r/>
          </w:p>
        </w:tc>
      </w:tr>
      <w:tr>
        <w:trPr>
          <w:trHeight w:val="983"/>
        </w:trPr>
        <w:tc>
          <w:tcPr>
            <w:tcW w:w="734" w:type="dxa"/>
            <w:vAlign w:val="center"/>
            <w:textDirection w:val="lrTb"/>
            <w:noWrap w:val="false"/>
          </w:tcPr>
          <w:p>
            <w:pPr>
              <w:jc w:val="center"/>
              <w:spacing w:line="360" w:lineRule="auto"/>
              <w:rPr>
                <w:rFonts w:ascii="宋体" w:hAnsi="宋体" w:cs="宋体"/>
                <w:color w:val="auto"/>
                <w:szCs w:val="24"/>
                <w:highlight w:val="none"/>
              </w:rPr>
            </w:pPr>
            <w:r>
              <w:rPr>
                <w:rFonts w:ascii="宋体" w:hAnsi="宋体" w:cs="宋体"/>
                <w:color w:val="auto"/>
                <w:szCs w:val="24"/>
                <w:highlight w:val="none"/>
              </w:rPr>
              <w:t xml:space="preserve">6</w:t>
            </w:r>
            <w:r/>
          </w:p>
        </w:tc>
        <w:tc>
          <w:tcPr>
            <w:tcW w:w="152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项目负责人</w:t>
            </w:r>
            <w:r/>
          </w:p>
        </w:tc>
        <w:tc>
          <w:tcPr>
            <w:tcW w:w="5282" w:type="dxa"/>
            <w:vAlign w:val="center"/>
            <w:textDirection w:val="lrTb"/>
            <w:noWrap w:val="false"/>
          </w:tcPr>
          <w:p>
            <w:pPr>
              <w:spacing w:line="360" w:lineRule="auto"/>
              <w:rPr>
                <w:rFonts w:ascii="宋体" w:hAnsi="宋体" w:cs="宋体"/>
                <w:color w:val="auto"/>
                <w:szCs w:val="24"/>
                <w:highlight w:val="none"/>
              </w:rPr>
            </w:pPr>
            <w:r/>
            <w:bookmarkStart w:id="49" w:name="_Hlk105068993"/>
            <w:r>
              <w:rPr>
                <w:rFonts w:ascii="宋体" w:hAnsi="宋体"/>
                <w:color w:val="auto"/>
                <w:szCs w:val="24"/>
                <w:highlight w:val="none"/>
              </w:rPr>
              <w:t xml:space="preserve">拟投入本项目的</w:t>
            </w:r>
            <w:r>
              <w:rPr>
                <w:rFonts w:hint="eastAsia" w:ascii="宋体" w:hAnsi="宋体"/>
                <w:color w:val="auto"/>
                <w:szCs w:val="24"/>
                <w:highlight w:val="none"/>
              </w:rPr>
              <w:t xml:space="preserve">项目负责人</w:t>
            </w:r>
            <w:r>
              <w:rPr>
                <w:rFonts w:ascii="宋体" w:hAnsi="宋体"/>
                <w:color w:val="auto"/>
                <w:szCs w:val="24"/>
                <w:highlight w:val="none"/>
              </w:rPr>
              <w:t xml:space="preserve">具有信息系统项目管理师</w:t>
            </w:r>
            <w:r>
              <w:rPr>
                <w:rFonts w:hint="eastAsia" w:ascii="宋体" w:hAnsi="宋体"/>
                <w:color w:val="auto"/>
                <w:szCs w:val="24"/>
                <w:highlight w:val="none"/>
                <w:lang w:val="en-US" w:eastAsia="zh-CN"/>
              </w:rPr>
              <w:t xml:space="preserve">证书得2分，且同时具有</w:t>
            </w:r>
            <w:r>
              <w:rPr>
                <w:rFonts w:hint="eastAsia" w:ascii="宋体" w:hAnsi="宋体"/>
                <w:color w:val="auto"/>
                <w:szCs w:val="24"/>
                <w:highlight w:val="none"/>
              </w:rPr>
              <w:t xml:space="preserve">信息技术类高级工程师</w:t>
            </w:r>
            <w:r>
              <w:rPr>
                <w:rFonts w:hint="eastAsia" w:ascii="宋体" w:hAnsi="宋体"/>
                <w:color w:val="auto"/>
                <w:szCs w:val="24"/>
                <w:highlight w:val="none"/>
                <w:lang w:val="en-US" w:eastAsia="zh-CN"/>
              </w:rPr>
              <w:t xml:space="preserve">证书加2分，</w:t>
            </w:r>
            <w:r>
              <w:rPr>
                <w:rFonts w:hint="eastAsia" w:ascii="宋体" w:hAnsi="宋体"/>
                <w:color w:val="auto"/>
                <w:szCs w:val="24"/>
                <w:highlight w:val="none"/>
              </w:rPr>
              <w:t xml:space="preserve">最高</w:t>
            </w:r>
            <w:r>
              <w:rPr>
                <w:rFonts w:hint="eastAsia" w:ascii="宋体" w:hAnsi="宋体"/>
                <w:color w:val="auto"/>
                <w:szCs w:val="24"/>
                <w:highlight w:val="none"/>
                <w:lang w:val="en-US" w:eastAsia="zh-CN"/>
              </w:rPr>
              <w:t xml:space="preserve">得</w:t>
            </w:r>
            <w:r>
              <w:rPr>
                <w:rFonts w:ascii="宋体" w:hAnsi="宋体"/>
                <w:color w:val="auto"/>
                <w:szCs w:val="24"/>
                <w:highlight w:val="none"/>
              </w:rPr>
              <w:t xml:space="preserve">4</w:t>
            </w:r>
            <w:r>
              <w:rPr>
                <w:rFonts w:hint="eastAsia" w:ascii="宋体" w:hAnsi="宋体"/>
                <w:color w:val="auto"/>
                <w:szCs w:val="24"/>
                <w:highlight w:val="none"/>
              </w:rPr>
              <w:t xml:space="preserve">分</w:t>
            </w:r>
            <w:r>
              <w:rPr>
                <w:rFonts w:ascii="宋体" w:hAnsi="宋体" w:cs="宋体"/>
                <w:color w:val="auto"/>
                <w:szCs w:val="24"/>
                <w:highlight w:val="none"/>
              </w:rPr>
              <w:t xml:space="preserve">。</w:t>
            </w:r>
            <w:r/>
          </w:p>
          <w:p>
            <w:pPr>
              <w:spacing w:line="360" w:lineRule="auto"/>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注：须提供证书复印件或者扫描件及响应单位为该人员缴纳的最近一个月及以上社保证明，并加盖响应单位公章。</w:t>
            </w:r>
            <w:bookmarkEnd w:id="49"/>
            <w:r/>
            <w:r/>
          </w:p>
        </w:tc>
        <w:tc>
          <w:tcPr>
            <w:tcW w:w="765"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4分</w:t>
            </w:r>
            <w:r/>
          </w:p>
        </w:tc>
      </w:tr>
      <w:tr>
        <w:trPr>
          <w:trHeight w:val="699"/>
        </w:trPr>
        <w:tc>
          <w:tcPr>
            <w:tcW w:w="734" w:type="dxa"/>
            <w:vAlign w:val="center"/>
            <w:textDirection w:val="lrTb"/>
            <w:noWrap w:val="false"/>
          </w:tcPr>
          <w:p>
            <w:pPr>
              <w:jc w:val="center"/>
              <w:spacing w:line="360" w:lineRule="auto"/>
              <w:rPr>
                <w:rFonts w:ascii="宋体" w:hAnsi="宋体" w:cs="宋体"/>
                <w:color w:val="auto"/>
                <w:szCs w:val="24"/>
                <w:highlight w:val="none"/>
              </w:rPr>
            </w:pPr>
            <w:r>
              <w:rPr>
                <w:rFonts w:ascii="宋体" w:hAnsi="宋体" w:cs="宋体"/>
                <w:color w:val="auto"/>
                <w:szCs w:val="24"/>
                <w:highlight w:val="none"/>
              </w:rPr>
              <w:t xml:space="preserve">7</w:t>
            </w:r>
            <w:r/>
          </w:p>
        </w:tc>
        <w:tc>
          <w:tcPr>
            <w:tcW w:w="1529" w:type="dxa"/>
            <w:vAlign w:val="center"/>
            <w:textDirection w:val="lrTb"/>
            <w:noWrap w:val="false"/>
          </w:tcPr>
          <w:p>
            <w:pPr>
              <w:jc w:val="center"/>
              <w:spacing w:line="360" w:lineRule="auto"/>
              <w:rPr>
                <w:rFonts w:ascii="宋体" w:hAnsi="宋体" w:cs="宋体"/>
                <w:color w:val="auto"/>
                <w:szCs w:val="24"/>
                <w:highlight w:val="none"/>
              </w:rPr>
            </w:pPr>
            <w:r/>
            <w:bookmarkStart w:id="50" w:name="_Hlk105069080"/>
            <w:r>
              <w:rPr>
                <w:rFonts w:hint="eastAsia" w:ascii="宋体" w:hAnsi="宋体" w:cs="宋体"/>
                <w:color w:val="auto"/>
                <w:szCs w:val="24"/>
                <w:highlight w:val="none"/>
              </w:rPr>
              <w:t xml:space="preserve">项目团队其他成员</w:t>
            </w:r>
            <w:bookmarkEnd w:id="50"/>
            <w:r>
              <w:rPr>
                <w:rFonts w:hint="eastAsia" w:ascii="宋体" w:hAnsi="宋体" w:cs="宋体"/>
                <w:color w:val="auto"/>
                <w:szCs w:val="24"/>
                <w:highlight w:val="none"/>
              </w:rPr>
              <w:t xml:space="preserve">（项目负责人</w:t>
            </w:r>
            <w:r>
              <w:rPr>
                <w:rFonts w:hint="eastAsia" w:ascii="宋体" w:hAnsi="宋体" w:cs="宋体"/>
                <w:color w:val="auto"/>
                <w:szCs w:val="24"/>
                <w:highlight w:val="none"/>
                <w:lang w:val="en-US" w:eastAsia="zh-CN"/>
              </w:rPr>
              <w:t xml:space="preserve">除</w:t>
            </w:r>
            <w:r>
              <w:rPr>
                <w:rFonts w:hint="eastAsia" w:ascii="宋体" w:hAnsi="宋体" w:cs="宋体"/>
                <w:color w:val="auto"/>
                <w:szCs w:val="24"/>
                <w:highlight w:val="none"/>
              </w:rPr>
              <w:t xml:space="preserve">外）</w:t>
            </w:r>
            <w:r/>
          </w:p>
        </w:tc>
        <w:tc>
          <w:tcPr>
            <w:tcW w:w="5282" w:type="dxa"/>
            <w:vAlign w:val="center"/>
            <w:textDirection w:val="lrTb"/>
            <w:noWrap w:val="false"/>
          </w:tcPr>
          <w:p>
            <w:pPr>
              <w:spacing w:line="360" w:lineRule="auto"/>
              <w:rPr>
                <w:rFonts w:ascii="宋体" w:hAnsi="宋体" w:cs="宋体"/>
                <w:color w:val="auto"/>
                <w:szCs w:val="24"/>
                <w:highlight w:val="none"/>
              </w:rPr>
            </w:pPr>
            <w:r/>
            <w:bookmarkStart w:id="51" w:name="OLE_LINK9"/>
            <w:r/>
            <w:bookmarkStart w:id="52" w:name="_Hlk105069142"/>
            <w:r>
              <w:rPr>
                <w:rFonts w:hint="eastAsia" w:ascii="宋体" w:hAnsi="宋体" w:cs="宋体"/>
                <w:color w:val="auto"/>
                <w:szCs w:val="24"/>
                <w:highlight w:val="none"/>
              </w:rPr>
              <w:t xml:space="preserve">拟投入本项目的项目组成员（项目负责人</w:t>
            </w:r>
            <w:r>
              <w:rPr>
                <w:rFonts w:hint="eastAsia" w:ascii="宋体" w:hAnsi="宋体" w:cs="宋体"/>
                <w:color w:val="auto"/>
                <w:szCs w:val="24"/>
                <w:highlight w:val="none"/>
                <w:lang w:val="en-US" w:eastAsia="zh-CN"/>
              </w:rPr>
              <w:t xml:space="preserve">除</w:t>
            </w:r>
            <w:r>
              <w:rPr>
                <w:rFonts w:hint="eastAsia" w:ascii="宋体" w:hAnsi="宋体" w:cs="宋体"/>
                <w:color w:val="auto"/>
                <w:szCs w:val="24"/>
                <w:highlight w:val="none"/>
              </w:rPr>
              <w:t xml:space="preserve">外）具有：</w:t>
            </w:r>
            <w:bookmarkEnd w:id="51"/>
            <w:r/>
            <w:r/>
          </w:p>
          <w:p>
            <w:pPr>
              <w:spacing w:line="360" w:lineRule="auto"/>
              <w:rPr>
                <w:rFonts w:hint="eastAsia" w:ascii="宋体" w:hAnsi="宋体"/>
                <w:color w:val="auto"/>
                <w:szCs w:val="24"/>
                <w:highlight w:val="none"/>
              </w:rPr>
            </w:pPr>
            <w:r>
              <w:rPr>
                <w:rFonts w:hint="eastAsia" w:ascii="宋体" w:hAnsi="宋体"/>
                <w:color w:val="auto"/>
                <w:szCs w:val="24"/>
                <w:highlight w:val="none"/>
              </w:rPr>
              <w:t xml:space="preserve">①</w:t>
            </w:r>
            <w:r>
              <w:rPr>
                <w:rFonts w:ascii="宋体" w:hAnsi="宋体"/>
                <w:color w:val="auto"/>
                <w:szCs w:val="24"/>
                <w:highlight w:val="none"/>
              </w:rPr>
              <w:t xml:space="preserve">信息系统项目管理师</w:t>
            </w:r>
            <w:r>
              <w:rPr>
                <w:rFonts w:hint="eastAsia" w:ascii="宋体" w:hAnsi="宋体"/>
                <w:color w:val="auto"/>
                <w:szCs w:val="24"/>
                <w:highlight w:val="none"/>
              </w:rPr>
              <w:t xml:space="preserve">，</w:t>
            </w:r>
            <w:r>
              <w:rPr>
                <w:rFonts w:ascii="宋体" w:hAnsi="宋体" w:cs="宋体"/>
                <w:color w:val="auto"/>
                <w:szCs w:val="24"/>
                <w:highlight w:val="none"/>
              </w:rPr>
              <w:t xml:space="preserve">每</w:t>
            </w:r>
            <w:r>
              <w:rPr>
                <w:rFonts w:hint="eastAsia" w:ascii="宋体" w:hAnsi="宋体" w:cs="宋体"/>
                <w:color w:val="auto"/>
                <w:szCs w:val="24"/>
                <w:highlight w:val="none"/>
              </w:rPr>
              <w:t xml:space="preserve">提供一</w:t>
            </w:r>
            <w:r>
              <w:rPr>
                <w:rFonts w:hint="eastAsia" w:ascii="宋体" w:hAnsi="宋体" w:cs="宋体"/>
                <w:color w:val="auto"/>
                <w:szCs w:val="24"/>
                <w:highlight w:val="none"/>
                <w:lang w:val="en-US" w:eastAsia="zh-CN"/>
              </w:rPr>
              <w:t xml:space="preserve">张</w:t>
            </w:r>
            <w:r>
              <w:rPr>
                <w:rFonts w:hint="eastAsia" w:ascii="宋体" w:hAnsi="宋体" w:cs="宋体"/>
                <w:color w:val="auto"/>
                <w:szCs w:val="24"/>
                <w:highlight w:val="none"/>
              </w:rPr>
              <w:t xml:space="preserve">证书</w:t>
            </w:r>
            <w:r>
              <w:rPr>
                <w:rFonts w:ascii="宋体" w:hAnsi="宋体" w:cs="宋体"/>
                <w:color w:val="auto"/>
                <w:szCs w:val="24"/>
                <w:highlight w:val="none"/>
              </w:rPr>
              <w:t xml:space="preserve">得2分，最高得4分</w:t>
            </w:r>
            <w:r>
              <w:rPr>
                <w:rFonts w:hint="eastAsia" w:ascii="宋体" w:hAnsi="宋体" w:cs="宋体"/>
                <w:color w:val="auto"/>
                <w:szCs w:val="24"/>
                <w:highlight w:val="none"/>
              </w:rPr>
              <w:t xml:space="preserve">；</w:t>
            </w:r>
            <w:r/>
          </w:p>
          <w:p>
            <w:pPr>
              <w:spacing w:line="360" w:lineRule="auto"/>
              <w:rPr>
                <w:rFonts w:ascii="宋体" w:hAnsi="宋体"/>
                <w:color w:val="auto"/>
                <w:szCs w:val="24"/>
                <w:highlight w:val="none"/>
              </w:rPr>
            </w:pPr>
            <w:r>
              <w:rPr>
                <w:rFonts w:hint="eastAsia" w:ascii="宋体" w:hAnsi="宋体"/>
                <w:color w:val="auto"/>
                <w:szCs w:val="24"/>
                <w:highlight w:val="none"/>
              </w:rPr>
              <w:t xml:space="preserve">②网络工程师，</w:t>
            </w:r>
            <w:r>
              <w:rPr>
                <w:rFonts w:ascii="宋体" w:hAnsi="宋体"/>
                <w:color w:val="auto"/>
                <w:szCs w:val="24"/>
                <w:highlight w:val="none"/>
              </w:rPr>
              <w:t xml:space="preserve">每</w:t>
            </w:r>
            <w:r>
              <w:rPr>
                <w:rFonts w:hint="eastAsia" w:ascii="宋体" w:hAnsi="宋体"/>
                <w:color w:val="auto"/>
                <w:szCs w:val="24"/>
                <w:highlight w:val="none"/>
              </w:rPr>
              <w:t xml:space="preserve">提供一</w:t>
            </w:r>
            <w:r>
              <w:rPr>
                <w:rFonts w:hint="eastAsia" w:ascii="宋体" w:hAnsi="宋体"/>
                <w:color w:val="auto"/>
                <w:szCs w:val="24"/>
                <w:highlight w:val="none"/>
                <w:lang w:val="en-US" w:eastAsia="zh-CN"/>
              </w:rPr>
              <w:t xml:space="preserve">张</w:t>
            </w:r>
            <w:r>
              <w:rPr>
                <w:rFonts w:hint="eastAsia" w:ascii="宋体" w:hAnsi="宋体"/>
                <w:color w:val="auto"/>
                <w:szCs w:val="24"/>
                <w:highlight w:val="none"/>
              </w:rPr>
              <w:t xml:space="preserve">证书</w:t>
            </w:r>
            <w:r>
              <w:rPr>
                <w:rFonts w:ascii="宋体" w:hAnsi="宋体"/>
                <w:color w:val="auto"/>
                <w:szCs w:val="24"/>
                <w:highlight w:val="none"/>
              </w:rPr>
              <w:t xml:space="preserve">得2分，最高得2分</w:t>
            </w:r>
            <w:r>
              <w:rPr>
                <w:rFonts w:hint="eastAsia" w:ascii="宋体" w:hAnsi="宋体"/>
                <w:color w:val="auto"/>
                <w:szCs w:val="24"/>
                <w:highlight w:val="none"/>
              </w:rPr>
              <w:t xml:space="preserve">；</w:t>
            </w:r>
            <w:r/>
          </w:p>
          <w:p>
            <w:pPr>
              <w:spacing w:line="360" w:lineRule="auto"/>
              <w:rPr>
                <w:rFonts w:hint="eastAsia" w:ascii="宋体" w:hAnsi="宋体"/>
                <w:color w:val="auto"/>
                <w:szCs w:val="24"/>
                <w:highlight w:val="none"/>
              </w:rPr>
            </w:pPr>
            <w:r>
              <w:rPr>
                <w:rFonts w:hint="eastAsia" w:ascii="宋体" w:hAnsi="宋体" w:cs="宋体"/>
                <w:color w:val="auto"/>
                <w:szCs w:val="24"/>
                <w:highlight w:val="none"/>
              </w:rPr>
              <w:t xml:space="preserve">③</w:t>
            </w:r>
            <w:r>
              <w:rPr>
                <w:rFonts w:hint="eastAsia" w:ascii="宋体" w:hAnsi="宋体"/>
                <w:color w:val="auto"/>
                <w:szCs w:val="24"/>
                <w:highlight w:val="none"/>
              </w:rPr>
              <w:t xml:space="preserve">软件设计师，</w:t>
            </w:r>
            <w:r>
              <w:rPr>
                <w:rFonts w:ascii="宋体" w:hAnsi="宋体"/>
                <w:color w:val="auto"/>
                <w:szCs w:val="24"/>
                <w:highlight w:val="none"/>
              </w:rPr>
              <w:t xml:space="preserve">每</w:t>
            </w:r>
            <w:r>
              <w:rPr>
                <w:rFonts w:hint="eastAsia" w:ascii="宋体" w:hAnsi="宋体"/>
                <w:color w:val="auto"/>
                <w:szCs w:val="24"/>
                <w:highlight w:val="none"/>
              </w:rPr>
              <w:t xml:space="preserve">提供一</w:t>
            </w:r>
            <w:r>
              <w:rPr>
                <w:rFonts w:hint="eastAsia" w:ascii="宋体" w:hAnsi="宋体"/>
                <w:color w:val="auto"/>
                <w:szCs w:val="24"/>
                <w:highlight w:val="none"/>
                <w:lang w:val="en-US" w:eastAsia="zh-CN"/>
              </w:rPr>
              <w:t xml:space="preserve">张</w:t>
            </w:r>
            <w:r>
              <w:rPr>
                <w:rFonts w:hint="eastAsia" w:ascii="宋体" w:hAnsi="宋体"/>
                <w:color w:val="auto"/>
                <w:szCs w:val="24"/>
                <w:highlight w:val="none"/>
              </w:rPr>
              <w:t xml:space="preserve">证书</w:t>
            </w:r>
            <w:r>
              <w:rPr>
                <w:rFonts w:ascii="宋体" w:hAnsi="宋体"/>
                <w:color w:val="auto"/>
                <w:szCs w:val="24"/>
                <w:highlight w:val="none"/>
              </w:rPr>
              <w:t xml:space="preserve">得2分，最高得4分</w:t>
            </w:r>
            <w:r>
              <w:rPr>
                <w:rFonts w:hint="eastAsia" w:ascii="宋体" w:hAnsi="宋体"/>
                <w:color w:val="auto"/>
                <w:szCs w:val="24"/>
                <w:highlight w:val="none"/>
              </w:rPr>
              <w:t xml:space="preserve">；</w:t>
            </w:r>
            <w:r/>
          </w:p>
          <w:p>
            <w:pPr>
              <w:pStyle w:val="1123"/>
              <w:ind w:firstLine="0"/>
              <w:jc w:val="both"/>
              <w:spacing w:line="360" w:lineRule="auto"/>
              <w:rPr>
                <w:rFonts w:ascii="宋体" w:hAnsi="宋体" w:cs="宋体"/>
                <w:color w:val="auto"/>
                <w:szCs w:val="24"/>
                <w:highlight w:val="none"/>
                <w:lang w:val="en-US"/>
              </w:rPr>
            </w:pPr>
            <w:r/>
            <w:bookmarkStart w:id="53" w:name="OLE_LINK8"/>
            <w:r>
              <w:rPr>
                <w:rFonts w:hint="eastAsia" w:ascii="宋体" w:hAnsi="宋体" w:cs="宋体"/>
                <w:color w:val="auto"/>
                <w:szCs w:val="24"/>
                <w:highlight w:val="none"/>
                <w:lang w:val="en-US"/>
              </w:rPr>
              <w:t xml:space="preserve">注：须提供证书复印件或者扫描件及响应单位为该人员缴纳的最近一个月及以上社保证明，并加盖响应单位公章</w:t>
            </w:r>
            <w:bookmarkEnd w:id="52"/>
            <w:r>
              <w:rPr>
                <w:rFonts w:hint="eastAsia" w:ascii="宋体" w:hAnsi="宋体" w:cs="宋体"/>
                <w:color w:val="auto"/>
                <w:szCs w:val="24"/>
                <w:highlight w:val="none"/>
                <w:lang w:val="en-US"/>
              </w:rPr>
              <w:t xml:space="preserve">，一人多证不可兼得。</w:t>
            </w:r>
            <w:bookmarkEnd w:id="53"/>
            <w:r/>
            <w:r/>
          </w:p>
        </w:tc>
        <w:tc>
          <w:tcPr>
            <w:tcW w:w="765" w:type="dxa"/>
            <w:vAlign w:val="center"/>
            <w:textDirection w:val="lrTb"/>
            <w:noWrap w:val="false"/>
          </w:tcPr>
          <w:p>
            <w:pPr>
              <w:pStyle w:val="1123"/>
              <w:ind w:firstLine="0"/>
              <w:jc w:val="both"/>
              <w:spacing w:line="360" w:lineRule="auto"/>
              <w:rPr>
                <w:rFonts w:hint="eastAsia" w:ascii="宋体" w:hAnsi="宋体" w:cs="宋体"/>
                <w:color w:val="auto"/>
                <w:szCs w:val="24"/>
                <w:highlight w:val="none"/>
                <w:lang w:val="en-US"/>
              </w:rPr>
            </w:pPr>
            <w:r>
              <w:rPr>
                <w:rFonts w:hint="eastAsia" w:ascii="宋体" w:hAnsi="宋体" w:cs="宋体"/>
                <w:color w:val="auto"/>
                <w:szCs w:val="24"/>
                <w:highlight w:val="none"/>
                <w:lang w:val="en-US"/>
              </w:rPr>
              <w:t xml:space="preserve">1</w:t>
            </w:r>
            <w:r>
              <w:rPr>
                <w:rFonts w:ascii="宋体" w:hAnsi="宋体" w:cs="宋体"/>
                <w:color w:val="auto"/>
                <w:szCs w:val="24"/>
                <w:highlight w:val="none"/>
                <w:lang w:val="en-US"/>
              </w:rPr>
              <w:t xml:space="preserve">0</w:t>
            </w:r>
            <w:r>
              <w:rPr>
                <w:rFonts w:hint="eastAsia" w:ascii="宋体" w:hAnsi="宋体" w:cs="宋体"/>
                <w:color w:val="auto"/>
                <w:szCs w:val="24"/>
                <w:highlight w:val="none"/>
                <w:lang w:val="en-US"/>
              </w:rPr>
              <w:t xml:space="preserve">分</w:t>
            </w:r>
            <w:r/>
          </w:p>
        </w:tc>
      </w:tr>
      <w:tr>
        <w:trPr>
          <w:trHeight w:val="1576"/>
        </w:trPr>
        <w:tc>
          <w:tcPr>
            <w:tcW w:w="734" w:type="dxa"/>
            <w:vAlign w:val="center"/>
            <w:textDirection w:val="lrTb"/>
            <w:noWrap w:val="false"/>
          </w:tcPr>
          <w:p>
            <w:pPr>
              <w:jc w:val="center"/>
              <w:spacing w:line="360" w:lineRule="auto"/>
              <w:rPr>
                <w:rFonts w:ascii="宋体" w:hAnsi="宋体" w:cs="宋体"/>
                <w:color w:val="auto"/>
                <w:szCs w:val="24"/>
                <w:highlight w:val="none"/>
              </w:rPr>
            </w:pPr>
            <w:r>
              <w:rPr>
                <w:rFonts w:ascii="宋体" w:hAnsi="宋体" w:cs="宋体"/>
                <w:color w:val="auto"/>
                <w:szCs w:val="24"/>
                <w:highlight w:val="none"/>
              </w:rPr>
              <w:t xml:space="preserve">8</w:t>
            </w:r>
            <w:r/>
          </w:p>
        </w:tc>
        <w:tc>
          <w:tcPr>
            <w:tcW w:w="152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履约能力1</w:t>
            </w:r>
            <w:r/>
          </w:p>
        </w:tc>
        <w:tc>
          <w:tcPr>
            <w:tcW w:w="5282" w:type="dxa"/>
            <w:vAlign w:val="center"/>
            <w:textDirection w:val="lrTb"/>
            <w:noWrap w:val="false"/>
          </w:tcPr>
          <w:p>
            <w:pPr>
              <w:pStyle w:val="1123"/>
              <w:ind w:firstLine="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投标人</w:t>
            </w:r>
            <w:r>
              <w:rPr>
                <w:rFonts w:ascii="宋体" w:hAnsi="宋体" w:cs="宋体"/>
                <w:color w:val="auto"/>
                <w:szCs w:val="24"/>
                <w:highlight w:val="none"/>
              </w:rPr>
              <w:t xml:space="preserve">具有</w:t>
            </w:r>
            <w:r>
              <w:rPr>
                <w:rFonts w:ascii="宋体" w:hAnsi="宋体"/>
                <w:color w:val="auto"/>
                <w:szCs w:val="24"/>
                <w:highlight w:val="none"/>
              </w:rPr>
              <w:t xml:space="preserve">有效期内的ITSS信息技术服务运行维护标准符合性证书</w:t>
            </w:r>
            <w:r>
              <w:rPr>
                <w:rFonts w:hint="eastAsia" w:ascii="宋体" w:hAnsi="宋体"/>
                <w:color w:val="auto"/>
                <w:szCs w:val="24"/>
                <w:highlight w:val="none"/>
              </w:rPr>
              <w:t xml:space="preserve">二级及以上</w:t>
            </w:r>
            <w:r>
              <w:rPr>
                <w:rFonts w:hint="eastAsia" w:ascii="宋体" w:hAnsi="宋体" w:cs="宋体"/>
                <w:color w:val="auto"/>
                <w:szCs w:val="24"/>
                <w:highlight w:val="none"/>
              </w:rPr>
              <w:t xml:space="preserve">的</w:t>
            </w:r>
            <w:r>
              <w:rPr>
                <w:rFonts w:ascii="宋体" w:hAnsi="宋体" w:cs="宋体"/>
                <w:color w:val="auto"/>
                <w:szCs w:val="24"/>
                <w:highlight w:val="none"/>
              </w:rPr>
              <w:t xml:space="preserve">得</w:t>
            </w:r>
            <w:r>
              <w:rPr>
                <w:rFonts w:hint="eastAsia" w:ascii="宋体" w:hAnsi="宋体" w:cs="宋体"/>
                <w:color w:val="auto"/>
                <w:szCs w:val="24"/>
                <w:highlight w:val="none"/>
                <w:lang w:val="en-US"/>
              </w:rPr>
              <w:t xml:space="preserve">4</w:t>
            </w:r>
            <w:r>
              <w:rPr>
                <w:rFonts w:ascii="宋体" w:hAnsi="宋体" w:cs="宋体"/>
                <w:color w:val="auto"/>
                <w:szCs w:val="24"/>
                <w:highlight w:val="none"/>
              </w:rPr>
              <w:t xml:space="preserve">分，</w:t>
            </w:r>
            <w:r>
              <w:rPr>
                <w:rFonts w:hint="eastAsia" w:ascii="宋体" w:hAnsi="宋体" w:cs="宋体"/>
                <w:color w:val="auto"/>
                <w:szCs w:val="24"/>
                <w:highlight w:val="none"/>
              </w:rPr>
              <w:t xml:space="preserve">三级的得</w:t>
            </w:r>
            <w:r>
              <w:rPr>
                <w:rFonts w:hint="eastAsia" w:ascii="宋体" w:hAnsi="宋体" w:cs="宋体"/>
                <w:color w:val="auto"/>
                <w:szCs w:val="24"/>
                <w:highlight w:val="none"/>
                <w:lang w:val="en-US"/>
              </w:rPr>
              <w:t xml:space="preserve">3</w:t>
            </w:r>
            <w:r>
              <w:rPr>
                <w:rFonts w:hint="eastAsia" w:ascii="宋体" w:hAnsi="宋体" w:cs="宋体"/>
                <w:color w:val="auto"/>
                <w:szCs w:val="24"/>
                <w:highlight w:val="none"/>
              </w:rPr>
              <w:t xml:space="preserve">分，四级的得</w:t>
            </w:r>
            <w:r>
              <w:rPr>
                <w:rFonts w:hint="eastAsia" w:ascii="宋体" w:hAnsi="宋体" w:cs="宋体"/>
                <w:color w:val="auto"/>
                <w:szCs w:val="24"/>
                <w:highlight w:val="none"/>
                <w:lang w:val="en-US"/>
              </w:rPr>
              <w:t xml:space="preserve">2</w:t>
            </w:r>
            <w:r>
              <w:rPr>
                <w:rFonts w:hint="eastAsia" w:ascii="宋体" w:hAnsi="宋体" w:cs="宋体"/>
                <w:color w:val="auto"/>
                <w:szCs w:val="24"/>
                <w:highlight w:val="none"/>
              </w:rPr>
              <w:t xml:space="preserve">分，</w:t>
            </w:r>
            <w:r>
              <w:rPr>
                <w:rFonts w:ascii="宋体" w:hAnsi="宋体" w:cs="宋体"/>
                <w:color w:val="auto"/>
                <w:szCs w:val="24"/>
                <w:highlight w:val="none"/>
              </w:rPr>
              <w:t xml:space="preserve">最高</w:t>
            </w:r>
            <w:r>
              <w:rPr>
                <w:rFonts w:hint="eastAsia" w:ascii="宋体" w:hAnsi="宋体" w:cs="宋体"/>
                <w:color w:val="auto"/>
                <w:szCs w:val="24"/>
                <w:highlight w:val="none"/>
                <w:lang w:val="en-US"/>
              </w:rPr>
              <w:t xml:space="preserve">4</w:t>
            </w:r>
            <w:r>
              <w:rPr>
                <w:rFonts w:ascii="宋体" w:hAnsi="宋体" w:cs="宋体"/>
                <w:color w:val="auto"/>
                <w:szCs w:val="24"/>
                <w:highlight w:val="none"/>
              </w:rPr>
              <w:t xml:space="preserve">分。</w:t>
            </w:r>
            <w:r>
              <w:rPr>
                <w:rFonts w:hint="eastAsia" w:ascii="宋体" w:hAnsi="宋体" w:cs="宋体"/>
                <w:color w:val="auto"/>
                <w:szCs w:val="24"/>
                <w:highlight w:val="none"/>
              </w:rPr>
              <w:t xml:space="preserve">注：响应文件中须提供有效期内清晰的证书复印件或者扫描件，并加盖响应单位公章。</w:t>
            </w:r>
            <w:r/>
          </w:p>
        </w:tc>
        <w:tc>
          <w:tcPr>
            <w:tcW w:w="765" w:type="dxa"/>
            <w:vAlign w:val="center"/>
            <w:textDirection w:val="lrTb"/>
            <w:noWrap w:val="false"/>
          </w:tcPr>
          <w:p>
            <w:pPr>
              <w:pStyle w:val="1123"/>
              <w:ind w:firstLine="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4</w:t>
            </w:r>
            <w:r>
              <w:rPr>
                <w:rFonts w:hint="eastAsia" w:ascii="宋体" w:hAnsi="宋体" w:cs="宋体"/>
                <w:color w:val="auto"/>
                <w:szCs w:val="24"/>
                <w:highlight w:val="none"/>
              </w:rPr>
              <w:t xml:space="preserve">分</w:t>
            </w:r>
            <w:r/>
          </w:p>
        </w:tc>
      </w:tr>
      <w:tr>
        <w:trPr>
          <w:trHeight w:val="1192"/>
        </w:trPr>
        <w:tc>
          <w:tcPr>
            <w:tcW w:w="734"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9</w:t>
            </w:r>
            <w:r/>
          </w:p>
        </w:tc>
        <w:tc>
          <w:tcPr>
            <w:tcW w:w="152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履约能力</w:t>
            </w:r>
            <w:r>
              <w:rPr>
                <w:rFonts w:ascii="宋体" w:hAnsi="宋体" w:cs="宋体"/>
                <w:color w:val="auto"/>
                <w:szCs w:val="24"/>
                <w:highlight w:val="none"/>
              </w:rPr>
              <w:t xml:space="preserve">2</w:t>
            </w:r>
            <w:r/>
          </w:p>
        </w:tc>
        <w:tc>
          <w:tcPr>
            <w:tcW w:w="5282" w:type="dxa"/>
            <w:vAlign w:val="center"/>
            <w:textDirection w:val="lrTb"/>
            <w:noWrap w:val="false"/>
          </w:tcPr>
          <w:p>
            <w:pPr>
              <w:pStyle w:val="1123"/>
              <w:ind w:firstLine="0"/>
              <w:spacing w:line="360" w:lineRule="auto"/>
              <w:rPr>
                <w:rFonts w:hint="eastAsia" w:ascii="宋体" w:hAnsi="宋体" w:eastAsia="宋体"/>
                <w:color w:val="auto"/>
                <w:szCs w:val="24"/>
                <w:highlight w:val="none"/>
                <w:lang w:val="en-US" w:eastAsia="zh-CN"/>
              </w:rPr>
            </w:pPr>
            <w:r>
              <w:rPr>
                <w:rFonts w:hint="eastAsia" w:ascii="宋体" w:hAnsi="宋体" w:cs="宋体"/>
                <w:color w:val="auto"/>
                <w:szCs w:val="24"/>
                <w:highlight w:val="none"/>
              </w:rPr>
              <w:t xml:space="preserve">投标人</w:t>
            </w:r>
            <w:r>
              <w:rPr>
                <w:rFonts w:hint="eastAsia" w:ascii="宋体" w:hAnsi="宋体"/>
                <w:color w:val="auto"/>
                <w:szCs w:val="24"/>
                <w:highlight w:val="none"/>
              </w:rPr>
              <w:t xml:space="preserve">具有ISO9001</w:t>
            </w:r>
            <w:r>
              <w:rPr>
                <w:rFonts w:ascii="宋体" w:hAnsi="宋体"/>
                <w:color w:val="auto"/>
                <w:szCs w:val="24"/>
                <w:highlight w:val="none"/>
              </w:rPr>
              <w:t xml:space="preserve">质量管理体系认证、</w:t>
            </w:r>
            <w:r>
              <w:rPr>
                <w:rFonts w:hint="eastAsia" w:ascii="宋体" w:hAnsi="宋体"/>
                <w:color w:val="auto"/>
                <w:szCs w:val="24"/>
                <w:highlight w:val="none"/>
              </w:rPr>
              <w:t xml:space="preserve">ISO27001</w:t>
            </w:r>
            <w:r>
              <w:rPr>
                <w:rFonts w:ascii="宋体" w:hAnsi="宋体"/>
                <w:color w:val="auto"/>
                <w:szCs w:val="24"/>
                <w:highlight w:val="none"/>
              </w:rPr>
              <w:t xml:space="preserve">信息安全体系认证</w:t>
            </w:r>
            <w:r>
              <w:rPr>
                <w:rFonts w:hint="eastAsia" w:ascii="宋体" w:hAnsi="宋体"/>
                <w:color w:val="auto"/>
                <w:szCs w:val="24"/>
                <w:highlight w:val="none"/>
              </w:rPr>
              <w:t xml:space="preserve">、ISO20000</w:t>
            </w:r>
            <w:r>
              <w:rPr>
                <w:rFonts w:ascii="宋体" w:hAnsi="宋体"/>
                <w:color w:val="auto"/>
                <w:szCs w:val="24"/>
                <w:highlight w:val="none"/>
              </w:rPr>
              <w:t xml:space="preserve">信息技术服务管理体系认证</w:t>
            </w:r>
            <w:r>
              <w:rPr>
                <w:rFonts w:hint="eastAsia" w:ascii="宋体" w:hAnsi="宋体"/>
                <w:color w:val="auto"/>
                <w:szCs w:val="24"/>
                <w:highlight w:val="none"/>
              </w:rPr>
              <w:t xml:space="preserve">，</w:t>
            </w:r>
            <w:r>
              <w:rPr>
                <w:rFonts w:ascii="宋体" w:hAnsi="宋体"/>
                <w:color w:val="auto"/>
                <w:szCs w:val="24"/>
                <w:highlight w:val="none"/>
              </w:rPr>
              <w:t xml:space="preserve">每提供一项得2分</w:t>
            </w:r>
            <w:r>
              <w:rPr>
                <w:rFonts w:hint="eastAsia" w:ascii="宋体" w:hAnsi="宋体"/>
                <w:color w:val="auto"/>
                <w:szCs w:val="24"/>
                <w:highlight w:val="none"/>
              </w:rPr>
              <w:t xml:space="preserve">，最高得</w:t>
            </w:r>
            <w:r>
              <w:rPr>
                <w:rFonts w:ascii="宋体" w:hAnsi="宋体"/>
                <w:color w:val="auto"/>
                <w:szCs w:val="24"/>
                <w:highlight w:val="none"/>
              </w:rPr>
              <w:t xml:space="preserve">6</w:t>
            </w:r>
            <w:r>
              <w:rPr>
                <w:rFonts w:hint="eastAsia" w:ascii="宋体" w:hAnsi="宋体"/>
                <w:color w:val="auto"/>
                <w:szCs w:val="24"/>
                <w:highlight w:val="none"/>
              </w:rPr>
              <w:t xml:space="preserve">分</w:t>
            </w:r>
            <w:r>
              <w:rPr>
                <w:rFonts w:hint="eastAsia" w:ascii="宋体" w:hAnsi="宋体"/>
                <w:color w:val="auto"/>
                <w:szCs w:val="24"/>
                <w:highlight w:val="none"/>
                <w:lang w:eastAsia="zh-CN"/>
              </w:rPr>
              <w:t xml:space="preserve">。注：响应文件中提供有效证书的复印件或扫描件，并加盖响应单位公章。</w:t>
            </w:r>
            <w:r/>
          </w:p>
        </w:tc>
        <w:tc>
          <w:tcPr>
            <w:tcW w:w="765" w:type="dxa"/>
            <w:vAlign w:val="center"/>
            <w:textDirection w:val="lrTb"/>
            <w:noWrap w:val="false"/>
          </w:tcPr>
          <w:p>
            <w:pPr>
              <w:pStyle w:val="1123"/>
              <w:ind w:firstLine="0"/>
              <w:spacing w:line="360" w:lineRule="auto"/>
              <w:rPr>
                <w:rFonts w:hint="eastAsia" w:ascii="宋体" w:hAnsi="宋体" w:cs="宋体"/>
                <w:color w:val="auto"/>
                <w:szCs w:val="24"/>
                <w:highlight w:val="none"/>
              </w:rPr>
            </w:pPr>
            <w:r>
              <w:rPr>
                <w:rFonts w:ascii="宋体" w:hAnsi="宋体" w:cs="宋体"/>
                <w:color w:val="auto"/>
                <w:szCs w:val="24"/>
                <w:highlight w:val="none"/>
              </w:rPr>
              <w:t xml:space="preserve">6</w:t>
            </w:r>
            <w:r>
              <w:rPr>
                <w:rFonts w:hint="eastAsia" w:ascii="宋体" w:hAnsi="宋体" w:cs="宋体"/>
                <w:color w:val="auto"/>
                <w:szCs w:val="24"/>
                <w:highlight w:val="none"/>
              </w:rPr>
              <w:t xml:space="preserve">分</w:t>
            </w:r>
            <w:r/>
          </w:p>
        </w:tc>
      </w:tr>
      <w:tr>
        <w:trPr>
          <w:trHeight w:val="541"/>
        </w:trPr>
        <w:tc>
          <w:tcPr>
            <w:tcW w:w="734" w:type="dxa"/>
            <w:vAlign w:val="center"/>
            <w:textDirection w:val="lrTb"/>
            <w:noWrap w:val="false"/>
          </w:tcPr>
          <w:p>
            <w:pPr>
              <w:jc w:val="center"/>
              <w:spacing w:line="360" w:lineRule="auto"/>
              <w:rPr>
                <w:rFonts w:hint="eastAsia" w:ascii="宋体" w:hAnsi="宋体" w:cs="宋体"/>
                <w:color w:val="auto"/>
                <w:szCs w:val="24"/>
                <w:highlight w:val="none"/>
              </w:rPr>
            </w:pPr>
            <w:r>
              <w:rPr>
                <w:rFonts w:ascii="宋体" w:hAnsi="宋体" w:cs="宋体"/>
                <w:color w:val="auto"/>
                <w:szCs w:val="24"/>
                <w:highlight w:val="none"/>
              </w:rPr>
              <w:t xml:space="preserve">1</w:t>
            </w:r>
            <w:r>
              <w:rPr>
                <w:rFonts w:hint="eastAsia" w:ascii="宋体" w:hAnsi="宋体" w:cs="宋体"/>
                <w:color w:val="auto"/>
                <w:szCs w:val="24"/>
                <w:highlight w:val="none"/>
              </w:rPr>
              <w:t xml:space="preserve">0</w:t>
            </w:r>
            <w:r/>
          </w:p>
        </w:tc>
        <w:tc>
          <w:tcPr>
            <w:tcW w:w="1529" w:type="dxa"/>
            <w:vAlign w:val="center"/>
            <w:textDirection w:val="lrTb"/>
            <w:noWrap w:val="false"/>
          </w:tcPr>
          <w:p>
            <w:pPr>
              <w:jc w:val="center"/>
              <w:spacing w:line="360" w:lineRule="auto"/>
              <w:rPr>
                <w:rFonts w:ascii="宋体" w:hAnsi="宋体" w:cs="宋体"/>
                <w:color w:val="auto"/>
                <w:szCs w:val="24"/>
                <w:highlight w:val="none"/>
              </w:rPr>
            </w:pPr>
            <w:r/>
            <w:bookmarkStart w:id="54" w:name="OLE_LINK11"/>
            <w:r>
              <w:rPr>
                <w:rFonts w:hint="eastAsia" w:ascii="宋体" w:hAnsi="宋体" w:cs="宋体"/>
                <w:color w:val="auto"/>
                <w:szCs w:val="24"/>
                <w:highlight w:val="none"/>
              </w:rPr>
              <w:t xml:space="preserve">类似业绩</w:t>
            </w:r>
            <w:bookmarkEnd w:id="54"/>
            <w:r/>
            <w:r/>
          </w:p>
        </w:tc>
        <w:tc>
          <w:tcPr>
            <w:tcW w:w="5282" w:type="dxa"/>
            <w:vAlign w:val="center"/>
            <w:textDirection w:val="lrTb"/>
            <w:noWrap w:val="false"/>
          </w:tcPr>
          <w:p>
            <w:pP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投标人自</w:t>
            </w:r>
            <w:r>
              <w:rPr>
                <w:rFonts w:ascii="宋体" w:hAnsi="宋体" w:cs="宋体"/>
                <w:color w:val="auto"/>
                <w:szCs w:val="24"/>
                <w:highlight w:val="none"/>
              </w:rPr>
              <w:t xml:space="preserve">202</w:t>
            </w:r>
            <w:r>
              <w:rPr>
                <w:rFonts w:hint="eastAsia" w:ascii="宋体" w:hAnsi="宋体" w:cs="宋体"/>
                <w:color w:val="auto"/>
                <w:szCs w:val="24"/>
                <w:highlight w:val="none"/>
              </w:rPr>
              <w:t xml:space="preserve">2</w:t>
            </w:r>
            <w:r>
              <w:rPr>
                <w:rFonts w:ascii="宋体" w:hAnsi="宋体" w:cs="宋体"/>
                <w:color w:val="auto"/>
                <w:szCs w:val="24"/>
                <w:highlight w:val="none"/>
              </w:rPr>
              <w:t xml:space="preserve">年1月1日（以合同签订日期为准）至今实施</w:t>
            </w:r>
            <w:r>
              <w:rPr>
                <w:rFonts w:hint="eastAsia" w:ascii="宋体" w:hAnsi="宋体" w:cs="宋体"/>
                <w:color w:val="auto"/>
                <w:szCs w:val="24"/>
                <w:highlight w:val="none"/>
              </w:rPr>
              <w:t xml:space="preserve">过</w:t>
            </w:r>
            <w:r>
              <w:rPr>
                <w:rFonts w:ascii="宋体" w:hAnsi="宋体" w:cs="宋体"/>
                <w:color w:val="auto"/>
                <w:szCs w:val="24"/>
                <w:highlight w:val="none"/>
              </w:rPr>
              <w:t xml:space="preserve">类似</w:t>
            </w:r>
            <w:r>
              <w:rPr>
                <w:rFonts w:hint="eastAsia" w:ascii="宋体" w:hAnsi="宋体" w:cs="宋体"/>
                <w:color w:val="auto"/>
                <w:szCs w:val="24"/>
                <w:highlight w:val="none"/>
              </w:rPr>
              <w:t xml:space="preserve">本</w:t>
            </w:r>
            <w:r>
              <w:rPr>
                <w:rFonts w:ascii="宋体" w:hAnsi="宋体" w:cs="宋体"/>
                <w:color w:val="auto"/>
                <w:szCs w:val="24"/>
                <w:highlight w:val="none"/>
              </w:rPr>
              <w:t xml:space="preserve">项目</w:t>
            </w:r>
            <w:r>
              <w:rPr>
                <w:rFonts w:hint="eastAsia" w:ascii="宋体" w:hAnsi="宋体" w:cs="宋体"/>
                <w:color w:val="auto"/>
                <w:szCs w:val="24"/>
                <w:highlight w:val="none"/>
              </w:rPr>
              <w:t xml:space="preserve">的</w:t>
            </w:r>
            <w:r>
              <w:rPr>
                <w:rFonts w:ascii="宋体" w:hAnsi="宋体" w:cs="宋体"/>
                <w:color w:val="auto"/>
                <w:szCs w:val="24"/>
                <w:highlight w:val="none"/>
              </w:rPr>
              <w:t xml:space="preserve">业绩，每提供一个得2分，最高得8分。</w:t>
            </w:r>
            <w:r>
              <w:rPr>
                <w:rFonts w:hint="eastAsia" w:ascii="宋体" w:hAnsi="宋体" w:cs="宋体"/>
                <w:color w:val="auto"/>
                <w:szCs w:val="24"/>
                <w:highlight w:val="none"/>
              </w:rPr>
              <w:t xml:space="preserve">注：</w:t>
            </w:r>
            <w:r>
              <w:rPr>
                <w:rFonts w:ascii="宋体" w:hAnsi="宋体" w:cs="宋体"/>
                <w:color w:val="auto"/>
                <w:szCs w:val="24"/>
                <w:highlight w:val="none"/>
              </w:rPr>
              <w:t xml:space="preserve">响应文件</w:t>
            </w:r>
            <w:r>
              <w:rPr>
                <w:rFonts w:hint="eastAsia" w:ascii="宋体" w:hAnsi="宋体" w:cs="宋体"/>
                <w:color w:val="auto"/>
                <w:szCs w:val="24"/>
                <w:highlight w:val="none"/>
              </w:rPr>
              <w:t xml:space="preserve">须</w:t>
            </w:r>
            <w:r>
              <w:rPr>
                <w:rFonts w:ascii="宋体" w:hAnsi="宋体" w:cs="宋体"/>
                <w:color w:val="auto"/>
                <w:szCs w:val="24"/>
                <w:highlight w:val="none"/>
              </w:rPr>
              <w:t xml:space="preserve">提供</w:t>
            </w:r>
            <w:r>
              <w:rPr>
                <w:rFonts w:hint="eastAsia" w:ascii="宋体" w:hAnsi="宋体" w:cs="宋体"/>
                <w:color w:val="auto"/>
                <w:szCs w:val="24"/>
                <w:highlight w:val="none"/>
              </w:rPr>
              <w:t xml:space="preserve">清晰的</w:t>
            </w:r>
            <w:r>
              <w:rPr>
                <w:rFonts w:ascii="宋体" w:hAnsi="宋体" w:cs="宋体"/>
                <w:color w:val="auto"/>
                <w:szCs w:val="24"/>
                <w:highlight w:val="none"/>
              </w:rPr>
              <w:t xml:space="preserve">合同复印件或扫描件，并加盖</w:t>
            </w:r>
            <w:r>
              <w:rPr>
                <w:rFonts w:hint="eastAsia" w:ascii="宋体" w:hAnsi="宋体" w:cs="宋体"/>
                <w:color w:val="auto"/>
                <w:szCs w:val="24"/>
                <w:highlight w:val="none"/>
              </w:rPr>
              <w:t xml:space="preserve">响应单位</w:t>
            </w:r>
            <w:r>
              <w:rPr>
                <w:rFonts w:ascii="宋体" w:hAnsi="宋体" w:cs="宋体"/>
                <w:color w:val="auto"/>
                <w:szCs w:val="24"/>
                <w:highlight w:val="none"/>
              </w:rPr>
              <w:t xml:space="preserve">公章。</w:t>
            </w:r>
            <w:r/>
          </w:p>
        </w:tc>
        <w:tc>
          <w:tcPr>
            <w:tcW w:w="765" w:type="dxa"/>
            <w:vAlign w:val="center"/>
            <w:textDirection w:val="lrTb"/>
            <w:noWrap w:val="false"/>
          </w:tcPr>
          <w:p>
            <w:pPr>
              <w:spacing w:line="360" w:lineRule="auto"/>
              <w:rPr>
                <w:rFonts w:hint="eastAsia" w:ascii="宋体" w:hAnsi="宋体" w:cs="宋体"/>
                <w:color w:val="auto"/>
                <w:szCs w:val="24"/>
                <w:highlight w:val="none"/>
              </w:rPr>
            </w:pPr>
            <w:r>
              <w:rPr>
                <w:rFonts w:ascii="宋体" w:hAnsi="宋体" w:cs="宋体"/>
                <w:color w:val="auto"/>
                <w:szCs w:val="24"/>
                <w:highlight w:val="none"/>
              </w:rPr>
              <w:t xml:space="preserve">8</w:t>
            </w:r>
            <w:r>
              <w:rPr>
                <w:rFonts w:hint="eastAsia" w:ascii="宋体" w:hAnsi="宋体" w:cs="宋体"/>
                <w:color w:val="auto"/>
                <w:szCs w:val="24"/>
                <w:highlight w:val="none"/>
              </w:rPr>
              <w:t xml:space="preserve">分</w:t>
            </w:r>
            <w:r/>
          </w:p>
        </w:tc>
      </w:tr>
    </w:tbl>
    <w:p>
      <w:pPr>
        <w:ind w:firstLine="211"/>
        <w:jc w:val="left"/>
        <w:rPr>
          <w:rFonts w:ascii="宋体" w:hAnsi="宋体" w:cs="宋体"/>
          <w:b/>
          <w:bCs/>
          <w:color w:val="auto"/>
          <w:szCs w:val="21"/>
          <w:highlight w:val="none"/>
        </w:rPr>
      </w:pPr>
      <w:r>
        <w:rPr>
          <w:rFonts w:hint="eastAsia" w:ascii="宋体" w:hAnsi="宋体" w:cs="宋体"/>
          <w:b/>
          <w:bCs/>
          <w:color w:val="auto"/>
          <w:szCs w:val="21"/>
          <w:highlight w:val="none"/>
        </w:rPr>
        <w:t xml:space="preserve">备注：</w:t>
      </w:r>
      <w:bookmarkEnd w:id="45"/>
      <w:r/>
      <w:r/>
    </w:p>
    <w:p>
      <w:pPr>
        <w:ind w:firstLine="210"/>
        <w:rPr>
          <w:rFonts w:ascii="宋体" w:hAnsi="宋体" w:cs="宋体"/>
          <w:bCs/>
          <w:color w:val="auto"/>
          <w:szCs w:val="21"/>
          <w:highlight w:val="none"/>
          <w:lang w:val="zh-TW" w:eastAsia="zh-TW"/>
        </w:rPr>
      </w:pPr>
      <w:r/>
      <w:bookmarkStart w:id="55" w:name="_Toc11197"/>
      <w:r>
        <w:rPr>
          <w:rFonts w:hint="eastAsia" w:ascii="宋体" w:hAnsi="宋体" w:cs="宋体"/>
          <w:bCs/>
          <w:color w:val="auto"/>
          <w:szCs w:val="21"/>
          <w:highlight w:val="none"/>
          <w:lang w:val="zh-TW" w:eastAsia="zh-TW"/>
        </w:rPr>
        <w:t xml:space="preserve">1、</w:t>
      </w:r>
      <w:r>
        <w:rPr>
          <w:rFonts w:hint="eastAsia" w:ascii="宋体" w:hAnsi="宋体" w:cs="宋体"/>
          <w:bCs/>
          <w:color w:val="auto"/>
          <w:szCs w:val="21"/>
          <w:highlight w:val="none"/>
        </w:rPr>
        <w:t xml:space="preserve">响应</w:t>
      </w:r>
      <w:r>
        <w:rPr>
          <w:rFonts w:hint="eastAsia" w:ascii="宋体" w:hAnsi="宋体" w:cs="宋体"/>
          <w:bCs/>
          <w:color w:val="auto"/>
          <w:szCs w:val="21"/>
          <w:highlight w:val="none"/>
          <w:lang w:val="zh-TW" w:eastAsia="zh-TW"/>
        </w:rPr>
        <w:t xml:space="preserve">总报价超过采购预算</w:t>
      </w:r>
      <w:r>
        <w:rPr>
          <w:rFonts w:hint="eastAsia" w:ascii="宋体" w:hAnsi="宋体" w:cs="宋体"/>
          <w:bCs/>
          <w:color w:val="auto"/>
          <w:sz w:val="21"/>
          <w:szCs w:val="21"/>
          <w:highlight w:val="none"/>
          <w:lang w:val="en-US" w:eastAsia="zh-CN"/>
        </w:rPr>
        <w:t xml:space="preserve">或最高限价</w:t>
      </w:r>
      <w:r>
        <w:rPr>
          <w:rFonts w:hint="eastAsia" w:ascii="宋体" w:hAnsi="宋体" w:cs="宋体"/>
          <w:bCs/>
          <w:color w:val="auto"/>
          <w:szCs w:val="21"/>
          <w:highlight w:val="none"/>
          <w:lang w:val="zh-TW" w:eastAsia="zh-TW"/>
        </w:rPr>
        <w:t xml:space="preserve">的将不进入综合评审程序，也不得标。</w:t>
      </w:r>
      <w:bookmarkEnd w:id="55"/>
      <w:r/>
      <w:r/>
    </w:p>
    <w:p>
      <w:pPr>
        <w:ind w:firstLine="210"/>
        <w:rPr>
          <w:rFonts w:ascii="宋体" w:hAnsi="宋体" w:cs="宋体"/>
          <w:bCs/>
          <w:color w:val="auto"/>
          <w:szCs w:val="21"/>
          <w:highlight w:val="none"/>
          <w:lang w:val="zh-TW" w:eastAsia="zh-TW"/>
        </w:rPr>
      </w:pPr>
      <w:r/>
      <w:bookmarkStart w:id="56" w:name="_Toc8909"/>
      <w:r>
        <w:rPr>
          <w:rFonts w:hint="eastAsia" w:ascii="宋体" w:hAnsi="宋体" w:cs="宋体"/>
          <w:bCs/>
          <w:color w:val="auto"/>
          <w:szCs w:val="21"/>
          <w:highlight w:val="none"/>
          <w:lang w:val="zh-TW" w:eastAsia="zh-TW"/>
        </w:rPr>
        <w:t xml:space="preserve">2、服务期、付款步骤如有负偏离的不得标。</w:t>
      </w:r>
      <w:bookmarkEnd w:id="56"/>
      <w:r/>
      <w:r/>
    </w:p>
    <w:p>
      <w:pPr>
        <w:ind w:firstLine="210"/>
        <w:rPr>
          <w:rFonts w:ascii="宋体" w:hAnsi="宋体" w:cs="宋体"/>
          <w:bCs/>
          <w:color w:val="auto"/>
          <w:szCs w:val="21"/>
          <w:highlight w:val="none"/>
          <w:lang w:val="zh-TW" w:eastAsia="zh-TW"/>
        </w:rPr>
      </w:pPr>
      <w:r/>
      <w:bookmarkStart w:id="57" w:name="_Toc22215"/>
      <w:r>
        <w:rPr>
          <w:rFonts w:hint="eastAsia" w:ascii="宋体" w:hAnsi="宋体" w:cs="宋体"/>
          <w:bCs/>
          <w:color w:val="auto"/>
          <w:szCs w:val="21"/>
          <w:highlight w:val="none"/>
          <w:lang w:val="zh-TW" w:eastAsia="zh-TW"/>
        </w:rPr>
        <w:t xml:space="preserve">3、响应文件中如出现前后不一致时,评委有权请</w:t>
      </w:r>
      <w:r>
        <w:rPr>
          <w:rFonts w:hint="eastAsia" w:ascii="宋体" w:hAnsi="宋体" w:cs="宋体"/>
          <w:bCs/>
          <w:color w:val="auto"/>
          <w:szCs w:val="21"/>
          <w:highlight w:val="none"/>
          <w:lang w:val="zh-TW"/>
        </w:rPr>
        <w:t xml:space="preserve">供应商</w:t>
      </w:r>
      <w:r>
        <w:rPr>
          <w:rFonts w:hint="eastAsia" w:ascii="宋体" w:hAnsi="宋体" w:cs="宋体"/>
          <w:bCs/>
          <w:color w:val="auto"/>
          <w:szCs w:val="21"/>
          <w:highlight w:val="none"/>
          <w:lang w:val="zh-TW" w:eastAsia="zh-TW"/>
        </w:rPr>
        <w:t xml:space="preserve">澄清说明,澄清说明事项涉及评分时,评委有权酌情扣分。</w:t>
      </w:r>
      <w:bookmarkEnd w:id="57"/>
      <w:r/>
      <w:r/>
    </w:p>
    <w:p>
      <w:pPr>
        <w:ind w:firstLine="210"/>
        <w:rPr>
          <w:rFonts w:hint="eastAsia" w:ascii="宋体" w:hAnsi="宋体" w:cs="宋体"/>
          <w:bCs/>
          <w:color w:val="auto"/>
          <w:szCs w:val="21"/>
          <w:highlight w:val="none"/>
        </w:rPr>
      </w:pPr>
      <w:r>
        <w:rPr>
          <w:rFonts w:hint="eastAsia" w:ascii="宋体" w:hAnsi="宋体" w:cs="宋体"/>
          <w:b w:val="0"/>
          <w:bCs/>
          <w:color w:val="auto"/>
          <w:szCs w:val="21"/>
          <w:highlight w:val="none"/>
        </w:rPr>
        <w:t xml:space="preserve">4、</w:t>
      </w:r>
      <w:r>
        <w:rPr>
          <w:rFonts w:hint="eastAsia" w:ascii="宋体" w:hAnsi="宋体" w:cs="宋体"/>
          <w:bCs/>
          <w:color w:val="auto"/>
          <w:szCs w:val="21"/>
          <w:highlight w:val="none"/>
        </w:rPr>
        <w:t xml:space="preserve">响应人提供资料必须真实有效，成交后采购人可对相应证书扫描件等进行原件核查，响应单位如若提供虚假资料，将承担相应法律责任。以上须要递交的资料投标截止时间之前递交，逾时递交的资料将不作为评审依据。</w:t>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5、采购文件中要求加盖响应单位公章的，可用电子签章代替。</w:t>
      </w:r>
      <w:r/>
    </w:p>
    <w:p>
      <w:pPr>
        <w:ind w:firstLine="210"/>
        <w:rPr>
          <w:rFonts w:ascii="宋体" w:hAnsi="宋体" w:cs="宋体"/>
          <w:color w:val="auto"/>
          <w:highlight w:val="none"/>
        </w:rPr>
      </w:pPr>
      <w:r>
        <w:rPr>
          <w:rFonts w:hint="eastAsia" w:ascii="宋体" w:hAnsi="宋体" w:cs="宋体"/>
          <w:bCs/>
          <w:color w:val="auto"/>
          <w:szCs w:val="21"/>
          <w:highlight w:val="none"/>
        </w:rPr>
        <w:t xml:space="preserve">6、</w:t>
      </w:r>
      <w:r>
        <w:rPr>
          <w:rFonts w:hint="eastAsia"/>
          <w:color w:val="auto"/>
          <w:highlight w:val="none"/>
        </w:rPr>
        <w:t xml:space="preserve">投标响应文件中扫描件须清晰可辨，如因扫描件模糊，造成无法辨认，该项不得分。</w:t>
      </w:r>
      <w:bookmarkStart w:id="58" w:name="_Toc29409"/>
      <w:r>
        <w:rPr>
          <w:rFonts w:hint="eastAsia" w:ascii="宋体" w:hAnsi="宋体" w:cs="宋体"/>
          <w:color w:val="auto"/>
          <w:highlight w:val="none"/>
        </w:rPr>
        <w:br w:type="page" w:clear="all"/>
      </w:r>
      <w:r/>
    </w:p>
    <w:p>
      <w:pPr>
        <w:pStyle w:val="856"/>
        <w:rPr>
          <w:color w:val="auto"/>
          <w:highlight w:val="none"/>
        </w:rPr>
      </w:pPr>
      <w:r/>
      <w:bookmarkStart w:id="59" w:name="_Toc21982"/>
      <w:r>
        <w:rPr>
          <w:rFonts w:hint="eastAsia"/>
          <w:color w:val="auto"/>
          <w:highlight w:val="none"/>
        </w:rPr>
        <w:t xml:space="preserve">五、合同主要条款</w:t>
      </w:r>
      <w:bookmarkEnd w:id="58"/>
      <w:r/>
      <w:bookmarkEnd w:id="59"/>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甲方（采购单位）：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联系电话：</w:t>
      </w:r>
      <w:r/>
    </w:p>
    <w:p>
      <w:pPr>
        <w:ind w:firstLine="422"/>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联系地址：</w:t>
      </w:r>
      <w:r>
        <w:rPr>
          <w:rFonts w:hint="eastAsia" w:ascii="宋体" w:hAnsi="宋体" w:cs="宋体"/>
          <w:b/>
          <w:bCs/>
          <w:color w:val="auto"/>
          <w:szCs w:val="21"/>
          <w:highlight w:val="none"/>
        </w:rPr>
        <w:t xml:space="preserve">                                </w:t>
      </w:r>
      <w:r/>
    </w:p>
    <w:p>
      <w:pPr>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乙方（成交单位）：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联系电话：</w:t>
      </w:r>
      <w:r/>
    </w:p>
    <w:p>
      <w:pPr>
        <w:ind w:firstLine="422"/>
        <w:rPr>
          <w:color w:val="auto"/>
          <w:highlight w:val="none"/>
        </w:rPr>
      </w:pPr>
      <w:r>
        <w:rPr>
          <w:rFonts w:hint="eastAsia" w:ascii="宋体" w:hAnsi="宋体" w:cs="宋体"/>
          <w:b/>
          <w:bCs/>
          <w:color w:val="auto"/>
          <w:szCs w:val="21"/>
          <w:highlight w:val="none"/>
          <w:lang w:val="en-US" w:eastAsia="zh-CN"/>
        </w:rPr>
        <w:t xml:space="preserve">联系地址：</w:t>
      </w:r>
      <w:r>
        <w:rPr>
          <w:rFonts w:hint="eastAsia" w:ascii="宋体" w:hAnsi="宋体" w:cs="宋体"/>
          <w:b/>
          <w:bCs/>
          <w:color w:val="auto"/>
          <w:szCs w:val="21"/>
          <w:highlight w:val="none"/>
        </w:rPr>
        <w:t xml:space="preserve"> </w:t>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60" w:name="_Toc31533"/>
      <w:r>
        <w:rPr>
          <w:rFonts w:hint="eastAsia" w:asciiTheme="minorEastAsia" w:hAnsiTheme="minorEastAsia" w:eastAsiaTheme="minorEastAsia" w:cstheme="minorEastAsia"/>
          <w:color w:val="auto"/>
          <w:sz w:val="21"/>
          <w:szCs w:val="21"/>
          <w:highlight w:val="none"/>
        </w:rPr>
        <w:t xml:space="preserve">依据甲方委托</w:t>
      </w:r>
      <w:r>
        <w:rPr>
          <w:rFonts w:hint="eastAsia" w:asciiTheme="minorEastAsia" w:hAnsiTheme="minorEastAsia" w:eastAsiaTheme="minorEastAsia" w:cstheme="minorEastAsia"/>
          <w:color w:val="auto"/>
          <w:sz w:val="21"/>
          <w:szCs w:val="21"/>
          <w:highlight w:val="none"/>
          <w:u w:val="single"/>
        </w:rPr>
        <w:t xml:space="preserve">苏州通宜房地产土地评估咨询有限公司</w:t>
      </w:r>
      <w:r>
        <w:rPr>
          <w:rFonts w:hint="eastAsia" w:asciiTheme="minorEastAsia" w:hAnsiTheme="minorEastAsia" w:eastAsiaTheme="minorEastAsia" w:cstheme="minorEastAsia"/>
          <w:color w:val="auto"/>
          <w:sz w:val="21"/>
          <w:szCs w:val="21"/>
          <w:highlight w:val="none"/>
        </w:rPr>
        <w:t xml:space="preserve">进行</w:t>
      </w:r>
      <w:r>
        <w:rPr>
          <w:rFonts w:hint="eastAsia" w:asciiTheme="minorEastAsia" w:hAnsiTheme="minorEastAsia" w:eastAsiaTheme="minorEastAsia" w:cstheme="minorEastAsia"/>
          <w:color w:val="auto"/>
          <w:sz w:val="21"/>
          <w:szCs w:val="21"/>
          <w:highlight w:val="none"/>
          <w:u w:val="single"/>
          <w:lang w:eastAsia="zh-CN"/>
        </w:rPr>
        <w:t xml:space="preserve">吴江区智慧健康软件2026年服务项目</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项目编号</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JSZC-320509-SZTY-C2026-0010</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rPr>
        <w:t xml:space="preserve">政府采购的成交结果，确定乙方为本次成交单位，现依照采购文件、乙方的响应文件及相关文件的内容，签订本合同书。</w:t>
      </w:r>
      <w:r/>
    </w:p>
    <w:p>
      <w:pPr>
        <w:spacing w:line="360" w:lineRule="auto"/>
        <w:rPr>
          <w:rFonts w:ascii="宋体" w:hAnsi="宋体" w:cs="仿宋"/>
          <w:b/>
          <w:color w:val="auto"/>
          <w:szCs w:val="21"/>
          <w:highlight w:val="none"/>
        </w:rPr>
      </w:pPr>
      <w:r>
        <w:rPr>
          <w:rFonts w:hint="eastAsia" w:ascii="宋体" w:hAnsi="宋体" w:cs="宋体"/>
          <w:color w:val="auto"/>
          <w:szCs w:val="21"/>
          <w:highlight w:val="none"/>
        </w:rPr>
        <w:t xml:space="preserve"> </w:t>
      </w:r>
      <w:bookmarkStart w:id="61" w:name="_Toc7103"/>
      <w:r/>
      <w:bookmarkStart w:id="62" w:name="_Toc21542"/>
      <w:r>
        <w:rPr>
          <w:rFonts w:hint="eastAsia" w:ascii="宋体" w:hAnsi="宋体" w:cs="仿宋"/>
          <w:b/>
          <w:color w:val="auto"/>
          <w:szCs w:val="21"/>
          <w:highlight w:val="none"/>
        </w:rPr>
        <w:t xml:space="preserve">一、</w:t>
      </w:r>
      <w:bookmarkEnd w:id="61"/>
      <w:r/>
      <w:bookmarkEnd w:id="62"/>
      <w:r>
        <w:rPr>
          <w:rFonts w:hint="eastAsia" w:ascii="宋体" w:hAnsi="宋体" w:cs="仿宋"/>
          <w:b/>
          <w:color w:val="auto"/>
          <w:szCs w:val="21"/>
          <w:highlight w:val="none"/>
        </w:rPr>
        <w:t xml:space="preserve">合同所涉及的服务基本情况及范围</w:t>
      </w:r>
      <w:r/>
    </w:p>
    <w:p>
      <w:pPr>
        <w:ind w:firstLine="420"/>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1.1 乙方</w:t>
      </w:r>
      <w:r>
        <w:rPr>
          <w:rFonts w:hint="eastAsia" w:ascii="宋体" w:hAnsi="宋体" w:cs="仿宋"/>
          <w:color w:val="auto"/>
          <w:szCs w:val="21"/>
          <w:highlight w:val="none"/>
          <w:u w:val="none"/>
        </w:rPr>
        <w:t xml:space="preserve">负责甲方</w:t>
      </w:r>
      <w:r>
        <w:rPr>
          <w:rFonts w:hint="eastAsia" w:ascii="宋体" w:hAnsi="宋体" w:cs="仿宋"/>
          <w:color w:val="auto"/>
          <w:szCs w:val="21"/>
          <w:highlight w:val="none"/>
          <w:u w:val="none"/>
          <w:lang w:val="en-US" w:eastAsia="zh-CN"/>
        </w:rPr>
        <w:t xml:space="preserve">的</w:t>
      </w:r>
      <w:r>
        <w:rPr>
          <w:rFonts w:hint="eastAsia" w:asciiTheme="minorEastAsia" w:hAnsiTheme="minorEastAsia" w:eastAsiaTheme="minorEastAsia" w:cstheme="minorEastAsia"/>
          <w:color w:val="auto"/>
          <w:sz w:val="21"/>
          <w:szCs w:val="21"/>
          <w:highlight w:val="none"/>
          <w:u w:val="none"/>
          <w:lang w:eastAsia="zh-CN"/>
        </w:rPr>
        <w:t xml:space="preserve">吴江区智慧健康软件2026年服务项目，</w:t>
      </w:r>
      <w:r>
        <w:rPr>
          <w:rFonts w:hint="eastAsia" w:asciiTheme="minorEastAsia" w:hAnsiTheme="minorEastAsia" w:eastAsiaTheme="minorEastAsia" w:cstheme="minorEastAsia"/>
          <w:color w:val="auto"/>
          <w:sz w:val="21"/>
          <w:szCs w:val="21"/>
          <w:highlight w:val="none"/>
          <w:u w:val="none"/>
          <w:lang w:val="en-US" w:eastAsia="zh-CN"/>
        </w:rPr>
        <w:t xml:space="preserve">提供</w:t>
      </w:r>
      <w:r>
        <w:rPr>
          <w:rFonts w:hint="eastAsia"/>
          <w:color w:val="auto"/>
          <w:highlight w:val="none"/>
        </w:rPr>
        <w:t xml:space="preserve">一年365天*24小时不间断的信息化系统保障服务</w:t>
      </w:r>
      <w:r>
        <w:rPr>
          <w:rFonts w:hint="eastAsia"/>
          <w:color w:val="auto"/>
          <w:highlight w:val="none"/>
          <w:lang w:eastAsia="zh-CN"/>
        </w:rPr>
        <w:t xml:space="preserve">，</w:t>
      </w:r>
      <w:r>
        <w:rPr>
          <w:rFonts w:hint="eastAsia"/>
          <w:color w:val="auto"/>
          <w:highlight w:val="none"/>
          <w:lang w:val="en-US" w:eastAsia="zh-CN"/>
        </w:rPr>
        <w:t xml:space="preserve">服务清单</w:t>
      </w:r>
      <w:r>
        <w:rPr>
          <w:rFonts w:hint="eastAsia" w:ascii="宋体" w:hAnsi="宋体" w:cs="仿宋"/>
          <w:color w:val="auto"/>
          <w:szCs w:val="21"/>
          <w:highlight w:val="none"/>
          <w:lang w:val="en-US" w:eastAsia="zh-CN"/>
        </w:rPr>
        <w:t xml:space="preserve">包括：基层医疗系统、国家医保接口服务；基层公卫系统服务；区域大数据健康平台；区域影像平台服务；资源管理平台服务；</w:t>
      </w:r>
      <w:r>
        <w:rPr>
          <w:rFonts w:hint="eastAsia"/>
          <w:color w:val="auto"/>
          <w:highlight w:val="none"/>
        </w:rPr>
        <w:t xml:space="preserve">自助机自助服务</w:t>
      </w:r>
      <w:r>
        <w:rPr>
          <w:rFonts w:hint="eastAsia" w:ascii="宋体" w:hAnsi="宋体" w:cs="仿宋"/>
          <w:color w:val="auto"/>
          <w:szCs w:val="21"/>
          <w:highlight w:val="none"/>
          <w:lang w:val="en-US" w:eastAsia="zh-CN"/>
        </w:rPr>
        <w:t xml:space="preserve">；区域检验及临检中心服务；MDT多学科远程会诊服务；区域体检系统服务</w:t>
      </w: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具体服务内容详见采购文件。</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1.2 </w:t>
      </w:r>
      <w:r>
        <w:rPr>
          <w:rFonts w:hint="eastAsia" w:ascii="宋体" w:hAnsi="宋体" w:cs="仿宋"/>
          <w:color w:val="auto"/>
          <w:szCs w:val="21"/>
          <w:highlight w:val="none"/>
        </w:rPr>
        <w:t xml:space="preserve">甲方对乙方工作进行监管和考核，若乙方不能按甲方要求实施项目，甲方有权随时解除此项合同。在合同有效期内一方不得擅自变更或中止此项合同，如未经双方同意，擅自变更或中止此项的一方要负违约责任。</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val="en-US" w:eastAsia="zh-CN"/>
        </w:rPr>
        <w:t xml:space="preserve">3 </w:t>
      </w:r>
      <w:r>
        <w:rPr>
          <w:rFonts w:hint="eastAsia" w:ascii="宋体" w:hAnsi="宋体" w:cs="仿宋"/>
          <w:color w:val="auto"/>
          <w:szCs w:val="21"/>
          <w:highlight w:val="none"/>
        </w:rPr>
        <w:t xml:space="preserve">下列合同为本合同不可分割部分，与本合同具有同等法律效力：</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①成交通知书；</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②乙方的响应合同；</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③磋商合同及其附件；</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④乙方在磋商过程中所作的其它承诺、声明、书面澄清等；</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⑤合同附件。</w:t>
      </w:r>
      <w:r/>
    </w:p>
    <w:p>
      <w:pPr>
        <w:spacing w:line="360" w:lineRule="auto"/>
        <w:rPr>
          <w:rFonts w:ascii="宋体" w:hAnsi="宋体" w:cs="仿宋"/>
          <w:b/>
          <w:color w:val="auto"/>
          <w:szCs w:val="21"/>
          <w:highlight w:val="none"/>
        </w:rPr>
      </w:pPr>
      <w:r/>
      <w:bookmarkStart w:id="63" w:name="_Toc12991"/>
      <w:r/>
      <w:bookmarkStart w:id="64" w:name="_Toc16751"/>
      <w:r>
        <w:rPr>
          <w:rFonts w:hint="eastAsia" w:ascii="宋体" w:hAnsi="宋体" w:cs="仿宋"/>
          <w:b/>
          <w:color w:val="auto"/>
          <w:szCs w:val="21"/>
          <w:highlight w:val="none"/>
        </w:rPr>
        <w:t xml:space="preserve">二、合同金额</w:t>
      </w:r>
      <w:bookmarkEnd w:id="63"/>
      <w:r/>
      <w:bookmarkEnd w:id="64"/>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本合同金额为（大写）：</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元（_____________元）人民币。</w:t>
      </w:r>
      <w:r/>
    </w:p>
    <w:p>
      <w:pPr>
        <w:spacing w:line="360" w:lineRule="auto"/>
        <w:rPr>
          <w:rFonts w:ascii="宋体" w:hAnsi="宋体" w:cs="仿宋"/>
          <w:b/>
          <w:color w:val="auto"/>
          <w:szCs w:val="21"/>
          <w:highlight w:val="none"/>
        </w:rPr>
      </w:pPr>
      <w:r/>
      <w:bookmarkStart w:id="65" w:name="_Toc19741"/>
      <w:r/>
      <w:bookmarkStart w:id="66" w:name="_Toc28390"/>
      <w:r>
        <w:rPr>
          <w:rFonts w:hint="eastAsia" w:ascii="宋体" w:hAnsi="宋体" w:cs="仿宋"/>
          <w:b/>
          <w:color w:val="auto"/>
          <w:szCs w:val="21"/>
          <w:highlight w:val="none"/>
        </w:rPr>
        <w:t xml:space="preserve">三、</w:t>
      </w:r>
      <w:bookmarkEnd w:id="65"/>
      <w:r/>
      <w:bookmarkEnd w:id="66"/>
      <w:r>
        <w:rPr>
          <w:rFonts w:hint="eastAsia" w:ascii="宋体" w:hAnsi="宋体" w:cs="仿宋"/>
          <w:b/>
          <w:color w:val="auto"/>
          <w:szCs w:val="21"/>
          <w:highlight w:val="none"/>
        </w:rPr>
        <w:t xml:space="preserve">价格与支付</w:t>
      </w:r>
      <w:r/>
    </w:p>
    <w:p>
      <w:pPr>
        <w:ind w:firstLine="420"/>
        <w:spacing w:line="360" w:lineRule="auto"/>
        <w:rPr>
          <w:rFonts w:hint="eastAsia" w:ascii="宋体" w:hAnsi="宋体" w:eastAsia="宋体" w:cs="仿宋"/>
          <w:color w:val="auto"/>
          <w:szCs w:val="21"/>
          <w:highlight w:val="none"/>
          <w:lang w:eastAsia="zh-CN"/>
        </w:rPr>
      </w:pPr>
      <w:r/>
      <w:bookmarkStart w:id="67" w:name="_Toc27048"/>
      <w:r/>
      <w:bookmarkStart w:id="68" w:name="_Toc30954"/>
      <w:r>
        <w:rPr>
          <w:rFonts w:hint="eastAsia" w:ascii="宋体" w:hAnsi="宋体" w:cs="仿宋"/>
          <w:color w:val="auto"/>
          <w:szCs w:val="21"/>
          <w:highlight w:val="none"/>
        </w:rPr>
        <w:t xml:space="preserve">3.1 合同金额包括</w:t>
      </w:r>
      <w:r>
        <w:rPr>
          <w:rFonts w:hint="eastAsia" w:ascii="宋体" w:hAnsi="宋体" w:cs="仿宋"/>
          <w:color w:val="auto"/>
          <w:szCs w:val="21"/>
          <w:highlight w:val="none"/>
          <w:lang w:val="en-US" w:eastAsia="zh-CN"/>
        </w:rPr>
        <w:t xml:space="preserve">但不限于</w:t>
      </w:r>
      <w:r>
        <w:rPr>
          <w:rFonts w:hint="eastAsia" w:ascii="宋体" w:hAnsi="宋体" w:cs="仿宋"/>
          <w:color w:val="auto"/>
          <w:szCs w:val="21"/>
          <w:highlight w:val="none"/>
        </w:rPr>
        <w:t xml:space="preserve">在相应服务期限内所需要的所有人员工资、办公设备、系统开发与调试、试运行、运维服务、成果验收费、技术支持、政策性文件规定及合同包含的所有风险、责任等其它投标单位认为应纳入的一切费用，除非合同条款中另有规定，否则，</w:t>
      </w:r>
      <w:r>
        <w:rPr>
          <w:rFonts w:hint="eastAsia" w:ascii="宋体" w:hAnsi="宋体" w:cs="仿宋"/>
          <w:color w:val="auto"/>
          <w:szCs w:val="21"/>
          <w:highlight w:val="none"/>
          <w:lang w:val="en-US" w:eastAsia="zh-CN"/>
        </w:rPr>
        <w:t xml:space="preserve">合同金额</w:t>
      </w:r>
      <w:r>
        <w:rPr>
          <w:rFonts w:hint="eastAsia" w:ascii="宋体" w:hAnsi="宋体" w:cs="仿宋"/>
          <w:color w:val="auto"/>
          <w:szCs w:val="21"/>
          <w:highlight w:val="none"/>
        </w:rPr>
        <w:t xml:space="preserve">在合同实施期间不因市场变化因素而变动</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甲方不再承担其它任何费用</w:t>
      </w:r>
      <w:r>
        <w:rPr>
          <w:rFonts w:hint="eastAsia" w:ascii="宋体" w:hAnsi="宋体" w:cs="仿宋"/>
          <w:color w:val="auto"/>
          <w:szCs w:val="21"/>
          <w:highlight w:val="none"/>
          <w:lang w:eastAsia="zh-CN"/>
        </w:rPr>
        <w:t xml:space="preserve">。</w:t>
      </w:r>
      <w:r/>
    </w:p>
    <w:p>
      <w:pPr>
        <w:ind w:firstLine="422"/>
        <w:rPr>
          <w:rFonts w:hint="eastAsia" w:ascii="宋体" w:hAnsi="宋体" w:cs="宋体"/>
          <w:b w:val="0"/>
          <w:bCs w:val="0"/>
          <w:color w:val="auto"/>
          <w:szCs w:val="21"/>
          <w:highlight w:val="none"/>
          <w:lang w:val="en-US" w:eastAsia="zh-CN" w:bidi="zh-CN"/>
        </w:rPr>
      </w:pPr>
      <w:r>
        <w:rPr>
          <w:rFonts w:hint="eastAsia" w:ascii="宋体" w:hAnsi="宋体" w:cs="仿宋"/>
          <w:color w:val="auto"/>
          <w:szCs w:val="21"/>
          <w:highlight w:val="none"/>
        </w:rPr>
        <w:t xml:space="preserve">3.2 </w:t>
      </w:r>
      <w:r>
        <w:rPr>
          <w:rFonts w:hint="eastAsia" w:ascii="宋体" w:hAnsi="宋体" w:cs="宋体"/>
          <w:b w:val="0"/>
          <w:bCs w:val="0"/>
          <w:color w:val="auto"/>
          <w:szCs w:val="21"/>
          <w:highlight w:val="none"/>
          <w:lang w:val="en-US" w:eastAsia="zh-CN" w:bidi="zh-CN"/>
        </w:rPr>
        <w:t xml:space="preserve">付款步骤：合同签订生效后，甲方向乙方支付合同总价款的30%作为预付款；合同签订后一年内甲方向乙方支付剩余的合同总价款的40%款项（累计付至合同总价款的70%）；全部运维服务结束，乙方提交全部运维归档材料，经甲方最终验收通过之日起一年内，甲方付清剩余30%合同款。</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注：（1）在履行合同过程中，追加合同金额不得超过原合同价的10%。</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（2）每次付款前乙方需按照甲方要求开具对应款项的合法有效的增值税发票。</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（3）如乙方对服务缺陷不予更正，甲方有权另请第三方单位更正服务，所发生的费用在当年应付的合同金额中扣除。</w:t>
      </w:r>
      <w:r/>
    </w:p>
    <w:p>
      <w:pPr>
        <w:ind w:firstLine="422"/>
        <w:rPr>
          <w:rFonts w:hint="eastAsia" w:ascii="宋体" w:hAnsi="宋体" w:cs="宋体"/>
          <w:b w:val="0"/>
          <w:bCs w:val="0"/>
          <w:color w:val="auto"/>
          <w:szCs w:val="21"/>
          <w:highlight w:val="none"/>
          <w:lang w:val="en-US" w:eastAsia="zh-CN" w:bidi="zh-CN"/>
        </w:rPr>
      </w:pPr>
      <w:r>
        <w:rPr>
          <w:rFonts w:hint="eastAsia" w:ascii="宋体" w:hAnsi="宋体" w:cs="宋体"/>
          <w:b w:val="0"/>
          <w:bCs w:val="0"/>
          <w:color w:val="auto"/>
          <w:szCs w:val="21"/>
          <w:highlight w:val="none"/>
          <w:lang w:val="en-US" w:eastAsia="zh-CN" w:bidi="zh-CN"/>
        </w:rPr>
        <w:t xml:space="preserve">（4）履约验收方案详见合同附件。</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3.</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 </w:t>
      </w:r>
      <w:r>
        <w:rPr>
          <w:rFonts w:hint="eastAsia" w:ascii="宋体" w:hAnsi="宋体" w:cs="仿宋"/>
          <w:color w:val="auto"/>
          <w:szCs w:val="21"/>
          <w:highlight w:val="none"/>
          <w:lang w:val="en-US" w:eastAsia="zh-CN"/>
        </w:rPr>
        <w:t xml:space="preserve">服务</w:t>
      </w:r>
      <w:r>
        <w:rPr>
          <w:rFonts w:hint="eastAsia" w:ascii="宋体" w:hAnsi="宋体" w:cs="仿宋"/>
          <w:color w:val="auto"/>
          <w:szCs w:val="21"/>
          <w:highlight w:val="none"/>
        </w:rPr>
        <w:t xml:space="preserve">期限：</w:t>
      </w:r>
      <w:r>
        <w:rPr>
          <w:rFonts w:hint="eastAsia" w:ascii="宋体" w:hAnsi="宋体" w:cs="仿宋"/>
          <w:color w:val="auto"/>
          <w:szCs w:val="21"/>
          <w:highlight w:val="none"/>
          <w:lang w:val="en-US" w:eastAsia="zh-CN"/>
        </w:rPr>
        <w:t xml:space="preserve">1年，自</w:t>
      </w:r>
      <w:r>
        <w:rPr>
          <w:rFonts w:hint="eastAsia" w:ascii="宋体" w:hAnsi="宋体" w:cs="仿宋"/>
          <w:color w:val="auto"/>
          <w:szCs w:val="21"/>
          <w:highlight w:val="none"/>
          <w:u w:val="single"/>
          <w:lang w:val="en-US" w:eastAsia="zh-CN"/>
        </w:rPr>
        <w:t xml:space="preserve">     </w:t>
      </w:r>
      <w:r>
        <w:rPr>
          <w:rFonts w:hint="eastAsia" w:ascii="宋体" w:hAnsi="宋体" w:cs="仿宋"/>
          <w:color w:val="auto"/>
          <w:szCs w:val="21"/>
          <w:highlight w:val="none"/>
          <w:u w:val="none"/>
          <w:lang w:val="en-US" w:eastAsia="zh-CN"/>
        </w:rPr>
        <w:t xml:space="preserve">年</w:t>
      </w:r>
      <w:r>
        <w:rPr>
          <w:rFonts w:hint="eastAsia" w:ascii="宋体" w:hAnsi="宋体" w:cs="仿宋"/>
          <w:color w:val="auto"/>
          <w:szCs w:val="21"/>
          <w:highlight w:val="none"/>
          <w:u w:val="single"/>
          <w:lang w:val="en-US" w:eastAsia="zh-CN"/>
        </w:rPr>
        <w:t xml:space="preserve">  </w:t>
      </w:r>
      <w:r>
        <w:rPr>
          <w:rFonts w:hint="eastAsia" w:ascii="宋体" w:hAnsi="宋体" w:cs="仿宋"/>
          <w:color w:val="auto"/>
          <w:szCs w:val="21"/>
          <w:highlight w:val="none"/>
          <w:u w:val="none"/>
          <w:lang w:val="en-US" w:eastAsia="zh-CN"/>
        </w:rPr>
        <w:t xml:space="preserve">月</w:t>
      </w:r>
      <w:r>
        <w:rPr>
          <w:rFonts w:hint="eastAsia" w:ascii="宋体" w:hAnsi="宋体" w:cs="仿宋"/>
          <w:color w:val="auto"/>
          <w:szCs w:val="21"/>
          <w:highlight w:val="none"/>
          <w:u w:val="single"/>
          <w:lang w:val="en-US" w:eastAsia="zh-CN"/>
        </w:rPr>
        <w:t xml:space="preserve">  </w:t>
      </w:r>
      <w:r>
        <w:rPr>
          <w:rFonts w:hint="eastAsia" w:ascii="宋体" w:hAnsi="宋体" w:cs="仿宋"/>
          <w:color w:val="auto"/>
          <w:szCs w:val="21"/>
          <w:highlight w:val="none"/>
          <w:u w:val="none"/>
          <w:lang w:val="en-US" w:eastAsia="zh-CN"/>
        </w:rPr>
        <w:t xml:space="preserve">日起至</w:t>
      </w:r>
      <w:r>
        <w:rPr>
          <w:rFonts w:hint="eastAsia" w:ascii="宋体" w:hAnsi="宋体" w:cs="仿宋"/>
          <w:color w:val="auto"/>
          <w:szCs w:val="21"/>
          <w:highlight w:val="none"/>
          <w:u w:val="single"/>
          <w:lang w:val="en-US" w:eastAsia="zh-CN"/>
        </w:rPr>
        <w:t xml:space="preserve">      </w:t>
      </w:r>
      <w:r>
        <w:rPr>
          <w:rFonts w:hint="eastAsia" w:ascii="宋体" w:hAnsi="宋体" w:cs="仿宋"/>
          <w:color w:val="auto"/>
          <w:szCs w:val="21"/>
          <w:highlight w:val="none"/>
          <w:u w:val="none"/>
          <w:lang w:val="en-US" w:eastAsia="zh-CN"/>
        </w:rPr>
        <w:t xml:space="preserve">年</w:t>
      </w:r>
      <w:r>
        <w:rPr>
          <w:rFonts w:hint="eastAsia" w:ascii="宋体" w:hAnsi="宋体" w:cs="仿宋"/>
          <w:color w:val="auto"/>
          <w:szCs w:val="21"/>
          <w:highlight w:val="none"/>
          <w:u w:val="single"/>
          <w:lang w:val="en-US" w:eastAsia="zh-CN"/>
        </w:rPr>
        <w:t xml:space="preserve">  </w:t>
      </w:r>
      <w:r>
        <w:rPr>
          <w:rFonts w:hint="eastAsia" w:ascii="宋体" w:hAnsi="宋体" w:cs="仿宋"/>
          <w:color w:val="auto"/>
          <w:szCs w:val="21"/>
          <w:highlight w:val="none"/>
          <w:u w:val="none"/>
          <w:lang w:val="en-US" w:eastAsia="zh-CN"/>
        </w:rPr>
        <w:t xml:space="preserve">月</w:t>
      </w:r>
      <w:r>
        <w:rPr>
          <w:rFonts w:hint="eastAsia" w:ascii="宋体" w:hAnsi="宋体" w:cs="仿宋"/>
          <w:color w:val="auto"/>
          <w:szCs w:val="21"/>
          <w:highlight w:val="none"/>
          <w:u w:val="single"/>
          <w:lang w:val="en-US" w:eastAsia="zh-CN"/>
        </w:rPr>
        <w:t xml:space="preserve">  </w:t>
      </w:r>
      <w:r>
        <w:rPr>
          <w:rFonts w:hint="eastAsia" w:ascii="宋体" w:hAnsi="宋体" w:cs="仿宋"/>
          <w:color w:val="auto"/>
          <w:szCs w:val="21"/>
          <w:highlight w:val="none"/>
          <w:u w:val="none"/>
          <w:lang w:val="en-US" w:eastAsia="zh-CN"/>
        </w:rPr>
        <w:t xml:space="preserve">日止</w:t>
      </w:r>
      <w:r>
        <w:rPr>
          <w:rFonts w:hint="eastAsia" w:ascii="宋体" w:hAnsi="宋体" w:cs="仿宋"/>
          <w:color w:val="auto"/>
          <w:szCs w:val="21"/>
          <w:highlight w:val="none"/>
        </w:rPr>
        <w:t xml:space="preserve">。</w:t>
      </w:r>
      <w:r/>
    </w:p>
    <w:p>
      <w:pPr>
        <w:spacing w:line="360" w:lineRule="auto"/>
        <w:rPr>
          <w:rFonts w:ascii="宋体" w:hAnsi="宋体" w:cs="仿宋"/>
          <w:b/>
          <w:color w:val="auto"/>
          <w:szCs w:val="21"/>
          <w:highlight w:val="none"/>
        </w:rPr>
      </w:pPr>
      <w:r>
        <w:rPr>
          <w:rFonts w:hint="eastAsia" w:ascii="宋体" w:hAnsi="宋体" w:cs="仿宋"/>
          <w:b/>
          <w:color w:val="auto"/>
          <w:szCs w:val="21"/>
          <w:highlight w:val="none"/>
        </w:rPr>
        <w:t xml:space="preserve">四、</w:t>
      </w:r>
      <w:bookmarkEnd w:id="67"/>
      <w:r/>
      <w:bookmarkEnd w:id="68"/>
      <w:r>
        <w:rPr>
          <w:rFonts w:hint="eastAsia" w:ascii="宋体" w:hAnsi="宋体" w:cs="仿宋"/>
          <w:b/>
          <w:color w:val="auto"/>
          <w:szCs w:val="21"/>
          <w:highlight w:val="none"/>
        </w:rPr>
        <w:t xml:space="preserve">服务质量要求</w:t>
      </w:r>
      <w:r/>
    </w:p>
    <w:p>
      <w:pPr>
        <w:ind w:firstLine="420"/>
        <w:jc w:val="left"/>
        <w:spacing w:line="360" w:lineRule="auto"/>
        <w:tabs>
          <w:tab w:val="left" w:pos="540" w:leader="none"/>
        </w:tabs>
        <w:rPr>
          <w:rFonts w:ascii="宋体" w:hAnsi="宋体" w:cs="仿宋"/>
          <w:color w:val="auto"/>
          <w:szCs w:val="21"/>
          <w:highlight w:val="none"/>
        </w:rPr>
      </w:pPr>
      <w:r/>
      <w:bookmarkStart w:id="69" w:name="_Toc6563"/>
      <w:r/>
      <w:bookmarkStart w:id="70" w:name="_Toc26295"/>
      <w:r>
        <w:rPr>
          <w:rFonts w:hint="eastAsia" w:ascii="宋体" w:hAnsi="宋体" w:cs="仿宋"/>
          <w:color w:val="auto"/>
          <w:szCs w:val="21"/>
          <w:highlight w:val="none"/>
        </w:rPr>
        <w:t xml:space="preserve">4.1 乙方应按磋商采购合同的有关规定提供合格的服务。服务是否合格以甲方出具的验收结果为准。</w:t>
      </w:r>
      <w:r/>
    </w:p>
    <w:p>
      <w:pPr>
        <w:jc w:val="left"/>
        <w:spacing w:line="360" w:lineRule="auto"/>
        <w:tabs>
          <w:tab w:val="left" w:pos="540" w:leader="none"/>
        </w:tabs>
        <w:rPr>
          <w:rFonts w:hint="default" w:ascii="宋体" w:hAnsi="宋体" w:eastAsia="宋体" w:cs="仿宋"/>
          <w:b/>
          <w:bCs/>
          <w:color w:val="auto"/>
          <w:szCs w:val="21"/>
          <w:highlight w:val="none"/>
          <w:lang w:val="en-US" w:eastAsia="zh-CN"/>
        </w:rPr>
      </w:pPr>
      <w:r>
        <w:rPr>
          <w:rFonts w:hint="eastAsia" w:ascii="宋体" w:hAnsi="宋体" w:cs="仿宋"/>
          <w:b/>
          <w:bCs/>
          <w:color w:val="auto"/>
          <w:szCs w:val="21"/>
          <w:highlight w:val="none"/>
        </w:rPr>
        <w:t xml:space="preserve">五、关于知识产权</w:t>
      </w:r>
      <w:r>
        <w:rPr>
          <w:rFonts w:hint="eastAsia" w:ascii="宋体" w:hAnsi="宋体" w:cs="仿宋"/>
          <w:b/>
          <w:bCs/>
          <w:color w:val="auto"/>
          <w:szCs w:val="21"/>
          <w:highlight w:val="none"/>
          <w:lang w:val="en-US" w:eastAsia="zh-CN"/>
        </w:rPr>
        <w:t xml:space="preserve">与保密</w:t>
      </w:r>
      <w:r/>
    </w:p>
    <w:p>
      <w:pPr>
        <w:ind w:firstLine="420"/>
        <w:spacing w:line="360" w:lineRule="auto"/>
        <w:widowControl/>
        <w:rPr>
          <w:rFonts w:hint="eastAsia" w:ascii="宋体" w:hAnsi="宋体" w:cs="宋体"/>
          <w:color w:val="auto"/>
          <w:szCs w:val="21"/>
          <w:highlight w:val="none"/>
          <w:lang w:eastAsia="zh-CN"/>
        </w:rPr>
      </w:pPr>
      <w:r>
        <w:rPr>
          <w:rFonts w:hint="eastAsia" w:ascii="宋体" w:hAnsi="宋体" w:cs="仿宋"/>
          <w:color w:val="auto"/>
          <w:szCs w:val="21"/>
          <w:highlight w:val="none"/>
        </w:rPr>
        <w:t xml:space="preserve">5.1 乙方应保证所提供标的和标的物涉及到的知识产权是合法取得，并享有完整的知识产权，不会因为甲方的使用而被责令停止使用、追偿或要求赔偿损失，如出现此情况，一切经济和法律责任均由乙方承担。</w:t>
      </w:r>
      <w:r>
        <w:rPr>
          <w:rFonts w:hint="eastAsia" w:ascii="宋体" w:hAnsi="宋体" w:cs="宋体"/>
          <w:color w:val="auto"/>
          <w:szCs w:val="21"/>
          <w:highlight w:val="none"/>
        </w:rPr>
        <w:t xml:space="preserve">与本次项目相关的所有项目质量安全问题均由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终身负责，如因上述原因造成的一切后果均由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自行承担，与甲方无关</w:t>
      </w:r>
      <w:r>
        <w:rPr>
          <w:rFonts w:hint="eastAsia" w:ascii="宋体" w:hAnsi="宋体" w:cs="宋体"/>
          <w:color w:val="auto"/>
          <w:szCs w:val="21"/>
          <w:highlight w:val="none"/>
          <w:lang w:eastAsia="zh-CN"/>
        </w:rPr>
        <w:t xml:space="preserve">。</w:t>
      </w:r>
      <w:bookmarkEnd w:id="69"/>
      <w:r/>
      <w:bookmarkEnd w:id="70"/>
      <w:r/>
      <w:r/>
    </w:p>
    <w:p>
      <w:pPr>
        <w:ind w:firstLine="420"/>
        <w:spacing w:line="360" w:lineRule="auto"/>
        <w:widowControl/>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5.2乙方在项目实施期间需按质量管理体系，对运维服务各阶段进行严格的质量监督与控制。在运维服务过程中要引入质量管理、文档管理等管理办法，加强问题跟踪管理，严格按照双方确定的计划进度保质保量完成工作。乙方应严格遵守国家相关法律法规，确保项目实施过程中的数据安全和系统安全，防止信息泄露和恶意攻击。项目人员应与甲方签订保密协议，人员变动应提前通知甲方，并回收系统账号权限等。对因乙方原因所造成的泄密结果，乙方应承担全部责任。</w:t>
      </w:r>
      <w:r/>
    </w:p>
    <w:p>
      <w:pPr>
        <w:jc w:val="left"/>
        <w:spacing w:line="360" w:lineRule="auto"/>
        <w:widowControl/>
        <w:rPr>
          <w:rFonts w:ascii="宋体" w:hAnsi="宋体" w:cs="仿宋"/>
          <w:b/>
          <w:color w:val="auto"/>
          <w:szCs w:val="21"/>
          <w:highlight w:val="none"/>
        </w:rPr>
      </w:pPr>
      <w:r>
        <w:rPr>
          <w:rFonts w:hint="eastAsia" w:ascii="宋体" w:hAnsi="宋体" w:cs="仿宋"/>
          <w:b/>
          <w:color w:val="auto"/>
          <w:szCs w:val="21"/>
          <w:highlight w:val="none"/>
        </w:rPr>
        <w:t xml:space="preserve">六、甲方权利和义务</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6.1 根据甲方采购要求及乙方响应合同中的承诺，对乙方提供的服务及履行本合同情况实行验收考核。</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6.2 甲方必须满足本采购合同相关要求。</w:t>
      </w:r>
      <w:r/>
    </w:p>
    <w:p>
      <w:pPr>
        <w:jc w:val="left"/>
        <w:spacing w:line="360" w:lineRule="auto"/>
        <w:widowControl/>
        <w:rPr>
          <w:rFonts w:ascii="宋体" w:hAnsi="宋体" w:cs="仿宋"/>
          <w:color w:val="auto"/>
          <w:szCs w:val="21"/>
          <w:highlight w:val="none"/>
        </w:rPr>
      </w:pPr>
      <w:r>
        <w:rPr>
          <w:rFonts w:hint="eastAsia" w:ascii="宋体" w:hAnsi="宋体" w:cs="仿宋"/>
          <w:b/>
          <w:color w:val="auto"/>
          <w:szCs w:val="21"/>
          <w:highlight w:val="none"/>
        </w:rPr>
        <w:t xml:space="preserve">七、乙方权利和义务</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7.1 乙方根据甲方有关要求，积极主动保质保量地完成此次工作。</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7.2 乙方必须满足本采购合同要求。</w:t>
      </w:r>
      <w:r/>
    </w:p>
    <w:p>
      <w:pPr>
        <w:jc w:val="left"/>
        <w:spacing w:line="360" w:lineRule="auto"/>
        <w:widowControl/>
        <w:rPr>
          <w:rFonts w:ascii="宋体" w:hAnsi="宋体" w:cs="仿宋"/>
          <w:b/>
          <w:color w:val="auto"/>
          <w:szCs w:val="21"/>
          <w:highlight w:val="none"/>
        </w:rPr>
      </w:pPr>
      <w:r>
        <w:rPr>
          <w:rFonts w:hint="eastAsia" w:ascii="宋体" w:hAnsi="宋体" w:cs="仿宋"/>
          <w:b/>
          <w:color w:val="auto"/>
          <w:szCs w:val="21"/>
          <w:highlight w:val="none"/>
        </w:rPr>
        <w:t xml:space="preserve">八、违约责任</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8.1 甲方违约责任及违约金支付</w:t>
      </w:r>
      <w:r/>
    </w:p>
    <w:p>
      <w:pPr>
        <w:ind w:firstLine="420"/>
        <w:spacing w:line="360" w:lineRule="auto"/>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1</w:t>
      </w:r>
      <w:r>
        <w:rPr>
          <w:rFonts w:hint="eastAsia"/>
          <w:color w:val="auto"/>
          <w:szCs w:val="21"/>
          <w:highlight w:val="none"/>
        </w:rPr>
        <w:t xml:space="preserve">）在合同生效后，甲方无正当理由要求乙方终止服务的，应向乙方偿付合同总价的</w:t>
      </w:r>
      <w:r>
        <w:rPr>
          <w:rFonts w:hint="eastAsia"/>
          <w:color w:val="auto"/>
          <w:szCs w:val="21"/>
          <w:highlight w:val="none"/>
          <w:lang w:val="en-US" w:eastAsia="zh-CN"/>
        </w:rPr>
        <w:t xml:space="preserve">10%的</w:t>
      </w:r>
      <w:r>
        <w:rPr>
          <w:rFonts w:hint="eastAsia"/>
          <w:color w:val="auto"/>
          <w:szCs w:val="21"/>
          <w:highlight w:val="none"/>
        </w:rPr>
        <w:t xml:space="preserve">违约金，违约金不足以补偿损失的，乙方有权要求甲方补足。</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（2）甲方违反合同规定，拒绝接受乙方提供服务，应当承担乙方由此造成的损失。</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8.2 乙方违约责任及违约金支付：</w:t>
      </w:r>
      <w:r/>
    </w:p>
    <w:p>
      <w:pPr>
        <w:ind w:firstLine="420"/>
        <w:spacing w:line="360" w:lineRule="auto"/>
        <w:rPr>
          <w:rFonts w:hint="eastAsia"/>
          <w:color w:val="auto"/>
          <w:szCs w:val="21"/>
          <w:highlight w:val="none"/>
        </w:rPr>
      </w:pPr>
      <w:r>
        <w:rPr>
          <w:rFonts w:hint="eastAsia"/>
          <w:color w:val="auto"/>
          <w:szCs w:val="21"/>
          <w:highlight w:val="none"/>
        </w:rPr>
        <w:t xml:space="preserve">（1）乙方不能提供服务的，或服务不合格从而影响甲方按期正常使用的，需退还甲方已付全部款项，并应向甲方偿付合同总价款</w:t>
      </w:r>
      <w:r>
        <w:rPr>
          <w:rFonts w:hint="eastAsia"/>
          <w:color w:val="auto"/>
          <w:szCs w:val="21"/>
          <w:highlight w:val="none"/>
          <w:lang w:val="en-US" w:eastAsia="zh-CN"/>
        </w:rPr>
        <w:t xml:space="preserve">10%的</w:t>
      </w:r>
      <w:r>
        <w:rPr>
          <w:rFonts w:hint="eastAsia"/>
          <w:color w:val="auto"/>
          <w:szCs w:val="21"/>
          <w:highlight w:val="none"/>
        </w:rPr>
        <w:t xml:space="preserve">违约金，违约金不足以补偿损失的，甲方有权要求乙方补足。</w:t>
      </w:r>
      <w:r/>
    </w:p>
    <w:p>
      <w:pPr>
        <w:ind w:firstLine="420"/>
        <w:spacing w:line="360" w:lineRule="auto"/>
        <w:rPr>
          <w:rFonts w:hint="eastAsia"/>
          <w:color w:val="auto"/>
          <w:szCs w:val="21"/>
          <w:highlight w:val="none"/>
        </w:rPr>
      </w:pPr>
      <w:r>
        <w:rPr>
          <w:rFonts w:hint="eastAsia"/>
          <w:color w:val="auto"/>
          <w:szCs w:val="21"/>
          <w:highlight w:val="none"/>
        </w:rPr>
        <w:t xml:space="preserve">（2）若乙方逾期提供服务的，应与甲方和政府采购管理部门协商，若甲方仍有需求的，乙方应立即提供服务，并需按照合同价款每日万分之四的标准向甲方支付逾期违约金，同时承担甲方因此遭受的损失费用。</w:t>
      </w:r>
      <w:r/>
    </w:p>
    <w:p>
      <w:pPr>
        <w:jc w:val="left"/>
        <w:spacing w:line="360" w:lineRule="auto"/>
        <w:widowControl/>
        <w:rPr>
          <w:rFonts w:ascii="宋体" w:hAnsi="宋体" w:cs="仿宋"/>
          <w:b/>
          <w:color w:val="auto"/>
          <w:szCs w:val="21"/>
          <w:highlight w:val="none"/>
        </w:rPr>
      </w:pPr>
      <w:r>
        <w:rPr>
          <w:rFonts w:hint="eastAsia" w:ascii="宋体" w:hAnsi="宋体" w:cs="仿宋"/>
          <w:b/>
          <w:color w:val="auto"/>
          <w:szCs w:val="21"/>
          <w:highlight w:val="none"/>
        </w:rPr>
        <w:t xml:space="preserve">八、不可抗力</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8.1 因不可抗力不能履行合同的，根据不可抗力的影响，部分或者全部免除责任。但合同一方延迟履行后发生不可抗力的，不能免除责任。</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8.2 合同一方因不可抗力不能履行合同的，应当及时通知对方，以减轻可能给对方造成的损失，并应当在合理期限内提供证明。</w:t>
      </w:r>
      <w:r/>
    </w:p>
    <w:p>
      <w:pPr>
        <w:jc w:val="left"/>
        <w:spacing w:line="360" w:lineRule="auto"/>
        <w:widowControl/>
        <w:rPr>
          <w:rFonts w:ascii="宋体" w:hAnsi="宋体" w:cs="仿宋"/>
          <w:b/>
          <w:color w:val="auto"/>
          <w:szCs w:val="21"/>
          <w:highlight w:val="none"/>
        </w:rPr>
      </w:pPr>
      <w:r>
        <w:rPr>
          <w:rFonts w:hint="eastAsia" w:ascii="宋体" w:hAnsi="宋体" w:cs="仿宋"/>
          <w:b/>
          <w:color w:val="auto"/>
          <w:szCs w:val="21"/>
          <w:highlight w:val="none"/>
        </w:rPr>
        <w:t xml:space="preserve">九、合同修改</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甲方和乙方都不得擅自变更本合同，但合同继续履行将损害国家和社会公共利益的除外。如必须对合同条款进行改动时，当事人双方须共同签署书面合同，做为合同的补充，并报同级政府采购监督管理部门备案。</w:t>
      </w:r>
      <w:r/>
    </w:p>
    <w:p>
      <w:pPr>
        <w:jc w:val="left"/>
        <w:spacing w:line="360" w:lineRule="auto"/>
        <w:widowControl/>
        <w:rPr>
          <w:rFonts w:ascii="宋体" w:hAnsi="宋体" w:cs="仿宋"/>
          <w:b/>
          <w:color w:val="auto"/>
          <w:szCs w:val="21"/>
          <w:highlight w:val="none"/>
        </w:rPr>
      </w:pPr>
      <w:r>
        <w:rPr>
          <w:rFonts w:hint="eastAsia" w:ascii="宋体" w:hAnsi="宋体" w:cs="仿宋"/>
          <w:b/>
          <w:color w:val="auto"/>
          <w:szCs w:val="21"/>
          <w:highlight w:val="none"/>
        </w:rPr>
        <w:t xml:space="preserve">十、转让和分包</w:t>
      </w:r>
      <w:r/>
    </w:p>
    <w:p>
      <w:pPr>
        <w:ind w:firstLine="420"/>
        <w:jc w:val="left"/>
        <w:spacing w:line="360" w:lineRule="auto"/>
        <w:widowControl/>
        <w:rPr>
          <w:rFonts w:hint="eastAsia" w:ascii="宋体" w:hAnsi="宋体" w:cs="仿宋"/>
          <w:color w:val="auto"/>
          <w:szCs w:val="21"/>
          <w:highlight w:val="none"/>
        </w:rPr>
      </w:pPr>
      <w:r>
        <w:rPr>
          <w:rFonts w:hint="eastAsia" w:ascii="宋体" w:hAnsi="宋体" w:cs="仿宋"/>
          <w:color w:val="auto"/>
          <w:szCs w:val="21"/>
          <w:highlight w:val="none"/>
        </w:rPr>
        <w:t xml:space="preserve">政府采购合同的部分和全部都不得转让。</w:t>
      </w:r>
      <w:r/>
    </w:p>
    <w:p>
      <w:pPr>
        <w:jc w:val="left"/>
        <w:spacing w:line="360" w:lineRule="auto"/>
        <w:widowControl/>
        <w:rPr>
          <w:rFonts w:ascii="宋体" w:hAnsi="宋体" w:cs="仿宋"/>
          <w:b/>
          <w:color w:val="auto"/>
          <w:szCs w:val="21"/>
          <w:highlight w:val="none"/>
        </w:rPr>
      </w:pPr>
      <w:r>
        <w:rPr>
          <w:rFonts w:hint="eastAsia" w:ascii="宋体" w:hAnsi="宋体" w:cs="仿宋"/>
          <w:b/>
          <w:color w:val="auto"/>
          <w:szCs w:val="21"/>
          <w:highlight w:val="none"/>
        </w:rPr>
        <w:t xml:space="preserve">十一、合同的解除</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11.1 甲方和乙方协商一致，可以解除合同。</w:t>
      </w:r>
      <w:r/>
    </w:p>
    <w:p>
      <w:pPr>
        <w:ind w:firstLine="420"/>
        <w:jc w:val="left"/>
        <w:spacing w:line="360" w:lineRule="auto"/>
        <w:widowControl/>
        <w:rPr>
          <w:rFonts w:hint="eastAsia" w:ascii="宋体" w:hAnsi="宋体" w:cs="仿宋"/>
          <w:color w:val="auto"/>
          <w:szCs w:val="21"/>
          <w:highlight w:val="none"/>
        </w:rPr>
      </w:pPr>
      <w:r>
        <w:rPr>
          <w:rFonts w:hint="eastAsia" w:ascii="宋体" w:hAnsi="宋体" w:cs="仿宋"/>
          <w:color w:val="auto"/>
          <w:szCs w:val="21"/>
          <w:highlight w:val="none"/>
        </w:rPr>
        <w:t xml:space="preserve">11.2 有下列情形之一，甲方可以解除合同：</w:t>
      </w:r>
      <w:r/>
    </w:p>
    <w:p>
      <w:pPr>
        <w:ind w:firstLine="420"/>
        <w:jc w:val="left"/>
        <w:spacing w:line="360" w:lineRule="auto"/>
        <w:widowControl/>
        <w:rPr>
          <w:rFonts w:hint="eastAsia" w:ascii="宋体" w:hAnsi="宋体" w:cs="仿宋"/>
          <w:color w:val="auto"/>
          <w:szCs w:val="21"/>
          <w:highlight w:val="none"/>
        </w:rPr>
      </w:pP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1</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乙方未按照甲方以及采购合同的要求，提供服务；</w:t>
      </w:r>
      <w:r/>
    </w:p>
    <w:p>
      <w:pPr>
        <w:ind w:firstLine="420"/>
        <w:jc w:val="left"/>
        <w:spacing w:line="360" w:lineRule="auto"/>
        <w:widowControl/>
        <w:rPr>
          <w:rFonts w:hint="eastAsia" w:ascii="宋体" w:hAnsi="宋体" w:cs="仿宋"/>
          <w:color w:val="auto"/>
          <w:szCs w:val="21"/>
          <w:highlight w:val="none"/>
        </w:rPr>
      </w:pP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2）乙方不能提供服务或者提供的服务不合格；</w:t>
      </w:r>
      <w:r/>
    </w:p>
    <w:p>
      <w:pPr>
        <w:ind w:firstLine="420"/>
        <w:jc w:val="left"/>
        <w:spacing w:line="360" w:lineRule="auto"/>
        <w:widowControl/>
        <w:rPr>
          <w:rFonts w:hint="eastAsia" w:ascii="宋体" w:hAnsi="宋体" w:cs="仿宋"/>
          <w:color w:val="auto"/>
          <w:szCs w:val="21"/>
          <w:highlight w:val="none"/>
        </w:rPr>
      </w:pPr>
      <w:r>
        <w:rPr>
          <w:rFonts w:hint="eastAsia" w:ascii="宋体" w:hAnsi="宋体" w:cs="仿宋"/>
          <w:color w:val="auto"/>
          <w:szCs w:val="21"/>
          <w:highlight w:val="none"/>
        </w:rPr>
        <w:t xml:space="preserve">（3）乙方逾期提供服务，甲方明确表示拒绝接受服务的；</w:t>
      </w:r>
      <w:r/>
    </w:p>
    <w:p>
      <w:pPr>
        <w:ind w:firstLine="420"/>
        <w:jc w:val="left"/>
        <w:spacing w:line="360" w:lineRule="auto"/>
        <w:widowControl/>
        <w:rPr>
          <w:rFonts w:hint="eastAsia" w:ascii="宋体" w:hAnsi="宋体" w:cs="仿宋"/>
          <w:color w:val="auto"/>
          <w:szCs w:val="21"/>
          <w:highlight w:val="none"/>
        </w:rPr>
      </w:pPr>
      <w:r>
        <w:rPr>
          <w:rFonts w:hint="eastAsia" w:ascii="宋体" w:hAnsi="宋体" w:cs="仿宋"/>
          <w:color w:val="auto"/>
          <w:szCs w:val="21"/>
          <w:highlight w:val="none"/>
        </w:rPr>
        <w:t xml:space="preserve">（4）其他乙方违约的情形。</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11.3 有权解除合同的一方，应当在违约事实或不可抗力发生之后三十天内书面通知对方以主张解除合同，合同在书面通知到达对方时解除。</w:t>
      </w:r>
      <w:r/>
    </w:p>
    <w:p>
      <w:pPr>
        <w:jc w:val="left"/>
        <w:spacing w:line="360" w:lineRule="auto"/>
        <w:widowControl/>
        <w:rPr>
          <w:rFonts w:ascii="宋体" w:hAnsi="宋体" w:cs="仿宋"/>
          <w:b/>
          <w:color w:val="auto"/>
          <w:szCs w:val="21"/>
          <w:highlight w:val="none"/>
        </w:rPr>
      </w:pPr>
      <w:r>
        <w:rPr>
          <w:rFonts w:hint="eastAsia" w:ascii="宋体" w:hAnsi="宋体" w:cs="仿宋"/>
          <w:b/>
          <w:color w:val="auto"/>
          <w:szCs w:val="21"/>
          <w:highlight w:val="none"/>
        </w:rPr>
        <w:t xml:space="preserve">十二、争议解决办法</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因本合同或与本合同有关的一切事项发生争议，由双方友好协商解决。协商不成的向甲方所在地的人民法院起诉。</w:t>
      </w:r>
      <w:r/>
    </w:p>
    <w:p>
      <w:pPr>
        <w:jc w:val="left"/>
        <w:spacing w:line="360" w:lineRule="auto"/>
        <w:widowControl/>
        <w:rPr>
          <w:rFonts w:ascii="宋体" w:hAnsi="宋体" w:cs="仿宋"/>
          <w:b/>
          <w:color w:val="auto"/>
          <w:szCs w:val="21"/>
          <w:highlight w:val="none"/>
        </w:rPr>
      </w:pPr>
      <w:r>
        <w:rPr>
          <w:rFonts w:hint="eastAsia" w:ascii="宋体" w:hAnsi="宋体" w:cs="仿宋"/>
          <w:b/>
          <w:color w:val="auto"/>
          <w:szCs w:val="21"/>
          <w:highlight w:val="none"/>
        </w:rPr>
        <w:t xml:space="preserve">十三、合同生效及其他</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13.1 本合同经双方法定（授权）代表人签字（或盖章）并盖单位公章（合同章）后生效，同时须送政府采购监督管理部门备案。</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13.</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rPr>
        <w:t xml:space="preserve"> 合同在执行过程中出现的未尽事宜，双方在不违背本合同和采购合同的原则下协商解决，协商结果以书面形式盖章记录在案，作为本合同的附件，与本合同具有同等效力，并提交政府采购监督管理部门备存。</w:t>
      </w:r>
      <w:r/>
    </w:p>
    <w:p>
      <w:pPr>
        <w:jc w:val="left"/>
        <w:spacing w:line="360" w:lineRule="auto"/>
        <w:widowControl/>
        <w:rPr>
          <w:rFonts w:ascii="宋体" w:hAnsi="宋体" w:cs="仿宋"/>
          <w:b/>
          <w:color w:val="auto"/>
          <w:szCs w:val="21"/>
          <w:highlight w:val="none"/>
        </w:rPr>
      </w:pPr>
      <w:r>
        <w:rPr>
          <w:rFonts w:hint="eastAsia" w:ascii="宋体" w:hAnsi="宋体" w:cs="仿宋"/>
          <w:b/>
          <w:color w:val="auto"/>
          <w:szCs w:val="21"/>
          <w:highlight w:val="none"/>
        </w:rPr>
        <w:t xml:space="preserve">十四、合同解释</w:t>
      </w:r>
      <w:r/>
    </w:p>
    <w:p>
      <w:pPr>
        <w:ind w:firstLine="420"/>
        <w:jc w:val="left"/>
        <w:spacing w:line="360" w:lineRule="auto"/>
        <w:widowControl/>
        <w:rPr>
          <w:rFonts w:ascii="宋体" w:hAnsi="宋体" w:cs="仿宋"/>
          <w:color w:val="auto"/>
          <w:szCs w:val="21"/>
          <w:highlight w:val="none"/>
        </w:rPr>
      </w:pPr>
      <w:r>
        <w:rPr>
          <w:rFonts w:hint="eastAsia" w:ascii="宋体" w:hAnsi="宋体" w:cs="仿宋"/>
          <w:color w:val="auto"/>
          <w:szCs w:val="21"/>
          <w:highlight w:val="none"/>
        </w:rPr>
        <w:t xml:space="preserve">关于合同条款的解释，应按照《中华人民共和国民法典》、《中华人民共和国政府采购法》等相关法律法规之规定解释。</w:t>
      </w:r>
      <w:r/>
    </w:p>
    <w:p>
      <w:pPr>
        <w:spacing w:line="360" w:lineRule="auto"/>
        <w:rPr>
          <w:rFonts w:ascii="宋体" w:hAnsi="宋体" w:cs="仿宋"/>
          <w:b/>
          <w:color w:val="auto"/>
          <w:szCs w:val="21"/>
          <w:highlight w:val="none"/>
        </w:rPr>
      </w:pPr>
      <w:r>
        <w:rPr>
          <w:rFonts w:hint="eastAsia" w:ascii="宋体" w:hAnsi="宋体" w:cs="仿宋"/>
          <w:b/>
          <w:color w:val="auto"/>
          <w:szCs w:val="21"/>
          <w:highlight w:val="none"/>
        </w:rPr>
        <w:t xml:space="preserve">十五、附则</w:t>
      </w:r>
      <w:r/>
    </w:p>
    <w:p>
      <w:pPr>
        <w:ind w:firstLine="420"/>
        <w:spacing w:line="360" w:lineRule="auto"/>
        <w:rPr>
          <w:rFonts w:hint="eastAsia" w:ascii="宋体" w:hAnsi="宋体" w:cs="宋体"/>
          <w:color w:val="auto"/>
          <w:szCs w:val="21"/>
          <w:highlight w:val="none"/>
        </w:rPr>
      </w:pPr>
      <w:r>
        <w:rPr>
          <w:rFonts w:hint="eastAsia" w:ascii="宋体" w:hAnsi="宋体" w:cs="仿宋"/>
          <w:color w:val="auto"/>
          <w:szCs w:val="21"/>
          <w:highlight w:val="none"/>
        </w:rPr>
        <w:t xml:space="preserve">本合同一式</w:t>
      </w:r>
      <w:r>
        <w:rPr>
          <w:rFonts w:hint="eastAsia" w:ascii="宋体" w:hAnsi="宋体" w:cs="仿宋"/>
          <w:color w:val="auto"/>
          <w:szCs w:val="21"/>
          <w:highlight w:val="none"/>
          <w:u w:val="single"/>
          <w:lang w:val="en-US" w:eastAsia="zh-CN"/>
        </w:rPr>
        <w:t xml:space="preserve">陆</w:t>
      </w:r>
      <w:r>
        <w:rPr>
          <w:rFonts w:hint="eastAsia" w:ascii="宋体" w:hAnsi="宋体" w:cs="仿宋"/>
          <w:color w:val="auto"/>
          <w:szCs w:val="21"/>
          <w:highlight w:val="none"/>
        </w:rPr>
        <w:t xml:space="preserve">份，甲方执</w:t>
      </w:r>
      <w:r>
        <w:rPr>
          <w:rFonts w:hint="eastAsia" w:ascii="宋体" w:hAnsi="宋体" w:cs="仿宋"/>
          <w:color w:val="auto"/>
          <w:szCs w:val="21"/>
          <w:highlight w:val="none"/>
          <w:u w:val="single"/>
          <w:lang w:val="en-US" w:eastAsia="zh-CN"/>
        </w:rPr>
        <w:t xml:space="preserve">贰</w:t>
      </w:r>
      <w:r>
        <w:rPr>
          <w:rFonts w:hint="eastAsia" w:ascii="宋体" w:hAnsi="宋体" w:cs="仿宋"/>
          <w:color w:val="auto"/>
          <w:szCs w:val="21"/>
          <w:highlight w:val="none"/>
        </w:rPr>
        <w:t xml:space="preserve">份，乙方执</w:t>
      </w:r>
      <w:r>
        <w:rPr>
          <w:rFonts w:hint="eastAsia" w:ascii="宋体" w:hAnsi="宋体" w:cs="仿宋"/>
          <w:color w:val="auto"/>
          <w:szCs w:val="21"/>
          <w:highlight w:val="none"/>
          <w:u w:val="single"/>
          <w:lang w:val="en-US" w:eastAsia="zh-CN"/>
        </w:rPr>
        <w:t xml:space="preserve">贰</w:t>
      </w:r>
      <w:r>
        <w:rPr>
          <w:rFonts w:hint="eastAsia" w:ascii="宋体" w:hAnsi="宋体" w:cs="仿宋"/>
          <w:color w:val="auto"/>
          <w:szCs w:val="21"/>
          <w:highlight w:val="none"/>
        </w:rPr>
        <w:t xml:space="preserve">份，政府采购监督管理部门备案一份，</w:t>
      </w:r>
      <w:r>
        <w:rPr>
          <w:rFonts w:hint="eastAsia" w:ascii="宋体" w:hAnsi="宋体" w:cs="仿宋"/>
          <w:color w:val="auto"/>
          <w:szCs w:val="21"/>
          <w:highlight w:val="none"/>
          <w:lang w:val="en-US" w:eastAsia="zh-CN"/>
        </w:rPr>
        <w:t xml:space="preserve">代理机构</w:t>
      </w:r>
      <w:r>
        <w:rPr>
          <w:rFonts w:hint="eastAsia" w:ascii="宋体" w:hAnsi="宋体" w:cs="仿宋"/>
          <w:color w:val="auto"/>
          <w:szCs w:val="21"/>
          <w:highlight w:val="none"/>
        </w:rPr>
        <w:t xml:space="preserve">一份，各份具有同等法律效力。</w:t>
      </w:r>
      <w:r/>
    </w:p>
    <w:tbl>
      <w:tblPr>
        <w:tblStyle w:val="89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6"/>
        <w:gridCol w:w="4460"/>
      </w:tblGrid>
      <w:tr>
        <w:trPr/>
        <w:tc>
          <w:tcPr>
            <w:tcW w:w="2598" w:type="pct"/>
            <w:textDirection w:val="lrTb"/>
            <w:noWrap w:val="false"/>
          </w:tcPr>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甲方（签章）：</w:t>
            </w:r>
            <w:r/>
          </w:p>
          <w:p>
            <w:pPr>
              <w:pStyle w:val="910"/>
              <w:rPr>
                <w:rFonts w:hAnsi="宋体" w:cs="宋体"/>
                <w:color w:val="auto"/>
                <w:highlight w:val="none"/>
              </w:rPr>
            </w:pPr>
            <w:r>
              <w:rPr>
                <w:rFonts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法人代表                </w:t>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ind w:firstLine="189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    </w:t>
            </w:r>
            <w:r/>
          </w:p>
        </w:tc>
        <w:tc>
          <w:tcPr>
            <w:tcW w:w="2401" w:type="pct"/>
            <w:textDirection w:val="lrTb"/>
            <w:noWrap w:val="false"/>
          </w:tcPr>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乙方（签章）：</w:t>
            </w:r>
            <w:r/>
          </w:p>
          <w:p>
            <w:pPr>
              <w:pStyle w:val="910"/>
              <w:rPr>
                <w:rFonts w:hAnsi="宋体" w:cs="宋体"/>
                <w:color w:val="auto"/>
                <w:szCs w:val="21"/>
                <w:highlight w:val="none"/>
              </w:rPr>
            </w:pPr>
            <w:r>
              <w:rPr>
                <w:rFonts w:hAnsi="宋体" w:cs="宋体"/>
                <w:color w:val="auto"/>
                <w:szCs w:val="21"/>
                <w:highlight w:val="none"/>
              </w:rPr>
            </w:r>
            <w:r/>
          </w:p>
          <w:p>
            <w:pPr>
              <w:rPr>
                <w:rFonts w:ascii="宋体" w:hAnsi="宋体" w:cs="宋体"/>
                <w:color w:val="auto"/>
                <w:highlight w:val="none"/>
              </w:rPr>
            </w:pPr>
            <w:r>
              <w:rPr>
                <w:rFonts w:ascii="宋体" w:hAnsi="宋体" w:cs="宋体"/>
                <w:color w:val="auto"/>
                <w:highlight w:val="none"/>
              </w:rPr>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法人代表</w:t>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ind w:firstLine="147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bl>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76"/>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：履约验收方案</w:t>
      </w:r>
      <w:r/>
    </w:p>
    <w:p>
      <w:pPr>
        <w:jc w:val="center"/>
        <w:spacing w:line="480" w:lineRule="auto"/>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履约验收方案</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bCs w:val="0"/>
          <w:color w:val="auto"/>
          <w:szCs w:val="21"/>
          <w:highlight w:val="none"/>
          <w:lang w:eastAsia="zh-CN"/>
        </w:rPr>
        <w:t xml:space="preserve">1、履约验收标准：</w:t>
      </w:r>
      <w:r>
        <w:rPr>
          <w:rFonts w:hint="eastAsia" w:ascii="宋体" w:hAnsi="宋体" w:cs="宋体"/>
          <w:b w:val="0"/>
          <w:bCs/>
          <w:color w:val="auto"/>
          <w:szCs w:val="21"/>
          <w:highlight w:val="none"/>
          <w:lang w:eastAsia="zh-CN"/>
        </w:rPr>
        <w:t xml:space="preserve">采购合同中相关服务内容的完成质量，验收组意见为“合格”的视为通过验收。</w:t>
      </w:r>
      <w:r/>
    </w:p>
    <w:p>
      <w:pPr>
        <w:spacing w:line="480" w:lineRule="auto"/>
        <w:tabs>
          <w:tab w:val="left" w:pos="540" w:leader="none"/>
          <w:tab w:val="left" w:pos="567" w:leader="none"/>
        </w:tabs>
        <w:rPr>
          <w:rFonts w:hint="default" w:ascii="宋体" w:hAnsi="宋体" w:eastAsia="宋体" w:cs="宋体"/>
          <w:b w:val="0"/>
          <w:bCs/>
          <w:color w:val="auto"/>
          <w:szCs w:val="21"/>
          <w:highlight w:val="none"/>
          <w:lang w:eastAsia="zh-CN"/>
        </w:rPr>
      </w:pPr>
      <w:r>
        <w:rPr>
          <w:rFonts w:hint="eastAsia" w:ascii="宋体" w:hAnsi="宋体" w:eastAsia="宋体" w:cs="宋体"/>
          <w:b/>
          <w:bCs w:val="0"/>
          <w:color w:val="auto"/>
          <w:szCs w:val="21"/>
          <w:highlight w:val="none"/>
          <w:lang w:val="en-US" w:eastAsia="zh-CN"/>
        </w:rPr>
        <w:t xml:space="preserve">2、验收依据：</w:t>
      </w:r>
      <w:r>
        <w:rPr>
          <w:rFonts w:hint="eastAsia" w:ascii="宋体" w:hAnsi="宋体" w:eastAsia="宋体" w:cs="宋体"/>
          <w:b w:val="0"/>
          <w:bCs/>
          <w:color w:val="auto"/>
          <w:szCs w:val="21"/>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bCs w:val="0"/>
          <w:color w:val="auto"/>
          <w:szCs w:val="21"/>
          <w:highlight w:val="none"/>
          <w:lang w:val="en-US" w:eastAsia="zh-CN"/>
        </w:rPr>
        <w:t xml:space="preserve">3</w:t>
      </w:r>
      <w:r>
        <w:rPr>
          <w:rFonts w:hint="eastAsia" w:ascii="宋体" w:hAnsi="宋体" w:cs="宋体"/>
          <w:b/>
          <w:bCs w:val="0"/>
          <w:color w:val="auto"/>
          <w:szCs w:val="21"/>
          <w:highlight w:val="none"/>
          <w:lang w:eastAsia="zh-CN"/>
        </w:rPr>
        <w:t xml:space="preserve">、履约验收主体：</w:t>
      </w:r>
      <w:r>
        <w:rPr>
          <w:rFonts w:hint="eastAsia" w:ascii="宋体" w:hAnsi="宋体" w:cs="宋体"/>
          <w:b w:val="0"/>
          <w:bCs/>
          <w:color w:val="auto"/>
          <w:szCs w:val="21"/>
          <w:highlight w:val="none"/>
          <w:lang w:eastAsia="zh-CN"/>
        </w:rPr>
        <w:t xml:space="preserve">由甲方组织验收。</w:t>
      </w:r>
      <w:r/>
    </w:p>
    <w:p>
      <w:pPr>
        <w:spacing w:line="480" w:lineRule="auto"/>
        <w:tabs>
          <w:tab w:val="left" w:pos="540" w:leader="none"/>
          <w:tab w:val="left" w:pos="567" w:leader="none"/>
        </w:tabs>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4</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验收准备：</w:t>
      </w:r>
      <w:r/>
    </w:p>
    <w:p>
      <w:pPr>
        <w:spacing w:line="480" w:lineRule="auto"/>
        <w:tabs>
          <w:tab w:val="left" w:pos="540" w:leader="none"/>
          <w:tab w:val="left" w:pos="567" w:leader="none"/>
        </w:tabs>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4.1 政府采购合同约定的履约验收条件达到，采购人应在5个工作日内启动履约验收工作，并向供应商发出政府采购履约验收通知单。</w:t>
      </w:r>
      <w:r/>
    </w:p>
    <w:p>
      <w:pPr>
        <w:spacing w:line="480" w:lineRule="auto"/>
        <w:tabs>
          <w:tab w:val="left" w:pos="540" w:leader="none"/>
          <w:tab w:val="left" w:pos="567" w:leader="none"/>
        </w:tabs>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4.2 供应商应当配合采购人、采购代理机构做好项目验收工作，及时提供提供符合采购人文件管理及版本控制要求的成果报告，包括且不限于：</w:t>
      </w:r>
      <w:r/>
    </w:p>
    <w:p>
      <w:pPr>
        <w:spacing w:line="480" w:lineRule="auto"/>
        <w:tabs>
          <w:tab w:val="left" w:pos="540" w:leader="none"/>
          <w:tab w:val="left" w:pos="567" w:leader="none"/>
        </w:tabs>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①服务过程文档，包括服务处理记录、完善操作手册和考核表；</w:t>
      </w:r>
      <w:r/>
    </w:p>
    <w:p>
      <w:pPr>
        <w:spacing w:line="480" w:lineRule="auto"/>
        <w:tabs>
          <w:tab w:val="left" w:pos="540" w:leader="none"/>
          <w:tab w:val="left" w:pos="567" w:leader="none"/>
        </w:tabs>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②系统运行情况报告：包括详细系统环境、运行状况评估、故障问题报告等信息；</w:t>
      </w:r>
      <w:r/>
    </w:p>
    <w:p>
      <w:pPr>
        <w:spacing w:line="480" w:lineRule="auto"/>
        <w:tabs>
          <w:tab w:val="left" w:pos="540" w:leader="none"/>
          <w:tab w:val="left" w:pos="567" w:leader="none"/>
        </w:tabs>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③系统运行建议。</w:t>
      </w:r>
      <w:r/>
    </w:p>
    <w:p>
      <w:pPr>
        <w:spacing w:line="480" w:lineRule="auto"/>
        <w:tabs>
          <w:tab w:val="left" w:pos="540" w:leader="none"/>
          <w:tab w:val="left" w:pos="567" w:leader="none"/>
        </w:tabs>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5、验收内容：</w:t>
      </w:r>
      <w:r/>
    </w:p>
    <w:p>
      <w:pPr>
        <w:spacing w:line="480" w:lineRule="auto"/>
        <w:tabs>
          <w:tab w:val="left" w:pos="540" w:leader="none"/>
          <w:tab w:val="left" w:pos="567" w:leader="none"/>
        </w:tabs>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5.1 验收内容一般包括：</w:t>
      </w:r>
      <w:r/>
    </w:p>
    <w:p>
      <w:pPr>
        <w:spacing w:line="480" w:lineRule="auto"/>
        <w:tabs>
          <w:tab w:val="left" w:pos="540" w:leader="none"/>
          <w:tab w:val="left" w:pos="567" w:leader="none"/>
        </w:tabs>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5.1.1 软件验收 （按功能要求的可执行软件、开发计划文档、详细设计文档、质量保证计划、设备相应附件、设备运行、网络运行等）；</w:t>
      </w:r>
      <w:r/>
    </w:p>
    <w:p>
      <w:pPr>
        <w:spacing w:line="480" w:lineRule="auto"/>
        <w:tabs>
          <w:tab w:val="left" w:pos="540" w:leader="none"/>
          <w:tab w:val="left" w:pos="567" w:leader="none"/>
        </w:tabs>
        <w:rPr>
          <w:rFonts w:hint="default" w:ascii="宋体" w:hAnsi="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5.1.2 服务团队</w:t>
      </w:r>
      <w:r>
        <w:rPr>
          <w:rFonts w:hint="eastAsia" w:ascii="宋体" w:hAnsi="宋体" w:cs="宋体"/>
          <w:b w:val="0"/>
          <w:bCs/>
          <w:color w:val="auto"/>
          <w:szCs w:val="21"/>
          <w:highlight w:val="none"/>
          <w:lang w:val="en-US" w:eastAsia="zh-CN"/>
        </w:rPr>
        <w:t xml:space="preserve">人员</w:t>
      </w:r>
      <w:r>
        <w:rPr>
          <w:rFonts w:hint="eastAsia" w:ascii="宋体" w:hAnsi="宋体" w:eastAsia="宋体" w:cs="宋体"/>
          <w:b w:val="0"/>
          <w:bCs/>
          <w:color w:val="auto"/>
          <w:szCs w:val="21"/>
          <w:highlight w:val="none"/>
          <w:lang w:val="en-US" w:eastAsia="zh-CN"/>
        </w:rPr>
        <w:t xml:space="preserve">组成</w:t>
      </w:r>
      <w:r>
        <w:rPr>
          <w:rFonts w:hint="eastAsia" w:ascii="宋体" w:hAnsi="宋体" w:cs="宋体"/>
          <w:b w:val="0"/>
          <w:bCs/>
          <w:color w:val="auto"/>
          <w:szCs w:val="21"/>
          <w:highlight w:val="none"/>
          <w:lang w:val="en-US" w:eastAsia="zh-CN"/>
        </w:rPr>
        <w:t xml:space="preserve">的验收；</w:t>
      </w:r>
      <w:r/>
    </w:p>
    <w:p>
      <w:pPr>
        <w:spacing w:line="480" w:lineRule="auto"/>
        <w:tabs>
          <w:tab w:val="left" w:pos="540" w:leader="none"/>
          <w:tab w:val="left" w:pos="567" w:leader="none"/>
        </w:tabs>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5.1.3</w:t>
      </w:r>
      <w:r>
        <w:rPr>
          <w:rFonts w:hint="eastAsia" w:ascii="宋体" w:hAnsi="宋体" w:eastAsia="宋体" w:cs="宋体"/>
          <w:b w:val="0"/>
          <w:bCs/>
          <w:color w:val="auto"/>
          <w:szCs w:val="21"/>
          <w:highlight w:val="none"/>
          <w:lang w:val="en-US" w:eastAsia="zh-CN"/>
        </w:rPr>
        <w:t xml:space="preserve">服务事项满意度</w:t>
      </w:r>
      <w:r>
        <w:rPr>
          <w:rFonts w:hint="eastAsia" w:ascii="宋体" w:hAnsi="宋体" w:cs="宋体"/>
          <w:b w:val="0"/>
          <w:bCs/>
          <w:color w:val="auto"/>
          <w:szCs w:val="21"/>
          <w:highlight w:val="none"/>
          <w:lang w:val="en-US" w:eastAsia="zh-CN"/>
        </w:rPr>
        <w:t xml:space="preserve">（</w:t>
      </w:r>
      <w:r>
        <w:rPr>
          <w:rFonts w:hint="eastAsia"/>
          <w:color w:val="auto"/>
          <w:highlight w:val="none"/>
        </w:rPr>
        <w:t xml:space="preserve">现场服务记录单的评分及每季度满意度调查</w:t>
      </w:r>
      <w:r>
        <w:rPr>
          <w:rFonts w:hint="eastAsia" w:ascii="宋体" w:hAnsi="宋体" w:cs="宋体"/>
          <w:b w:val="0"/>
          <w:bCs/>
          <w:color w:val="auto"/>
          <w:szCs w:val="21"/>
          <w:highlight w:val="none"/>
          <w:lang w:val="en-US" w:eastAsia="zh-CN"/>
        </w:rPr>
        <w:t xml:space="preserve">）；</w:t>
      </w:r>
      <w:r/>
    </w:p>
    <w:p>
      <w:pPr>
        <w:spacing w:line="480" w:lineRule="auto"/>
        <w:tabs>
          <w:tab w:val="left" w:pos="540" w:leader="none"/>
          <w:tab w:val="left" w:pos="567" w:leader="none"/>
        </w:tabs>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5.1.4</w:t>
      </w:r>
      <w:r>
        <w:rPr>
          <w:rFonts w:hint="eastAsia" w:ascii="宋体" w:hAnsi="宋体" w:eastAsia="宋体" w:cs="宋体"/>
          <w:b w:val="0"/>
          <w:bCs/>
          <w:color w:val="auto"/>
          <w:szCs w:val="21"/>
          <w:highlight w:val="none"/>
          <w:lang w:val="en-US" w:eastAsia="zh-CN"/>
        </w:rPr>
        <w:t xml:space="preserve">服务承诺实现程度和稳定性的验收</w:t>
      </w:r>
      <w:r>
        <w:rPr>
          <w:rFonts w:hint="eastAsia" w:ascii="宋体" w:hAnsi="宋体" w:cs="宋体"/>
          <w:b w:val="0"/>
          <w:bCs/>
          <w:color w:val="auto"/>
          <w:szCs w:val="21"/>
          <w:highlight w:val="none"/>
          <w:lang w:val="en-US" w:eastAsia="zh-CN"/>
        </w:rPr>
        <w:t xml:space="preserve">：</w:t>
      </w:r>
      <w:r/>
    </w:p>
    <w:p>
      <w:pPr>
        <w:spacing w:line="480" w:lineRule="auto"/>
        <w:tabs>
          <w:tab w:val="left" w:pos="540" w:leader="none"/>
          <w:tab w:val="left" w:pos="567" w:leader="none"/>
        </w:tabs>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5.1.4.1在工作期间服务器正常情况下，核心业务（包括数据库，中间件等）每个季度意外停机时间30分钟之内；</w:t>
      </w:r>
      <w:r/>
    </w:p>
    <w:p>
      <w:pPr>
        <w:spacing w:line="480" w:lineRule="auto"/>
        <w:tabs>
          <w:tab w:val="left" w:pos="540" w:leader="none"/>
          <w:tab w:val="left" w:pos="567" w:leader="none"/>
        </w:tabs>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5.1.4.2在工作期间服务器正常情况下，非核心业务（包括应用，后台程序等）每个季度意外停机时间60分钟之内。</w:t>
      </w:r>
      <w:r/>
    </w:p>
    <w:p>
      <w:pPr>
        <w:spacing w:line="480" w:lineRule="auto"/>
        <w:tabs>
          <w:tab w:val="left" w:pos="540" w:leader="none"/>
          <w:tab w:val="left" w:pos="567" w:leader="none"/>
        </w:tabs>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5.</w:t>
      </w:r>
      <w:r>
        <w:rPr>
          <w:rFonts w:hint="eastAsia" w:ascii="宋体" w:hAnsi="宋体" w:cs="宋体"/>
          <w:b w:val="0"/>
          <w:bCs/>
          <w:color w:val="auto"/>
          <w:szCs w:val="21"/>
          <w:highlight w:val="none"/>
          <w:lang w:val="en-US" w:eastAsia="zh-CN"/>
        </w:rPr>
        <w:t xml:space="preserve">2 </w:t>
      </w:r>
      <w:r>
        <w:rPr>
          <w:rFonts w:hint="eastAsia" w:ascii="宋体" w:hAnsi="宋体" w:eastAsia="宋体" w:cs="宋体"/>
          <w:b w:val="0"/>
          <w:bCs/>
          <w:color w:val="auto"/>
          <w:szCs w:val="21"/>
          <w:highlight w:val="none"/>
          <w:lang w:val="en-US" w:eastAsia="zh-CN"/>
        </w:rPr>
        <w:t xml:space="preserve">项目验收范围应当完整，与采购合同一致，不得省略、遗漏和缺失，也不得擅自扩大范围。</w:t>
      </w:r>
      <w:r/>
    </w:p>
    <w:p>
      <w:pPr>
        <w:spacing w:line="480" w:lineRule="auto"/>
        <w:tabs>
          <w:tab w:val="left" w:pos="540" w:leader="none"/>
          <w:tab w:val="left" w:pos="567" w:leader="none"/>
        </w:tabs>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5.3 本系统验收标准要符合国家和相关标准。</w:t>
      </w:r>
      <w:r/>
    </w:p>
    <w:p>
      <w:pPr>
        <w:spacing w:line="480" w:lineRule="auto"/>
        <w:tabs>
          <w:tab w:val="left" w:pos="540" w:leader="none"/>
          <w:tab w:val="left" w:pos="567" w:leader="none"/>
        </w:tabs>
        <w:rPr>
          <w:rFonts w:hint="default"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6、验收结果</w:t>
      </w:r>
      <w:r/>
    </w:p>
    <w:p>
      <w:pPr>
        <w:spacing w:line="480" w:lineRule="auto"/>
        <w:tabs>
          <w:tab w:val="left" w:pos="540" w:leader="none"/>
          <w:tab w:val="left" w:pos="567" w:leader="none"/>
        </w:tabs>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6.1 采购人、供应商应当对验收小组出具的验收意见进行确认，并形成政府采购履约验收书。对验收意见存在异议的，采购人与供应商双方可以协商解决，或通过法律途径解决。</w:t>
      </w:r>
      <w:r/>
    </w:p>
    <w:p>
      <w:pPr>
        <w:spacing w:line="480" w:lineRule="auto"/>
        <w:tabs>
          <w:tab w:val="left" w:pos="540" w:leader="none"/>
          <w:tab w:val="left" w:pos="567" w:leader="none"/>
        </w:tabs>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6.2 项目履约验收合格的，采购人应当根据政府采购合同约定及时向供应商支付采购资金、退还履约保证金，不得拖延、拖欠或非法扣留。</w:t>
      </w:r>
      <w:r/>
    </w:p>
    <w:p>
      <w:pPr>
        <w:spacing w:line="480" w:lineRule="auto"/>
        <w:tabs>
          <w:tab w:val="left" w:pos="540" w:leader="none"/>
          <w:tab w:val="left" w:pos="567" w:leader="none"/>
        </w:tabs>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6.3 项目验收不合格的，</w:t>
      </w:r>
      <w:r>
        <w:rPr>
          <w:rFonts w:hint="eastAsia" w:ascii="宋体" w:hAnsi="宋体" w:cs="宋体"/>
          <w:b w:val="0"/>
          <w:bCs/>
          <w:color w:val="auto"/>
          <w:szCs w:val="21"/>
          <w:highlight w:val="none"/>
          <w:lang w:eastAsia="zh-CN"/>
        </w:rPr>
        <w:t xml:space="preserve">供应商须在采购人规定时限内完成整改，整改后再次组织验收，由此产生一切费用由供应商自行承担。</w:t>
      </w:r>
      <w:r/>
    </w:p>
    <w:p>
      <w:pPr>
        <w:spacing w:line="480" w:lineRule="auto"/>
        <w:tabs>
          <w:tab w:val="left" w:pos="540" w:leader="none"/>
          <w:tab w:val="left" w:pos="567" w:leader="none"/>
        </w:tabs>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6.4 涉及分期（分段）验收的项目，采购人应当开展阶段性验收，并出具阶段性验收意见，最后形成总验收意见。</w:t>
      </w:r>
      <w:r/>
    </w:p>
    <w:p>
      <w:pPr>
        <w:spacing w:line="480" w:lineRule="auto"/>
        <w:tabs>
          <w:tab w:val="left" w:pos="540" w:leader="none"/>
          <w:tab w:val="left" w:pos="567" w:leader="none"/>
        </w:tabs>
        <w:rPr>
          <w:rFonts w:hint="eastAsia" w:ascii="宋体" w:hAnsi="宋体" w:cs="宋体"/>
          <w:b/>
          <w:color w:val="auto"/>
          <w:szCs w:val="21"/>
          <w:highlight w:val="none"/>
        </w:rPr>
      </w:pPr>
      <w:r>
        <w:rPr>
          <w:rFonts w:hint="eastAsia" w:ascii="宋体" w:hAnsi="宋体" w:cs="宋体"/>
          <w:b w:val="0"/>
          <w:bCs/>
          <w:color w:val="auto"/>
          <w:szCs w:val="21"/>
          <w:highlight w:val="none"/>
          <w:lang w:val="en-US" w:eastAsia="zh-CN"/>
        </w:rPr>
        <w:t xml:space="preserve">7、</w:t>
      </w:r>
      <w:r>
        <w:rPr>
          <w:rFonts w:hint="eastAsia" w:ascii="宋体" w:hAnsi="宋体" w:cs="宋体"/>
          <w:b w:val="0"/>
          <w:bCs/>
          <w:color w:val="auto"/>
          <w:szCs w:val="21"/>
          <w:highlight w:val="none"/>
          <w:lang w:eastAsia="zh-CN"/>
        </w:rPr>
        <w:t xml:space="preserve">其他验收要求按照江苏省财政厅《关于印发&lt;江苏省政府采购履约验收管理办法&gt;的通知》（苏财规〔2024〕7号）规定执行。</w:t>
      </w:r>
      <w:r/>
    </w:p>
    <w:p>
      <w:pPr>
        <w:rPr>
          <w:rFonts w:ascii="宋体" w:hAnsi="宋体" w:cs="宋体"/>
          <w:b/>
          <w:bCs/>
          <w:color w:val="auto"/>
          <w:szCs w:val="21"/>
          <w:highlight w:val="none"/>
        </w:rPr>
      </w:pPr>
      <w:r>
        <w:rPr>
          <w:rFonts w:hint="eastAsia" w:ascii="宋体" w:hAnsi="宋体" w:cs="宋体"/>
          <w:b/>
          <w:color w:val="auto"/>
          <w:szCs w:val="21"/>
          <w:highlight w:val="none"/>
          <w:shd w:val="clear" w:color="auto" w:fill="ffffff"/>
        </w:rPr>
        <w:b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76"/>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：政府采购履约验收通知单</w:t>
      </w:r>
      <w:r/>
    </w:p>
    <w:p>
      <w:pPr>
        <w:jc w:val="center"/>
        <w:spacing w:before="263" w:line="223" w:lineRule="auto"/>
        <w:rPr>
          <w:rFonts w:ascii="宋体" w:hAnsi="宋体" w:cs="宋体"/>
          <w:color w:val="auto"/>
          <w:sz w:val="36"/>
          <w:szCs w:val="36"/>
          <w:highlight w:val="none"/>
        </w:rPr>
        <w:outlineLvl w:val="0"/>
      </w:pPr>
      <w:r/>
      <w:bookmarkStart w:id="71" w:name="_Toc23715"/>
      <w:r>
        <w:rPr>
          <w:rFonts w:hint="eastAsia" w:ascii="宋体" w:hAnsi="宋体" w:cs="宋体"/>
          <w:color w:val="auto"/>
          <w:spacing w:val="17"/>
          <w:sz w:val="36"/>
          <w:szCs w:val="36"/>
          <w:highlight w:val="none"/>
        </w:rPr>
        <w:t xml:space="preserve">政府采购履约验收通知单</w:t>
      </w:r>
      <w:bookmarkEnd w:id="71"/>
      <w:r/>
      <w:r/>
    </w:p>
    <w:p>
      <w:pPr>
        <w:ind w:left="85"/>
        <w:spacing w:before="216" w:line="214" w:lineRule="auto"/>
        <w:rPr>
          <w:rFonts w:ascii="宋体" w:hAnsi="宋体" w:cs="宋体"/>
          <w:color w:val="auto"/>
          <w:sz w:val="23"/>
          <w:szCs w:val="23"/>
          <w:highlight w:val="none"/>
        </w:rPr>
      </w:pPr>
      <w:r>
        <w:rPr>
          <w:rFonts w:hint="eastAsia" w:ascii="宋体" w:hAnsi="宋体" w:cs="宋体"/>
          <w:color w:val="auto"/>
          <w:spacing w:val="9"/>
          <w:sz w:val="23"/>
          <w:szCs w:val="23"/>
          <w:highlight w:val="none"/>
        </w:rPr>
        <w:t xml:space="preserve">供应商：</w:t>
      </w:r>
      <w:r/>
    </w:p>
    <w:p>
      <w:pPr>
        <w:spacing w:line="44" w:lineRule="exact"/>
        <w:rPr>
          <w:rFonts w:ascii="宋体" w:hAnsi="宋体" w:cs="宋体"/>
          <w:color w:val="auto"/>
          <w:highlight w:val="none"/>
        </w:rPr>
      </w:pPr>
      <w:r>
        <w:rPr>
          <w:rFonts w:ascii="宋体" w:hAnsi="宋体" w:cs="宋体"/>
          <w:color w:val="auto"/>
          <w:highlight w:val="none"/>
        </w:rPr>
      </w:r>
      <w:r/>
    </w:p>
    <w:tbl>
      <w:tblPr>
        <w:tblStyle w:val="1211"/>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采购人</w:t>
            </w:r>
            <w:r/>
          </w:p>
        </w:tc>
        <w:tc>
          <w:tcPr>
            <w:gridSpan w:val="3"/>
            <w:tcW w:w="6708"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841"/>
              <w:spacing w:before="249" w:line="211"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项目名称</w:t>
            </w:r>
            <w:r/>
          </w:p>
        </w:tc>
        <w:tc>
          <w:tcPr>
            <w:gridSpan w:val="3"/>
            <w:tcW w:w="6708"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2610" w:type="dxa"/>
            <w:textDirection w:val="lrTb"/>
            <w:noWrap w:val="false"/>
          </w:tcPr>
          <w:p>
            <w:pPr>
              <w:ind w:left="841"/>
              <w:spacing w:before="247" w:line="213"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合同名称</w:t>
            </w:r>
            <w:r/>
          </w:p>
        </w:tc>
        <w:tc>
          <w:tcPr>
            <w:gridSpan w:val="3"/>
            <w:tcW w:w="6708"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841"/>
              <w:spacing w:before="247" w:line="212"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合同编号</w:t>
            </w:r>
            <w:r/>
          </w:p>
        </w:tc>
        <w:tc>
          <w:tcPr>
            <w:tcW w:w="1961"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7"/>
              <w:spacing w:before="247" w:line="213"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合同金额</w:t>
            </w:r>
            <w:r/>
          </w:p>
        </w:tc>
        <w:tc>
          <w:tcPr>
            <w:tcW w:w="2608"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2610" w:type="dxa"/>
            <w:textDirection w:val="lrTb"/>
            <w:noWrap w:val="false"/>
          </w:tcPr>
          <w:p>
            <w:pPr>
              <w:ind w:left="841"/>
              <w:spacing w:before="248" w:line="212" w:lineRule="auto"/>
              <w:rPr>
                <w:rFonts w:ascii="宋体" w:hAnsi="宋体" w:cs="宋体"/>
                <w:color w:val="auto"/>
                <w:sz w:val="23"/>
                <w:szCs w:val="23"/>
                <w:highlight w:val="none"/>
              </w:rPr>
            </w:pPr>
            <w:r>
              <w:rPr>
                <w:rFonts w:hint="eastAsia" w:ascii="宋体" w:hAnsi="宋体" w:cs="宋体"/>
                <w:color w:val="auto"/>
                <w:spacing w:val="4"/>
                <w:sz w:val="23"/>
                <w:szCs w:val="23"/>
                <w:highlight w:val="none"/>
              </w:rPr>
              <w:t xml:space="preserve">验收时间</w:t>
            </w:r>
            <w:r/>
          </w:p>
        </w:tc>
        <w:tc>
          <w:tcPr>
            <w:tcW w:w="1961"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7"/>
              <w:spacing w:before="248" w:line="213" w:lineRule="auto"/>
              <w:rPr>
                <w:rFonts w:ascii="宋体" w:hAnsi="宋体" w:cs="宋体"/>
                <w:color w:val="auto"/>
                <w:sz w:val="23"/>
                <w:szCs w:val="23"/>
                <w:highlight w:val="none"/>
              </w:rPr>
            </w:pPr>
            <w:r>
              <w:rPr>
                <w:rFonts w:hint="eastAsia" w:ascii="宋体" w:hAnsi="宋体" w:cs="宋体"/>
                <w:color w:val="auto"/>
                <w:spacing w:val="4"/>
                <w:sz w:val="23"/>
                <w:szCs w:val="23"/>
                <w:highlight w:val="none"/>
              </w:rPr>
              <w:t xml:space="preserve">验收地点</w:t>
            </w:r>
            <w:r/>
          </w:p>
        </w:tc>
        <w:tc>
          <w:tcPr>
            <w:tcW w:w="2608"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960"/>
              <w:spacing w:before="248" w:line="213" w:lineRule="auto"/>
              <w:rPr>
                <w:rFonts w:ascii="宋体" w:hAnsi="宋体" w:cs="宋体"/>
                <w:color w:val="auto"/>
                <w:sz w:val="23"/>
                <w:szCs w:val="23"/>
                <w:highlight w:val="none"/>
              </w:rPr>
            </w:pPr>
            <w:r>
              <w:rPr>
                <w:rFonts w:hint="eastAsia" w:ascii="宋体" w:hAnsi="宋体" w:cs="宋体"/>
                <w:color w:val="auto"/>
                <w:spacing w:val="1"/>
                <w:sz w:val="23"/>
                <w:szCs w:val="23"/>
                <w:highlight w:val="none"/>
              </w:rPr>
              <w:t xml:space="preserve">联系人</w:t>
            </w:r>
            <w:r/>
          </w:p>
        </w:tc>
        <w:tc>
          <w:tcPr>
            <w:tcW w:w="1961"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5"/>
              <w:spacing w:before="248" w:line="213" w:lineRule="auto"/>
              <w:rPr>
                <w:rFonts w:ascii="宋体" w:hAnsi="宋体" w:cs="宋体"/>
                <w:color w:val="auto"/>
                <w:sz w:val="23"/>
                <w:szCs w:val="23"/>
                <w:highlight w:val="none"/>
              </w:rPr>
            </w:pPr>
            <w:r>
              <w:rPr>
                <w:rFonts w:hint="eastAsia" w:ascii="宋体" w:hAnsi="宋体" w:cs="宋体"/>
                <w:color w:val="auto"/>
                <w:spacing w:val="3"/>
                <w:sz w:val="23"/>
                <w:szCs w:val="23"/>
                <w:highlight w:val="none"/>
              </w:rPr>
              <w:t xml:space="preserve">联系电话</w:t>
            </w:r>
            <w:r/>
          </w:p>
        </w:tc>
        <w:tc>
          <w:tcPr>
            <w:tcW w:w="2608"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gridSpan w:val="4"/>
            <w:tcW w:w="9318" w:type="dxa"/>
            <w:textDirection w:val="lrTb"/>
            <w:noWrap w:val="false"/>
          </w:tcPr>
          <w:p>
            <w:pPr>
              <w:ind w:left="3353"/>
              <w:spacing w:before="250" w:line="212" w:lineRule="auto"/>
              <w:rPr>
                <w:rFonts w:ascii="宋体" w:hAnsi="宋体" w:cs="宋体"/>
                <w:color w:val="auto"/>
                <w:sz w:val="23"/>
                <w:szCs w:val="23"/>
                <w:highlight w:val="none"/>
              </w:rPr>
            </w:pPr>
            <w:r>
              <w:rPr>
                <w:rFonts w:hint="eastAsia" w:ascii="宋体" w:hAnsi="宋体" w:cs="宋体"/>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4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128" w:right="2893" w:firstLine="183"/>
              <w:spacing w:before="75" w:line="507" w:lineRule="auto"/>
              <w:rPr>
                <w:rFonts w:ascii="宋体" w:hAnsi="宋体" w:cs="宋体"/>
                <w:color w:val="auto"/>
                <w:sz w:val="23"/>
                <w:szCs w:val="23"/>
                <w:highlight w:val="none"/>
              </w:rPr>
            </w:pPr>
            <w:r>
              <w:rPr>
                <w:rFonts w:hint="eastAsia" w:ascii="宋体" w:hAnsi="宋体" w:cs="宋体"/>
                <w:color w:val="auto"/>
                <w:spacing w:val="3"/>
                <w:sz w:val="23"/>
                <w:szCs w:val="23"/>
                <w:highlight w:val="none"/>
              </w:rPr>
              <w:t xml:space="preserve">单位公章</w:t>
            </w:r>
            <w:r>
              <w:rPr>
                <w:rFonts w:hint="eastAsia" w:ascii="宋体" w:hAnsi="宋体" w:cs="宋体"/>
                <w:color w:val="auto"/>
                <w:sz w:val="23"/>
                <w:szCs w:val="23"/>
                <w:highlight w:val="none"/>
              </w:rPr>
              <w:t xml:space="preserve">  </w:t>
            </w:r>
            <w:r>
              <w:rPr>
                <w:rFonts w:hint="eastAsia" w:ascii="宋体" w:hAnsi="宋体" w:cs="宋体"/>
                <w:color w:val="auto"/>
                <w:spacing w:val="-16"/>
                <w:sz w:val="23"/>
                <w:szCs w:val="23"/>
                <w:highlight w:val="none"/>
              </w:rPr>
              <w:t xml:space="preserve">年</w:t>
            </w:r>
            <w:r>
              <w:rPr>
                <w:rFonts w:hint="eastAsia" w:ascii="宋体" w:hAnsi="宋体" w:cs="宋体"/>
                <w:color w:val="auto"/>
                <w:spacing w:val="18"/>
                <w:sz w:val="23"/>
                <w:szCs w:val="23"/>
                <w:highlight w:val="none"/>
              </w:rPr>
              <w:t xml:space="preserve">  </w:t>
            </w:r>
            <w:r>
              <w:rPr>
                <w:rFonts w:hint="eastAsia" w:ascii="宋体" w:hAnsi="宋体" w:cs="宋体"/>
                <w:color w:val="auto"/>
                <w:spacing w:val="-16"/>
                <w:sz w:val="23"/>
                <w:szCs w:val="23"/>
                <w:highlight w:val="none"/>
              </w:rPr>
              <w:t xml:space="preserve">月</w:t>
            </w:r>
            <w:r>
              <w:rPr>
                <w:rFonts w:hint="eastAsia" w:ascii="宋体" w:hAnsi="宋体" w:cs="宋体"/>
                <w:color w:val="auto"/>
                <w:spacing w:val="12"/>
                <w:sz w:val="23"/>
                <w:szCs w:val="23"/>
                <w:highlight w:val="none"/>
              </w:rPr>
              <w:t xml:space="preserve">   </w:t>
            </w:r>
            <w:r>
              <w:rPr>
                <w:rFonts w:hint="eastAsia" w:ascii="宋体" w:hAnsi="宋体" w:cs="宋体"/>
                <w:color w:val="auto"/>
                <w:spacing w:val="-16"/>
                <w:sz w:val="23"/>
                <w:szCs w:val="23"/>
                <w:highlight w:val="none"/>
              </w:rPr>
              <w:t xml:space="preserve">日</w:t>
            </w:r>
            <w:r/>
          </w:p>
        </w:tc>
      </w:tr>
    </w:tbl>
    <w:p>
      <w:pPr>
        <w:pStyle w:val="876"/>
        <w:ind w:left="513"/>
        <w:spacing w:before="284" w:line="219" w:lineRule="auto"/>
        <w:rPr>
          <w:rFonts w:ascii="宋体" w:hAnsi="宋体" w:cs="宋体"/>
          <w:b/>
          <w:bCs/>
          <w:color w:val="auto"/>
          <w:spacing w:val="-5"/>
          <w:sz w:val="21"/>
          <w:szCs w:val="21"/>
          <w:highlight w:val="none"/>
        </w:rPr>
        <w:sectPr>
          <w:headerReference w:type="default" r:id="rId10"/>
          <w:footerReference w:type="default" r:id="rId14"/>
          <w:footnotePr/>
          <w:endnotePr/>
          <w:type w:val="nextPage"/>
          <w:pgSz w:w="11906" w:h="16838" w:orient="portrait"/>
          <w:pgMar w:top="1440" w:right="1417" w:bottom="1134" w:left="1417" w:header="851" w:footer="850" w:gutter="0"/>
          <w:pgNumType w:start="1"/>
          <w:cols w:num="1" w:sep="0" w:space="1701" w:equalWidth="1"/>
          <w:docGrid w:linePitch="360"/>
        </w:sectPr>
        <w:outlineLvl w:val="0"/>
      </w:pPr>
      <w:r>
        <w:rPr>
          <w:rFonts w:ascii="宋体" w:hAnsi="宋体" w:cs="宋体"/>
          <w:b/>
          <w:bCs/>
          <w:color w:val="auto"/>
          <w:spacing w:val="-5"/>
          <w:sz w:val="21"/>
          <w:szCs w:val="21"/>
          <w:highlight w:val="none"/>
        </w:rPr>
      </w:r>
      <w:r/>
    </w:p>
    <w:p>
      <w:pPr>
        <w:pStyle w:val="876"/>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：政府采购履约验收书</w:t>
      </w:r>
      <w:r/>
    </w:p>
    <w:p>
      <w:pPr>
        <w:ind w:left="3812"/>
        <w:spacing w:before="104" w:line="185" w:lineRule="auto"/>
        <w:rPr>
          <w:rFonts w:ascii="宋体" w:hAnsi="宋体" w:cs="宋体"/>
          <w:color w:val="auto"/>
          <w:sz w:val="36"/>
          <w:szCs w:val="36"/>
          <w:highlight w:val="none"/>
        </w:rPr>
      </w:pPr>
      <w:r>
        <w:rPr>
          <w:rFonts w:hint="eastAsia" w:ascii="宋体" w:hAnsi="宋体" w:cs="宋体"/>
          <w:color w:val="auto"/>
          <w:spacing w:val="19"/>
          <w:sz w:val="36"/>
          <w:szCs w:val="36"/>
          <w:highlight w:val="none"/>
        </w:rPr>
        <w:t xml:space="preserve">政府采购履约验收书(服务类)</w:t>
      </w:r>
      <w:r/>
    </w:p>
    <w:tbl>
      <w:tblPr>
        <w:tblStyle w:val="1211"/>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textDirection w:val="lrTb"/>
            <w:noWrap w:val="false"/>
          </w:tcPr>
          <w:p>
            <w:pPr>
              <w:ind w:left="543"/>
              <w:spacing w:before="29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采购人</w:t>
            </w:r>
            <w:r/>
          </w:p>
        </w:tc>
        <w:tc>
          <w:tcPr>
            <w:tcW w:w="1714"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ind w:left="553"/>
              <w:spacing w:before="298" w:line="208"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项目名称</w:t>
            </w:r>
            <w:r/>
          </w:p>
        </w:tc>
        <w:tc>
          <w:tcPr>
            <w:tcW w:w="2476"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ind w:left="1640"/>
              <w:spacing w:before="29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合同名称</w:t>
            </w:r>
            <w:r/>
          </w:p>
        </w:tc>
        <w:tc>
          <w:tcPr>
            <w:tcW w:w="2556"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r>
        <w:trPr>
          <w:trHeight w:val="564"/>
        </w:trPr>
        <w:tc>
          <w:tcPr>
            <w:tcW w:w="1625" w:type="dxa"/>
            <w:textDirection w:val="lrTb"/>
            <w:noWrap w:val="false"/>
          </w:tcPr>
          <w:p>
            <w:pPr>
              <w:ind w:left="544"/>
              <w:spacing w:before="29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供应商</w:t>
            </w:r>
            <w:r/>
          </w:p>
        </w:tc>
        <w:tc>
          <w:tcPr>
            <w:tcW w:w="1714"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ind w:left="285"/>
              <w:spacing w:before="29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项目及合同编号</w:t>
            </w:r>
            <w:r/>
          </w:p>
        </w:tc>
        <w:tc>
          <w:tcPr>
            <w:tcW w:w="2476"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ind w:left="1640"/>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合同金额</w:t>
            </w:r>
            <w:r/>
          </w:p>
        </w:tc>
        <w:tc>
          <w:tcPr>
            <w:tcW w:w="2556"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1625" w:type="dxa"/>
            <w:textDirection w:val="lrTb"/>
            <w:noWrap w:val="false"/>
          </w:tcPr>
          <w:p>
            <w:pPr>
              <w:ind w:left="186"/>
              <w:spacing w:before="267"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分期（段）验收</w:t>
            </w:r>
            <w:r/>
          </w:p>
        </w:tc>
        <w:tc>
          <w:tcPr>
            <w:tcW w:w="1714" w:type="dxa"/>
            <w:textDirection w:val="lrTb"/>
            <w:noWrap w:val="false"/>
          </w:tcPr>
          <w:p>
            <w:pPr>
              <w:ind w:left="367"/>
              <w:spacing w:before="267" w:line="240" w:lineRule="exact"/>
              <w:rPr>
                <w:rFonts w:ascii="宋体" w:hAnsi="宋体" w:cs="宋体"/>
                <w:color w:val="auto"/>
                <w:sz w:val="18"/>
                <w:szCs w:val="18"/>
                <w:highlight w:val="none"/>
              </w:rPr>
            </w:pPr>
            <w:r>
              <w:rPr>
                <w:rFonts w:hint="eastAsia" w:ascii="宋体" w:hAnsi="宋体" w:cs="宋体"/>
                <w:color w:val="auto"/>
                <w:spacing w:val="-6"/>
                <w:position w:val="1"/>
                <w:sz w:val="18"/>
                <w:szCs w:val="18"/>
                <w:highlight w:val="none"/>
              </w:rPr>
              <w:t xml:space="preserve">是□</w:t>
            </w:r>
            <w:r>
              <w:rPr>
                <w:rFonts w:hint="eastAsia" w:ascii="宋体" w:hAnsi="宋体" w:cs="宋体"/>
                <w:color w:val="auto"/>
                <w:spacing w:val="4"/>
                <w:position w:val="1"/>
                <w:sz w:val="18"/>
                <w:szCs w:val="18"/>
                <w:highlight w:val="none"/>
              </w:rPr>
              <w:t xml:space="preserve">   </w:t>
            </w:r>
            <w:r>
              <w:rPr>
                <w:rFonts w:hint="eastAsia" w:ascii="宋体" w:hAnsi="宋体" w:cs="宋体"/>
                <w:color w:val="auto"/>
                <w:spacing w:val="-6"/>
                <w:position w:val="1"/>
                <w:sz w:val="18"/>
                <w:szCs w:val="18"/>
                <w:highlight w:val="none"/>
              </w:rPr>
              <w:t xml:space="preserve">否□</w:t>
            </w:r>
            <w:r/>
          </w:p>
        </w:tc>
        <w:tc>
          <w:tcPr>
            <w:tcW w:w="1816" w:type="dxa"/>
            <w:textDirection w:val="lrTb"/>
            <w:noWrap w:val="false"/>
          </w:tcPr>
          <w:p>
            <w:pPr>
              <w:ind w:left="284"/>
              <w:spacing w:before="267"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分期（段）情况</w:t>
            </w:r>
            <w:r/>
          </w:p>
        </w:tc>
        <w:tc>
          <w:tcPr>
            <w:gridSpan w:val="4"/>
            <w:tcW w:w="9019" w:type="dxa"/>
            <w:textDirection w:val="lrTb"/>
            <w:noWrap w:val="false"/>
          </w:tcPr>
          <w:p>
            <w:pPr>
              <w:ind w:left="2804"/>
              <w:spacing w:before="267" w:line="240"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共分   期（段</w:t>
            </w:r>
            <w:r>
              <w:rPr>
                <w:rFonts w:hint="eastAsia" w:ascii="宋体" w:hAnsi="宋体" w:cs="宋体"/>
                <w:color w:val="auto"/>
                <w:spacing w:val="6"/>
                <w:position w:val="1"/>
                <w:sz w:val="18"/>
                <w:szCs w:val="18"/>
                <w:highlight w:val="none"/>
              </w:rPr>
              <w:t xml:space="preserve">），</w:t>
            </w:r>
            <w:r>
              <w:rPr>
                <w:rFonts w:hint="eastAsia" w:ascii="宋体" w:hAnsi="宋体" w:cs="宋体"/>
                <w:color w:val="auto"/>
                <w:spacing w:val="-1"/>
                <w:position w:val="1"/>
                <w:sz w:val="18"/>
                <w:szCs w:val="18"/>
                <w:highlight w:val="none"/>
              </w:rPr>
              <w:t xml:space="preserve">此为第   期（段）验收</w:t>
            </w:r>
            <w:r/>
          </w:p>
        </w:tc>
      </w:tr>
      <w:tr>
        <w:trPr>
          <w:trHeight w:val="1679"/>
        </w:trPr>
        <w:tc>
          <w:tcPr>
            <w:tcW w:w="1625" w:type="dxa"/>
            <w:textDirection w:val="lrTb"/>
            <w:noWrap w:val="false"/>
          </w:tcPr>
          <w:p>
            <w:pPr>
              <w:pStyle w:val="1212"/>
              <w:spacing w:line="264"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64"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6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454"/>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验收时间</w:t>
            </w:r>
            <w:r/>
          </w:p>
        </w:tc>
        <w:tc>
          <w:tcPr>
            <w:tcW w:w="1714"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pStyle w:val="1212"/>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12"/>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12"/>
              <w:spacing w:line="265" w:lineRule="auto"/>
              <w:rPr>
                <w:rFonts w:ascii="宋体" w:hAnsi="宋体" w:eastAsia="宋体" w:cs="宋体"/>
                <w:color w:val="auto"/>
                <w:highlight w:val="none"/>
              </w:rPr>
            </w:pPr>
            <w:r>
              <w:rPr>
                <w:rFonts w:ascii="宋体" w:hAnsi="宋体" w:eastAsia="宋体" w:cs="宋体"/>
                <w:color w:val="auto"/>
                <w:highlight w:val="none"/>
              </w:rPr>
            </w:r>
            <w:r/>
          </w:p>
          <w:p>
            <w:pPr>
              <w:ind w:left="550"/>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验收地点</w:t>
            </w:r>
            <w:r/>
          </w:p>
        </w:tc>
        <w:tc>
          <w:tcPr>
            <w:tcW w:w="2476"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pStyle w:val="1212"/>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12"/>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12"/>
              <w:spacing w:line="265" w:lineRule="auto"/>
              <w:rPr>
                <w:rFonts w:ascii="宋体" w:hAnsi="宋体" w:eastAsia="宋体" w:cs="宋体"/>
                <w:color w:val="auto"/>
                <w:highlight w:val="none"/>
              </w:rPr>
            </w:pPr>
            <w:r>
              <w:rPr>
                <w:rFonts w:ascii="宋体" w:hAnsi="宋体" w:eastAsia="宋体" w:cs="宋体"/>
                <w:color w:val="auto"/>
                <w:highlight w:val="none"/>
              </w:rPr>
            </w:r>
            <w:r/>
          </w:p>
          <w:p>
            <w:pPr>
              <w:ind w:left="1459"/>
              <w:spacing w:before="59"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验收组织形式</w:t>
            </w:r>
            <w:r/>
          </w:p>
        </w:tc>
        <w:tc>
          <w:tcPr>
            <w:tcW w:w="2556" w:type="dxa"/>
            <w:textDirection w:val="lrTb"/>
            <w:noWrap w:val="false"/>
          </w:tcPr>
          <w:p>
            <w:pPr>
              <w:ind w:left="673"/>
              <w:spacing w:before="267" w:line="239" w:lineRule="exact"/>
              <w:rPr>
                <w:rFonts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□自行简易验收</w:t>
            </w:r>
            <w:r/>
          </w:p>
          <w:p>
            <w:pPr>
              <w:pStyle w:val="1212"/>
              <w:spacing w:line="260"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673"/>
              <w:spacing w:before="58" w:line="240" w:lineRule="exact"/>
              <w:rPr>
                <w:rFonts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□验收小组验收</w:t>
            </w:r>
            <w:r/>
          </w:p>
          <w:p>
            <w:pPr>
              <w:pStyle w:val="1212"/>
              <w:spacing w:line="26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82"/>
              <w:spacing w:before="58" w:line="239" w:lineRule="exact"/>
              <w:rPr>
                <w:rFonts w:ascii="宋体" w:hAnsi="宋体" w:cs="宋体"/>
                <w:color w:val="auto"/>
                <w:sz w:val="18"/>
                <w:szCs w:val="18"/>
                <w:highlight w:val="none"/>
              </w:rPr>
            </w:pPr>
            <w:r>
              <w:rPr>
                <w:rFonts w:hint="eastAsia" w:ascii="宋体" w:hAnsi="宋体" w:cs="宋体"/>
                <w:color w:val="auto"/>
                <w:spacing w:val="-3"/>
                <w:position w:val="1"/>
                <w:sz w:val="18"/>
                <w:szCs w:val="18"/>
                <w:highlight w:val="none"/>
              </w:rPr>
              <w:t xml:space="preserve">□采购代理机构验收</w:t>
            </w:r>
            <w:r/>
          </w:p>
        </w:tc>
      </w:tr>
      <w:tr>
        <w:trPr>
          <w:trHeight w:val="560"/>
        </w:trPr>
        <w:tc>
          <w:tcPr>
            <w:tcBorders>
              <w:bottom w:val="none" w:color="000000" w:sz="4" w:space="0"/>
            </w:tcBorders>
            <w:tcW w:w="1625" w:type="dxa"/>
            <w:vMerge w:val="restart"/>
            <w:textDirection w:val="lrTb"/>
            <w:noWrap w:val="false"/>
          </w:tcPr>
          <w:p>
            <w:pPr>
              <w:pStyle w:val="1212"/>
              <w:spacing w:line="265" w:lineRule="auto"/>
              <w:rPr>
                <w:rFonts w:ascii="宋体" w:hAnsi="宋体" w:eastAsia="宋体" w:cs="宋体"/>
                <w:color w:val="auto"/>
                <w:highlight w:val="none"/>
              </w:rPr>
            </w:pPr>
            <w:r>
              <w:rPr>
                <w:rFonts w:ascii="宋体" w:hAnsi="宋体" w:eastAsia="宋体" w:cs="宋体"/>
                <w:color w:val="auto"/>
                <w:highlight w:val="none"/>
              </w:rPr>
            </w:r>
            <w:r/>
          </w:p>
          <w:p>
            <w:pPr>
              <w:pStyle w:val="1212"/>
              <w:spacing w:line="265" w:lineRule="auto"/>
              <w:rPr>
                <w:rFonts w:ascii="宋体" w:hAnsi="宋体" w:eastAsia="宋体" w:cs="宋体"/>
                <w:color w:val="auto"/>
                <w:highlight w:val="none"/>
              </w:rPr>
            </w:pPr>
            <w:r>
              <w:rPr>
                <w:rFonts w:ascii="宋体" w:hAnsi="宋体" w:eastAsia="宋体" w:cs="宋体"/>
                <w:color w:val="auto"/>
                <w:highlight w:val="none"/>
              </w:rPr>
            </w:r>
            <w:r/>
          </w:p>
          <w:p>
            <w:pPr>
              <w:pStyle w:val="1212"/>
              <w:spacing w:line="266" w:lineRule="auto"/>
              <w:rPr>
                <w:rFonts w:ascii="宋体" w:hAnsi="宋体" w:eastAsia="宋体" w:cs="宋体"/>
                <w:color w:val="auto"/>
                <w:highlight w:val="none"/>
              </w:rPr>
            </w:pPr>
            <w:r>
              <w:rPr>
                <w:rFonts w:ascii="宋体" w:hAnsi="宋体" w:eastAsia="宋体" w:cs="宋体"/>
                <w:color w:val="auto"/>
                <w:highlight w:val="none"/>
              </w:rPr>
            </w:r>
            <w:r/>
          </w:p>
          <w:p>
            <w:pPr>
              <w:ind w:left="454"/>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验收内容</w:t>
            </w:r>
            <w:r/>
          </w:p>
        </w:tc>
        <w:tc>
          <w:tcPr>
            <w:tcW w:w="1714" w:type="dxa"/>
            <w:textDirection w:val="lrTb"/>
            <w:noWrap w:val="false"/>
          </w:tcPr>
          <w:p>
            <w:pPr>
              <w:ind w:left="498"/>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服务质量</w:t>
            </w:r>
            <w:r/>
          </w:p>
        </w:tc>
        <w:tc>
          <w:tcPr>
            <w:tcW w:w="1816" w:type="dxa"/>
            <w:textDirection w:val="lrTb"/>
            <w:noWrap w:val="false"/>
          </w:tcPr>
          <w:p>
            <w:pPr>
              <w:ind w:left="551"/>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服务进度</w:t>
            </w:r>
            <w:r/>
          </w:p>
        </w:tc>
        <w:tc>
          <w:tcPr>
            <w:tcW w:w="2476" w:type="dxa"/>
            <w:textDirection w:val="lrTb"/>
            <w:noWrap w:val="false"/>
          </w:tcPr>
          <w:p>
            <w:pPr>
              <w:ind w:left="387"/>
              <w:spacing w:before="298" w:line="207"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人员、设备 配备情况</w:t>
            </w:r>
            <w:r/>
          </w:p>
        </w:tc>
        <w:tc>
          <w:tcPr>
            <w:tcW w:w="1705" w:type="dxa"/>
            <w:textDirection w:val="lrTb"/>
            <w:noWrap w:val="false"/>
          </w:tcPr>
          <w:p>
            <w:pPr>
              <w:ind w:left="231"/>
              <w:spacing w:before="297" w:line="209"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行业、安全标准</w:t>
            </w:r>
            <w:r/>
          </w:p>
        </w:tc>
        <w:tc>
          <w:tcPr>
            <w:tcW w:w="2282" w:type="dxa"/>
            <w:textDirection w:val="lrTb"/>
            <w:noWrap w:val="false"/>
          </w:tcPr>
          <w:p>
            <w:pPr>
              <w:ind w:left="340"/>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项目需求、服务承诺</w:t>
            </w:r>
            <w:r/>
          </w:p>
        </w:tc>
        <w:tc>
          <w:tcPr>
            <w:tcW w:w="2556" w:type="dxa"/>
            <w:textDirection w:val="lrTb"/>
            <w:noWrap w:val="false"/>
          </w:tcPr>
          <w:p>
            <w:pPr>
              <w:ind w:left="159"/>
              <w:spacing w:before="299" w:line="208"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合同履约时间、 地点、方式</w:t>
            </w:r>
            <w:r/>
          </w:p>
        </w:tc>
      </w:tr>
      <w:tr>
        <w:trPr>
          <w:trHeight w:val="1119"/>
        </w:trPr>
        <w:tc>
          <w:tcPr>
            <w:tcBorders>
              <w:top w:val="none" w:color="000000" w:sz="4" w:space="0"/>
            </w:tcBorders>
            <w:tcW w:w="1625" w:type="dxa"/>
            <w:vMerge w:val="continue"/>
            <w:textDirection w:val="lrTb"/>
            <w:noWrap w:val="false"/>
          </w:tcPr>
          <w:p>
            <w:pPr>
              <w:pStyle w:val="1212"/>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tcW w:w="1714" w:type="dxa"/>
            <w:textDirection w:val="lrTb"/>
            <w:noWrap w:val="false"/>
          </w:tcPr>
          <w:p>
            <w:pPr>
              <w:ind w:left="501" w:right="497"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816" w:type="dxa"/>
            <w:textDirection w:val="lrTb"/>
            <w:noWrap w:val="false"/>
          </w:tcPr>
          <w:p>
            <w:pPr>
              <w:ind w:left="553" w:right="547" w:hanging="1"/>
              <w:spacing w:before="270" w:line="430" w:lineRule="auto"/>
              <w:rPr>
                <w:rFonts w:ascii="宋体" w:hAnsi="宋体" w:cs="宋体"/>
                <w:color w:val="auto"/>
                <w:sz w:val="18"/>
                <w:szCs w:val="18"/>
                <w:highlight w:val="none"/>
              </w:rPr>
            </w:pPr>
            <w:r>
              <w:rPr>
                <w:rFonts w:hint="eastAsia" w:ascii="宋体" w:hAnsi="宋体" w:cs="宋体"/>
                <w:color w:val="auto"/>
                <w:spacing w:val="-8"/>
                <w:sz w:val="18"/>
                <w:szCs w:val="18"/>
                <w:highlight w:val="none"/>
              </w:rPr>
              <w:t xml:space="preserve">按</w:t>
            </w:r>
            <w:r>
              <w:rPr>
                <w:rFonts w:hint="eastAsia" w:ascii="宋体" w:hAnsi="宋体" w:cs="宋体"/>
                <w:color w:val="auto"/>
                <w:spacing w:val="7"/>
                <w:sz w:val="18"/>
                <w:szCs w:val="18"/>
                <w:highlight w:val="none"/>
              </w:rPr>
              <w:t xml:space="preserve">  </w:t>
            </w:r>
            <w:r>
              <w:rPr>
                <w:rFonts w:hint="eastAsia" w:ascii="宋体" w:hAnsi="宋体" w:cs="宋体"/>
                <w:color w:val="auto"/>
                <w:spacing w:val="-8"/>
                <w:sz w:val="18"/>
                <w:szCs w:val="18"/>
                <w:highlight w:val="none"/>
              </w:rPr>
              <w:t xml:space="preserve">时□</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不按时□</w:t>
            </w:r>
            <w:r/>
          </w:p>
        </w:tc>
        <w:tc>
          <w:tcPr>
            <w:tcW w:w="2476" w:type="dxa"/>
            <w:textDirection w:val="lrTb"/>
            <w:noWrap w:val="false"/>
          </w:tcPr>
          <w:p>
            <w:pPr>
              <w:ind w:left="885" w:right="875"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705" w:type="dxa"/>
            <w:textDirection w:val="lrTb"/>
            <w:noWrap w:val="false"/>
          </w:tcPr>
          <w:p>
            <w:pPr>
              <w:ind w:left="500" w:right="489"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282" w:type="dxa"/>
            <w:textDirection w:val="lrTb"/>
            <w:noWrap w:val="false"/>
          </w:tcPr>
          <w:p>
            <w:pPr>
              <w:ind w:left="789" w:right="777"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556" w:type="dxa"/>
            <w:textDirection w:val="lrTb"/>
            <w:noWrap w:val="false"/>
          </w:tcPr>
          <w:p>
            <w:pPr>
              <w:ind w:left="926" w:right="914"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r>
      <w:tr>
        <w:trPr>
          <w:trHeight w:val="1119"/>
        </w:trPr>
        <w:tc>
          <w:tcPr>
            <w:tcW w:w="1625" w:type="dxa"/>
            <w:textDirection w:val="lrTb"/>
            <w:noWrap w:val="false"/>
          </w:tcPr>
          <w:p>
            <w:pPr>
              <w:ind w:left="185"/>
              <w:spacing w:before="299"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专业检测机构情</w:t>
            </w:r>
            <w:r/>
          </w:p>
          <w:p>
            <w:pPr>
              <w:pStyle w:val="1212"/>
              <w:spacing w:line="298"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45"/>
              <w:spacing w:before="59"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况说明</w:t>
            </w:r>
            <w:r/>
          </w:p>
        </w:tc>
        <w:tc>
          <w:tcPr>
            <w:gridSpan w:val="6"/>
            <w:tcW w:w="12549" w:type="dxa"/>
            <w:textDirection w:val="lrTb"/>
            <w:noWrap w:val="false"/>
          </w:tcPr>
          <w:p>
            <w:pPr>
              <w:pStyle w:val="1212"/>
              <w:rPr>
                <w:rFonts w:ascii="宋体" w:hAnsi="宋体" w:eastAsia="宋体" w:cs="宋体"/>
                <w:color w:val="auto"/>
                <w:highlight w:val="none"/>
                <w:lang w:eastAsia="zh-CN"/>
              </w:rPr>
            </w:pPr>
            <w:r>
              <w:rPr>
                <w:rFonts w:ascii="宋体" w:hAnsi="宋体" w:eastAsia="宋体" w:cs="宋体"/>
                <w:color w:val="auto"/>
                <w:highlight w:val="none"/>
                <w:lang w:eastAsia="zh-CN"/>
              </w:rPr>
            </w:r>
            <w:r/>
          </w:p>
        </w:tc>
      </w:tr>
      <w:tr>
        <w:trPr>
          <w:trHeight w:val="1120"/>
        </w:trPr>
        <w:tc>
          <w:tcPr>
            <w:tcW w:w="1625" w:type="dxa"/>
            <w:textDirection w:val="lrTb"/>
            <w:noWrap w:val="false"/>
          </w:tcPr>
          <w:p>
            <w:pPr>
              <w:pStyle w:val="1212"/>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454"/>
              <w:spacing w:before="5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存在问题</w:t>
            </w:r>
            <w:r/>
          </w:p>
          <w:p>
            <w:pPr>
              <w:pStyle w:val="1212"/>
              <w:spacing w:line="297" w:lineRule="auto"/>
              <w:rPr>
                <w:rFonts w:ascii="宋体" w:hAnsi="宋体" w:eastAsia="宋体" w:cs="宋体"/>
                <w:color w:val="auto"/>
                <w:highlight w:val="none"/>
              </w:rPr>
            </w:pPr>
            <w:r>
              <w:rPr>
                <w:rFonts w:ascii="宋体" w:hAnsi="宋体" w:eastAsia="宋体" w:cs="宋体"/>
                <w:color w:val="auto"/>
                <w:highlight w:val="none"/>
              </w:rPr>
            </w:r>
            <w:r/>
          </w:p>
          <w:p>
            <w:pPr>
              <w:ind w:left="365"/>
              <w:spacing w:before="5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和改进意见</w:t>
            </w:r>
            <w:r/>
          </w:p>
        </w:tc>
        <w:tc>
          <w:tcPr>
            <w:gridSpan w:val="6"/>
            <w:tcW w:w="12549"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rPr>
        <w:sectPr>
          <w:footerReference w:type="default" r:id="rId15"/>
          <w:footnotePr/>
          <w:endnotePr/>
          <w:type w:val="nextPage"/>
          <w:pgSz w:w="16838" w:h="11906" w:orient="landscape"/>
          <w:pgMar w:top="1011" w:right="956" w:bottom="1380" w:left="1459" w:header="0" w:footer="1162" w:gutter="0"/>
          <w:cols w:num="1" w:sep="0" w:space="720" w:equalWidth="1"/>
          <w:docGrid w:linePitch="360"/>
        </w:sectPr>
      </w:pPr>
      <w:r>
        <w:rPr>
          <w:rFonts w:ascii="宋体" w:hAnsi="宋体" w:cs="宋体"/>
          <w:color w:val="auto"/>
          <w:szCs w:val="21"/>
          <w:highlight w:val="none"/>
        </w:rPr>
      </w:r>
      <w:r/>
    </w:p>
    <w:p>
      <w:pPr>
        <w:spacing w:before="164"/>
        <w:rPr>
          <w:rFonts w:ascii="宋体" w:hAnsi="宋体" w:cs="宋体"/>
          <w:color w:val="auto"/>
          <w:highlight w:val="none"/>
        </w:rPr>
      </w:pPr>
      <w:r>
        <w:rPr>
          <w:rFonts w:ascii="宋体" w:hAnsi="宋体" w:cs="宋体"/>
          <w:color w:val="auto"/>
          <w:highlight w:val="none"/>
        </w:rPr>
      </w:r>
      <w:r/>
    </w:p>
    <w:tbl>
      <w:tblPr>
        <w:tblStyle w:val="1211"/>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textDirection w:val="lrTb"/>
            <w:noWrap w:val="false"/>
          </w:tcPr>
          <w:p>
            <w:pPr>
              <w:pStyle w:val="1212"/>
              <w:spacing w:line="301" w:lineRule="auto"/>
              <w:rPr>
                <w:rFonts w:ascii="宋体" w:hAnsi="宋体" w:eastAsia="宋体" w:cs="宋体"/>
                <w:color w:val="auto"/>
                <w:highlight w:val="none"/>
              </w:rPr>
            </w:pPr>
            <w:r>
              <w:rPr>
                <w:rFonts w:ascii="宋体" w:hAnsi="宋体" w:eastAsia="宋体" w:cs="宋体"/>
                <w:color w:val="auto"/>
                <w:highlight w:val="none"/>
              </w:rPr>
            </w:r>
            <w:r/>
          </w:p>
          <w:p>
            <w:pPr>
              <w:ind w:left="457"/>
              <w:spacing w:before="5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最终结论</w:t>
            </w:r>
            <w:r/>
          </w:p>
        </w:tc>
        <w:tc>
          <w:tcPr>
            <w:gridSpan w:val="2"/>
            <w:tcW w:w="12550" w:type="dxa"/>
            <w:textDirection w:val="lrTb"/>
            <w:noWrap w:val="false"/>
          </w:tcPr>
          <w:p>
            <w:pPr>
              <w:pStyle w:val="1212"/>
              <w:spacing w:line="271" w:lineRule="auto"/>
              <w:rPr>
                <w:rFonts w:ascii="宋体" w:hAnsi="宋体" w:eastAsia="宋体" w:cs="宋体"/>
                <w:color w:val="auto"/>
                <w:highlight w:val="none"/>
              </w:rPr>
            </w:pPr>
            <w:r>
              <w:rPr>
                <w:rFonts w:ascii="宋体" w:hAnsi="宋体" w:eastAsia="宋体" w:cs="宋体"/>
                <w:color w:val="auto"/>
                <w:highlight w:val="none"/>
              </w:rPr>
            </w:r>
            <w:r/>
          </w:p>
          <w:p>
            <w:pPr>
              <w:ind w:left="4210"/>
              <w:spacing w:before="58"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合  格□</w:t>
            </w:r>
            <w:r>
              <w:rPr>
                <w:rFonts w:hint="eastAsia" w:ascii="宋体" w:hAnsi="宋体" w:cs="宋体"/>
                <w:color w:val="auto"/>
                <w:position w:val="1"/>
                <w:sz w:val="18"/>
                <w:szCs w:val="18"/>
                <w:highlight w:val="none"/>
              </w:rPr>
              <w:t xml:space="preserve">                              </w:t>
            </w:r>
            <w:r>
              <w:rPr>
                <w:rFonts w:hint="eastAsia" w:ascii="宋体" w:hAnsi="宋体" w:cs="宋体"/>
                <w:color w:val="auto"/>
                <w:spacing w:val="-2"/>
                <w:position w:val="1"/>
                <w:sz w:val="18"/>
                <w:szCs w:val="18"/>
                <w:highlight w:val="none"/>
              </w:rPr>
              <w:t xml:space="preserve">不合格□</w:t>
            </w:r>
            <w:r/>
          </w:p>
        </w:tc>
      </w:tr>
      <w:tr>
        <w:trPr>
          <w:trHeight w:val="1119"/>
        </w:trPr>
        <w:tc>
          <w:tcPr>
            <w:tcW w:w="1624" w:type="dxa"/>
            <w:textDirection w:val="lrTb"/>
            <w:noWrap w:val="false"/>
          </w:tcPr>
          <w:p>
            <w:pPr>
              <w:ind w:left="274"/>
              <w:spacing w:before="295"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验收小组成员</w:t>
            </w:r>
            <w:r/>
          </w:p>
          <w:p>
            <w:pPr>
              <w:pStyle w:val="1212"/>
              <w:spacing w:line="298" w:lineRule="auto"/>
              <w:rPr>
                <w:rFonts w:ascii="宋体" w:hAnsi="宋体" w:eastAsia="宋体" w:cs="宋体"/>
                <w:color w:val="auto"/>
                <w:highlight w:val="none"/>
              </w:rPr>
            </w:pPr>
            <w:r>
              <w:rPr>
                <w:rFonts w:ascii="宋体" w:hAnsi="宋体" w:eastAsia="宋体" w:cs="宋体"/>
                <w:color w:val="auto"/>
                <w:highlight w:val="none"/>
              </w:rPr>
            </w:r>
            <w:r/>
          </w:p>
          <w:p>
            <w:pPr>
              <w:ind w:left="635"/>
              <w:spacing w:before="58" w:line="208" w:lineRule="auto"/>
              <w:rPr>
                <w:rFonts w:ascii="宋体" w:hAnsi="宋体" w:cs="宋体"/>
                <w:color w:val="auto"/>
                <w:sz w:val="18"/>
                <w:szCs w:val="18"/>
                <w:highlight w:val="none"/>
              </w:rPr>
            </w:pPr>
            <w:r>
              <w:rPr>
                <w:rFonts w:hint="eastAsia" w:ascii="宋体" w:hAnsi="宋体" w:cs="宋体"/>
                <w:color w:val="auto"/>
                <w:spacing w:val="-4"/>
                <w:sz w:val="18"/>
                <w:szCs w:val="18"/>
                <w:highlight w:val="none"/>
              </w:rPr>
              <w:t xml:space="preserve">签字</w:t>
            </w:r>
            <w:r/>
          </w:p>
        </w:tc>
        <w:tc>
          <w:tcPr>
            <w:gridSpan w:val="2"/>
            <w:tcW w:w="12550" w:type="dxa"/>
            <w:textDirection w:val="lrTb"/>
            <w:noWrap w:val="false"/>
          </w:tcPr>
          <w:p>
            <w:pPr>
              <w:pStyle w:val="1212"/>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gridSpan w:val="2"/>
            <w:tcW w:w="7059" w:type="dxa"/>
            <w:textDirection w:val="lrTb"/>
            <w:noWrap w:val="false"/>
          </w:tcPr>
          <w:p>
            <w:pPr>
              <w:ind w:left="2814"/>
              <w:spacing w:before="297" w:line="208"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采购代理机构意见</w:t>
            </w:r>
            <w:r/>
          </w:p>
        </w:tc>
        <w:tc>
          <w:tcPr>
            <w:tcW w:w="7115" w:type="dxa"/>
            <w:textDirection w:val="lrTb"/>
            <w:noWrap w:val="false"/>
          </w:tcPr>
          <w:p>
            <w:pPr>
              <w:ind w:left="3111"/>
              <w:spacing w:before="297"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采购人意见</w:t>
            </w:r>
            <w:r/>
          </w:p>
        </w:tc>
      </w:tr>
      <w:tr>
        <w:trPr>
          <w:trHeight w:val="1119"/>
        </w:trPr>
        <w:tc>
          <w:tcPr>
            <w:gridSpan w:val="2"/>
            <w:tcW w:w="7059" w:type="dxa"/>
            <w:textDirection w:val="lrTb"/>
            <w:noWrap w:val="false"/>
          </w:tcPr>
          <w:p>
            <w:pPr>
              <w:pStyle w:val="1212"/>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3"/>
              <w:spacing w:before="59" w:line="238"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8"/>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8"/>
                <w:position w:val="1"/>
                <w:sz w:val="18"/>
                <w:szCs w:val="18"/>
                <w:highlight w:val="none"/>
              </w:rPr>
              <w:t xml:space="preserve">（</w:t>
            </w:r>
            <w:r>
              <w:rPr>
                <w:rFonts w:hint="eastAsia" w:ascii="宋体" w:hAnsi="宋体" w:cs="宋体"/>
                <w:color w:val="auto"/>
                <w:spacing w:val="1"/>
                <w:position w:val="1"/>
                <w:sz w:val="18"/>
                <w:szCs w:val="18"/>
                <w:highlight w:val="none"/>
              </w:rPr>
              <w:t xml:space="preserve">采购代理机构公章）</w:t>
            </w:r>
            <w:r/>
          </w:p>
        </w:tc>
        <w:tc>
          <w:tcPr>
            <w:tcW w:w="7115" w:type="dxa"/>
            <w:textDirection w:val="lrTb"/>
            <w:noWrap w:val="false"/>
          </w:tcPr>
          <w:p>
            <w:pPr>
              <w:pStyle w:val="1212"/>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5"/>
              <w:spacing w:before="59" w:line="238"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7"/>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7"/>
                <w:position w:val="1"/>
                <w:sz w:val="18"/>
                <w:szCs w:val="18"/>
                <w:highlight w:val="none"/>
              </w:rPr>
              <w:t xml:space="preserve">（</w:t>
            </w:r>
            <w:r>
              <w:rPr>
                <w:rFonts w:hint="eastAsia" w:ascii="宋体" w:hAnsi="宋体" w:cs="宋体"/>
                <w:color w:val="auto"/>
                <w:spacing w:val="1"/>
                <w:position w:val="1"/>
                <w:sz w:val="18"/>
                <w:szCs w:val="18"/>
                <w:highlight w:val="none"/>
              </w:rPr>
              <w:t xml:space="preserve">采购人公章）</w:t>
            </w:r>
            <w:r/>
          </w:p>
        </w:tc>
      </w:tr>
      <w:tr>
        <w:trPr>
          <w:trHeight w:val="1681"/>
        </w:trPr>
        <w:tc>
          <w:tcPr>
            <w:gridSpan w:val="3"/>
            <w:tcW w:w="14174" w:type="dxa"/>
            <w:textDirection w:val="lrTb"/>
            <w:noWrap w:val="false"/>
          </w:tcPr>
          <w:p>
            <w:pPr>
              <w:ind w:left="112"/>
              <w:spacing w:before="299"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供应商确认：</w:t>
            </w:r>
            <w:r/>
          </w:p>
          <w:p>
            <w:pPr>
              <w:pStyle w:val="1212"/>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12"/>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7"/>
              <w:spacing w:before="58" w:line="239"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说明：1.该表为服务类项目履约验收的参考样表，采购人或采购代理机构可以</w:t>
      </w:r>
      <w:r>
        <w:rPr>
          <w:rFonts w:hint="eastAsia" w:ascii="宋体" w:hAnsi="宋体" w:cs="宋体"/>
          <w:color w:val="auto"/>
          <w:spacing w:val="-1"/>
          <w:sz w:val="18"/>
          <w:szCs w:val="18"/>
          <w:highlight w:val="none"/>
        </w:rPr>
        <w:t xml:space="preserve">根据工作实际进行调整。</w:t>
      </w:r>
      <w:r/>
    </w:p>
    <w:p>
      <w:pPr>
        <w:spacing w:line="295" w:lineRule="auto"/>
        <w:rPr>
          <w:rFonts w:ascii="宋体" w:hAnsi="宋体" w:cs="宋体"/>
          <w:color w:val="auto"/>
          <w:highlight w:val="none"/>
        </w:rPr>
      </w:pPr>
      <w:r>
        <w:rPr>
          <w:rFonts w:ascii="宋体" w:hAnsi="宋体" w:cs="宋体"/>
          <w:color w:val="auto"/>
          <w:highlight w:val="none"/>
        </w:rPr>
      </w:r>
      <w:r/>
    </w:p>
    <w:p>
      <w:pPr>
        <w:ind w:left="625"/>
        <w:spacing w:before="59" w:line="211"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2.未委托采购代理机构开展履约验收工作的，无需填写“</w:t>
      </w:r>
      <w:r>
        <w:rPr>
          <w:rFonts w:hint="eastAsia" w:ascii="宋体" w:hAnsi="宋体" w:cs="宋体"/>
          <w:color w:val="auto"/>
          <w:spacing w:val="-1"/>
          <w:sz w:val="18"/>
          <w:szCs w:val="18"/>
          <w:highlight w:val="none"/>
        </w:rPr>
        <w:t xml:space="preserve">采购代理机构意见</w:t>
      </w:r>
      <w:r>
        <w:rPr>
          <w:rFonts w:hint="eastAsia" w:ascii="宋体" w:hAnsi="宋体" w:cs="宋体"/>
          <w:color w:val="auto"/>
          <w:spacing w:val="-66"/>
          <w:sz w:val="18"/>
          <w:szCs w:val="18"/>
          <w:highlight w:val="none"/>
        </w:rPr>
        <w:t xml:space="preserve"> </w:t>
      </w:r>
      <w:r>
        <w:rPr>
          <w:rFonts w:hint="eastAsia" w:ascii="宋体" w:hAnsi="宋体" w:cs="宋体"/>
          <w:color w:val="auto"/>
          <w:spacing w:val="-1"/>
          <w:sz w:val="18"/>
          <w:szCs w:val="18"/>
          <w:highlight w:val="none"/>
        </w:rPr>
        <w:t xml:space="preserve">”。</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sectPr>
          <w:footerReference w:type="default" r:id="rId16"/>
          <w:footnotePr/>
          <w:endnotePr/>
          <w:type w:val="nextPage"/>
          <w:pgSz w:w="16838" w:h="11906" w:orient="landscape"/>
          <w:pgMar w:top="1417" w:right="1440" w:bottom="1417" w:left="1134" w:header="851" w:footer="850" w:gutter="0"/>
          <w:cols w:num="1" w:sep="0" w:space="0" w:equalWidth="1"/>
          <w:docGrid w:linePitch="360"/>
        </w:sectPr>
      </w:pPr>
      <w:r>
        <w:rPr>
          <w:rFonts w:hint="eastAsia" w:ascii="宋体" w:hAnsi="宋体" w:cs="宋体"/>
          <w:color w:val="auto"/>
          <w:highlight w:val="none"/>
        </w:rPr>
        <w:br w:type="page" w:clear="all"/>
      </w:r>
      <w:r/>
    </w:p>
    <w:p>
      <w:pPr>
        <w:pStyle w:val="856"/>
        <w:rPr>
          <w:color w:val="auto"/>
          <w:highlight w:val="none"/>
        </w:rPr>
      </w:pPr>
      <w:r/>
      <w:bookmarkStart w:id="72" w:name="_Toc30803"/>
      <w:r>
        <w:rPr>
          <w:rFonts w:hint="eastAsia"/>
          <w:color w:val="auto"/>
          <w:highlight w:val="none"/>
        </w:rPr>
        <w:t xml:space="preserve">六、响应文件格式</w:t>
      </w:r>
      <w:bookmarkEnd w:id="60"/>
      <w:r/>
      <w:bookmarkEnd w:id="72"/>
      <w:r/>
      <w:r/>
    </w:p>
    <w:p>
      <w:pPr>
        <w:pStyle w:val="917"/>
        <w:ind w:firstLine="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91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对本章所有的格式 ，供应商可根据自身情况进行补充和修改，但补充和修改不得造成与本格式内容有实质性的违背。</w:t>
      </w:r>
      <w:r/>
    </w:p>
    <w:p>
      <w:pPr>
        <w:pStyle w:val="91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（格式为参考，响应单位可参照下述格式自制表格投标，但至少应包括下述格式中的内容，没有参考格式的则可根据情况自行编制）</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Cs w:val="21"/>
          <w:highlight w:val="none"/>
        </w:rPr>
      </w:pPr>
      <w:r/>
      <w:bookmarkStart w:id="73" w:name="_Toc20200"/>
      <w:r/>
      <w:bookmarkStart w:id="74" w:name="_Toc1865"/>
      <w:r/>
      <w:bookmarkStart w:id="75" w:name="_Toc21635"/>
      <w:r/>
      <w:bookmarkStart w:id="76" w:name="_Toc20788"/>
      <w:r/>
      <w:bookmarkStart w:id="77" w:name="_Toc29544"/>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附件1：磋商响应函</w:t>
      </w:r>
      <w:r/>
    </w:p>
    <w:p>
      <w:pPr>
        <w:pStyle w:val="1188"/>
        <w:jc w:val="center"/>
        <w:spacing w:after="100" w:line="400" w:lineRule="exact"/>
        <w:rPr>
          <w:rFonts w:hAnsi="宋体" w:cs="宋体"/>
          <w:color w:val="auto"/>
          <w:szCs w:val="21"/>
          <w:highlight w:val="none"/>
        </w:rPr>
      </w:pPr>
      <w:r>
        <w:rPr>
          <w:rFonts w:hint="eastAsia" w:hAnsi="宋体" w:cs="宋体"/>
          <w:b/>
          <w:color w:val="auto"/>
          <w:szCs w:val="21"/>
          <w:highlight w:val="none"/>
        </w:rPr>
        <w:t xml:space="preserve">磋商响应函</w:t>
      </w:r>
      <w:r/>
    </w:p>
    <w:p>
      <w:pPr>
        <w:pStyle w:val="1188"/>
        <w:spacing w:after="100" w:line="400" w:lineRule="exact"/>
        <w:rPr>
          <w:rFonts w:hAnsi="宋体" w:cs="宋体"/>
          <w:color w:val="auto"/>
          <w:szCs w:val="21"/>
          <w:highlight w:val="none"/>
        </w:rPr>
      </w:pPr>
      <w:r>
        <w:rPr>
          <w:rFonts w:hint="eastAsia" w:hAnsi="宋体" w:cs="宋体"/>
          <w:color w:val="auto"/>
          <w:szCs w:val="21"/>
          <w:highlight w:val="none"/>
          <w:u w:val="single"/>
        </w:rPr>
        <w:t xml:space="preserve">苏州通宜房地产土地评估咨询有限公司</w:t>
      </w:r>
      <w:r>
        <w:rPr>
          <w:rFonts w:hint="eastAsia" w:hAnsi="宋体" w:cs="宋体"/>
          <w:color w:val="auto"/>
          <w:szCs w:val="21"/>
          <w:highlight w:val="none"/>
        </w:rPr>
        <w:t xml:space="preserve">： </w:t>
      </w:r>
      <w:r/>
    </w:p>
    <w:p>
      <w:pPr>
        <w:pStyle w:val="930"/>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我们收到贵公司</w:t>
      </w:r>
      <w:r>
        <w:rPr>
          <w:rFonts w:hint="eastAsia" w:hAnsi="宋体" w:eastAsia="宋体" w:cs="宋体"/>
          <w:color w:val="auto"/>
          <w:sz w:val="21"/>
          <w:szCs w:val="21"/>
          <w:highlight w:val="none"/>
          <w:u w:val="single"/>
          <w:lang w:eastAsia="zh-CN"/>
        </w:rPr>
        <w:t xml:space="preserve">JSZC-320509-SZTY-C2026-0010</w:t>
      </w:r>
      <w:r>
        <w:rPr>
          <w:rFonts w:hint="eastAsia" w:hAnsi="宋体" w:eastAsia="宋体" w:cs="宋体"/>
          <w:color w:val="auto"/>
          <w:sz w:val="21"/>
          <w:szCs w:val="21"/>
          <w:highlight w:val="none"/>
        </w:rPr>
        <w:t xml:space="preserve">号磋商采购文件，经仔细阅读和研究，我们决定参加磋商活动。</w:t>
      </w:r>
      <w:r/>
    </w:p>
    <w:p>
      <w:pPr>
        <w:pStyle w:val="930"/>
        <w:ind w:firstLine="420"/>
        <w:spacing w:after="100" w:line="400" w:lineRule="exact"/>
        <w:rPr>
          <w:rFonts w:hAnsi="宋体" w:eastAsia="宋体" w:cs="宋体"/>
          <w:b/>
          <w:color w:val="auto"/>
          <w:sz w:val="21"/>
          <w:szCs w:val="21"/>
          <w:highlight w:val="none"/>
        </w:rPr>
      </w:pPr>
      <w:r>
        <w:rPr>
          <w:rFonts w:hint="eastAsia" w:hAnsi="宋体" w:eastAsia="宋体" w:cs="宋体"/>
          <w:color w:val="auto"/>
          <w:sz w:val="21"/>
          <w:szCs w:val="21"/>
          <w:highlight w:val="none"/>
        </w:rPr>
        <w:t xml:space="preserve">1、我们愿意按照磋商采购文件的一切要求，完成该项目的全部内容。</w:t>
      </w:r>
      <w:r/>
    </w:p>
    <w:p>
      <w:pPr>
        <w:pStyle w:val="930"/>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2、如果我们的磋商响应文件被接受，我们将严格履行磋商采购文件中规定的每一项要求，按期、按质、按量履行合同的义务。</w:t>
      </w:r>
      <w:r/>
    </w:p>
    <w:p>
      <w:pPr>
        <w:pStyle w:val="930"/>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3、我们已详细阅读全部磋商采购文件，包括更正公告(如有)，对磋商采购文件及更正公告(如有)无任何异议。我们完全理解并同意放弃对这方面有不明及误解的权利。</w:t>
      </w:r>
      <w:r/>
    </w:p>
    <w:p>
      <w:pPr>
        <w:pStyle w:val="930"/>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4、我们同意按磋商采购文件中的规定，本响应文件的有效期限自提交响应文件截止时间之日起</w:t>
      </w:r>
      <w:r>
        <w:rPr>
          <w:rFonts w:hint="eastAsia" w:hAnsi="宋体" w:eastAsia="宋体" w:cs="宋体"/>
          <w:color w:val="auto"/>
          <w:sz w:val="21"/>
          <w:szCs w:val="21"/>
          <w:highlight w:val="none"/>
          <w:u w:val="single"/>
          <w:lang w:val="en-US" w:eastAsia="zh-CN"/>
        </w:rPr>
        <w:t xml:space="preserve">90</w:t>
      </w:r>
      <w:r>
        <w:rPr>
          <w:rFonts w:hint="eastAsia" w:hAnsi="宋体" w:eastAsia="宋体" w:cs="宋体"/>
          <w:color w:val="auto"/>
          <w:sz w:val="21"/>
          <w:szCs w:val="21"/>
          <w:highlight w:val="none"/>
        </w:rPr>
        <w:t xml:space="preserve">天。</w:t>
      </w:r>
      <w:r/>
    </w:p>
    <w:p>
      <w:pPr>
        <w:pStyle w:val="930"/>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5、我们愿意提供采购单位在磋商采购文件中要求的所有资料。</w:t>
      </w:r>
      <w:r/>
    </w:p>
    <w:p>
      <w:pPr>
        <w:pStyle w:val="930"/>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6、我们愿意遵守磋商采购文件中所列的收费标准。</w:t>
      </w:r>
      <w:r/>
    </w:p>
    <w:p>
      <w:pPr>
        <w:pStyle w:val="930"/>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7、我们承诺该响应文件在磋商开始后的全过程中保持有效，不作任何更改和变动。</w:t>
      </w:r>
      <w:r/>
    </w:p>
    <w:p>
      <w:pPr>
        <w:pStyle w:val="930"/>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8、我们承诺我公司符合磋商采购文件供应商须知中“合格供应商资格条件”的要求，若与真实情况不符，本公司愿意承担由此而产生的一切后果。</w:t>
      </w:r>
      <w:r/>
    </w:p>
    <w:p>
      <w:pPr>
        <w:pStyle w:val="930"/>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所有有关磋商采购文件的函电，请按下列地址联系：</w:t>
      </w:r>
      <w:r/>
    </w:p>
    <w:p>
      <w:pPr>
        <w:pStyle w:val="93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单位：                             联系人：</w:t>
      </w:r>
      <w:r/>
    </w:p>
    <w:p>
      <w:pPr>
        <w:pStyle w:val="93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邮政编码：</w:t>
      </w:r>
      <w:r/>
    </w:p>
    <w:p>
      <w:pPr>
        <w:pStyle w:val="93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93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93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93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1199"/>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199"/>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199"/>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199"/>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附件2：（磋商响应单位）法定代表人授权委托书</w:t>
      </w:r>
      <w:r/>
    </w:p>
    <w:p>
      <w:pPr>
        <w:pStyle w:val="1199"/>
        <w:jc w:val="center"/>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199"/>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法定代表人授权委托书</w:t>
      </w:r>
      <w:r/>
    </w:p>
    <w:p>
      <w:pPr>
        <w:pStyle w:val="1199"/>
        <w:rPr>
          <w:rFonts w:ascii="宋体" w:hAnsi="宋体" w:cs="宋体"/>
          <w:color w:val="auto"/>
          <w:sz w:val="21"/>
          <w:szCs w:val="21"/>
          <w:highlight w:val="none"/>
        </w:rPr>
      </w:pPr>
      <w:r>
        <w:rPr>
          <w:rFonts w:ascii="宋体" w:hAnsi="宋体" w:cs="宋体"/>
          <w:color w:val="auto"/>
          <w:sz w:val="21"/>
          <w:szCs w:val="21"/>
          <w:highlight w:val="none"/>
        </w:rPr>
      </w:r>
      <w:r/>
    </w:p>
    <w:p>
      <w:pPr>
        <w:pStyle w:val="1199"/>
        <w:rPr>
          <w:rFonts w:ascii="宋体" w:hAnsi="宋体" w:cs="宋体"/>
          <w:color w:val="auto"/>
          <w:sz w:val="21"/>
          <w:szCs w:val="21"/>
          <w:highlight w:val="none"/>
        </w:rPr>
      </w:pPr>
      <w:r>
        <w:rPr>
          <w:rFonts w:ascii="宋体" w:hAnsi="宋体" w:cs="宋体"/>
          <w:color w:val="auto"/>
          <w:sz w:val="21"/>
          <w:szCs w:val="21"/>
          <w:highlight w:val="none"/>
        </w:rPr>
      </w:r>
      <w:r/>
    </w:p>
    <w:p>
      <w:pPr>
        <w:pStyle w:val="1199"/>
        <w:spacing w:line="48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  我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（磋商响应单位名称）的法定代表人，现授权委托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（姓名）为我公司委托代理人，以本公司的名义参加苏州通宜房地产土地评估咨询有限公司组织实施的编号为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1199"/>
        <w:spacing w:line="48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1199"/>
        <w:ind w:firstLine="51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委托代理人无转委托权。特此委托。</w:t>
      </w:r>
      <w:r/>
    </w:p>
    <w:p>
      <w:pPr>
        <w:pStyle w:val="1199"/>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99"/>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磋商响应单位：（公章）</w:t>
      </w:r>
      <w:r/>
    </w:p>
    <w:p>
      <w:pPr>
        <w:pStyle w:val="1199"/>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法定代表人：（签字或盖章）</w:t>
      </w:r>
      <w:r/>
    </w:p>
    <w:p>
      <w:pPr>
        <w:pStyle w:val="1199"/>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委托代理人：（签字或盖章）</w:t>
      </w:r>
      <w:r/>
    </w:p>
    <w:p>
      <w:pPr>
        <w:pStyle w:val="1199"/>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right="480"/>
        <w:rPr>
          <w:rFonts w:ascii="宋体" w:hAnsi="宋体" w:cs="宋体"/>
          <w:color w:val="auto"/>
          <w:highlight w:val="none"/>
        </w:rPr>
      </w:pPr>
      <w:r>
        <w:rPr>
          <w:rFonts w:ascii="宋体" w:hAnsi="宋体" w:cs="宋体"/>
          <w:color w:val="auto"/>
          <w:highlight w:val="none"/>
        </w:rPr>
      </w:r>
      <w:r/>
    </w:p>
    <w:p>
      <w:pPr>
        <w:jc w:val="left"/>
        <w:rPr>
          <w:rFonts w:ascii="宋体" w:hAnsi="宋体" w:cs="宋体"/>
          <w:b/>
          <w:bCs/>
          <w:color w:val="auto"/>
          <w:sz w:val="24"/>
          <w:highlight w:val="none"/>
        </w:rPr>
      </w:pPr>
      <w:r>
        <w:rPr>
          <w:rFonts w:ascii="宋体" w:hAnsi="宋体" w:cs="宋体"/>
          <w:b/>
          <w:bCs/>
          <w:color w:val="auto"/>
          <w:sz w:val="24"/>
          <w:highlight w:val="none"/>
        </w:rPr>
      </w:r>
      <w:r/>
    </w:p>
    <w:p>
      <w:pPr>
        <w:pStyle w:val="1199"/>
        <w:ind w:firstLine="0"/>
        <w:rPr>
          <w:rFonts w:ascii="宋体" w:hAnsi="宋体" w:cs="宋体"/>
          <w:b/>
          <w:bCs/>
          <w:color w:val="auto"/>
          <w:highlight w:val="none"/>
        </w:rPr>
      </w:pPr>
      <w:r>
        <w:rPr>
          <w:rFonts w:hint="eastAsia" w:ascii="宋体" w:hAnsi="宋体" w:cs="宋体"/>
          <w:b/>
          <w:bCs/>
          <w:color w:val="auto"/>
          <w:sz w:val="21"/>
          <w:szCs w:val="21"/>
          <w:highlight w:val="none"/>
        </w:rPr>
        <w:t xml:space="preserve">注：须单位签章、法定代表人签字或盖章、代理人签字或盖章三者齐全，否则该授权委托书无效。</w:t>
      </w:r>
      <w:r/>
    </w:p>
    <w:p>
      <w:pPr>
        <w:pStyle w:val="1199"/>
        <w:ind w:firstLine="0"/>
        <w:pageBreakBefore/>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附件3：</w:t>
      </w:r>
      <w:r>
        <w:rPr>
          <w:rFonts w:hint="eastAsia" w:ascii="宋体" w:hAnsi="宋体" w:cs="宋体"/>
          <w:b/>
          <w:bCs/>
          <w:color w:val="auto"/>
          <w:sz w:val="21"/>
          <w:szCs w:val="21"/>
          <w:highlight w:val="none"/>
          <w:lang w:val="en-US" w:eastAsia="zh-CN"/>
        </w:rPr>
        <w:t xml:space="preserve">开标一览表（</w:t>
      </w:r>
      <w:r>
        <w:rPr>
          <w:rFonts w:hint="eastAsia" w:ascii="宋体" w:hAnsi="宋体" w:cs="宋体"/>
          <w:b/>
          <w:bCs/>
          <w:color w:val="auto"/>
          <w:sz w:val="21"/>
          <w:szCs w:val="21"/>
          <w:highlight w:val="none"/>
        </w:rPr>
        <w:t xml:space="preserve">具体按照“苏采云”系统格式填报投标总报价并签章</w:t>
      </w:r>
      <w:r>
        <w:rPr>
          <w:rFonts w:hint="eastAsia" w:ascii="宋体" w:hAnsi="宋体" w:cs="宋体"/>
          <w:b/>
          <w:bCs/>
          <w:color w:val="auto"/>
          <w:sz w:val="21"/>
          <w:szCs w:val="21"/>
          <w:highlight w:val="none"/>
          <w:lang w:eastAsia="zh-CN"/>
        </w:rPr>
        <w:t xml:space="preserve">）</w:t>
      </w:r>
      <w:r/>
    </w:p>
    <w:p>
      <w:pPr>
        <w:pStyle w:val="1188"/>
        <w:spacing w:line="380" w:lineRule="exact"/>
        <w:rPr>
          <w:rFonts w:hAnsi="宋体" w:cs="宋体"/>
          <w:b/>
          <w:color w:val="auto"/>
          <w:szCs w:val="21"/>
          <w:highlight w:val="none"/>
        </w:rPr>
      </w:pPr>
      <w:r>
        <w:rPr>
          <w:rFonts w:hAnsi="宋体" w:cs="宋体"/>
          <w:b/>
          <w:color w:val="auto"/>
          <w:szCs w:val="21"/>
          <w:highlight w:val="none"/>
        </w:rPr>
      </w:r>
      <w:r/>
    </w:p>
    <w:p>
      <w:pPr>
        <w:pStyle w:val="930"/>
        <w:jc w:val="center"/>
        <w:spacing w:after="100" w:line="400" w:lineRule="exact"/>
        <w:rPr>
          <w:rFonts w:hAnsi="宋体" w:eastAsia="宋体" w:cs="宋体"/>
          <w:color w:val="auto"/>
          <w:sz w:val="21"/>
          <w:szCs w:val="21"/>
          <w:highlight w:val="none"/>
        </w:rPr>
      </w:pPr>
      <w:r>
        <w:rPr>
          <w:rFonts w:hint="eastAsia" w:hAnsi="宋体" w:eastAsia="宋体" w:cs="宋体"/>
          <w:b/>
          <w:color w:val="auto"/>
          <w:sz w:val="21"/>
          <w:szCs w:val="21"/>
          <w:highlight w:val="none"/>
        </w:rPr>
        <w:t xml:space="preserve">磋商响应报价表</w:t>
      </w:r>
      <w:r>
        <w:rPr>
          <w:rStyle w:val="1200"/>
          <w:rFonts w:hint="eastAsia" w:ascii="宋体" w:hAnsi="宋体" w:cs="宋体"/>
          <w:b/>
          <w:color w:val="auto"/>
          <w:highlight w:val="none"/>
        </w:rPr>
        <w:t xml:space="preserve">（第一次报价）</w:t>
      </w:r>
      <w:r>
        <w:rPr>
          <w:rFonts w:hint="eastAsia" w:hAnsi="宋体" w:eastAsia="宋体" w:cs="宋体"/>
          <w:b/>
          <w:color w:val="auto"/>
          <w:sz w:val="21"/>
          <w:szCs w:val="21"/>
          <w:highlight w:val="none"/>
        </w:rPr>
        <w:t xml:space="preserve"> </w:t>
      </w:r>
      <w:r>
        <w:rPr>
          <w:rFonts w:hint="eastAsia" w:hAnsi="宋体" w:eastAsia="宋体" w:cs="宋体"/>
          <w:color w:val="auto"/>
          <w:spacing w:val="20"/>
          <w:sz w:val="21"/>
          <w:szCs w:val="21"/>
          <w:highlight w:val="none"/>
        </w:rPr>
        <w:t xml:space="preserve">               </w:t>
      </w:r>
      <w:r/>
    </w:p>
    <w:p>
      <w:pPr>
        <w:pStyle w:val="930"/>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3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项目编号：                                                 </w:t>
      </w:r>
      <w:r/>
    </w:p>
    <w:tbl>
      <w:tblPr>
        <w:tblStyle w:val="866"/>
        <w:tblW w:w="92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485"/>
        <w:gridCol w:w="2387"/>
        <w:gridCol w:w="2529"/>
        <w:gridCol w:w="983"/>
      </w:tblGrid>
      <w:tr>
        <w:trPr>
          <w:trHeight w:val="791"/>
        </w:trPr>
        <w:tc>
          <w:tcPr>
            <w:tcW w:w="853" w:type="dxa"/>
            <w:textDirection w:val="lrTb"/>
            <w:noWrap w:val="false"/>
          </w:tcPr>
          <w:p>
            <w:pPr>
              <w:pStyle w:val="930"/>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485" w:type="dxa"/>
            <w:textDirection w:val="lrTb"/>
            <w:noWrap w:val="false"/>
          </w:tcPr>
          <w:p>
            <w:pPr>
              <w:pStyle w:val="930"/>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   目</w:t>
            </w:r>
            <w:r/>
          </w:p>
        </w:tc>
        <w:tc>
          <w:tcPr>
            <w:tcW w:w="2387" w:type="dxa"/>
            <w:textDirection w:val="lrTb"/>
            <w:noWrap w:val="false"/>
          </w:tcPr>
          <w:p>
            <w:pPr>
              <w:pStyle w:val="930"/>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投标报价（元）</w:t>
            </w:r>
            <w:r/>
          </w:p>
        </w:tc>
        <w:tc>
          <w:tcPr>
            <w:tcW w:w="2529" w:type="dxa"/>
            <w:textDirection w:val="lrTb"/>
            <w:noWrap w:val="false"/>
          </w:tcPr>
          <w:p>
            <w:pPr>
              <w:pStyle w:val="930"/>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服务期限</w:t>
            </w:r>
            <w:r/>
          </w:p>
        </w:tc>
        <w:tc>
          <w:tcPr>
            <w:tcW w:w="983" w:type="dxa"/>
            <w:textDirection w:val="lrTb"/>
            <w:noWrap w:val="false"/>
          </w:tcPr>
          <w:p>
            <w:pPr>
              <w:pStyle w:val="930"/>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trHeight w:val="923"/>
        </w:trPr>
        <w:tc>
          <w:tcPr>
            <w:tcW w:w="853" w:type="dxa"/>
            <w:vAlign w:val="center"/>
            <w:textDirection w:val="lrTb"/>
            <w:noWrap w:val="false"/>
          </w:tcPr>
          <w:p>
            <w:pPr>
              <w:pStyle w:val="930"/>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2485" w:type="dxa"/>
            <w:textDirection w:val="lrTb"/>
            <w:noWrap w:val="false"/>
          </w:tcPr>
          <w:p>
            <w:pPr>
              <w:pStyle w:val="930"/>
              <w:jc w:val="center"/>
              <w:spacing w:after="100"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吴江区智慧健康软件2026年服务项目</w:t>
            </w:r>
            <w:r/>
          </w:p>
        </w:tc>
        <w:tc>
          <w:tcPr>
            <w:tcW w:w="2387" w:type="dxa"/>
            <w:vAlign w:val="center"/>
            <w:textDirection w:val="lrTb"/>
            <w:noWrap w:val="false"/>
          </w:tcPr>
          <w:p>
            <w:pPr>
              <w:pStyle w:val="930"/>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W w:w="2529" w:type="dxa"/>
            <w:vAlign w:val="center"/>
            <w:textDirection w:val="lrTb"/>
            <w:noWrap w:val="false"/>
          </w:tcPr>
          <w:p>
            <w:pPr>
              <w:pStyle w:val="930"/>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W w:w="983" w:type="dxa"/>
            <w:vAlign w:val="center"/>
            <w:textDirection w:val="lrTb"/>
            <w:noWrap w:val="false"/>
          </w:tcPr>
          <w:p>
            <w:pPr>
              <w:pStyle w:val="930"/>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899"/>
        </w:trPr>
        <w:tc>
          <w:tcPr>
            <w:gridSpan w:val="5"/>
            <w:tcW w:w="9237" w:type="dxa"/>
            <w:vAlign w:val="center"/>
            <w:textDirection w:val="lrTb"/>
            <w:noWrap w:val="false"/>
          </w:tcPr>
          <w:p>
            <w:pPr>
              <w:pStyle w:val="930"/>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合计（人民币）大写金额：                       小写金额：（</w:t>
            </w:r>
            <w:r>
              <w:rPr>
                <w:rFonts w:hint="eastAsia" w:hAnsi="宋体" w:eastAsia="宋体" w:cs="宋体"/>
                <w:color w:val="auto"/>
                <w:spacing w:val="20"/>
                <w:sz w:val="21"/>
                <w:szCs w:val="21"/>
                <w:highlight w:val="none"/>
              </w:rPr>
              <w:t xml:space="preserve">￥：    ）</w:t>
            </w:r>
            <w:r/>
          </w:p>
        </w:tc>
      </w:tr>
    </w:tbl>
    <w:p>
      <w:pPr>
        <w:pStyle w:val="930"/>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30"/>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930"/>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930"/>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930"/>
        <w:ind w:firstLine="210"/>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注：本表中的报价为综合报价，包括完成本次</w:t>
      </w:r>
      <w:r>
        <w:rPr>
          <w:rFonts w:hint="eastAsia" w:ascii="宋体" w:hAnsi="宋体" w:cs="宋体"/>
          <w:color w:val="auto"/>
          <w:szCs w:val="21"/>
          <w:highlight w:val="none"/>
          <w:lang w:val="en-US" w:eastAsia="zh-CN"/>
        </w:rPr>
        <w:t xml:space="preserve">项目全部</w:t>
      </w:r>
      <w:r>
        <w:rPr>
          <w:rFonts w:hint="eastAsia" w:asciiTheme="minorEastAsia" w:hAnsiTheme="minorEastAsia" w:eastAsiaTheme="minorEastAsia" w:cstheme="minorEastAsia"/>
          <w:color w:val="auto"/>
          <w:sz w:val="21"/>
          <w:szCs w:val="21"/>
          <w:highlight w:val="none"/>
          <w:lang w:val="en-US" w:eastAsia="zh-CN" w:bidi="ar-SA"/>
        </w:rPr>
        <w:t xml:space="preserve">软硬件的安装与调试、试运行、验收、运维、质保、利润、税金、人员工资、保险、培训、技术支持、政策性文件规定及合同包含的所有风险、责任等其他响应单位认为应纳入的一切费用，除非合同条款中另有规定，否则，响应单位所报价格在合同实施期间不因市场变化因素而变动。</w:t>
      </w:r>
      <w:r/>
    </w:p>
    <w:p>
      <w:pPr>
        <w:ind w:firstLine="420"/>
        <w:spacing w:after="100" w:line="400" w:lineRule="exact"/>
        <w:rPr>
          <w:rFonts w:ascii="宋体" w:hAnsi="宋体" w:cs="宋体"/>
          <w:color w:val="auto"/>
          <w:szCs w:val="21"/>
          <w:highlight w:val="none"/>
        </w:rPr>
      </w:pPr>
      <w:r>
        <w:rPr>
          <w:rFonts w:ascii="宋体" w:hAnsi="宋体" w:cs="宋体"/>
          <w:color w:val="auto"/>
          <w:szCs w:val="21"/>
          <w:highlight w:val="none"/>
        </w:rPr>
      </w:r>
      <w:r/>
    </w:p>
    <w:p>
      <w:pPr>
        <w:pStyle w:val="1199"/>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附件4：磋商响应报价分项报价表</w:t>
      </w:r>
      <w:r/>
    </w:p>
    <w:p>
      <w:pPr>
        <w:pStyle w:val="930"/>
        <w:jc w:val="center"/>
        <w:spacing w:after="100" w:line="400" w:lineRule="exact"/>
        <w:rPr>
          <w:rFonts w:hAnsi="宋体" w:eastAsia="宋体" w:cs="宋体"/>
          <w:b/>
          <w:color w:val="auto"/>
          <w:sz w:val="21"/>
          <w:szCs w:val="21"/>
          <w:highlight w:val="none"/>
        </w:rPr>
      </w:pPr>
      <w:r>
        <w:rPr>
          <w:rFonts w:hAnsi="宋体" w:eastAsia="宋体" w:cs="宋体"/>
          <w:b/>
          <w:color w:val="auto"/>
          <w:sz w:val="21"/>
          <w:szCs w:val="21"/>
          <w:highlight w:val="none"/>
        </w:rPr>
      </w:r>
      <w:r/>
    </w:p>
    <w:p>
      <w:pPr>
        <w:pStyle w:val="930"/>
        <w:jc w:val="center"/>
        <w:spacing w:after="100" w:line="400" w:lineRule="exact"/>
        <w:rPr>
          <w:rFonts w:hAnsi="宋体" w:eastAsia="宋体" w:cs="宋体"/>
          <w:color w:val="auto"/>
          <w:sz w:val="21"/>
          <w:szCs w:val="21"/>
          <w:highlight w:val="none"/>
        </w:rPr>
      </w:pPr>
      <w:r>
        <w:rPr>
          <w:rFonts w:hint="eastAsia" w:hAnsi="宋体" w:eastAsia="宋体" w:cs="宋体"/>
          <w:b/>
          <w:color w:val="auto"/>
          <w:sz w:val="21"/>
          <w:szCs w:val="21"/>
          <w:highlight w:val="none"/>
        </w:rPr>
        <w:t xml:space="preserve">磋商报价分析表</w:t>
      </w:r>
      <w:r/>
    </w:p>
    <w:p>
      <w:pPr>
        <w:pStyle w:val="880"/>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rPr>
        <w:t xml:space="preserve">：            </w:t>
      </w:r>
      <w:r/>
    </w:p>
    <w:tbl>
      <w:tblPr>
        <w:tblStyle w:val="866"/>
        <w:tblW w:w="10015" w:type="dxa"/>
        <w:jc w:val="center"/>
        <w:tblLayout w:type="fixed"/>
        <w:tblCellMar>
          <w:left w:w="108" w:type="dxa"/>
          <w:top w:w="0" w:type="dxa"/>
          <w:right w:w="108" w:type="dxa"/>
          <w:bottom w:w="0" w:type="dxa"/>
        </w:tblCellMar>
        <w:tblLook w:val="04A0" w:firstRow="1" w:lastRow="0" w:firstColumn="1" w:lastColumn="0" w:noHBand="0" w:noVBand="1"/>
      </w:tblPr>
      <w:tblGrid>
        <w:gridCol w:w="786"/>
        <w:gridCol w:w="2735"/>
        <w:gridCol w:w="1619"/>
        <w:gridCol w:w="840"/>
        <w:gridCol w:w="1968"/>
        <w:gridCol w:w="2067"/>
      </w:tblGrid>
      <w:tr>
        <w:trPr>
          <w:jc w:val="center"/>
          <w:trHeight w:val="567"/>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7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合价</w:t>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gridSpan w:val="6"/>
            <w:tcBorders>
              <w:top w:val="single" w:color="auto" w:sz="4" w:space="0"/>
              <w:left w:val="single" w:color="auto" w:sz="4" w:space="0"/>
              <w:bottom w:val="single" w:color="auto" w:sz="4" w:space="0"/>
              <w:right w:val="single" w:color="auto" w:sz="4" w:space="0"/>
            </w:tcBorders>
            <w:tcW w:w="10015"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b/>
                <w:color w:val="auto"/>
                <w:sz w:val="21"/>
                <w:szCs w:val="21"/>
                <w:highlight w:val="none"/>
              </w:rPr>
              <w:t xml:space="preserve">投标总报价</w:t>
            </w:r>
            <w:r>
              <w:rPr>
                <w:rFonts w:hint="eastAsia" w:ascii="宋体" w:hAnsi="宋体"/>
                <w:color w:val="auto"/>
                <w:sz w:val="21"/>
                <w:szCs w:val="21"/>
                <w:highlight w:val="none"/>
              </w:rPr>
              <w:t xml:space="preserve">：人民币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元</w:t>
            </w:r>
            <w:r/>
          </w:p>
        </w:tc>
      </w:tr>
    </w:tbl>
    <w:p>
      <w:pPr>
        <w:ind w:firstLine="210"/>
        <w:spacing w:after="100" w:line="400" w:lineRule="exact"/>
        <w:rPr>
          <w:rFonts w:ascii="宋体" w:hAnsi="宋体" w:cs="宋体"/>
          <w:color w:val="auto"/>
          <w:szCs w:val="21"/>
          <w:highlight w:val="none"/>
        </w:rPr>
      </w:pPr>
      <w:r>
        <w:rPr>
          <w:rFonts w:ascii="宋体" w:hAnsi="宋体" w:cs="宋体"/>
          <w:color w:val="auto"/>
          <w:szCs w:val="21"/>
          <w:highlight w:val="none"/>
        </w:rPr>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                 </w:t>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color w:val="auto"/>
          <w:szCs w:val="21"/>
          <w:highlight w:val="none"/>
        </w:rPr>
      </w:pPr>
      <w:r>
        <w:rPr>
          <w:rFonts w:ascii="宋体" w:hAnsi="宋体" w:cs="宋体"/>
          <w:color w:val="auto"/>
          <w:szCs w:val="21"/>
          <w:highlight w:val="none"/>
        </w:rPr>
      </w:r>
      <w:r/>
    </w:p>
    <w:p>
      <w:pPr>
        <w:pStyle w:val="1151"/>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注：</w:t>
      </w:r>
      <w:r/>
    </w:p>
    <w:p>
      <w:pPr>
        <w:pStyle w:val="1151"/>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1.本表合计金额应与磋商响应报价表</w:t>
      </w:r>
      <w:r>
        <w:rPr>
          <w:rFonts w:hint="eastAsia" w:hAnsi="宋体" w:eastAsia="宋体" w:cs="宋体"/>
          <w:color w:val="auto"/>
          <w:sz w:val="21"/>
          <w:szCs w:val="21"/>
          <w:highlight w:val="none"/>
        </w:rPr>
        <w:t xml:space="preserve">中磋商总价</w:t>
      </w:r>
      <w:r>
        <w:rPr>
          <w:rFonts w:hint="eastAsia" w:hAnsi="宋体" w:eastAsia="宋体" w:cs="宋体"/>
          <w:color w:val="auto"/>
          <w:sz w:val="21"/>
          <w:szCs w:val="21"/>
          <w:highlight w:val="none"/>
          <w:lang w:val="zh-CN"/>
        </w:rPr>
        <w:t xml:space="preserve">一致，否则磋商总报价将以磋商响应报价表为准。</w:t>
      </w:r>
      <w:r/>
    </w:p>
    <w:p>
      <w:pPr>
        <w:pStyle w:val="1151"/>
        <w:rPr>
          <w:rFonts w:hAnsi="宋体" w:eastAsia="宋体" w:cs="宋体"/>
          <w:color w:val="auto"/>
          <w:sz w:val="21"/>
          <w:szCs w:val="21"/>
          <w:highlight w:val="none"/>
          <w:lang w:val="zh-CN"/>
        </w:rPr>
      </w:pPr>
      <w:r>
        <w:rPr>
          <w:rFonts w:ascii="宋体" w:hAnsi="宋体" w:eastAsia="宋体" w:cs="宋体"/>
          <w:color w:val="auto"/>
          <w:sz w:val="22"/>
          <w:highlight w:val="none"/>
        </w:rPr>
        <w:t xml:space="preserve">2、投标单位应详细列明清单报价。投标人应对招标文件内所要采购的全部内容进行报价，只投其中部分内容者，其标书将被拒绝。</w:t>
      </w:r>
      <w:r/>
    </w:p>
    <w:p>
      <w:pPr>
        <w:jc w:val="left"/>
        <w:rPr>
          <w:rFonts w:hint="default" w:ascii="宋体" w:hAnsi="宋体" w:eastAsia="宋体" w:cs="宋体"/>
          <w:b/>
          <w:bCs/>
          <w:color w:val="auto"/>
          <w:szCs w:val="21"/>
          <w:highlight w:val="none"/>
          <w:lang w:val="en-US" w:eastAsia="zh-CN"/>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资格文件声明函格式</w:t>
      </w:r>
      <w:r/>
    </w:p>
    <w:p>
      <w:pPr>
        <w:ind w:firstLine="420"/>
        <w:jc w:val="center"/>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5.1</w:t>
      </w:r>
      <w:r>
        <w:rPr>
          <w:rFonts w:hint="eastAsia" w:ascii="宋体" w:hAnsi="宋体" w:cs="宋体"/>
          <w:color w:val="auto"/>
          <w:szCs w:val="21"/>
          <w:highlight w:val="none"/>
          <w:lang w:val="zh-CN"/>
        </w:rPr>
        <w:t xml:space="preserve">关于资格文件的声明函</w:t>
      </w:r>
      <w:r/>
    </w:p>
    <w:p>
      <w:pPr>
        <w:ind w:firstLine="420"/>
        <w:jc w:val="center"/>
        <w:rPr>
          <w:rFonts w:ascii="宋体" w:hAnsi="宋体" w:cs="宋体"/>
          <w:color w:val="auto"/>
          <w:szCs w:val="21"/>
          <w:highlight w:val="none"/>
          <w:lang w:val="zh-CN"/>
        </w:rPr>
      </w:pPr>
      <w:r>
        <w:rPr>
          <w:rFonts w:ascii="宋体" w:hAnsi="宋体" w:cs="宋体"/>
          <w:color w:val="auto"/>
          <w:szCs w:val="21"/>
          <w:highlight w:val="none"/>
          <w:lang w:val="zh-CN"/>
        </w:rPr>
      </w:r>
      <w:r/>
    </w:p>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pStyle w:val="1199"/>
        <w:ind w:firstLine="660"/>
        <w:rPr>
          <w:rFonts w:ascii="宋体" w:hAnsi="宋体" w:cs="宋体"/>
          <w:color w:val="auto"/>
          <w:sz w:val="21"/>
          <w:szCs w:val="21"/>
          <w:highlight w:val="none"/>
        </w:rPr>
      </w:pPr>
      <w:r>
        <w:rPr>
          <w:rFonts w:hint="eastAsia" w:ascii="宋体" w:hAnsi="宋体" w:cs="宋体"/>
          <w:color w:val="auto"/>
          <w:sz w:val="21"/>
          <w:szCs w:val="21"/>
          <w:highlight w:val="none"/>
        </w:rPr>
        <w:t xml:space="preserve">本公司愿就由贵公司组织实施的编号为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199"/>
        <w:tabs>
          <w:tab w:val="left" w:pos="324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199"/>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响应单位法定代表人或委托代理人：（签字或盖章）</w:t>
      </w:r>
      <w:r/>
    </w:p>
    <w:p>
      <w:pPr>
        <w:pStyle w:val="1199"/>
        <w:ind w:left="1700"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磋商响应单位：（公章）</w:t>
      </w:r>
      <w:r/>
    </w:p>
    <w:p>
      <w:pPr>
        <w:pStyle w:val="1199"/>
        <w:ind w:left="4675"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99"/>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月 </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日</w:t>
      </w:r>
      <w:r/>
    </w:p>
    <w:p>
      <w:pPr>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br w:type="page" w:clear="all"/>
      </w:r>
      <w:r/>
    </w:p>
    <w:p>
      <w:pPr>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5.2 </w:t>
      </w:r>
      <w:r>
        <w:rPr>
          <w:rFonts w:hint="eastAsia" w:ascii="宋体" w:hAnsi="宋体" w:cs="宋体"/>
          <w:color w:val="auto"/>
          <w:szCs w:val="21"/>
          <w:highlight w:val="none"/>
          <w:lang w:val="zh-CN"/>
        </w:rPr>
        <w:t xml:space="preserve">响应单位资格承诺书</w:t>
      </w:r>
      <w:r/>
    </w:p>
    <w:p>
      <w:pPr>
        <w:ind w:firstLine="315"/>
        <w:rPr>
          <w:rFonts w:ascii="宋体" w:hAnsi="宋体" w:cs="宋体"/>
          <w:color w:val="auto"/>
          <w:szCs w:val="21"/>
          <w:highlight w:val="none"/>
          <w:lang w:val="zh-CN"/>
        </w:rPr>
      </w:pPr>
      <w:r>
        <w:rPr>
          <w:rFonts w:hint="eastAsia" w:ascii="宋体" w:hAnsi="宋体" w:cs="宋体"/>
          <w:color w:val="auto"/>
          <w:szCs w:val="21"/>
          <w:highlight w:val="none"/>
        </w:rPr>
        <w:t xml:space="preserve">响应单位：（公章）                             </w:t>
      </w: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号</w:t>
      </w:r>
      <w:r/>
    </w:p>
    <w:tbl>
      <w:tblPr>
        <w:tblStyle w:val="86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3012"/>
        <w:gridCol w:w="1756"/>
        <w:gridCol w:w="3555"/>
      </w:tblGrid>
      <w:tr>
        <w:trPr>
          <w:jc w:val="center"/>
          <w:trHeight w:val="696"/>
        </w:trPr>
        <w:tc>
          <w:tcPr>
            <w:tcW w:w="959"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1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响应单位部分资格要求</w:t>
            </w:r>
            <w:r/>
          </w:p>
        </w:tc>
        <w:tc>
          <w:tcPr>
            <w:tcW w:w="175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是否完全满足</w:t>
            </w:r>
            <w:r/>
          </w:p>
        </w:tc>
        <w:tc>
          <w:tcPr>
            <w:tcW w:w="3555"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提供包括但不限于最近一期经审计的财务报告或最近一期财务报表，其他组织、自然人及成立未满一年的法人应提供银行出具的资信证明</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提供承诺或相关证明材料</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bl>
    <w:p>
      <w:pPr>
        <w:pStyle w:val="1197"/>
        <w:ind w:firstLine="630"/>
        <w:spacing w:before="0" w:beforeAutospacing="0" w:after="0" w:afterAutospacing="0"/>
        <w:rPr>
          <w:rFonts w:hint="eastAsia"/>
          <w:color w:val="auto"/>
          <w:sz w:val="21"/>
          <w:szCs w:val="21"/>
          <w:highlight w:val="none"/>
        </w:rPr>
      </w:pPr>
      <w:r>
        <w:rPr>
          <w:rFonts w:hint="eastAsia"/>
          <w:color w:val="auto"/>
          <w:sz w:val="21"/>
          <w:szCs w:val="21"/>
          <w:highlight w:val="none"/>
        </w:rPr>
      </w:r>
      <w:r/>
    </w:p>
    <w:p>
      <w:pPr>
        <w:pStyle w:val="1197"/>
        <w:ind w:firstLine="630"/>
        <w:spacing w:before="0" w:beforeAutospacing="0" w:after="0" w:afterAutospacing="0"/>
        <w:rPr>
          <w:color w:val="auto"/>
          <w:sz w:val="21"/>
          <w:szCs w:val="21"/>
          <w:highlight w:val="none"/>
        </w:rPr>
      </w:pPr>
      <w:r>
        <w:rPr>
          <w:rFonts w:hint="eastAsia"/>
          <w:color w:val="auto"/>
          <w:sz w:val="21"/>
          <w:szCs w:val="21"/>
          <w:highlight w:val="none"/>
        </w:rPr>
        <w:t xml:space="preserve">磋商响应单位（公章）：</w:t>
      </w:r>
      <w:r/>
    </w:p>
    <w:p>
      <w:pPr>
        <w:pStyle w:val="1197"/>
        <w:ind w:firstLine="630"/>
        <w:spacing w:before="0" w:beforeAutospacing="0" w:after="0" w:afterAutospacing="0"/>
        <w:rPr>
          <w:color w:val="auto"/>
          <w:sz w:val="21"/>
          <w:szCs w:val="21"/>
          <w:highlight w:val="none"/>
        </w:rPr>
      </w:pPr>
      <w:r>
        <w:rPr>
          <w:rFonts w:hint="eastAsia"/>
          <w:color w:val="auto"/>
          <w:sz w:val="21"/>
          <w:szCs w:val="21"/>
          <w:highlight w:val="none"/>
        </w:rPr>
        <w:t xml:space="preserve">法定代表人或委托代理人：（签字或盖章）</w:t>
      </w:r>
      <w:r/>
    </w:p>
    <w:p>
      <w:pPr>
        <w:ind w:firstLine="630"/>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en-US" w:eastAsia="zh-CN"/>
        </w:rPr>
        <w:t xml:space="preserve">附件6：</w:t>
      </w:r>
      <w:r>
        <w:rPr>
          <w:rFonts w:hint="eastAsia" w:ascii="宋体" w:hAnsi="宋体" w:cs="宋体"/>
          <w:b/>
          <w:bCs/>
          <w:color w:val="auto"/>
          <w:szCs w:val="21"/>
          <w:highlight w:val="none"/>
        </w:rPr>
        <w:t xml:space="preserve">具备履行合同所必需的设备和专业技术能力的书面声明</w:t>
      </w:r>
      <w:r/>
    </w:p>
    <w:p>
      <w:pPr>
        <w:jc w:val="center"/>
        <w:spacing w:line="44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w:t>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我单位具备履行本项采购合同所必需的设备和专业技术能力。</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pStyle w:val="1199"/>
        <w:ind w:left="2940" w:firstLine="0"/>
        <w:rPr>
          <w:rFonts w:ascii="宋体" w:hAnsi="宋体" w:cs="宋体"/>
          <w:color w:val="auto"/>
          <w:sz w:val="21"/>
          <w:szCs w:val="21"/>
          <w:highlight w:val="none"/>
        </w:rPr>
      </w:pPr>
      <w:r>
        <w:rPr>
          <w:rFonts w:ascii="宋体" w:hAnsi="宋体" w:cs="宋体"/>
          <w:color w:val="auto"/>
          <w:sz w:val="21"/>
          <w:szCs w:val="21"/>
          <w:highlight w:val="none"/>
        </w:rPr>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en-US" w:eastAsia="zh-CN"/>
        </w:rPr>
        <w:t xml:space="preserve">附件7：</w:t>
      </w:r>
      <w:r>
        <w:rPr>
          <w:rFonts w:hint="eastAsia" w:ascii="宋体" w:hAnsi="宋体" w:cs="宋体"/>
          <w:b/>
          <w:bCs/>
          <w:color w:val="auto"/>
          <w:szCs w:val="21"/>
          <w:highlight w:val="none"/>
        </w:rPr>
        <w:t xml:space="preserve">参加采购活动前3年内在经营活动中没有重大违法记录的书面声明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我单位郑重声明：参加本次采购活动前3年内，我单位在经营活动中没有因违法经营受到刑事处罚或者责令停产停业、吊销许可证或者执照、较大数额罚款等行政处罚。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pStyle w:val="1199"/>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附件8：</w:t>
      </w:r>
      <w:r>
        <w:rPr>
          <w:rFonts w:hint="eastAsia" w:ascii="宋体" w:hAnsi="宋体" w:cs="宋体"/>
          <w:b/>
          <w:bCs/>
          <w:color w:val="auto"/>
          <w:szCs w:val="21"/>
          <w:highlight w:val="none"/>
          <w:lang w:val="zh-CN"/>
        </w:rPr>
        <w:t xml:space="preserve">响应单位情况表</w:t>
      </w:r>
      <w:r/>
    </w:p>
    <w:p>
      <w:pPr>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响应单位基本情况表</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磋商响应单位：（公章）</w:t>
      </w:r>
      <w:r/>
    </w:p>
    <w:tbl>
      <w:tblPr>
        <w:tblStyle w:val="866"/>
        <w:tblW w:w="4996"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05"/>
        <w:gridCol w:w="1995"/>
        <w:gridCol w:w="2145"/>
        <w:gridCol w:w="2336"/>
      </w:tblGrid>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99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99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3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生产范围</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995"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9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33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9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3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      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199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    万元</w:t>
            </w:r>
            <w:r/>
          </w:p>
        </w:tc>
        <w:tc>
          <w:tcPr>
            <w:tcW w:w="214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99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33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356"/>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31"/>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760"/>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近两年来完成或正在履行的重大合同情况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trHeight w:val="1245"/>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1161"/>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618"/>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法定代表人或其授权代表：（签字或盖章）</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w:t>
      </w:r>
      <w:r/>
    </w:p>
    <w:p>
      <w:pPr>
        <w:rPr>
          <w:rFonts w:ascii="宋体" w:hAnsi="宋体" w:cs="宋体"/>
          <w:b/>
          <w:bCs/>
          <w:color w:val="auto"/>
          <w:szCs w:val="21"/>
          <w:highlight w:val="none"/>
        </w:rPr>
      </w:pPr>
      <w:r>
        <w:rPr>
          <w:rFonts w:ascii="宋体" w:hAnsi="宋体" w:cs="宋体"/>
          <w:b/>
          <w:bCs/>
          <w:color w:val="auto"/>
          <w:szCs w:val="21"/>
          <w:highlight w:val="none"/>
        </w:rPr>
      </w:r>
      <w:r/>
    </w:p>
    <w:p>
      <w:pPr>
        <w:pageBreakBefore/>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附件8：</w:t>
      </w:r>
      <w:r>
        <w:rPr>
          <w:rFonts w:hint="eastAsia" w:ascii="宋体" w:hAnsi="宋体" w:cs="宋体"/>
          <w:b/>
          <w:bCs/>
          <w:color w:val="auto"/>
          <w:szCs w:val="21"/>
          <w:highlight w:val="none"/>
          <w:lang w:val="zh-CN"/>
        </w:rPr>
        <w:t xml:space="preserve">中小企业声明资料</w:t>
      </w:r>
      <w:r/>
    </w:p>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8.1 </w:t>
      </w:r>
      <w:r>
        <w:rPr>
          <w:rFonts w:hint="eastAsia" w:ascii="宋体" w:hAnsi="宋体" w:cs="宋体"/>
          <w:color w:val="auto"/>
          <w:szCs w:val="21"/>
          <w:highlight w:val="none"/>
        </w:rPr>
        <w:t xml:space="preserve">中小企业声明函（服务）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采购活动，服务全部由符合政策要求的中小企业承接。相关企业（含联合体中的中小企业、签订分包意向协议的中小企业）的具体情况如下：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095"/>
        <w:rPr>
          <w:rFonts w:ascii="宋体" w:hAnsi="宋体" w:cs="宋体"/>
          <w:color w:val="auto"/>
          <w:szCs w:val="21"/>
          <w:highlight w:val="none"/>
          <w:lang w:val="zh-CN"/>
        </w:rPr>
      </w:pPr>
      <w:r>
        <w:rPr>
          <w:rFonts w:hint="eastAsia" w:ascii="宋体" w:hAnsi="宋体" w:cs="宋体"/>
          <w:color w:val="auto"/>
          <w:szCs w:val="21"/>
          <w:highlight w:val="none"/>
        </w:rPr>
        <w:t xml:space="preserve">日 期：</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注：供应商对照《关于印发中小企业划型标准规定的通知》（工信部联企业【2011】300号）中的标准，明确标的承接企业所属企业类型。</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备注：1.从业人员、营业收入、资产总额填报上一年度数据，无上一年度数据的新成立企业可不填报。</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Cs w:val="21"/>
          <w:highlight w:val="none"/>
        </w:rPr>
        <w:t xml:space="preserve">服务类项目中供应商若使用退休人员，将不享受相应扶持政策。具体见《政府采购促进中小企业发展管理办法》第四条第（三）点的规定。</w:t>
      </w:r>
      <w:r/>
    </w:p>
    <w:p>
      <w:pPr>
        <w:pStyle w:val="1123"/>
        <w:ind w:firstLine="428"/>
        <w:rPr>
          <w:rFonts w:ascii="宋体" w:hAnsi="宋体" w:cs="宋体"/>
          <w:b/>
          <w:bCs/>
          <w:color w:val="auto"/>
          <w:szCs w:val="21"/>
          <w:highlight w:val="none"/>
        </w:rPr>
      </w:pPr>
      <w:r>
        <w:rPr>
          <w:rFonts w:ascii="宋体" w:hAnsi="宋体" w:cs="宋体"/>
          <w:b/>
          <w:bCs/>
          <w:color w:val="auto"/>
          <w:szCs w:val="21"/>
          <w:highlight w:val="none"/>
        </w:rPr>
      </w:r>
      <w:r/>
    </w:p>
    <w:p>
      <w:pPr>
        <w:pStyle w:val="1123"/>
        <w:ind w:firstLine="428"/>
        <w:rPr>
          <w:rFonts w:ascii="宋体" w:hAnsi="宋体" w:cs="宋体"/>
          <w:color w:val="auto"/>
          <w:szCs w:val="21"/>
          <w:highlight w:val="none"/>
        </w:rPr>
      </w:pPr>
      <w:r>
        <w:rPr>
          <w:rFonts w:hint="eastAsia" w:ascii="宋体" w:hAnsi="宋体" w:cs="宋体"/>
          <w:b/>
          <w:bCs/>
          <w:color w:val="auto"/>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auto"/>
          <w:szCs w:val="21"/>
          <w:highlight w:val="none"/>
        </w:rPr>
        <w:t xml:space="preserve">。</w:t>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lang w:val="zh-CN"/>
        </w:rPr>
      </w:pPr>
      <w:r>
        <w:rPr>
          <w:rFonts w:ascii="宋体" w:hAnsi="宋体" w:cs="宋体"/>
          <w:color w:val="auto"/>
          <w:szCs w:val="21"/>
          <w:highlight w:val="none"/>
          <w:lang w:val="zh-CN"/>
        </w:rPr>
      </w:r>
      <w:r/>
    </w:p>
    <w:p>
      <w:pPr>
        <w:jc w:val="right"/>
        <w:rPr>
          <w:rFonts w:ascii="宋体" w:hAnsi="宋体" w:cs="宋体"/>
          <w:color w:val="auto"/>
          <w:szCs w:val="21"/>
          <w:highlight w:val="none"/>
        </w:rPr>
      </w:pPr>
      <w:r>
        <w:rPr>
          <w:rFonts w:ascii="宋体" w:hAnsi="宋体" w:cs="宋体"/>
          <w:color w:val="auto"/>
          <w:szCs w:val="21"/>
          <w:highlight w:val="none"/>
        </w:rPr>
      </w:r>
      <w:r/>
    </w:p>
    <w:p>
      <w:pPr>
        <w:pStyle w:val="1201"/>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201"/>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201"/>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ind w:right="-5"/>
        <w:pageBreakBefore/>
        <w:rPr>
          <w:rFonts w:ascii="宋体" w:hAnsi="宋体" w:cs="宋体"/>
          <w:b/>
          <w:color w:val="auto"/>
          <w:szCs w:val="21"/>
          <w:highlight w:val="none"/>
        </w:rPr>
      </w:pPr>
      <w:r/>
      <w:bookmarkStart w:id="78" w:name="OLE_LINK14"/>
      <w:r/>
      <w:bookmarkStart w:id="79" w:name="OLE_LINK13"/>
      <w:r>
        <w:rPr>
          <w:rFonts w:hint="eastAsia" w:ascii="宋体" w:hAnsi="宋体" w:cs="宋体"/>
          <w:b/>
          <w:color w:val="auto"/>
          <w:szCs w:val="21"/>
          <w:highlight w:val="none"/>
          <w:lang w:val="en-US" w:eastAsia="zh-CN"/>
        </w:rPr>
        <w:t xml:space="preserve">8.2 </w:t>
      </w:r>
      <w:r>
        <w:rPr>
          <w:rFonts w:hint="eastAsia" w:ascii="宋体" w:hAnsi="宋体" w:cs="宋体"/>
          <w:b/>
          <w:color w:val="auto"/>
          <w:szCs w:val="21"/>
          <w:highlight w:val="none"/>
        </w:rPr>
        <w:t xml:space="preserve">残疾人福利性单位声明函</w:t>
      </w:r>
      <w:r/>
    </w:p>
    <w:p>
      <w:pPr>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bookmarkEnd w:id="78"/>
      <w:r/>
      <w:bookmarkEnd w:id="79"/>
      <w:r/>
      <w:r/>
    </w:p>
    <w:p>
      <w:pPr>
        <w:rPr>
          <w:rFonts w:ascii="宋体" w:hAnsi="宋体" w:cs="宋体"/>
          <w:b/>
          <w:color w:val="auto"/>
          <w:spacing w:val="6"/>
          <w:szCs w:val="21"/>
          <w:highlight w:val="none"/>
        </w:rPr>
      </w:pPr>
      <w:r>
        <w:rPr>
          <w:rFonts w:ascii="宋体" w:hAnsi="宋体" w:cs="宋体"/>
          <w:b/>
          <w:color w:val="auto"/>
          <w:spacing w:val="6"/>
          <w:szCs w:val="21"/>
          <w:highlight w:val="none"/>
        </w:rPr>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widowControl/>
        <w:rPr>
          <w:rFonts w:ascii="宋体" w:hAnsi="宋体" w:cs="宋体"/>
          <w:color w:val="auto"/>
          <w:szCs w:val="21"/>
          <w:highlight w:val="none"/>
        </w:rPr>
      </w:pPr>
      <w:r>
        <w:rPr>
          <w:rFonts w:ascii="宋体" w:hAnsi="宋体" w:cs="宋体"/>
          <w:color w:val="auto"/>
          <w:szCs w:val="21"/>
          <w:highlight w:val="none"/>
        </w:rPr>
      </w:r>
      <w:r/>
    </w:p>
    <w:p>
      <w:pPr>
        <w:ind w:right="492" w:firstLine="388"/>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pageBreakBefore/>
        <w:rPr>
          <w:rFonts w:ascii="宋体" w:hAnsi="宋体" w:cs="宋体"/>
          <w:b/>
          <w:bCs/>
          <w:color w:val="auto"/>
          <w:szCs w:val="21"/>
          <w:highlight w:val="none"/>
        </w:rPr>
      </w:pPr>
      <w:r>
        <w:rPr>
          <w:rFonts w:hint="eastAsia" w:ascii="宋体" w:hAnsi="宋体" w:cs="宋体"/>
          <w:b/>
          <w:color w:val="auto"/>
          <w:szCs w:val="21"/>
          <w:highlight w:val="none"/>
          <w:lang w:val="en-US" w:eastAsia="zh-CN"/>
        </w:rPr>
        <w:t xml:space="preserve">8.3 </w:t>
      </w:r>
      <w:r>
        <w:rPr>
          <w:rFonts w:hint="eastAsia" w:ascii="宋体" w:hAnsi="宋体" w:cs="宋体"/>
          <w:b/>
          <w:color w:val="auto"/>
          <w:szCs w:val="21"/>
          <w:highlight w:val="none"/>
        </w:rPr>
        <w:t xml:space="preserve">监狱企业声明函</w:t>
      </w:r>
      <w:r/>
    </w:p>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监狱企业声明函</w:t>
      </w:r>
      <w:r/>
    </w:p>
    <w:p>
      <w:pPr>
        <w:pStyle w:val="1197"/>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1197"/>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1197"/>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1197"/>
        <w:numPr>
          <w:ilvl w:val="0"/>
          <w:numId w:val="10"/>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1197"/>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1197"/>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1197"/>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1197"/>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1197"/>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pageBreakBefore/>
        <w:rPr>
          <w:rFonts w:hint="eastAsia" w:ascii="宋体" w:hAnsi="宋体" w:cs="宋体"/>
          <w:b/>
          <w:color w:val="auto"/>
          <w:szCs w:val="21"/>
          <w:highlight w:val="none"/>
          <w:lang w:eastAsia="zh-CN"/>
        </w:rPr>
      </w:pPr>
      <w:r>
        <w:rPr>
          <w:rFonts w:hint="eastAsia" w:ascii="宋体" w:hAnsi="宋体" w:cs="宋体"/>
          <w:b/>
          <w:color w:val="auto"/>
          <w:szCs w:val="21"/>
          <w:highlight w:val="none"/>
          <w:lang w:val="en-US" w:eastAsia="zh-CN"/>
        </w:rPr>
        <w:t xml:space="preserve">附件9：</w:t>
      </w:r>
      <w:r>
        <w:rPr>
          <w:rFonts w:hint="eastAsia" w:ascii="宋体" w:hAnsi="宋体" w:cs="宋体"/>
          <w:b/>
          <w:color w:val="auto"/>
          <w:szCs w:val="21"/>
          <w:highlight w:val="none"/>
          <w:lang w:eastAsia="zh-CN"/>
        </w:rPr>
        <w:t xml:space="preserve">关于符合本国产品标准的声明函（</w:t>
      </w:r>
      <w:r>
        <w:rPr>
          <w:rFonts w:hint="eastAsia" w:ascii="宋体" w:hAnsi="宋体" w:cs="宋体"/>
          <w:b/>
          <w:color w:val="auto"/>
          <w:szCs w:val="21"/>
          <w:highlight w:val="none"/>
          <w:lang w:val="en-US" w:eastAsia="zh-CN"/>
        </w:rPr>
        <w:t xml:space="preserve">本项目不涉及，无需填写</w:t>
      </w:r>
      <w:r>
        <w:rPr>
          <w:rFonts w:hint="eastAsia" w:ascii="宋体" w:hAnsi="宋体" w:cs="宋体"/>
          <w:b/>
          <w:color w:val="auto"/>
          <w:szCs w:val="21"/>
          <w:highlight w:val="none"/>
          <w:lang w:eastAsia="zh-CN"/>
        </w:rPr>
        <w:t xml:space="preserve">）</w:t>
      </w:r>
      <w:r/>
    </w:p>
    <w:p>
      <w:pPr>
        <w:pStyle w:val="876"/>
        <w:spacing w:line="252" w:lineRule="auto"/>
        <w:rPr>
          <w:color w:val="auto"/>
          <w:highlight w:val="none"/>
          <w:lang w:eastAsia="zh-CN"/>
        </w:rPr>
      </w:pPr>
      <w:r>
        <w:rPr>
          <w:color w:val="auto"/>
          <w:highlight w:val="none"/>
          <w:lang w:eastAsia="zh-CN"/>
        </w:rPr>
      </w:r>
      <w:r/>
    </w:p>
    <w:p>
      <w:pPr>
        <w:pStyle w:val="876"/>
        <w:spacing w:line="252" w:lineRule="auto"/>
        <w:rPr>
          <w:color w:val="auto"/>
          <w:highlight w:val="none"/>
          <w:lang w:eastAsia="zh-CN"/>
        </w:rPr>
      </w:pPr>
      <w:r>
        <w:rPr>
          <w:color w:val="auto"/>
          <w:highlight w:val="none"/>
          <w:lang w:eastAsia="zh-CN"/>
        </w:rPr>
      </w:r>
      <w:r/>
    </w:p>
    <w:p>
      <w:pPr>
        <w:jc w:val="center"/>
        <w:spacing w:before="65" w:line="227" w:lineRule="auto"/>
        <w:rPr>
          <w:rFonts w:ascii="宋体" w:hAnsi="宋体" w:eastAsia="宋体" w:cs="宋体"/>
          <w:color w:val="auto"/>
          <w:sz w:val="21"/>
          <w:szCs w:val="21"/>
          <w:highlight w:val="none"/>
          <w:lang w:eastAsia="zh-CN"/>
        </w:rPr>
      </w:pPr>
      <w:r>
        <w:rPr>
          <w:rFonts w:ascii="宋体" w:hAnsi="宋体" w:eastAsia="宋体" w:cs="宋体"/>
          <w:b/>
          <w:bCs/>
          <w:color w:val="auto"/>
          <w:spacing w:val="7"/>
          <w:sz w:val="21"/>
          <w:szCs w:val="21"/>
          <w:highlight w:val="none"/>
          <w:lang w:eastAsia="zh-CN"/>
        </w:rPr>
        <w:t xml:space="preserve">关于符合本国产品标准的声明函</w:t>
      </w:r>
      <w:r/>
    </w:p>
    <w:p>
      <w:pPr>
        <w:pStyle w:val="876"/>
        <w:spacing w:line="250" w:lineRule="auto"/>
        <w:rPr>
          <w:color w:val="auto"/>
          <w:sz w:val="21"/>
          <w:szCs w:val="21"/>
          <w:highlight w:val="none"/>
          <w:lang w:eastAsia="zh-CN"/>
        </w:rPr>
      </w:pPr>
      <w:r>
        <w:rPr>
          <w:color w:val="auto"/>
          <w:sz w:val="21"/>
          <w:szCs w:val="21"/>
          <w:highlight w:val="none"/>
          <w:lang w:eastAsia="zh-CN"/>
        </w:rPr>
      </w:r>
      <w:r/>
    </w:p>
    <w:p>
      <w:pPr>
        <w:pStyle w:val="876"/>
        <w:spacing w:line="251" w:lineRule="auto"/>
        <w:rPr>
          <w:color w:val="auto"/>
          <w:sz w:val="21"/>
          <w:szCs w:val="21"/>
          <w:highlight w:val="none"/>
          <w:lang w:eastAsia="zh-CN"/>
        </w:rPr>
      </w:pPr>
      <w:r>
        <w:rPr>
          <w:color w:val="auto"/>
          <w:sz w:val="21"/>
          <w:szCs w:val="21"/>
          <w:highlight w:val="none"/>
          <w:lang w:eastAsia="zh-CN"/>
        </w:rPr>
      </w:r>
      <w:r/>
    </w:p>
    <w:p>
      <w:pPr>
        <w:pStyle w:val="896"/>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6"/>
        <w:ind w:firstLine="48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612140</wp:posOffset>
                </wp:positionH>
                <wp:positionV relativeFrom="paragraph">
                  <wp:posOffset>586105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48.2pt;mso-position-horizontal:absolute;mso-position-vertical-relative:text;margin-top:46.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-333374</wp:posOffset>
                </wp:positionH>
                <wp:positionV relativeFrom="paragraph">
                  <wp:posOffset>553085</wp:posOffset>
                </wp:positionV>
                <wp:extent cx="84963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26.2pt;mso-position-horizontal:absolute;mso-position-vertical-relative:text;margin-top:43.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3469640</wp:posOffset>
                </wp:positionH>
                <wp:positionV relativeFrom="paragraph">
                  <wp:posOffset>274955</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4384;o:allowoverlap:true;o:allowincell:true;mso-position-horizontal-relative:text;margin-left:273.2pt;mso-position-horizontal:absolute;mso-position-vertical-relative:text;margin-top:21.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2314575</wp:posOffset>
                </wp:positionH>
                <wp:positionV relativeFrom="paragraph">
                  <wp:posOffset>303530</wp:posOffset>
                </wp:positionV>
                <wp:extent cx="84963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3360;o:allowoverlap:true;o:allowincell:true;mso-position-horizontal-relative:text;margin-left:182.2pt;mso-position-horizontal:absolute;mso-position-vertical-relative:text;margin-top:23.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1329690</wp:posOffset>
                </wp:positionH>
                <wp:positionV relativeFrom="paragraph">
                  <wp:posOffset>252730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1552;o:allowoverlap:true;o:allowincell:true;mso-position-horizontal-relative:text;margin-left:104.7pt;mso-position-horizontal:absolute;mso-position-vertical-relative:text;margin-top:19.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4043680</wp:posOffset>
                </wp:positionH>
                <wp:positionV relativeFrom="paragraph">
                  <wp:posOffset>90170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w:t xml:space="preserve">1.</w:t>
      </w:r>
      <w:r>
        <w:rPr>
          <w:rStyle w:val="900"/>
          <w:rFonts w:hint="eastAsia" w:ascii="宋体" w:hAnsi="宋体" w:eastAsia="宋体" w:cs="宋体"/>
          <w:color w:val="auto"/>
          <w:sz w:val="21"/>
          <w:szCs w:val="21"/>
          <w:highlight w:val="none"/>
          <w:u w:val="single"/>
        </w:rPr>
        <w:t xml:space="preserve">（产品名称1）</w:t>
      </w:r>
      <w:r>
        <w:rPr>
          <w:rStyle w:val="900"/>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，生产厂为</w:t>
      </w:r>
      <w:r>
        <w:rPr>
          <w:rStyle w:val="900"/>
          <w:rFonts w:hint="eastAsia" w:ascii="宋体" w:hAnsi="宋体" w:eastAsia="宋体" w:cs="宋体"/>
          <w:color w:val="auto"/>
          <w:sz w:val="21"/>
          <w:szCs w:val="21"/>
          <w:highlight w:val="none"/>
          <w:u w:val="single"/>
        </w:rPr>
        <w:t xml:space="preserve">（厂名）</w:t>
      </w:r>
      <w:r>
        <w:rPr>
          <w:rStyle w:val="900"/>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，厂址为</w:t>
      </w:r>
      <w:r>
        <w:rPr>
          <w:rStyle w:val="900"/>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Style w:val="900"/>
          <w:rFonts w:hint="eastAsia" w:ascii="宋体" w:hAnsi="宋体" w:eastAsia="宋体" w:cs="宋体"/>
          <w:color w:val="auto"/>
          <w:sz w:val="21"/>
          <w:szCs w:val="21"/>
          <w:highlight w:val="none"/>
          <w:u w:val="single"/>
        </w:rPr>
        <w:t xml:space="preserve">（产品名称1）</w:t>
      </w:r>
      <w:r>
        <w:rPr>
          <w:rFonts w:hint="eastAsia" w:ascii="宋体" w:hAnsi="宋体" w:eastAsia="宋体" w:cs="宋体"/>
          <w:color w:val="auto"/>
          <w:sz w:val="21"/>
          <w:szCs w:val="21"/>
          <w:highlight w:val="none"/>
        </w:rPr>
        <w:t xml:space="preserve">的中国境内生产的组件成本占比≥</w:t>
      </w:r>
      <w:r>
        <w:rPr>
          <w:rStyle w:val="900"/>
          <w:rFonts w:hint="eastAsia" w:ascii="宋体" w:hAnsi="宋体" w:eastAsia="宋体" w:cs="宋体"/>
          <w:color w:val="auto"/>
          <w:sz w:val="21"/>
          <w:szCs w:val="21"/>
          <w:highlight w:val="none"/>
          <w:u w:val="single"/>
        </w:rPr>
        <w:t xml:space="preserve">（规定比例）</w:t>
      </w:r>
      <w:r>
        <w:rPr>
          <w:rStyle w:val="900"/>
          <w:rFonts w:hint="eastAsia" w:ascii="宋体" w:hAnsi="宋体" w:eastAsia="宋体" w:cs="宋体"/>
          <w:color w:val="auto"/>
          <w:sz w:val="21"/>
          <w:szCs w:val="21"/>
          <w:highlight w:val="none"/>
          <w:vertAlign w:val="superscript"/>
        </w:rPr>
        <w:t xml:space="preserve">3</w:t>
      </w:r>
      <w:r>
        <w:rPr>
          <w:rFonts w:hint="eastAsia" w:ascii="宋体" w:hAnsi="宋体" w:eastAsia="宋体" w:cs="宋体"/>
          <w:color w:val="auto"/>
          <w:sz w:val="21"/>
          <w:szCs w:val="21"/>
          <w:highlight w:val="none"/>
        </w:rPr>
        <w:t xml:space="preserve">。</w:t>
      </w:r>
      <w:r>
        <w:rPr>
          <w:rStyle w:val="900"/>
          <w:rFonts w:hint="eastAsia" w:ascii="宋体" w:hAnsi="宋体" w:eastAsia="宋体" w:cs="宋体"/>
          <w:color w:val="auto"/>
          <w:sz w:val="21"/>
          <w:szCs w:val="21"/>
          <w:highlight w:val="none"/>
          <w:u w:val="single"/>
        </w:rPr>
        <w:t xml:space="preserve">（产品名称1）</w:t>
      </w:r>
      <w:r>
        <w:rPr>
          <w:rFonts w:hint="eastAsia" w:ascii="宋体" w:hAnsi="宋体" w:eastAsia="宋体" w:cs="宋体"/>
          <w:color w:val="auto"/>
          <w:sz w:val="21"/>
          <w:szCs w:val="21"/>
          <w:highlight w:val="none"/>
        </w:rPr>
        <w:t xml:space="preserve">的</w:t>
      </w:r>
      <w:r>
        <w:rPr>
          <w:rStyle w:val="900"/>
          <w:rFonts w:hint="eastAsia" w:ascii="宋体" w:hAnsi="宋体" w:eastAsia="宋体" w:cs="宋体"/>
          <w:color w:val="auto"/>
          <w:sz w:val="21"/>
          <w:szCs w:val="21"/>
          <w:highlight w:val="none"/>
          <w:u w:val="single"/>
        </w:rPr>
        <w:t xml:space="preserve">（关键组件）</w:t>
      </w:r>
      <w:r>
        <w:rPr>
          <w:rStyle w:val="900"/>
          <w:rFonts w:hint="eastAsia" w:ascii="宋体" w:hAnsi="宋体" w:eastAsia="宋体" w:cs="宋体"/>
          <w:color w:val="auto"/>
          <w:sz w:val="21"/>
          <w:szCs w:val="21"/>
          <w:highlight w:val="none"/>
          <w:vertAlign w:val="superscript"/>
        </w:rPr>
        <w:t xml:space="preserve">4</w:t>
      </w:r>
      <w:r>
        <w:rPr>
          <w:rFonts w:hint="eastAsia" w:ascii="宋体" w:hAnsi="宋体" w:eastAsia="宋体" w:cs="宋体"/>
          <w:color w:val="auto"/>
          <w:sz w:val="21"/>
          <w:szCs w:val="21"/>
          <w:highlight w:val="none"/>
        </w:rPr>
        <w:t xml:space="preserve">在中国境内生产。</w:t>
      </w:r>
      <w:r>
        <w:rPr>
          <w:rStyle w:val="900"/>
          <w:rFonts w:hint="eastAsia" w:ascii="宋体" w:hAnsi="宋体" w:eastAsia="宋体" w:cs="宋体"/>
          <w:color w:val="auto"/>
          <w:sz w:val="21"/>
          <w:szCs w:val="21"/>
          <w:highlight w:val="none"/>
          <w:u w:val="single"/>
        </w:rPr>
        <w:t xml:space="preserve">（产品名称1）</w:t>
      </w:r>
      <w:r>
        <w:rPr>
          <w:rFonts w:hint="eastAsia" w:ascii="宋体" w:hAnsi="宋体" w:eastAsia="宋体" w:cs="宋体"/>
          <w:color w:val="auto"/>
          <w:sz w:val="21"/>
          <w:szCs w:val="21"/>
          <w:highlight w:val="none"/>
        </w:rPr>
        <w:t xml:space="preserve">的</w:t>
      </w:r>
      <w:r>
        <w:rPr>
          <w:rStyle w:val="900"/>
          <w:rFonts w:hint="eastAsia" w:ascii="宋体" w:hAnsi="宋体" w:eastAsia="宋体" w:cs="宋体"/>
          <w:color w:val="auto"/>
          <w:sz w:val="21"/>
          <w:szCs w:val="21"/>
          <w:highlight w:val="none"/>
          <w:u w:val="single"/>
        </w:rPr>
        <w:t xml:space="preserve">（关键工序）</w:t>
      </w:r>
      <w:r>
        <w:rPr>
          <w:rStyle w:val="900"/>
          <w:rFonts w:hint="eastAsia" w:ascii="宋体" w:hAnsi="宋体" w:eastAsia="宋体" w:cs="宋体"/>
          <w:color w:val="auto"/>
          <w:sz w:val="21"/>
          <w:szCs w:val="21"/>
          <w:highlight w:val="none"/>
          <w:vertAlign w:val="superscript"/>
        </w:rPr>
        <w:t xml:space="preserve">5</w:t>
      </w:r>
      <w:r>
        <w:rPr>
          <w:rFonts w:hint="eastAsia" w:ascii="宋体" w:hAnsi="宋体" w:eastAsia="宋体" w:cs="宋体"/>
          <w:color w:val="auto"/>
          <w:sz w:val="21"/>
          <w:szCs w:val="21"/>
          <w:highlight w:val="none"/>
        </w:rPr>
        <w:t xml:space="preserve">在中国境内完成。</w:t>
      </w:r>
      <w:r/>
    </w:p>
    <w:p>
      <w:pPr>
        <w:pStyle w:val="896"/>
        <w:ind w:firstLine="48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5079365</wp:posOffset>
                </wp:positionH>
                <wp:positionV relativeFrom="paragraph">
                  <wp:posOffset>297180</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72576;o:allowoverlap:true;o:allowincell:true;mso-position-horizontal-relative:text;margin-left:399.9pt;mso-position-horizontal:absolute;mso-position-vertical-relative:text;margin-top:23.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3221990</wp:posOffset>
                </wp:positionH>
                <wp:positionV relativeFrom="paragraph">
                  <wp:posOffset>278130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53.7pt;mso-position-horizontal:absolute;mso-position-vertical-relative:text;margin-top:21.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2205990</wp:posOffset>
                </wp:positionH>
                <wp:positionV relativeFrom="paragraph">
                  <wp:posOffset>303530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73.7pt;mso-position-horizontal:absolute;mso-position-vertical-relative:text;margin-top:23.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1167765</wp:posOffset>
                </wp:positionH>
                <wp:positionV relativeFrom="paragraph">
                  <wp:posOffset>255905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91.9pt;mso-position-horizontal:absolute;mso-position-vertical-relative:text;margin-top:20.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437515</wp:posOffset>
                </wp:positionH>
                <wp:positionV relativeFrom="paragraph">
                  <wp:posOffset>577215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34.4pt;mso-position-horizontal:absolute;mso-position-vertical-relative:text;margin-top:45.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w:t xml:space="preserve">2.</w:t>
      </w:r>
      <w:r>
        <w:rPr>
          <w:rStyle w:val="900"/>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，生产厂为</w:t>
      </w:r>
      <w:r>
        <w:rPr>
          <w:rStyle w:val="900"/>
          <w:rFonts w:hint="eastAsia" w:ascii="宋体" w:hAnsi="宋体" w:eastAsia="宋体" w:cs="宋体"/>
          <w:color w:val="auto"/>
          <w:sz w:val="21"/>
          <w:szCs w:val="21"/>
          <w:highlight w:val="none"/>
          <w:u w:val="single"/>
        </w:rPr>
        <w:t xml:space="preserve">（厂名）</w:t>
      </w:r>
      <w:r>
        <w:rPr>
          <w:rFonts w:hint="eastAsia" w:ascii="宋体" w:hAnsi="宋体" w:eastAsia="宋体" w:cs="宋体"/>
          <w:color w:val="auto"/>
          <w:sz w:val="21"/>
          <w:szCs w:val="21"/>
          <w:highlight w:val="none"/>
        </w:rPr>
        <w:t xml:space="preserve">，厂址为</w:t>
      </w:r>
      <w:r>
        <w:rPr>
          <w:rStyle w:val="900"/>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Style w:val="900"/>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的中国境内生产的组件成本占比≥</w:t>
      </w:r>
      <w:r>
        <w:rPr>
          <w:rStyle w:val="900"/>
          <w:rFonts w:hint="eastAsia" w:ascii="宋体" w:hAnsi="宋体" w:eastAsia="宋体" w:cs="宋体"/>
          <w:color w:val="auto"/>
          <w:sz w:val="21"/>
          <w:szCs w:val="21"/>
          <w:highlight w:val="none"/>
          <w:u w:val="single"/>
        </w:rPr>
        <w:t xml:space="preserve">（规定比例）</w:t>
      </w:r>
      <w:r>
        <w:rPr>
          <w:rFonts w:hint="eastAsia" w:ascii="宋体" w:hAnsi="宋体" w:eastAsia="宋体" w:cs="宋体"/>
          <w:color w:val="auto"/>
          <w:sz w:val="21"/>
          <w:szCs w:val="21"/>
          <w:highlight w:val="none"/>
        </w:rPr>
        <w:t xml:space="preserve">。</w:t>
      </w:r>
      <w:r>
        <w:rPr>
          <w:rStyle w:val="900"/>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的</w:t>
      </w:r>
      <w:r>
        <w:rPr>
          <w:rStyle w:val="900"/>
          <w:rFonts w:hint="eastAsia" w:ascii="宋体" w:hAnsi="宋体" w:eastAsia="宋体" w:cs="宋体"/>
          <w:color w:val="auto"/>
          <w:sz w:val="21"/>
          <w:szCs w:val="21"/>
          <w:highlight w:val="none"/>
          <w:u w:val="single"/>
        </w:rPr>
        <w:t xml:space="preserve">（关键组件）</w:t>
      </w:r>
      <w:r>
        <w:rPr>
          <w:rFonts w:hint="eastAsia" w:ascii="宋体" w:hAnsi="宋体" w:eastAsia="宋体" w:cs="宋体"/>
          <w:color w:val="auto"/>
          <w:sz w:val="21"/>
          <w:szCs w:val="21"/>
          <w:highlight w:val="none"/>
        </w:rPr>
        <w:t xml:space="preserve">在中国境内生产。</w:t>
      </w:r>
      <w:r>
        <w:rPr>
          <w:rStyle w:val="900"/>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的</w:t>
      </w:r>
      <w:r>
        <w:rPr>
          <w:rStyle w:val="900"/>
          <w:rFonts w:hint="eastAsia" w:ascii="宋体" w:hAnsi="宋体" w:eastAsia="宋体" w:cs="宋体"/>
          <w:color w:val="auto"/>
          <w:sz w:val="21"/>
          <w:szCs w:val="21"/>
          <w:highlight w:val="none"/>
          <w:u w:val="single"/>
        </w:rPr>
        <w:t xml:space="preserve">（关键工序）</w:t>
      </w:r>
      <w:r>
        <w:rPr>
          <w:rFonts w:hint="eastAsia" w:ascii="宋体" w:hAnsi="宋体" w:eastAsia="宋体" w:cs="宋体"/>
          <w:color w:val="auto"/>
          <w:sz w:val="21"/>
          <w:szCs w:val="21"/>
          <w:highlight w:val="none"/>
        </w:rPr>
        <w:t xml:space="preserve">在中国境内完成。</w:t>
      </w:r>
      <w:r/>
    </w:p>
    <w:p>
      <w:pPr>
        <w:pStyle w:val="896"/>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896"/>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pStyle w:val="876"/>
        <w:spacing w:line="280" w:lineRule="auto"/>
        <w:rPr>
          <w:color w:val="auto"/>
          <w:sz w:val="21"/>
          <w:szCs w:val="21"/>
          <w:highlight w:val="none"/>
          <w:lang w:eastAsia="zh-CN"/>
        </w:rPr>
      </w:pPr>
      <w:r>
        <w:rPr>
          <w:color w:val="auto"/>
          <w:sz w:val="21"/>
          <w:szCs w:val="21"/>
          <w:highlight w:val="none"/>
          <w:lang w:eastAsia="zh-CN"/>
        </w:rPr>
      </w:r>
      <w:r/>
    </w:p>
    <w:p>
      <w:pPr>
        <w:pStyle w:val="876"/>
        <w:spacing w:line="281" w:lineRule="auto"/>
        <w:rPr>
          <w:color w:val="auto"/>
          <w:sz w:val="21"/>
          <w:szCs w:val="21"/>
          <w:highlight w:val="none"/>
          <w:lang w:eastAsia="zh-CN"/>
        </w:rPr>
      </w:pPr>
      <w:r>
        <w:rPr>
          <w:color w:val="auto"/>
          <w:sz w:val="21"/>
          <w:szCs w:val="21"/>
          <w:highlight w:val="none"/>
          <w:lang w:eastAsia="zh-CN"/>
        </w:rPr>
      </w:r>
      <w:r/>
    </w:p>
    <w:p>
      <w:pPr>
        <w:ind w:left="3419"/>
        <w:spacing w:before="65" w:line="227"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公司（单位）名称（签章</w:t>
      </w:r>
      <w:r>
        <w:rPr>
          <w:rFonts w:ascii="宋体" w:hAnsi="宋体" w:eastAsia="宋体" w:cs="宋体"/>
          <w:color w:val="auto"/>
          <w:spacing w:val="2"/>
          <w:sz w:val="21"/>
          <w:szCs w:val="21"/>
          <w:highlight w:val="none"/>
          <w:lang w:eastAsia="zh-CN"/>
        </w:rPr>
        <w:t xml:space="preserve">）：</w:t>
      </w:r>
      <w:r/>
    </w:p>
    <w:p>
      <w:pPr>
        <w:ind w:left="4963"/>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日期：</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年</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月</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日</w:t>
      </w:r>
      <w:r/>
    </w:p>
    <w:p>
      <w:pPr>
        <w:pStyle w:val="876"/>
        <w:spacing w:line="281" w:lineRule="auto"/>
        <w:rPr>
          <w:color w:val="auto"/>
          <w:sz w:val="21"/>
          <w:szCs w:val="21"/>
          <w:highlight w:val="none"/>
          <w:lang w:eastAsia="zh-CN"/>
        </w:rPr>
      </w:pPr>
      <w:r>
        <w:rPr>
          <w:color w:val="auto"/>
          <w:sz w:val="21"/>
          <w:szCs w:val="21"/>
          <w:highlight w:val="none"/>
          <w:lang w:eastAsia="zh-CN"/>
        </w:rPr>
      </w:r>
      <w:r/>
    </w:p>
    <w:p>
      <w:pPr>
        <w:pStyle w:val="876"/>
        <w:spacing w:line="281" w:lineRule="auto"/>
        <w:rPr>
          <w:color w:val="auto"/>
          <w:sz w:val="21"/>
          <w:szCs w:val="21"/>
          <w:highlight w:val="none"/>
          <w:lang w:eastAsia="zh-CN"/>
        </w:rPr>
      </w:pPr>
      <w:r>
        <w:rPr>
          <w:color w:val="auto"/>
          <w:sz w:val="21"/>
          <w:szCs w:val="21"/>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1285875</wp:posOffset>
                </wp:positionH>
                <wp:positionV relativeFrom="paragraph">
                  <wp:posOffset>69850</wp:posOffset>
                </wp:positionV>
                <wp:extent cx="9525" cy="6350"/>
                <wp:effectExtent l="0" t="0" r="0" b="0"/>
                <wp:wrapNone/>
                <wp:docPr id="18" name="IM 58"/>
                <wp:cNvGraphicFramePr/>
                <a:graphic xmlns:a="http://schemas.openxmlformats.org/drawingml/2006/main">
                  <a:graphicData uri="http://schemas.openxmlformats.org/drawingml/2006/picture">
                    <pic:pic xmlns:pic="http://schemas.openxmlformats.org/drawingml/2006/picture">
                      <pic:nvPicPr>
                        <pic:cNvPr id="7" name="IM 58"/>
                        <pic:cNvPicPr/>
                        <pic:nvPr/>
                      </pic:nvPicPr>
                      <pic:blipFill>
                        <a:blip r:embed="rId18"/>
                        <a:stretch/>
                      </pic:blipFill>
                      <pic:spPr bwMode="auto">
                        <a:xfrm>
                          <a:off x="0" y="0"/>
                          <a:ext cx="9524" cy="6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01.2pt;mso-position-horizontal:absolute;mso-position-vertical-relative:text;margin-top:5.5pt;mso-position-vertical:absolute;width:0.8pt;height:0.5pt;mso-wrap-distance-left:0.0pt;mso-wrap-distance-top:0.0pt;mso-wrap-distance-right:0.0pt;mso-wrap-distance-bottom:0.0pt;" stroked="false">
                <v:path textboxrect="0,0,0,0"/>
                <v:imagedata r:id="rId18" o:title=""/>
              </v:shape>
            </w:pict>
          </mc:Fallback>
        </mc:AlternateContent>
      </w:r>
      <w:r/>
    </w:p>
    <w:p>
      <w:pPr>
        <w:ind w:left="174"/>
        <w:spacing w:before="66" w:line="228" w:lineRule="auto"/>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1.产品如有型号，请在“产品名称”栏一并填写。</w:t>
      </w:r>
      <w:r/>
    </w:p>
    <w:p>
      <w:pPr>
        <w:ind w:left="161"/>
        <w:spacing w:before="190" w:line="228" w:lineRule="auto"/>
        <w:rPr>
          <w:rFonts w:ascii="宋体" w:hAnsi="宋体" w:eastAsia="宋体" w:cs="宋体"/>
          <w:color w:val="auto"/>
          <w:sz w:val="21"/>
          <w:szCs w:val="21"/>
          <w:highlight w:val="none"/>
          <w:lang w:eastAsia="zh-CN"/>
        </w:rPr>
      </w:pPr>
      <w:r>
        <w:rPr>
          <w:rFonts w:ascii="宋体" w:hAnsi="宋体" w:eastAsia="宋体" w:cs="宋体"/>
          <w:color w:val="auto"/>
          <w:spacing w:val="9"/>
          <w:sz w:val="21"/>
          <w:szCs w:val="21"/>
          <w:highlight w:val="none"/>
          <w:lang w:eastAsia="zh-CN"/>
        </w:rPr>
        <w:t xml:space="preserve">2.生产厂名与厂址应与生产厂营业执照载明的相关信息</w:t>
      </w:r>
      <w:r>
        <w:rPr>
          <w:rFonts w:ascii="宋体" w:hAnsi="宋体" w:eastAsia="宋体" w:cs="宋体"/>
          <w:color w:val="auto"/>
          <w:spacing w:val="8"/>
          <w:sz w:val="21"/>
          <w:szCs w:val="21"/>
          <w:highlight w:val="none"/>
          <w:lang w:eastAsia="zh-CN"/>
        </w:rPr>
        <w:t xml:space="preserve">保持一致。</w:t>
      </w:r>
      <w:r/>
    </w:p>
    <w:p>
      <w:pPr>
        <w:ind w:left="163"/>
        <w:spacing w:before="192" w:line="227"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3.该产品的中国境内生产的组件成本占比相关要求实施前，“规定比例”栏可不填，下同。</w:t>
      </w:r>
      <w:r/>
    </w:p>
    <w:p>
      <w:pPr>
        <w:ind w:left="157"/>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4.该产品的关键组件要求实施前，“关键组件”栏可不填，下同。</w:t>
      </w:r>
      <w:r/>
    </w:p>
    <w:p>
      <w:pPr>
        <w:ind w:left="163"/>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5.该产品的关键工序要求实施前，“关键工序”栏可</w:t>
      </w:r>
      <w:r>
        <w:rPr>
          <w:rFonts w:ascii="宋体" w:hAnsi="宋体" w:eastAsia="宋体" w:cs="宋体"/>
          <w:color w:val="auto"/>
          <w:spacing w:val="7"/>
          <w:sz w:val="21"/>
          <w:szCs w:val="21"/>
          <w:highlight w:val="none"/>
          <w:lang w:eastAsia="zh-CN"/>
        </w:rPr>
        <w:t xml:space="preserve">不填，下同。</w:t>
      </w:r>
      <w:r/>
    </w:p>
    <w:p>
      <w:pPr>
        <w:ind w:left="160"/>
        <w:spacing w:before="189" w:line="228" w:lineRule="auto"/>
        <w:rPr>
          <w:rFonts w:ascii="宋体" w:hAnsi="宋体" w:eastAsia="宋体" w:cs="宋体"/>
          <w:color w:val="auto"/>
          <w:sz w:val="21"/>
          <w:szCs w:val="21"/>
          <w:highlight w:val="none"/>
          <w:lang w:eastAsia="zh-CN"/>
        </w:rPr>
      </w:pPr>
      <w:r>
        <w:rPr>
          <w:rFonts w:ascii="宋体" w:hAnsi="宋体" w:eastAsia="宋体" w:cs="宋体"/>
          <w:color w:val="auto"/>
          <w:spacing w:val="7"/>
          <w:sz w:val="21"/>
          <w:szCs w:val="21"/>
          <w:highlight w:val="none"/>
          <w:lang w:eastAsia="zh-CN"/>
        </w:rPr>
        <w:t xml:space="preserve">6.用斜线划除的地方无需填写。</w:t>
      </w:r>
      <w:r/>
    </w:p>
    <w:p>
      <w:pPr>
        <w:ind w:firstLine="422"/>
        <w:jc w:val="center"/>
        <w:rPr>
          <w:rFonts w:ascii="宋体" w:hAnsi="宋体" w:cs="宋体"/>
          <w:b/>
          <w:color w:val="auto"/>
          <w:sz w:val="21"/>
          <w:szCs w:val="21"/>
          <w:highlight w:val="none"/>
        </w:rPr>
      </w:pPr>
      <w:r>
        <w:rPr>
          <w:rFonts w:ascii="宋体" w:hAnsi="宋体" w:cs="宋体"/>
          <w:b/>
          <w:color w:val="auto"/>
          <w:sz w:val="21"/>
          <w:szCs w:val="21"/>
          <w:highlight w:val="none"/>
        </w:rPr>
      </w:r>
      <w:r/>
    </w:p>
    <w:p>
      <w:pPr>
        <w:pageBreakBefore/>
        <w:widowControl/>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附件10：</w:t>
      </w:r>
      <w:r>
        <w:rPr>
          <w:rFonts w:hint="eastAsia" w:ascii="宋体" w:hAnsi="宋体" w:cs="宋体"/>
          <w:b/>
          <w:bCs/>
          <w:color w:val="auto"/>
          <w:szCs w:val="21"/>
          <w:highlight w:val="none"/>
        </w:rPr>
        <w:t xml:space="preserve">投标（响应）保证承诺书</w:t>
      </w:r>
      <w:r/>
    </w:p>
    <w:p>
      <w:pPr>
        <w:pStyle w:val="1201"/>
        <w:jc w:val="center"/>
        <w:spacing w:line="360" w:lineRule="auto"/>
        <w:tabs>
          <w:tab w:val="left" w:pos="525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投标（响应）保证承诺书</w:t>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w:t>
      </w:r>
      <w:r>
        <w:rPr>
          <w:rFonts w:hint="eastAsia" w:ascii="宋体" w:hAnsi="宋体" w:cs="宋体"/>
          <w:color w:val="auto"/>
          <w:szCs w:val="21"/>
          <w:highlight w:val="none"/>
          <w:u w:val="single"/>
          <w:lang w:eastAsia="zh-CN"/>
        </w:rPr>
        <w:t xml:space="preserve">项目编号</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的投标（响应）,并做出如下承诺：</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555"/>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3.中标（成交）后不按本采购文件规定向采购人提交履约保证金（如有）。</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     </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bookmarkEnd w:id="73"/>
      <w:r/>
      <w:bookmarkEnd w:id="74"/>
      <w:r/>
      <w:bookmarkEnd w:id="75"/>
      <w:r/>
      <w:bookmarkEnd w:id="76"/>
      <w:r/>
      <w:bookmarkEnd w:id="77"/>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u w:val="single"/>
        </w:rPr>
        <w:br w:type="page" w:clear="all"/>
      </w: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商务及</w:t>
      </w:r>
      <w:r>
        <w:rPr>
          <w:rFonts w:hint="eastAsia" w:ascii="宋体" w:hAnsi="宋体" w:cs="宋体"/>
          <w:b/>
          <w:bCs/>
          <w:color w:val="auto"/>
          <w:szCs w:val="21"/>
          <w:highlight w:val="none"/>
        </w:rPr>
        <w:t xml:space="preserve">技术部分（格式为参考，磋商响应单位可参照下述格式自制表格投标，但至少应包括下述格式中的内容，没有参考格式的则可根据情况自行编制）</w:t>
      </w:r>
      <w:r/>
    </w:p>
    <w:p>
      <w:pPr>
        <w:jc w:val="left"/>
        <w:rPr>
          <w:rFonts w:ascii="宋体" w:hAnsi="宋体" w:cs="宋体"/>
          <w:b/>
          <w:bCs/>
          <w:color w:val="auto"/>
          <w:szCs w:val="21"/>
          <w:highlight w:val="none"/>
        </w:rPr>
      </w:pPr>
      <w:r>
        <w:rPr>
          <w:rFonts w:ascii="宋体" w:hAnsi="宋体" w:cs="宋体"/>
          <w:b/>
          <w:bCs/>
          <w:color w:val="auto"/>
          <w:szCs w:val="21"/>
          <w:highlight w:val="none"/>
        </w:rPr>
      </w:r>
      <w:r/>
    </w:p>
    <w:p>
      <w:pPr>
        <w:jc w:val="lef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.1服务条款偏离表</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服务条款偏离表</w:t>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866"/>
        <w:tblW w:w="5038"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2738"/>
        <w:gridCol w:w="3483"/>
        <w:gridCol w:w="2109"/>
      </w:tblGrid>
      <w:tr>
        <w:trPr>
          <w:trHeight w:val="1345"/>
        </w:trPr>
        <w:tc>
          <w:tcPr>
            <w:tcW w:w="1029" w:type="dxa"/>
            <w:vAlign w:val="center"/>
            <w:textDirection w:val="lrTb"/>
            <w:noWrap w:val="false"/>
          </w:tcPr>
          <w:p>
            <w:pPr>
              <w:jc w:val="center"/>
              <w:rPr>
                <w:rFonts w:hint="eastAsia"/>
                <w:color w:val="auto"/>
                <w:highlight w:val="none"/>
              </w:rPr>
            </w:pPr>
            <w:r>
              <w:rPr>
                <w:rFonts w:hint="eastAsia"/>
                <w:color w:val="auto"/>
                <w:highlight w:val="none"/>
              </w:rPr>
            </w:r>
            <w:r/>
          </w:p>
          <w:p>
            <w:pPr>
              <w:jc w:val="center"/>
              <w:rPr>
                <w:color w:val="auto"/>
                <w:highlight w:val="none"/>
              </w:rPr>
            </w:pPr>
            <w:r>
              <w:rPr>
                <w:rFonts w:hint="eastAsia"/>
                <w:color w:val="auto"/>
                <w:highlight w:val="none"/>
              </w:rPr>
              <w:t xml:space="preserve">序号</w:t>
            </w:r>
            <w:r/>
          </w:p>
        </w:tc>
        <w:tc>
          <w:tcPr>
            <w:tcW w:w="2738" w:type="dxa"/>
            <w:vAlign w:val="center"/>
            <w:textDirection w:val="lrTb"/>
            <w:noWrap w:val="false"/>
          </w:tcPr>
          <w:p>
            <w:pPr>
              <w:pStyle w:val="1212"/>
              <w:jc w:val="both"/>
              <w:spacing w:before="291" w:line="227" w:lineRule="auto"/>
              <w:rPr>
                <w:rFonts w:ascii="宋体" w:hAnsi="宋体" w:cs="宋体"/>
                <w:color w:val="auto"/>
                <w:szCs w:val="21"/>
                <w:highlight w:val="none"/>
              </w:rPr>
            </w:pPr>
            <w:r>
              <w:rPr>
                <w:color w:val="auto"/>
                <w:spacing w:val="9"/>
                <w:highlight w:val="none"/>
              </w:rPr>
              <w:t xml:space="preserve">采购技术及服务要求</w:t>
            </w:r>
            <w:r/>
          </w:p>
        </w:tc>
        <w:tc>
          <w:tcPr>
            <w:tcW w:w="3483" w:type="dxa"/>
            <w:vAlign w:val="center"/>
            <w:textDirection w:val="lrTb"/>
            <w:noWrap w:val="false"/>
          </w:tcPr>
          <w:p>
            <w:pPr>
              <w:pStyle w:val="1212"/>
              <w:jc w:val="both"/>
              <w:spacing w:before="291" w:line="228" w:lineRule="auto"/>
              <w:rPr>
                <w:color w:val="auto"/>
                <w:spacing w:val="8"/>
                <w:highlight w:val="none"/>
                <w:lang w:eastAsia="zh-CN"/>
              </w:rPr>
            </w:pPr>
            <w:r>
              <w:rPr>
                <w:color w:val="auto"/>
                <w:spacing w:val="8"/>
                <w:highlight w:val="none"/>
                <w:lang w:eastAsia="zh-CN"/>
              </w:rPr>
              <w:t xml:space="preserve">投标响应（正偏离、负偏离、无偏离）</w:t>
            </w:r>
            <w:r/>
          </w:p>
        </w:tc>
        <w:tc>
          <w:tcPr>
            <w:tcW w:w="2109" w:type="dxa"/>
            <w:vAlign w:val="center"/>
            <w:textDirection w:val="lrTb"/>
            <w:noWrap w:val="false"/>
          </w:tcPr>
          <w:p>
            <w:pPr>
              <w:pStyle w:val="1212"/>
              <w:jc w:val="both"/>
              <w:spacing w:before="291" w:line="228" w:lineRule="auto"/>
              <w:rPr>
                <w:rFonts w:ascii="宋体" w:hAnsi="宋体" w:cs="宋体"/>
                <w:color w:val="auto"/>
                <w:szCs w:val="21"/>
                <w:highlight w:val="none"/>
              </w:rPr>
            </w:pPr>
            <w:r>
              <w:rPr>
                <w:color w:val="auto"/>
                <w:spacing w:val="7"/>
                <w:highlight w:val="none"/>
              </w:rPr>
              <w:t xml:space="preserve">偏离说明（如有）</w:t>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75"/>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注：1、磋商响应单位应对照采购文件技术要求等要求，所投标的物（服务）与采购文件的规定有偏离的，应在此表中申明与技术要求条文的偏差和例外。</w:t>
      </w:r>
      <w:r/>
    </w:p>
    <w:p>
      <w:pPr>
        <w:pStyle w:val="923"/>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315"/>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.2商务条款偏离表</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pStyle w:val="1199"/>
        <w:ind w:firstLine="0"/>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866"/>
        <w:tblW w:w="4996"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935"/>
        <w:gridCol w:w="2417"/>
        <w:gridCol w:w="2416"/>
        <w:gridCol w:w="1728"/>
      </w:tblGrid>
      <w:tr>
        <w:trPr/>
        <w:tc>
          <w:tcPr>
            <w:tcW w:w="785"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序号</w:t>
            </w:r>
            <w:r/>
          </w:p>
        </w:tc>
        <w:tc>
          <w:tcPr>
            <w:tcW w:w="1935"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名称</w:t>
            </w:r>
            <w:r/>
          </w:p>
        </w:tc>
        <w:tc>
          <w:tcPr>
            <w:tcW w:w="2417"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磋商文件商务要求</w:t>
            </w:r>
            <w:r/>
          </w:p>
        </w:tc>
        <w:tc>
          <w:tcPr>
            <w:tcW w:w="2416" w:type="dxa"/>
            <w:vAlign w:val="center"/>
            <w:textDirection w:val="lrTb"/>
            <w:noWrap w:val="false"/>
          </w:tcPr>
          <w:p>
            <w:pPr>
              <w:jc w:val="center"/>
              <w:rPr>
                <w:rFonts w:ascii="宋体" w:hAnsi="宋体" w:cs="宋体"/>
                <w:color w:val="auto"/>
                <w:szCs w:val="21"/>
                <w:highlight w:val="none"/>
              </w:rPr>
            </w:pPr>
            <w:r/>
            <w:bookmarkStart w:id="80" w:name="OLE_LINK2"/>
            <w:r>
              <w:rPr>
                <w:rFonts w:hint="eastAsia" w:ascii="宋体" w:hAnsi="宋体" w:cs="宋体"/>
                <w:b/>
                <w:bCs/>
                <w:color w:val="auto"/>
                <w:szCs w:val="21"/>
                <w:highlight w:val="none"/>
              </w:rPr>
              <w:t xml:space="preserve">响应文件响应情</w:t>
            </w:r>
            <w:bookmarkEnd w:id="80"/>
            <w:r>
              <w:rPr>
                <w:rFonts w:hint="eastAsia" w:ascii="宋体" w:hAnsi="宋体" w:cs="宋体"/>
                <w:b/>
                <w:bCs/>
                <w:color w:val="auto"/>
                <w:szCs w:val="21"/>
                <w:highlight w:val="none"/>
              </w:rPr>
              <w:t xml:space="preserve">况</w:t>
            </w:r>
            <w:r/>
          </w:p>
        </w:tc>
        <w:tc>
          <w:tcPr>
            <w:tcW w:w="1728"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tc>
          <w:tcPr>
            <w:tcW w:w="78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合同履约</w:t>
            </w:r>
            <w:r>
              <w:rPr>
                <w:rFonts w:hint="eastAsia" w:ascii="宋体" w:hAnsi="宋体" w:cs="宋体"/>
                <w:color w:val="auto"/>
                <w:szCs w:val="21"/>
                <w:highlight w:val="none"/>
              </w:rPr>
              <w:t xml:space="preserve">期限</w:t>
            </w:r>
            <w:r/>
          </w:p>
        </w:tc>
        <w:tc>
          <w:tcPr>
            <w:tcW w:w="2417" w:type="dxa"/>
            <w:vAlign w:val="top"/>
            <w:textDirection w:val="lrTb"/>
            <w:noWrap w:val="false"/>
          </w:tcPr>
          <w:p>
            <w:pPr>
              <w:pStyle w:val="1212"/>
              <w:ind w:left="73"/>
              <w:spacing w:before="298" w:line="228" w:lineRule="auto"/>
              <w:rPr>
                <w:rFonts w:hint="default" w:ascii="Arial" w:hAnsi="Arial" w:eastAsia="Arial" w:cs="Arial"/>
                <w:color w:val="auto"/>
                <w:sz w:val="21"/>
                <w:szCs w:val="21"/>
                <w:highlight w:val="none"/>
                <w:lang w:val="en-US" w:eastAsia="zh-CN" w:bidi="ar-SA"/>
              </w:rPr>
            </w:pPr>
            <w:r>
              <w:rPr>
                <w:rFonts w:hint="default" w:ascii="Arial" w:hAnsi="Arial" w:eastAsia="Arial" w:cs="Arial"/>
                <w:color w:val="auto"/>
                <w:sz w:val="21"/>
                <w:szCs w:val="21"/>
                <w:highlight w:val="none"/>
                <w:lang w:val="en-US" w:eastAsia="zh-CN"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17" w:type="dxa"/>
            <w:vAlign w:val="top"/>
            <w:textDirection w:val="lrTb"/>
            <w:noWrap w:val="false"/>
          </w:tcPr>
          <w:p>
            <w:pPr>
              <w:pStyle w:val="1212"/>
              <w:ind w:left="72"/>
              <w:spacing w:before="213"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44"/>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售后服务</w:t>
            </w:r>
            <w:r/>
          </w:p>
        </w:tc>
        <w:tc>
          <w:tcPr>
            <w:tcW w:w="2417" w:type="dxa"/>
            <w:vAlign w:val="top"/>
            <w:textDirection w:val="lrTb"/>
            <w:noWrap w:val="false"/>
          </w:tcPr>
          <w:p>
            <w:pPr>
              <w:pStyle w:val="1212"/>
              <w:ind w:left="73"/>
              <w:spacing w:before="215"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417" w:type="dxa"/>
            <w:vAlign w:val="top"/>
            <w:textDirection w:val="lrTb"/>
            <w:noWrap w:val="false"/>
          </w:tcPr>
          <w:p>
            <w:pPr>
              <w:pStyle w:val="1212"/>
              <w:ind w:left="72"/>
              <w:spacing w:before="216"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合同主要条款</w:t>
            </w:r>
            <w:r/>
          </w:p>
        </w:tc>
        <w:tc>
          <w:tcPr>
            <w:tcW w:w="2417" w:type="dxa"/>
            <w:vAlign w:val="top"/>
            <w:textDirection w:val="lrTb"/>
            <w:noWrap w:val="false"/>
          </w:tcPr>
          <w:p>
            <w:pPr>
              <w:pStyle w:val="1212"/>
              <w:ind w:left="73"/>
              <w:spacing w:before="218"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81"/>
        </w:trPr>
        <w:tc>
          <w:tcPr>
            <w:tcW w:w="78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其他商务条款</w:t>
            </w:r>
            <w:r/>
          </w:p>
        </w:tc>
        <w:tc>
          <w:tcPr>
            <w:tcW w:w="2417" w:type="dxa"/>
            <w:vAlign w:val="top"/>
            <w:textDirection w:val="lrTb"/>
            <w:noWrap w:val="false"/>
          </w:tcPr>
          <w:p>
            <w:pPr>
              <w:pStyle w:val="1212"/>
              <w:ind w:left="73"/>
              <w:spacing w:before="220"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w:t>
            </w:r>
            <w:r/>
          </w:p>
        </w:tc>
        <w:tc>
          <w:tcPr>
            <w:tcW w:w="2417" w:type="dxa"/>
            <w:vAlign w:val="top"/>
            <w:textDirection w:val="lrTb"/>
            <w:noWrap w:val="false"/>
          </w:tcPr>
          <w:p>
            <w:pPr>
              <w:pStyle w:val="1212"/>
              <w:ind w:left="78"/>
              <w:spacing w:before="65" w:line="84" w:lineRule="exact"/>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35"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3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3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注：磋商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pStyle w:val="1199"/>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clear="all"/>
      </w:r>
      <w:r/>
    </w:p>
    <w:p>
      <w:pPr>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附件12：</w:t>
      </w:r>
      <w:r>
        <w:rPr>
          <w:rFonts w:hint="eastAsia" w:ascii="宋体" w:hAnsi="宋体" w:cs="宋体"/>
          <w:b/>
          <w:bCs/>
          <w:color w:val="auto"/>
          <w:szCs w:val="21"/>
          <w:highlight w:val="none"/>
        </w:rPr>
        <w:t xml:space="preserve">针对本项目的人员配置表</w:t>
      </w:r>
      <w:r/>
    </w:p>
    <w:p>
      <w:pPr>
        <w:jc w:val="center"/>
        <w:rPr>
          <w:rFonts w:ascii="宋体" w:hAnsi="宋体" w:cs="宋体"/>
          <w:b/>
          <w:bCs/>
          <w:color w:val="auto"/>
          <w:spacing w:val="20"/>
          <w:highlight w:val="none"/>
        </w:rPr>
      </w:pPr>
      <w:r>
        <w:rPr>
          <w:rFonts w:hint="eastAsia" w:ascii="宋体" w:hAnsi="宋体" w:cs="宋体"/>
          <w:b/>
          <w:bCs/>
          <w:color w:val="auto"/>
          <w:spacing w:val="20"/>
          <w:highlight w:val="none"/>
        </w:rPr>
        <w:t xml:space="preserve">（1）针对本项目的人员配置表</w:t>
      </w:r>
      <w:r/>
    </w:p>
    <w:p>
      <w:pPr>
        <w:rPr>
          <w:rFonts w:ascii="宋体" w:hAnsi="宋体" w:cs="宋体"/>
          <w:color w:val="auto"/>
          <w:szCs w:val="21"/>
          <w:highlight w:val="none"/>
        </w:rPr>
      </w:pP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项目名称：</w:t>
      </w:r>
      <w:r/>
    </w:p>
    <w:tbl>
      <w:tblPr>
        <w:tblStyle w:val="866"/>
        <w:tblW w:w="9218"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3"/>
        <w:gridCol w:w="1119"/>
        <w:gridCol w:w="1005"/>
        <w:gridCol w:w="716"/>
        <w:gridCol w:w="760"/>
        <w:gridCol w:w="718"/>
        <w:gridCol w:w="1319"/>
        <w:gridCol w:w="1186"/>
        <w:gridCol w:w="1422"/>
      </w:tblGrid>
      <w:tr>
        <w:trPr>
          <w:trHeight w:val="803"/>
        </w:trPr>
        <w:tc>
          <w:tcPr>
            <w:tcW w:w="973" w:type="dxa"/>
            <w:textDirection w:val="lrTb"/>
            <w:noWrap w:val="false"/>
          </w:tcPr>
          <w:p>
            <w:pPr>
              <w:pStyle w:val="1189"/>
              <w:ind w:left="175" w:right="172"/>
              <w:jc w:val="center"/>
              <w:rPr>
                <w:rFonts w:hint="eastAsia"/>
                <w:color w:val="auto"/>
                <w:highlight w:val="none"/>
              </w:rPr>
            </w:pPr>
            <w:r>
              <w:rPr>
                <w:rFonts w:hint="eastAsia"/>
                <w:color w:val="auto"/>
                <w:highlight w:val="none"/>
              </w:rPr>
            </w:r>
            <w:r/>
          </w:p>
          <w:p>
            <w:pPr>
              <w:pStyle w:val="1189"/>
              <w:ind w:left="175" w:right="172"/>
              <w:jc w:val="center"/>
              <w:rPr>
                <w:color w:val="auto"/>
                <w:highlight w:val="none"/>
              </w:rPr>
            </w:pPr>
            <w:r>
              <w:rPr>
                <w:rFonts w:hint="eastAsia"/>
                <w:color w:val="auto"/>
                <w:highlight w:val="none"/>
              </w:rPr>
              <w:t xml:space="preserve">序号</w:t>
            </w:r>
            <w:r/>
          </w:p>
        </w:tc>
        <w:tc>
          <w:tcPr>
            <w:tcW w:w="1119" w:type="dxa"/>
            <w:textDirection w:val="lrTb"/>
            <w:noWrap w:val="false"/>
          </w:tcPr>
          <w:p>
            <w:pPr>
              <w:pStyle w:val="1189"/>
              <w:ind w:left="433" w:right="106" w:hanging="315"/>
              <w:spacing w:before="134" w:line="278" w:lineRule="auto"/>
              <w:rPr>
                <w:rFonts w:hint="eastAsia"/>
                <w:color w:val="auto"/>
                <w:highlight w:val="none"/>
              </w:rPr>
            </w:pPr>
            <w:r>
              <w:rPr>
                <w:rFonts w:hint="eastAsia"/>
                <w:color w:val="auto"/>
                <w:highlight w:val="none"/>
              </w:rPr>
              <w:t xml:space="preserve">项目组所</w:t>
            </w:r>
            <w:r/>
          </w:p>
          <w:p>
            <w:pPr>
              <w:pStyle w:val="1189"/>
              <w:ind w:left="433" w:right="106" w:hanging="315"/>
              <w:spacing w:before="134" w:line="278" w:lineRule="auto"/>
              <w:rPr>
                <w:color w:val="auto"/>
                <w:highlight w:val="none"/>
              </w:rPr>
            </w:pPr>
            <w:r>
              <w:rPr>
                <w:rFonts w:hint="eastAsia"/>
                <w:color w:val="auto"/>
                <w:highlight w:val="none"/>
              </w:rPr>
              <w:t xml:space="preserve">任职务</w:t>
            </w:r>
            <w:r/>
          </w:p>
        </w:tc>
        <w:tc>
          <w:tcPr>
            <w:tcW w:w="1005" w:type="dxa"/>
            <w:textDirection w:val="lrTb"/>
            <w:noWrap w:val="false"/>
          </w:tcPr>
          <w:p>
            <w:pPr>
              <w:pStyle w:val="1189"/>
              <w:spacing w:before="8"/>
              <w:rPr>
                <w:b/>
                <w:color w:val="auto"/>
                <w:highlight w:val="none"/>
              </w:rPr>
            </w:pPr>
            <w:r>
              <w:rPr>
                <w:b/>
                <w:color w:val="auto"/>
                <w:highlight w:val="none"/>
              </w:rPr>
            </w:r>
            <w:r/>
          </w:p>
          <w:p>
            <w:pPr>
              <w:pStyle w:val="1189"/>
              <w:ind w:left="366"/>
              <w:rPr>
                <w:color w:val="auto"/>
                <w:highlight w:val="none"/>
              </w:rPr>
            </w:pPr>
            <w:r>
              <w:rPr>
                <w:rFonts w:hint="eastAsia"/>
                <w:color w:val="auto"/>
                <w:highlight w:val="none"/>
              </w:rPr>
              <w:t xml:space="preserve">姓名</w:t>
            </w:r>
            <w:r/>
          </w:p>
        </w:tc>
        <w:tc>
          <w:tcPr>
            <w:tcW w:w="716" w:type="dxa"/>
            <w:textDirection w:val="lrTb"/>
            <w:noWrap w:val="false"/>
          </w:tcPr>
          <w:p>
            <w:pPr>
              <w:pStyle w:val="1189"/>
              <w:spacing w:before="8"/>
              <w:rPr>
                <w:b/>
                <w:color w:val="auto"/>
                <w:highlight w:val="none"/>
              </w:rPr>
            </w:pPr>
            <w:r>
              <w:rPr>
                <w:b/>
                <w:color w:val="auto"/>
                <w:highlight w:val="none"/>
              </w:rPr>
            </w:r>
            <w:r/>
          </w:p>
          <w:p>
            <w:pPr>
              <w:pStyle w:val="1189"/>
              <w:ind w:left="200"/>
              <w:rPr>
                <w:color w:val="auto"/>
                <w:highlight w:val="none"/>
              </w:rPr>
            </w:pPr>
            <w:r>
              <w:rPr>
                <w:rFonts w:hint="eastAsia"/>
                <w:color w:val="auto"/>
                <w:highlight w:val="none"/>
              </w:rPr>
              <w:t xml:space="preserve">性别</w:t>
            </w:r>
            <w:r/>
          </w:p>
        </w:tc>
        <w:tc>
          <w:tcPr>
            <w:tcW w:w="760" w:type="dxa"/>
            <w:textDirection w:val="lrTb"/>
            <w:noWrap w:val="false"/>
          </w:tcPr>
          <w:p>
            <w:pPr>
              <w:pStyle w:val="1189"/>
              <w:spacing w:before="8"/>
              <w:rPr>
                <w:b/>
                <w:color w:val="auto"/>
                <w:highlight w:val="none"/>
              </w:rPr>
            </w:pPr>
            <w:r>
              <w:rPr>
                <w:b/>
                <w:color w:val="auto"/>
                <w:highlight w:val="none"/>
              </w:rPr>
            </w:r>
            <w:r/>
          </w:p>
          <w:p>
            <w:pPr>
              <w:pStyle w:val="1189"/>
              <w:ind w:left="226"/>
              <w:rPr>
                <w:color w:val="auto"/>
                <w:highlight w:val="none"/>
              </w:rPr>
            </w:pPr>
            <w:r>
              <w:rPr>
                <w:rFonts w:hint="eastAsia"/>
                <w:color w:val="auto"/>
                <w:highlight w:val="none"/>
              </w:rPr>
              <w:t xml:space="preserve">年龄</w:t>
            </w:r>
            <w:r/>
          </w:p>
        </w:tc>
        <w:tc>
          <w:tcPr>
            <w:tcW w:w="718" w:type="dxa"/>
            <w:textDirection w:val="lrTb"/>
            <w:noWrap w:val="false"/>
          </w:tcPr>
          <w:p>
            <w:pPr>
              <w:pStyle w:val="1189"/>
              <w:spacing w:before="8"/>
              <w:rPr>
                <w:b/>
                <w:color w:val="auto"/>
                <w:highlight w:val="none"/>
              </w:rPr>
            </w:pPr>
            <w:r>
              <w:rPr>
                <w:b/>
                <w:color w:val="auto"/>
                <w:highlight w:val="none"/>
              </w:rPr>
            </w:r>
            <w:r/>
          </w:p>
          <w:p>
            <w:pPr>
              <w:pStyle w:val="1189"/>
              <w:ind w:left="200"/>
              <w:rPr>
                <w:color w:val="auto"/>
                <w:highlight w:val="none"/>
              </w:rPr>
            </w:pPr>
            <w:r>
              <w:rPr>
                <w:rFonts w:hint="eastAsia"/>
                <w:color w:val="auto"/>
                <w:highlight w:val="none"/>
              </w:rPr>
              <w:t xml:space="preserve">职称</w:t>
            </w:r>
            <w:r/>
          </w:p>
        </w:tc>
        <w:tc>
          <w:tcPr>
            <w:tcW w:w="1319" w:type="dxa"/>
            <w:textDirection w:val="lrTb"/>
            <w:noWrap w:val="false"/>
          </w:tcPr>
          <w:p>
            <w:pPr>
              <w:pStyle w:val="1189"/>
              <w:spacing w:before="8"/>
              <w:rPr>
                <w:b/>
                <w:color w:val="auto"/>
                <w:highlight w:val="none"/>
              </w:rPr>
            </w:pPr>
            <w:r>
              <w:rPr>
                <w:b/>
                <w:color w:val="auto"/>
                <w:highlight w:val="none"/>
              </w:rPr>
            </w:r>
            <w:r/>
          </w:p>
          <w:p>
            <w:pPr>
              <w:pStyle w:val="1189"/>
              <w:rPr>
                <w:color w:val="auto"/>
                <w:highlight w:val="none"/>
              </w:rPr>
            </w:pPr>
            <w:r>
              <w:rPr>
                <w:rFonts w:hint="eastAsia"/>
                <w:color w:val="auto"/>
                <w:highlight w:val="none"/>
              </w:rPr>
              <w:t xml:space="preserve">专业/资格</w:t>
            </w:r>
            <w:r/>
          </w:p>
        </w:tc>
        <w:tc>
          <w:tcPr>
            <w:tcW w:w="1186" w:type="dxa"/>
            <w:textDirection w:val="lrTb"/>
            <w:noWrap w:val="false"/>
          </w:tcPr>
          <w:p>
            <w:pPr>
              <w:pStyle w:val="1189"/>
              <w:ind w:left="469" w:right="146" w:hanging="315"/>
              <w:spacing w:before="134" w:line="278" w:lineRule="auto"/>
              <w:rPr>
                <w:rFonts w:hint="eastAsia"/>
                <w:color w:val="auto"/>
                <w:highlight w:val="none"/>
              </w:rPr>
            </w:pPr>
            <w:r>
              <w:rPr>
                <w:rFonts w:hint="eastAsia"/>
                <w:color w:val="auto"/>
                <w:highlight w:val="none"/>
              </w:rPr>
              <w:t xml:space="preserve">从事本工</w:t>
            </w:r>
            <w:r/>
          </w:p>
          <w:p>
            <w:pPr>
              <w:pStyle w:val="1189"/>
              <w:ind w:left="469" w:right="146" w:hanging="315"/>
              <w:spacing w:before="134" w:line="278" w:lineRule="auto"/>
              <w:rPr>
                <w:color w:val="auto"/>
                <w:highlight w:val="none"/>
              </w:rPr>
            </w:pPr>
            <w:r>
              <w:rPr>
                <w:rFonts w:hint="eastAsia"/>
                <w:color w:val="auto"/>
                <w:highlight w:val="none"/>
              </w:rPr>
              <w:t xml:space="preserve">作时间</w:t>
            </w:r>
            <w:r/>
          </w:p>
        </w:tc>
        <w:tc>
          <w:tcPr>
            <w:tcW w:w="1422" w:type="dxa"/>
            <w:textDirection w:val="lrTb"/>
            <w:noWrap w:val="false"/>
          </w:tcPr>
          <w:p>
            <w:pPr>
              <w:pStyle w:val="1189"/>
              <w:ind w:right="280"/>
              <w:spacing w:before="134" w:line="278" w:lineRule="auto"/>
              <w:rPr>
                <w:color w:val="auto"/>
                <w:highlight w:val="none"/>
              </w:rPr>
            </w:pPr>
            <w:r>
              <w:rPr>
                <w:rFonts w:hint="eastAsia"/>
                <w:color w:val="auto"/>
                <w:highlight w:val="none"/>
              </w:rPr>
              <w:t xml:space="preserve">典型业务与技术专长</w:t>
            </w:r>
            <w:r/>
          </w:p>
        </w:tc>
      </w:tr>
      <w:tr>
        <w:trPr>
          <w:trHeight w:val="539"/>
        </w:trPr>
        <w:tc>
          <w:tcPr>
            <w:tcW w:w="973" w:type="dxa"/>
            <w:textDirection w:val="lrTb"/>
            <w:noWrap w:val="false"/>
          </w:tcPr>
          <w:p>
            <w:pPr>
              <w:pStyle w:val="1189"/>
              <w:ind w:left="7"/>
              <w:jc w:val="center"/>
              <w:spacing w:before="163"/>
              <w:rPr>
                <w:color w:val="auto"/>
                <w:highlight w:val="none"/>
              </w:rPr>
            </w:pPr>
            <w:r>
              <w:rPr>
                <w:rFonts w:hint="eastAsia"/>
                <w:color w:val="auto"/>
                <w:highlight w:val="none"/>
              </w:rPr>
              <w:t xml:space="preserve">1</w:t>
            </w:r>
            <w:r/>
          </w:p>
        </w:tc>
        <w:tc>
          <w:tcPr>
            <w:tcW w:w="1119" w:type="dxa"/>
            <w:textDirection w:val="lrTb"/>
            <w:noWrap w:val="false"/>
          </w:tcPr>
          <w:p>
            <w:pPr>
              <w:pStyle w:val="1189"/>
              <w:rPr>
                <w:color w:val="auto"/>
                <w:sz w:val="20"/>
                <w:highlight w:val="none"/>
              </w:rPr>
            </w:pPr>
            <w:r>
              <w:rPr>
                <w:color w:val="auto"/>
                <w:sz w:val="20"/>
                <w:highlight w:val="none"/>
              </w:rPr>
            </w:r>
            <w:r/>
          </w:p>
        </w:tc>
        <w:tc>
          <w:tcPr>
            <w:tcW w:w="1005" w:type="dxa"/>
            <w:textDirection w:val="lrTb"/>
            <w:noWrap w:val="false"/>
          </w:tcPr>
          <w:p>
            <w:pPr>
              <w:pStyle w:val="1189"/>
              <w:rPr>
                <w:color w:val="auto"/>
                <w:sz w:val="20"/>
                <w:highlight w:val="none"/>
              </w:rPr>
            </w:pPr>
            <w:r>
              <w:rPr>
                <w:color w:val="auto"/>
                <w:sz w:val="20"/>
                <w:highlight w:val="none"/>
              </w:rPr>
            </w:r>
            <w:r/>
          </w:p>
        </w:tc>
        <w:tc>
          <w:tcPr>
            <w:tcW w:w="716" w:type="dxa"/>
            <w:textDirection w:val="lrTb"/>
            <w:noWrap w:val="false"/>
          </w:tcPr>
          <w:p>
            <w:pPr>
              <w:pStyle w:val="1189"/>
              <w:rPr>
                <w:color w:val="auto"/>
                <w:sz w:val="20"/>
                <w:highlight w:val="none"/>
              </w:rPr>
            </w:pPr>
            <w:r>
              <w:rPr>
                <w:color w:val="auto"/>
                <w:sz w:val="20"/>
                <w:highlight w:val="none"/>
              </w:rPr>
            </w:r>
            <w:r/>
          </w:p>
        </w:tc>
        <w:tc>
          <w:tcPr>
            <w:tcW w:w="760" w:type="dxa"/>
            <w:textDirection w:val="lrTb"/>
            <w:noWrap w:val="false"/>
          </w:tcPr>
          <w:p>
            <w:pPr>
              <w:pStyle w:val="1189"/>
              <w:rPr>
                <w:color w:val="auto"/>
                <w:sz w:val="20"/>
                <w:highlight w:val="none"/>
              </w:rPr>
            </w:pPr>
            <w:r>
              <w:rPr>
                <w:color w:val="auto"/>
                <w:sz w:val="20"/>
                <w:highlight w:val="none"/>
              </w:rPr>
            </w:r>
            <w:r/>
          </w:p>
        </w:tc>
        <w:tc>
          <w:tcPr>
            <w:tcW w:w="718" w:type="dxa"/>
            <w:textDirection w:val="lrTb"/>
            <w:noWrap w:val="false"/>
          </w:tcPr>
          <w:p>
            <w:pPr>
              <w:pStyle w:val="1189"/>
              <w:rPr>
                <w:color w:val="auto"/>
                <w:sz w:val="20"/>
                <w:highlight w:val="none"/>
              </w:rPr>
            </w:pPr>
            <w:r>
              <w:rPr>
                <w:color w:val="auto"/>
                <w:sz w:val="20"/>
                <w:highlight w:val="none"/>
              </w:rPr>
            </w:r>
            <w:r/>
          </w:p>
        </w:tc>
        <w:tc>
          <w:tcPr>
            <w:tcW w:w="1319" w:type="dxa"/>
            <w:textDirection w:val="lrTb"/>
            <w:noWrap w:val="false"/>
          </w:tcPr>
          <w:p>
            <w:pPr>
              <w:pStyle w:val="1189"/>
              <w:rPr>
                <w:color w:val="auto"/>
                <w:sz w:val="20"/>
                <w:highlight w:val="none"/>
              </w:rPr>
            </w:pPr>
            <w:r>
              <w:rPr>
                <w:color w:val="auto"/>
                <w:sz w:val="20"/>
                <w:highlight w:val="none"/>
              </w:rPr>
            </w:r>
            <w:r/>
          </w:p>
        </w:tc>
        <w:tc>
          <w:tcPr>
            <w:tcW w:w="1186" w:type="dxa"/>
            <w:textDirection w:val="lrTb"/>
            <w:noWrap w:val="false"/>
          </w:tcPr>
          <w:p>
            <w:pPr>
              <w:pStyle w:val="1189"/>
              <w:rPr>
                <w:color w:val="auto"/>
                <w:sz w:val="20"/>
                <w:highlight w:val="none"/>
              </w:rPr>
            </w:pPr>
            <w:r>
              <w:rPr>
                <w:color w:val="auto"/>
                <w:sz w:val="20"/>
                <w:highlight w:val="none"/>
              </w:rPr>
            </w:r>
            <w:r/>
          </w:p>
        </w:tc>
        <w:tc>
          <w:tcPr>
            <w:tcW w:w="1422" w:type="dxa"/>
            <w:textDirection w:val="lrTb"/>
            <w:noWrap w:val="false"/>
          </w:tcPr>
          <w:p>
            <w:pPr>
              <w:pStyle w:val="1189"/>
              <w:rPr>
                <w:color w:val="auto"/>
                <w:sz w:val="20"/>
                <w:highlight w:val="none"/>
              </w:rPr>
            </w:pPr>
            <w:r>
              <w:rPr>
                <w:color w:val="auto"/>
                <w:sz w:val="20"/>
                <w:highlight w:val="none"/>
              </w:rPr>
            </w:r>
            <w:r/>
          </w:p>
        </w:tc>
      </w:tr>
      <w:tr>
        <w:trPr>
          <w:trHeight w:val="539"/>
        </w:trPr>
        <w:tc>
          <w:tcPr>
            <w:tcW w:w="973" w:type="dxa"/>
            <w:textDirection w:val="lrTb"/>
            <w:noWrap w:val="false"/>
          </w:tcPr>
          <w:p>
            <w:pPr>
              <w:pStyle w:val="1189"/>
              <w:ind w:left="7"/>
              <w:jc w:val="center"/>
              <w:spacing w:before="162"/>
              <w:rPr>
                <w:color w:val="auto"/>
                <w:highlight w:val="none"/>
              </w:rPr>
            </w:pPr>
            <w:r>
              <w:rPr>
                <w:rFonts w:hint="eastAsia"/>
                <w:color w:val="auto"/>
                <w:highlight w:val="none"/>
              </w:rPr>
              <w:t xml:space="preserve">2</w:t>
            </w:r>
            <w:r/>
          </w:p>
        </w:tc>
        <w:tc>
          <w:tcPr>
            <w:tcW w:w="1119" w:type="dxa"/>
            <w:textDirection w:val="lrTb"/>
            <w:noWrap w:val="false"/>
          </w:tcPr>
          <w:p>
            <w:pPr>
              <w:pStyle w:val="1189"/>
              <w:rPr>
                <w:color w:val="auto"/>
                <w:sz w:val="20"/>
                <w:highlight w:val="none"/>
              </w:rPr>
            </w:pPr>
            <w:r>
              <w:rPr>
                <w:color w:val="auto"/>
                <w:sz w:val="20"/>
                <w:highlight w:val="none"/>
              </w:rPr>
            </w:r>
            <w:r/>
          </w:p>
        </w:tc>
        <w:tc>
          <w:tcPr>
            <w:tcW w:w="1005" w:type="dxa"/>
            <w:textDirection w:val="lrTb"/>
            <w:noWrap w:val="false"/>
          </w:tcPr>
          <w:p>
            <w:pPr>
              <w:pStyle w:val="1189"/>
              <w:rPr>
                <w:color w:val="auto"/>
                <w:sz w:val="20"/>
                <w:highlight w:val="none"/>
              </w:rPr>
            </w:pPr>
            <w:r>
              <w:rPr>
                <w:color w:val="auto"/>
                <w:sz w:val="20"/>
                <w:highlight w:val="none"/>
              </w:rPr>
            </w:r>
            <w:r/>
          </w:p>
        </w:tc>
        <w:tc>
          <w:tcPr>
            <w:tcW w:w="716" w:type="dxa"/>
            <w:textDirection w:val="lrTb"/>
            <w:noWrap w:val="false"/>
          </w:tcPr>
          <w:p>
            <w:pPr>
              <w:pStyle w:val="1189"/>
              <w:rPr>
                <w:color w:val="auto"/>
                <w:sz w:val="20"/>
                <w:highlight w:val="none"/>
              </w:rPr>
            </w:pPr>
            <w:r>
              <w:rPr>
                <w:color w:val="auto"/>
                <w:sz w:val="20"/>
                <w:highlight w:val="none"/>
              </w:rPr>
            </w:r>
            <w:r/>
          </w:p>
        </w:tc>
        <w:tc>
          <w:tcPr>
            <w:tcW w:w="760" w:type="dxa"/>
            <w:textDirection w:val="lrTb"/>
            <w:noWrap w:val="false"/>
          </w:tcPr>
          <w:p>
            <w:pPr>
              <w:pStyle w:val="1189"/>
              <w:rPr>
                <w:color w:val="auto"/>
                <w:sz w:val="20"/>
                <w:highlight w:val="none"/>
              </w:rPr>
            </w:pPr>
            <w:r>
              <w:rPr>
                <w:color w:val="auto"/>
                <w:sz w:val="20"/>
                <w:highlight w:val="none"/>
              </w:rPr>
            </w:r>
            <w:r/>
          </w:p>
        </w:tc>
        <w:tc>
          <w:tcPr>
            <w:tcW w:w="718" w:type="dxa"/>
            <w:textDirection w:val="lrTb"/>
            <w:noWrap w:val="false"/>
          </w:tcPr>
          <w:p>
            <w:pPr>
              <w:pStyle w:val="1189"/>
              <w:rPr>
                <w:color w:val="auto"/>
                <w:sz w:val="20"/>
                <w:highlight w:val="none"/>
              </w:rPr>
            </w:pPr>
            <w:r>
              <w:rPr>
                <w:color w:val="auto"/>
                <w:sz w:val="20"/>
                <w:highlight w:val="none"/>
              </w:rPr>
            </w:r>
            <w:r/>
          </w:p>
        </w:tc>
        <w:tc>
          <w:tcPr>
            <w:tcW w:w="1319" w:type="dxa"/>
            <w:textDirection w:val="lrTb"/>
            <w:noWrap w:val="false"/>
          </w:tcPr>
          <w:p>
            <w:pPr>
              <w:pStyle w:val="1189"/>
              <w:rPr>
                <w:color w:val="auto"/>
                <w:sz w:val="20"/>
                <w:highlight w:val="none"/>
              </w:rPr>
            </w:pPr>
            <w:r>
              <w:rPr>
                <w:color w:val="auto"/>
                <w:sz w:val="20"/>
                <w:highlight w:val="none"/>
              </w:rPr>
            </w:r>
            <w:r/>
          </w:p>
        </w:tc>
        <w:tc>
          <w:tcPr>
            <w:tcW w:w="1186" w:type="dxa"/>
            <w:textDirection w:val="lrTb"/>
            <w:noWrap w:val="false"/>
          </w:tcPr>
          <w:p>
            <w:pPr>
              <w:pStyle w:val="1189"/>
              <w:rPr>
                <w:color w:val="auto"/>
                <w:sz w:val="20"/>
                <w:highlight w:val="none"/>
              </w:rPr>
            </w:pPr>
            <w:r>
              <w:rPr>
                <w:color w:val="auto"/>
                <w:sz w:val="20"/>
                <w:highlight w:val="none"/>
              </w:rPr>
            </w:r>
            <w:r/>
          </w:p>
        </w:tc>
        <w:tc>
          <w:tcPr>
            <w:tcW w:w="1422" w:type="dxa"/>
            <w:textDirection w:val="lrTb"/>
            <w:noWrap w:val="false"/>
          </w:tcPr>
          <w:p>
            <w:pPr>
              <w:pStyle w:val="1189"/>
              <w:rPr>
                <w:color w:val="auto"/>
                <w:sz w:val="20"/>
                <w:highlight w:val="none"/>
              </w:rPr>
            </w:pPr>
            <w:r>
              <w:rPr>
                <w:color w:val="auto"/>
                <w:sz w:val="20"/>
                <w:highlight w:val="none"/>
              </w:rPr>
            </w:r>
            <w:r/>
          </w:p>
        </w:tc>
      </w:tr>
      <w:tr>
        <w:trPr>
          <w:trHeight w:val="539"/>
        </w:trPr>
        <w:tc>
          <w:tcPr>
            <w:tcW w:w="973" w:type="dxa"/>
            <w:textDirection w:val="lrTb"/>
            <w:noWrap w:val="false"/>
          </w:tcPr>
          <w:p>
            <w:pPr>
              <w:pStyle w:val="1189"/>
              <w:ind w:left="7"/>
              <w:jc w:val="center"/>
              <w:spacing w:before="161"/>
              <w:rPr>
                <w:color w:val="auto"/>
                <w:highlight w:val="none"/>
              </w:rPr>
            </w:pPr>
            <w:r>
              <w:rPr>
                <w:rFonts w:hint="eastAsia"/>
                <w:color w:val="auto"/>
                <w:highlight w:val="none"/>
              </w:rPr>
              <w:t xml:space="preserve">3</w:t>
            </w:r>
            <w:r/>
          </w:p>
        </w:tc>
        <w:tc>
          <w:tcPr>
            <w:tcW w:w="1119" w:type="dxa"/>
            <w:textDirection w:val="lrTb"/>
            <w:noWrap w:val="false"/>
          </w:tcPr>
          <w:p>
            <w:pPr>
              <w:pStyle w:val="1189"/>
              <w:rPr>
                <w:color w:val="auto"/>
                <w:sz w:val="20"/>
                <w:highlight w:val="none"/>
              </w:rPr>
            </w:pPr>
            <w:r>
              <w:rPr>
                <w:color w:val="auto"/>
                <w:sz w:val="20"/>
                <w:highlight w:val="none"/>
              </w:rPr>
            </w:r>
            <w:r/>
          </w:p>
        </w:tc>
        <w:tc>
          <w:tcPr>
            <w:tcW w:w="1005" w:type="dxa"/>
            <w:textDirection w:val="lrTb"/>
            <w:noWrap w:val="false"/>
          </w:tcPr>
          <w:p>
            <w:pPr>
              <w:pStyle w:val="1189"/>
              <w:rPr>
                <w:color w:val="auto"/>
                <w:sz w:val="20"/>
                <w:highlight w:val="none"/>
              </w:rPr>
            </w:pPr>
            <w:r>
              <w:rPr>
                <w:color w:val="auto"/>
                <w:sz w:val="20"/>
                <w:highlight w:val="none"/>
              </w:rPr>
            </w:r>
            <w:r/>
          </w:p>
        </w:tc>
        <w:tc>
          <w:tcPr>
            <w:tcW w:w="716" w:type="dxa"/>
            <w:textDirection w:val="lrTb"/>
            <w:noWrap w:val="false"/>
          </w:tcPr>
          <w:p>
            <w:pPr>
              <w:pStyle w:val="1189"/>
              <w:rPr>
                <w:color w:val="auto"/>
                <w:sz w:val="20"/>
                <w:highlight w:val="none"/>
              </w:rPr>
            </w:pPr>
            <w:r>
              <w:rPr>
                <w:color w:val="auto"/>
                <w:sz w:val="20"/>
                <w:highlight w:val="none"/>
              </w:rPr>
            </w:r>
            <w:r/>
          </w:p>
        </w:tc>
        <w:tc>
          <w:tcPr>
            <w:tcW w:w="760" w:type="dxa"/>
            <w:textDirection w:val="lrTb"/>
            <w:noWrap w:val="false"/>
          </w:tcPr>
          <w:p>
            <w:pPr>
              <w:pStyle w:val="1189"/>
              <w:rPr>
                <w:color w:val="auto"/>
                <w:sz w:val="20"/>
                <w:highlight w:val="none"/>
              </w:rPr>
            </w:pPr>
            <w:r>
              <w:rPr>
                <w:color w:val="auto"/>
                <w:sz w:val="20"/>
                <w:highlight w:val="none"/>
              </w:rPr>
            </w:r>
            <w:r/>
          </w:p>
        </w:tc>
        <w:tc>
          <w:tcPr>
            <w:tcW w:w="718" w:type="dxa"/>
            <w:textDirection w:val="lrTb"/>
            <w:noWrap w:val="false"/>
          </w:tcPr>
          <w:p>
            <w:pPr>
              <w:pStyle w:val="1189"/>
              <w:rPr>
                <w:color w:val="auto"/>
                <w:sz w:val="20"/>
                <w:highlight w:val="none"/>
              </w:rPr>
            </w:pPr>
            <w:r>
              <w:rPr>
                <w:color w:val="auto"/>
                <w:sz w:val="20"/>
                <w:highlight w:val="none"/>
              </w:rPr>
            </w:r>
            <w:r/>
          </w:p>
        </w:tc>
        <w:tc>
          <w:tcPr>
            <w:tcW w:w="1319" w:type="dxa"/>
            <w:textDirection w:val="lrTb"/>
            <w:noWrap w:val="false"/>
          </w:tcPr>
          <w:p>
            <w:pPr>
              <w:pStyle w:val="1189"/>
              <w:rPr>
                <w:color w:val="auto"/>
                <w:sz w:val="20"/>
                <w:highlight w:val="none"/>
              </w:rPr>
            </w:pPr>
            <w:r>
              <w:rPr>
                <w:color w:val="auto"/>
                <w:sz w:val="20"/>
                <w:highlight w:val="none"/>
              </w:rPr>
            </w:r>
            <w:r/>
          </w:p>
        </w:tc>
        <w:tc>
          <w:tcPr>
            <w:tcW w:w="1186" w:type="dxa"/>
            <w:textDirection w:val="lrTb"/>
            <w:noWrap w:val="false"/>
          </w:tcPr>
          <w:p>
            <w:pPr>
              <w:pStyle w:val="1189"/>
              <w:rPr>
                <w:color w:val="auto"/>
                <w:sz w:val="20"/>
                <w:highlight w:val="none"/>
              </w:rPr>
            </w:pPr>
            <w:r>
              <w:rPr>
                <w:color w:val="auto"/>
                <w:sz w:val="20"/>
                <w:highlight w:val="none"/>
              </w:rPr>
            </w:r>
            <w:r/>
          </w:p>
        </w:tc>
        <w:tc>
          <w:tcPr>
            <w:tcW w:w="1422" w:type="dxa"/>
            <w:textDirection w:val="lrTb"/>
            <w:noWrap w:val="false"/>
          </w:tcPr>
          <w:p>
            <w:pPr>
              <w:pStyle w:val="1189"/>
              <w:rPr>
                <w:color w:val="auto"/>
                <w:sz w:val="20"/>
                <w:highlight w:val="none"/>
              </w:rPr>
            </w:pPr>
            <w:r>
              <w:rPr>
                <w:color w:val="auto"/>
                <w:sz w:val="20"/>
                <w:highlight w:val="none"/>
              </w:rPr>
            </w:r>
            <w:r/>
          </w:p>
        </w:tc>
      </w:tr>
      <w:tr>
        <w:trPr>
          <w:trHeight w:val="538"/>
        </w:trPr>
        <w:tc>
          <w:tcPr>
            <w:tcW w:w="973" w:type="dxa"/>
            <w:textDirection w:val="lrTb"/>
            <w:noWrap w:val="false"/>
          </w:tcPr>
          <w:p>
            <w:pPr>
              <w:pStyle w:val="1189"/>
              <w:ind w:left="7"/>
              <w:jc w:val="center"/>
              <w:spacing w:before="162"/>
              <w:rPr>
                <w:color w:val="auto"/>
                <w:highlight w:val="none"/>
              </w:rPr>
            </w:pPr>
            <w:r>
              <w:rPr>
                <w:rFonts w:hint="eastAsia"/>
                <w:color w:val="auto"/>
                <w:highlight w:val="none"/>
              </w:rPr>
              <w:t xml:space="preserve">4</w:t>
            </w:r>
            <w:r/>
          </w:p>
        </w:tc>
        <w:tc>
          <w:tcPr>
            <w:tcW w:w="1119" w:type="dxa"/>
            <w:textDirection w:val="lrTb"/>
            <w:noWrap w:val="false"/>
          </w:tcPr>
          <w:p>
            <w:pPr>
              <w:pStyle w:val="1189"/>
              <w:rPr>
                <w:color w:val="auto"/>
                <w:sz w:val="20"/>
                <w:highlight w:val="none"/>
              </w:rPr>
            </w:pPr>
            <w:r>
              <w:rPr>
                <w:color w:val="auto"/>
                <w:sz w:val="20"/>
                <w:highlight w:val="none"/>
              </w:rPr>
            </w:r>
            <w:r/>
          </w:p>
        </w:tc>
        <w:tc>
          <w:tcPr>
            <w:tcW w:w="1005" w:type="dxa"/>
            <w:textDirection w:val="lrTb"/>
            <w:noWrap w:val="false"/>
          </w:tcPr>
          <w:p>
            <w:pPr>
              <w:pStyle w:val="1189"/>
              <w:rPr>
                <w:color w:val="auto"/>
                <w:sz w:val="20"/>
                <w:highlight w:val="none"/>
              </w:rPr>
            </w:pPr>
            <w:r>
              <w:rPr>
                <w:color w:val="auto"/>
                <w:sz w:val="20"/>
                <w:highlight w:val="none"/>
              </w:rPr>
            </w:r>
            <w:r/>
          </w:p>
        </w:tc>
        <w:tc>
          <w:tcPr>
            <w:tcW w:w="716" w:type="dxa"/>
            <w:textDirection w:val="lrTb"/>
            <w:noWrap w:val="false"/>
          </w:tcPr>
          <w:p>
            <w:pPr>
              <w:pStyle w:val="1189"/>
              <w:rPr>
                <w:color w:val="auto"/>
                <w:sz w:val="20"/>
                <w:highlight w:val="none"/>
              </w:rPr>
            </w:pPr>
            <w:r>
              <w:rPr>
                <w:color w:val="auto"/>
                <w:sz w:val="20"/>
                <w:highlight w:val="none"/>
              </w:rPr>
            </w:r>
            <w:r/>
          </w:p>
        </w:tc>
        <w:tc>
          <w:tcPr>
            <w:tcW w:w="760" w:type="dxa"/>
            <w:textDirection w:val="lrTb"/>
            <w:noWrap w:val="false"/>
          </w:tcPr>
          <w:p>
            <w:pPr>
              <w:pStyle w:val="1189"/>
              <w:rPr>
                <w:color w:val="auto"/>
                <w:sz w:val="20"/>
                <w:highlight w:val="none"/>
              </w:rPr>
            </w:pPr>
            <w:r>
              <w:rPr>
                <w:color w:val="auto"/>
                <w:sz w:val="20"/>
                <w:highlight w:val="none"/>
              </w:rPr>
            </w:r>
            <w:r/>
          </w:p>
        </w:tc>
        <w:tc>
          <w:tcPr>
            <w:tcW w:w="718" w:type="dxa"/>
            <w:textDirection w:val="lrTb"/>
            <w:noWrap w:val="false"/>
          </w:tcPr>
          <w:p>
            <w:pPr>
              <w:pStyle w:val="1189"/>
              <w:rPr>
                <w:color w:val="auto"/>
                <w:sz w:val="20"/>
                <w:highlight w:val="none"/>
              </w:rPr>
            </w:pPr>
            <w:r>
              <w:rPr>
                <w:color w:val="auto"/>
                <w:sz w:val="20"/>
                <w:highlight w:val="none"/>
              </w:rPr>
            </w:r>
            <w:r/>
          </w:p>
        </w:tc>
        <w:tc>
          <w:tcPr>
            <w:tcW w:w="1319" w:type="dxa"/>
            <w:textDirection w:val="lrTb"/>
            <w:noWrap w:val="false"/>
          </w:tcPr>
          <w:p>
            <w:pPr>
              <w:pStyle w:val="1189"/>
              <w:rPr>
                <w:color w:val="auto"/>
                <w:sz w:val="20"/>
                <w:highlight w:val="none"/>
              </w:rPr>
            </w:pPr>
            <w:r>
              <w:rPr>
                <w:color w:val="auto"/>
                <w:sz w:val="20"/>
                <w:highlight w:val="none"/>
              </w:rPr>
            </w:r>
            <w:r/>
          </w:p>
        </w:tc>
        <w:tc>
          <w:tcPr>
            <w:tcW w:w="1186" w:type="dxa"/>
            <w:textDirection w:val="lrTb"/>
            <w:noWrap w:val="false"/>
          </w:tcPr>
          <w:p>
            <w:pPr>
              <w:pStyle w:val="1189"/>
              <w:rPr>
                <w:color w:val="auto"/>
                <w:sz w:val="20"/>
                <w:highlight w:val="none"/>
              </w:rPr>
            </w:pPr>
            <w:r>
              <w:rPr>
                <w:color w:val="auto"/>
                <w:sz w:val="20"/>
                <w:highlight w:val="none"/>
              </w:rPr>
            </w:r>
            <w:r/>
          </w:p>
        </w:tc>
        <w:tc>
          <w:tcPr>
            <w:tcW w:w="1422" w:type="dxa"/>
            <w:textDirection w:val="lrTb"/>
            <w:noWrap w:val="false"/>
          </w:tcPr>
          <w:p>
            <w:pPr>
              <w:pStyle w:val="1189"/>
              <w:rPr>
                <w:color w:val="auto"/>
                <w:sz w:val="20"/>
                <w:highlight w:val="none"/>
              </w:rPr>
            </w:pPr>
            <w:r>
              <w:rPr>
                <w:color w:val="auto"/>
                <w:sz w:val="20"/>
                <w:highlight w:val="none"/>
              </w:rPr>
            </w:r>
            <w:r/>
          </w:p>
        </w:tc>
      </w:tr>
      <w:tr>
        <w:trPr>
          <w:trHeight w:val="539"/>
        </w:trPr>
        <w:tc>
          <w:tcPr>
            <w:tcW w:w="973" w:type="dxa"/>
            <w:textDirection w:val="lrTb"/>
            <w:noWrap w:val="false"/>
          </w:tcPr>
          <w:p>
            <w:pPr>
              <w:pStyle w:val="1189"/>
              <w:ind w:left="7"/>
              <w:jc w:val="center"/>
              <w:spacing w:before="161"/>
              <w:rPr>
                <w:color w:val="auto"/>
                <w:highlight w:val="none"/>
              </w:rPr>
            </w:pPr>
            <w:r>
              <w:rPr>
                <w:rFonts w:hint="eastAsia"/>
                <w:color w:val="auto"/>
                <w:highlight w:val="none"/>
              </w:rPr>
              <w:t xml:space="preserve">5</w:t>
            </w:r>
            <w:r/>
          </w:p>
        </w:tc>
        <w:tc>
          <w:tcPr>
            <w:tcW w:w="1119" w:type="dxa"/>
            <w:textDirection w:val="lrTb"/>
            <w:noWrap w:val="false"/>
          </w:tcPr>
          <w:p>
            <w:pPr>
              <w:pStyle w:val="1189"/>
              <w:rPr>
                <w:color w:val="auto"/>
                <w:sz w:val="20"/>
                <w:highlight w:val="none"/>
              </w:rPr>
            </w:pPr>
            <w:r>
              <w:rPr>
                <w:color w:val="auto"/>
                <w:sz w:val="20"/>
                <w:highlight w:val="none"/>
              </w:rPr>
            </w:r>
            <w:r/>
          </w:p>
        </w:tc>
        <w:tc>
          <w:tcPr>
            <w:tcW w:w="1005" w:type="dxa"/>
            <w:textDirection w:val="lrTb"/>
            <w:noWrap w:val="false"/>
          </w:tcPr>
          <w:p>
            <w:pPr>
              <w:pStyle w:val="1189"/>
              <w:rPr>
                <w:color w:val="auto"/>
                <w:sz w:val="20"/>
                <w:highlight w:val="none"/>
              </w:rPr>
            </w:pPr>
            <w:r>
              <w:rPr>
                <w:color w:val="auto"/>
                <w:sz w:val="20"/>
                <w:highlight w:val="none"/>
              </w:rPr>
            </w:r>
            <w:r/>
          </w:p>
        </w:tc>
        <w:tc>
          <w:tcPr>
            <w:tcW w:w="716" w:type="dxa"/>
            <w:textDirection w:val="lrTb"/>
            <w:noWrap w:val="false"/>
          </w:tcPr>
          <w:p>
            <w:pPr>
              <w:pStyle w:val="1189"/>
              <w:rPr>
                <w:color w:val="auto"/>
                <w:sz w:val="20"/>
                <w:highlight w:val="none"/>
              </w:rPr>
            </w:pPr>
            <w:r>
              <w:rPr>
                <w:color w:val="auto"/>
                <w:sz w:val="20"/>
                <w:highlight w:val="none"/>
              </w:rPr>
            </w:r>
            <w:r/>
          </w:p>
        </w:tc>
        <w:tc>
          <w:tcPr>
            <w:tcW w:w="760" w:type="dxa"/>
            <w:textDirection w:val="lrTb"/>
            <w:noWrap w:val="false"/>
          </w:tcPr>
          <w:p>
            <w:pPr>
              <w:pStyle w:val="1189"/>
              <w:rPr>
                <w:color w:val="auto"/>
                <w:sz w:val="20"/>
                <w:highlight w:val="none"/>
              </w:rPr>
            </w:pPr>
            <w:r>
              <w:rPr>
                <w:color w:val="auto"/>
                <w:sz w:val="20"/>
                <w:highlight w:val="none"/>
              </w:rPr>
            </w:r>
            <w:r/>
          </w:p>
        </w:tc>
        <w:tc>
          <w:tcPr>
            <w:tcW w:w="718" w:type="dxa"/>
            <w:textDirection w:val="lrTb"/>
            <w:noWrap w:val="false"/>
          </w:tcPr>
          <w:p>
            <w:pPr>
              <w:pStyle w:val="1189"/>
              <w:rPr>
                <w:color w:val="auto"/>
                <w:sz w:val="20"/>
                <w:highlight w:val="none"/>
              </w:rPr>
            </w:pPr>
            <w:r>
              <w:rPr>
                <w:color w:val="auto"/>
                <w:sz w:val="20"/>
                <w:highlight w:val="none"/>
              </w:rPr>
            </w:r>
            <w:r/>
          </w:p>
        </w:tc>
        <w:tc>
          <w:tcPr>
            <w:tcW w:w="1319" w:type="dxa"/>
            <w:textDirection w:val="lrTb"/>
            <w:noWrap w:val="false"/>
          </w:tcPr>
          <w:p>
            <w:pPr>
              <w:pStyle w:val="1189"/>
              <w:rPr>
                <w:color w:val="auto"/>
                <w:sz w:val="20"/>
                <w:highlight w:val="none"/>
              </w:rPr>
            </w:pPr>
            <w:r>
              <w:rPr>
                <w:color w:val="auto"/>
                <w:sz w:val="20"/>
                <w:highlight w:val="none"/>
              </w:rPr>
            </w:r>
            <w:r/>
          </w:p>
        </w:tc>
        <w:tc>
          <w:tcPr>
            <w:tcW w:w="1186" w:type="dxa"/>
            <w:textDirection w:val="lrTb"/>
            <w:noWrap w:val="false"/>
          </w:tcPr>
          <w:p>
            <w:pPr>
              <w:pStyle w:val="1189"/>
              <w:rPr>
                <w:color w:val="auto"/>
                <w:sz w:val="20"/>
                <w:highlight w:val="none"/>
              </w:rPr>
            </w:pPr>
            <w:r>
              <w:rPr>
                <w:color w:val="auto"/>
                <w:sz w:val="20"/>
                <w:highlight w:val="none"/>
              </w:rPr>
            </w:r>
            <w:r/>
          </w:p>
        </w:tc>
        <w:tc>
          <w:tcPr>
            <w:tcW w:w="1422" w:type="dxa"/>
            <w:textDirection w:val="lrTb"/>
            <w:noWrap w:val="false"/>
          </w:tcPr>
          <w:p>
            <w:pPr>
              <w:pStyle w:val="1189"/>
              <w:rPr>
                <w:color w:val="auto"/>
                <w:sz w:val="20"/>
                <w:highlight w:val="none"/>
              </w:rPr>
            </w:pPr>
            <w:r>
              <w:rPr>
                <w:color w:val="auto"/>
                <w:sz w:val="20"/>
                <w:highlight w:val="none"/>
              </w:rPr>
            </w:r>
            <w:r/>
          </w:p>
        </w:tc>
      </w:tr>
      <w:tr>
        <w:trPr>
          <w:trHeight w:val="538"/>
        </w:trPr>
        <w:tc>
          <w:tcPr>
            <w:tcW w:w="973" w:type="dxa"/>
            <w:textDirection w:val="lrTb"/>
            <w:noWrap w:val="false"/>
          </w:tcPr>
          <w:p>
            <w:pPr>
              <w:pStyle w:val="1189"/>
              <w:ind w:left="7"/>
              <w:jc w:val="center"/>
              <w:spacing w:before="162"/>
              <w:rPr>
                <w:color w:val="auto"/>
                <w:highlight w:val="none"/>
              </w:rPr>
            </w:pPr>
            <w:r>
              <w:rPr>
                <w:rFonts w:hint="eastAsia"/>
                <w:color w:val="auto"/>
                <w:highlight w:val="none"/>
              </w:rPr>
              <w:t xml:space="preserve">6</w:t>
            </w:r>
            <w:r/>
          </w:p>
        </w:tc>
        <w:tc>
          <w:tcPr>
            <w:tcW w:w="1119" w:type="dxa"/>
            <w:textDirection w:val="lrTb"/>
            <w:noWrap w:val="false"/>
          </w:tcPr>
          <w:p>
            <w:pPr>
              <w:pStyle w:val="1189"/>
              <w:rPr>
                <w:color w:val="auto"/>
                <w:sz w:val="20"/>
                <w:highlight w:val="none"/>
              </w:rPr>
            </w:pPr>
            <w:r>
              <w:rPr>
                <w:color w:val="auto"/>
                <w:sz w:val="20"/>
                <w:highlight w:val="none"/>
              </w:rPr>
            </w:r>
            <w:r/>
          </w:p>
        </w:tc>
        <w:tc>
          <w:tcPr>
            <w:tcW w:w="1005" w:type="dxa"/>
            <w:textDirection w:val="lrTb"/>
            <w:noWrap w:val="false"/>
          </w:tcPr>
          <w:p>
            <w:pPr>
              <w:pStyle w:val="1189"/>
              <w:rPr>
                <w:color w:val="auto"/>
                <w:sz w:val="20"/>
                <w:highlight w:val="none"/>
              </w:rPr>
            </w:pPr>
            <w:r>
              <w:rPr>
                <w:color w:val="auto"/>
                <w:sz w:val="20"/>
                <w:highlight w:val="none"/>
              </w:rPr>
            </w:r>
            <w:r/>
          </w:p>
        </w:tc>
        <w:tc>
          <w:tcPr>
            <w:tcW w:w="716" w:type="dxa"/>
            <w:textDirection w:val="lrTb"/>
            <w:noWrap w:val="false"/>
          </w:tcPr>
          <w:p>
            <w:pPr>
              <w:pStyle w:val="1189"/>
              <w:rPr>
                <w:color w:val="auto"/>
                <w:sz w:val="20"/>
                <w:highlight w:val="none"/>
              </w:rPr>
            </w:pPr>
            <w:r>
              <w:rPr>
                <w:color w:val="auto"/>
                <w:sz w:val="20"/>
                <w:highlight w:val="none"/>
              </w:rPr>
            </w:r>
            <w:r/>
          </w:p>
        </w:tc>
        <w:tc>
          <w:tcPr>
            <w:tcW w:w="760" w:type="dxa"/>
            <w:textDirection w:val="lrTb"/>
            <w:noWrap w:val="false"/>
          </w:tcPr>
          <w:p>
            <w:pPr>
              <w:pStyle w:val="1189"/>
              <w:rPr>
                <w:color w:val="auto"/>
                <w:sz w:val="20"/>
                <w:highlight w:val="none"/>
              </w:rPr>
            </w:pPr>
            <w:r>
              <w:rPr>
                <w:color w:val="auto"/>
                <w:sz w:val="20"/>
                <w:highlight w:val="none"/>
              </w:rPr>
            </w:r>
            <w:r/>
          </w:p>
        </w:tc>
        <w:tc>
          <w:tcPr>
            <w:tcW w:w="718" w:type="dxa"/>
            <w:textDirection w:val="lrTb"/>
            <w:noWrap w:val="false"/>
          </w:tcPr>
          <w:p>
            <w:pPr>
              <w:pStyle w:val="1189"/>
              <w:rPr>
                <w:color w:val="auto"/>
                <w:sz w:val="20"/>
                <w:highlight w:val="none"/>
              </w:rPr>
            </w:pPr>
            <w:r>
              <w:rPr>
                <w:color w:val="auto"/>
                <w:sz w:val="20"/>
                <w:highlight w:val="none"/>
              </w:rPr>
            </w:r>
            <w:r/>
          </w:p>
        </w:tc>
        <w:tc>
          <w:tcPr>
            <w:tcW w:w="1319" w:type="dxa"/>
            <w:textDirection w:val="lrTb"/>
            <w:noWrap w:val="false"/>
          </w:tcPr>
          <w:p>
            <w:pPr>
              <w:pStyle w:val="1189"/>
              <w:rPr>
                <w:color w:val="auto"/>
                <w:sz w:val="20"/>
                <w:highlight w:val="none"/>
              </w:rPr>
            </w:pPr>
            <w:r>
              <w:rPr>
                <w:color w:val="auto"/>
                <w:sz w:val="20"/>
                <w:highlight w:val="none"/>
              </w:rPr>
            </w:r>
            <w:r/>
          </w:p>
        </w:tc>
        <w:tc>
          <w:tcPr>
            <w:tcW w:w="1186" w:type="dxa"/>
            <w:textDirection w:val="lrTb"/>
            <w:noWrap w:val="false"/>
          </w:tcPr>
          <w:p>
            <w:pPr>
              <w:pStyle w:val="1189"/>
              <w:rPr>
                <w:color w:val="auto"/>
                <w:sz w:val="20"/>
                <w:highlight w:val="none"/>
              </w:rPr>
            </w:pPr>
            <w:r>
              <w:rPr>
                <w:color w:val="auto"/>
                <w:sz w:val="20"/>
                <w:highlight w:val="none"/>
              </w:rPr>
            </w:r>
            <w:r/>
          </w:p>
        </w:tc>
        <w:tc>
          <w:tcPr>
            <w:tcW w:w="1422" w:type="dxa"/>
            <w:textDirection w:val="lrTb"/>
            <w:noWrap w:val="false"/>
          </w:tcPr>
          <w:p>
            <w:pPr>
              <w:pStyle w:val="1189"/>
              <w:rPr>
                <w:color w:val="auto"/>
                <w:sz w:val="20"/>
                <w:highlight w:val="none"/>
              </w:rPr>
            </w:pPr>
            <w:r>
              <w:rPr>
                <w:color w:val="auto"/>
                <w:sz w:val="20"/>
                <w:highlight w:val="none"/>
              </w:rPr>
            </w:r>
            <w:r/>
          </w:p>
        </w:tc>
      </w:tr>
      <w:tr>
        <w:trPr>
          <w:trHeight w:val="548"/>
        </w:trPr>
        <w:tc>
          <w:tcPr>
            <w:tcW w:w="973" w:type="dxa"/>
            <w:textDirection w:val="lrTb"/>
            <w:noWrap w:val="false"/>
          </w:tcPr>
          <w:p>
            <w:pPr>
              <w:pStyle w:val="1189"/>
              <w:ind w:left="6"/>
              <w:jc w:val="center"/>
              <w:spacing w:before="161"/>
              <w:rPr>
                <w:color w:val="auto"/>
                <w:highlight w:val="none"/>
              </w:rPr>
            </w:pPr>
            <w:r>
              <w:rPr>
                <w:rFonts w:hint="eastAsia"/>
                <w:color w:val="auto"/>
                <w:highlight w:val="none"/>
              </w:rPr>
              <w:t xml:space="preserve">…</w:t>
            </w:r>
            <w:r/>
          </w:p>
        </w:tc>
        <w:tc>
          <w:tcPr>
            <w:tcW w:w="1119" w:type="dxa"/>
            <w:textDirection w:val="lrTb"/>
            <w:noWrap w:val="false"/>
          </w:tcPr>
          <w:p>
            <w:pPr>
              <w:pStyle w:val="1189"/>
              <w:rPr>
                <w:color w:val="auto"/>
                <w:sz w:val="20"/>
                <w:highlight w:val="none"/>
              </w:rPr>
            </w:pPr>
            <w:r>
              <w:rPr>
                <w:color w:val="auto"/>
                <w:sz w:val="20"/>
                <w:highlight w:val="none"/>
              </w:rPr>
            </w:r>
            <w:r/>
          </w:p>
        </w:tc>
        <w:tc>
          <w:tcPr>
            <w:tcW w:w="1005" w:type="dxa"/>
            <w:textDirection w:val="lrTb"/>
            <w:noWrap w:val="false"/>
          </w:tcPr>
          <w:p>
            <w:pPr>
              <w:pStyle w:val="1189"/>
              <w:rPr>
                <w:color w:val="auto"/>
                <w:sz w:val="20"/>
                <w:highlight w:val="none"/>
              </w:rPr>
            </w:pPr>
            <w:r>
              <w:rPr>
                <w:color w:val="auto"/>
                <w:sz w:val="20"/>
                <w:highlight w:val="none"/>
              </w:rPr>
            </w:r>
            <w:r/>
          </w:p>
        </w:tc>
        <w:tc>
          <w:tcPr>
            <w:tcW w:w="716" w:type="dxa"/>
            <w:textDirection w:val="lrTb"/>
            <w:noWrap w:val="false"/>
          </w:tcPr>
          <w:p>
            <w:pPr>
              <w:pStyle w:val="1189"/>
              <w:rPr>
                <w:color w:val="auto"/>
                <w:sz w:val="20"/>
                <w:highlight w:val="none"/>
              </w:rPr>
            </w:pPr>
            <w:r>
              <w:rPr>
                <w:color w:val="auto"/>
                <w:sz w:val="20"/>
                <w:highlight w:val="none"/>
              </w:rPr>
            </w:r>
            <w:r/>
          </w:p>
        </w:tc>
        <w:tc>
          <w:tcPr>
            <w:tcW w:w="760" w:type="dxa"/>
            <w:textDirection w:val="lrTb"/>
            <w:noWrap w:val="false"/>
          </w:tcPr>
          <w:p>
            <w:pPr>
              <w:pStyle w:val="1189"/>
              <w:rPr>
                <w:color w:val="auto"/>
                <w:sz w:val="20"/>
                <w:highlight w:val="none"/>
              </w:rPr>
            </w:pPr>
            <w:r>
              <w:rPr>
                <w:color w:val="auto"/>
                <w:sz w:val="20"/>
                <w:highlight w:val="none"/>
              </w:rPr>
            </w:r>
            <w:r/>
          </w:p>
        </w:tc>
        <w:tc>
          <w:tcPr>
            <w:tcW w:w="718" w:type="dxa"/>
            <w:textDirection w:val="lrTb"/>
            <w:noWrap w:val="false"/>
          </w:tcPr>
          <w:p>
            <w:pPr>
              <w:pStyle w:val="1189"/>
              <w:rPr>
                <w:color w:val="auto"/>
                <w:sz w:val="20"/>
                <w:highlight w:val="none"/>
              </w:rPr>
            </w:pPr>
            <w:r>
              <w:rPr>
                <w:color w:val="auto"/>
                <w:sz w:val="20"/>
                <w:highlight w:val="none"/>
              </w:rPr>
            </w:r>
            <w:r/>
          </w:p>
        </w:tc>
        <w:tc>
          <w:tcPr>
            <w:tcW w:w="1319" w:type="dxa"/>
            <w:textDirection w:val="lrTb"/>
            <w:noWrap w:val="false"/>
          </w:tcPr>
          <w:p>
            <w:pPr>
              <w:pStyle w:val="1189"/>
              <w:rPr>
                <w:color w:val="auto"/>
                <w:sz w:val="20"/>
                <w:highlight w:val="none"/>
              </w:rPr>
            </w:pPr>
            <w:r>
              <w:rPr>
                <w:color w:val="auto"/>
                <w:sz w:val="20"/>
                <w:highlight w:val="none"/>
              </w:rPr>
            </w:r>
            <w:r/>
          </w:p>
        </w:tc>
        <w:tc>
          <w:tcPr>
            <w:tcW w:w="1186" w:type="dxa"/>
            <w:textDirection w:val="lrTb"/>
            <w:noWrap w:val="false"/>
          </w:tcPr>
          <w:p>
            <w:pPr>
              <w:pStyle w:val="1189"/>
              <w:rPr>
                <w:color w:val="auto"/>
                <w:sz w:val="20"/>
                <w:highlight w:val="none"/>
              </w:rPr>
            </w:pPr>
            <w:r>
              <w:rPr>
                <w:color w:val="auto"/>
                <w:sz w:val="20"/>
                <w:highlight w:val="none"/>
              </w:rPr>
            </w:r>
            <w:r/>
          </w:p>
        </w:tc>
        <w:tc>
          <w:tcPr>
            <w:tcW w:w="1422" w:type="dxa"/>
            <w:textDirection w:val="lrTb"/>
            <w:noWrap w:val="false"/>
          </w:tcPr>
          <w:p>
            <w:pPr>
              <w:pStyle w:val="1189"/>
              <w:rPr>
                <w:color w:val="auto"/>
                <w:sz w:val="20"/>
                <w:highlight w:val="none"/>
              </w:rPr>
            </w:pPr>
            <w:r>
              <w:rPr>
                <w:color w:val="auto"/>
                <w:sz w:val="20"/>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注：采购单位可参照上述格式自行设计表格投标。</w:t>
      </w:r>
      <w:r/>
    </w:p>
    <w:p>
      <w:pPr>
        <w:rPr>
          <w:rFonts w:ascii="宋体" w:hAnsi="宋体" w:cs="宋体"/>
          <w:color w:val="auto"/>
          <w:highlight w:val="none"/>
        </w:rPr>
      </w:pPr>
      <w:r>
        <w:rPr>
          <w:rFonts w:hint="eastAsia" w:ascii="宋体" w:hAnsi="宋体" w:cs="宋体"/>
          <w:color w:val="auto"/>
          <w:highlight w:val="none"/>
        </w:rPr>
        <w:t xml:space="preserve">磋商响应单位（盖章）：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日期：</w:t>
      </w:r>
      <w:r/>
    </w:p>
    <w:p>
      <w:pPr>
        <w:spacing w:line="500" w:lineRule="exact"/>
        <w:rPr>
          <w:rFonts w:ascii="宋体" w:hAnsi="宋体" w:cs="宋体"/>
          <w:b/>
          <w:bCs/>
          <w:color w:val="auto"/>
          <w:szCs w:val="21"/>
          <w:highlight w:val="none"/>
        </w:rPr>
      </w:pPr>
      <w:r>
        <w:rPr>
          <w:rFonts w:ascii="宋体" w:hAnsi="宋体" w:cs="宋体"/>
          <w:b/>
          <w:bCs/>
          <w:color w:val="auto"/>
          <w:szCs w:val="21"/>
          <w:highlight w:val="none"/>
        </w:rPr>
      </w:r>
      <w:r/>
    </w:p>
    <w:p>
      <w:pPr>
        <w:spacing w:line="5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ind w:left="1254" w:right="1244"/>
        <w:jc w:val="center"/>
        <w:spacing w:before="81"/>
        <w:rPr>
          <w:rFonts w:ascii="宋体" w:hAnsi="宋体" w:cs="宋体"/>
          <w:b/>
          <w:color w:val="auto"/>
          <w:sz w:val="24"/>
          <w:highlight w:val="none"/>
        </w:rPr>
      </w:pPr>
      <w:r>
        <w:rPr>
          <w:rFonts w:hint="eastAsia" w:ascii="宋体" w:hAnsi="宋体" w:cs="宋体"/>
          <w:b/>
          <w:color w:val="auto"/>
          <w:highlight w:val="none"/>
        </w:rPr>
        <w:t xml:space="preserve">（2）</w:t>
      </w:r>
      <w:r>
        <w:rPr>
          <w:rFonts w:hint="eastAsia" w:ascii="宋体" w:hAnsi="宋体" w:cs="宋体"/>
          <w:b/>
          <w:color w:val="auto"/>
          <w:sz w:val="24"/>
          <w:highlight w:val="none"/>
        </w:rPr>
        <w:t xml:space="preserve">项目负责人情况一览表</w:t>
      </w:r>
      <w:r/>
    </w:p>
    <w:p>
      <w:pPr>
        <w:pStyle w:val="876"/>
        <w:rPr>
          <w:rFonts w:ascii="宋体" w:hAnsi="宋体" w:cs="宋体"/>
          <w:b/>
          <w:color w:val="auto"/>
          <w:sz w:val="20"/>
          <w:highlight w:val="none"/>
        </w:rPr>
      </w:pPr>
      <w:r>
        <w:rPr>
          <w:rFonts w:ascii="宋体" w:hAnsi="宋体" w:cs="宋体"/>
          <w:b/>
          <w:color w:val="auto"/>
          <w:sz w:val="20"/>
          <w:highlight w:val="none"/>
        </w:rPr>
      </w:r>
      <w:r/>
    </w:p>
    <w:tbl>
      <w:tblPr>
        <w:tblStyle w:val="866"/>
        <w:tblpPr w:horzAnchor="page" w:tblpX="1536" w:vertAnchor="text" w:tblpY="345"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851"/>
        <w:gridCol w:w="1329"/>
        <w:gridCol w:w="1065"/>
        <w:gridCol w:w="1083"/>
        <w:gridCol w:w="1254"/>
        <w:gridCol w:w="1818"/>
      </w:tblGrid>
      <w:tr>
        <w:trPr>
          <w:trHeight w:val="594"/>
        </w:trPr>
        <w:tc>
          <w:tcPr>
            <w:tcW w:w="628" w:type="dxa"/>
            <w:textDirection w:val="lrTb"/>
            <w:noWrap w:val="false"/>
          </w:tcPr>
          <w:p>
            <w:pPr>
              <w:pStyle w:val="1189"/>
              <w:ind w:left="261"/>
              <w:spacing w:before="161"/>
              <w:rPr>
                <w:color w:val="auto"/>
                <w:highlight w:val="none"/>
              </w:rPr>
            </w:pPr>
            <w:r>
              <w:rPr>
                <w:rFonts w:hint="eastAsia"/>
                <w:color w:val="auto"/>
                <w:highlight w:val="none"/>
              </w:rPr>
              <w:t xml:space="preserve">1</w:t>
            </w:r>
            <w:r/>
          </w:p>
        </w:tc>
        <w:tc>
          <w:tcPr>
            <w:tcW w:w="1851" w:type="dxa"/>
            <w:textDirection w:val="lrTb"/>
            <w:noWrap w:val="false"/>
          </w:tcPr>
          <w:p>
            <w:pPr>
              <w:pStyle w:val="1189"/>
              <w:ind w:left="11"/>
              <w:jc w:val="center"/>
              <w:spacing w:before="161"/>
              <w:tabs>
                <w:tab w:val="left" w:pos="851" w:leader="none"/>
              </w:tabs>
              <w:rPr>
                <w:color w:val="auto"/>
                <w:highlight w:val="none"/>
              </w:rPr>
            </w:pPr>
            <w:r>
              <w:rPr>
                <w:rFonts w:hint="eastAsia"/>
                <w:color w:val="auto"/>
                <w:highlight w:val="none"/>
              </w:rPr>
              <w:t xml:space="preserve">姓</w:t>
            </w:r>
            <w:r>
              <w:rPr>
                <w:rFonts w:hint="eastAsia"/>
                <w:color w:val="auto"/>
                <w:highlight w:val="none"/>
              </w:rPr>
              <w:tab/>
            </w:r>
            <w:r>
              <w:rPr>
                <w:rFonts w:hint="eastAsia"/>
                <w:color w:val="auto"/>
                <w:highlight w:val="none"/>
              </w:rPr>
              <w:t xml:space="preserve">名</w:t>
            </w:r>
            <w:r/>
          </w:p>
        </w:tc>
        <w:tc>
          <w:tcPr>
            <w:gridSpan w:val="2"/>
            <w:tcW w:w="2394" w:type="dxa"/>
            <w:textDirection w:val="lrTb"/>
            <w:noWrap w:val="false"/>
          </w:tcPr>
          <w:p>
            <w:pPr>
              <w:pStyle w:val="1189"/>
              <w:rPr>
                <w:color w:val="auto"/>
                <w:sz w:val="20"/>
                <w:highlight w:val="none"/>
              </w:rPr>
            </w:pPr>
            <w:r>
              <w:rPr>
                <w:color w:val="auto"/>
                <w:sz w:val="20"/>
                <w:highlight w:val="none"/>
              </w:rPr>
            </w:r>
            <w:r/>
          </w:p>
        </w:tc>
        <w:tc>
          <w:tcPr>
            <w:tcW w:w="1083" w:type="dxa"/>
            <w:textDirection w:val="lrTb"/>
            <w:noWrap w:val="false"/>
          </w:tcPr>
          <w:p>
            <w:pPr>
              <w:pStyle w:val="1189"/>
              <w:ind w:left="174"/>
              <w:spacing w:before="161"/>
              <w:tabs>
                <w:tab w:val="left" w:pos="699" w:leader="none"/>
              </w:tabs>
              <w:rPr>
                <w:color w:val="auto"/>
                <w:highlight w:val="none"/>
              </w:rPr>
            </w:pPr>
            <w:r>
              <w:rPr>
                <w:rFonts w:hint="eastAsia"/>
                <w:color w:val="auto"/>
                <w:highlight w:val="none"/>
              </w:rPr>
              <w:t xml:space="preserve">性</w:t>
            </w:r>
            <w:r>
              <w:rPr>
                <w:rFonts w:hint="eastAsia"/>
                <w:color w:val="auto"/>
                <w:highlight w:val="none"/>
              </w:rPr>
              <w:tab/>
            </w:r>
            <w:r>
              <w:rPr>
                <w:rFonts w:hint="eastAsia"/>
                <w:color w:val="auto"/>
                <w:highlight w:val="none"/>
              </w:rPr>
              <w:t xml:space="preserve">别</w:t>
            </w:r>
            <w:r/>
          </w:p>
        </w:tc>
        <w:tc>
          <w:tcPr>
            <w:gridSpan w:val="2"/>
            <w:tcW w:w="3072" w:type="dxa"/>
            <w:textDirection w:val="lrTb"/>
            <w:noWrap w:val="false"/>
          </w:tcPr>
          <w:p>
            <w:pPr>
              <w:pStyle w:val="1189"/>
              <w:rPr>
                <w:color w:val="auto"/>
                <w:sz w:val="20"/>
                <w:highlight w:val="none"/>
              </w:rPr>
            </w:pPr>
            <w:r>
              <w:rPr>
                <w:color w:val="auto"/>
                <w:sz w:val="20"/>
                <w:highlight w:val="none"/>
              </w:rPr>
            </w:r>
            <w:r/>
          </w:p>
        </w:tc>
      </w:tr>
      <w:tr>
        <w:trPr>
          <w:trHeight w:val="645"/>
        </w:trPr>
        <w:tc>
          <w:tcPr>
            <w:tcW w:w="628" w:type="dxa"/>
            <w:textDirection w:val="lrTb"/>
            <w:noWrap w:val="false"/>
          </w:tcPr>
          <w:p>
            <w:pPr>
              <w:pStyle w:val="1189"/>
              <w:spacing w:before="8"/>
              <w:rPr>
                <w:b/>
                <w:color w:val="auto"/>
                <w:sz w:val="14"/>
                <w:highlight w:val="none"/>
              </w:rPr>
            </w:pPr>
            <w:r>
              <w:rPr>
                <w:b/>
                <w:color w:val="auto"/>
                <w:sz w:val="14"/>
                <w:highlight w:val="none"/>
              </w:rPr>
            </w:r>
            <w:r/>
          </w:p>
          <w:p>
            <w:pPr>
              <w:pStyle w:val="1189"/>
              <w:ind w:left="261"/>
              <w:rPr>
                <w:color w:val="auto"/>
                <w:highlight w:val="none"/>
              </w:rPr>
            </w:pPr>
            <w:r>
              <w:rPr>
                <w:rFonts w:hint="eastAsia"/>
                <w:color w:val="auto"/>
                <w:highlight w:val="none"/>
              </w:rPr>
              <w:t xml:space="preserve">2</w:t>
            </w:r>
            <w:r/>
          </w:p>
        </w:tc>
        <w:tc>
          <w:tcPr>
            <w:tcW w:w="1851" w:type="dxa"/>
            <w:textDirection w:val="lrTb"/>
            <w:noWrap w:val="false"/>
          </w:tcPr>
          <w:p>
            <w:pPr>
              <w:pStyle w:val="1189"/>
              <w:spacing w:before="8"/>
              <w:rPr>
                <w:b/>
                <w:color w:val="auto"/>
                <w:sz w:val="14"/>
                <w:highlight w:val="none"/>
              </w:rPr>
            </w:pPr>
            <w:r>
              <w:rPr>
                <w:b/>
                <w:color w:val="auto"/>
                <w:sz w:val="14"/>
                <w:highlight w:val="none"/>
              </w:rPr>
            </w:r>
            <w:r/>
          </w:p>
          <w:p>
            <w:pPr>
              <w:pStyle w:val="1189"/>
              <w:ind w:left="11"/>
              <w:jc w:val="center"/>
              <w:rPr>
                <w:color w:val="auto"/>
                <w:highlight w:val="none"/>
              </w:rPr>
            </w:pPr>
            <w:r>
              <w:rPr>
                <w:rFonts w:hint="eastAsia"/>
                <w:color w:val="auto"/>
                <w:highlight w:val="none"/>
              </w:rPr>
              <w:t xml:space="preserve">身份证号码</w:t>
            </w:r>
            <w:r/>
          </w:p>
        </w:tc>
        <w:tc>
          <w:tcPr>
            <w:gridSpan w:val="3"/>
            <w:tcW w:w="3477" w:type="dxa"/>
            <w:textDirection w:val="lrTb"/>
            <w:noWrap w:val="false"/>
          </w:tcPr>
          <w:p>
            <w:pPr>
              <w:pStyle w:val="1189"/>
              <w:rPr>
                <w:color w:val="auto"/>
                <w:sz w:val="20"/>
                <w:highlight w:val="none"/>
              </w:rPr>
            </w:pPr>
            <w:r>
              <w:rPr>
                <w:color w:val="auto"/>
                <w:sz w:val="20"/>
                <w:highlight w:val="none"/>
              </w:rPr>
            </w:r>
            <w:r/>
          </w:p>
        </w:tc>
        <w:tc>
          <w:tcPr>
            <w:tcW w:w="1254" w:type="dxa"/>
            <w:textDirection w:val="lrTb"/>
            <w:noWrap w:val="false"/>
          </w:tcPr>
          <w:p>
            <w:pPr>
              <w:pStyle w:val="1189"/>
              <w:spacing w:before="8"/>
              <w:rPr>
                <w:b/>
                <w:color w:val="auto"/>
                <w:sz w:val="14"/>
                <w:highlight w:val="none"/>
              </w:rPr>
            </w:pPr>
            <w:r>
              <w:rPr>
                <w:b/>
                <w:color w:val="auto"/>
                <w:sz w:val="14"/>
                <w:highlight w:val="none"/>
              </w:rPr>
            </w:r>
            <w:r/>
          </w:p>
          <w:p>
            <w:pPr>
              <w:pStyle w:val="1189"/>
              <w:ind w:left="207"/>
              <w:rPr>
                <w:color w:val="auto"/>
                <w:highlight w:val="none"/>
              </w:rPr>
            </w:pPr>
            <w:r>
              <w:rPr>
                <w:rFonts w:hint="eastAsia"/>
                <w:color w:val="auto"/>
                <w:highlight w:val="none"/>
              </w:rPr>
              <w:t xml:space="preserve">出生年月</w:t>
            </w:r>
            <w:r/>
          </w:p>
        </w:tc>
        <w:tc>
          <w:tcPr>
            <w:tcW w:w="1818" w:type="dxa"/>
            <w:textDirection w:val="lrTb"/>
            <w:noWrap w:val="false"/>
          </w:tcPr>
          <w:p>
            <w:pPr>
              <w:pStyle w:val="1189"/>
              <w:spacing w:before="8"/>
              <w:rPr>
                <w:b/>
                <w:color w:val="auto"/>
                <w:sz w:val="14"/>
                <w:highlight w:val="none"/>
              </w:rPr>
            </w:pPr>
            <w:r>
              <w:rPr>
                <w:b/>
                <w:color w:val="auto"/>
                <w:sz w:val="14"/>
                <w:highlight w:val="none"/>
              </w:rPr>
            </w:r>
            <w:r/>
          </w:p>
          <w:p>
            <w:pPr>
              <w:pStyle w:val="1189"/>
              <w:ind w:left="539"/>
              <w:tabs>
                <w:tab w:val="left" w:pos="1065" w:leader="none"/>
              </w:tabs>
              <w:rPr>
                <w:color w:val="auto"/>
                <w:highlight w:val="none"/>
              </w:rPr>
            </w:pPr>
            <w:r>
              <w:rPr>
                <w:rFonts w:hint="eastAsia"/>
                <w:color w:val="auto"/>
                <w:highlight w:val="none"/>
              </w:rPr>
              <w:t xml:space="preserve">年</w:t>
            </w:r>
            <w:r>
              <w:rPr>
                <w:rFonts w:hint="eastAsia"/>
                <w:color w:val="auto"/>
                <w:highlight w:val="none"/>
              </w:rPr>
              <w:tab/>
            </w:r>
            <w:r>
              <w:rPr>
                <w:rFonts w:hint="eastAsia"/>
                <w:color w:val="auto"/>
                <w:highlight w:val="none"/>
              </w:rPr>
              <w:t xml:space="preserve">月</w:t>
            </w:r>
            <w:r/>
          </w:p>
        </w:tc>
      </w:tr>
      <w:tr>
        <w:trPr>
          <w:trHeight w:val="645"/>
        </w:trPr>
        <w:tc>
          <w:tcPr>
            <w:tcW w:w="628" w:type="dxa"/>
            <w:textDirection w:val="lrTb"/>
            <w:noWrap w:val="false"/>
          </w:tcPr>
          <w:p>
            <w:pPr>
              <w:pStyle w:val="1189"/>
              <w:spacing w:before="8"/>
              <w:rPr>
                <w:b/>
                <w:color w:val="auto"/>
                <w:sz w:val="14"/>
                <w:highlight w:val="none"/>
              </w:rPr>
            </w:pPr>
            <w:r>
              <w:rPr>
                <w:b/>
                <w:color w:val="auto"/>
                <w:sz w:val="14"/>
                <w:highlight w:val="none"/>
              </w:rPr>
            </w:r>
            <w:r/>
          </w:p>
          <w:p>
            <w:pPr>
              <w:pStyle w:val="1189"/>
              <w:ind w:left="261"/>
              <w:rPr>
                <w:color w:val="auto"/>
                <w:highlight w:val="none"/>
              </w:rPr>
            </w:pPr>
            <w:r>
              <w:rPr>
                <w:rFonts w:hint="eastAsia"/>
                <w:color w:val="auto"/>
                <w:highlight w:val="none"/>
              </w:rPr>
              <w:t xml:space="preserve">3</w:t>
            </w:r>
            <w:r/>
          </w:p>
        </w:tc>
        <w:tc>
          <w:tcPr>
            <w:gridSpan w:val="2"/>
            <w:tcW w:w="3180" w:type="dxa"/>
            <w:textDirection w:val="lrTb"/>
            <w:noWrap w:val="false"/>
          </w:tcPr>
          <w:p>
            <w:pPr>
              <w:pStyle w:val="1189"/>
              <w:spacing w:before="8"/>
              <w:rPr>
                <w:b/>
                <w:color w:val="auto"/>
                <w:sz w:val="14"/>
                <w:highlight w:val="none"/>
              </w:rPr>
            </w:pPr>
            <w:r>
              <w:rPr>
                <w:b/>
                <w:color w:val="auto"/>
                <w:sz w:val="14"/>
                <w:highlight w:val="none"/>
              </w:rPr>
            </w:r>
            <w:r/>
          </w:p>
          <w:p>
            <w:pPr>
              <w:pStyle w:val="1189"/>
              <w:ind w:left="27"/>
              <w:rPr>
                <w:color w:val="auto"/>
                <w:highlight w:val="none"/>
              </w:rPr>
            </w:pPr>
            <w:r>
              <w:rPr>
                <w:rFonts w:hint="eastAsia"/>
                <w:color w:val="auto"/>
                <w:highlight w:val="none"/>
              </w:rPr>
              <w:t xml:space="preserve">联系电话：</w:t>
            </w:r>
            <w:r/>
          </w:p>
        </w:tc>
        <w:tc>
          <w:tcPr>
            <w:gridSpan w:val="2"/>
            <w:tcW w:w="2148" w:type="dxa"/>
            <w:textDirection w:val="lrTb"/>
            <w:noWrap w:val="false"/>
          </w:tcPr>
          <w:p>
            <w:pPr>
              <w:pStyle w:val="1189"/>
              <w:spacing w:before="8"/>
              <w:rPr>
                <w:b/>
                <w:color w:val="auto"/>
                <w:sz w:val="14"/>
                <w:highlight w:val="none"/>
              </w:rPr>
            </w:pPr>
            <w:r>
              <w:rPr>
                <w:b/>
                <w:color w:val="auto"/>
                <w:sz w:val="14"/>
                <w:highlight w:val="none"/>
              </w:rPr>
            </w:r>
            <w:r/>
          </w:p>
          <w:p>
            <w:pPr>
              <w:pStyle w:val="1189"/>
              <w:ind w:left="27"/>
              <w:rPr>
                <w:color w:val="auto"/>
                <w:highlight w:val="none"/>
              </w:rPr>
            </w:pPr>
            <w:r>
              <w:rPr>
                <w:rFonts w:hint="eastAsia"/>
                <w:color w:val="auto"/>
                <w:highlight w:val="none"/>
              </w:rPr>
              <w:t xml:space="preserve">传真：</w:t>
            </w:r>
            <w:r/>
          </w:p>
        </w:tc>
        <w:tc>
          <w:tcPr>
            <w:gridSpan w:val="2"/>
            <w:tcW w:w="3072" w:type="dxa"/>
            <w:textDirection w:val="lrTb"/>
            <w:noWrap w:val="false"/>
          </w:tcPr>
          <w:p>
            <w:pPr>
              <w:pStyle w:val="1189"/>
              <w:spacing w:before="8"/>
              <w:rPr>
                <w:b/>
                <w:color w:val="auto"/>
                <w:sz w:val="14"/>
                <w:highlight w:val="none"/>
              </w:rPr>
            </w:pPr>
            <w:r>
              <w:rPr>
                <w:b/>
                <w:color w:val="auto"/>
                <w:sz w:val="14"/>
                <w:highlight w:val="none"/>
              </w:rPr>
            </w:r>
            <w:r/>
          </w:p>
          <w:p>
            <w:pPr>
              <w:pStyle w:val="1189"/>
              <w:ind w:left="27"/>
              <w:rPr>
                <w:color w:val="auto"/>
                <w:highlight w:val="none"/>
              </w:rPr>
            </w:pPr>
            <w:r>
              <w:rPr>
                <w:rFonts w:hint="eastAsia"/>
                <w:color w:val="auto"/>
                <w:highlight w:val="none"/>
              </w:rPr>
              <w:t xml:space="preserve">电子邮箱：</w:t>
            </w:r>
            <w:r/>
          </w:p>
        </w:tc>
      </w:tr>
      <w:tr>
        <w:trPr>
          <w:trHeight w:val="645"/>
        </w:trPr>
        <w:tc>
          <w:tcPr>
            <w:tcW w:w="628" w:type="dxa"/>
            <w:textDirection w:val="lrTb"/>
            <w:noWrap w:val="false"/>
          </w:tcPr>
          <w:p>
            <w:pPr>
              <w:pStyle w:val="1189"/>
              <w:spacing w:before="8"/>
              <w:rPr>
                <w:b/>
                <w:color w:val="auto"/>
                <w:sz w:val="14"/>
                <w:highlight w:val="none"/>
              </w:rPr>
            </w:pPr>
            <w:r>
              <w:rPr>
                <w:b/>
                <w:color w:val="auto"/>
                <w:sz w:val="14"/>
                <w:highlight w:val="none"/>
              </w:rPr>
            </w:r>
            <w:r/>
          </w:p>
          <w:p>
            <w:pPr>
              <w:pStyle w:val="1189"/>
              <w:ind w:left="261"/>
              <w:rPr>
                <w:color w:val="auto"/>
                <w:highlight w:val="none"/>
              </w:rPr>
            </w:pPr>
            <w:r>
              <w:rPr>
                <w:rFonts w:hint="eastAsia"/>
                <w:color w:val="auto"/>
                <w:highlight w:val="none"/>
              </w:rPr>
              <w:t xml:space="preserve">4</w:t>
            </w:r>
            <w:r/>
          </w:p>
        </w:tc>
        <w:tc>
          <w:tcPr>
            <w:gridSpan w:val="6"/>
            <w:tcW w:w="8400" w:type="dxa"/>
            <w:textDirection w:val="lrTb"/>
            <w:noWrap w:val="false"/>
          </w:tcPr>
          <w:p>
            <w:pPr>
              <w:pStyle w:val="1189"/>
              <w:spacing w:before="8"/>
              <w:rPr>
                <w:b/>
                <w:color w:val="auto"/>
                <w:sz w:val="14"/>
                <w:highlight w:val="none"/>
              </w:rPr>
            </w:pPr>
            <w:r>
              <w:rPr>
                <w:b/>
                <w:color w:val="auto"/>
                <w:sz w:val="14"/>
                <w:highlight w:val="none"/>
              </w:rPr>
            </w:r>
            <w:r/>
          </w:p>
          <w:p>
            <w:pPr>
              <w:pStyle w:val="1189"/>
              <w:ind w:left="27"/>
              <w:rPr>
                <w:color w:val="auto"/>
                <w:highlight w:val="none"/>
              </w:rPr>
            </w:pPr>
            <w:r>
              <w:rPr>
                <w:rFonts w:hint="eastAsia"/>
                <w:color w:val="auto"/>
                <w:highlight w:val="none"/>
              </w:rPr>
              <w:t xml:space="preserve">从事类似项目工作时间：</w:t>
            </w:r>
            <w:r/>
          </w:p>
        </w:tc>
      </w:tr>
      <w:tr>
        <w:trPr>
          <w:trHeight w:val="625"/>
        </w:trPr>
        <w:tc>
          <w:tcPr>
            <w:tcW w:w="628" w:type="dxa"/>
            <w:textDirection w:val="lrTb"/>
            <w:noWrap w:val="false"/>
          </w:tcPr>
          <w:p>
            <w:pPr>
              <w:pStyle w:val="1189"/>
              <w:ind w:left="261"/>
              <w:spacing w:before="176"/>
              <w:rPr>
                <w:color w:val="auto"/>
                <w:highlight w:val="none"/>
              </w:rPr>
            </w:pPr>
            <w:r>
              <w:rPr>
                <w:rFonts w:hint="eastAsia"/>
                <w:color w:val="auto"/>
                <w:highlight w:val="none"/>
              </w:rPr>
              <w:t xml:space="preserve">5</w:t>
            </w:r>
            <w:r/>
          </w:p>
        </w:tc>
        <w:tc>
          <w:tcPr>
            <w:gridSpan w:val="6"/>
            <w:tcW w:w="8400" w:type="dxa"/>
            <w:textDirection w:val="lrTb"/>
            <w:noWrap w:val="false"/>
          </w:tcPr>
          <w:p>
            <w:pPr>
              <w:pStyle w:val="1189"/>
              <w:ind w:left="27"/>
              <w:spacing w:before="176"/>
              <w:rPr>
                <w:color w:val="auto"/>
                <w:highlight w:val="none"/>
              </w:rPr>
            </w:pPr>
            <w:r>
              <w:rPr>
                <w:rFonts w:hint="eastAsia"/>
                <w:color w:val="auto"/>
                <w:highlight w:val="none"/>
              </w:rPr>
              <w:t xml:space="preserve">拥有的职称：</w:t>
            </w:r>
            <w:r/>
          </w:p>
        </w:tc>
      </w:tr>
      <w:tr>
        <w:trPr>
          <w:trHeight w:val="1871"/>
        </w:trPr>
        <w:tc>
          <w:tcPr>
            <w:tcW w:w="628" w:type="dxa"/>
            <w:textDirection w:val="lrTb"/>
            <w:noWrap w:val="false"/>
          </w:tcPr>
          <w:p>
            <w:pPr>
              <w:pStyle w:val="1189"/>
              <w:rPr>
                <w:b/>
                <w:color w:val="auto"/>
                <w:sz w:val="20"/>
                <w:highlight w:val="none"/>
              </w:rPr>
            </w:pPr>
            <w:r>
              <w:rPr>
                <w:b/>
                <w:color w:val="auto"/>
                <w:sz w:val="20"/>
                <w:highlight w:val="none"/>
              </w:rPr>
            </w:r>
            <w:r/>
          </w:p>
          <w:p>
            <w:pPr>
              <w:pStyle w:val="1189"/>
              <w:rPr>
                <w:b/>
                <w:color w:val="auto"/>
                <w:sz w:val="20"/>
                <w:highlight w:val="none"/>
              </w:rPr>
            </w:pPr>
            <w:r>
              <w:rPr>
                <w:b/>
                <w:color w:val="auto"/>
                <w:sz w:val="20"/>
                <w:highlight w:val="none"/>
              </w:rPr>
            </w:r>
            <w:r/>
          </w:p>
          <w:p>
            <w:pPr>
              <w:pStyle w:val="1189"/>
              <w:spacing w:before="6"/>
              <w:rPr>
                <w:b/>
                <w:color w:val="auto"/>
                <w:highlight w:val="none"/>
              </w:rPr>
            </w:pPr>
            <w:r>
              <w:rPr>
                <w:b/>
                <w:color w:val="auto"/>
                <w:highlight w:val="none"/>
              </w:rPr>
            </w:r>
            <w:r/>
          </w:p>
          <w:p>
            <w:pPr>
              <w:pStyle w:val="1189"/>
              <w:ind w:left="259"/>
              <w:rPr>
                <w:color w:val="auto"/>
                <w:highlight w:val="none"/>
              </w:rPr>
            </w:pPr>
            <w:r>
              <w:rPr>
                <w:rFonts w:hint="eastAsia"/>
                <w:color w:val="auto"/>
                <w:highlight w:val="none"/>
              </w:rPr>
              <w:t xml:space="preserve">6</w:t>
            </w:r>
            <w:r/>
          </w:p>
        </w:tc>
        <w:tc>
          <w:tcPr>
            <w:gridSpan w:val="6"/>
            <w:tcW w:w="8400" w:type="dxa"/>
            <w:textDirection w:val="lrTb"/>
            <w:noWrap w:val="false"/>
          </w:tcPr>
          <w:p>
            <w:pPr>
              <w:pStyle w:val="1189"/>
              <w:ind w:left="27"/>
              <w:spacing w:before="21"/>
              <w:rPr>
                <w:color w:val="auto"/>
                <w:highlight w:val="none"/>
              </w:rPr>
            </w:pPr>
            <w:r>
              <w:rPr>
                <w:rFonts w:hint="eastAsia"/>
                <w:color w:val="auto"/>
                <w:highlight w:val="none"/>
              </w:rPr>
              <w:t xml:space="preserve">曾获得的奖励情况：</w:t>
            </w:r>
            <w:r/>
          </w:p>
          <w:p>
            <w:pPr>
              <w:pStyle w:val="1189"/>
              <w:ind w:left="27"/>
              <w:spacing w:before="43"/>
              <w:tabs>
                <w:tab w:val="left" w:pos="4647" w:leader="none"/>
              </w:tabs>
              <w:rPr>
                <w:color w:val="auto"/>
                <w:highlight w:val="none"/>
              </w:rPr>
            </w:pPr>
            <w:r>
              <w:rPr>
                <w:rFonts w:hint="eastAsia"/>
                <w:color w:val="auto"/>
                <w:highlight w:val="none"/>
              </w:rPr>
              <w:t xml:space="preserve">1、</w:t>
            </w:r>
            <w:r>
              <w:rPr>
                <w:rFonts w:hint="eastAsia"/>
                <w:color w:val="auto"/>
                <w:highlight w:val="none"/>
                <w:u w:val="single"/>
              </w:rPr>
              <w:t xml:space="preserve"> </w:t>
            </w:r>
            <w:r>
              <w:rPr>
                <w:rFonts w:hint="eastAsia"/>
                <w:color w:val="auto"/>
                <w:highlight w:val="none"/>
                <w:u w:val="single"/>
              </w:rPr>
              <w:tab/>
            </w:r>
            <w:r>
              <w:rPr>
                <w:rFonts w:hint="eastAsia"/>
                <w:color w:val="auto"/>
                <w:highlight w:val="none"/>
              </w:rPr>
              <w:t xml:space="preserve">_</w:t>
            </w:r>
            <w:r/>
          </w:p>
          <w:p>
            <w:pPr>
              <w:pStyle w:val="1189"/>
              <w:ind w:left="27"/>
              <w:spacing w:before="42"/>
              <w:tabs>
                <w:tab w:val="left" w:pos="4908" w:leader="none"/>
              </w:tabs>
              <w:rPr>
                <w:color w:val="auto"/>
                <w:highlight w:val="none"/>
              </w:rPr>
            </w:pPr>
            <w:r>
              <w:rPr>
                <w:rFonts w:hint="eastAsia"/>
                <w:color w:val="auto"/>
                <w:highlight w:val="none"/>
              </w:rPr>
              <w:t xml:space="preserve">2、 </w:t>
            </w:r>
            <w:r>
              <w:rPr>
                <w:rFonts w:hint="eastAsia"/>
                <w:color w:val="auto"/>
                <w:highlight w:val="none"/>
                <w:u w:val="single"/>
              </w:rPr>
              <w:t xml:space="preserve"> </w:t>
            </w:r>
            <w:r>
              <w:rPr>
                <w:rFonts w:hint="eastAsia"/>
                <w:color w:val="auto"/>
                <w:highlight w:val="none"/>
                <w:u w:val="single"/>
              </w:rPr>
              <w:tab/>
            </w:r>
            <w:r/>
          </w:p>
          <w:p>
            <w:pPr>
              <w:pStyle w:val="1189"/>
              <w:ind w:left="27"/>
              <w:spacing w:before="43"/>
              <w:tabs>
                <w:tab w:val="left" w:pos="4803" w:leader="none"/>
              </w:tabs>
              <w:rPr>
                <w:color w:val="auto"/>
                <w:highlight w:val="none"/>
              </w:rPr>
            </w:pPr>
            <w:r>
              <w:rPr>
                <w:rFonts w:hint="eastAsia"/>
                <w:color w:val="auto"/>
                <w:highlight w:val="none"/>
              </w:rPr>
              <w:t xml:space="preserve">3、</w:t>
            </w:r>
            <w:r>
              <w:rPr>
                <w:rFonts w:hint="eastAsia"/>
                <w:color w:val="auto"/>
                <w:highlight w:val="none"/>
                <w:u w:val="single"/>
              </w:rPr>
              <w:t xml:space="preserve"> </w:t>
            </w:r>
            <w:r>
              <w:rPr>
                <w:rFonts w:hint="eastAsia"/>
                <w:color w:val="auto"/>
                <w:highlight w:val="none"/>
                <w:u w:val="single"/>
              </w:rPr>
              <w:tab/>
            </w:r>
            <w:r/>
          </w:p>
          <w:p>
            <w:pPr>
              <w:pStyle w:val="1189"/>
              <w:ind w:left="27"/>
              <w:spacing w:before="43"/>
              <w:rPr>
                <w:color w:val="auto"/>
                <w:highlight w:val="none"/>
              </w:rPr>
            </w:pPr>
            <w:r>
              <w:rPr>
                <w:rFonts w:hint="eastAsia"/>
                <w:color w:val="auto"/>
                <w:highlight w:val="none"/>
              </w:rPr>
              <w:t xml:space="preserve">……………</w:t>
            </w:r>
            <w:r/>
          </w:p>
        </w:tc>
      </w:tr>
      <w:tr>
        <w:trPr>
          <w:trHeight w:val="1132"/>
        </w:trPr>
        <w:tc>
          <w:tcPr>
            <w:tcW w:w="628" w:type="dxa"/>
            <w:textDirection w:val="lrTb"/>
            <w:noWrap w:val="false"/>
          </w:tcPr>
          <w:p>
            <w:pPr>
              <w:pStyle w:val="1189"/>
              <w:rPr>
                <w:b/>
                <w:color w:val="auto"/>
                <w:sz w:val="20"/>
                <w:highlight w:val="none"/>
              </w:rPr>
            </w:pPr>
            <w:r>
              <w:rPr>
                <w:b/>
                <w:color w:val="auto"/>
                <w:sz w:val="20"/>
                <w:highlight w:val="none"/>
              </w:rPr>
            </w:r>
            <w:r/>
          </w:p>
          <w:p>
            <w:pPr>
              <w:pStyle w:val="1189"/>
              <w:ind w:left="259"/>
              <w:spacing w:before="174"/>
              <w:rPr>
                <w:color w:val="auto"/>
                <w:highlight w:val="none"/>
              </w:rPr>
            </w:pPr>
            <w:r>
              <w:rPr>
                <w:rFonts w:hint="eastAsia"/>
                <w:color w:val="auto"/>
                <w:highlight w:val="none"/>
              </w:rPr>
              <w:t xml:space="preserve">7</w:t>
            </w:r>
            <w:r/>
          </w:p>
        </w:tc>
        <w:tc>
          <w:tcPr>
            <w:gridSpan w:val="6"/>
            <w:tcW w:w="8400" w:type="dxa"/>
            <w:textDirection w:val="lrTb"/>
            <w:noWrap w:val="false"/>
          </w:tcPr>
          <w:p>
            <w:pPr>
              <w:pStyle w:val="1189"/>
              <w:ind w:left="27"/>
              <w:spacing w:before="20"/>
              <w:rPr>
                <w:color w:val="auto"/>
                <w:highlight w:val="none"/>
              </w:rPr>
            </w:pPr>
            <w:r>
              <w:rPr>
                <w:rFonts w:hint="eastAsia"/>
                <w:color w:val="auto"/>
                <w:highlight w:val="none"/>
              </w:rPr>
              <w:t xml:space="preserve">本公司承诺：</w:t>
            </w:r>
            <w:r/>
          </w:p>
          <w:p>
            <w:pPr>
              <w:pStyle w:val="1189"/>
              <w:ind w:left="27"/>
              <w:spacing w:before="43"/>
              <w:rPr>
                <w:color w:val="auto"/>
                <w:highlight w:val="none"/>
              </w:rPr>
            </w:pPr>
            <w:r>
              <w:rPr>
                <w:rFonts w:hint="eastAsia"/>
                <w:color w:val="auto"/>
                <w:highlight w:val="none"/>
              </w:rPr>
              <w:t xml:space="preserve">该项目负责人在从业经历中没有任何违法、违规而被查处的不良记录。</w:t>
            </w:r>
            <w:r/>
          </w:p>
        </w:tc>
      </w:tr>
      <w:tr>
        <w:trPr>
          <w:trHeight w:val="2846"/>
        </w:trPr>
        <w:tc>
          <w:tcPr>
            <w:tcW w:w="628" w:type="dxa"/>
            <w:textDirection w:val="lrTb"/>
            <w:noWrap w:val="false"/>
          </w:tcPr>
          <w:p>
            <w:pPr>
              <w:pStyle w:val="1189"/>
              <w:rPr>
                <w:b/>
                <w:color w:val="auto"/>
                <w:sz w:val="20"/>
                <w:highlight w:val="none"/>
              </w:rPr>
            </w:pPr>
            <w:r>
              <w:rPr>
                <w:b/>
                <w:color w:val="auto"/>
                <w:sz w:val="20"/>
                <w:highlight w:val="none"/>
              </w:rPr>
            </w:r>
            <w:r/>
          </w:p>
          <w:p>
            <w:pPr>
              <w:pStyle w:val="1189"/>
              <w:rPr>
                <w:b/>
                <w:color w:val="auto"/>
                <w:sz w:val="20"/>
                <w:highlight w:val="none"/>
              </w:rPr>
            </w:pPr>
            <w:r>
              <w:rPr>
                <w:b/>
                <w:color w:val="auto"/>
                <w:sz w:val="20"/>
                <w:highlight w:val="none"/>
              </w:rPr>
            </w:r>
            <w:r/>
          </w:p>
          <w:p>
            <w:pPr>
              <w:pStyle w:val="1189"/>
              <w:rPr>
                <w:b/>
                <w:color w:val="auto"/>
                <w:sz w:val="20"/>
                <w:highlight w:val="none"/>
              </w:rPr>
            </w:pPr>
            <w:r>
              <w:rPr>
                <w:b/>
                <w:color w:val="auto"/>
                <w:sz w:val="20"/>
                <w:highlight w:val="none"/>
              </w:rPr>
            </w:r>
            <w:r/>
          </w:p>
          <w:p>
            <w:pPr>
              <w:pStyle w:val="1189"/>
              <w:rPr>
                <w:b/>
                <w:color w:val="auto"/>
                <w:sz w:val="20"/>
                <w:highlight w:val="none"/>
              </w:rPr>
            </w:pPr>
            <w:r>
              <w:rPr>
                <w:b/>
                <w:color w:val="auto"/>
                <w:sz w:val="20"/>
                <w:highlight w:val="none"/>
              </w:rPr>
            </w:r>
            <w:r/>
          </w:p>
          <w:p>
            <w:pPr>
              <w:pStyle w:val="1189"/>
              <w:spacing w:before="7"/>
              <w:rPr>
                <w:b/>
                <w:color w:val="auto"/>
                <w:sz w:val="20"/>
                <w:highlight w:val="none"/>
              </w:rPr>
            </w:pPr>
            <w:r>
              <w:rPr>
                <w:b/>
                <w:color w:val="auto"/>
                <w:sz w:val="20"/>
                <w:highlight w:val="none"/>
              </w:rPr>
            </w:r>
            <w:r/>
          </w:p>
          <w:p>
            <w:pPr>
              <w:pStyle w:val="1189"/>
              <w:ind w:left="259"/>
              <w:spacing w:before="1"/>
              <w:rPr>
                <w:color w:val="auto"/>
                <w:highlight w:val="none"/>
              </w:rPr>
            </w:pPr>
            <w:r>
              <w:rPr>
                <w:rFonts w:hint="eastAsia"/>
                <w:color w:val="auto"/>
                <w:highlight w:val="none"/>
              </w:rPr>
              <w:t xml:space="preserve">8</w:t>
            </w:r>
            <w:r/>
          </w:p>
        </w:tc>
        <w:tc>
          <w:tcPr>
            <w:gridSpan w:val="6"/>
            <w:tcW w:w="8400" w:type="dxa"/>
            <w:textDirection w:val="lrTb"/>
            <w:noWrap w:val="false"/>
          </w:tcPr>
          <w:p>
            <w:pPr>
              <w:pStyle w:val="1189"/>
              <w:ind w:left="27"/>
              <w:spacing w:before="22"/>
              <w:rPr>
                <w:color w:val="auto"/>
                <w:highlight w:val="none"/>
              </w:rPr>
            </w:pPr>
            <w:r>
              <w:rPr>
                <w:rFonts w:hint="eastAsia"/>
                <w:color w:val="auto"/>
                <w:highlight w:val="none"/>
              </w:rPr>
              <w:t xml:space="preserve">其他需要说明的情况</w:t>
            </w:r>
            <w:r/>
          </w:p>
        </w:tc>
      </w:tr>
    </w:tbl>
    <w:p>
      <w:pPr>
        <w:pStyle w:val="876"/>
        <w:spacing w:before="9" w:after="1"/>
        <w:rPr>
          <w:rFonts w:ascii="宋体" w:hAnsi="宋体" w:cs="宋体"/>
          <w:b/>
          <w:color w:val="auto"/>
          <w:sz w:val="22"/>
          <w:highlight w:val="none"/>
        </w:rPr>
      </w:pPr>
      <w:r>
        <w:rPr>
          <w:rFonts w:ascii="宋体" w:hAnsi="宋体" w:cs="宋体"/>
          <w:b/>
          <w:color w:val="auto"/>
          <w:sz w:val="22"/>
          <w:highlight w:val="none"/>
        </w:rPr>
      </w:r>
      <w:r/>
    </w:p>
    <w:p>
      <w:pPr>
        <w:rPr>
          <w:rFonts w:ascii="宋体" w:hAnsi="宋体" w:cs="宋体"/>
          <w:color w:val="auto"/>
          <w:highlight w:val="none"/>
        </w:rPr>
      </w:pPr>
      <w:r>
        <w:rPr>
          <w:rFonts w:hint="eastAsia" w:ascii="宋体" w:hAnsi="宋体" w:cs="宋体"/>
          <w:color w:val="auto"/>
          <w:highlight w:val="none"/>
        </w:rPr>
        <w:t xml:space="preserve">磋商响应单位（盖章）：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日期：</w:t>
      </w:r>
      <w:r/>
    </w:p>
    <w:p>
      <w:pPr>
        <w:spacing w:line="500" w:lineRule="exact"/>
        <w:rPr>
          <w:rFonts w:ascii="宋体" w:hAnsi="宋体" w:cs="宋体"/>
          <w:b/>
          <w:bCs/>
          <w:color w:val="auto"/>
          <w:szCs w:val="21"/>
          <w:highlight w:val="none"/>
          <w:lang w:eastAsia="zh-TW"/>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附件13：</w:t>
      </w:r>
      <w:r>
        <w:rPr>
          <w:rFonts w:hint="eastAsia" w:ascii="宋体" w:hAnsi="宋体" w:cs="宋体"/>
          <w:b/>
          <w:color w:val="auto"/>
          <w:szCs w:val="21"/>
          <w:highlight w:val="none"/>
        </w:rPr>
        <w:t xml:space="preserve">类似项目业绩表</w:t>
      </w:r>
      <w:r/>
    </w:p>
    <w:p>
      <w:pPr>
        <w:jc w:val="cente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类似项目业绩表</w:t>
      </w:r>
      <w:r/>
    </w:p>
    <w:p>
      <w:pPr>
        <w:rPr>
          <w:rFonts w:ascii="宋体" w:hAnsi="宋体" w:cs="宋体"/>
          <w:color w:val="auto"/>
          <w:szCs w:val="21"/>
          <w:highlight w:val="none"/>
        </w:rPr>
      </w:pP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项目名称：</w:t>
      </w:r>
      <w:r/>
    </w:p>
    <w:tbl>
      <w:tblPr>
        <w:tblStyle w:val="866"/>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1"/>
        <w:gridCol w:w="1411"/>
        <w:gridCol w:w="1349"/>
        <w:gridCol w:w="1678"/>
        <w:gridCol w:w="2169"/>
        <w:gridCol w:w="1605"/>
      </w:tblGrid>
      <w:tr>
        <w:trPr>
          <w:cantSplit/>
          <w:trHeight w:val="740"/>
        </w:trPr>
        <w:tc>
          <w:tcPr>
            <w:tcW w:w="480"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序号</w:t>
            </w:r>
            <w:r/>
          </w:p>
        </w:tc>
        <w:tc>
          <w:tcPr>
            <w:tcW w:w="776"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项目名称</w:t>
            </w:r>
            <w:r/>
          </w:p>
        </w:tc>
        <w:tc>
          <w:tcPr>
            <w:tcW w:w="742"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合同期</w:t>
            </w:r>
            <w:r/>
          </w:p>
        </w:tc>
        <w:tc>
          <w:tcPr>
            <w:tcW w:w="923"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服务范围</w:t>
            </w:r>
            <w:r/>
          </w:p>
        </w:tc>
        <w:tc>
          <w:tcPr>
            <w:tcW w:w="1193"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合同金额（万元）</w:t>
            </w:r>
            <w:r/>
          </w:p>
        </w:tc>
        <w:tc>
          <w:tcPr>
            <w:tcW w:w="883"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备注</w:t>
            </w:r>
            <w:r/>
          </w:p>
        </w:tc>
      </w:tr>
      <w:tr>
        <w:trPr>
          <w:cantSplit/>
          <w:trHeight w:val="510" w:hRule="exact"/>
        </w:trPr>
        <w:tc>
          <w:tcPr>
            <w:tcW w:w="480"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1</w:t>
            </w:r>
            <w:r/>
          </w:p>
        </w:tc>
        <w:tc>
          <w:tcPr>
            <w:tcW w:w="776"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2</w:t>
            </w:r>
            <w:r/>
          </w:p>
        </w:tc>
        <w:tc>
          <w:tcPr>
            <w:tcW w:w="776"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3</w:t>
            </w:r>
            <w:r/>
          </w:p>
        </w:tc>
        <w:tc>
          <w:tcPr>
            <w:tcW w:w="776"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4</w:t>
            </w:r>
            <w:r/>
          </w:p>
        </w:tc>
        <w:tc>
          <w:tcPr>
            <w:tcW w:w="776"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02"/>
                <w:rFonts w:ascii="宋体" w:hAnsi="宋体" w:cs="宋体"/>
                <w:color w:val="auto"/>
                <w:szCs w:val="21"/>
                <w:highlight w:val="none"/>
              </w:rPr>
            </w:pPr>
            <w:r>
              <w:rPr>
                <w:rStyle w:val="1202"/>
                <w:rFonts w:hint="eastAsia" w:ascii="宋体" w:hAnsi="宋体" w:cs="宋体"/>
                <w:color w:val="auto"/>
                <w:szCs w:val="21"/>
                <w:highlight w:val="none"/>
              </w:rPr>
              <w:t xml:space="preserve">5</w:t>
            </w:r>
            <w:r/>
          </w:p>
        </w:tc>
        <w:tc>
          <w:tcPr>
            <w:tcW w:w="776"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tbRlV"/>
            <w:noWrap w:val="false"/>
          </w:tcPr>
          <w:p>
            <w:pPr>
              <w:ind w:left="113" w:right="113"/>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400" w:lineRule="exact"/>
              <w:rPr>
                <w:rStyle w:val="1202"/>
                <w:rFonts w:ascii="宋体" w:hAnsi="宋体" w:cs="宋体"/>
                <w:color w:val="auto"/>
                <w:szCs w:val="21"/>
                <w:highlight w:val="none"/>
              </w:rPr>
            </w:pPr>
            <w:r>
              <w:rPr>
                <w:rFonts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注：请按评审方法与评分标准规定的内容附相关证明材料。</w:t>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磋商响应单位（盖章）：     </w:t>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法定代表人或委托代理人：（签字或盖章）                   </w:t>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1203"/>
        <w:numPr>
          <w:ilvl w:val="2"/>
          <w:numId w:val="0"/>
        </w:numPr>
        <w:jc w:val="both"/>
        <w:keepLines w:val="0"/>
        <w:keepNext w:val="0"/>
        <w:spacing w:before="240" w:after="240"/>
        <w:rPr>
          <w:rFonts w:ascii="宋体" w:hAnsi="宋体" w:eastAsia="宋体"/>
          <w:bCs w:val="0"/>
          <w:color w:val="auto"/>
          <w:spacing w:val="20"/>
          <w:sz w:val="21"/>
          <w:szCs w:val="21"/>
          <w:highlight w:val="none"/>
        </w:rPr>
        <w:sectPr>
          <w:footnotePr/>
          <w:endnotePr/>
          <w:type w:val="nextPage"/>
          <w:pgSz w:w="11906" w:h="16838" w:orient="portrait"/>
          <w:pgMar w:top="1440" w:right="1417" w:bottom="1134" w:left="1417" w:header="851" w:footer="850" w:gutter="0"/>
          <w:cols w:num="1" w:sep="0" w:space="0" w:equalWidth="1"/>
          <w:docGrid w:linePitch="360"/>
        </w:sectPr>
        <w:outlineLvl w:val="9"/>
      </w:pPr>
      <w:r>
        <w:rPr>
          <w:rFonts w:hint="eastAsia" w:ascii="宋体" w:hAnsi="宋体" w:eastAsia="宋体"/>
          <w:bCs w:val="0"/>
          <w:color w:val="auto"/>
          <w:spacing w:val="20"/>
          <w:sz w:val="21"/>
          <w:szCs w:val="21"/>
          <w:highlight w:val="none"/>
        </w:rPr>
        <w:br w:type="page" w:clear="all"/>
      </w:r>
      <w:r/>
    </w:p>
    <w:p>
      <w:pPr>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附件14：</w:t>
      </w:r>
      <w:r>
        <w:rPr>
          <w:rFonts w:hint="eastAsia" w:ascii="宋体" w:hAnsi="宋体" w:cs="宋体"/>
          <w:b/>
          <w:bCs/>
          <w:color w:val="auto"/>
          <w:szCs w:val="21"/>
          <w:highlight w:val="none"/>
        </w:rPr>
        <w:t xml:space="preserve">服务方案： </w:t>
      </w:r>
      <w:r/>
    </w:p>
    <w:p>
      <w:pPr>
        <w:jc w:val="center"/>
        <w:rPr>
          <w:rFonts w:ascii="宋体" w:hAnsi="宋体" w:cs="宋体"/>
          <w:b/>
          <w:bCs/>
          <w:color w:val="auto"/>
          <w:sz w:val="32"/>
          <w:szCs w:val="32"/>
          <w:highlight w:val="none"/>
        </w:rPr>
      </w:pPr>
      <w:r>
        <w:rPr>
          <w:rFonts w:hint="eastAsia" w:ascii="宋体" w:hAnsi="宋体" w:cs="宋体"/>
          <w:b/>
          <w:bCs/>
          <w:color w:val="auto"/>
          <w:szCs w:val="21"/>
          <w:highlight w:val="none"/>
        </w:rPr>
        <w:t xml:space="preserve">服务方案</w:t>
      </w:r>
      <w:r/>
    </w:p>
    <w:tbl>
      <w:tblPr>
        <w:tblStyle w:val="86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提示：</w:t>
            </w:r>
            <w:r/>
          </w:p>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1、响应单位应针对本项目特点编写成交后拟采取的方案。</w:t>
            </w:r>
            <w:r/>
          </w:p>
          <w:p>
            <w:pPr>
              <w:jc w:val="left"/>
              <w:rPr>
                <w:rFonts w:ascii="宋体" w:hAnsi="宋体" w:cs="宋体"/>
                <w:color w:val="auto"/>
                <w:highlight w:val="none"/>
              </w:rPr>
            </w:pPr>
            <w:r>
              <w:rPr>
                <w:rFonts w:hint="eastAsia" w:ascii="宋体" w:hAnsi="宋体" w:cs="宋体"/>
                <w:color w:val="auto"/>
                <w:szCs w:val="21"/>
                <w:highlight w:val="none"/>
                <w:lang w:val="zh-CN"/>
              </w:rPr>
              <w:t xml:space="preserve">2、响应单位可根据自身情况编写，本页不够可另加页附后。</w:t>
            </w:r>
            <w:r/>
          </w:p>
        </w:tc>
      </w:tr>
      <w:tr>
        <w:trPr>
          <w:jc w:val="center"/>
          <w:trHeight w:val="9934"/>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lang w:val="zh-CN"/>
              </w:rPr>
            </w:pPr>
            <w:r>
              <w:rPr>
                <w:rFonts w:hint="eastAsia" w:ascii="宋体" w:hAnsi="宋体" w:cs="宋体"/>
                <w:color w:val="auto"/>
                <w:highlight w:val="none"/>
              </w:rPr>
              <w:t xml:space="preserve">   </w:t>
            </w:r>
            <w:r>
              <w:rPr>
                <w:rFonts w:hint="eastAsia" w:ascii="宋体" w:hAnsi="宋体" w:cs="宋体"/>
                <w:color w:val="auto"/>
                <w:szCs w:val="21"/>
                <w:highlight w:val="none"/>
                <w:lang w:val="zh-CN"/>
              </w:rPr>
              <w:t xml:space="preserve">磋商响应单位（盖章）：</w:t>
            </w:r>
            <w:r/>
          </w:p>
          <w:p>
            <w:pPr>
              <w:ind w:firstLine="420"/>
              <w:jc w:val="lef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jc w:val="lef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日期：    年    月    日</w:t>
            </w:r>
            <w:r/>
          </w:p>
        </w:tc>
      </w:tr>
    </w:tbl>
    <w:p>
      <w:pPr>
        <w:jc w:val="righ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（全文完）</w:t>
      </w:r>
      <w:r/>
    </w:p>
    <w:sectPr>
      <w:footnotePr/>
      <w:endnotePr/>
      <w:type w:val="nextPage"/>
      <w:pgSz w:w="11906" w:h="16838" w:orient="portrait"/>
      <w:pgMar w:top="1440" w:right="1417" w:bottom="1134" w:left="1417"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Symbol">
    <w:panose1 w:val="05050102010706020507"/>
  </w:font>
  <w:font w:name="楷体">
    <w:panose1 w:val="02010609060101010101"/>
  </w:font>
  <w:font w:name="仿宋v.萀">
    <w:panose1 w:val="02010609060101010101"/>
  </w:font>
  <w:font w:name="Calibri">
    <w:panose1 w:val="020F0502020204030204"/>
  </w:font>
  <w:font w:name="黑体">
    <w:panose1 w:val="02010609060101010101"/>
  </w:font>
  <w:font w:name="仿宋_GB2312">
    <w:panose1 w:val="02010609060101010101"/>
  </w:font>
  <w:font w:name="Verdan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Cambria">
    <w:panose1 w:val="02040503050406030204"/>
  </w:font>
  <w:font w:name="Microsoft JhengHei">
    <w:panose1 w:val="020B060403050404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5890" cy="4273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5890" cy="427355"/>
                      </a:xfrm>
                      <a:prstGeom prst="rect">
                        <a:avLst/>
                      </a:prstGeom>
                      <a:noFill/>
                      <a:ln>
                        <a:noFill/>
                        <a:miter/>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0.7pt;height:33.6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0500" cy="236220"/>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90753" cy="236371"/>
                      </a:xfrm>
                      <a:prstGeom prst="rect">
                        <a:avLst/>
                      </a:prstGeom>
                      <a:noFill/>
                      <a:ln>
                        <a:noFill/>
                        <a:miter/>
                      </a:ln>
                    </wps:spPr>
                    <wps:txbx>
                      <w:txbxContent>
                        <w:p>
                          <w:pPr>
                            <w:pStyle w:val="885"/>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5.0pt;height:18.6pt;mso-wrap-distance-left:9.0pt;mso-wrap-distance-top:0.0pt;mso-wrap-distance-right:9.0pt;mso-wrap-distance-bottom:0.0pt;visibility:visible;" filled="f" stroked="f">
              <v:textbox inset="0,0,0,0">
                <w:txbxContent>
                  <w:p>
                    <w:pPr>
                      <w:pStyle w:val="88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622"/>
      <w:spacing w:line="158" w:lineRule="auto"/>
      <w:tabs>
        <w:tab w:val="left" w:pos="7240" w:leader="none"/>
      </w:tabs>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4630" cy="153035"/>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14778" cy="153339"/>
                      </a:xfrm>
                      <a:prstGeom prst="rect">
                        <a:avLst/>
                      </a:prstGeom>
                      <a:noFill/>
                      <a:ln>
                        <a:noFill/>
                        <a:miter/>
                      </a:ln>
                    </wps:spPr>
                    <wps:txbx>
                      <w:txbxContent>
                        <w:p>
                          <w:pPr>
                            <w:pStyle w:val="885"/>
                          </w:pPr>
                          <w:r>
                            <w:fldChar w:fldCharType="begin"/>
                          </w:r>
                          <w:r>
                            <w:instrText xml:space="preserve"> PAGE  \* MERGEFORMAT </w:instrText>
                          </w:r>
                          <w:r>
                            <w:fldChar w:fldCharType="separate"/>
                          </w:r>
                          <w:r>
                            <w:t xml:space="preserve">69</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6.9pt;height:12.0pt;mso-wrap-distance-left:9.0pt;mso-wrap-distance-top:0.0pt;mso-wrap-distance-right:9.0pt;mso-wrap-distance-bottom:0.0pt;visibility:visible;" filled="f" stroked="f">
              <v:textbox inset="0,0,0,0">
                <w:txbxContent>
                  <w:p>
                    <w:pPr>
                      <w:pStyle w:val="885"/>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both"/>
      <w:rPr>
        <w:rFonts w:hint="eastAsia" w:ascii="Arial" w:hAnsi="Arial" w:eastAsia="宋体" w:cs="Arial"/>
        <w:highlight w:val="yellow"/>
        <w:lang w:eastAsia="zh-CN"/>
      </w:rPr>
    </w:pPr>
    <w:r>
      <w:rPr>
        <w:rFonts w:hint="eastAsia" w:ascii="Arial" w:hAnsi="Arial" w:cs="Arial"/>
      </w:rPr>
      <w:t xml:space="preserve">苏州通宜房地产土地评估咨询有限公司</w:t>
    </w:r>
    <w:r>
      <w:rPr>
        <w:rFonts w:hint="eastAsia" w:ascii="Arial" w:hAnsi="Arial" w:eastAsia="Arial" w:cs="Arial"/>
      </w:rPr>
      <w:t xml:space="preserve">                                  </w:t>
    </w:r>
    <w:r>
      <w:rPr>
        <w:rFonts w:hint="eastAsia" w:ascii="Arial" w:hAnsi="Arial" w:cs="Arial"/>
      </w:rPr>
      <w:t xml:space="preserve"> </w:t>
    </w:r>
    <w:r>
      <w:rPr>
        <w:rFonts w:hint="eastAsia" w:ascii="Arial" w:hAnsi="Arial" w:cs="Arial"/>
        <w:lang w:eastAsia="zh-CN"/>
      </w:rPr>
      <w:t xml:space="preserve">JSZC-320509-SZTY-C2026-0010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spacing w:line="14" w:lineRule="auto"/>
      <w:rPr>
        <w:sz w:val="20"/>
      </w:rPr>
      <w:pBdr>
        <w:bottom w:val="single" w:color="auto"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4441190</wp:posOffset>
              </wp:positionH>
              <wp:positionV relativeFrom="page">
                <wp:posOffset>371475</wp:posOffset>
              </wp:positionV>
              <wp:extent cx="2254250" cy="1492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54250" cy="149225"/>
                      </a:xfrm>
                      <a:prstGeom prst="rect">
                        <a:avLst/>
                      </a:prstGeom>
                      <a:noFill/>
                      <a:ln>
                        <a:noFill/>
                        <a:miter/>
                      </a:ln>
                    </wps:spPr>
                    <wps:txbx>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JSZC-320509-SZTY-C2026-0010</w:t>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page;margin-left:349.7pt;mso-position-horizontal:absolute;mso-position-vertical-relative:page;margin-top:29.2pt;mso-position-vertical:absolute;width:177.5pt;height:11.8pt;mso-wrap-distance-left:9.0pt;mso-wrap-distance-top:0.0pt;mso-wrap-distance-right:9.0pt;mso-wrap-distance-bottom:0.0pt;visibility:visible;" filled="f" stroked="f">
              <v:textbox inset="0,0,0,0">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JSZC-320509-SZTY-C2026-0010</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887095</wp:posOffset>
              </wp:positionH>
              <wp:positionV relativeFrom="page">
                <wp:posOffset>371475</wp:posOffset>
              </wp:positionV>
              <wp:extent cx="2491740" cy="1485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91740" cy="148590"/>
                      </a:xfrm>
                      <a:prstGeom prst="rect">
                        <a:avLst/>
                      </a:prstGeom>
                      <a:noFill/>
                      <a:ln>
                        <a:noFill/>
                        <a:miter/>
                      </a:ln>
                    </wps:spPr>
                    <wps:txbx>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page;margin-left:69.8pt;mso-position-horizontal:absolute;mso-position-vertical-relative:page;margin-top:29.2pt;mso-position-vertical:absolute;width:196.2pt;height:11.7pt;mso-wrap-distance-left:9.0pt;mso-wrap-distance-top:0.0pt;mso-wrap-distance-right:9.0pt;mso-wrap-distance-bottom:0.0pt;visibility:visible;" filled="f" stroked="f">
              <v:textbox inset="0,0,0,0">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decimal"/>
      <w:pStyle w:val="116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13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91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EnclosedCircle"/>
      <w:isLgl w:val="false"/>
      <w:suff w:val="tab"/>
      <w:lvlText w:val="%1"/>
      <w:lvlJc w:val="left"/>
      <w:pPr>
        <w:ind w:left="360" w:hanging="360"/>
      </w:pPr>
      <w:rPr>
        <w:rFonts w:hint="default" w:ascii="宋体" w:hAnsi="宋体" w:cs="宋体"/>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139"/>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9">
    <w:multiLevelType w:val="hybridMultilevel"/>
    <w:lvl w:ilvl="0">
      <w:start w:val="1"/>
      <w:numFmt w:val="decimalEnclosedCircle"/>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9"/>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next w:val="867"/>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56">
    <w:name w:val="Heading 1"/>
    <w:basedOn w:val="855"/>
    <w:next w:val="855"/>
    <w:link w:val="1114"/>
    <w:uiPriority w:val="0"/>
    <w:qFormat/>
    <w:pPr>
      <w:jc w:val="center"/>
      <w:keepLines/>
      <w:keepNext/>
      <w:spacing w:before="160" w:after="160" w:line="480" w:lineRule="auto"/>
      <w:outlineLvl w:val="0"/>
    </w:pPr>
    <w:rPr>
      <w:b/>
      <w:bCs/>
      <w:sz w:val="32"/>
      <w:szCs w:val="44"/>
    </w:rPr>
  </w:style>
  <w:style w:type="paragraph" w:styleId="857">
    <w:name w:val="Heading 2"/>
    <w:basedOn w:val="855"/>
    <w:next w:val="871"/>
    <w:link w:val="1115"/>
    <w:uiPriority w:val="0"/>
    <w:qFormat/>
    <w:pPr>
      <w:keepLines/>
      <w:keepNext/>
      <w:spacing w:before="260" w:after="260" w:line="416" w:lineRule="auto"/>
      <w:outlineLvl w:val="1"/>
    </w:pPr>
    <w:rPr>
      <w:rFonts w:ascii="Cambria" w:hAnsi="Cambria"/>
      <w:b/>
      <w:sz w:val="32"/>
    </w:rPr>
  </w:style>
  <w:style w:type="paragraph" w:styleId="858">
    <w:name w:val="Heading 3"/>
    <w:basedOn w:val="855"/>
    <w:next w:val="855"/>
    <w:link w:val="1116"/>
    <w:uiPriority w:val="0"/>
    <w:qFormat/>
    <w:pPr>
      <w:keepLines/>
      <w:keepNext/>
      <w:spacing w:before="260" w:after="260" w:line="416" w:lineRule="auto"/>
      <w:outlineLvl w:val="2"/>
    </w:pPr>
    <w:rPr>
      <w:b/>
      <w:bCs/>
      <w:sz w:val="32"/>
      <w:szCs w:val="32"/>
    </w:rPr>
  </w:style>
  <w:style w:type="paragraph" w:styleId="859">
    <w:name w:val="Heading 4"/>
    <w:basedOn w:val="855"/>
    <w:next w:val="855"/>
    <w:link w:val="1117"/>
    <w:uiPriority w:val="0"/>
    <w:qFormat/>
    <w:pPr>
      <w:spacing w:before="240" w:after="60"/>
      <w:outlineLvl w:val="3"/>
    </w:pPr>
    <w:rPr>
      <w:sz w:val="28"/>
      <w:szCs w:val="28"/>
    </w:rPr>
  </w:style>
  <w:style w:type="paragraph" w:styleId="860">
    <w:name w:val="Heading 5"/>
    <w:basedOn w:val="855"/>
    <w:next w:val="855"/>
    <w:link w:val="1118"/>
    <w:uiPriority w:val="0"/>
    <w:qFormat/>
    <w:pPr>
      <w:spacing w:before="240" w:after="60"/>
      <w:outlineLvl w:val="4"/>
    </w:pPr>
    <w:rPr>
      <w:b/>
      <w:bCs/>
      <w:i/>
      <w:iCs/>
      <w:sz w:val="26"/>
      <w:szCs w:val="26"/>
    </w:rPr>
  </w:style>
  <w:style w:type="paragraph" w:styleId="861">
    <w:name w:val="Heading 6"/>
    <w:basedOn w:val="855"/>
    <w:next w:val="855"/>
    <w:link w:val="976"/>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Heading 8"/>
    <w:basedOn w:val="855"/>
    <w:next w:val="855"/>
    <w:link w:val="978"/>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979"/>
    <w:uiPriority w:val="9"/>
    <w:unhideWhenUsed/>
    <w:qFormat/>
    <w:pPr>
      <w:keepLines/>
      <w:keepNext/>
      <w:spacing w:before="320" w:after="200"/>
      <w:outlineLvl w:val="8"/>
    </w:pPr>
    <w:rPr>
      <w:rFonts w:ascii="Arial" w:hAnsi="Arial" w:eastAsia="Arial" w:cs="Arial"/>
      <w:i/>
      <w:iCs/>
      <w:szCs w:val="21"/>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Body Text First Indent 2"/>
    <w:basedOn w:val="868"/>
    <w:next w:val="870"/>
    <w:uiPriority w:val="99"/>
    <w:unhideWhenUsed/>
    <w:qFormat/>
    <w:pPr>
      <w:ind w:firstLine="420"/>
    </w:pPr>
  </w:style>
  <w:style w:type="paragraph" w:styleId="868">
    <w:name w:val="Body Text Indent"/>
    <w:basedOn w:val="855"/>
    <w:next w:val="869"/>
    <w:uiPriority w:val="0"/>
    <w:qFormat/>
    <w:pPr>
      <w:ind w:left="420"/>
      <w:spacing w:after="120"/>
    </w:pPr>
  </w:style>
  <w:style w:type="paragraph" w:styleId="869">
    <w:name w:val="envelope return"/>
    <w:basedOn w:val="855"/>
    <w:uiPriority w:val="0"/>
    <w:qFormat/>
    <w:rPr>
      <w:rFonts w:ascii="Arial" w:hAnsi="Arial"/>
    </w:rPr>
  </w:style>
  <w:style w:type="paragraph" w:styleId="870">
    <w:name w:val="List"/>
    <w:basedOn w:val="855"/>
    <w:next w:val="855"/>
    <w:uiPriority w:val="0"/>
    <w:qFormat/>
    <w:pPr>
      <w:ind w:left="420" w:hanging="420"/>
    </w:pPr>
    <w:rPr>
      <w:rFonts w:ascii="Arial" w:hAnsi="Arial" w:eastAsia="楷体_GB2312"/>
      <w:sz w:val="28"/>
    </w:rPr>
  </w:style>
  <w:style w:type="paragraph" w:styleId="871" w:customStyle="1">
    <w:name w:val="正文2"/>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872">
    <w:name w:val="toc 7"/>
    <w:basedOn w:val="856"/>
    <w:next w:val="855"/>
    <w:uiPriority w:val="39"/>
    <w:unhideWhenUsed/>
    <w:qFormat/>
    <w:pPr>
      <w:ind w:left="1701"/>
      <w:spacing w:after="57"/>
    </w:pPr>
  </w:style>
  <w:style w:type="paragraph" w:styleId="873">
    <w:name w:val="Normal Indent"/>
    <w:basedOn w:val="855"/>
    <w:next w:val="855"/>
    <w:uiPriority w:val="0"/>
    <w:qFormat/>
    <w:pPr>
      <w:ind w:firstLine="420"/>
      <w:jc w:val="left"/>
    </w:pPr>
    <w:rPr>
      <w:rFonts w:eastAsia="楷体_GB2312"/>
      <w:sz w:val="24"/>
    </w:rPr>
  </w:style>
  <w:style w:type="paragraph" w:styleId="874">
    <w:name w:val="Caption"/>
    <w:basedOn w:val="855"/>
    <w:next w:val="855"/>
    <w:uiPriority w:val="35"/>
    <w:semiHidden/>
    <w:unhideWhenUsed/>
    <w:qFormat/>
    <w:pPr>
      <w:spacing w:line="276" w:lineRule="auto"/>
    </w:pPr>
    <w:rPr>
      <w:b/>
      <w:bCs/>
      <w:color w:val="4f81bd" w:themeColor="accent1"/>
      <w:sz w:val="18"/>
      <w:szCs w:val="18"/>
    </w:rPr>
  </w:style>
  <w:style w:type="paragraph" w:styleId="875">
    <w:name w:val="annotation text"/>
    <w:basedOn w:val="855"/>
    <w:uiPriority w:val="99"/>
    <w:semiHidden/>
    <w:unhideWhenUsed/>
    <w:qFormat/>
    <w:pPr>
      <w:jc w:val="left"/>
    </w:pPr>
  </w:style>
  <w:style w:type="paragraph" w:styleId="876">
    <w:name w:val="Body Text"/>
    <w:basedOn w:val="855"/>
    <w:uiPriority w:val="0"/>
    <w:qFormat/>
    <w:pPr>
      <w:tabs>
        <w:tab w:val="left" w:pos="5250" w:leader="none"/>
      </w:tabs>
    </w:pPr>
    <w:rPr>
      <w:sz w:val="28"/>
    </w:rPr>
  </w:style>
  <w:style w:type="paragraph" w:styleId="877">
    <w:name w:val="List 2"/>
    <w:basedOn w:val="856"/>
    <w:next w:val="872"/>
    <w:uiPriority w:val="0"/>
    <w:qFormat/>
    <w:pPr>
      <w:ind w:left="100" w:firstLine="3640"/>
      <w:spacing w:before="0" w:after="0" w:line="240" w:lineRule="auto"/>
    </w:pPr>
    <w:rPr>
      <w:rFonts w:ascii="Times New Roman" w:hAnsi="Times New Roman" w:cs="Times New Roman"/>
    </w:rPr>
  </w:style>
  <w:style w:type="paragraph" w:styleId="878">
    <w:name w:val="toc 5"/>
    <w:basedOn w:val="855"/>
    <w:next w:val="855"/>
    <w:uiPriority w:val="39"/>
    <w:unhideWhenUsed/>
    <w:qFormat/>
    <w:pPr>
      <w:ind w:left="1134"/>
      <w:spacing w:after="57"/>
    </w:pPr>
  </w:style>
  <w:style w:type="paragraph" w:styleId="879">
    <w:name w:val="toc 3"/>
    <w:basedOn w:val="855"/>
    <w:next w:val="855"/>
    <w:uiPriority w:val="39"/>
    <w:unhideWhenUsed/>
    <w:qFormat/>
    <w:pPr>
      <w:ind w:left="567"/>
      <w:spacing w:after="57"/>
    </w:pPr>
  </w:style>
  <w:style w:type="paragraph" w:styleId="880">
    <w:name w:val="Plain Text"/>
    <w:basedOn w:val="855"/>
    <w:link w:val="1218"/>
    <w:uiPriority w:val="0"/>
    <w:qFormat/>
    <w:pPr>
      <w:ind w:firstLine="420"/>
    </w:pPr>
    <w:rPr>
      <w:rFonts w:ascii="宋体" w:hAnsi="Courier New" w:eastAsia="楷体_GB2312" w:cs="宋体"/>
      <w:sz w:val="28"/>
      <w:szCs w:val="20"/>
    </w:rPr>
  </w:style>
  <w:style w:type="paragraph" w:styleId="881">
    <w:name w:val="toc 8"/>
    <w:basedOn w:val="855"/>
    <w:next w:val="855"/>
    <w:uiPriority w:val="39"/>
    <w:unhideWhenUsed/>
    <w:qFormat/>
    <w:pPr>
      <w:ind w:left="1984"/>
      <w:spacing w:after="57"/>
    </w:pPr>
  </w:style>
  <w:style w:type="paragraph" w:styleId="882">
    <w:name w:val="Date"/>
    <w:basedOn w:val="855"/>
    <w:next w:val="855"/>
    <w:uiPriority w:val="0"/>
    <w:qFormat/>
    <w:rPr>
      <w:rFonts w:hint="eastAsia" w:ascii="宋体" w:hAnsi="宋体" w:eastAsia="楷体_GB2312"/>
      <w:sz w:val="24"/>
      <w:szCs w:val="20"/>
    </w:rPr>
  </w:style>
  <w:style w:type="paragraph" w:styleId="883">
    <w:name w:val="endnote text"/>
    <w:basedOn w:val="855"/>
    <w:uiPriority w:val="99"/>
    <w:semiHidden/>
    <w:unhideWhenUsed/>
    <w:qFormat/>
    <w:pPr>
      <w:spacing w:line="240" w:lineRule="auto"/>
    </w:pPr>
    <w:rPr>
      <w:sz w:val="20"/>
    </w:rPr>
  </w:style>
  <w:style w:type="paragraph" w:styleId="884">
    <w:name w:val="Balloon Text"/>
    <w:basedOn w:val="855"/>
    <w:uiPriority w:val="99"/>
    <w:unhideWhenUsed/>
    <w:qFormat/>
    <w:rPr>
      <w:sz w:val="18"/>
      <w:szCs w:val="18"/>
    </w:rPr>
  </w:style>
  <w:style w:type="paragraph" w:styleId="885">
    <w:name w:val="Footer"/>
    <w:basedOn w:val="855"/>
    <w:uiPriority w:val="99"/>
    <w:unhideWhenUsed/>
    <w:qFormat/>
    <w:pPr>
      <w:spacing w:line="240" w:lineRule="auto"/>
      <w:tabs>
        <w:tab w:val="center" w:pos="7143" w:leader="none"/>
        <w:tab w:val="right" w:pos="14287" w:leader="none"/>
      </w:tabs>
    </w:pPr>
  </w:style>
  <w:style w:type="paragraph" w:styleId="886">
    <w:name w:val="Header"/>
    <w:basedOn w:val="855"/>
    <w:uiPriority w:val="99"/>
    <w:unhideWhenUsed/>
    <w:qFormat/>
    <w:pPr>
      <w:spacing w:line="240" w:lineRule="auto"/>
      <w:tabs>
        <w:tab w:val="center" w:pos="7143" w:leader="none"/>
        <w:tab w:val="right" w:pos="14287" w:leader="none"/>
      </w:tabs>
    </w:pPr>
  </w:style>
  <w:style w:type="paragraph" w:styleId="887">
    <w:name w:val="toc 1"/>
    <w:basedOn w:val="855"/>
    <w:next w:val="855"/>
    <w:uiPriority w:val="39"/>
    <w:unhideWhenUsed/>
    <w:qFormat/>
    <w:pPr>
      <w:spacing w:after="57"/>
    </w:pPr>
  </w:style>
  <w:style w:type="paragraph" w:styleId="888">
    <w:name w:val="toc 4"/>
    <w:basedOn w:val="855"/>
    <w:next w:val="855"/>
    <w:uiPriority w:val="39"/>
    <w:unhideWhenUsed/>
    <w:qFormat/>
    <w:pPr>
      <w:ind w:left="850"/>
      <w:spacing w:after="57"/>
    </w:pPr>
  </w:style>
  <w:style w:type="paragraph" w:styleId="889">
    <w:name w:val="Subtitle"/>
    <w:basedOn w:val="855"/>
    <w:next w:val="855"/>
    <w:uiPriority w:val="11"/>
    <w:qFormat/>
    <w:pPr>
      <w:spacing w:before="200" w:after="200"/>
    </w:pPr>
    <w:rPr>
      <w:sz w:val="24"/>
    </w:rPr>
  </w:style>
  <w:style w:type="paragraph" w:styleId="890">
    <w:name w:val="footnote text"/>
    <w:basedOn w:val="855"/>
    <w:uiPriority w:val="99"/>
    <w:semiHidden/>
    <w:unhideWhenUsed/>
    <w:qFormat/>
    <w:pPr>
      <w:spacing w:after="40" w:line="240" w:lineRule="auto"/>
    </w:pPr>
    <w:rPr>
      <w:sz w:val="18"/>
    </w:rPr>
  </w:style>
  <w:style w:type="paragraph" w:styleId="891">
    <w:name w:val="toc 6"/>
    <w:basedOn w:val="855"/>
    <w:next w:val="855"/>
    <w:uiPriority w:val="39"/>
    <w:unhideWhenUsed/>
    <w:qFormat/>
    <w:pPr>
      <w:ind w:left="1417"/>
      <w:spacing w:after="57"/>
    </w:pPr>
  </w:style>
  <w:style w:type="paragraph" w:styleId="892">
    <w:name w:val="table of figures"/>
    <w:basedOn w:val="855"/>
    <w:next w:val="855"/>
    <w:uiPriority w:val="99"/>
    <w:unhideWhenUsed/>
    <w:qFormat/>
  </w:style>
  <w:style w:type="paragraph" w:styleId="893">
    <w:name w:val="toc 2"/>
    <w:basedOn w:val="855"/>
    <w:next w:val="855"/>
    <w:uiPriority w:val="39"/>
    <w:unhideWhenUsed/>
    <w:qFormat/>
    <w:pPr>
      <w:ind w:left="283"/>
      <w:spacing w:after="57"/>
    </w:pPr>
  </w:style>
  <w:style w:type="paragraph" w:styleId="894">
    <w:name w:val="toc 9"/>
    <w:basedOn w:val="855"/>
    <w:next w:val="855"/>
    <w:uiPriority w:val="39"/>
    <w:unhideWhenUsed/>
    <w:qFormat/>
    <w:pPr>
      <w:ind w:left="2268"/>
      <w:spacing w:after="57"/>
    </w:pPr>
  </w:style>
  <w:style w:type="paragraph" w:styleId="895">
    <w:name w:val="Body Text 2"/>
    <w:basedOn w:val="855"/>
    <w:uiPriority w:val="0"/>
    <w:qFormat/>
    <w:rPr>
      <w:color w:val="ff0000"/>
    </w:rPr>
  </w:style>
  <w:style w:type="paragraph" w:styleId="896">
    <w:name w:val="Normal (Web)"/>
    <w:basedOn w:val="855"/>
    <w:next w:val="877"/>
    <w:uiPriority w:val="0"/>
    <w:qFormat/>
    <w:pPr>
      <w:jc w:val="left"/>
      <w:spacing w:before="100" w:beforeAutospacing="1" w:after="100" w:afterAutospacing="1"/>
      <w:widowControl/>
    </w:pPr>
    <w:rPr>
      <w:rFonts w:ascii="宋体" w:hAnsi="宋体"/>
      <w:sz w:val="24"/>
    </w:rPr>
  </w:style>
  <w:style w:type="paragraph" w:styleId="897">
    <w:name w:val="Title"/>
    <w:basedOn w:val="855"/>
    <w:next w:val="855"/>
    <w:uiPriority w:val="10"/>
    <w:qFormat/>
    <w:pPr>
      <w:contextualSpacing/>
      <w:spacing w:before="300" w:after="200"/>
    </w:pPr>
    <w:rPr>
      <w:sz w:val="48"/>
      <w:szCs w:val="48"/>
    </w:rPr>
  </w:style>
  <w:style w:type="table" w:styleId="8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endnote reference"/>
    <w:uiPriority w:val="99"/>
    <w:semiHidden/>
    <w:unhideWhenUsed/>
    <w:qFormat/>
    <w:rPr>
      <w:vertAlign w:val="superscript"/>
    </w:rPr>
  </w:style>
  <w:style w:type="character" w:styleId="900">
    <w:name w:val="Emphasis"/>
    <w:uiPriority w:val="0"/>
    <w:qFormat/>
    <w:rPr>
      <w:rFonts w:ascii="Times New Roman" w:hAnsi="Times New Roman" w:eastAsia="宋体" w:cs="Times New Roman"/>
      <w:i/>
      <w:sz w:val="21"/>
    </w:rPr>
  </w:style>
  <w:style w:type="character" w:styleId="901">
    <w:name w:val="Hyperlink"/>
    <w:uiPriority w:val="99"/>
    <w:unhideWhenUsed/>
    <w:qFormat/>
    <w:rPr>
      <w:color w:val="0000ff" w:themeColor="hyperlink"/>
      <w:u w:val="single"/>
    </w:rPr>
  </w:style>
  <w:style w:type="character" w:styleId="902">
    <w:name w:val="footnote reference"/>
    <w:uiPriority w:val="99"/>
    <w:unhideWhenUsed/>
    <w:qFormat/>
    <w:rPr>
      <w:vertAlign w:val="superscript"/>
    </w:rPr>
  </w:style>
  <w:style w:type="character" w:styleId="903" w:customStyle="1">
    <w:name w:val="Heading 6 Char"/>
    <w:basedOn w:val="865"/>
    <w:uiPriority w:val="9"/>
    <w:qFormat/>
    <w:rPr>
      <w:rFonts w:ascii="Arial" w:hAnsi="Arial" w:eastAsia="Arial" w:cs="Arial"/>
      <w:b/>
      <w:bCs/>
      <w:sz w:val="22"/>
      <w:szCs w:val="22"/>
    </w:rPr>
  </w:style>
  <w:style w:type="character" w:styleId="904" w:customStyle="1">
    <w:name w:val="Heading 7 Char"/>
    <w:basedOn w:val="865"/>
    <w:uiPriority w:val="9"/>
    <w:qFormat/>
    <w:rPr>
      <w:rFonts w:ascii="Arial" w:hAnsi="Arial" w:eastAsia="Arial" w:cs="Arial"/>
      <w:b/>
      <w:bCs/>
      <w:i/>
      <w:iCs/>
      <w:sz w:val="22"/>
      <w:szCs w:val="22"/>
    </w:rPr>
  </w:style>
  <w:style w:type="character" w:styleId="905" w:customStyle="1">
    <w:name w:val="Heading 8 Char"/>
    <w:basedOn w:val="865"/>
    <w:uiPriority w:val="9"/>
    <w:qFormat/>
    <w:rPr>
      <w:rFonts w:ascii="Arial" w:hAnsi="Arial" w:eastAsia="Arial" w:cs="Arial"/>
      <w:i/>
      <w:iCs/>
      <w:sz w:val="22"/>
      <w:szCs w:val="22"/>
    </w:rPr>
  </w:style>
  <w:style w:type="character" w:styleId="906" w:customStyle="1">
    <w:name w:val="Heading 9 Char"/>
    <w:basedOn w:val="865"/>
    <w:uiPriority w:val="9"/>
    <w:qFormat/>
    <w:rPr>
      <w:rFonts w:ascii="Arial" w:hAnsi="Arial" w:eastAsia="Arial" w:cs="Arial"/>
      <w:i/>
      <w:iCs/>
      <w:sz w:val="21"/>
      <w:szCs w:val="21"/>
    </w:rPr>
  </w:style>
  <w:style w:type="character" w:styleId="907" w:customStyle="1">
    <w:name w:val="Quote Char"/>
    <w:uiPriority w:val="29"/>
    <w:qFormat/>
    <w:rPr>
      <w:i/>
    </w:rPr>
  </w:style>
  <w:style w:type="character" w:styleId="908" w:customStyle="1">
    <w:name w:val="Intense Quote Char"/>
    <w:uiPriority w:val="30"/>
    <w:qFormat/>
    <w:rPr>
      <w:i/>
    </w:rPr>
  </w:style>
  <w:style w:type="paragraph" w:styleId="909" w:customStyle="1">
    <w:name w:val="TOC Heading"/>
    <w:uiPriority w:val="39"/>
    <w:unhideWhenUsed/>
    <w:qFormat/>
    <w:rPr>
      <w:rFonts w:hint="default" w:ascii="Times New Roman" w:hAnsi="Times New Roman" w:eastAsia="宋体" w:cs="Times New Roman"/>
    </w:rPr>
  </w:style>
  <w:style w:type="paragraph" w:styleId="910" w:customStyle="1">
    <w:name w:val="段"/>
    <w:next w:val="855"/>
    <w:uiPriority w:val="0"/>
    <w:qFormat/>
    <w:pPr>
      <w:ind w:firstLine="200"/>
      <w:jc w:val="both"/>
    </w:pPr>
    <w:rPr>
      <w:rFonts w:hint="default" w:ascii="宋体" w:hAnsi="Times New Roman" w:eastAsia="宋体" w:cs="Times New Roman"/>
      <w:sz w:val="21"/>
      <w:lang w:val="en-US" w:eastAsia="zh-CN" w:bidi="ar-SA"/>
    </w:rPr>
  </w:style>
  <w:style w:type="paragraph" w:styleId="911" w:customStyle="1">
    <w:name w:val="正文文本缩进1"/>
    <w:basedOn w:val="855"/>
    <w:next w:val="855"/>
    <w:link w:val="926"/>
    <w:uiPriority w:val="99"/>
    <w:qFormat/>
    <w:pPr>
      <w:ind w:left="420"/>
      <w:spacing w:after="120"/>
    </w:pPr>
  </w:style>
  <w:style w:type="paragraph" w:styleId="912" w:customStyle="1">
    <w:name w:val="标题 11"/>
    <w:basedOn w:val="855"/>
    <w:next w:val="855"/>
    <w:link w:val="915"/>
    <w:uiPriority w:val="9"/>
    <w:qFormat/>
    <w:pPr>
      <w:jc w:val="center"/>
      <w:keepLines/>
      <w:keepNext/>
      <w:spacing w:before="160" w:after="160" w:line="480" w:lineRule="auto"/>
      <w:outlineLvl w:val="0"/>
    </w:pPr>
    <w:rPr>
      <w:b/>
      <w:sz w:val="32"/>
    </w:rPr>
  </w:style>
  <w:style w:type="character" w:styleId="913" w:customStyle="1">
    <w:name w:val="默认段落字体1"/>
    <w:uiPriority w:val="1"/>
    <w:unhideWhenUsed/>
    <w:qFormat/>
  </w:style>
  <w:style w:type="table" w:styleId="914" w:customStyle="1">
    <w:name w:val="普通表格1"/>
    <w:uiPriority w:val="99"/>
    <w:unhideWhenUsed/>
    <w:qFormat/>
    <w:tblPr>
      <w:tblCellMar>
        <w:left w:w="0" w:type="dxa"/>
        <w:top w:w="0" w:type="dxa"/>
        <w:right w:w="0" w:type="dxa"/>
        <w:bottom w:w="0" w:type="dxa"/>
      </w:tblCellMar>
    </w:tblPr>
  </w:style>
  <w:style w:type="character" w:styleId="915" w:customStyle="1">
    <w:name w:val="标题 1 Char"/>
    <w:basedOn w:val="865"/>
    <w:link w:val="912"/>
    <w:uiPriority w:val="0"/>
    <w:qFormat/>
    <w:rPr>
      <w:rFonts w:ascii="Times New Roman" w:hAnsi="Times New Roman" w:eastAsia="宋体"/>
      <w:b/>
      <w:sz w:val="32"/>
    </w:rPr>
  </w:style>
  <w:style w:type="paragraph" w:styleId="916" w:customStyle="1">
    <w:name w:val="目录 71"/>
    <w:basedOn w:val="855"/>
    <w:next w:val="855"/>
    <w:uiPriority w:val="39"/>
    <w:unhideWhenUsed/>
    <w:qFormat/>
    <w:pPr>
      <w:ind w:left="1701"/>
      <w:spacing w:after="57"/>
    </w:pPr>
  </w:style>
  <w:style w:type="paragraph" w:styleId="917" w:customStyle="1">
    <w:name w:val="正文缩进11"/>
    <w:basedOn w:val="855"/>
    <w:link w:val="918"/>
    <w:uiPriority w:val="0"/>
    <w:qFormat/>
    <w:pPr>
      <w:ind w:firstLine="420"/>
      <w:jc w:val="left"/>
      <w:widowControl/>
    </w:pPr>
    <w:rPr>
      <w:rFonts w:eastAsia="楷体_GB2312"/>
      <w:sz w:val="24"/>
      <w:szCs w:val="20"/>
    </w:rPr>
  </w:style>
  <w:style w:type="character" w:styleId="918" w:customStyle="1">
    <w:name w:val="正文缩进 字符1"/>
    <w:link w:val="917"/>
    <w:uiPriority w:val="0"/>
    <w:qFormat/>
    <w:rPr>
      <w:rFonts w:eastAsia="楷体_GB2312"/>
      <w:sz w:val="24"/>
      <w:lang w:val="en-US" w:eastAsia="zh-CN" w:bidi="ar-SA"/>
    </w:rPr>
  </w:style>
  <w:style w:type="paragraph" w:styleId="919" w:customStyle="1">
    <w:name w:val="列表项目符号1"/>
    <w:basedOn w:val="855"/>
    <w:uiPriority w:val="0"/>
    <w:qFormat/>
    <w:pPr>
      <w:numPr>
        <w:ilvl w:val="0"/>
        <w:numId w:val="1"/>
      </w:numPr>
      <w:tabs>
        <w:tab w:val="left" w:pos="1155" w:leader="none"/>
      </w:tabs>
    </w:pPr>
    <w:rPr>
      <w:rFonts w:eastAsia="仿宋_GB2312"/>
      <w:sz w:val="30"/>
      <w:szCs w:val="20"/>
    </w:rPr>
  </w:style>
  <w:style w:type="paragraph" w:styleId="920" w:customStyle="1">
    <w:name w:val="文档结构图1"/>
    <w:basedOn w:val="855"/>
    <w:uiPriority w:val="0"/>
    <w:semiHidden/>
    <w:qFormat/>
    <w:pPr>
      <w:shd w:val="clear" w:color="auto" w:fill="000080"/>
    </w:pPr>
  </w:style>
  <w:style w:type="paragraph" w:styleId="921" w:customStyle="1">
    <w:name w:val="批注文字1"/>
    <w:basedOn w:val="855"/>
    <w:link w:val="922"/>
    <w:uiPriority w:val="0"/>
    <w:qFormat/>
    <w:pPr>
      <w:jc w:val="left"/>
    </w:pPr>
  </w:style>
  <w:style w:type="character" w:styleId="922" w:customStyle="1">
    <w:name w:val="批注文字 字符"/>
    <w:link w:val="921"/>
    <w:uiPriority w:val="0"/>
    <w:qFormat/>
    <w:rPr>
      <w:sz w:val="21"/>
      <w:szCs w:val="24"/>
    </w:rPr>
  </w:style>
  <w:style w:type="paragraph" w:styleId="923" w:customStyle="1">
    <w:name w:val="正文文本11"/>
    <w:basedOn w:val="855"/>
    <w:next w:val="855"/>
    <w:link w:val="924"/>
    <w:uiPriority w:val="0"/>
    <w:qFormat/>
    <w:pPr>
      <w:spacing w:after="120"/>
    </w:pPr>
  </w:style>
  <w:style w:type="character" w:styleId="924" w:customStyle="1">
    <w:name w:val="正文文本 字符"/>
    <w:link w:val="923"/>
    <w:uiPriority w:val="0"/>
    <w:qFormat/>
    <w:rPr>
      <w:rFonts w:eastAsia="宋体"/>
      <w:sz w:val="21"/>
      <w:szCs w:val="24"/>
      <w:lang w:val="en-US" w:eastAsia="zh-CN" w:bidi="ar-SA"/>
    </w:rPr>
  </w:style>
  <w:style w:type="paragraph" w:styleId="925" w:customStyle="1">
    <w:name w:val="寄信人地址1"/>
    <w:basedOn w:val="855"/>
    <w:uiPriority w:val="0"/>
    <w:qFormat/>
    <w:rPr>
      <w:rFonts w:ascii="Arial" w:hAnsi="Arial"/>
    </w:rPr>
  </w:style>
  <w:style w:type="character" w:styleId="926" w:customStyle="1">
    <w:name w:val="正文文本缩进 字符"/>
    <w:link w:val="911"/>
    <w:uiPriority w:val="99"/>
    <w:qFormat/>
    <w:rPr>
      <w:sz w:val="21"/>
      <w:szCs w:val="24"/>
    </w:rPr>
  </w:style>
  <w:style w:type="paragraph" w:styleId="927" w:customStyle="1">
    <w:name w:val="文本块1"/>
    <w:basedOn w:val="855"/>
    <w:uiPriority w:val="0"/>
    <w:qFormat/>
    <w:pPr>
      <w:ind w:left="630" w:right="-609" w:firstLine="420"/>
    </w:pPr>
    <w:rPr>
      <w:rFonts w:hint="eastAsia" w:ascii="仿宋_GB2312" w:eastAsia="仿宋_GB2312"/>
      <w:szCs w:val="20"/>
    </w:rPr>
  </w:style>
  <w:style w:type="paragraph" w:styleId="928" w:customStyle="1">
    <w:name w:val="目录 51"/>
    <w:basedOn w:val="855"/>
    <w:next w:val="855"/>
    <w:uiPriority w:val="39"/>
    <w:unhideWhenUsed/>
    <w:qFormat/>
    <w:pPr>
      <w:ind w:left="1134"/>
      <w:spacing w:after="57"/>
    </w:pPr>
  </w:style>
  <w:style w:type="paragraph" w:styleId="929" w:customStyle="1">
    <w:name w:val="目录 31"/>
    <w:basedOn w:val="855"/>
    <w:next w:val="855"/>
    <w:uiPriority w:val="0"/>
    <w:qFormat/>
    <w:pPr>
      <w:ind w:left="840" w:firstLine="200"/>
      <w:jc w:val="left"/>
    </w:pPr>
    <w:rPr>
      <w:sz w:val="24"/>
      <w:szCs w:val="22"/>
    </w:rPr>
  </w:style>
  <w:style w:type="paragraph" w:styleId="930" w:customStyle="1">
    <w:name w:val="纯文本11"/>
    <w:basedOn w:val="855"/>
    <w:link w:val="931"/>
    <w:uiPriority w:val="0"/>
    <w:qFormat/>
    <w:pPr>
      <w:jc w:val="left"/>
      <w:widowControl/>
    </w:pPr>
    <w:rPr>
      <w:rFonts w:ascii="宋体" w:hAnsi="Courier New" w:eastAsia="楷体_GB2312"/>
      <w:sz w:val="26"/>
    </w:rPr>
  </w:style>
  <w:style w:type="character" w:styleId="931" w:customStyle="1">
    <w:name w:val="纯文本 字符"/>
    <w:link w:val="930"/>
    <w:uiPriority w:val="0"/>
    <w:qFormat/>
    <w:rPr>
      <w:rFonts w:ascii="宋体" w:hAnsi="Courier New" w:eastAsia="楷体_GB2312"/>
      <w:sz w:val="26"/>
      <w:szCs w:val="24"/>
    </w:rPr>
  </w:style>
  <w:style w:type="paragraph" w:styleId="932" w:customStyle="1">
    <w:name w:val="目录 81"/>
    <w:basedOn w:val="855"/>
    <w:next w:val="855"/>
    <w:uiPriority w:val="39"/>
    <w:unhideWhenUsed/>
    <w:qFormat/>
    <w:pPr>
      <w:ind w:left="1984"/>
      <w:spacing w:after="57"/>
    </w:pPr>
  </w:style>
  <w:style w:type="paragraph" w:styleId="933" w:customStyle="1">
    <w:name w:val="日期1"/>
    <w:basedOn w:val="855"/>
    <w:next w:val="855"/>
    <w:link w:val="934"/>
    <w:uiPriority w:val="0"/>
    <w:qFormat/>
  </w:style>
  <w:style w:type="character" w:styleId="934" w:customStyle="1">
    <w:name w:val="日期 字符"/>
    <w:link w:val="933"/>
    <w:uiPriority w:val="0"/>
    <w:qFormat/>
    <w:rPr>
      <w:rFonts w:eastAsia="宋体"/>
      <w:sz w:val="21"/>
      <w:szCs w:val="24"/>
      <w:lang w:val="en-US" w:eastAsia="zh-CN" w:bidi="ar-SA"/>
    </w:rPr>
  </w:style>
  <w:style w:type="paragraph" w:styleId="935" w:customStyle="1">
    <w:name w:val="正文文本缩进 21"/>
    <w:basedOn w:val="855"/>
    <w:link w:val="936"/>
    <w:uiPriority w:val="0"/>
    <w:qFormat/>
    <w:pPr>
      <w:ind w:left="420"/>
      <w:spacing w:after="120" w:line="480" w:lineRule="auto"/>
    </w:pPr>
  </w:style>
  <w:style w:type="character" w:styleId="936" w:customStyle="1">
    <w:name w:val="正文文本缩进 2 Char"/>
    <w:link w:val="935"/>
    <w:uiPriority w:val="0"/>
    <w:qFormat/>
  </w:style>
  <w:style w:type="paragraph" w:styleId="937" w:customStyle="1">
    <w:name w:val="尾注文本1"/>
    <w:basedOn w:val="855"/>
    <w:link w:val="938"/>
    <w:uiPriority w:val="99"/>
    <w:unhideWhenUsed/>
    <w:qFormat/>
    <w:pPr>
      <w:spacing w:line="240" w:lineRule="auto"/>
    </w:pPr>
    <w:rPr>
      <w:sz w:val="20"/>
    </w:rPr>
  </w:style>
  <w:style w:type="character" w:styleId="938" w:customStyle="1">
    <w:name w:val="Endnote Text Char"/>
    <w:link w:val="937"/>
    <w:uiPriority w:val="99"/>
    <w:qFormat/>
    <w:rPr>
      <w:sz w:val="20"/>
    </w:rPr>
  </w:style>
  <w:style w:type="paragraph" w:styleId="939" w:customStyle="1">
    <w:name w:val="批注框文本1"/>
    <w:basedOn w:val="855"/>
    <w:link w:val="940"/>
    <w:uiPriority w:val="0"/>
    <w:semiHidden/>
    <w:qFormat/>
    <w:rPr>
      <w:sz w:val="18"/>
      <w:szCs w:val="18"/>
    </w:rPr>
  </w:style>
  <w:style w:type="character" w:styleId="940" w:customStyle="1">
    <w:name w:val="批注框文本 字符"/>
    <w:link w:val="939"/>
    <w:uiPriority w:val="0"/>
    <w:semiHidden/>
    <w:qFormat/>
    <w:rPr>
      <w:rFonts w:eastAsia="宋体"/>
      <w:sz w:val="18"/>
      <w:szCs w:val="18"/>
      <w:lang w:val="en-US" w:eastAsia="zh-CN" w:bidi="ar-SA"/>
    </w:rPr>
  </w:style>
  <w:style w:type="paragraph" w:styleId="941" w:customStyle="1">
    <w:name w:val="页脚1"/>
    <w:basedOn w:val="855"/>
    <w:uiPriority w:val="99"/>
    <w:unhideWhenUsed/>
    <w:qFormat/>
    <w:pPr>
      <w:jc w:val="left"/>
      <w:tabs>
        <w:tab w:val="center" w:pos="4153" w:leader="none"/>
        <w:tab w:val="right" w:pos="8306" w:leader="none"/>
      </w:tabs>
    </w:pPr>
    <w:rPr>
      <w:sz w:val="18"/>
    </w:rPr>
  </w:style>
  <w:style w:type="paragraph" w:styleId="942" w:customStyle="1">
    <w:name w:val="目录 11"/>
    <w:basedOn w:val="855"/>
    <w:next w:val="855"/>
    <w:uiPriority w:val="0"/>
    <w:semiHidden/>
    <w:qFormat/>
    <w:pPr>
      <w:jc w:val="left"/>
    </w:pPr>
    <w:rPr>
      <w:sz w:val="28"/>
      <w:szCs w:val="20"/>
    </w:rPr>
  </w:style>
  <w:style w:type="paragraph" w:styleId="943" w:customStyle="1">
    <w:name w:val="目录 41"/>
    <w:basedOn w:val="855"/>
    <w:next w:val="855"/>
    <w:uiPriority w:val="39"/>
    <w:unhideWhenUsed/>
    <w:qFormat/>
    <w:pPr>
      <w:ind w:left="850"/>
      <w:spacing w:after="57"/>
    </w:pPr>
  </w:style>
  <w:style w:type="paragraph" w:styleId="944" w:customStyle="1">
    <w:name w:val="副标题1"/>
    <w:basedOn w:val="855"/>
    <w:next w:val="855"/>
    <w:link w:val="945"/>
    <w:uiPriority w:val="0"/>
    <w:qFormat/>
    <w:pPr>
      <w:jc w:val="center"/>
      <w:spacing w:before="240" w:after="60" w:line="312" w:lineRule="auto"/>
      <w:outlineLvl w:val="1"/>
    </w:pPr>
    <w:rPr>
      <w:rFonts w:ascii="宋体" w:hAnsi="Courier New" w:eastAsia="楷体_GB2312"/>
      <w:sz w:val="26"/>
    </w:rPr>
  </w:style>
  <w:style w:type="character" w:styleId="945" w:customStyle="1">
    <w:name w:val="副标题 字符"/>
    <w:link w:val="944"/>
    <w:uiPriority w:val="0"/>
    <w:qFormat/>
    <w:rPr>
      <w:rFonts w:ascii="宋体" w:hAnsi="Courier New" w:eastAsia="楷体_GB2312"/>
      <w:sz w:val="26"/>
      <w:szCs w:val="24"/>
    </w:rPr>
  </w:style>
  <w:style w:type="paragraph" w:styleId="946" w:customStyle="1">
    <w:name w:val="列表1"/>
    <w:basedOn w:val="855"/>
    <w:next w:val="855"/>
    <w:uiPriority w:val="0"/>
    <w:qFormat/>
    <w:pPr>
      <w:ind w:left="420" w:hanging="420"/>
    </w:pPr>
    <w:rPr>
      <w:rFonts w:ascii="Arial" w:hAnsi="Arial" w:eastAsia="楷体_GB2312"/>
      <w:sz w:val="28"/>
    </w:rPr>
  </w:style>
  <w:style w:type="paragraph" w:styleId="947" w:customStyle="1">
    <w:name w:val="脚注文本1"/>
    <w:basedOn w:val="855"/>
    <w:link w:val="948"/>
    <w:uiPriority w:val="99"/>
    <w:unhideWhenUsed/>
    <w:qFormat/>
    <w:pPr>
      <w:spacing w:after="40" w:line="240" w:lineRule="auto"/>
    </w:pPr>
    <w:rPr>
      <w:sz w:val="18"/>
    </w:rPr>
  </w:style>
  <w:style w:type="character" w:styleId="948" w:customStyle="1">
    <w:name w:val="Footnote Text Char"/>
    <w:link w:val="947"/>
    <w:uiPriority w:val="99"/>
    <w:qFormat/>
    <w:rPr>
      <w:sz w:val="18"/>
    </w:rPr>
  </w:style>
  <w:style w:type="paragraph" w:styleId="949" w:customStyle="1">
    <w:name w:val="目录 61"/>
    <w:basedOn w:val="855"/>
    <w:next w:val="855"/>
    <w:uiPriority w:val="39"/>
    <w:unhideWhenUsed/>
    <w:qFormat/>
    <w:pPr>
      <w:ind w:left="1417"/>
      <w:spacing w:after="57"/>
    </w:pPr>
  </w:style>
  <w:style w:type="paragraph" w:styleId="950" w:customStyle="1">
    <w:name w:val="正文文本缩进 31"/>
    <w:basedOn w:val="855"/>
    <w:uiPriority w:val="0"/>
    <w:qFormat/>
    <w:pPr>
      <w:ind w:firstLine="480"/>
      <w:jc w:val="left"/>
      <w:spacing w:line="440" w:lineRule="atLeast"/>
    </w:pPr>
    <w:rPr>
      <w:sz w:val="24"/>
    </w:rPr>
  </w:style>
  <w:style w:type="paragraph" w:styleId="951" w:customStyle="1">
    <w:name w:val="图表目录1"/>
    <w:basedOn w:val="855"/>
    <w:next w:val="855"/>
    <w:uiPriority w:val="99"/>
    <w:unhideWhenUsed/>
    <w:qFormat/>
  </w:style>
  <w:style w:type="paragraph" w:styleId="952" w:customStyle="1">
    <w:name w:val="目录 21"/>
    <w:basedOn w:val="855"/>
    <w:next w:val="855"/>
    <w:uiPriority w:val="0"/>
    <w:qFormat/>
    <w:pPr>
      <w:ind w:left="420" w:firstLine="200"/>
      <w:jc w:val="left"/>
    </w:pPr>
    <w:rPr>
      <w:sz w:val="24"/>
      <w:szCs w:val="22"/>
    </w:rPr>
  </w:style>
  <w:style w:type="paragraph" w:styleId="953" w:customStyle="1">
    <w:name w:val="目录 91"/>
    <w:basedOn w:val="855"/>
    <w:next w:val="855"/>
    <w:uiPriority w:val="39"/>
    <w:unhideWhenUsed/>
    <w:qFormat/>
    <w:pPr>
      <w:ind w:left="2268"/>
      <w:spacing w:after="57"/>
    </w:pPr>
  </w:style>
  <w:style w:type="paragraph" w:styleId="954" w:customStyle="1">
    <w:name w:val="正文文本 21"/>
    <w:basedOn w:val="855"/>
    <w:uiPriority w:val="0"/>
    <w:qFormat/>
    <w:pPr>
      <w:spacing w:after="120" w:line="480" w:lineRule="auto"/>
    </w:pPr>
  </w:style>
  <w:style w:type="paragraph" w:styleId="955" w:customStyle="1">
    <w:name w:val="普通(网站)11"/>
    <w:basedOn w:val="855"/>
    <w:uiPriority w:val="0"/>
    <w:qFormat/>
    <w:pPr>
      <w:jc w:val="left"/>
      <w:spacing w:before="100" w:beforeAutospacing="1" w:after="100" w:afterAutospacing="1"/>
      <w:widowControl/>
    </w:pPr>
    <w:rPr>
      <w:rFonts w:ascii="宋体" w:hAnsi="宋体" w:cs="宋体"/>
      <w:sz w:val="24"/>
    </w:rPr>
  </w:style>
  <w:style w:type="paragraph" w:styleId="956" w:customStyle="1">
    <w:name w:val="索引 11"/>
    <w:basedOn w:val="855"/>
    <w:next w:val="855"/>
    <w:uiPriority w:val="0"/>
    <w:semiHidden/>
    <w:qFormat/>
  </w:style>
  <w:style w:type="paragraph" w:styleId="957" w:customStyle="1">
    <w:name w:val="标题1"/>
    <w:basedOn w:val="855"/>
    <w:link w:val="958"/>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character" w:styleId="958" w:customStyle="1">
    <w:name w:val="标题 字符"/>
    <w:link w:val="957"/>
    <w:uiPriority w:val="0"/>
    <w:qFormat/>
    <w:rPr>
      <w:rFonts w:ascii="Arial" w:hAnsi="Arial"/>
      <w:b/>
      <w:bCs/>
      <w:sz w:val="32"/>
      <w:szCs w:val="32"/>
    </w:rPr>
  </w:style>
  <w:style w:type="paragraph" w:styleId="959" w:customStyle="1">
    <w:name w:val="批注主题1"/>
    <w:basedOn w:val="921"/>
    <w:next w:val="921"/>
    <w:link w:val="960"/>
    <w:uiPriority w:val="0"/>
    <w:qFormat/>
    <w:rPr>
      <w:b/>
      <w:bCs/>
    </w:rPr>
  </w:style>
  <w:style w:type="character" w:styleId="960" w:customStyle="1">
    <w:name w:val="批注主题 字符"/>
    <w:link w:val="959"/>
    <w:uiPriority w:val="0"/>
    <w:qFormat/>
    <w:rPr>
      <w:b/>
      <w:bCs/>
      <w:sz w:val="21"/>
      <w:szCs w:val="24"/>
    </w:rPr>
  </w:style>
  <w:style w:type="paragraph" w:styleId="961" w:customStyle="1">
    <w:name w:val="正文首行缩进1"/>
    <w:uiPriority w:val="0"/>
    <w:qFormat/>
    <w:pPr>
      <w:ind w:firstLine="420"/>
      <w:jc w:val="both"/>
      <w:spacing w:after="120"/>
      <w:widowControl w:val="off"/>
    </w:pPr>
    <w:rPr>
      <w:rFonts w:hint="default" w:ascii="Calibri" w:hAnsi="Calibri" w:eastAsia="宋体" w:cs="Times New Roman"/>
      <w:sz w:val="21"/>
      <w:szCs w:val="24"/>
      <w:lang w:val="en-US" w:eastAsia="zh-CN" w:bidi="ar-SA"/>
    </w:rPr>
  </w:style>
  <w:style w:type="paragraph" w:styleId="962" w:customStyle="1">
    <w:name w:val="正文首行缩进 21"/>
    <w:basedOn w:val="911"/>
    <w:next w:val="963"/>
    <w:uiPriority w:val="0"/>
    <w:qFormat/>
    <w:pPr>
      <w:ind w:firstLine="420"/>
    </w:pPr>
    <w:rPr>
      <w:rFonts w:ascii="宋体" w:hAnsi="Courier New"/>
    </w:rPr>
  </w:style>
  <w:style w:type="paragraph" w:styleId="963" w:customStyle="1">
    <w:name w:val="Body"/>
    <w:next w:val="964"/>
    <w:uiPriority w:val="0"/>
    <w:qFormat/>
    <w:pPr>
      <w:ind w:left="567" w:right="2835" w:firstLine="3584"/>
      <w:spacing w:after="60"/>
    </w:pPr>
    <w:rPr>
      <w:rFonts w:hint="default" w:ascii="Calibri" w:hAnsi="Calibri" w:eastAsia="宋体" w:cs="宋体"/>
      <w:lang w:val="en-US" w:eastAsia="zh-CN" w:bidi="ar-SA"/>
    </w:rPr>
  </w:style>
  <w:style w:type="paragraph" w:styleId="964" w:customStyle="1">
    <w:name w:val="索引 91"/>
    <w:basedOn w:val="856"/>
    <w:next w:val="855"/>
    <w:uiPriority w:val="0"/>
    <w:qFormat/>
    <w:pPr>
      <w:ind w:left="1600" w:firstLine="2560"/>
      <w:spacing w:before="0" w:after="0" w:line="360" w:lineRule="auto"/>
    </w:pPr>
  </w:style>
  <w:style w:type="table" w:styleId="965" w:customStyle="1">
    <w:name w:val="网格型1"/>
    <w:basedOn w:val="914"/>
    <w:uiPriority w:val="0"/>
    <w:qFormat/>
    <w:tblPr>
      <w:tblCellMar>
        <w:left w:w="0" w:type="dxa"/>
        <w:top w:w="0" w:type="dxa"/>
        <w:right w:w="0" w:type="dxa"/>
        <w:bottom w:w="0" w:type="dxa"/>
      </w:tblCellMar>
    </w:tblPr>
  </w:style>
  <w:style w:type="character" w:styleId="966" w:customStyle="1">
    <w:name w:val="要点1"/>
    <w:basedOn w:val="913"/>
    <w:uiPriority w:val="0"/>
    <w:qFormat/>
    <w:rPr>
      <w:b/>
      <w:bCs/>
    </w:rPr>
  </w:style>
  <w:style w:type="character" w:styleId="967" w:customStyle="1">
    <w:name w:val="尾注引用1"/>
    <w:basedOn w:val="913"/>
    <w:uiPriority w:val="99"/>
    <w:unhideWhenUsed/>
    <w:qFormat/>
    <w:rPr>
      <w:vertAlign w:val="superscript"/>
    </w:rPr>
  </w:style>
  <w:style w:type="character" w:styleId="968" w:customStyle="1">
    <w:name w:val="页码1"/>
    <w:basedOn w:val="913"/>
    <w:uiPriority w:val="0"/>
    <w:qFormat/>
  </w:style>
  <w:style w:type="character" w:styleId="969" w:customStyle="1">
    <w:name w:val="已访问的超链接1"/>
    <w:uiPriority w:val="0"/>
    <w:qFormat/>
    <w:rPr>
      <w:color w:val="800080"/>
      <w:szCs w:val="24"/>
      <w:u w:val="none"/>
    </w:rPr>
  </w:style>
  <w:style w:type="character" w:styleId="970" w:customStyle="1">
    <w:name w:val="强调1"/>
    <w:uiPriority w:val="0"/>
    <w:qFormat/>
    <w:rPr>
      <w:i/>
      <w:iCs/>
    </w:rPr>
  </w:style>
  <w:style w:type="character" w:styleId="971" w:customStyle="1">
    <w:name w:val="超链接1"/>
    <w:uiPriority w:val="0"/>
    <w:qFormat/>
    <w:rPr>
      <w:color w:val="000000"/>
      <w:szCs w:val="24"/>
      <w:u w:val="none"/>
    </w:rPr>
  </w:style>
  <w:style w:type="character" w:styleId="972" w:customStyle="1">
    <w:name w:val="批注引用11"/>
    <w:uiPriority w:val="0"/>
    <w:qFormat/>
    <w:rPr>
      <w:sz w:val="21"/>
      <w:szCs w:val="21"/>
    </w:rPr>
  </w:style>
  <w:style w:type="character" w:styleId="973" w:customStyle="1">
    <w:name w:val="脚注引用1"/>
    <w:basedOn w:val="913"/>
    <w:uiPriority w:val="99"/>
    <w:unhideWhenUsed/>
    <w:qFormat/>
    <w:rPr>
      <w:vertAlign w:val="superscript"/>
    </w:rPr>
  </w:style>
  <w:style w:type="character" w:styleId="974" w:customStyle="1">
    <w:name w:val="Heading 1 Char"/>
    <w:basedOn w:val="913"/>
    <w:uiPriority w:val="9"/>
    <w:qFormat/>
    <w:rPr>
      <w:rFonts w:ascii="Arial" w:hAnsi="Arial" w:eastAsia="Arial" w:cs="Arial"/>
      <w:sz w:val="40"/>
      <w:szCs w:val="40"/>
    </w:rPr>
  </w:style>
  <w:style w:type="character" w:styleId="975" w:customStyle="1">
    <w:name w:val="Heading 2 Char"/>
    <w:basedOn w:val="913"/>
    <w:uiPriority w:val="9"/>
    <w:qFormat/>
    <w:rPr>
      <w:rFonts w:ascii="Arial" w:hAnsi="Arial" w:eastAsia="Arial" w:cs="Arial"/>
      <w:sz w:val="34"/>
    </w:rPr>
  </w:style>
  <w:style w:type="character" w:styleId="976" w:customStyle="1">
    <w:name w:val="标题 6 Char"/>
    <w:basedOn w:val="913"/>
    <w:link w:val="861"/>
    <w:uiPriority w:val="9"/>
    <w:qFormat/>
    <w:rPr>
      <w:rFonts w:ascii="Arial" w:hAnsi="Arial" w:eastAsia="Arial" w:cs="Arial"/>
      <w:b/>
      <w:bCs/>
      <w:sz w:val="22"/>
      <w:szCs w:val="22"/>
    </w:rPr>
  </w:style>
  <w:style w:type="character" w:styleId="977" w:customStyle="1">
    <w:name w:val="标题 7 Char"/>
    <w:basedOn w:val="913"/>
    <w:link w:val="862"/>
    <w:uiPriority w:val="9"/>
    <w:qFormat/>
    <w:rPr>
      <w:rFonts w:ascii="Arial" w:hAnsi="Arial" w:eastAsia="Arial" w:cs="Arial"/>
      <w:b/>
      <w:bCs/>
      <w:i/>
      <w:iCs/>
      <w:sz w:val="22"/>
      <w:szCs w:val="22"/>
    </w:rPr>
  </w:style>
  <w:style w:type="character" w:styleId="978" w:customStyle="1">
    <w:name w:val="标题 8 Char"/>
    <w:basedOn w:val="913"/>
    <w:link w:val="863"/>
    <w:uiPriority w:val="9"/>
    <w:qFormat/>
    <w:rPr>
      <w:rFonts w:ascii="Arial" w:hAnsi="Arial" w:eastAsia="Arial" w:cs="Arial"/>
      <w:i/>
      <w:iCs/>
      <w:sz w:val="22"/>
      <w:szCs w:val="22"/>
    </w:rPr>
  </w:style>
  <w:style w:type="character" w:styleId="979" w:customStyle="1">
    <w:name w:val="标题 9 Char"/>
    <w:basedOn w:val="913"/>
    <w:link w:val="864"/>
    <w:uiPriority w:val="9"/>
    <w:qFormat/>
    <w:rPr>
      <w:rFonts w:ascii="Arial" w:hAnsi="Arial" w:eastAsia="Arial" w:cs="Arial"/>
      <w:i/>
      <w:iCs/>
      <w:sz w:val="21"/>
      <w:szCs w:val="21"/>
    </w:rPr>
  </w:style>
  <w:style w:type="character" w:styleId="980" w:customStyle="1">
    <w:name w:val="Title Char"/>
    <w:basedOn w:val="913"/>
    <w:uiPriority w:val="10"/>
    <w:qFormat/>
    <w:rPr>
      <w:sz w:val="48"/>
      <w:szCs w:val="48"/>
    </w:rPr>
  </w:style>
  <w:style w:type="character" w:styleId="981" w:customStyle="1">
    <w:name w:val="Subtitle Char"/>
    <w:basedOn w:val="913"/>
    <w:uiPriority w:val="11"/>
    <w:qFormat/>
    <w:rPr>
      <w:sz w:val="24"/>
      <w:szCs w:val="24"/>
    </w:rPr>
  </w:style>
  <w:style w:type="paragraph" w:styleId="982">
    <w:name w:val="Quote"/>
    <w:basedOn w:val="855"/>
    <w:next w:val="855"/>
    <w:link w:val="983"/>
    <w:uiPriority w:val="29"/>
    <w:qFormat/>
    <w:pPr>
      <w:ind w:left="720" w:right="720"/>
    </w:pPr>
    <w:rPr>
      <w:i/>
    </w:rPr>
  </w:style>
  <w:style w:type="character" w:styleId="983" w:customStyle="1">
    <w:name w:val="引用 Char"/>
    <w:link w:val="982"/>
    <w:uiPriority w:val="29"/>
    <w:qFormat/>
    <w:rPr>
      <w:i/>
    </w:rPr>
  </w:style>
  <w:style w:type="paragraph" w:styleId="984">
    <w:name w:val="Intense Quote"/>
    <w:basedOn w:val="855"/>
    <w:next w:val="855"/>
    <w:link w:val="9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明显引用 Char"/>
    <w:link w:val="984"/>
    <w:uiPriority w:val="30"/>
    <w:qFormat/>
    <w:rPr>
      <w:i/>
    </w:rPr>
  </w:style>
  <w:style w:type="paragraph" w:styleId="986" w:customStyle="1">
    <w:name w:val="Caption1"/>
    <w:basedOn w:val="855"/>
    <w:next w:val="855"/>
    <w:uiPriority w:val="35"/>
    <w:unhideWhenUsed/>
    <w:qFormat/>
    <w:pPr>
      <w:spacing w:line="276" w:lineRule="auto"/>
    </w:pPr>
    <w:rPr>
      <w:b/>
      <w:bCs/>
      <w:color w:val="4f81bd"/>
      <w:sz w:val="18"/>
      <w:szCs w:val="18"/>
    </w:rPr>
  </w:style>
  <w:style w:type="character" w:styleId="987" w:customStyle="1">
    <w:name w:val="Caption Char"/>
    <w:uiPriority w:val="99"/>
    <w:qFormat/>
  </w:style>
  <w:style w:type="table" w:styleId="988" w:customStyle="1">
    <w:name w:val="Table Grid Light"/>
    <w:basedOn w:val="914"/>
    <w:uiPriority w:val="59"/>
    <w:qFormat/>
    <w:tblPr>
      <w:tblCellMar>
        <w:left w:w="0" w:type="dxa"/>
        <w:top w:w="0" w:type="dxa"/>
        <w:right w:w="0" w:type="dxa"/>
        <w:bottom w:w="0" w:type="dxa"/>
      </w:tblCellMar>
    </w:tblPr>
  </w:style>
  <w:style w:type="table" w:styleId="989" w:customStyle="1">
    <w:name w:val="Plain Table 1"/>
    <w:basedOn w:val="914"/>
    <w:uiPriority w:val="59"/>
    <w:qFormat/>
    <w:tblPr>
      <w:tblCellMar>
        <w:left w:w="0" w:type="dxa"/>
        <w:top w:w="0" w:type="dxa"/>
        <w:right w:w="0" w:type="dxa"/>
        <w:bottom w:w="0" w:type="dxa"/>
      </w:tblCellMar>
    </w:tblPr>
  </w:style>
  <w:style w:type="table" w:styleId="990" w:customStyle="1">
    <w:name w:val="Plain Table 2"/>
    <w:basedOn w:val="914"/>
    <w:uiPriority w:val="59"/>
    <w:qFormat/>
    <w:tblPr>
      <w:tblCellMar>
        <w:left w:w="0" w:type="dxa"/>
        <w:top w:w="0" w:type="dxa"/>
        <w:right w:w="0" w:type="dxa"/>
        <w:bottom w:w="0" w:type="dxa"/>
      </w:tblCellMar>
    </w:tblPr>
  </w:style>
  <w:style w:type="table" w:styleId="991" w:customStyle="1">
    <w:name w:val="Plain Table 3"/>
    <w:basedOn w:val="914"/>
    <w:uiPriority w:val="99"/>
    <w:qFormat/>
    <w:tblPr>
      <w:tblCellMar>
        <w:left w:w="0" w:type="dxa"/>
        <w:top w:w="0" w:type="dxa"/>
        <w:right w:w="0" w:type="dxa"/>
        <w:bottom w:w="0" w:type="dxa"/>
      </w:tblCellMar>
    </w:tblPr>
  </w:style>
  <w:style w:type="table" w:styleId="992" w:customStyle="1">
    <w:name w:val="Plain Table 4"/>
    <w:basedOn w:val="914"/>
    <w:uiPriority w:val="99"/>
    <w:qFormat/>
    <w:tblPr>
      <w:tblCellMar>
        <w:left w:w="0" w:type="dxa"/>
        <w:top w:w="0" w:type="dxa"/>
        <w:right w:w="0" w:type="dxa"/>
        <w:bottom w:w="0" w:type="dxa"/>
      </w:tblCellMar>
    </w:tblPr>
  </w:style>
  <w:style w:type="table" w:styleId="993" w:customStyle="1">
    <w:name w:val="Plain Table 5"/>
    <w:basedOn w:val="914"/>
    <w:uiPriority w:val="99"/>
    <w:qFormat/>
    <w:tblPr>
      <w:tblCellMar>
        <w:left w:w="0" w:type="dxa"/>
        <w:top w:w="0" w:type="dxa"/>
        <w:right w:w="0" w:type="dxa"/>
        <w:bottom w:w="0" w:type="dxa"/>
      </w:tblCellMar>
    </w:tblPr>
  </w:style>
  <w:style w:type="table" w:styleId="994" w:customStyle="1">
    <w:name w:val="Grid Table 1 Light"/>
    <w:basedOn w:val="914"/>
    <w:uiPriority w:val="99"/>
    <w:qFormat/>
    <w:tblPr>
      <w:tblCellMar>
        <w:left w:w="0" w:type="dxa"/>
        <w:top w:w="0" w:type="dxa"/>
        <w:right w:w="0" w:type="dxa"/>
        <w:bottom w:w="0" w:type="dxa"/>
      </w:tblCellMar>
    </w:tblPr>
  </w:style>
  <w:style w:type="table" w:styleId="995" w:customStyle="1">
    <w:name w:val="Grid Table 1 Light - Accent 1"/>
    <w:basedOn w:val="914"/>
    <w:uiPriority w:val="99"/>
    <w:qFormat/>
    <w:tblPr>
      <w:tblCellMar>
        <w:left w:w="0" w:type="dxa"/>
        <w:top w:w="0" w:type="dxa"/>
        <w:right w:w="0" w:type="dxa"/>
        <w:bottom w:w="0" w:type="dxa"/>
      </w:tblCellMar>
    </w:tblPr>
  </w:style>
  <w:style w:type="table" w:styleId="996" w:customStyle="1">
    <w:name w:val="Grid Table 1 Light - Accent 2"/>
    <w:basedOn w:val="914"/>
    <w:uiPriority w:val="99"/>
    <w:qFormat/>
    <w:tblPr>
      <w:tblCellMar>
        <w:left w:w="0" w:type="dxa"/>
        <w:top w:w="0" w:type="dxa"/>
        <w:right w:w="0" w:type="dxa"/>
        <w:bottom w:w="0" w:type="dxa"/>
      </w:tblCellMar>
    </w:tblPr>
  </w:style>
  <w:style w:type="table" w:styleId="997" w:customStyle="1">
    <w:name w:val="Grid Table 1 Light - Accent 3"/>
    <w:basedOn w:val="914"/>
    <w:uiPriority w:val="99"/>
    <w:qFormat/>
    <w:tblPr>
      <w:tblCellMar>
        <w:left w:w="0" w:type="dxa"/>
        <w:top w:w="0" w:type="dxa"/>
        <w:right w:w="0" w:type="dxa"/>
        <w:bottom w:w="0" w:type="dxa"/>
      </w:tblCellMar>
    </w:tblPr>
  </w:style>
  <w:style w:type="table" w:styleId="998" w:customStyle="1">
    <w:name w:val="Grid Table 1 Light - Accent 4"/>
    <w:basedOn w:val="914"/>
    <w:uiPriority w:val="99"/>
    <w:qFormat/>
    <w:tblPr>
      <w:tblCellMar>
        <w:left w:w="0" w:type="dxa"/>
        <w:top w:w="0" w:type="dxa"/>
        <w:right w:w="0" w:type="dxa"/>
        <w:bottom w:w="0" w:type="dxa"/>
      </w:tblCellMar>
    </w:tblPr>
  </w:style>
  <w:style w:type="table" w:styleId="999" w:customStyle="1">
    <w:name w:val="Grid Table 1 Light - Accent 5"/>
    <w:basedOn w:val="914"/>
    <w:uiPriority w:val="99"/>
    <w:qFormat/>
    <w:tblPr>
      <w:tblCellMar>
        <w:left w:w="0" w:type="dxa"/>
        <w:top w:w="0" w:type="dxa"/>
        <w:right w:w="0" w:type="dxa"/>
        <w:bottom w:w="0" w:type="dxa"/>
      </w:tblCellMar>
    </w:tblPr>
  </w:style>
  <w:style w:type="table" w:styleId="1000" w:customStyle="1">
    <w:name w:val="Grid Table 1 Light - Accent 6"/>
    <w:basedOn w:val="914"/>
    <w:uiPriority w:val="99"/>
    <w:qFormat/>
    <w:tblPr>
      <w:tblCellMar>
        <w:left w:w="0" w:type="dxa"/>
        <w:top w:w="0" w:type="dxa"/>
        <w:right w:w="0" w:type="dxa"/>
        <w:bottom w:w="0" w:type="dxa"/>
      </w:tblCellMar>
    </w:tblPr>
  </w:style>
  <w:style w:type="table" w:styleId="1001" w:customStyle="1">
    <w:name w:val="Grid Table 2"/>
    <w:basedOn w:val="914"/>
    <w:uiPriority w:val="99"/>
    <w:qFormat/>
    <w:tblPr>
      <w:tblCellMar>
        <w:left w:w="0" w:type="dxa"/>
        <w:top w:w="0" w:type="dxa"/>
        <w:right w:w="0" w:type="dxa"/>
        <w:bottom w:w="0" w:type="dxa"/>
      </w:tblCellMar>
    </w:tblPr>
  </w:style>
  <w:style w:type="table" w:styleId="1002" w:customStyle="1">
    <w:name w:val="Grid Table 2 - Accent 1"/>
    <w:basedOn w:val="914"/>
    <w:uiPriority w:val="99"/>
    <w:qFormat/>
    <w:tblPr>
      <w:tblCellMar>
        <w:left w:w="0" w:type="dxa"/>
        <w:top w:w="0" w:type="dxa"/>
        <w:right w:w="0" w:type="dxa"/>
        <w:bottom w:w="0" w:type="dxa"/>
      </w:tblCellMar>
    </w:tblPr>
  </w:style>
  <w:style w:type="table" w:styleId="1003" w:customStyle="1">
    <w:name w:val="Grid Table 2 - Accent 2"/>
    <w:basedOn w:val="914"/>
    <w:uiPriority w:val="99"/>
    <w:qFormat/>
    <w:tblPr>
      <w:tblCellMar>
        <w:left w:w="0" w:type="dxa"/>
        <w:top w:w="0" w:type="dxa"/>
        <w:right w:w="0" w:type="dxa"/>
        <w:bottom w:w="0" w:type="dxa"/>
      </w:tblCellMar>
    </w:tblPr>
  </w:style>
  <w:style w:type="table" w:styleId="1004" w:customStyle="1">
    <w:name w:val="Grid Table 2 - Accent 3"/>
    <w:basedOn w:val="914"/>
    <w:uiPriority w:val="99"/>
    <w:qFormat/>
    <w:tblPr>
      <w:tblCellMar>
        <w:left w:w="0" w:type="dxa"/>
        <w:top w:w="0" w:type="dxa"/>
        <w:right w:w="0" w:type="dxa"/>
        <w:bottom w:w="0" w:type="dxa"/>
      </w:tblCellMar>
    </w:tblPr>
  </w:style>
  <w:style w:type="table" w:styleId="1005" w:customStyle="1">
    <w:name w:val="Grid Table 2 - Accent 4"/>
    <w:basedOn w:val="914"/>
    <w:uiPriority w:val="99"/>
    <w:qFormat/>
    <w:tblPr>
      <w:tblCellMar>
        <w:left w:w="0" w:type="dxa"/>
        <w:top w:w="0" w:type="dxa"/>
        <w:right w:w="0" w:type="dxa"/>
        <w:bottom w:w="0" w:type="dxa"/>
      </w:tblCellMar>
    </w:tblPr>
  </w:style>
  <w:style w:type="table" w:styleId="1006" w:customStyle="1">
    <w:name w:val="Grid Table 2 - Accent 5"/>
    <w:basedOn w:val="914"/>
    <w:uiPriority w:val="99"/>
    <w:qFormat/>
    <w:tblPr>
      <w:tblCellMar>
        <w:left w:w="0" w:type="dxa"/>
        <w:top w:w="0" w:type="dxa"/>
        <w:right w:w="0" w:type="dxa"/>
        <w:bottom w:w="0" w:type="dxa"/>
      </w:tblCellMar>
    </w:tblPr>
  </w:style>
  <w:style w:type="table" w:styleId="1007" w:customStyle="1">
    <w:name w:val="Grid Table 2 - Accent 6"/>
    <w:basedOn w:val="914"/>
    <w:uiPriority w:val="99"/>
    <w:qFormat/>
    <w:tblPr>
      <w:tblCellMar>
        <w:left w:w="0" w:type="dxa"/>
        <w:top w:w="0" w:type="dxa"/>
        <w:right w:w="0" w:type="dxa"/>
        <w:bottom w:w="0" w:type="dxa"/>
      </w:tblCellMar>
    </w:tblPr>
  </w:style>
  <w:style w:type="table" w:styleId="1008" w:customStyle="1">
    <w:name w:val="Grid Table 3"/>
    <w:basedOn w:val="914"/>
    <w:uiPriority w:val="99"/>
    <w:qFormat/>
    <w:tblPr>
      <w:tblCellMar>
        <w:left w:w="0" w:type="dxa"/>
        <w:top w:w="0" w:type="dxa"/>
        <w:right w:w="0" w:type="dxa"/>
        <w:bottom w:w="0" w:type="dxa"/>
      </w:tblCellMar>
    </w:tblPr>
  </w:style>
  <w:style w:type="table" w:styleId="1009" w:customStyle="1">
    <w:name w:val="Grid Table 3 - Accent 1"/>
    <w:basedOn w:val="914"/>
    <w:uiPriority w:val="99"/>
    <w:qFormat/>
    <w:tblPr>
      <w:tblCellMar>
        <w:left w:w="0" w:type="dxa"/>
        <w:top w:w="0" w:type="dxa"/>
        <w:right w:w="0" w:type="dxa"/>
        <w:bottom w:w="0" w:type="dxa"/>
      </w:tblCellMar>
    </w:tblPr>
  </w:style>
  <w:style w:type="table" w:styleId="1010" w:customStyle="1">
    <w:name w:val="Grid Table 3 - Accent 2"/>
    <w:basedOn w:val="914"/>
    <w:uiPriority w:val="99"/>
    <w:qFormat/>
    <w:tblPr>
      <w:tblCellMar>
        <w:left w:w="0" w:type="dxa"/>
        <w:top w:w="0" w:type="dxa"/>
        <w:right w:w="0" w:type="dxa"/>
        <w:bottom w:w="0" w:type="dxa"/>
      </w:tblCellMar>
    </w:tblPr>
  </w:style>
  <w:style w:type="table" w:styleId="1011" w:customStyle="1">
    <w:name w:val="Grid Table 3 - Accent 3"/>
    <w:basedOn w:val="914"/>
    <w:uiPriority w:val="99"/>
    <w:qFormat/>
    <w:tblPr>
      <w:tblCellMar>
        <w:left w:w="0" w:type="dxa"/>
        <w:top w:w="0" w:type="dxa"/>
        <w:right w:w="0" w:type="dxa"/>
        <w:bottom w:w="0" w:type="dxa"/>
      </w:tblCellMar>
    </w:tblPr>
  </w:style>
  <w:style w:type="table" w:styleId="1012" w:customStyle="1">
    <w:name w:val="Grid Table 3 - Accent 4"/>
    <w:basedOn w:val="914"/>
    <w:uiPriority w:val="99"/>
    <w:qFormat/>
    <w:tblPr>
      <w:tblCellMar>
        <w:left w:w="0" w:type="dxa"/>
        <w:top w:w="0" w:type="dxa"/>
        <w:right w:w="0" w:type="dxa"/>
        <w:bottom w:w="0" w:type="dxa"/>
      </w:tblCellMar>
    </w:tblPr>
  </w:style>
  <w:style w:type="table" w:styleId="1013" w:customStyle="1">
    <w:name w:val="Grid Table 3 - Accent 5"/>
    <w:basedOn w:val="914"/>
    <w:uiPriority w:val="99"/>
    <w:qFormat/>
    <w:tblPr>
      <w:tblCellMar>
        <w:left w:w="0" w:type="dxa"/>
        <w:top w:w="0" w:type="dxa"/>
        <w:right w:w="0" w:type="dxa"/>
        <w:bottom w:w="0" w:type="dxa"/>
      </w:tblCellMar>
    </w:tblPr>
  </w:style>
  <w:style w:type="table" w:styleId="1014" w:customStyle="1">
    <w:name w:val="Grid Table 3 - Accent 6"/>
    <w:basedOn w:val="914"/>
    <w:uiPriority w:val="99"/>
    <w:qFormat/>
    <w:tblPr>
      <w:tblCellMar>
        <w:left w:w="0" w:type="dxa"/>
        <w:top w:w="0" w:type="dxa"/>
        <w:right w:w="0" w:type="dxa"/>
        <w:bottom w:w="0" w:type="dxa"/>
      </w:tblCellMar>
    </w:tblPr>
  </w:style>
  <w:style w:type="table" w:styleId="1015" w:customStyle="1">
    <w:name w:val="Grid Table 4"/>
    <w:basedOn w:val="914"/>
    <w:uiPriority w:val="59"/>
    <w:qFormat/>
    <w:tblPr>
      <w:tblCellMar>
        <w:left w:w="0" w:type="dxa"/>
        <w:top w:w="0" w:type="dxa"/>
        <w:right w:w="0" w:type="dxa"/>
        <w:bottom w:w="0" w:type="dxa"/>
      </w:tblCellMar>
    </w:tblPr>
  </w:style>
  <w:style w:type="table" w:styleId="1016" w:customStyle="1">
    <w:name w:val="Grid Table 4 - Accent 1"/>
    <w:basedOn w:val="914"/>
    <w:uiPriority w:val="59"/>
    <w:qFormat/>
    <w:tblPr>
      <w:tblCellMar>
        <w:left w:w="0" w:type="dxa"/>
        <w:top w:w="0" w:type="dxa"/>
        <w:right w:w="0" w:type="dxa"/>
        <w:bottom w:w="0" w:type="dxa"/>
      </w:tblCellMar>
    </w:tblPr>
  </w:style>
  <w:style w:type="table" w:styleId="1017" w:customStyle="1">
    <w:name w:val="Grid Table 4 - Accent 2"/>
    <w:basedOn w:val="914"/>
    <w:uiPriority w:val="59"/>
    <w:qFormat/>
    <w:tblPr>
      <w:tblCellMar>
        <w:left w:w="0" w:type="dxa"/>
        <w:top w:w="0" w:type="dxa"/>
        <w:right w:w="0" w:type="dxa"/>
        <w:bottom w:w="0" w:type="dxa"/>
      </w:tblCellMar>
    </w:tblPr>
  </w:style>
  <w:style w:type="table" w:styleId="1018" w:customStyle="1">
    <w:name w:val="Grid Table 4 - Accent 3"/>
    <w:basedOn w:val="914"/>
    <w:uiPriority w:val="59"/>
    <w:qFormat/>
    <w:tblPr>
      <w:tblCellMar>
        <w:left w:w="0" w:type="dxa"/>
        <w:top w:w="0" w:type="dxa"/>
        <w:right w:w="0" w:type="dxa"/>
        <w:bottom w:w="0" w:type="dxa"/>
      </w:tblCellMar>
    </w:tblPr>
  </w:style>
  <w:style w:type="table" w:styleId="1019" w:customStyle="1">
    <w:name w:val="Grid Table 4 - Accent 4"/>
    <w:basedOn w:val="914"/>
    <w:uiPriority w:val="59"/>
    <w:qFormat/>
    <w:tblPr>
      <w:tblCellMar>
        <w:left w:w="0" w:type="dxa"/>
        <w:top w:w="0" w:type="dxa"/>
        <w:right w:w="0" w:type="dxa"/>
        <w:bottom w:w="0" w:type="dxa"/>
      </w:tblCellMar>
    </w:tblPr>
  </w:style>
  <w:style w:type="table" w:styleId="1020" w:customStyle="1">
    <w:name w:val="Grid Table 4 - Accent 5"/>
    <w:basedOn w:val="914"/>
    <w:uiPriority w:val="59"/>
    <w:qFormat/>
    <w:tblPr>
      <w:tblCellMar>
        <w:left w:w="0" w:type="dxa"/>
        <w:top w:w="0" w:type="dxa"/>
        <w:right w:w="0" w:type="dxa"/>
        <w:bottom w:w="0" w:type="dxa"/>
      </w:tblCellMar>
    </w:tblPr>
  </w:style>
  <w:style w:type="table" w:styleId="1021" w:customStyle="1">
    <w:name w:val="Grid Table 4 - Accent 6"/>
    <w:basedOn w:val="914"/>
    <w:uiPriority w:val="59"/>
    <w:qFormat/>
    <w:tblPr>
      <w:tblCellMar>
        <w:left w:w="0" w:type="dxa"/>
        <w:top w:w="0" w:type="dxa"/>
        <w:right w:w="0" w:type="dxa"/>
        <w:bottom w:w="0" w:type="dxa"/>
      </w:tblCellMar>
    </w:tblPr>
  </w:style>
  <w:style w:type="table" w:styleId="1022" w:customStyle="1">
    <w:name w:val="Grid Table 5 Dark"/>
    <w:basedOn w:val="914"/>
    <w:uiPriority w:val="99"/>
    <w:qFormat/>
    <w:tblPr>
      <w:tblCellMar>
        <w:left w:w="0" w:type="dxa"/>
        <w:top w:w="0" w:type="dxa"/>
        <w:right w:w="0" w:type="dxa"/>
        <w:bottom w:w="0" w:type="dxa"/>
      </w:tblCellMar>
    </w:tblPr>
  </w:style>
  <w:style w:type="table" w:styleId="1023" w:customStyle="1">
    <w:name w:val="Grid Table 5 Dark- Accent 1"/>
    <w:basedOn w:val="914"/>
    <w:uiPriority w:val="99"/>
    <w:qFormat/>
    <w:tblPr>
      <w:tblCellMar>
        <w:left w:w="0" w:type="dxa"/>
        <w:top w:w="0" w:type="dxa"/>
        <w:right w:w="0" w:type="dxa"/>
        <w:bottom w:w="0" w:type="dxa"/>
      </w:tblCellMar>
    </w:tblPr>
  </w:style>
  <w:style w:type="table" w:styleId="1024" w:customStyle="1">
    <w:name w:val="Grid Table 5 Dark - Accent 2"/>
    <w:basedOn w:val="914"/>
    <w:uiPriority w:val="99"/>
    <w:qFormat/>
    <w:tblPr>
      <w:tblCellMar>
        <w:left w:w="0" w:type="dxa"/>
        <w:top w:w="0" w:type="dxa"/>
        <w:right w:w="0" w:type="dxa"/>
        <w:bottom w:w="0" w:type="dxa"/>
      </w:tblCellMar>
    </w:tblPr>
  </w:style>
  <w:style w:type="table" w:styleId="1025" w:customStyle="1">
    <w:name w:val="Grid Table 5 Dark - Accent 3"/>
    <w:basedOn w:val="914"/>
    <w:uiPriority w:val="99"/>
    <w:qFormat/>
    <w:tblPr>
      <w:tblCellMar>
        <w:left w:w="0" w:type="dxa"/>
        <w:top w:w="0" w:type="dxa"/>
        <w:right w:w="0" w:type="dxa"/>
        <w:bottom w:w="0" w:type="dxa"/>
      </w:tblCellMar>
    </w:tblPr>
  </w:style>
  <w:style w:type="table" w:styleId="1026" w:customStyle="1">
    <w:name w:val="Grid Table 5 Dark- Accent 4"/>
    <w:basedOn w:val="914"/>
    <w:uiPriority w:val="99"/>
    <w:qFormat/>
    <w:tblPr>
      <w:tblCellMar>
        <w:left w:w="0" w:type="dxa"/>
        <w:top w:w="0" w:type="dxa"/>
        <w:right w:w="0" w:type="dxa"/>
        <w:bottom w:w="0" w:type="dxa"/>
      </w:tblCellMar>
    </w:tblPr>
  </w:style>
  <w:style w:type="table" w:styleId="1027" w:customStyle="1">
    <w:name w:val="Grid Table 5 Dark - Accent 5"/>
    <w:basedOn w:val="914"/>
    <w:uiPriority w:val="99"/>
    <w:qFormat/>
    <w:tblPr>
      <w:tblCellMar>
        <w:left w:w="0" w:type="dxa"/>
        <w:top w:w="0" w:type="dxa"/>
        <w:right w:w="0" w:type="dxa"/>
        <w:bottom w:w="0" w:type="dxa"/>
      </w:tblCellMar>
    </w:tblPr>
  </w:style>
  <w:style w:type="table" w:styleId="1028" w:customStyle="1">
    <w:name w:val="Grid Table 5 Dark - Accent 6"/>
    <w:basedOn w:val="914"/>
    <w:uiPriority w:val="99"/>
    <w:qFormat/>
    <w:tblPr>
      <w:tblCellMar>
        <w:left w:w="0" w:type="dxa"/>
        <w:top w:w="0" w:type="dxa"/>
        <w:right w:w="0" w:type="dxa"/>
        <w:bottom w:w="0" w:type="dxa"/>
      </w:tblCellMar>
    </w:tblPr>
  </w:style>
  <w:style w:type="table" w:styleId="1029" w:customStyle="1">
    <w:name w:val="Grid Table 6 Colorful"/>
    <w:basedOn w:val="914"/>
    <w:uiPriority w:val="99"/>
    <w:qFormat/>
    <w:tblPr>
      <w:tblCellMar>
        <w:left w:w="0" w:type="dxa"/>
        <w:top w:w="0" w:type="dxa"/>
        <w:right w:w="0" w:type="dxa"/>
        <w:bottom w:w="0" w:type="dxa"/>
      </w:tblCellMar>
    </w:tblPr>
  </w:style>
  <w:style w:type="table" w:styleId="1030" w:customStyle="1">
    <w:name w:val="Grid Table 6 Colorful - Accent 1"/>
    <w:basedOn w:val="914"/>
    <w:uiPriority w:val="99"/>
    <w:qFormat/>
    <w:tblPr>
      <w:tblCellMar>
        <w:left w:w="0" w:type="dxa"/>
        <w:top w:w="0" w:type="dxa"/>
        <w:right w:w="0" w:type="dxa"/>
        <w:bottom w:w="0" w:type="dxa"/>
      </w:tblCellMar>
    </w:tblPr>
  </w:style>
  <w:style w:type="table" w:styleId="1031" w:customStyle="1">
    <w:name w:val="Grid Table 6 Colorful - Accent 2"/>
    <w:basedOn w:val="914"/>
    <w:uiPriority w:val="99"/>
    <w:qFormat/>
    <w:tblPr>
      <w:tblCellMar>
        <w:left w:w="0" w:type="dxa"/>
        <w:top w:w="0" w:type="dxa"/>
        <w:right w:w="0" w:type="dxa"/>
        <w:bottom w:w="0" w:type="dxa"/>
      </w:tblCellMar>
    </w:tblPr>
  </w:style>
  <w:style w:type="table" w:styleId="1032" w:customStyle="1">
    <w:name w:val="Grid Table 6 Colorful - Accent 3"/>
    <w:basedOn w:val="914"/>
    <w:uiPriority w:val="99"/>
    <w:qFormat/>
    <w:tblPr>
      <w:tblCellMar>
        <w:left w:w="0" w:type="dxa"/>
        <w:top w:w="0" w:type="dxa"/>
        <w:right w:w="0" w:type="dxa"/>
        <w:bottom w:w="0" w:type="dxa"/>
      </w:tblCellMar>
    </w:tblPr>
  </w:style>
  <w:style w:type="table" w:styleId="1033" w:customStyle="1">
    <w:name w:val="Grid Table 6 Colorful - Accent 4"/>
    <w:basedOn w:val="914"/>
    <w:uiPriority w:val="99"/>
    <w:qFormat/>
    <w:tblPr>
      <w:tblCellMar>
        <w:left w:w="0" w:type="dxa"/>
        <w:top w:w="0" w:type="dxa"/>
        <w:right w:w="0" w:type="dxa"/>
        <w:bottom w:w="0" w:type="dxa"/>
      </w:tblCellMar>
    </w:tblPr>
  </w:style>
  <w:style w:type="table" w:styleId="1034" w:customStyle="1">
    <w:name w:val="Grid Table 6 Colorful - Accent 5"/>
    <w:basedOn w:val="914"/>
    <w:uiPriority w:val="99"/>
    <w:qFormat/>
    <w:tblPr>
      <w:tblCellMar>
        <w:left w:w="0" w:type="dxa"/>
        <w:top w:w="0" w:type="dxa"/>
        <w:right w:w="0" w:type="dxa"/>
        <w:bottom w:w="0" w:type="dxa"/>
      </w:tblCellMar>
    </w:tblPr>
  </w:style>
  <w:style w:type="table" w:styleId="1035" w:customStyle="1">
    <w:name w:val="Grid Table 6 Colorful - Accent 6"/>
    <w:basedOn w:val="914"/>
    <w:uiPriority w:val="99"/>
    <w:qFormat/>
    <w:tblPr>
      <w:tblCellMar>
        <w:left w:w="0" w:type="dxa"/>
        <w:top w:w="0" w:type="dxa"/>
        <w:right w:w="0" w:type="dxa"/>
        <w:bottom w:w="0" w:type="dxa"/>
      </w:tblCellMar>
    </w:tblPr>
  </w:style>
  <w:style w:type="table" w:styleId="1036" w:customStyle="1">
    <w:name w:val="Grid Table 7 Colorful"/>
    <w:basedOn w:val="914"/>
    <w:uiPriority w:val="99"/>
    <w:qFormat/>
    <w:tblPr>
      <w:tblCellMar>
        <w:left w:w="0" w:type="dxa"/>
        <w:top w:w="0" w:type="dxa"/>
        <w:right w:w="0" w:type="dxa"/>
        <w:bottom w:w="0" w:type="dxa"/>
      </w:tblCellMar>
    </w:tblPr>
  </w:style>
  <w:style w:type="table" w:styleId="1037" w:customStyle="1">
    <w:name w:val="Grid Table 7 Colorful - Accent 1"/>
    <w:basedOn w:val="914"/>
    <w:uiPriority w:val="99"/>
    <w:qFormat/>
    <w:tblPr>
      <w:tblCellMar>
        <w:left w:w="0" w:type="dxa"/>
        <w:top w:w="0" w:type="dxa"/>
        <w:right w:w="0" w:type="dxa"/>
        <w:bottom w:w="0" w:type="dxa"/>
      </w:tblCellMar>
    </w:tblPr>
  </w:style>
  <w:style w:type="table" w:styleId="1038" w:customStyle="1">
    <w:name w:val="Grid Table 7 Colorful - Accent 2"/>
    <w:basedOn w:val="914"/>
    <w:uiPriority w:val="99"/>
    <w:qFormat/>
    <w:tblPr>
      <w:tblCellMar>
        <w:left w:w="0" w:type="dxa"/>
        <w:top w:w="0" w:type="dxa"/>
        <w:right w:w="0" w:type="dxa"/>
        <w:bottom w:w="0" w:type="dxa"/>
      </w:tblCellMar>
    </w:tblPr>
  </w:style>
  <w:style w:type="table" w:styleId="1039" w:customStyle="1">
    <w:name w:val="Grid Table 7 Colorful - Accent 3"/>
    <w:basedOn w:val="914"/>
    <w:uiPriority w:val="99"/>
    <w:qFormat/>
    <w:tblPr>
      <w:tblCellMar>
        <w:left w:w="0" w:type="dxa"/>
        <w:top w:w="0" w:type="dxa"/>
        <w:right w:w="0" w:type="dxa"/>
        <w:bottom w:w="0" w:type="dxa"/>
      </w:tblCellMar>
    </w:tblPr>
  </w:style>
  <w:style w:type="table" w:styleId="1040" w:customStyle="1">
    <w:name w:val="Grid Table 7 Colorful - Accent 4"/>
    <w:basedOn w:val="914"/>
    <w:uiPriority w:val="99"/>
    <w:qFormat/>
    <w:tblPr>
      <w:tblCellMar>
        <w:left w:w="0" w:type="dxa"/>
        <w:top w:w="0" w:type="dxa"/>
        <w:right w:w="0" w:type="dxa"/>
        <w:bottom w:w="0" w:type="dxa"/>
      </w:tblCellMar>
    </w:tblPr>
  </w:style>
  <w:style w:type="table" w:styleId="1041" w:customStyle="1">
    <w:name w:val="Grid Table 7 Colorful - Accent 5"/>
    <w:basedOn w:val="914"/>
    <w:uiPriority w:val="99"/>
    <w:qFormat/>
    <w:tblPr>
      <w:tblCellMar>
        <w:left w:w="0" w:type="dxa"/>
        <w:top w:w="0" w:type="dxa"/>
        <w:right w:w="0" w:type="dxa"/>
        <w:bottom w:w="0" w:type="dxa"/>
      </w:tblCellMar>
    </w:tblPr>
  </w:style>
  <w:style w:type="table" w:styleId="1042" w:customStyle="1">
    <w:name w:val="Grid Table 7 Colorful - Accent 6"/>
    <w:basedOn w:val="914"/>
    <w:uiPriority w:val="99"/>
    <w:qFormat/>
    <w:tblPr>
      <w:tblCellMar>
        <w:left w:w="0" w:type="dxa"/>
        <w:top w:w="0" w:type="dxa"/>
        <w:right w:w="0" w:type="dxa"/>
        <w:bottom w:w="0" w:type="dxa"/>
      </w:tblCellMar>
    </w:tblPr>
  </w:style>
  <w:style w:type="table" w:styleId="1043" w:customStyle="1">
    <w:name w:val="List Table 1 Light"/>
    <w:basedOn w:val="914"/>
    <w:uiPriority w:val="99"/>
    <w:qFormat/>
    <w:tblPr>
      <w:tblCellMar>
        <w:left w:w="0" w:type="dxa"/>
        <w:top w:w="0" w:type="dxa"/>
        <w:right w:w="0" w:type="dxa"/>
        <w:bottom w:w="0" w:type="dxa"/>
      </w:tblCellMar>
    </w:tblPr>
  </w:style>
  <w:style w:type="table" w:styleId="1044" w:customStyle="1">
    <w:name w:val="List Table 1 Light - Accent 1"/>
    <w:basedOn w:val="914"/>
    <w:uiPriority w:val="99"/>
    <w:qFormat/>
    <w:tblPr>
      <w:tblCellMar>
        <w:left w:w="0" w:type="dxa"/>
        <w:top w:w="0" w:type="dxa"/>
        <w:right w:w="0" w:type="dxa"/>
        <w:bottom w:w="0" w:type="dxa"/>
      </w:tblCellMar>
    </w:tblPr>
  </w:style>
  <w:style w:type="table" w:styleId="1045" w:customStyle="1">
    <w:name w:val="List Table 1 Light - Accent 2"/>
    <w:basedOn w:val="914"/>
    <w:uiPriority w:val="99"/>
    <w:qFormat/>
    <w:tblPr>
      <w:tblCellMar>
        <w:left w:w="0" w:type="dxa"/>
        <w:top w:w="0" w:type="dxa"/>
        <w:right w:w="0" w:type="dxa"/>
        <w:bottom w:w="0" w:type="dxa"/>
      </w:tblCellMar>
    </w:tblPr>
  </w:style>
  <w:style w:type="table" w:styleId="1046" w:customStyle="1">
    <w:name w:val="List Table 1 Light - Accent 3"/>
    <w:basedOn w:val="914"/>
    <w:uiPriority w:val="99"/>
    <w:qFormat/>
    <w:tblPr>
      <w:tblCellMar>
        <w:left w:w="0" w:type="dxa"/>
        <w:top w:w="0" w:type="dxa"/>
        <w:right w:w="0" w:type="dxa"/>
        <w:bottom w:w="0" w:type="dxa"/>
      </w:tblCellMar>
    </w:tblPr>
  </w:style>
  <w:style w:type="table" w:styleId="1047" w:customStyle="1">
    <w:name w:val="List Table 1 Light - Accent 4"/>
    <w:basedOn w:val="914"/>
    <w:uiPriority w:val="99"/>
    <w:qFormat/>
    <w:tblPr>
      <w:tblCellMar>
        <w:left w:w="0" w:type="dxa"/>
        <w:top w:w="0" w:type="dxa"/>
        <w:right w:w="0" w:type="dxa"/>
        <w:bottom w:w="0" w:type="dxa"/>
      </w:tblCellMar>
    </w:tblPr>
  </w:style>
  <w:style w:type="table" w:styleId="1048" w:customStyle="1">
    <w:name w:val="List Table 1 Light - Accent 5"/>
    <w:basedOn w:val="914"/>
    <w:uiPriority w:val="99"/>
    <w:qFormat/>
    <w:tblPr>
      <w:tblCellMar>
        <w:left w:w="0" w:type="dxa"/>
        <w:top w:w="0" w:type="dxa"/>
        <w:right w:w="0" w:type="dxa"/>
        <w:bottom w:w="0" w:type="dxa"/>
      </w:tblCellMar>
    </w:tblPr>
  </w:style>
  <w:style w:type="table" w:styleId="1049" w:customStyle="1">
    <w:name w:val="List Table 1 Light - Accent 6"/>
    <w:basedOn w:val="914"/>
    <w:uiPriority w:val="99"/>
    <w:qFormat/>
    <w:tblPr>
      <w:tblCellMar>
        <w:left w:w="0" w:type="dxa"/>
        <w:top w:w="0" w:type="dxa"/>
        <w:right w:w="0" w:type="dxa"/>
        <w:bottom w:w="0" w:type="dxa"/>
      </w:tblCellMar>
    </w:tblPr>
  </w:style>
  <w:style w:type="table" w:styleId="1050" w:customStyle="1">
    <w:name w:val="List Table 2"/>
    <w:basedOn w:val="914"/>
    <w:uiPriority w:val="99"/>
    <w:qFormat/>
    <w:tblPr>
      <w:tblCellMar>
        <w:left w:w="0" w:type="dxa"/>
        <w:top w:w="0" w:type="dxa"/>
        <w:right w:w="0" w:type="dxa"/>
        <w:bottom w:w="0" w:type="dxa"/>
      </w:tblCellMar>
    </w:tblPr>
  </w:style>
  <w:style w:type="table" w:styleId="1051" w:customStyle="1">
    <w:name w:val="List Table 2 - Accent 1"/>
    <w:basedOn w:val="914"/>
    <w:uiPriority w:val="99"/>
    <w:qFormat/>
    <w:tblPr>
      <w:tblCellMar>
        <w:left w:w="0" w:type="dxa"/>
        <w:top w:w="0" w:type="dxa"/>
        <w:right w:w="0" w:type="dxa"/>
        <w:bottom w:w="0" w:type="dxa"/>
      </w:tblCellMar>
    </w:tblPr>
  </w:style>
  <w:style w:type="table" w:styleId="1052" w:customStyle="1">
    <w:name w:val="List Table 2 - Accent 2"/>
    <w:basedOn w:val="914"/>
    <w:uiPriority w:val="99"/>
    <w:qFormat/>
    <w:tblPr>
      <w:tblCellMar>
        <w:left w:w="0" w:type="dxa"/>
        <w:top w:w="0" w:type="dxa"/>
        <w:right w:w="0" w:type="dxa"/>
        <w:bottom w:w="0" w:type="dxa"/>
      </w:tblCellMar>
    </w:tblPr>
  </w:style>
  <w:style w:type="table" w:styleId="1053" w:customStyle="1">
    <w:name w:val="List Table 2 - Accent 3"/>
    <w:basedOn w:val="914"/>
    <w:uiPriority w:val="99"/>
    <w:qFormat/>
    <w:tblPr>
      <w:tblCellMar>
        <w:left w:w="0" w:type="dxa"/>
        <w:top w:w="0" w:type="dxa"/>
        <w:right w:w="0" w:type="dxa"/>
        <w:bottom w:w="0" w:type="dxa"/>
      </w:tblCellMar>
    </w:tblPr>
  </w:style>
  <w:style w:type="table" w:styleId="1054" w:customStyle="1">
    <w:name w:val="List Table 2 - Accent 4"/>
    <w:basedOn w:val="914"/>
    <w:uiPriority w:val="99"/>
    <w:qFormat/>
    <w:tblPr>
      <w:tblCellMar>
        <w:left w:w="0" w:type="dxa"/>
        <w:top w:w="0" w:type="dxa"/>
        <w:right w:w="0" w:type="dxa"/>
        <w:bottom w:w="0" w:type="dxa"/>
      </w:tblCellMar>
    </w:tblPr>
  </w:style>
  <w:style w:type="table" w:styleId="1055" w:customStyle="1">
    <w:name w:val="List Table 2 - Accent 5"/>
    <w:basedOn w:val="914"/>
    <w:uiPriority w:val="99"/>
    <w:qFormat/>
    <w:tblPr>
      <w:tblCellMar>
        <w:left w:w="0" w:type="dxa"/>
        <w:top w:w="0" w:type="dxa"/>
        <w:right w:w="0" w:type="dxa"/>
        <w:bottom w:w="0" w:type="dxa"/>
      </w:tblCellMar>
    </w:tblPr>
  </w:style>
  <w:style w:type="table" w:styleId="1056" w:customStyle="1">
    <w:name w:val="List Table 2 - Accent 6"/>
    <w:basedOn w:val="914"/>
    <w:uiPriority w:val="99"/>
    <w:qFormat/>
    <w:tblPr>
      <w:tblCellMar>
        <w:left w:w="0" w:type="dxa"/>
        <w:top w:w="0" w:type="dxa"/>
        <w:right w:w="0" w:type="dxa"/>
        <w:bottom w:w="0" w:type="dxa"/>
      </w:tblCellMar>
    </w:tblPr>
  </w:style>
  <w:style w:type="table" w:styleId="1057" w:customStyle="1">
    <w:name w:val="List Table 3"/>
    <w:basedOn w:val="914"/>
    <w:uiPriority w:val="99"/>
    <w:qFormat/>
    <w:tblPr>
      <w:tblCellMar>
        <w:left w:w="0" w:type="dxa"/>
        <w:top w:w="0" w:type="dxa"/>
        <w:right w:w="0" w:type="dxa"/>
        <w:bottom w:w="0" w:type="dxa"/>
      </w:tblCellMar>
    </w:tblPr>
  </w:style>
  <w:style w:type="table" w:styleId="1058" w:customStyle="1">
    <w:name w:val="List Table 3 - Accent 1"/>
    <w:basedOn w:val="914"/>
    <w:uiPriority w:val="99"/>
    <w:qFormat/>
    <w:tblPr>
      <w:tblCellMar>
        <w:left w:w="0" w:type="dxa"/>
        <w:top w:w="0" w:type="dxa"/>
        <w:right w:w="0" w:type="dxa"/>
        <w:bottom w:w="0" w:type="dxa"/>
      </w:tblCellMar>
    </w:tblPr>
  </w:style>
  <w:style w:type="table" w:styleId="1059" w:customStyle="1">
    <w:name w:val="List Table 3 - Accent 2"/>
    <w:basedOn w:val="914"/>
    <w:uiPriority w:val="99"/>
    <w:qFormat/>
    <w:tblPr>
      <w:tblCellMar>
        <w:left w:w="0" w:type="dxa"/>
        <w:top w:w="0" w:type="dxa"/>
        <w:right w:w="0" w:type="dxa"/>
        <w:bottom w:w="0" w:type="dxa"/>
      </w:tblCellMar>
    </w:tblPr>
  </w:style>
  <w:style w:type="table" w:styleId="1060" w:customStyle="1">
    <w:name w:val="List Table 3 - Accent 3"/>
    <w:basedOn w:val="914"/>
    <w:uiPriority w:val="99"/>
    <w:qFormat/>
    <w:tblPr>
      <w:tblCellMar>
        <w:left w:w="0" w:type="dxa"/>
        <w:top w:w="0" w:type="dxa"/>
        <w:right w:w="0" w:type="dxa"/>
        <w:bottom w:w="0" w:type="dxa"/>
      </w:tblCellMar>
    </w:tblPr>
  </w:style>
  <w:style w:type="table" w:styleId="1061" w:customStyle="1">
    <w:name w:val="List Table 3 - Accent 4"/>
    <w:basedOn w:val="914"/>
    <w:uiPriority w:val="99"/>
    <w:qFormat/>
    <w:tblPr>
      <w:tblCellMar>
        <w:left w:w="0" w:type="dxa"/>
        <w:top w:w="0" w:type="dxa"/>
        <w:right w:w="0" w:type="dxa"/>
        <w:bottom w:w="0" w:type="dxa"/>
      </w:tblCellMar>
    </w:tblPr>
  </w:style>
  <w:style w:type="table" w:styleId="1062" w:customStyle="1">
    <w:name w:val="List Table 3 - Accent 5"/>
    <w:basedOn w:val="914"/>
    <w:uiPriority w:val="99"/>
    <w:qFormat/>
    <w:tblPr>
      <w:tblCellMar>
        <w:left w:w="0" w:type="dxa"/>
        <w:top w:w="0" w:type="dxa"/>
        <w:right w:w="0" w:type="dxa"/>
        <w:bottom w:w="0" w:type="dxa"/>
      </w:tblCellMar>
    </w:tblPr>
  </w:style>
  <w:style w:type="table" w:styleId="1063" w:customStyle="1">
    <w:name w:val="List Table 3 - Accent 6"/>
    <w:basedOn w:val="914"/>
    <w:uiPriority w:val="99"/>
    <w:qFormat/>
    <w:tblPr>
      <w:tblCellMar>
        <w:left w:w="0" w:type="dxa"/>
        <w:top w:w="0" w:type="dxa"/>
        <w:right w:w="0" w:type="dxa"/>
        <w:bottom w:w="0" w:type="dxa"/>
      </w:tblCellMar>
    </w:tblPr>
  </w:style>
  <w:style w:type="table" w:styleId="1064" w:customStyle="1">
    <w:name w:val="List Table 4"/>
    <w:basedOn w:val="914"/>
    <w:uiPriority w:val="99"/>
    <w:qFormat/>
    <w:tblPr>
      <w:tblCellMar>
        <w:left w:w="0" w:type="dxa"/>
        <w:top w:w="0" w:type="dxa"/>
        <w:right w:w="0" w:type="dxa"/>
        <w:bottom w:w="0" w:type="dxa"/>
      </w:tblCellMar>
    </w:tblPr>
  </w:style>
  <w:style w:type="table" w:styleId="1065" w:customStyle="1">
    <w:name w:val="List Table 4 - Accent 1"/>
    <w:basedOn w:val="914"/>
    <w:uiPriority w:val="99"/>
    <w:qFormat/>
    <w:tblPr>
      <w:tblCellMar>
        <w:left w:w="0" w:type="dxa"/>
        <w:top w:w="0" w:type="dxa"/>
        <w:right w:w="0" w:type="dxa"/>
        <w:bottom w:w="0" w:type="dxa"/>
      </w:tblCellMar>
    </w:tblPr>
  </w:style>
  <w:style w:type="table" w:styleId="1066" w:customStyle="1">
    <w:name w:val="List Table 4 - Accent 2"/>
    <w:basedOn w:val="914"/>
    <w:uiPriority w:val="99"/>
    <w:qFormat/>
    <w:tblPr>
      <w:tblCellMar>
        <w:left w:w="0" w:type="dxa"/>
        <w:top w:w="0" w:type="dxa"/>
        <w:right w:w="0" w:type="dxa"/>
        <w:bottom w:w="0" w:type="dxa"/>
      </w:tblCellMar>
    </w:tblPr>
  </w:style>
  <w:style w:type="table" w:styleId="1067" w:customStyle="1">
    <w:name w:val="List Table 4 - Accent 3"/>
    <w:basedOn w:val="914"/>
    <w:uiPriority w:val="99"/>
    <w:qFormat/>
    <w:tblPr>
      <w:tblCellMar>
        <w:left w:w="0" w:type="dxa"/>
        <w:top w:w="0" w:type="dxa"/>
        <w:right w:w="0" w:type="dxa"/>
        <w:bottom w:w="0" w:type="dxa"/>
      </w:tblCellMar>
    </w:tblPr>
  </w:style>
  <w:style w:type="table" w:styleId="1068" w:customStyle="1">
    <w:name w:val="List Table 4 - Accent 4"/>
    <w:basedOn w:val="914"/>
    <w:uiPriority w:val="99"/>
    <w:qFormat/>
    <w:tblPr>
      <w:tblCellMar>
        <w:left w:w="0" w:type="dxa"/>
        <w:top w:w="0" w:type="dxa"/>
        <w:right w:w="0" w:type="dxa"/>
        <w:bottom w:w="0" w:type="dxa"/>
      </w:tblCellMar>
    </w:tblPr>
  </w:style>
  <w:style w:type="table" w:styleId="1069" w:customStyle="1">
    <w:name w:val="List Table 4 - Accent 5"/>
    <w:basedOn w:val="914"/>
    <w:uiPriority w:val="99"/>
    <w:qFormat/>
    <w:tblPr>
      <w:tblCellMar>
        <w:left w:w="0" w:type="dxa"/>
        <w:top w:w="0" w:type="dxa"/>
        <w:right w:w="0" w:type="dxa"/>
        <w:bottom w:w="0" w:type="dxa"/>
      </w:tblCellMar>
    </w:tblPr>
  </w:style>
  <w:style w:type="table" w:styleId="1070" w:customStyle="1">
    <w:name w:val="List Table 4 - Accent 6"/>
    <w:basedOn w:val="914"/>
    <w:uiPriority w:val="99"/>
    <w:qFormat/>
    <w:tblPr>
      <w:tblCellMar>
        <w:left w:w="0" w:type="dxa"/>
        <w:top w:w="0" w:type="dxa"/>
        <w:right w:w="0" w:type="dxa"/>
        <w:bottom w:w="0" w:type="dxa"/>
      </w:tblCellMar>
    </w:tblPr>
  </w:style>
  <w:style w:type="table" w:styleId="1071" w:customStyle="1">
    <w:name w:val="List Table 5 Dark"/>
    <w:basedOn w:val="914"/>
    <w:uiPriority w:val="99"/>
    <w:qFormat/>
    <w:tblPr>
      <w:tblCellMar>
        <w:left w:w="0" w:type="dxa"/>
        <w:top w:w="0" w:type="dxa"/>
        <w:right w:w="0" w:type="dxa"/>
        <w:bottom w:w="0" w:type="dxa"/>
      </w:tblCellMar>
    </w:tblPr>
  </w:style>
  <w:style w:type="table" w:styleId="1072" w:customStyle="1">
    <w:name w:val="List Table 5 Dark - Accent 1"/>
    <w:basedOn w:val="914"/>
    <w:uiPriority w:val="99"/>
    <w:qFormat/>
    <w:tblPr>
      <w:tblCellMar>
        <w:left w:w="0" w:type="dxa"/>
        <w:top w:w="0" w:type="dxa"/>
        <w:right w:w="0" w:type="dxa"/>
        <w:bottom w:w="0" w:type="dxa"/>
      </w:tblCellMar>
    </w:tblPr>
  </w:style>
  <w:style w:type="table" w:styleId="1073" w:customStyle="1">
    <w:name w:val="List Table 5 Dark - Accent 2"/>
    <w:basedOn w:val="914"/>
    <w:uiPriority w:val="99"/>
    <w:qFormat/>
    <w:tblPr>
      <w:tblCellMar>
        <w:left w:w="0" w:type="dxa"/>
        <w:top w:w="0" w:type="dxa"/>
        <w:right w:w="0" w:type="dxa"/>
        <w:bottom w:w="0" w:type="dxa"/>
      </w:tblCellMar>
    </w:tblPr>
  </w:style>
  <w:style w:type="table" w:styleId="1074" w:customStyle="1">
    <w:name w:val="List Table 5 Dark - Accent 3"/>
    <w:basedOn w:val="914"/>
    <w:uiPriority w:val="99"/>
    <w:qFormat/>
    <w:tblPr>
      <w:tblCellMar>
        <w:left w:w="0" w:type="dxa"/>
        <w:top w:w="0" w:type="dxa"/>
        <w:right w:w="0" w:type="dxa"/>
        <w:bottom w:w="0" w:type="dxa"/>
      </w:tblCellMar>
    </w:tblPr>
  </w:style>
  <w:style w:type="table" w:styleId="1075" w:customStyle="1">
    <w:name w:val="List Table 5 Dark - Accent 4"/>
    <w:basedOn w:val="914"/>
    <w:uiPriority w:val="99"/>
    <w:qFormat/>
    <w:tblPr>
      <w:tblCellMar>
        <w:left w:w="0" w:type="dxa"/>
        <w:top w:w="0" w:type="dxa"/>
        <w:right w:w="0" w:type="dxa"/>
        <w:bottom w:w="0" w:type="dxa"/>
      </w:tblCellMar>
    </w:tblPr>
  </w:style>
  <w:style w:type="table" w:styleId="1076" w:customStyle="1">
    <w:name w:val="List Table 5 Dark - Accent 5"/>
    <w:basedOn w:val="914"/>
    <w:uiPriority w:val="99"/>
    <w:qFormat/>
    <w:tblPr>
      <w:tblCellMar>
        <w:left w:w="0" w:type="dxa"/>
        <w:top w:w="0" w:type="dxa"/>
        <w:right w:w="0" w:type="dxa"/>
        <w:bottom w:w="0" w:type="dxa"/>
      </w:tblCellMar>
    </w:tblPr>
  </w:style>
  <w:style w:type="table" w:styleId="1077" w:customStyle="1">
    <w:name w:val="List Table 5 Dark - Accent 6"/>
    <w:basedOn w:val="914"/>
    <w:uiPriority w:val="99"/>
    <w:qFormat/>
    <w:tblPr>
      <w:tblCellMar>
        <w:left w:w="0" w:type="dxa"/>
        <w:top w:w="0" w:type="dxa"/>
        <w:right w:w="0" w:type="dxa"/>
        <w:bottom w:w="0" w:type="dxa"/>
      </w:tblCellMar>
    </w:tblPr>
  </w:style>
  <w:style w:type="table" w:styleId="1078" w:customStyle="1">
    <w:name w:val="List Table 6 Colorful"/>
    <w:basedOn w:val="914"/>
    <w:uiPriority w:val="99"/>
    <w:qFormat/>
    <w:tblPr>
      <w:tblCellMar>
        <w:left w:w="0" w:type="dxa"/>
        <w:top w:w="0" w:type="dxa"/>
        <w:right w:w="0" w:type="dxa"/>
        <w:bottom w:w="0" w:type="dxa"/>
      </w:tblCellMar>
    </w:tblPr>
  </w:style>
  <w:style w:type="table" w:styleId="1079" w:customStyle="1">
    <w:name w:val="List Table 6 Colorful - Accent 1"/>
    <w:basedOn w:val="914"/>
    <w:uiPriority w:val="99"/>
    <w:qFormat/>
    <w:tblPr>
      <w:tblCellMar>
        <w:left w:w="0" w:type="dxa"/>
        <w:top w:w="0" w:type="dxa"/>
        <w:right w:w="0" w:type="dxa"/>
        <w:bottom w:w="0" w:type="dxa"/>
      </w:tblCellMar>
    </w:tblPr>
  </w:style>
  <w:style w:type="table" w:styleId="1080" w:customStyle="1">
    <w:name w:val="List Table 6 Colorful - Accent 2"/>
    <w:basedOn w:val="914"/>
    <w:uiPriority w:val="99"/>
    <w:qFormat/>
    <w:tblPr>
      <w:tblCellMar>
        <w:left w:w="0" w:type="dxa"/>
        <w:top w:w="0" w:type="dxa"/>
        <w:right w:w="0" w:type="dxa"/>
        <w:bottom w:w="0" w:type="dxa"/>
      </w:tblCellMar>
    </w:tblPr>
  </w:style>
  <w:style w:type="table" w:styleId="1081" w:customStyle="1">
    <w:name w:val="List Table 6 Colorful - Accent 3"/>
    <w:basedOn w:val="914"/>
    <w:uiPriority w:val="99"/>
    <w:qFormat/>
    <w:tblPr>
      <w:tblCellMar>
        <w:left w:w="0" w:type="dxa"/>
        <w:top w:w="0" w:type="dxa"/>
        <w:right w:w="0" w:type="dxa"/>
        <w:bottom w:w="0" w:type="dxa"/>
      </w:tblCellMar>
    </w:tblPr>
  </w:style>
  <w:style w:type="table" w:styleId="1082" w:customStyle="1">
    <w:name w:val="List Table 6 Colorful - Accent 4"/>
    <w:basedOn w:val="914"/>
    <w:uiPriority w:val="99"/>
    <w:qFormat/>
    <w:tblPr>
      <w:tblCellMar>
        <w:left w:w="0" w:type="dxa"/>
        <w:top w:w="0" w:type="dxa"/>
        <w:right w:w="0" w:type="dxa"/>
        <w:bottom w:w="0" w:type="dxa"/>
      </w:tblCellMar>
    </w:tblPr>
  </w:style>
  <w:style w:type="table" w:styleId="1083" w:customStyle="1">
    <w:name w:val="List Table 6 Colorful - Accent 5"/>
    <w:basedOn w:val="914"/>
    <w:uiPriority w:val="99"/>
    <w:qFormat/>
    <w:tblPr>
      <w:tblCellMar>
        <w:left w:w="0" w:type="dxa"/>
        <w:top w:w="0" w:type="dxa"/>
        <w:right w:w="0" w:type="dxa"/>
        <w:bottom w:w="0" w:type="dxa"/>
      </w:tblCellMar>
    </w:tblPr>
  </w:style>
  <w:style w:type="table" w:styleId="1084" w:customStyle="1">
    <w:name w:val="List Table 6 Colorful - Accent 6"/>
    <w:basedOn w:val="914"/>
    <w:uiPriority w:val="99"/>
    <w:qFormat/>
    <w:tblPr>
      <w:tblCellMar>
        <w:left w:w="0" w:type="dxa"/>
        <w:top w:w="0" w:type="dxa"/>
        <w:right w:w="0" w:type="dxa"/>
        <w:bottom w:w="0" w:type="dxa"/>
      </w:tblCellMar>
    </w:tblPr>
  </w:style>
  <w:style w:type="table" w:styleId="1085" w:customStyle="1">
    <w:name w:val="List Table 7 Colorful"/>
    <w:basedOn w:val="914"/>
    <w:uiPriority w:val="99"/>
    <w:qFormat/>
    <w:tblPr>
      <w:tblCellMar>
        <w:left w:w="0" w:type="dxa"/>
        <w:top w:w="0" w:type="dxa"/>
        <w:right w:w="0" w:type="dxa"/>
        <w:bottom w:w="0" w:type="dxa"/>
      </w:tblCellMar>
    </w:tblPr>
  </w:style>
  <w:style w:type="table" w:styleId="1086" w:customStyle="1">
    <w:name w:val="List Table 7 Colorful - Accent 1"/>
    <w:basedOn w:val="914"/>
    <w:uiPriority w:val="99"/>
    <w:qFormat/>
    <w:tblPr>
      <w:tblCellMar>
        <w:left w:w="0" w:type="dxa"/>
        <w:top w:w="0" w:type="dxa"/>
        <w:right w:w="0" w:type="dxa"/>
        <w:bottom w:w="0" w:type="dxa"/>
      </w:tblCellMar>
    </w:tblPr>
  </w:style>
  <w:style w:type="table" w:styleId="1087" w:customStyle="1">
    <w:name w:val="List Table 7 Colorful - Accent 2"/>
    <w:basedOn w:val="914"/>
    <w:uiPriority w:val="99"/>
    <w:qFormat/>
    <w:tblPr>
      <w:tblCellMar>
        <w:left w:w="0" w:type="dxa"/>
        <w:top w:w="0" w:type="dxa"/>
        <w:right w:w="0" w:type="dxa"/>
        <w:bottom w:w="0" w:type="dxa"/>
      </w:tblCellMar>
    </w:tblPr>
  </w:style>
  <w:style w:type="table" w:styleId="1088" w:customStyle="1">
    <w:name w:val="List Table 7 Colorful - Accent 3"/>
    <w:basedOn w:val="914"/>
    <w:uiPriority w:val="99"/>
    <w:qFormat/>
    <w:tblPr>
      <w:tblCellMar>
        <w:left w:w="0" w:type="dxa"/>
        <w:top w:w="0" w:type="dxa"/>
        <w:right w:w="0" w:type="dxa"/>
        <w:bottom w:w="0" w:type="dxa"/>
      </w:tblCellMar>
    </w:tblPr>
  </w:style>
  <w:style w:type="table" w:styleId="1089" w:customStyle="1">
    <w:name w:val="List Table 7 Colorful - Accent 4"/>
    <w:basedOn w:val="914"/>
    <w:uiPriority w:val="99"/>
    <w:qFormat/>
    <w:tblPr>
      <w:tblCellMar>
        <w:left w:w="0" w:type="dxa"/>
        <w:top w:w="0" w:type="dxa"/>
        <w:right w:w="0" w:type="dxa"/>
        <w:bottom w:w="0" w:type="dxa"/>
      </w:tblCellMar>
    </w:tblPr>
  </w:style>
  <w:style w:type="table" w:styleId="1090" w:customStyle="1">
    <w:name w:val="List Table 7 Colorful - Accent 5"/>
    <w:basedOn w:val="914"/>
    <w:uiPriority w:val="99"/>
    <w:qFormat/>
    <w:tblPr>
      <w:tblCellMar>
        <w:left w:w="0" w:type="dxa"/>
        <w:top w:w="0" w:type="dxa"/>
        <w:right w:w="0" w:type="dxa"/>
        <w:bottom w:w="0" w:type="dxa"/>
      </w:tblCellMar>
    </w:tblPr>
  </w:style>
  <w:style w:type="table" w:styleId="1091" w:customStyle="1">
    <w:name w:val="List Table 7 Colorful - Accent 6"/>
    <w:basedOn w:val="914"/>
    <w:uiPriority w:val="99"/>
    <w:qFormat/>
    <w:tblPr>
      <w:tblCellMar>
        <w:left w:w="0" w:type="dxa"/>
        <w:top w:w="0" w:type="dxa"/>
        <w:right w:w="0" w:type="dxa"/>
        <w:bottom w:w="0" w:type="dxa"/>
      </w:tblCellMar>
    </w:tblPr>
  </w:style>
  <w:style w:type="table" w:styleId="1092" w:customStyle="1">
    <w:name w:val="Lined - Accent"/>
    <w:basedOn w:val="914"/>
    <w:uiPriority w:val="99"/>
    <w:qFormat/>
    <w:rPr>
      <w:color w:val="404040"/>
    </w:rPr>
    <w:tblPr>
      <w:tblCellMar>
        <w:left w:w="0" w:type="dxa"/>
        <w:top w:w="0" w:type="dxa"/>
        <w:right w:w="0" w:type="dxa"/>
        <w:bottom w:w="0" w:type="dxa"/>
      </w:tblCellMar>
    </w:tblPr>
  </w:style>
  <w:style w:type="table" w:styleId="1093" w:customStyle="1">
    <w:name w:val="Lined - Accent 1"/>
    <w:basedOn w:val="914"/>
    <w:uiPriority w:val="99"/>
    <w:qFormat/>
    <w:rPr>
      <w:color w:val="404040"/>
    </w:rPr>
    <w:tblPr>
      <w:tblCellMar>
        <w:left w:w="0" w:type="dxa"/>
        <w:top w:w="0" w:type="dxa"/>
        <w:right w:w="0" w:type="dxa"/>
        <w:bottom w:w="0" w:type="dxa"/>
      </w:tblCellMar>
    </w:tblPr>
  </w:style>
  <w:style w:type="table" w:styleId="1094" w:customStyle="1">
    <w:name w:val="Lined - Accent 2"/>
    <w:basedOn w:val="914"/>
    <w:uiPriority w:val="99"/>
    <w:qFormat/>
    <w:rPr>
      <w:color w:val="404040"/>
    </w:rPr>
    <w:tblPr>
      <w:tblCellMar>
        <w:left w:w="0" w:type="dxa"/>
        <w:top w:w="0" w:type="dxa"/>
        <w:right w:w="0" w:type="dxa"/>
        <w:bottom w:w="0" w:type="dxa"/>
      </w:tblCellMar>
    </w:tblPr>
  </w:style>
  <w:style w:type="table" w:styleId="1095" w:customStyle="1">
    <w:name w:val="Lined - Accent 3"/>
    <w:basedOn w:val="914"/>
    <w:uiPriority w:val="99"/>
    <w:qFormat/>
    <w:rPr>
      <w:color w:val="404040"/>
    </w:rPr>
    <w:tblPr>
      <w:tblCellMar>
        <w:left w:w="0" w:type="dxa"/>
        <w:top w:w="0" w:type="dxa"/>
        <w:right w:w="0" w:type="dxa"/>
        <w:bottom w:w="0" w:type="dxa"/>
      </w:tblCellMar>
    </w:tblPr>
  </w:style>
  <w:style w:type="table" w:styleId="1096" w:customStyle="1">
    <w:name w:val="Lined - Accent 4"/>
    <w:basedOn w:val="914"/>
    <w:uiPriority w:val="99"/>
    <w:qFormat/>
    <w:rPr>
      <w:color w:val="404040"/>
    </w:rPr>
    <w:tblPr>
      <w:tblCellMar>
        <w:left w:w="0" w:type="dxa"/>
        <w:top w:w="0" w:type="dxa"/>
        <w:right w:w="0" w:type="dxa"/>
        <w:bottom w:w="0" w:type="dxa"/>
      </w:tblCellMar>
    </w:tblPr>
  </w:style>
  <w:style w:type="table" w:styleId="1097" w:customStyle="1">
    <w:name w:val="Lined - Accent 5"/>
    <w:basedOn w:val="914"/>
    <w:uiPriority w:val="99"/>
    <w:qFormat/>
    <w:rPr>
      <w:color w:val="404040"/>
    </w:rPr>
    <w:tblPr>
      <w:tblCellMar>
        <w:left w:w="0" w:type="dxa"/>
        <w:top w:w="0" w:type="dxa"/>
        <w:right w:w="0" w:type="dxa"/>
        <w:bottom w:w="0" w:type="dxa"/>
      </w:tblCellMar>
    </w:tblPr>
  </w:style>
  <w:style w:type="table" w:styleId="1098" w:customStyle="1">
    <w:name w:val="Lined - Accent 6"/>
    <w:basedOn w:val="914"/>
    <w:uiPriority w:val="99"/>
    <w:qFormat/>
    <w:rPr>
      <w:color w:val="404040"/>
    </w:rPr>
    <w:tblPr>
      <w:tblCellMar>
        <w:left w:w="0" w:type="dxa"/>
        <w:top w:w="0" w:type="dxa"/>
        <w:right w:w="0" w:type="dxa"/>
        <w:bottom w:w="0" w:type="dxa"/>
      </w:tblCellMar>
    </w:tblPr>
  </w:style>
  <w:style w:type="table" w:styleId="1099" w:customStyle="1">
    <w:name w:val="Bordered &amp; Lined - Accent"/>
    <w:basedOn w:val="914"/>
    <w:uiPriority w:val="99"/>
    <w:qFormat/>
    <w:rPr>
      <w:color w:val="404040"/>
    </w:rPr>
    <w:tblPr>
      <w:tblCellMar>
        <w:left w:w="0" w:type="dxa"/>
        <w:top w:w="0" w:type="dxa"/>
        <w:right w:w="0" w:type="dxa"/>
        <w:bottom w:w="0" w:type="dxa"/>
      </w:tblCellMar>
    </w:tblPr>
  </w:style>
  <w:style w:type="table" w:styleId="1100" w:customStyle="1">
    <w:name w:val="Bordered &amp; Lined - Accent 1"/>
    <w:basedOn w:val="914"/>
    <w:uiPriority w:val="99"/>
    <w:qFormat/>
    <w:rPr>
      <w:color w:val="404040"/>
    </w:rPr>
    <w:tblPr>
      <w:tblCellMar>
        <w:left w:w="0" w:type="dxa"/>
        <w:top w:w="0" w:type="dxa"/>
        <w:right w:w="0" w:type="dxa"/>
        <w:bottom w:w="0" w:type="dxa"/>
      </w:tblCellMar>
    </w:tblPr>
  </w:style>
  <w:style w:type="table" w:styleId="1101" w:customStyle="1">
    <w:name w:val="Bordered &amp; Lined - Accent 2"/>
    <w:basedOn w:val="914"/>
    <w:uiPriority w:val="99"/>
    <w:qFormat/>
    <w:rPr>
      <w:color w:val="404040"/>
    </w:rPr>
    <w:tblPr>
      <w:tblCellMar>
        <w:left w:w="0" w:type="dxa"/>
        <w:top w:w="0" w:type="dxa"/>
        <w:right w:w="0" w:type="dxa"/>
        <w:bottom w:w="0" w:type="dxa"/>
      </w:tblCellMar>
    </w:tblPr>
  </w:style>
  <w:style w:type="table" w:styleId="1102" w:customStyle="1">
    <w:name w:val="Bordered &amp; Lined - Accent 3"/>
    <w:basedOn w:val="914"/>
    <w:uiPriority w:val="99"/>
    <w:qFormat/>
    <w:rPr>
      <w:color w:val="404040"/>
    </w:rPr>
    <w:tblPr>
      <w:tblCellMar>
        <w:left w:w="0" w:type="dxa"/>
        <w:top w:w="0" w:type="dxa"/>
        <w:right w:w="0" w:type="dxa"/>
        <w:bottom w:w="0" w:type="dxa"/>
      </w:tblCellMar>
    </w:tblPr>
  </w:style>
  <w:style w:type="table" w:styleId="1103" w:customStyle="1">
    <w:name w:val="Bordered &amp; Lined - Accent 4"/>
    <w:basedOn w:val="914"/>
    <w:uiPriority w:val="99"/>
    <w:qFormat/>
    <w:rPr>
      <w:color w:val="404040"/>
    </w:rPr>
    <w:tblPr>
      <w:tblCellMar>
        <w:left w:w="0" w:type="dxa"/>
        <w:top w:w="0" w:type="dxa"/>
        <w:right w:w="0" w:type="dxa"/>
        <w:bottom w:w="0" w:type="dxa"/>
      </w:tblCellMar>
    </w:tblPr>
  </w:style>
  <w:style w:type="table" w:styleId="1104" w:customStyle="1">
    <w:name w:val="Bordered &amp; Lined - Accent 5"/>
    <w:basedOn w:val="914"/>
    <w:uiPriority w:val="99"/>
    <w:qFormat/>
    <w:rPr>
      <w:color w:val="404040"/>
    </w:rPr>
    <w:tblPr>
      <w:tblCellMar>
        <w:left w:w="0" w:type="dxa"/>
        <w:top w:w="0" w:type="dxa"/>
        <w:right w:w="0" w:type="dxa"/>
        <w:bottom w:w="0" w:type="dxa"/>
      </w:tblCellMar>
    </w:tblPr>
  </w:style>
  <w:style w:type="table" w:styleId="1105" w:customStyle="1">
    <w:name w:val="Bordered &amp; Lined - Accent 6"/>
    <w:basedOn w:val="914"/>
    <w:uiPriority w:val="99"/>
    <w:qFormat/>
    <w:rPr>
      <w:color w:val="404040"/>
    </w:rPr>
    <w:tblPr>
      <w:tblCellMar>
        <w:left w:w="0" w:type="dxa"/>
        <w:top w:w="0" w:type="dxa"/>
        <w:right w:w="0" w:type="dxa"/>
        <w:bottom w:w="0" w:type="dxa"/>
      </w:tblCellMar>
    </w:tblPr>
  </w:style>
  <w:style w:type="table" w:styleId="1106" w:customStyle="1">
    <w:name w:val="Bordered"/>
    <w:basedOn w:val="914"/>
    <w:uiPriority w:val="99"/>
    <w:qFormat/>
    <w:tblPr>
      <w:tblCellMar>
        <w:left w:w="0" w:type="dxa"/>
        <w:top w:w="0" w:type="dxa"/>
        <w:right w:w="0" w:type="dxa"/>
        <w:bottom w:w="0" w:type="dxa"/>
      </w:tblCellMar>
    </w:tblPr>
  </w:style>
  <w:style w:type="table" w:styleId="1107" w:customStyle="1">
    <w:name w:val="Bordered - Accent 1"/>
    <w:basedOn w:val="914"/>
    <w:uiPriority w:val="99"/>
    <w:qFormat/>
    <w:tblPr>
      <w:tblCellMar>
        <w:left w:w="0" w:type="dxa"/>
        <w:top w:w="0" w:type="dxa"/>
        <w:right w:w="0" w:type="dxa"/>
        <w:bottom w:w="0" w:type="dxa"/>
      </w:tblCellMar>
    </w:tblPr>
  </w:style>
  <w:style w:type="table" w:styleId="1108" w:customStyle="1">
    <w:name w:val="Bordered - Accent 2"/>
    <w:basedOn w:val="914"/>
    <w:uiPriority w:val="99"/>
    <w:qFormat/>
    <w:tblPr>
      <w:tblCellMar>
        <w:left w:w="0" w:type="dxa"/>
        <w:top w:w="0" w:type="dxa"/>
        <w:right w:w="0" w:type="dxa"/>
        <w:bottom w:w="0" w:type="dxa"/>
      </w:tblCellMar>
    </w:tblPr>
  </w:style>
  <w:style w:type="table" w:styleId="1109" w:customStyle="1">
    <w:name w:val="Bordered - Accent 3"/>
    <w:basedOn w:val="914"/>
    <w:uiPriority w:val="99"/>
    <w:qFormat/>
    <w:tblPr>
      <w:tblCellMar>
        <w:left w:w="0" w:type="dxa"/>
        <w:top w:w="0" w:type="dxa"/>
        <w:right w:w="0" w:type="dxa"/>
        <w:bottom w:w="0" w:type="dxa"/>
      </w:tblCellMar>
    </w:tblPr>
  </w:style>
  <w:style w:type="table" w:styleId="1110" w:customStyle="1">
    <w:name w:val="Bordered - Accent 4"/>
    <w:basedOn w:val="914"/>
    <w:uiPriority w:val="99"/>
    <w:qFormat/>
    <w:tblPr>
      <w:tblCellMar>
        <w:left w:w="0" w:type="dxa"/>
        <w:top w:w="0" w:type="dxa"/>
        <w:right w:w="0" w:type="dxa"/>
        <w:bottom w:w="0" w:type="dxa"/>
      </w:tblCellMar>
    </w:tblPr>
  </w:style>
  <w:style w:type="table" w:styleId="1111" w:customStyle="1">
    <w:name w:val="Bordered - Accent 5"/>
    <w:basedOn w:val="914"/>
    <w:uiPriority w:val="99"/>
    <w:qFormat/>
    <w:tblPr>
      <w:tblCellMar>
        <w:left w:w="0" w:type="dxa"/>
        <w:top w:w="0" w:type="dxa"/>
        <w:right w:w="0" w:type="dxa"/>
        <w:bottom w:w="0" w:type="dxa"/>
      </w:tblCellMar>
    </w:tblPr>
  </w:style>
  <w:style w:type="table" w:styleId="1112" w:customStyle="1">
    <w:name w:val="Bordered - Accent 6"/>
    <w:basedOn w:val="914"/>
    <w:uiPriority w:val="99"/>
    <w:qFormat/>
    <w:tblPr>
      <w:tblCellMar>
        <w:left w:w="0" w:type="dxa"/>
        <w:top w:w="0" w:type="dxa"/>
        <w:right w:w="0" w:type="dxa"/>
        <w:bottom w:w="0" w:type="dxa"/>
      </w:tblCellMar>
    </w:tblPr>
  </w:style>
  <w:style w:type="paragraph" w:styleId="1113" w:customStyle="1">
    <w:name w:val="TOC 标题1"/>
    <w:uiPriority w:val="39"/>
    <w:unhideWhenUsed/>
    <w:qFormat/>
    <w:rPr>
      <w:rFonts w:hint="default" w:ascii="Times New Roman" w:hAnsi="Times New Roman" w:eastAsia="宋体" w:cs="Times New Roman"/>
      <w:lang w:val="en-US" w:eastAsia="zh-CN" w:bidi="ar-SA"/>
    </w:rPr>
  </w:style>
  <w:style w:type="character" w:styleId="1114" w:customStyle="1">
    <w:name w:val="标题 1 Char1"/>
    <w:link w:val="856"/>
    <w:uiPriority w:val="0"/>
    <w:qFormat/>
    <w:rPr>
      <w:rFonts w:ascii="Times New Roman" w:hAnsi="Times New Roman" w:eastAsia="宋体"/>
      <w:b/>
      <w:bCs/>
      <w:sz w:val="32"/>
      <w:szCs w:val="44"/>
      <w:lang w:val="en-US" w:eastAsia="zh-CN" w:bidi="ar-SA"/>
    </w:rPr>
  </w:style>
  <w:style w:type="character" w:styleId="1115" w:customStyle="1">
    <w:name w:val="标题 2 Char"/>
    <w:link w:val="857"/>
    <w:uiPriority w:val="0"/>
    <w:qFormat/>
    <w:rPr>
      <w:rFonts w:ascii="Cambria" w:hAnsi="Cambria" w:eastAsia="宋体"/>
      <w:b/>
      <w:sz w:val="32"/>
      <w:szCs w:val="24"/>
      <w:lang w:val="en-US" w:eastAsia="zh-CN" w:bidi="ar-SA"/>
    </w:rPr>
  </w:style>
  <w:style w:type="character" w:styleId="1116" w:customStyle="1">
    <w:name w:val="标题 3 Char"/>
    <w:link w:val="858"/>
    <w:uiPriority w:val="0"/>
    <w:semiHidden/>
    <w:qFormat/>
    <w:rPr>
      <w:b/>
      <w:bCs/>
      <w:sz w:val="32"/>
      <w:szCs w:val="32"/>
    </w:rPr>
  </w:style>
  <w:style w:type="character" w:styleId="1117" w:customStyle="1">
    <w:name w:val="标题 4 Char"/>
    <w:link w:val="859"/>
    <w:uiPriority w:val="0"/>
    <w:qFormat/>
    <w:rPr>
      <w:rFonts w:eastAsia="宋体"/>
      <w:b/>
      <w:bCs/>
      <w:sz w:val="28"/>
      <w:szCs w:val="28"/>
      <w:lang w:val="en-US" w:eastAsia="zh-CN" w:bidi="ar-SA"/>
    </w:rPr>
  </w:style>
  <w:style w:type="character" w:styleId="1118" w:customStyle="1">
    <w:name w:val="标题 5 Char"/>
    <w:link w:val="860"/>
    <w:uiPriority w:val="0"/>
    <w:qFormat/>
    <w:rPr>
      <w:rFonts w:eastAsia="宋体"/>
      <w:b/>
      <w:bCs/>
      <w:i/>
      <w:iCs/>
      <w:sz w:val="26"/>
      <w:szCs w:val="26"/>
      <w:lang w:val="en-US" w:eastAsia="zh-CN" w:bidi="ar-SA"/>
    </w:rPr>
  </w:style>
  <w:style w:type="paragraph" w:styleId="1119" w:customStyle="1">
    <w:name w:val="Footer1"/>
    <w:basedOn w:val="855"/>
    <w:link w:val="1120"/>
    <w:uiPriority w:val="99"/>
    <w:qFormat/>
    <w:pPr>
      <w:jc w:val="left"/>
      <w:tabs>
        <w:tab w:val="center" w:pos="4153" w:leader="none"/>
        <w:tab w:val="right" w:pos="8306" w:leader="none"/>
      </w:tabs>
    </w:pPr>
    <w:rPr>
      <w:sz w:val="18"/>
      <w:szCs w:val="18"/>
    </w:rPr>
  </w:style>
  <w:style w:type="character" w:styleId="1120" w:customStyle="1">
    <w:name w:val="页脚 字符"/>
    <w:link w:val="1119"/>
    <w:uiPriority w:val="99"/>
    <w:qFormat/>
    <w:rPr>
      <w:rFonts w:eastAsia="宋体"/>
      <w:sz w:val="18"/>
      <w:szCs w:val="18"/>
      <w:lang w:val="en-US" w:eastAsia="zh-CN" w:bidi="ar-SA"/>
    </w:rPr>
  </w:style>
  <w:style w:type="paragraph" w:styleId="1121" w:customStyle="1">
    <w:name w:val="Header1"/>
    <w:basedOn w:val="855"/>
    <w:link w:val="1122"/>
    <w:uiPriority w:val="99"/>
    <w:qFormat/>
    <w:pPr>
      <w:jc w:val="center"/>
      <w:tabs>
        <w:tab w:val="center" w:pos="4153" w:leader="none"/>
        <w:tab w:val="right" w:pos="8306" w:leader="none"/>
      </w:tabs>
      <w:pBdr>
        <w:bottom w:val="single" w:color="000000" w:sz="6" w:space="1"/>
      </w:pBdr>
    </w:pPr>
    <w:rPr>
      <w:sz w:val="18"/>
      <w:szCs w:val="18"/>
    </w:rPr>
  </w:style>
  <w:style w:type="character" w:styleId="1122" w:customStyle="1">
    <w:name w:val="页眉 字符"/>
    <w:link w:val="1121"/>
    <w:uiPriority w:val="99"/>
    <w:qFormat/>
    <w:rPr>
      <w:rFonts w:eastAsia="宋体"/>
      <w:sz w:val="18"/>
      <w:szCs w:val="18"/>
      <w:lang w:val="en-US" w:eastAsia="zh-CN" w:bidi="ar-SA"/>
    </w:rPr>
  </w:style>
  <w:style w:type="paragraph" w:styleId="1123" w:customStyle="1">
    <w:name w:val="首行缩进"/>
    <w:basedOn w:val="855"/>
    <w:uiPriority w:val="0"/>
    <w:qFormat/>
    <w:pPr>
      <w:ind w:firstLine="480"/>
    </w:pPr>
    <w:rPr>
      <w:szCs w:val="20"/>
      <w:lang w:val="zh-CN"/>
    </w:rPr>
  </w:style>
  <w:style w:type="paragraph" w:styleId="1124" w:customStyle="1">
    <w:name w:val="正文1"/>
    <w:next w:val="855"/>
    <w:uiPriority w:val="0"/>
    <w:qFormat/>
    <w:pPr>
      <w:ind w:firstLine="480"/>
      <w:jc w:val="both"/>
      <w:widowControl w:val="off"/>
    </w:pPr>
    <w:rPr>
      <w:rFonts w:hint="default" w:ascii="宋体" w:hAnsi="宋体" w:eastAsia="宋体" w:cs="Times New Roman"/>
      <w:sz w:val="24"/>
      <w:szCs w:val="24"/>
      <w:lang w:val="en-US" w:eastAsia="zh-CN" w:bidi="ar-SA"/>
    </w:rPr>
  </w:style>
  <w:style w:type="paragraph" w:styleId="1125"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1126" w:customStyle="1">
    <w:name w:val="xl35"/>
    <w:next w:val="855"/>
    <w:uiPriority w:val="0"/>
    <w:qFormat/>
    <w:pPr>
      <w:spacing w:before="100" w:beforeAutospacing="1" w:after="100" w:afterAutospacing="1"/>
      <w:pBdr>
        <w:top w:val="single" w:color="000000" w:sz="4" w:space="0"/>
        <w:left w:val="single" w:color="000000" w:sz="4" w:space="0"/>
        <w:bottom w:val="single" w:color="000000" w:sz="8" w:space="0"/>
      </w:pBdr>
    </w:pPr>
    <w:rPr>
      <w:rFonts w:hint="default" w:ascii="宋体" w:hAnsi="宋体" w:eastAsia="宋体" w:cs="Times New Roman"/>
      <w:lang w:val="en-US" w:eastAsia="zh-CN" w:bidi="ar-SA"/>
    </w:rPr>
  </w:style>
  <w:style w:type="paragraph" w:styleId="1127"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8" w:customStyle="1">
    <w:name w:val="Char Char Char Char Char Char Char"/>
    <w:basedOn w:val="855"/>
    <w:uiPriority w:val="0"/>
    <w:qFormat/>
  </w:style>
  <w:style w:type="paragraph" w:styleId="1129" w:customStyle="1">
    <w:name w:val="p0"/>
    <w:basedOn w:val="855"/>
    <w:uiPriority w:val="0"/>
    <w:qFormat/>
    <w:pPr>
      <w:jc w:val="left"/>
      <w:widowControl/>
    </w:pPr>
    <w:rPr>
      <w:sz w:val="24"/>
    </w:rPr>
  </w:style>
  <w:style w:type="paragraph" w:styleId="1130" w:customStyle="1">
    <w:name w:val="Char Char Char Char Char Char Char Char Char1 Char Char Char Char"/>
    <w:basedOn w:val="920"/>
    <w:uiPriority w:val="0"/>
    <w:qFormat/>
    <w:rPr>
      <w:rFonts w:eastAsia="楷体_GB2312"/>
      <w:sz w:val="26"/>
      <w:szCs w:val="20"/>
    </w:rPr>
  </w:style>
  <w:style w:type="paragraph" w:styleId="1131" w:customStyle="1">
    <w:name w:val="格式３"/>
    <w:basedOn w:val="855"/>
    <w:uiPriority w:val="0"/>
    <w:qFormat/>
    <w:pPr>
      <w:ind w:left="600" w:hanging="600"/>
      <w:spacing w:line="420" w:lineRule="exact"/>
    </w:pPr>
    <w:rPr>
      <w:rFonts w:ascii="宋体" w:hAnsi="宋体"/>
      <w:color w:val="000000"/>
      <w:sz w:val="24"/>
      <w:szCs w:val="20"/>
    </w:rPr>
  </w:style>
  <w:style w:type="paragraph" w:styleId="1132" w:customStyle="1">
    <w:name w:val="Char1 Char Char Char"/>
    <w:basedOn w:val="855"/>
    <w:uiPriority w:val="0"/>
    <w:qFormat/>
    <w:rPr>
      <w:rFonts w:ascii="Tahoma" w:hAnsi="Tahoma"/>
      <w:sz w:val="24"/>
      <w:szCs w:val="20"/>
    </w:rPr>
  </w:style>
  <w:style w:type="paragraph" w:styleId="1133" w:customStyle="1">
    <w:name w:val="Char Char Char Char Char Char Char Char Char Char"/>
    <w:basedOn w:val="855"/>
    <w:uiPriority w:val="0"/>
    <w:qFormat/>
    <w:pPr>
      <w:ind w:left="420" w:hanging="420"/>
      <w:tabs>
        <w:tab w:val="left" w:pos="420" w:leader="none"/>
      </w:tabs>
    </w:pPr>
    <w:rPr>
      <w:sz w:val="24"/>
    </w:rPr>
  </w:style>
  <w:style w:type="paragraph" w:styleId="1134" w:customStyle="1">
    <w:name w:val="Char Char Char Char"/>
    <w:basedOn w:val="920"/>
    <w:uiPriority w:val="0"/>
    <w:qFormat/>
    <w:rPr>
      <w:sz w:val="24"/>
      <w:szCs w:val="20"/>
    </w:rPr>
  </w:style>
  <w:style w:type="paragraph" w:styleId="1135" w:customStyle="1">
    <w:name w:val="纯文本3"/>
    <w:basedOn w:val="855"/>
    <w:uiPriority w:val="0"/>
    <w:qFormat/>
    <w:rPr>
      <w:rFonts w:ascii="宋体" w:hAnsi="Courier New" w:eastAsia="楷体_GB2312"/>
      <w:sz w:val="28"/>
      <w:szCs w:val="20"/>
    </w:rPr>
  </w:style>
  <w:style w:type="paragraph" w:styleId="1136" w:customStyle="1">
    <w:name w:val="正文21"/>
    <w:basedOn w:val="855"/>
    <w:uiPriority w:val="0"/>
    <w:qFormat/>
    <w:pPr>
      <w:ind w:firstLine="200"/>
      <w:jc w:val="left"/>
      <w:spacing w:after="160"/>
      <w:widowControl/>
    </w:pPr>
    <w:rPr>
      <w:rFonts w:ascii="Verdana" w:hAnsi="Verdana" w:eastAsia="黑体"/>
      <w:szCs w:val="20"/>
      <w:lang w:eastAsia="en-US"/>
    </w:rPr>
  </w:style>
  <w:style w:type="paragraph" w:styleId="1137" w:customStyle="1">
    <w:name w:val="+标题2"/>
    <w:basedOn w:val="857"/>
    <w:link w:val="1138"/>
    <w:uiPriority w:val="0"/>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138" w:customStyle="1">
    <w:name w:val="+标题2 Char Char"/>
    <w:link w:val="1137"/>
    <w:uiPriority w:val="0"/>
    <w:qFormat/>
    <w:rPr>
      <w:rFonts w:eastAsia="宋体"/>
      <w:b/>
      <w:sz w:val="24"/>
      <w:lang w:val="en-US" w:eastAsia="zh-CN" w:bidi="ar-SA"/>
    </w:rPr>
  </w:style>
  <w:style w:type="paragraph" w:styleId="1139" w:customStyle="1">
    <w:name w:val="财政-标题三"/>
    <w:basedOn w:val="855"/>
    <w:uiPriority w:val="0"/>
    <w:qFormat/>
    <w:pPr>
      <w:numPr>
        <w:ilvl w:val="2"/>
        <w:numId w:val="3"/>
      </w:numPr>
      <w:outlineLvl w:val="2"/>
    </w:pPr>
    <w:rPr>
      <w:b/>
      <w:sz w:val="32"/>
      <w:szCs w:val="21"/>
    </w:rPr>
  </w:style>
  <w:style w:type="paragraph" w:styleId="114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Char Char Char"/>
    <w:basedOn w:val="920"/>
    <w:uiPriority w:val="0"/>
    <w:qFormat/>
    <w:rPr>
      <w:rFonts w:ascii="Tahoma" w:hAnsi="Tahoma"/>
      <w:sz w:val="24"/>
    </w:rPr>
  </w:style>
  <w:style w:type="paragraph" w:styleId="1142" w:customStyle="1">
    <w:name w:val="+正文"/>
    <w:basedOn w:val="855"/>
    <w:link w:val="1143"/>
    <w:uiPriority w:val="0"/>
    <w:qFormat/>
    <w:pPr>
      <w:ind w:firstLine="200"/>
    </w:pPr>
    <w:rPr>
      <w:sz w:val="24"/>
    </w:rPr>
  </w:style>
  <w:style w:type="character" w:styleId="1143" w:customStyle="1">
    <w:name w:val="+正文 Char3"/>
    <w:link w:val="1142"/>
    <w:uiPriority w:val="0"/>
    <w:qFormat/>
    <w:rPr>
      <w:sz w:val="24"/>
      <w:szCs w:val="24"/>
    </w:rPr>
  </w:style>
  <w:style w:type="paragraph" w:styleId="1144" w:customStyle="1">
    <w:name w:val="图名"/>
    <w:basedOn w:val="855"/>
    <w:uiPriority w:val="0"/>
    <w:qFormat/>
    <w:pPr>
      <w:jc w:val="center"/>
    </w:pPr>
    <w:rPr>
      <w:rFonts w:ascii="宋体" w:hAnsi="宋体"/>
      <w:b/>
      <w:szCs w:val="22"/>
    </w:rPr>
  </w:style>
  <w:style w:type="paragraph" w:styleId="1145" w:customStyle="1">
    <w:name w:val="图片"/>
    <w:basedOn w:val="855"/>
    <w:uiPriority w:val="0"/>
    <w:qFormat/>
    <w:pPr>
      <w:jc w:val="center"/>
    </w:pPr>
    <w:rPr>
      <w:b/>
      <w:szCs w:val="22"/>
    </w:rPr>
  </w:style>
  <w:style w:type="paragraph" w:styleId="1146" w:customStyle="1">
    <w:name w:val="表名"/>
    <w:basedOn w:val="1147"/>
    <w:uiPriority w:val="0"/>
    <w:qFormat/>
    <w:pPr>
      <w:jc w:val="right"/>
    </w:pPr>
    <w:rPr>
      <w:b/>
    </w:rPr>
  </w:style>
  <w:style w:type="paragraph" w:styleId="1147" w:customStyle="1">
    <w:name w:val="表格"/>
    <w:basedOn w:val="855"/>
    <w:uiPriority w:val="0"/>
    <w:qFormat/>
    <w:pPr>
      <w:jc w:val="center"/>
    </w:pPr>
    <w:rPr>
      <w:szCs w:val="22"/>
    </w:rPr>
  </w:style>
  <w:style w:type="paragraph" w:styleId="1148" w:customStyle="1">
    <w:name w:val="表"/>
    <w:basedOn w:val="855"/>
    <w:uiPriority w:val="0"/>
    <w:qFormat/>
    <w:pPr>
      <w:jc w:val="center"/>
    </w:pPr>
    <w:rPr>
      <w:szCs w:val="20"/>
    </w:rPr>
  </w:style>
  <w:style w:type="paragraph" w:styleId="1149" w:customStyle="1">
    <w:name w:val="+列表1"/>
    <w:basedOn w:val="855"/>
    <w:link w:val="1150"/>
    <w:uiPriority w:val="0"/>
    <w:qFormat/>
    <w:pPr>
      <w:jc w:val="center"/>
    </w:pPr>
    <w:rPr>
      <w:sz w:val="24"/>
    </w:rPr>
  </w:style>
  <w:style w:type="character" w:styleId="1150" w:customStyle="1">
    <w:name w:val="+列表1 Char Char Char Char Char Char"/>
    <w:link w:val="1149"/>
    <w:uiPriority w:val="0"/>
    <w:qFormat/>
    <w:rPr>
      <w:rFonts w:eastAsia="宋体"/>
      <w:sz w:val="24"/>
      <w:szCs w:val="24"/>
      <w:lang w:val="en-US" w:eastAsia="zh-CN" w:bidi="ar-SA"/>
    </w:rPr>
  </w:style>
  <w:style w:type="paragraph" w:styleId="1151" w:customStyle="1">
    <w:name w:val="纯文本1"/>
    <w:basedOn w:val="855"/>
    <w:next w:val="888"/>
    <w:uiPriority w:val="0"/>
    <w:qFormat/>
    <w:rPr>
      <w:rFonts w:ascii="宋体" w:hAnsi="Courier New" w:eastAsia="楷体_GB2312"/>
      <w:sz w:val="28"/>
      <w:szCs w:val="20"/>
    </w:rPr>
  </w:style>
  <w:style w:type="paragraph" w:styleId="1152" w:customStyle="1">
    <w:name w:val="Plain Text1"/>
    <w:basedOn w:val="855"/>
    <w:uiPriority w:val="0"/>
    <w:qFormat/>
    <w:rPr>
      <w:rFonts w:ascii="宋体" w:hAnsi="Courier New" w:eastAsia="楷体_GB2312"/>
      <w:sz w:val="26"/>
      <w:szCs w:val="20"/>
    </w:rPr>
  </w:style>
  <w:style w:type="paragraph" w:styleId="1153" w:customStyle="1">
    <w:name w:val="UserStyle_7"/>
    <w:next w:val="855"/>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54" w:customStyle="1">
    <w:name w:val="xl44"/>
    <w:basedOn w:val="855"/>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155" w:customStyle="1">
    <w:name w:val="纯文本2"/>
    <w:basedOn w:val="855"/>
    <w:uiPriority w:val="0"/>
    <w:qFormat/>
    <w:pPr>
      <w:jc w:val="left"/>
      <w:widowControl/>
    </w:pPr>
    <w:rPr>
      <w:rFonts w:ascii="宋体" w:hAnsi="Courier New" w:eastAsia="楷体_GB2312"/>
      <w:sz w:val="26"/>
      <w:szCs w:val="20"/>
    </w:rPr>
  </w:style>
  <w:style w:type="paragraph" w:styleId="1156" w:customStyle="1">
    <w:name w:val="TOC 标题11"/>
    <w:basedOn w:val="856"/>
    <w:next w:val="855"/>
    <w:uiPriority w:val="0"/>
    <w:qFormat/>
    <w:pPr>
      <w:jc w:val="left"/>
      <w:spacing w:before="480" w:after="0" w:line="276" w:lineRule="auto"/>
      <w:widowControl/>
      <w:outlineLvl w:val="9"/>
    </w:pPr>
    <w:rPr>
      <w:rFonts w:ascii="Cambria" w:hAnsi="Cambria"/>
      <w:color w:val="365f91"/>
      <w:sz w:val="28"/>
      <w:szCs w:val="28"/>
    </w:rPr>
  </w:style>
  <w:style w:type="paragraph" w:styleId="1157" w:customStyle="1">
    <w:name w:val="Char Char Char Char Char Char Char Char Char1 Char"/>
    <w:basedOn w:val="920"/>
    <w:uiPriority w:val="0"/>
    <w:qFormat/>
    <w:rPr>
      <w:rFonts w:ascii="Tahoma" w:hAnsi="Tahoma"/>
      <w:sz w:val="24"/>
    </w:rPr>
  </w:style>
  <w:style w:type="paragraph" w:styleId="1158"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159" w:customStyle="1">
    <w:name w:val="正文标准"/>
    <w:basedOn w:val="855"/>
    <w:uiPriority w:val="0"/>
    <w:qFormat/>
    <w:pPr>
      <w:ind w:firstLine="200"/>
    </w:pPr>
    <w:rPr>
      <w:rFonts w:hAnsi="宋体"/>
      <w:sz w:val="24"/>
    </w:rPr>
  </w:style>
  <w:style w:type="paragraph" w:styleId="1160" w:customStyle="1">
    <w:name w:val="纯文本4"/>
    <w:basedOn w:val="855"/>
    <w:link w:val="1161"/>
    <w:uiPriority w:val="0"/>
    <w:qFormat/>
    <w:rPr>
      <w:rFonts w:ascii="宋体" w:hAnsi="Courier New" w:eastAsia="楷体_GB2312"/>
      <w:sz w:val="28"/>
      <w:szCs w:val="20"/>
    </w:rPr>
  </w:style>
  <w:style w:type="character" w:styleId="1161" w:customStyle="1">
    <w:name w:val="Plain Text Char Char"/>
    <w:link w:val="1160"/>
    <w:uiPriority w:val="0"/>
    <w:qFormat/>
    <w:rPr>
      <w:rFonts w:ascii="宋体" w:hAnsi="Courier New" w:eastAsia="楷体_GB2312"/>
      <w:sz w:val="28"/>
      <w:lang w:val="en-US" w:eastAsia="zh-CN" w:bidi="ar-SA"/>
    </w:rPr>
  </w:style>
  <w:style w:type="paragraph" w:styleId="1162" w:customStyle="1">
    <w:name w:val="p25"/>
    <w:basedOn w:val="855"/>
    <w:uiPriority w:val="0"/>
    <w:qFormat/>
    <w:pPr>
      <w:jc w:val="left"/>
      <w:widowControl/>
    </w:pPr>
    <w:rPr>
      <w:rFonts w:ascii="黑体" w:hAnsi="黑体" w:eastAsia="黑体" w:cs="黑体"/>
      <w:sz w:val="26"/>
      <w:szCs w:val="26"/>
    </w:rPr>
  </w:style>
  <w:style w:type="paragraph" w:styleId="1163" w:customStyle="1">
    <w:name w:val="Char"/>
    <w:basedOn w:val="855"/>
    <w:uiPriority w:val="0"/>
    <w:qFormat/>
    <w:pPr>
      <w:ind w:left="420" w:hanging="420"/>
      <w:tabs>
        <w:tab w:val="left" w:pos="420" w:leader="none"/>
      </w:tabs>
    </w:pPr>
    <w:rPr>
      <w:sz w:val="24"/>
    </w:rPr>
  </w:style>
  <w:style w:type="paragraph" w:styleId="1164" w:customStyle="1">
    <w:name w:val="BodyTextIndent31"/>
    <w:basedOn w:val="855"/>
    <w:link w:val="1165"/>
    <w:uiPriority w:val="0"/>
    <w:semiHidden/>
    <w:qFormat/>
    <w:pPr>
      <w:ind w:left="420"/>
      <w:jc w:val="left"/>
      <w:spacing w:after="120"/>
      <w:widowControl/>
    </w:pPr>
    <w:rPr>
      <w:sz w:val="16"/>
      <w:szCs w:val="16"/>
    </w:rPr>
  </w:style>
  <w:style w:type="character" w:styleId="1165" w:customStyle="1">
    <w:name w:val="UserStyle_5"/>
    <w:link w:val="1164"/>
    <w:uiPriority w:val="0"/>
    <w:semiHidden/>
    <w:qFormat/>
    <w:rPr>
      <w:sz w:val="16"/>
      <w:szCs w:val="16"/>
    </w:rPr>
  </w:style>
  <w:style w:type="paragraph" w:styleId="1166" w:customStyle="1">
    <w:name w:val="列表段落1"/>
    <w:basedOn w:val="855"/>
    <w:uiPriority w:val="0"/>
    <w:qFormat/>
    <w:pPr>
      <w:ind w:firstLine="420"/>
      <w:jc w:val="left"/>
    </w:pPr>
    <w:rPr>
      <w:sz w:val="24"/>
      <w:szCs w:val="22"/>
    </w:rPr>
  </w:style>
  <w:style w:type="paragraph" w:styleId="1167" w:customStyle="1">
    <w:name w:val="+● Char Char Char"/>
    <w:basedOn w:val="855"/>
    <w:link w:val="1168"/>
    <w:uiPriority w:val="0"/>
    <w:qFormat/>
    <w:pPr>
      <w:numPr>
        <w:ilvl w:val="0"/>
        <w:numId w:val="4"/>
      </w:numPr>
      <w:ind w:firstLine="480"/>
      <w:tabs>
        <w:tab w:val="left" w:pos="958" w:leader="none"/>
      </w:tabs>
    </w:pPr>
    <w:rPr>
      <w:sz w:val="24"/>
      <w:szCs w:val="28"/>
    </w:rPr>
  </w:style>
  <w:style w:type="character" w:styleId="1168" w:customStyle="1">
    <w:name w:val="+● Char Char Char Char Char Char"/>
    <w:link w:val="1167"/>
    <w:uiPriority w:val="0"/>
    <w:qFormat/>
    <w:rPr>
      <w:rFonts w:eastAsia="宋体"/>
      <w:sz w:val="24"/>
      <w:szCs w:val="28"/>
      <w:lang w:val="en-US" w:eastAsia="zh-CN" w:bidi="ar-SA"/>
    </w:rPr>
  </w:style>
  <w:style w:type="paragraph" w:styleId="1169" w:customStyle="1">
    <w:name w:val="Char Char Char1 Char Char Char Char"/>
    <w:basedOn w:val="855"/>
    <w:uiPriority w:val="0"/>
    <w:qFormat/>
    <w:pPr>
      <w:jc w:val="left"/>
      <w:spacing w:after="160" w:line="240" w:lineRule="exact"/>
      <w:widowControl/>
    </w:pPr>
    <w:rPr>
      <w:sz w:val="24"/>
    </w:rPr>
  </w:style>
  <w:style w:type="paragraph" w:styleId="1170" w:customStyle="1">
    <w:name w:val="方案文档"/>
    <w:link w:val="1171"/>
    <w:uiPriority w:val="0"/>
    <w:qFormat/>
    <w:pPr>
      <w:ind w:firstLine="200"/>
      <w:spacing w:before="156" w:after="156" w:line="360" w:lineRule="auto"/>
    </w:pPr>
    <w:rPr>
      <w:rFonts w:hint="default" w:ascii="Times New Roman" w:hAnsi="Times New Roman" w:eastAsia="Times New Roman" w:cs="Times New Roman"/>
      <w:sz w:val="24"/>
      <w:szCs w:val="24"/>
      <w:lang w:val="en-US" w:eastAsia="zh-CN" w:bidi="ar-SA"/>
    </w:rPr>
  </w:style>
  <w:style w:type="character" w:styleId="1171" w:customStyle="1">
    <w:name w:val="方案文档 Char Char"/>
    <w:link w:val="1170"/>
    <w:uiPriority w:val="0"/>
    <w:qFormat/>
    <w:rPr>
      <w:rFonts w:eastAsia="Times New Roman"/>
      <w:sz w:val="24"/>
      <w:szCs w:val="24"/>
      <w:lang w:val="en-US" w:eastAsia="zh-CN" w:bidi="ar-SA"/>
    </w:rPr>
  </w:style>
  <w:style w:type="character" w:styleId="1172" w:customStyle="1">
    <w:name w:val="NormalCharacter1"/>
    <w:uiPriority w:val="0"/>
    <w:semiHidden/>
    <w:qFormat/>
  </w:style>
  <w:style w:type="character" w:styleId="1173" w:customStyle="1">
    <w:name w:val="Footer Char"/>
    <w:uiPriority w:val="0"/>
    <w:qFormat/>
    <w:rPr>
      <w:rFonts w:ascii="Times New Roman" w:hAnsi="Times New Roman" w:cs="Times New Roman"/>
      <w:sz w:val="18"/>
      <w:szCs w:val="18"/>
    </w:rPr>
  </w:style>
  <w:style w:type="character" w:styleId="1174" w:customStyle="1">
    <w:name w:val="纯文本 Char Char2"/>
    <w:uiPriority w:val="0"/>
    <w:qFormat/>
    <w:rPr>
      <w:rFonts w:ascii="宋体" w:hAnsi="Courier New" w:eastAsia="楷体_GB2312"/>
      <w:sz w:val="26"/>
      <w:szCs w:val="24"/>
      <w:lang w:val="en-US" w:eastAsia="zh-CN" w:bidi="ar-SA"/>
    </w:rPr>
  </w:style>
  <w:style w:type="character" w:styleId="1175" w:customStyle="1">
    <w:name w:val="首行缩进两字 Char2"/>
    <w:uiPriority w:val="0"/>
    <w:qFormat/>
    <w:rPr>
      <w:rFonts w:eastAsia="楷体_GB2312"/>
      <w:sz w:val="24"/>
      <w:lang w:val="en-US" w:eastAsia="zh-CN" w:bidi="ar-SA"/>
    </w:rPr>
  </w:style>
  <w:style w:type="character" w:styleId="1176" w:customStyle="1">
    <w:name w:val="正文缩进 字符"/>
    <w:uiPriority w:val="0"/>
    <w:qFormat/>
    <w:rPr>
      <w:rFonts w:eastAsia="楷体_GB2312"/>
      <w:sz w:val="24"/>
    </w:rPr>
  </w:style>
  <w:style w:type="character" w:styleId="1177" w:customStyle="1">
    <w:name w:val="Char Char17"/>
    <w:uiPriority w:val="0"/>
    <w:qFormat/>
    <w:rPr>
      <w:rFonts w:eastAsia="楷体_GB2312"/>
      <w:sz w:val="24"/>
      <w:lang w:val="en-US" w:eastAsia="zh-CN" w:bidi="ar-SA"/>
    </w:rPr>
  </w:style>
  <w:style w:type="character" w:styleId="1178" w:customStyle="1">
    <w:name w:val="Heading 4 Char"/>
    <w:uiPriority w:val="0"/>
    <w:qFormat/>
    <w:rPr>
      <w:rFonts w:ascii="Times New Roman" w:hAnsi="Times New Roman" w:eastAsia="宋体" w:cs="Times New Roman"/>
      <w:b/>
      <w:bCs/>
      <w:sz w:val="28"/>
      <w:szCs w:val="28"/>
    </w:rPr>
  </w:style>
  <w:style w:type="character" w:styleId="1179" w:customStyle="1">
    <w:name w:val="Header Char"/>
    <w:uiPriority w:val="0"/>
    <w:semiHidden/>
    <w:qFormat/>
    <w:rPr>
      <w:rFonts w:eastAsia="宋体" w:cs="Times New Roman"/>
      <w:sz w:val="18"/>
      <w:szCs w:val="24"/>
      <w:lang w:val="en-US" w:eastAsia="zh-CN"/>
    </w:rPr>
  </w:style>
  <w:style w:type="character" w:styleId="1180" w:customStyle="1">
    <w:name w:val="首行缩进两字 Char1"/>
    <w:uiPriority w:val="0"/>
    <w:qFormat/>
    <w:rPr>
      <w:rFonts w:eastAsia="楷体_GB2312"/>
      <w:sz w:val="24"/>
      <w:lang w:val="en-US" w:eastAsia="zh-CN" w:bidi="ar-SA"/>
    </w:rPr>
  </w:style>
  <w:style w:type="character" w:styleId="1181" w:customStyle="1">
    <w:name w:val="标题 Char1"/>
    <w:uiPriority w:val="0"/>
    <w:qFormat/>
    <w:rPr>
      <w:rFonts w:ascii="Cambria" w:hAnsi="Cambria" w:cs="Times New Roman"/>
      <w:b/>
      <w:bCs/>
      <w:sz w:val="32"/>
      <w:szCs w:val="32"/>
    </w:rPr>
  </w:style>
  <w:style w:type="character" w:styleId="1182" w:customStyle="1">
    <w:name w:val="Heading 3 Char"/>
    <w:uiPriority w:val="0"/>
    <w:qFormat/>
    <w:rPr>
      <w:rFonts w:ascii="Times New Roman" w:hAnsi="Times New Roman" w:cs="Times New Roman"/>
      <w:b/>
      <w:bCs/>
      <w:sz w:val="32"/>
      <w:szCs w:val="32"/>
    </w:rPr>
  </w:style>
  <w:style w:type="character" w:styleId="1183" w:customStyle="1">
    <w:name w:val="c lh15"/>
    <w:basedOn w:val="913"/>
    <w:uiPriority w:val="0"/>
    <w:qFormat/>
  </w:style>
  <w:style w:type="character" w:styleId="1184" w:customStyle="1">
    <w:name w:val="Heading 5 Char"/>
    <w:uiPriority w:val="0"/>
    <w:qFormat/>
    <w:rPr>
      <w:rFonts w:ascii="Times New Roman" w:hAnsi="Times New Roman" w:cs="Times New Roman"/>
      <w:b/>
      <w:bCs/>
      <w:sz w:val="28"/>
      <w:szCs w:val="28"/>
    </w:rPr>
  </w:style>
  <w:style w:type="character" w:styleId="1185" w:customStyle="1">
    <w:name w:val="font11"/>
    <w:basedOn w:val="913"/>
    <w:uiPriority w:val="0"/>
    <w:qFormat/>
    <w:rPr>
      <w:rFonts w:hint="eastAsia" w:ascii="宋体" w:hAnsi="宋体" w:eastAsia="宋体" w:cs="宋体"/>
      <w:color w:val="000000"/>
      <w:sz w:val="24"/>
      <w:szCs w:val="24"/>
      <w:u w:val="none"/>
    </w:rPr>
  </w:style>
  <w:style w:type="character" w:styleId="1186" w:customStyle="1">
    <w:name w:val="font21"/>
    <w:basedOn w:val="913"/>
    <w:uiPriority w:val="0"/>
    <w:qFormat/>
    <w:rPr>
      <w:rFonts w:hint="eastAsia" w:ascii="宋体" w:hAnsi="宋体" w:eastAsia="宋体" w:cs="宋体"/>
      <w:color w:val="000000"/>
      <w:sz w:val="24"/>
      <w:szCs w:val="24"/>
      <w:u w:val="none"/>
    </w:rPr>
  </w:style>
  <w:style w:type="paragraph" w:styleId="1187" w:customStyle="1">
    <w:name w:val="_Style 30"/>
    <w:basedOn w:val="855"/>
    <w:next w:val="1188"/>
    <w:uiPriority w:val="0"/>
    <w:qFormat/>
    <w:rPr>
      <w:rFonts w:ascii="宋体" w:hAnsi="Courier New"/>
    </w:rPr>
  </w:style>
  <w:style w:type="paragraph" w:styleId="1188" w:customStyle="1">
    <w:name w:val="纯文本12"/>
    <w:basedOn w:val="855"/>
    <w:uiPriority w:val="0"/>
    <w:qFormat/>
    <w:rPr>
      <w:rFonts w:ascii="宋体" w:hAnsi="Courier New"/>
    </w:rPr>
  </w:style>
  <w:style w:type="paragraph" w:styleId="1189" w:customStyle="1">
    <w:name w:val="Table Paragraph"/>
    <w:basedOn w:val="855"/>
    <w:uiPriority w:val="1"/>
    <w:qFormat/>
    <w:rPr>
      <w:rFonts w:ascii="宋体" w:hAnsi="宋体" w:cs="宋体"/>
      <w:lang w:val="zh-CN" w:bidi="zh-CN"/>
    </w:rPr>
  </w:style>
  <w:style w:type="paragraph" w:styleId="1190">
    <w:name w:val="List Paragraph"/>
    <w:basedOn w:val="855"/>
    <w:uiPriority w:val="1"/>
    <w:qFormat/>
    <w:pPr>
      <w:ind w:left="317" w:firstLine="480"/>
    </w:pPr>
    <w:rPr>
      <w:rFonts w:ascii="宋体" w:hAnsi="宋体" w:cs="宋体"/>
      <w:lang w:val="zh-CN" w:bidi="zh-CN"/>
    </w:rPr>
  </w:style>
  <w:style w:type="paragraph" w:styleId="1191" w:customStyle="1">
    <w:name w:val="+标题1"/>
    <w:basedOn w:val="856"/>
    <w:uiPriority w:val="0"/>
    <w:qFormat/>
    <w:pPr>
      <w:keepNext w:val="0"/>
      <w:pageBreakBefore/>
      <w:spacing w:before="240" w:after="240" w:line="240" w:lineRule="auto"/>
    </w:pPr>
    <w:rPr>
      <w:rFonts w:ascii="宋体" w:hAnsi="宋体"/>
      <w:color w:val="000000"/>
      <w:sz w:val="36"/>
    </w:rPr>
  </w:style>
  <w:style w:type="paragraph" w:styleId="1192" w:customStyle="1">
    <w:name w:val="纯文本5"/>
    <w:basedOn w:val="855"/>
    <w:uiPriority w:val="0"/>
    <w:qFormat/>
    <w:rPr>
      <w:rFonts w:ascii="宋体" w:hAnsi="Courier New" w:eastAsia="楷体_GB2312"/>
      <w:sz w:val="28"/>
      <w:szCs w:val="20"/>
    </w:rPr>
  </w:style>
  <w:style w:type="paragraph" w:styleId="1193" w:customStyle="1">
    <w:name w:val="WPSOffice手动目录 1"/>
    <w:uiPriority w:val="0"/>
    <w:qFormat/>
    <w:rPr>
      <w:rFonts w:hint="default" w:ascii="Times New Roman" w:hAnsi="Times New Roman" w:eastAsia="宋体" w:cs="Times New Roman"/>
      <w:lang w:val="en-US" w:eastAsia="zh-CN" w:bidi="ar-SA"/>
    </w:rPr>
  </w:style>
  <w:style w:type="paragraph" w:styleId="119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95" w:customStyle="1">
    <w:name w:val="纯文本51"/>
    <w:basedOn w:val="855"/>
    <w:uiPriority w:val="0"/>
    <w:qFormat/>
    <w:rPr>
      <w:rFonts w:ascii="宋体" w:hAnsi="Courier New"/>
    </w:rPr>
  </w:style>
  <w:style w:type="character" w:styleId="1196" w:customStyle="1">
    <w:name w:val="font41"/>
    <w:basedOn w:val="913"/>
    <w:uiPriority w:val="0"/>
    <w:qFormat/>
    <w:rPr>
      <w:rFonts w:hint="eastAsia" w:ascii="宋体" w:hAnsi="宋体" w:eastAsia="宋体" w:cs="宋体"/>
      <w:color w:val="000000"/>
      <w:sz w:val="21"/>
      <w:szCs w:val="21"/>
      <w:u w:val="none"/>
    </w:rPr>
  </w:style>
  <w:style w:type="paragraph" w:styleId="1197" w:customStyle="1">
    <w:name w:val="普通(网站)1"/>
    <w:basedOn w:val="855"/>
    <w:uiPriority w:val="0"/>
    <w:qFormat/>
    <w:pPr>
      <w:jc w:val="left"/>
      <w:spacing w:before="100" w:beforeAutospacing="1" w:after="100" w:afterAutospacing="1"/>
      <w:widowControl/>
    </w:pPr>
    <w:rPr>
      <w:rFonts w:ascii="宋体" w:hAnsi="宋体" w:cs="宋体"/>
      <w:sz w:val="24"/>
    </w:rPr>
  </w:style>
  <w:style w:type="paragraph" w:styleId="1198" w:customStyle="1">
    <w:name w:val="正文 A"/>
    <w:next w:val="910"/>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199" w:customStyle="1">
    <w:name w:val="正文缩进1"/>
    <w:basedOn w:val="855"/>
    <w:uiPriority w:val="0"/>
    <w:qFormat/>
    <w:pPr>
      <w:ind w:firstLine="420"/>
      <w:jc w:val="left"/>
    </w:pPr>
    <w:rPr>
      <w:sz w:val="24"/>
    </w:rPr>
  </w:style>
  <w:style w:type="character" w:styleId="1200" w:customStyle="1">
    <w:name w:val="批注引用1"/>
    <w:uiPriority w:val="0"/>
    <w:semiHidden/>
    <w:qFormat/>
    <w:rPr>
      <w:rFonts w:ascii="Times New Roman" w:hAnsi="Times New Roman" w:eastAsia="宋体" w:cs="Times New Roman"/>
      <w:sz w:val="21"/>
      <w:szCs w:val="24"/>
      <w:lang w:val="en-US" w:eastAsia="zh-CN" w:bidi="ar-SA"/>
    </w:rPr>
  </w:style>
  <w:style w:type="paragraph" w:styleId="1201" w:customStyle="1">
    <w:name w:val="正文文本1"/>
    <w:basedOn w:val="855"/>
    <w:next w:val="855"/>
    <w:uiPriority w:val="0"/>
    <w:qFormat/>
    <w:pPr>
      <w:spacing w:line="400" w:lineRule="exact"/>
    </w:pPr>
    <w:rPr>
      <w:rFonts w:ascii="楷体_GB2312"/>
      <w:sz w:val="28"/>
    </w:rPr>
  </w:style>
  <w:style w:type="character" w:styleId="1202" w:customStyle="1">
    <w:name w:val="NormalCharacter11"/>
    <w:uiPriority w:val="0"/>
    <w:qFormat/>
    <w:rPr>
      <w:rFonts w:ascii="Times New Roman" w:hAnsi="Times New Roman" w:eastAsia="宋体"/>
    </w:rPr>
  </w:style>
  <w:style w:type="paragraph" w:styleId="1203" w:customStyle="1">
    <w:name w:val="标题3"/>
    <w:basedOn w:val="1204"/>
    <w:uiPriority w:val="0"/>
    <w:qFormat/>
    <w:pPr>
      <w:contextualSpacing/>
      <w:jc w:val="center"/>
      <w:spacing w:before="100" w:after="100"/>
    </w:pPr>
    <w:rPr>
      <w:rFonts w:eastAsia="黑体" w:cs="宋体"/>
      <w:bCs/>
      <w:sz w:val="28"/>
    </w:rPr>
  </w:style>
  <w:style w:type="paragraph" w:styleId="1204" w:customStyle="1">
    <w:name w:val="标题 31"/>
    <w:basedOn w:val="855"/>
    <w:next w:val="855"/>
    <w:uiPriority w:val="0"/>
    <w:qFormat/>
    <w:pPr>
      <w:jc w:val="left"/>
      <w:keepLines/>
      <w:keepNext/>
      <w:outlineLvl w:val="2"/>
    </w:pPr>
    <w:rPr>
      <w:b/>
    </w:rPr>
  </w:style>
  <w:style w:type="paragraph" w:styleId="1205" w:customStyle="1">
    <w:name w:val="页眉1"/>
    <w:basedOn w:val="855"/>
    <w:uiPriority w:val="0"/>
    <w:qFormat/>
    <w:pPr>
      <w:tabs>
        <w:tab w:val="center" w:pos="4153" w:leader="none"/>
        <w:tab w:val="right" w:pos="8306" w:leader="none"/>
      </w:tabs>
      <w:pBdr>
        <w:bottom w:val="single" w:color="000000" w:sz="6" w:space="1"/>
      </w:pBdr>
    </w:pPr>
    <w:rPr>
      <w:sz w:val="18"/>
    </w:rPr>
  </w:style>
  <w:style w:type="paragraph" w:styleId="1206" w:customStyle="1">
    <w:name w:val="段落正文"/>
    <w:basedOn w:val="855"/>
    <w:uiPriority w:val="0"/>
    <w:qFormat/>
    <w:pPr>
      <w:ind w:firstLine="880"/>
    </w:pPr>
    <w:rPr>
      <w:szCs w:val="21"/>
    </w:rPr>
  </w:style>
  <w:style w:type="paragraph" w:styleId="1207" w:customStyle="1">
    <w:name w:val="表格正文"/>
    <w:uiPriority w:val="0"/>
    <w:qFormat/>
    <w:pPr>
      <w:spacing w:before="20" w:after="20"/>
    </w:pPr>
    <w:rPr>
      <w:rFonts w:hint="default" w:ascii="Times New Roman" w:hAnsi="Times New Roman" w:eastAsia="宋体" w:cs="Times New Roman"/>
      <w:i/>
      <w:iCs/>
      <w:color w:val="0070c0"/>
      <w:sz w:val="24"/>
      <w:szCs w:val="22"/>
      <w:lang w:val="en-US" w:eastAsia="zh-CN" w:bidi="ar-SA"/>
    </w:rPr>
  </w:style>
  <w:style w:type="paragraph" w:styleId="120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09" w:customStyle="1">
    <w:name w:val="纯文本6"/>
    <w:basedOn w:val="855"/>
    <w:uiPriority w:val="0"/>
    <w:qFormat/>
    <w:rPr>
      <w:rFonts w:ascii="宋体" w:hAnsi="Courier New" w:eastAsia="楷体_GB2312"/>
      <w:sz w:val="28"/>
      <w:szCs w:val="20"/>
    </w:rPr>
  </w:style>
  <w:style w:type="paragraph" w:styleId="1210" w:customStyle="1">
    <w:name w:val="Normal_23"/>
    <w:uiPriority w:val="0"/>
    <w:qFormat/>
    <w:rPr>
      <w:rFonts w:hint="default" w:ascii="Times New Roman" w:hAnsi="Times New Roman" w:eastAsia="Times New Roman" w:cs="Times New Roman"/>
      <w:sz w:val="24"/>
      <w:szCs w:val="24"/>
      <w:lang w:val="en-US" w:eastAsia="zh-CN" w:bidi="ar-SA"/>
    </w:rPr>
  </w:style>
  <w:style w:type="table" w:styleId="1211" w:customStyle="1">
    <w:name w:val="Table Normal"/>
    <w:uiPriority w:val="0"/>
    <w:semiHidden/>
    <w:unhideWhenUsed/>
    <w:qFormat/>
    <w:tblPr>
      <w:tblCellMar>
        <w:left w:w="0" w:type="dxa"/>
        <w:top w:w="0" w:type="dxa"/>
        <w:right w:w="0" w:type="dxa"/>
        <w:bottom w:w="0" w:type="dxa"/>
      </w:tblCellMar>
    </w:tblPr>
  </w:style>
  <w:style w:type="paragraph" w:styleId="1212" w:customStyle="1">
    <w:name w:val="Table Text"/>
    <w:basedOn w:val="855"/>
    <w:uiPriority w:val="0"/>
    <w:semiHidden/>
    <w:qFormat/>
    <w:rPr>
      <w:rFonts w:ascii="Arial" w:hAnsi="Arial" w:eastAsia="Arial" w:cs="Arial"/>
      <w:szCs w:val="21"/>
      <w:lang w:eastAsia="en-US"/>
    </w:rPr>
  </w:style>
  <w:style w:type="paragraph" w:styleId="1213" w:customStyle="1">
    <w:name w:val="列出段落1"/>
    <w:basedOn w:val="855"/>
    <w:uiPriority w:val="34"/>
    <w:qFormat/>
    <w:pPr>
      <w:ind w:firstLine="420"/>
    </w:pPr>
    <w:rPr>
      <w:rFonts w:ascii="Calibri" w:hAnsi="Calibri"/>
      <w:szCs w:val="20"/>
    </w:rPr>
  </w:style>
  <w:style w:type="paragraph" w:styleId="1214" w:customStyle="1">
    <w:name w:val="目录1"/>
    <w:basedOn w:val="855"/>
    <w:next w:val="855"/>
    <w:uiPriority w:val="0"/>
    <w:qFormat/>
    <w:pPr>
      <w:ind w:firstLine="419"/>
      <w:jc w:val="left"/>
      <w:spacing w:after="102" w:line="646" w:lineRule="atLeast"/>
      <w:widowControl/>
      <w:tabs>
        <w:tab w:val="left" w:pos="8492" w:leader="dot"/>
      </w:tabs>
    </w:pPr>
    <w:rPr>
      <w:color w:val="000000"/>
      <w:szCs w:val="20"/>
    </w:rPr>
  </w:style>
  <w:style w:type="paragraph" w:styleId="1215" w:customStyle="1">
    <w:name w:val="节标题"/>
    <w:basedOn w:val="855"/>
    <w:next w:val="855"/>
    <w:uiPriority w:val="0"/>
    <w:qFormat/>
    <w:pPr>
      <w:jc w:val="center"/>
      <w:spacing w:line="867" w:lineRule="atLeast"/>
      <w:widowControl/>
    </w:pPr>
    <w:rPr>
      <w:color w:val="000000"/>
      <w:sz w:val="28"/>
      <w:szCs w:val="20"/>
    </w:rPr>
  </w:style>
  <w:style w:type="character" w:styleId="1216" w:customStyle="1">
    <w:name w:val="font01"/>
    <w:basedOn w:val="865"/>
    <w:uiPriority w:val="0"/>
    <w:qFormat/>
    <w:rPr>
      <w:rFonts w:hint="eastAsia" w:ascii="宋体" w:hAnsi="宋体" w:eastAsia="宋体" w:cs="宋体"/>
      <w:color w:val="000000"/>
      <w:sz w:val="22"/>
      <w:szCs w:val="22"/>
      <w:u w:val="none"/>
    </w:rPr>
  </w:style>
  <w:style w:type="character" w:styleId="1217" w:customStyle="1">
    <w:name w:val="font31"/>
    <w:basedOn w:val="865"/>
    <w:uiPriority w:val="0"/>
    <w:qFormat/>
    <w:rPr>
      <w:rFonts w:ascii="Times New Roman" w:hAnsi="Times New Roman" w:cs="Times New Roman"/>
      <w:b/>
      <w:bCs/>
      <w:color w:val="000000"/>
      <w:sz w:val="21"/>
      <w:szCs w:val="21"/>
      <w:u w:val="none"/>
    </w:rPr>
  </w:style>
  <w:style w:type="character" w:styleId="1218" w:customStyle="1">
    <w:name w:val="纯文本 Char"/>
    <w:basedOn w:val="865"/>
    <w:link w:val="880"/>
    <w:uiPriority w:val="0"/>
    <w:qFormat/>
    <w:rPr>
      <w:rFonts w:ascii="宋体" w:hAnsi="Courier New" w:eastAsia="楷体_GB2312" w:cs="宋体"/>
      <w:sz w:val="28"/>
    </w:rPr>
  </w:style>
  <w:style w:type="paragraph" w:styleId="1219" w:customStyle="1">
    <w:name w:val="表_内容"/>
    <w:basedOn w:val="855"/>
    <w:uiPriority w:val="0"/>
    <w:qFormat/>
    <w:pPr>
      <w:jc w:val="both"/>
      <w:widowControl/>
    </w:pPr>
    <w:rPr>
      <w:rFonts w:hint="eastAsia" w:ascii="宋体" w:hAnsi="宋体" w:eastAsia="宋体" w:cs="宋体"/>
      <w:color w:val="000000"/>
      <w:sz w:val="21"/>
      <w:u w:val="none"/>
      <w:lang w:bidi="ar"/>
    </w:rPr>
  </w:style>
  <w:style w:type="paragraph" w:styleId="1220" w:customStyle="1">
    <w:name w:val="First Paragraph"/>
    <w:basedOn w:val="876"/>
    <w:next w:val="876"/>
    <w:uiPriority w:val="0"/>
    <w:qFormat/>
  </w:style>
  <w:style w:type="paragraph" w:styleId="1221" w:customStyle="1">
    <w:name w:val="Compact"/>
    <w:basedOn w:val="876"/>
    <w:uiPriority w:val="0"/>
    <w:qFormat/>
    <w:pPr>
      <w:spacing w:before="0" w:after="0"/>
    </w:pPr>
  </w:style>
  <w:style w:type="paragraph" w:styleId="1222" w:customStyle="1">
    <w:name w:val=".正文"/>
    <w:basedOn w:val="855"/>
    <w:uiPriority w:val="0"/>
    <w:qFormat/>
    <w:pPr>
      <w:ind w:firstLine="200"/>
    </w:pPr>
    <w:rPr>
      <w:rFonts w:ascii="Calibri" w:hAnsi="Calibri" w:eastAsia="华文仿宋" w:cs="Times New Roman"/>
      <w:sz w:val="21"/>
      <w14:ligatures w14:val="none"/>
    </w:rPr>
  </w:style>
  <w:style w:type="numbering" w:styleId="1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30"/>
    <customShpInfo spid="_x0000_s1027"/>
    <customShpInfo spid="_x0000_s1029"/>
    <customShpInfo spid="_x0000_s1028"/>
    <customShpInfo spid="_x0000_s1031"/>
    <customShpInfo spid="_x0000_s1034"/>
    <customShpInfo spid="_x0000_s1035"/>
    <customShpInfo spid="_x0000_s1032"/>
    <customShpInfo spid="_x0000_s1033"/>
    <customShpInfo spid="_x0000_s1037"/>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秋裤小王子๛ก(</dc:creator>
  <cp:lastModifiedBy>朱雪芬</cp:lastModifiedBy>
  <cp:revision>18</cp:revision>
  <dcterms:created xsi:type="dcterms:W3CDTF">2025-09-10T04:58:00Z</dcterms:created>
  <dcterms:modified xsi:type="dcterms:W3CDTF">2026-10-23T06:07:31Z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A7B017DBCF0245318A213CFEBF16EFDE_13</vt:lpwstr>
  </property>
  <property fmtid="{D5CDD505-2E9C-101B-9397-08002B2CF9AE}" pid="4" name="KSOTemplateDocerSaveRecord">
    <vt:lpwstr>eyJoZGlkIjoiYTc2ZGZiNzZiNDVlOGViOWVmM2JhOTY0NGJkNjUyYzgiLCJ1c2VySWQiOiI3NDc1NjcwODcifQ==</vt:lpwstr>
  </property>
</Properties>
</file>