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ind w:firstLine="0"/>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r>
      <w:r/>
    </w:p>
    <w:p>
      <w:pPr>
        <w:pStyle w:val="964"/>
        <w:ind w:firstLine="0"/>
        <w:jc w:val="center"/>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t xml:space="preserve">招　标　文　件</w:t>
      </w:r>
      <w:r/>
    </w:p>
    <w:p>
      <w:pPr>
        <w:pStyle w:val="964"/>
        <w:ind w:firstLine="0"/>
        <w:jc w:val="center"/>
        <w:keepLines w:val="0"/>
        <w:keepNext w:val="0"/>
        <w:pageBreakBefore w:val="0"/>
        <w:spacing w:before="0" w:after="0" w:line="480" w:lineRule="auto"/>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bCs/>
          <w:color w:val="auto"/>
          <w:sz w:val="32"/>
          <w:highlight w:val="none"/>
        </w:rPr>
        <w:t xml:space="preserve">项目名称：</w:t>
      </w:r>
      <w:r>
        <w:rPr>
          <w:rFonts w:hint="eastAsia" w:ascii="仿宋" w:hAnsi="仿宋" w:eastAsia="仿宋" w:cs="仿宋"/>
          <w:b/>
          <w:color w:val="auto"/>
          <w:sz w:val="30"/>
          <w:szCs w:val="30"/>
          <w:highlight w:val="none"/>
          <w:lang w:eastAsia="zh-CN"/>
        </w:rPr>
        <w:t xml:space="preserve">宿迁市长期护理保险委托商保公司承办项目</w:t>
      </w:r>
      <w:r/>
    </w:p>
    <w:p>
      <w:pPr>
        <w:pStyle w:val="964"/>
        <w:ind w:firstLine="0"/>
        <w:jc w:val="center"/>
        <w:keepLines w:val="0"/>
        <w:keepNext w:val="0"/>
        <w:pageBreakBefore w:val="0"/>
        <w:spacing w:before="0" w:after="0" w:line="480" w:lineRule="auto"/>
        <w:widowControl w:val="off"/>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项目编号：</w:t>
      </w:r>
      <w:r>
        <w:rPr>
          <w:rFonts w:hint="eastAsia" w:ascii="仿宋" w:hAnsi="仿宋" w:eastAsia="仿宋" w:cs="仿宋"/>
          <w:b/>
          <w:bCs/>
          <w:color w:val="auto"/>
          <w:sz w:val="32"/>
          <w:highlight w:val="none"/>
          <w:lang w:eastAsia="zh-CN"/>
        </w:rPr>
        <w:t xml:space="preserve">JSZC-321300-XKGL-G2026-0001</w:t>
      </w:r>
      <w:r/>
    </w:p>
    <w:p>
      <w:pPr>
        <w:pStyle w:val="964"/>
        <w:ind w:firstLine="0"/>
        <w:jc w:val="center"/>
        <w:keepLines w:val="0"/>
        <w:keepNext w:val="0"/>
        <w:pageBreakBefore w:val="0"/>
        <w:spacing w:before="0" w:after="0" w:line="480" w:lineRule="auto"/>
        <w:widowControl w:val="off"/>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（服务类项目，</w:t>
      </w:r>
      <w:r>
        <w:rPr>
          <w:rFonts w:hint="eastAsia" w:ascii="仿宋" w:hAnsi="仿宋" w:eastAsia="仿宋" w:cs="仿宋"/>
          <w:b/>
          <w:bCs/>
          <w:color w:val="auto"/>
          <w:sz w:val="32"/>
          <w:highlight w:val="none"/>
          <w:u w:val="single"/>
        </w:rPr>
        <w:t xml:space="preserve"> 不 </w:t>
      </w:r>
      <w:r>
        <w:rPr>
          <w:rFonts w:hint="eastAsia" w:ascii="仿宋" w:hAnsi="仿宋" w:eastAsia="仿宋" w:cs="仿宋"/>
          <w:b/>
          <w:bCs/>
          <w:color w:val="auto"/>
          <w:sz w:val="32"/>
          <w:highlight w:val="none"/>
        </w:rPr>
        <w:t xml:space="preserve">专门面向中小企业）</w:t>
      </w:r>
      <w:r/>
    </w:p>
    <w:p>
      <w:pPr>
        <w:pStyle w:val="964"/>
        <w:ind w:firstLine="0"/>
        <w:jc w:val="center"/>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4"/>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4"/>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4"/>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4"/>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4"/>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4"/>
        <w:ind w:firstLine="964"/>
        <w:jc w:val="both"/>
        <w:keepLines w:val="0"/>
        <w:keepNext w:val="0"/>
        <w:pageBreakBefore w:val="0"/>
        <w:spacing w:line="480" w:lineRule="auto"/>
        <w:widowControl w:val="off"/>
        <w:rPr>
          <w:rFonts w:hint="eastAsia" w:ascii="仿宋" w:hAnsi="仿宋" w:eastAsia="仿宋" w:cs="仿宋"/>
          <w:b/>
          <w:bCs/>
          <w:color w:val="auto"/>
          <w:sz w:val="32"/>
          <w:highlight w:val="none"/>
          <w:u w:val="none"/>
        </w:rPr>
      </w:pPr>
      <w:r>
        <w:rPr>
          <w:rFonts w:hint="eastAsia" w:ascii="仿宋" w:hAnsi="仿宋" w:eastAsia="仿宋" w:cs="仿宋"/>
          <w:b/>
          <w:bCs/>
          <w:color w:val="auto"/>
          <w:sz w:val="32"/>
          <w:highlight w:val="none"/>
          <w:u w:val="none"/>
        </w:rPr>
        <w:t xml:space="preserve">采购人：       </w:t>
      </w:r>
      <w:r>
        <w:rPr>
          <w:rFonts w:hint="eastAsia" w:ascii="仿宋" w:hAnsi="仿宋" w:eastAsia="仿宋" w:cs="仿宋"/>
          <w:b/>
          <w:bCs/>
          <w:color w:val="auto"/>
          <w:sz w:val="32"/>
          <w:highlight w:val="none"/>
          <w:u w:val="single"/>
          <w:lang w:eastAsia="zh-CN"/>
        </w:rPr>
        <w:t xml:space="preserve">宿迁市医疗保障局</w:t>
      </w:r>
      <w:r>
        <w:rPr>
          <w:rFonts w:hint="eastAsia" w:ascii="仿宋" w:hAnsi="仿宋" w:eastAsia="仿宋" w:cs="仿宋"/>
          <w:b/>
          <w:bCs/>
          <w:color w:val="auto"/>
          <w:sz w:val="32"/>
          <w:highlight w:val="none"/>
          <w:u w:val="none"/>
        </w:rPr>
        <w:t xml:space="preserve">         </w:t>
      </w:r>
      <w:r/>
    </w:p>
    <w:p>
      <w:pPr>
        <w:pStyle w:val="964"/>
        <w:ind w:firstLine="964"/>
        <w:jc w:val="both"/>
        <w:keepLines w:val="0"/>
        <w:keepNext w:val="0"/>
        <w:pageBreakBefore w:val="0"/>
        <w:spacing w:line="480" w:lineRule="auto"/>
        <w:widowControl w:val="off"/>
        <w:rPr>
          <w:rFonts w:hint="eastAsia" w:ascii="仿宋" w:hAnsi="仿宋" w:eastAsia="仿宋" w:cs="仿宋"/>
          <w:b/>
          <w:bCs/>
          <w:color w:val="auto"/>
          <w:sz w:val="32"/>
          <w:highlight w:val="none"/>
          <w:u w:val="single"/>
        </w:rPr>
      </w:pPr>
      <w:r>
        <w:rPr>
          <w:rFonts w:hint="eastAsia" w:ascii="仿宋" w:hAnsi="仿宋" w:eastAsia="仿宋" w:cs="仿宋"/>
          <w:b/>
          <w:bCs/>
          <w:color w:val="auto"/>
          <w:sz w:val="32"/>
          <w:highlight w:val="none"/>
          <w:u w:val="none"/>
        </w:rPr>
        <w:t xml:space="preserve">采购代理机构： </w:t>
      </w:r>
      <w:r>
        <w:rPr>
          <w:rFonts w:hint="eastAsia" w:ascii="仿宋" w:hAnsi="仿宋" w:eastAsia="仿宋" w:cs="仿宋"/>
          <w:b/>
          <w:bCs/>
          <w:color w:val="auto"/>
          <w:sz w:val="32"/>
          <w:highlight w:val="none"/>
          <w:u w:val="single"/>
          <w:lang w:eastAsia="zh-CN"/>
        </w:rPr>
        <w:t xml:space="preserve">江苏翔堃项目管理有限公司</w:t>
      </w:r>
      <w:r/>
    </w:p>
    <w:p>
      <w:pPr>
        <w:pStyle w:val="964"/>
        <w:ind w:left="0" w:firstLine="0"/>
        <w:jc w:val="center"/>
        <w:keepLines w:val="0"/>
        <w:keepNext w:val="0"/>
        <w:pageBreakBefore w:val="0"/>
        <w:spacing w:line="480" w:lineRule="auto"/>
        <w:widowControl w:val="off"/>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eastAsia="zh-CN"/>
        </w:rPr>
        <w:t xml:space="preserve">2026年</w:t>
      </w:r>
      <w:r>
        <w:rPr>
          <w:rFonts w:hint="eastAsia" w:ascii="仿宋" w:hAnsi="仿宋" w:eastAsia="仿宋" w:cs="仿宋"/>
          <w:b/>
          <w:bCs/>
          <w:color w:val="auto"/>
          <w:sz w:val="32"/>
          <w:highlight w:val="none"/>
          <w:lang w:val="en-US" w:eastAsia="zh-CN"/>
        </w:rPr>
        <w:t xml:space="preserve">09</w:t>
      </w:r>
      <w:r>
        <w:rPr>
          <w:rFonts w:hint="eastAsia" w:ascii="仿宋" w:hAnsi="仿宋" w:eastAsia="仿宋" w:cs="仿宋"/>
          <w:b/>
          <w:bCs/>
          <w:color w:val="auto"/>
          <w:sz w:val="32"/>
          <w:highlight w:val="none"/>
        </w:rPr>
        <w:t xml:space="preserve">月</w:t>
      </w:r>
      <w:r>
        <w:rPr>
          <w:rFonts w:hint="eastAsia" w:ascii="仿宋" w:hAnsi="仿宋" w:eastAsia="仿宋" w:cs="仿宋"/>
          <w:b/>
          <w:bCs/>
          <w:color w:val="auto"/>
          <w:sz w:val="32"/>
          <w:highlight w:val="none"/>
          <w:lang w:val="en-US" w:eastAsia="zh-CN"/>
        </w:rPr>
        <w:t xml:space="preserve">09</w:t>
      </w:r>
      <w:r>
        <w:rPr>
          <w:rFonts w:hint="eastAsia" w:ascii="仿宋" w:hAnsi="仿宋" w:eastAsia="仿宋" w:cs="仿宋"/>
          <w:b/>
          <w:bCs/>
          <w:color w:val="auto"/>
          <w:sz w:val="32"/>
          <w:highlight w:val="none"/>
        </w:rPr>
        <w:t xml:space="preserve">日</w:t>
      </w:r>
      <w:r/>
    </w:p>
    <w:p>
      <w:pPr>
        <w:pStyle w:val="964"/>
        <w:ind w:firstLine="0"/>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                        </w:t>
      </w:r>
      <w:r/>
    </w:p>
    <w:p>
      <w:pPr>
        <w:rPr>
          <w:rFonts w:hint="eastAsia" w:ascii="仿宋" w:hAnsi="仿宋" w:eastAsia="仿宋" w:cs="仿宋"/>
          <w:b/>
          <w:bCs/>
          <w:color w:val="auto"/>
          <w:sz w:val="52"/>
          <w:szCs w:val="52"/>
          <w:highlight w:val="none"/>
        </w:rPr>
      </w:pPr>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仿宋" w:hAnsi="仿宋" w:eastAsia="仿宋" w:cs="仿宋"/>
          <w:b/>
          <w:bCs/>
          <w:color w:val="auto"/>
          <w:sz w:val="52"/>
          <w:szCs w:val="52"/>
          <w:highlight w:val="none"/>
        </w:rPr>
        <w:br w:type="page" w:clear="all"/>
      </w:r>
      <w:r/>
    </w:p>
    <w:p>
      <w:pPr>
        <w:ind w:left="0" w:right="0" w:firstLine="0"/>
        <w:jc w:val="center"/>
        <w:keepLines w:val="0"/>
        <w:keepNext w:val="0"/>
        <w:pageBreakBefore w:val="0"/>
        <w:spacing w:before="0" w:after="0" w:line="480" w:lineRule="auto"/>
        <w:widowControl w:val="off"/>
        <w:rPr>
          <w:rFonts w:hint="eastAsia" w:ascii="仿宋" w:hAnsi="仿宋" w:eastAsia="仿宋" w:cs="仿宋"/>
          <w:color w:val="auto"/>
          <w:sz w:val="36"/>
          <w:szCs w:val="36"/>
          <w:highlight w:val="none"/>
        </w:rPr>
      </w:pPr>
      <w:r>
        <w:rPr>
          <w:rFonts w:hint="eastAsia" w:ascii="仿宋" w:hAnsi="仿宋" w:eastAsia="仿宋" w:cs="仿宋"/>
          <w:b/>
          <w:bCs/>
          <w:color w:val="auto"/>
          <w:sz w:val="52"/>
          <w:szCs w:val="52"/>
          <w:highlight w:val="none"/>
        </w:rPr>
        <w:t xml:space="preserve">目录</w:t>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
          <w:bCs/>
          <w:caps/>
          <w:color w:val="auto"/>
          <w:sz w:val="36"/>
          <w:szCs w:val="36"/>
          <w:highlight w:val="none"/>
          <w:lang w:val="en-US" w:eastAsia="zh-CN" w:bidi="ar-SA"/>
        </w:rPr>
        <w:fldChar w:fldCharType="begin"/>
      </w:r>
      <w:r>
        <w:rPr>
          <w:rFonts w:hint="eastAsia" w:ascii="仿宋" w:hAnsi="仿宋" w:eastAsia="仿宋" w:cs="仿宋"/>
          <w:b/>
          <w:bCs/>
          <w:caps/>
          <w:color w:val="auto"/>
          <w:sz w:val="36"/>
          <w:szCs w:val="36"/>
          <w:highlight w:val="none"/>
          <w:lang w:val="en-US" w:eastAsia="zh-CN" w:bidi="ar-SA"/>
        </w:rPr>
        <w:instrText xml:space="preserve">TOC \o "1-1" \h \u </w:instrText>
      </w:r>
      <w:r>
        <w:rPr>
          <w:rFonts w:hint="eastAsia" w:ascii="仿宋" w:hAnsi="仿宋" w:eastAsia="仿宋" w:cs="仿宋"/>
          <w:b/>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_Toc22897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第一章   投标邀请</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t xml:space="preserve">1</w:t>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_Toc14806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第二章</w:t>
      </w:r>
      <w:r>
        <w:rPr>
          <w:rFonts w:hint="eastAsia" w:ascii="仿宋" w:hAnsi="仿宋" w:eastAsia="仿宋" w:cs="仿宋"/>
          <w:bCs/>
          <w:caps/>
          <w:color w:val="auto"/>
          <w:sz w:val="36"/>
          <w:szCs w:val="36"/>
          <w:highlight w:val="none"/>
          <w:lang w:val="en-US" w:eastAsia="zh-CN" w:bidi="ar-SA"/>
        </w:rPr>
        <w:t xml:space="preserve">   </w:t>
      </w:r>
      <w:r>
        <w:rPr>
          <w:rFonts w:hint="eastAsia" w:ascii="仿宋" w:hAnsi="仿宋" w:eastAsia="仿宋" w:cs="仿宋"/>
          <w:caps/>
          <w:color w:val="auto"/>
          <w:sz w:val="36"/>
          <w:szCs w:val="36"/>
          <w:highlight w:val="none"/>
          <w:lang w:val="en-US" w:eastAsia="zh-CN" w:bidi="ar-SA"/>
        </w:rPr>
        <w:t xml:space="preserve">投标人须知</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t xml:space="preserve">6</w:t>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_Toc10070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第三章   合同文本</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fldChar w:fldCharType="begin"/>
      </w:r>
      <w:r>
        <w:rPr>
          <w:rFonts w:hint="eastAsia" w:ascii="仿宋" w:hAnsi="仿宋" w:eastAsia="仿宋" w:cs="仿宋"/>
          <w:caps/>
          <w:color w:val="auto"/>
          <w:sz w:val="36"/>
          <w:szCs w:val="36"/>
          <w:highlight w:val="none"/>
          <w:lang w:val="en-US" w:eastAsia="zh-CN" w:bidi="ar-SA"/>
        </w:rPr>
        <w:instrText xml:space="preserve"> PAGEREF _Toc10070 \h </w:instrText>
      </w:r>
      <w:r>
        <w:rPr>
          <w:rFonts w:hint="eastAsia" w:ascii="仿宋" w:hAnsi="仿宋" w:eastAsia="仿宋" w:cs="仿宋"/>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27</w:t>
      </w:r>
      <w:r>
        <w:rPr>
          <w:rFonts w:hint="eastAsia" w:ascii="仿宋" w:hAnsi="仿宋" w:eastAsia="仿宋" w:cs="仿宋"/>
          <w:caps/>
          <w:color w:val="auto"/>
          <w:sz w:val="36"/>
          <w:szCs w:val="36"/>
          <w:highlight w:val="none"/>
          <w:lang w:val="en-US" w:eastAsia="zh-CN" w:bidi="ar-SA"/>
        </w:rPr>
        <w:fldChar w:fldCharType="end"/>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_Toc15293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第四章   采购需求</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fldChar w:fldCharType="begin"/>
      </w:r>
      <w:r>
        <w:rPr>
          <w:rFonts w:hint="eastAsia" w:ascii="仿宋" w:hAnsi="仿宋" w:eastAsia="仿宋" w:cs="仿宋"/>
          <w:caps/>
          <w:color w:val="auto"/>
          <w:sz w:val="36"/>
          <w:szCs w:val="36"/>
          <w:highlight w:val="none"/>
          <w:lang w:val="en-US" w:eastAsia="zh-CN" w:bidi="ar-SA"/>
        </w:rPr>
        <w:instrText xml:space="preserve"> PAGEREF _Toc15293 \h </w:instrText>
      </w:r>
      <w:r>
        <w:rPr>
          <w:rFonts w:hint="eastAsia" w:ascii="仿宋" w:hAnsi="仿宋" w:eastAsia="仿宋" w:cs="仿宋"/>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44</w:t>
      </w:r>
      <w:r>
        <w:rPr>
          <w:rFonts w:hint="eastAsia" w:ascii="仿宋" w:hAnsi="仿宋" w:eastAsia="仿宋" w:cs="仿宋"/>
          <w:caps/>
          <w:color w:val="auto"/>
          <w:sz w:val="36"/>
          <w:szCs w:val="36"/>
          <w:highlight w:val="none"/>
          <w:lang w:val="en-US" w:eastAsia="zh-CN" w:bidi="ar-SA"/>
        </w:rPr>
        <w:fldChar w:fldCharType="end"/>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_Toc3329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第五章   评标方法与评标标准</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fldChar w:fldCharType="begin"/>
      </w:r>
      <w:r>
        <w:rPr>
          <w:rFonts w:hint="eastAsia" w:ascii="仿宋" w:hAnsi="仿宋" w:eastAsia="仿宋" w:cs="仿宋"/>
          <w:caps/>
          <w:color w:val="auto"/>
          <w:sz w:val="36"/>
          <w:szCs w:val="36"/>
          <w:highlight w:val="none"/>
          <w:lang w:val="en-US" w:eastAsia="zh-CN" w:bidi="ar-SA"/>
        </w:rPr>
        <w:instrText xml:space="preserve"> PAGEREF _Toc3329 \h </w:instrText>
      </w:r>
      <w:r>
        <w:rPr>
          <w:rFonts w:hint="eastAsia" w:ascii="仿宋" w:hAnsi="仿宋" w:eastAsia="仿宋" w:cs="仿宋"/>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60</w:t>
      </w:r>
      <w:r>
        <w:rPr>
          <w:rFonts w:hint="eastAsia" w:ascii="仿宋" w:hAnsi="仿宋" w:eastAsia="仿宋" w:cs="仿宋"/>
          <w:caps/>
          <w:color w:val="auto"/>
          <w:sz w:val="36"/>
          <w:szCs w:val="36"/>
          <w:highlight w:val="none"/>
          <w:lang w:val="en-US" w:eastAsia="zh-CN" w:bidi="ar-SA"/>
        </w:rPr>
        <w:fldChar w:fldCharType="end"/>
      </w:r>
      <w:r>
        <w:rPr>
          <w:rFonts w:hint="eastAsia" w:ascii="仿宋" w:hAnsi="仿宋" w:eastAsia="仿宋" w:cs="仿宋"/>
          <w:bCs/>
          <w:caps/>
          <w:color w:val="auto"/>
          <w:sz w:val="36"/>
          <w:szCs w:val="36"/>
          <w:highlight w:val="none"/>
          <w:lang w:val="en-US" w:eastAsia="zh-CN" w:bidi="ar-SA"/>
        </w:rPr>
        <w:fldChar w:fldCharType="end"/>
      </w:r>
      <w:r/>
    </w:p>
    <w:p>
      <w:pPr>
        <w:jc w:val="left"/>
        <w:keepLines w:val="0"/>
        <w:keepNext w:val="0"/>
        <w:pageBreakBefore w:val="0"/>
        <w:spacing w:before="120" w:after="120" w:line="480" w:lineRule="auto"/>
        <w:widowControl w:val="off"/>
        <w:tabs>
          <w:tab w:val="right" w:pos="8953" w:leader="dot"/>
        </w:tabs>
        <w:rPr>
          <w:rFonts w:hint="eastAsia" w:ascii="仿宋" w:hAnsi="仿宋" w:eastAsia="仿宋" w:cs="仿宋"/>
          <w:caps/>
          <w:color w:val="auto"/>
          <w:sz w:val="36"/>
          <w:szCs w:val="36"/>
          <w:highlight w:val="none"/>
          <w:lang w:val="en-US" w:eastAsia="zh-CN" w:bidi="ar-SA"/>
        </w:rPr>
      </w:pPr>
      <w:r>
        <w:rPr>
          <w:rFonts w:hint="eastAsia" w:ascii="仿宋" w:hAnsi="仿宋" w:eastAsia="仿宋" w:cs="仿宋"/>
          <w:bCs/>
          <w:caps/>
          <w:color w:val="auto"/>
          <w:sz w:val="36"/>
          <w:szCs w:val="36"/>
          <w:highlight w:val="none"/>
          <w:lang w:val="en-US" w:eastAsia="zh-CN" w:bidi="ar-SA"/>
        </w:rPr>
        <w:fldChar w:fldCharType="begin"/>
      </w:r>
      <w:r>
        <w:rPr>
          <w:rFonts w:hint="eastAsia" w:ascii="仿宋" w:hAnsi="仿宋" w:eastAsia="仿宋" w:cs="仿宋"/>
          <w:bCs/>
          <w:caps/>
          <w:color w:val="auto"/>
          <w:sz w:val="36"/>
          <w:szCs w:val="36"/>
          <w:highlight w:val="none"/>
          <w:lang w:val="en-US" w:eastAsia="zh-CN" w:bidi="ar-SA"/>
        </w:rPr>
        <w:instrText xml:space="preserve"> HYPERLINK \l _Toc15930 </w:instrText>
      </w:r>
      <w:r>
        <w:rPr>
          <w:rFonts w:hint="eastAsia" w:ascii="仿宋" w:hAnsi="仿宋" w:eastAsia="仿宋" w:cs="仿宋"/>
          <w:bCs/>
          <w:caps/>
          <w:color w:val="auto"/>
          <w:sz w:val="36"/>
          <w:szCs w:val="36"/>
          <w:highlight w:val="none"/>
          <w:lang w:val="en-US" w:eastAsia="zh-CN" w:bidi="ar-SA"/>
        </w:rPr>
        <w:fldChar w:fldCharType="separate"/>
      </w:r>
      <w:r>
        <w:rPr>
          <w:rFonts w:hint="eastAsia" w:ascii="仿宋" w:hAnsi="仿宋" w:eastAsia="仿宋" w:cs="仿宋"/>
          <w:bCs/>
          <w:caps/>
          <w:color w:val="auto"/>
          <w:sz w:val="36"/>
          <w:szCs w:val="36"/>
          <w:highlight w:val="none"/>
          <w:lang w:val="en-US" w:eastAsia="zh-CN" w:bidi="ar-SA"/>
        </w:rPr>
        <w:t xml:space="preserve">第六章   投标文件格式</w:t>
      </w:r>
      <w:r>
        <w:rPr>
          <w:rFonts w:hint="eastAsia" w:ascii="仿宋" w:hAnsi="仿宋" w:eastAsia="仿宋" w:cs="仿宋"/>
          <w:caps/>
          <w:color w:val="auto"/>
          <w:sz w:val="36"/>
          <w:szCs w:val="36"/>
          <w:highlight w:val="none"/>
          <w:lang w:val="en-US" w:eastAsia="zh-CN" w:bidi="ar-SA"/>
        </w:rPr>
        <w:tab/>
      </w:r>
      <w:r>
        <w:rPr>
          <w:rFonts w:hint="eastAsia" w:ascii="仿宋" w:hAnsi="仿宋" w:eastAsia="仿宋" w:cs="仿宋"/>
          <w:caps/>
          <w:color w:val="auto"/>
          <w:sz w:val="36"/>
          <w:szCs w:val="36"/>
          <w:highlight w:val="none"/>
          <w:lang w:val="en-US" w:eastAsia="zh-CN" w:bidi="ar-SA"/>
        </w:rPr>
        <w:fldChar w:fldCharType="begin"/>
      </w:r>
      <w:r>
        <w:rPr>
          <w:rFonts w:hint="eastAsia" w:ascii="仿宋" w:hAnsi="仿宋" w:eastAsia="仿宋" w:cs="仿宋"/>
          <w:caps/>
          <w:color w:val="auto"/>
          <w:sz w:val="36"/>
          <w:szCs w:val="36"/>
          <w:highlight w:val="none"/>
          <w:lang w:val="en-US" w:eastAsia="zh-CN" w:bidi="ar-SA"/>
        </w:rPr>
        <w:instrText xml:space="preserve"> PAGEREF _Toc15930 \h </w:instrText>
      </w:r>
      <w:r>
        <w:rPr>
          <w:rFonts w:hint="eastAsia" w:ascii="仿宋" w:hAnsi="仿宋" w:eastAsia="仿宋" w:cs="仿宋"/>
          <w:caps/>
          <w:color w:val="auto"/>
          <w:sz w:val="36"/>
          <w:szCs w:val="36"/>
          <w:highlight w:val="none"/>
          <w:lang w:val="en-US" w:eastAsia="zh-CN" w:bidi="ar-SA"/>
        </w:rPr>
        <w:fldChar w:fldCharType="separate"/>
      </w:r>
      <w:r>
        <w:rPr>
          <w:rFonts w:hint="eastAsia" w:ascii="仿宋" w:hAnsi="仿宋" w:eastAsia="仿宋" w:cs="仿宋"/>
          <w:caps/>
          <w:color w:val="auto"/>
          <w:sz w:val="36"/>
          <w:szCs w:val="36"/>
          <w:highlight w:val="none"/>
          <w:lang w:val="en-US" w:eastAsia="zh-CN" w:bidi="ar-SA"/>
        </w:rPr>
        <w:t xml:space="preserve">68</w:t>
      </w:r>
      <w:r>
        <w:rPr>
          <w:rFonts w:hint="eastAsia" w:ascii="仿宋" w:hAnsi="仿宋" w:eastAsia="仿宋" w:cs="仿宋"/>
          <w:caps/>
          <w:color w:val="auto"/>
          <w:sz w:val="36"/>
          <w:szCs w:val="36"/>
          <w:highlight w:val="none"/>
          <w:lang w:val="en-US" w:eastAsia="zh-CN" w:bidi="ar-SA"/>
        </w:rPr>
        <w:fldChar w:fldCharType="end"/>
      </w:r>
      <w:r>
        <w:rPr>
          <w:rFonts w:hint="eastAsia" w:ascii="仿宋" w:hAnsi="仿宋" w:eastAsia="仿宋" w:cs="仿宋"/>
          <w:bCs/>
          <w:caps/>
          <w:color w:val="auto"/>
          <w:sz w:val="36"/>
          <w:szCs w:val="36"/>
          <w:highlight w:val="none"/>
          <w:lang w:val="en-US" w:eastAsia="zh-CN" w:bidi="ar-SA"/>
        </w:rPr>
        <w:fldChar w:fldCharType="end"/>
      </w:r>
      <w:r/>
    </w:p>
    <w:p>
      <w:pPr>
        <w:ind w:firstLine="7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36"/>
          <w:szCs w:val="36"/>
          <w:highlight w:val="none"/>
        </w:rPr>
        <w:fldChar w:fldCharType="end"/>
      </w:r>
      <w:r/>
    </w:p>
    <w:p>
      <w:pPr>
        <w:numPr>
          <w:ilvl w:val="0"/>
          <w:numId w:val="0"/>
        </w:numPr>
        <w:keepLines w:val="0"/>
        <w:keepNext w:val="0"/>
        <w:pageBreakBefore w:val="0"/>
        <w:spacing w:line="480" w:lineRule="auto"/>
        <w:widowControl w:val="off"/>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r>
      <w:r/>
    </w:p>
    <w:p>
      <w:pPr>
        <w:numPr>
          <w:ilvl w:val="0"/>
          <w:numId w:val="0"/>
        </w:numPr>
        <w:spacing w:line="480" w:lineRule="auto"/>
        <w:rPr>
          <w:rFonts w:hint="eastAsia" w:ascii="仿宋" w:hAnsi="仿宋" w:eastAsia="仿宋" w:cs="仿宋"/>
          <w:color w:val="auto"/>
          <w:sz w:val="21"/>
          <w:szCs w:val="21"/>
          <w:highlight w:val="none"/>
          <w:lang w:val="en-US" w:eastAsia="zh-CN" w:bidi="ar-SA"/>
        </w:rPr>
        <w:outlineLvl w:val="9"/>
      </w:pPr>
      <w:r>
        <w:rPr>
          <w:rFonts w:hint="eastAsia" w:ascii="仿宋" w:hAnsi="仿宋" w:eastAsia="仿宋" w:cs="仿宋"/>
          <w:color w:val="auto"/>
          <w:sz w:val="21"/>
          <w:szCs w:val="21"/>
          <w:highlight w:val="none"/>
          <w:lang w:val="en-US" w:eastAsia="zh-CN" w:bidi="ar-SA"/>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696"/>
        <w:jc w:val="center"/>
        <w:keepLines/>
        <w:keepNext/>
        <w:pageBreakBefore w:val="0"/>
        <w:spacing w:before="0" w:after="0" w:line="480" w:lineRule="auto"/>
        <w:widowControl w:val="off"/>
        <w:rPr>
          <w:rFonts w:hint="eastAsia" w:ascii="仿宋" w:hAnsi="仿宋" w:eastAsia="仿宋" w:cs="仿宋"/>
          <w:b/>
          <w:bCs/>
          <w:color w:val="auto"/>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720" w:equalWidth="1"/>
          <w:docGrid w:linePitch="360"/>
          <w:titlePg/>
        </w:sectPr>
      </w:pPr>
      <w:r/>
      <w:bookmarkStart w:id="6" w:name="_Toc22897"/>
      <w:r/>
      <w:r/>
    </w:p>
    <w:p>
      <w:pPr>
        <w:pStyle w:val="696"/>
        <w:jc w:val="center"/>
        <w:keepLines/>
        <w:keepNext/>
        <w:pageBreakBefore w:val="0"/>
        <w:spacing w:before="0" w:after="0" w:line="480" w:lineRule="auto"/>
        <w:widowControl w:val="off"/>
        <w:rPr>
          <w:rFonts w:hint="eastAsia" w:ascii="仿宋" w:hAnsi="仿宋" w:eastAsia="仿宋" w:cs="仿宋"/>
          <w:bCs/>
          <w:color w:val="auto"/>
          <w:szCs w:val="44"/>
          <w:highlight w:val="none"/>
        </w:rPr>
      </w:pPr>
      <w:r>
        <w:rPr>
          <w:rFonts w:hint="eastAsia" w:ascii="仿宋" w:hAnsi="仿宋" w:eastAsia="仿宋" w:cs="仿宋"/>
          <w:b/>
          <w:bCs/>
          <w:color w:val="auto"/>
          <w:highlight w:val="none"/>
        </w:rPr>
        <w:t xml:space="preserve">第一章</w:t>
      </w:r>
      <w:bookmarkEnd w:id="0"/>
      <w:r>
        <w:rPr>
          <w:rStyle w:val="732"/>
          <w:rFonts w:hint="eastAsia" w:ascii="仿宋" w:hAnsi="仿宋" w:eastAsia="仿宋" w:cs="仿宋"/>
          <w:b/>
          <w:bCs/>
          <w:color w:val="auto"/>
          <w:highlight w:val="none"/>
        </w:rPr>
        <w:t xml:space="preserve">   </w:t>
      </w:r>
      <w:r>
        <w:rPr>
          <w:rFonts w:hint="eastAsia" w:ascii="仿宋" w:hAnsi="仿宋" w:eastAsia="仿宋" w:cs="仿宋"/>
          <w:b/>
          <w:bCs/>
          <w:color w:val="auto"/>
          <w:highlight w:val="none"/>
        </w:rPr>
        <w:t xml:space="preserve">投标邀请</w:t>
      </w:r>
      <w:bookmarkEnd w:id="6"/>
      <w:r/>
      <w:r/>
    </w:p>
    <w:p>
      <w:pPr>
        <w:ind w:left="0"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宿迁市医疗保障局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江苏翔堃项目管理有限公司</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宿迁市长期护理保险委托商保公司承办项目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JSZC-321300-XKGL-G2026-0001</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项目进行公开招标采购，欢迎符合条件的投标人投标。</w:t>
      </w:r>
      <w:r/>
    </w:p>
    <w:p>
      <w:pPr>
        <w:ind w:left="0" w:firstLine="480"/>
        <w:pageBreakBefore w:val="0"/>
        <w:spacing w:line="56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left="0" w:firstLine="480"/>
        <w:pageBreakBefore w:val="0"/>
        <w:spacing w:line="56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（宿迁市长期护理保险委托商保公司承办项目）</w:t>
      </w:r>
      <w:r>
        <w:rPr>
          <w:rFonts w:hint="eastAsia" w:ascii="仿宋" w:hAnsi="仿宋" w:eastAsia="仿宋" w:cs="仿宋"/>
          <w:color w:val="auto"/>
          <w:sz w:val="24"/>
          <w:szCs w:val="24"/>
          <w:highlight w:val="none"/>
        </w:rPr>
        <w:t xml:space="preserve">招标项目的潜在投标人可在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招标文件，并于</w:t>
      </w:r>
      <w:r>
        <w:rPr>
          <w:rFonts w:hint="eastAsia" w:ascii="仿宋" w:hAnsi="仿宋" w:eastAsia="仿宋" w:cs="仿宋"/>
          <w:color w:val="auto"/>
          <w:sz w:val="24"/>
          <w:szCs w:val="24"/>
          <w:highlight w:val="none"/>
          <w:u w:val="single"/>
          <w:lang w:eastAsia="zh-CN"/>
        </w:rPr>
        <w:t xml:space="preserve">2026年</w:t>
      </w:r>
      <w:r>
        <w:rPr>
          <w:rFonts w:hint="eastAsia" w:ascii="仿宋" w:hAnsi="仿宋" w:eastAsia="仿宋" w:cs="仿宋"/>
          <w:bCs/>
          <w:color w:val="auto"/>
          <w:sz w:val="24"/>
          <w:szCs w:val="24"/>
          <w:highlight w:val="none"/>
          <w:u w:val="single"/>
          <w:lang w:val="en-US" w:eastAsia="zh-CN"/>
        </w:rPr>
        <w:t xml:space="preserve">09</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30</w:t>
      </w:r>
      <w:r>
        <w:rPr>
          <w:rFonts w:hint="eastAsia" w:ascii="仿宋" w:hAnsi="仿宋" w:eastAsia="仿宋" w:cs="仿宋"/>
          <w:bCs/>
          <w:color w:val="auto"/>
          <w:sz w:val="24"/>
          <w:szCs w:val="24"/>
          <w:highlight w:val="none"/>
          <w:u w:val="single"/>
        </w:rPr>
        <w:t xml:space="preserve">日09点</w:t>
      </w:r>
      <w:r>
        <w:rPr>
          <w:rFonts w:hint="eastAsia" w:ascii="仿宋" w:hAnsi="仿宋" w:eastAsia="仿宋" w:cs="仿宋"/>
          <w:bCs/>
          <w:color w:val="auto"/>
          <w:sz w:val="24"/>
          <w:szCs w:val="24"/>
          <w:highlight w:val="none"/>
          <w:u w:val="single"/>
          <w:lang w:val="en-US" w:eastAsia="zh-CN"/>
        </w:rPr>
        <w:t xml:space="preserve">3</w:t>
      </w:r>
      <w:r>
        <w:rPr>
          <w:rFonts w:hint="eastAsia" w:ascii="仿宋" w:hAnsi="仿宋" w:eastAsia="仿宋" w:cs="仿宋"/>
          <w:bCs/>
          <w:color w:val="auto"/>
          <w:sz w:val="24"/>
          <w:szCs w:val="24"/>
          <w:highlight w:val="none"/>
          <w:u w:val="single"/>
        </w:rPr>
        <w:t xml:space="preserve">0分（</w:t>
      </w:r>
      <w:r>
        <w:rPr>
          <w:rFonts w:hint="eastAsia" w:ascii="仿宋" w:hAnsi="仿宋" w:eastAsia="仿宋" w:cs="仿宋"/>
          <w:bCs/>
          <w:color w:val="auto"/>
          <w:sz w:val="24"/>
          <w:szCs w:val="24"/>
          <w:highlight w:val="none"/>
        </w:rPr>
        <w:t xml:space="preserve">北京时间）前递交投标文件</w:t>
      </w:r>
      <w:r>
        <w:rPr>
          <w:rFonts w:hint="eastAsia" w:ascii="仿宋" w:hAnsi="仿宋" w:eastAsia="仿宋" w:cs="仿宋"/>
          <w:color w:val="auto"/>
          <w:sz w:val="24"/>
          <w:szCs w:val="24"/>
          <w:highlight w:val="none"/>
        </w:rPr>
        <w:t xml:space="preserve">。</w:t>
      </w:r>
      <w:r/>
    </w:p>
    <w:p>
      <w:pPr>
        <w:pStyle w:val="891"/>
        <w:ind w:firstLine="482"/>
        <w:pageBreakBefore w:val="0"/>
        <w:spacing w:before="0" w:after="0" w:line="560" w:lineRule="exact"/>
        <w:rPr>
          <w:rFonts w:hint="eastAsia" w:ascii="仿宋" w:hAnsi="仿宋" w:eastAsia="仿宋" w:cs="仿宋"/>
          <w:color w:val="auto"/>
          <w:sz w:val="24"/>
          <w:szCs w:val="24"/>
          <w:highlight w:val="none"/>
        </w:rPr>
      </w:pPr>
      <w:r/>
      <w:bookmarkStart w:id="7" w:name="_Toc28359079"/>
      <w:r/>
      <w:bookmarkStart w:id="8" w:name="_Toc35393790"/>
      <w:r/>
      <w:bookmarkStart w:id="9" w:name="_Toc38985263"/>
      <w:r/>
      <w:bookmarkStart w:id="10" w:name="_Toc28359002"/>
      <w:r/>
      <w:bookmarkStart w:id="11" w:name="_Toc35393621"/>
      <w:r/>
      <w:bookmarkStart w:id="12" w:name="_Hlk24379207"/>
      <w:r>
        <w:rPr>
          <w:rFonts w:hint="eastAsia" w:ascii="仿宋" w:hAnsi="仿宋" w:eastAsia="仿宋" w:cs="仿宋"/>
          <w:color w:val="auto"/>
          <w:sz w:val="24"/>
          <w:szCs w:val="24"/>
          <w:highlight w:val="none"/>
        </w:rPr>
        <w:t xml:space="preserve">一、项目基本情况</w:t>
      </w:r>
      <w:bookmarkEnd w:id="7"/>
      <w:r/>
      <w:bookmarkEnd w:id="8"/>
      <w:r/>
      <w:bookmarkEnd w:id="9"/>
      <w:r/>
      <w:bookmarkEnd w:id="10"/>
      <w:r/>
      <w:bookmarkEnd w:id="11"/>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JSZC-321300-XKGL-G2026-0001</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2"/>
      <w:r>
        <w:rPr>
          <w:rFonts w:hint="eastAsia" w:ascii="仿宋" w:hAnsi="仿宋" w:eastAsia="仿宋" w:cs="仿宋"/>
          <w:color w:val="auto"/>
          <w:sz w:val="24"/>
          <w:szCs w:val="24"/>
          <w:highlight w:val="none"/>
          <w:lang w:eastAsia="zh-CN"/>
        </w:rPr>
        <w:t xml:space="preserve">宿迁市长期护理保险委托商保公司承办项目</w:t>
      </w:r>
      <w:r/>
    </w:p>
    <w:p>
      <w:pPr>
        <w:ind w:firstLine="480"/>
        <w:pageBreakBefore w:val="0"/>
        <w:spacing w:line="56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仿宋" w:hAnsi="仿宋" w:eastAsia="仿宋" w:cs="仿宋"/>
          <w:color w:val="auto"/>
          <w:sz w:val="24"/>
          <w:szCs w:val="24"/>
          <w:highlight w:val="none"/>
          <w:lang w:val="en-US" w:eastAsia="zh-CN"/>
        </w:rPr>
        <w:t xml:space="preserve">总预算为81178.9万元，其中分包一预算金额为40589.45万元，分包二预算金额为16235.78万元，分包三预算金额8117.89万元，分包四预算金额为4058.945万元，分包五预算金额为4058.945万元，分包六预算金额为4058.945万元，分包七预算金额为4058.945万元。</w:t>
      </w:r>
      <w:r/>
    </w:p>
    <w:p>
      <w:pPr>
        <w:ind w:firstLine="48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4.本项目</w:t>
      </w:r>
      <w:r>
        <w:rPr>
          <w:rFonts w:hint="eastAsia" w:ascii="仿宋" w:hAnsi="仿宋" w:eastAsia="仿宋" w:cs="仿宋"/>
          <w:color w:val="auto"/>
          <w:sz w:val="24"/>
          <w:szCs w:val="24"/>
          <w:highlight w:val="none"/>
          <w:lang w:val="en-US" w:eastAsia="zh-CN"/>
        </w:rPr>
        <w:t xml:space="preserve">最高限价为：承办服务费最高限价为3.2元/人/年。</w:t>
      </w:r>
      <w:r/>
    </w:p>
    <w:p>
      <w:pPr>
        <w:ind w:firstLine="48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注：因苏采云系统原因，“开标一览表”中的“投标报价”请按照“承办服务费”的报价填写，本项目以单价形式进行报价。</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需求（简介）：为贯彻落实党的二十大关于建立长期护理保险制度的决策部署，根据《市政府关于建立长期护理保险制度的实施意见》（宿政规发〔2023〕6号）《宿迁市居民长期护理保险试行方案》要求，宿迁市长期护理保险制度（以下简称“长护险”）实行市级统筹，全市统一基金管理、统一经办服务，统一招标确定承办机构。长护险承办服务费采购人留存用于考核部分，根据各承办机构经办服务的每期末考核结果进行拨付。由于各期参保人数中途可能发生变动，以各期实际划拨的保费为准。</w:t>
      </w:r>
      <w:r/>
    </w:p>
    <w:p>
      <w:pPr>
        <w:ind w:firstLine="480"/>
        <w:keepLines w:val="0"/>
        <w:keepNext w:val="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按照承保份额分为七个采购包确定保险机构作为本项目的承保人</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分包一：</w:t>
      </w:r>
      <w:r>
        <w:rPr>
          <w:rFonts w:hint="eastAsia" w:ascii="仿宋" w:hAnsi="仿宋" w:eastAsia="仿宋" w:cs="仿宋"/>
          <w:color w:val="auto"/>
          <w:sz w:val="24"/>
          <w:szCs w:val="24"/>
          <w:highlight w:val="none"/>
          <w:lang w:val="en-US" w:eastAsia="zh-CN"/>
        </w:rPr>
        <w:t xml:space="preserve">40589.45</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承保份额为50</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分包二：</w:t>
      </w:r>
      <w:r>
        <w:rPr>
          <w:rFonts w:hint="eastAsia" w:ascii="仿宋" w:hAnsi="仿宋" w:eastAsia="仿宋" w:cs="仿宋"/>
          <w:color w:val="auto"/>
          <w:sz w:val="24"/>
          <w:szCs w:val="24"/>
          <w:highlight w:val="none"/>
          <w:lang w:val="en-US" w:eastAsia="zh-CN"/>
        </w:rPr>
        <w:t xml:space="preserve">16235.78</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承保份额为20</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分包三：</w:t>
      </w:r>
      <w:r>
        <w:rPr>
          <w:rFonts w:hint="eastAsia" w:ascii="仿宋" w:hAnsi="仿宋" w:eastAsia="仿宋" w:cs="仿宋"/>
          <w:color w:val="auto"/>
          <w:sz w:val="24"/>
          <w:szCs w:val="24"/>
          <w:highlight w:val="none"/>
          <w:lang w:val="en-US" w:eastAsia="zh-CN"/>
        </w:rPr>
        <w:t xml:space="preserve">8117.89</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承保份额为10%；</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4058.945</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承保份额为5%；</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4058.945</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承保份额为5%；</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4058.945</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承保份额为5%；</w:t>
      </w:r>
      <w:r/>
    </w:p>
    <w:p>
      <w:pPr>
        <w:ind w:firstLine="480"/>
        <w:keepLines w:val="0"/>
        <w:keepNext w:val="0"/>
        <w:pageBreakBefore w:val="0"/>
        <w:spacing w:line="56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4058.945</w:t>
      </w:r>
      <w:r>
        <w:rPr>
          <w:rFonts w:hint="eastAsia" w:ascii="仿宋" w:hAnsi="仿宋" w:eastAsia="仿宋" w:cs="仿宋"/>
          <w:color w:val="auto"/>
          <w:sz w:val="24"/>
          <w:szCs w:val="24"/>
          <w:highlight w:val="none"/>
          <w:lang w:eastAsia="zh-CN"/>
        </w:rPr>
        <w:t xml:space="preserve">万元，</w:t>
      </w:r>
      <w:r>
        <w:rPr>
          <w:rFonts w:hint="eastAsia" w:ascii="仿宋" w:hAnsi="仿宋" w:eastAsia="仿宋" w:cs="仿宋"/>
          <w:color w:val="auto"/>
          <w:sz w:val="24"/>
          <w:szCs w:val="24"/>
          <w:highlight w:val="none"/>
          <w:lang w:val="en-US" w:eastAsia="zh-CN"/>
        </w:rPr>
        <w:t xml:space="preserve">承保份额为5%。</w:t>
      </w:r>
      <w:r/>
    </w:p>
    <w:p>
      <w:pPr>
        <w:ind w:firstLine="480"/>
        <w:pageBreakBefore w:val="0"/>
        <w:spacing w:line="5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投标分包选择：</w:t>
      </w:r>
      <w:r>
        <w:rPr>
          <w:rFonts w:hint="eastAsia" w:ascii="仿宋" w:hAnsi="仿宋" w:eastAsia="仿宋" w:cs="仿宋"/>
          <w:color w:val="auto"/>
          <w:sz w:val="24"/>
          <w:szCs w:val="24"/>
          <w:highlight w:val="none"/>
          <w:lang w:eastAsia="zh-CN"/>
        </w:rPr>
        <w:t xml:space="preserve">为保证上述分包所涉及的县（区）长护险工作推进的同步性，</w:t>
      </w:r>
      <w:r>
        <w:rPr>
          <w:rFonts w:hint="eastAsia" w:ascii="仿宋" w:hAnsi="仿宋" w:eastAsia="仿宋" w:cs="仿宋"/>
          <w:color w:val="auto"/>
          <w:sz w:val="24"/>
          <w:szCs w:val="24"/>
          <w:highlight w:val="none"/>
        </w:rPr>
        <w:t xml:space="preserve">投标人可参与任意分包或全部分包的投标。</w:t>
      </w:r>
      <w:r/>
    </w:p>
    <w:p>
      <w:pPr>
        <w:ind w:firstLine="480"/>
        <w:pageBreakBefore w:val="0"/>
        <w:spacing w:line="5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开标顺序：按分包序号从小到大依次，即先开分包一，</w:t>
      </w:r>
      <w:r>
        <w:rPr>
          <w:rFonts w:hint="eastAsia" w:ascii="仿宋" w:hAnsi="仿宋" w:eastAsia="仿宋" w:cs="仿宋"/>
          <w:color w:val="auto"/>
          <w:sz w:val="24"/>
          <w:szCs w:val="24"/>
          <w:highlight w:val="none"/>
          <w:lang w:val="en-US" w:eastAsia="zh-CN"/>
        </w:rPr>
        <w:t xml:space="preserve">再</w:t>
      </w:r>
      <w:r>
        <w:rPr>
          <w:rFonts w:hint="eastAsia" w:ascii="仿宋" w:hAnsi="仿宋" w:eastAsia="仿宋" w:cs="仿宋"/>
          <w:color w:val="auto"/>
          <w:sz w:val="24"/>
          <w:szCs w:val="24"/>
          <w:highlight w:val="none"/>
        </w:rPr>
        <w:t xml:space="preserve">开分包二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后开分包</w:t>
      </w:r>
      <w:r>
        <w:rPr>
          <w:rFonts w:hint="eastAsia" w:ascii="仿宋" w:hAnsi="仿宋" w:eastAsia="仿宋" w:cs="仿宋"/>
          <w:color w:val="auto"/>
          <w:sz w:val="24"/>
          <w:szCs w:val="24"/>
          <w:highlight w:val="none"/>
          <w:lang w:val="en-US" w:eastAsia="zh-CN"/>
        </w:rPr>
        <w:t xml:space="preserve">三，以此类推</w:t>
      </w:r>
      <w:r>
        <w:rPr>
          <w:rFonts w:hint="eastAsia" w:ascii="仿宋" w:hAnsi="仿宋" w:eastAsia="仿宋" w:cs="仿宋"/>
          <w:color w:val="auto"/>
          <w:sz w:val="24"/>
          <w:szCs w:val="24"/>
          <w:highlight w:val="none"/>
        </w:rPr>
        <w:t xml:space="preserve">。评标顺序同开标顺序。</w:t>
      </w:r>
      <w:r/>
    </w:p>
    <w:p>
      <w:pPr>
        <w:ind w:firstLine="480"/>
        <w:pageBreakBefore w:val="0"/>
        <w:spacing w:line="5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定标原则：</w:t>
      </w:r>
      <w:r>
        <w:rPr>
          <w:rFonts w:hint="eastAsia" w:ascii="仿宋" w:hAnsi="仿宋" w:eastAsia="仿宋" w:cs="仿宋"/>
          <w:color w:val="auto"/>
          <w:sz w:val="24"/>
          <w:szCs w:val="24"/>
          <w:highlight w:val="none"/>
          <w:lang w:val="en-US" w:eastAsia="zh-CN"/>
        </w:rPr>
        <w:t xml:space="preserve">按“兼投不兼中”的原则，</w:t>
      </w:r>
      <w:r>
        <w:rPr>
          <w:rFonts w:hint="eastAsia" w:ascii="仿宋" w:hAnsi="仿宋" w:eastAsia="仿宋" w:cs="仿宋"/>
          <w:color w:val="auto"/>
          <w:sz w:val="24"/>
          <w:szCs w:val="24"/>
          <w:highlight w:val="none"/>
        </w:rPr>
        <w:t xml:space="preserve">每位投标人只能在一个分包上中标。如某投标人已在分包一被推荐为第一中标候选人的，则其参与分包二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分包三</w:t>
      </w:r>
      <w:r>
        <w:rPr>
          <w:rFonts w:hint="eastAsia" w:ascii="仿宋" w:hAnsi="仿宋" w:eastAsia="仿宋" w:cs="仿宋"/>
          <w:color w:val="auto"/>
          <w:sz w:val="24"/>
          <w:szCs w:val="24"/>
          <w:highlight w:val="none"/>
        </w:rPr>
        <w:t xml:space="preserve">评标，但在分包二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分包三</w:t>
      </w:r>
      <w:r>
        <w:rPr>
          <w:rFonts w:hint="eastAsia" w:ascii="仿宋" w:hAnsi="仿宋" w:eastAsia="仿宋" w:cs="仿宋"/>
          <w:color w:val="auto"/>
          <w:sz w:val="24"/>
          <w:szCs w:val="24"/>
          <w:highlight w:val="none"/>
        </w:rPr>
        <w:t xml:space="preserve">不参与推荐中标候选人的排序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以此类推，若有分包无合格中标候选人，则该分包份额由分包一中标候选人承担。</w:t>
      </w:r>
      <w:r>
        <w:rPr>
          <w:rFonts w:hint="eastAsia" w:ascii="仿宋" w:hAnsi="仿宋" w:eastAsia="仿宋" w:cs="仿宋"/>
          <w:color w:val="auto"/>
          <w:sz w:val="24"/>
          <w:szCs w:val="24"/>
          <w:highlight w:val="none"/>
        </w:rPr>
        <w:t xml:space="preserve">（详细内容见本招标文件第四章）</w:t>
      </w:r>
      <w:r/>
    </w:p>
    <w:p>
      <w:pPr>
        <w:ind w:firstLine="480"/>
        <w:pageBreakBefore w:val="0"/>
        <w:spacing w:line="5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注：评审结束后，若其中一个分包受到质疑投诉等原因，导致本分包评审结果改变，但不影响其他分包的评审结果。</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.合同履行期限：</w:t>
      </w:r>
      <w:r>
        <w:rPr>
          <w:rFonts w:hint="eastAsia" w:ascii="仿宋" w:hAnsi="仿宋" w:eastAsia="仿宋" w:cs="仿宋"/>
          <w:b/>
          <w:bCs/>
          <w:color w:val="auto"/>
          <w:sz w:val="24"/>
          <w:szCs w:val="24"/>
          <w:highlight w:val="none"/>
          <w:lang w:eastAsia="zh-CN"/>
        </w:rPr>
        <w:t xml:space="preserve">2027年1月1日至2029年12月31日。</w:t>
      </w:r>
      <w:r/>
    </w:p>
    <w:p>
      <w:pPr>
        <w:ind w:firstLine="482"/>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个分包均 </w:t>
      </w:r>
      <w:r>
        <w:rPr>
          <w:rFonts w:hint="eastAsia" w:ascii="仿宋" w:hAnsi="仿宋" w:eastAsia="仿宋" w:cs="仿宋"/>
          <w:b/>
          <w:bCs/>
          <w:color w:val="auto"/>
          <w:sz w:val="24"/>
          <w:szCs w:val="24"/>
          <w:highlight w:val="none"/>
          <w:u w:val="single"/>
        </w:rPr>
        <w:t xml:space="preserve"> 接受 </w:t>
      </w:r>
      <w:r>
        <w:rPr>
          <w:rFonts w:hint="eastAsia" w:ascii="仿宋" w:hAnsi="仿宋" w:eastAsia="仿宋" w:cs="仿宋"/>
          <w:b/>
          <w:bCs/>
          <w:color w:val="auto"/>
          <w:sz w:val="24"/>
          <w:szCs w:val="24"/>
          <w:highlight w:val="none"/>
        </w:rPr>
        <w:t xml:space="preserve">联合体投标（接受/不接受）</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不超过2家）</w:t>
      </w:r>
      <w:r>
        <w:rPr>
          <w:rFonts w:hint="eastAsia" w:ascii="仿宋" w:hAnsi="仿宋" w:eastAsia="仿宋" w:cs="仿宋"/>
          <w:b/>
          <w:bCs/>
          <w:color w:val="auto"/>
          <w:sz w:val="24"/>
          <w:szCs w:val="24"/>
          <w:highlight w:val="none"/>
        </w:rPr>
        <w:t xml:space="preserve">。</w:t>
      </w:r>
      <w:r/>
    </w:p>
    <w:p>
      <w:pPr>
        <w:pStyle w:val="891"/>
        <w:ind w:firstLine="482"/>
        <w:pageBreakBefore w:val="0"/>
        <w:spacing w:before="0" w:after="0" w:line="560" w:lineRule="exact"/>
        <w:rPr>
          <w:rFonts w:hint="eastAsia" w:ascii="仿宋" w:hAnsi="仿宋" w:eastAsia="仿宋" w:cs="仿宋"/>
          <w:color w:val="auto"/>
          <w:sz w:val="24"/>
          <w:szCs w:val="24"/>
          <w:highlight w:val="none"/>
        </w:rPr>
      </w:pPr>
      <w:r/>
      <w:bookmarkStart w:id="13" w:name="_Toc35393791"/>
      <w:r/>
      <w:bookmarkStart w:id="14" w:name="_Toc35393622"/>
      <w:r/>
      <w:bookmarkStart w:id="15" w:name="_Toc38985264"/>
      <w:r/>
      <w:bookmarkStart w:id="16" w:name="_Toc28359003"/>
      <w:r/>
      <w:bookmarkStart w:id="17" w:name="_Toc28359080"/>
      <w:r>
        <w:rPr>
          <w:rFonts w:hint="eastAsia" w:ascii="仿宋" w:hAnsi="仿宋" w:eastAsia="仿宋" w:cs="仿宋"/>
          <w:color w:val="auto"/>
          <w:sz w:val="24"/>
          <w:szCs w:val="24"/>
          <w:highlight w:val="none"/>
        </w:rPr>
        <w:t xml:space="preserve">二、申请人（分包一至分包</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）的资格要求</w:t>
      </w:r>
      <w:bookmarkEnd w:id="13"/>
      <w:r/>
      <w:bookmarkEnd w:id="14"/>
      <w:r/>
      <w:bookmarkEnd w:id="15"/>
      <w:r/>
      <w:bookmarkEnd w:id="16"/>
      <w:r/>
      <w:bookmarkEnd w:id="17"/>
      <w:r/>
      <w:r/>
    </w:p>
    <w:p>
      <w:pPr>
        <w:ind w:firstLine="482"/>
        <w:pageBreakBefore w:val="0"/>
        <w:spacing w:line="560" w:lineRule="exact"/>
        <w:rPr>
          <w:rFonts w:hint="eastAsia" w:ascii="仿宋" w:hAnsi="仿宋" w:eastAsia="仿宋" w:cs="仿宋"/>
          <w:b/>
          <w:bCs/>
          <w:color w:val="auto"/>
          <w:sz w:val="24"/>
          <w:szCs w:val="24"/>
          <w:highlight w:val="none"/>
        </w:rPr>
      </w:pPr>
      <w:r/>
      <w:bookmarkStart w:id="18" w:name="_Toc28359004"/>
      <w:r/>
      <w:bookmarkStart w:id="19" w:name="_Toc28359081"/>
      <w:r/>
      <w:bookmarkStart w:id="20" w:name="_Toc35393792"/>
      <w:r/>
      <w:bookmarkStart w:id="21" w:name="_Toc35393623"/>
      <w:r/>
      <w:bookmarkStart w:id="22" w:name="_Toc38985265"/>
      <w:r>
        <w:rPr>
          <w:rFonts w:hint="eastAsia" w:ascii="仿宋" w:hAnsi="仿宋" w:eastAsia="仿宋" w:cs="仿宋"/>
          <w:b/>
          <w:bCs/>
          <w:color w:val="auto"/>
          <w:sz w:val="24"/>
          <w:szCs w:val="24"/>
          <w:highlight w:val="none"/>
        </w:rPr>
        <w:t xml:space="preserve">（一）通用资格要求</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2.信用信息。信用信息查询渠道：“信用中国”网（www.creditchina.gov.cn）</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信用信息的使用规则：</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被列入失信被执行人、重大税收违法失信主体、政府采购严重违法失信行为记录名单及其他不符合《中华人民共和国政府采购法》第二十二条规定条件的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，将拒绝其参与政府采购活动。（投标文件中无需提供证明材料）。</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3.落实政府采购政策需满足的资格要求：无</w:t>
      </w:r>
      <w:r>
        <w:rPr>
          <w:rFonts w:hint="eastAsia" w:ascii="仿宋" w:hAnsi="仿宋" w:eastAsia="仿宋" w:cs="仿宋"/>
          <w:color w:val="auto"/>
          <w:sz w:val="24"/>
          <w:szCs w:val="24"/>
          <w:highlight w:val="none"/>
          <w:lang w:eastAsia="zh-CN"/>
        </w:rPr>
        <w:t xml:space="preserve">。</w:t>
      </w:r>
      <w:r/>
    </w:p>
    <w:p>
      <w:pPr>
        <w:ind w:firstLine="480"/>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（二）本项目（</w:t>
      </w:r>
      <w:r>
        <w:rPr>
          <w:rFonts w:hint="eastAsia" w:ascii="仿宋" w:hAnsi="仿宋" w:eastAsia="仿宋" w:cs="仿宋"/>
          <w:b/>
          <w:bCs/>
          <w:color w:val="auto"/>
          <w:sz w:val="24"/>
          <w:szCs w:val="24"/>
          <w:highlight w:val="none"/>
          <w:lang w:eastAsia="zh-CN"/>
        </w:rPr>
        <w:t xml:space="preserve">分包一至分包七</w:t>
      </w:r>
      <w:r>
        <w:rPr>
          <w:rFonts w:hint="eastAsia" w:ascii="仿宋" w:hAnsi="仿宋" w:eastAsia="仿宋" w:cs="仿宋"/>
          <w:b/>
          <w:bCs/>
          <w:color w:val="auto"/>
          <w:sz w:val="24"/>
          <w:szCs w:val="24"/>
          <w:highlight w:val="none"/>
        </w:rPr>
        <w:t xml:space="preserve">）的特定资格要求</w:t>
      </w:r>
      <w:r/>
    </w:p>
    <w:p>
      <w:pPr>
        <w:pStyle w:val="891"/>
        <w:ind w:firstLine="482"/>
        <w:pageBreakBefore w:val="0"/>
        <w:spacing w:before="0" w:after="0" w:line="5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投标人须是经中国银行保险监督管理委员会或国家金融监管局批准的中国境内保险公司，取得</w:t>
      </w:r>
      <w:r>
        <w:rPr>
          <w:rFonts w:hint="eastAsia" w:ascii="仿宋" w:hAnsi="仿宋" w:eastAsia="仿宋" w:cs="仿宋"/>
          <w:b w:val="0"/>
          <w:bCs w:val="0"/>
          <w:color w:val="auto"/>
          <w:sz w:val="24"/>
          <w:szCs w:val="24"/>
          <w:highlight w:val="none"/>
          <w:lang w:val="en-US" w:eastAsia="zh-CN"/>
        </w:rPr>
        <w:t xml:space="preserve">有效期内</w:t>
      </w:r>
      <w:r>
        <w:rPr>
          <w:rFonts w:hint="eastAsia" w:ascii="仿宋" w:hAnsi="仿宋" w:eastAsia="仿宋" w:cs="仿宋"/>
          <w:b w:val="0"/>
          <w:bCs w:val="0"/>
          <w:color w:val="auto"/>
          <w:sz w:val="24"/>
          <w:szCs w:val="24"/>
          <w:highlight w:val="none"/>
        </w:rPr>
        <w:t xml:space="preserve">《保险公司法人许可证》、《经营保险业务许可证》</w:t>
      </w:r>
      <w:r>
        <w:rPr>
          <w:rFonts w:hint="eastAsia" w:ascii="仿宋" w:hAnsi="仿宋" w:eastAsia="仿宋" w:cs="仿宋"/>
          <w:b w:val="0"/>
          <w:bCs w:val="0"/>
          <w:color w:val="auto"/>
          <w:sz w:val="24"/>
          <w:szCs w:val="24"/>
          <w:highlight w:val="none"/>
          <w:lang w:val="en-US" w:eastAsia="zh-CN"/>
        </w:rPr>
        <w:t xml:space="preserve">或《保险许可证》</w:t>
      </w:r>
      <w:r>
        <w:rPr>
          <w:rFonts w:hint="eastAsia" w:ascii="仿宋" w:hAnsi="仿宋" w:eastAsia="仿宋" w:cs="仿宋"/>
          <w:b w:val="0"/>
          <w:bCs w:val="0"/>
          <w:color w:val="auto"/>
          <w:sz w:val="24"/>
          <w:szCs w:val="24"/>
          <w:highlight w:val="none"/>
        </w:rPr>
        <w:t xml:space="preserve">的法人机构或其分支机构</w:t>
      </w:r>
      <w:r>
        <w:rPr>
          <w:rFonts w:hint="eastAsia" w:ascii="仿宋" w:hAnsi="仿宋" w:eastAsia="仿宋" w:cs="仿宋"/>
          <w:b w:val="0"/>
          <w:bCs w:val="0"/>
          <w:color w:val="auto"/>
          <w:sz w:val="24"/>
          <w:szCs w:val="24"/>
          <w:highlight w:val="none"/>
        </w:rPr>
        <w:t xml:space="preserve">。</w:t>
      </w:r>
      <w:bookmarkStart w:id="217" w:name="_GoBack"/>
      <w:r/>
      <w:bookmarkEnd w:id="217"/>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人如果不具备独立法人资格的分公司，则须提供其具有独立法人资格的上级总（母）公司对其出具的有效授权。同一保险集团公司的不同分（子）公司，不得同时参加本项目投标，仅可组成一个联合体投标（独立参与本项目或联合体投标的成员不得再与其他任何单位组成联合体投标），否则相关投标人均按无效标处理。</w:t>
      </w:r>
      <w:r/>
    </w:p>
    <w:p>
      <w:pPr>
        <w:pStyle w:val="891"/>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三、获取招标文件</w:t>
      </w:r>
      <w:bookmarkEnd w:id="18"/>
      <w:r/>
      <w:bookmarkEnd w:id="19"/>
      <w:r/>
      <w:bookmarkEnd w:id="20"/>
      <w:r/>
      <w:bookmarkEnd w:id="21"/>
      <w:r/>
      <w:bookmarkEnd w:id="22"/>
      <w:r/>
      <w:r/>
    </w:p>
    <w:p>
      <w:pPr>
        <w:ind w:firstLine="482"/>
        <w:pageBreakBefore w:val="0"/>
        <w:spacing w:line="560" w:lineRule="exact"/>
        <w:rPr>
          <w:rFonts w:hint="eastAsia" w:ascii="仿宋" w:hAnsi="仿宋" w:eastAsia="仿宋" w:cs="仿宋"/>
          <w:b/>
          <w:bCs/>
          <w:color w:val="auto"/>
          <w:sz w:val="24"/>
          <w:szCs w:val="24"/>
          <w:highlight w:val="none"/>
        </w:rPr>
      </w:pPr>
      <w:r/>
      <w:bookmarkStart w:id="23" w:name="_Toc28359005"/>
      <w:r/>
      <w:bookmarkStart w:id="24" w:name="_Toc28359082"/>
      <w:r/>
      <w:bookmarkStart w:id="25" w:name="_Toc35393624"/>
      <w:r/>
      <w:bookmarkStart w:id="26" w:name="_Toc38985266"/>
      <w:r/>
      <w:bookmarkStart w:id="27" w:name="_Toc35393793"/>
      <w:r>
        <w:rPr>
          <w:rFonts w:hint="eastAsia" w:ascii="仿宋" w:hAnsi="仿宋" w:eastAsia="仿宋" w:cs="仿宋"/>
          <w:b/>
          <w:bCs/>
          <w:color w:val="auto"/>
          <w:sz w:val="24"/>
          <w:szCs w:val="24"/>
          <w:highlight w:val="none"/>
        </w:rPr>
        <w:t xml:space="preserve">1.时间：</w:t>
      </w:r>
      <w:r>
        <w:rPr>
          <w:rFonts w:hint="eastAsia" w:ascii="仿宋" w:hAnsi="仿宋" w:eastAsia="仿宋" w:cs="仿宋"/>
          <w:b/>
          <w:bCs/>
          <w:color w:val="auto"/>
          <w:sz w:val="24"/>
          <w:szCs w:val="24"/>
          <w:highlight w:val="none"/>
          <w:lang w:eastAsia="zh-CN"/>
        </w:rPr>
        <w:t xml:space="preserve">2026年</w:t>
      </w:r>
      <w:r>
        <w:rPr>
          <w:rFonts w:hint="eastAsia" w:ascii="仿宋" w:hAnsi="仿宋" w:eastAsia="仿宋" w:cs="仿宋"/>
          <w:b/>
          <w:bCs/>
          <w:color w:val="auto"/>
          <w:sz w:val="24"/>
          <w:szCs w:val="24"/>
          <w:highlight w:val="none"/>
          <w:lang w:val="en-US" w:eastAsia="zh-CN"/>
        </w:rPr>
        <w:t xml:space="preserve">09</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09:00</w:t>
      </w:r>
      <w:r>
        <w:rPr>
          <w:rFonts w:hint="eastAsia" w:ascii="仿宋" w:hAnsi="仿宋" w:eastAsia="仿宋" w:cs="仿宋"/>
          <w:b/>
          <w:bCs/>
          <w:color w:val="auto"/>
          <w:sz w:val="24"/>
          <w:szCs w:val="24"/>
          <w:highlight w:val="none"/>
        </w:rPr>
        <w:t xml:space="preserve">至</w:t>
      </w:r>
      <w:r>
        <w:rPr>
          <w:rFonts w:hint="eastAsia" w:ascii="仿宋" w:hAnsi="仿宋" w:eastAsia="仿宋" w:cs="仿宋"/>
          <w:b/>
          <w:bCs/>
          <w:color w:val="auto"/>
          <w:sz w:val="24"/>
          <w:szCs w:val="24"/>
          <w:highlight w:val="none"/>
          <w:lang w:eastAsia="zh-CN"/>
        </w:rPr>
        <w:t xml:space="preserve">2026年</w:t>
      </w:r>
      <w:r>
        <w:rPr>
          <w:rFonts w:hint="eastAsia" w:ascii="仿宋" w:hAnsi="仿宋" w:eastAsia="仿宋" w:cs="仿宋"/>
          <w:b/>
          <w:bCs/>
          <w:color w:val="auto"/>
          <w:sz w:val="24"/>
          <w:szCs w:val="24"/>
          <w:highlight w:val="none"/>
          <w:lang w:val="en-US" w:eastAsia="zh-CN"/>
        </w:rPr>
        <w:t xml:space="preserve">09</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16</w:t>
      </w:r>
      <w:r>
        <w:rPr>
          <w:rFonts w:hint="eastAsia" w:ascii="仿宋" w:hAnsi="仿宋" w:eastAsia="仿宋" w:cs="仿宋"/>
          <w:b/>
          <w:bCs/>
          <w:color w:val="auto"/>
          <w:sz w:val="24"/>
          <w:szCs w:val="24"/>
          <w:highlight w:val="none"/>
        </w:rPr>
        <w:t xml:space="preserve">日1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0</w:t>
      </w:r>
      <w:r>
        <w:rPr>
          <w:rFonts w:hint="eastAsia" w:ascii="仿宋" w:hAnsi="仿宋" w:eastAsia="仿宋" w:cs="仿宋"/>
          <w:b/>
          <w:bCs/>
          <w:color w:val="auto"/>
          <w:sz w:val="24"/>
          <w:szCs w:val="24"/>
          <w:highlight w:val="none"/>
        </w:rPr>
        <w:t xml:space="preserve">0（北京时间）。</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560" w:lineRule="exact"/>
        <w:rPr>
          <w:rFonts w:hint="eastAsia" w:ascii="仿宋" w:hAnsi="仿宋" w:eastAsia="仿宋" w:cs="仿宋"/>
          <w:color w:val="auto"/>
          <w:sz w:val="24"/>
          <w:szCs w:val="24"/>
          <w:highlight w:val="none"/>
        </w:rPr>
      </w:pPr>
      <w:r/>
      <w:bookmarkStart w:id="28" w:name="EB0c44ff4da61f4af989d119fe214be450"/>
      <w:r>
        <w:rPr>
          <w:rFonts w:hint="eastAsia" w:ascii="仿宋" w:hAnsi="仿宋" w:eastAsia="仿宋" w:cs="仿宋"/>
          <w:color w:val="auto"/>
          <w:sz w:val="24"/>
          <w:szCs w:val="24"/>
          <w:highlight w:val="none"/>
        </w:rPr>
        <w:t xml:space="preserve">3.本项目共</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个包</w:t>
      </w:r>
      <w:r>
        <w:rPr>
          <w:rFonts w:hint="eastAsia" w:ascii="仿宋" w:hAnsi="仿宋" w:eastAsia="仿宋" w:cs="仿宋"/>
          <w:color w:val="auto"/>
          <w:sz w:val="24"/>
          <w:szCs w:val="24"/>
          <w:highlight w:val="none"/>
        </w:rPr>
        <w:t xml:space="preserve">。投标人参与多个包投标的，应按包分别获取招标文件。投标人未按要求获取招标文件导致无法投标的，后果自负（其投标文件不予接受）。</w:t>
      </w:r>
      <w:bookmarkEnd w:id="28"/>
      <w:r/>
      <w:r/>
    </w:p>
    <w:p>
      <w:pPr>
        <w:pStyle w:val="891"/>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四、提交投标文件</w:t>
      </w:r>
      <w:bookmarkEnd w:id="23"/>
      <w:r/>
      <w:bookmarkEnd w:id="24"/>
      <w:r>
        <w:rPr>
          <w:rFonts w:hint="eastAsia" w:ascii="仿宋" w:hAnsi="仿宋" w:eastAsia="仿宋" w:cs="仿宋"/>
          <w:color w:val="auto"/>
          <w:sz w:val="24"/>
          <w:szCs w:val="24"/>
          <w:highlight w:val="none"/>
        </w:rPr>
        <w:t xml:space="preserve">截止时间、开标时间和地点</w:t>
      </w:r>
      <w:bookmarkEnd w:id="25"/>
      <w:r/>
      <w:bookmarkEnd w:id="26"/>
      <w:r/>
      <w:bookmarkEnd w:id="27"/>
      <w:r/>
      <w:r/>
    </w:p>
    <w:p>
      <w:pPr>
        <w:ind w:firstLine="482"/>
        <w:pageBreakBefore w:val="0"/>
        <w:spacing w:line="560" w:lineRule="exact"/>
        <w:rPr>
          <w:rFonts w:hint="eastAsia" w:ascii="仿宋" w:hAnsi="仿宋" w:eastAsia="仿宋" w:cs="仿宋"/>
          <w:b/>
          <w:bCs w:val="0"/>
          <w:color w:val="auto"/>
          <w:sz w:val="24"/>
          <w:szCs w:val="24"/>
          <w:highlight w:val="none"/>
          <w:u w:val="single"/>
        </w:rPr>
      </w:pPr>
      <w:r>
        <w:rPr>
          <w:rFonts w:hint="eastAsia" w:ascii="仿宋" w:hAnsi="仿宋" w:eastAsia="仿宋" w:cs="仿宋"/>
          <w:b/>
          <w:bCs w:val="0"/>
          <w:color w:val="auto"/>
          <w:sz w:val="24"/>
          <w:szCs w:val="24"/>
          <w:highlight w:val="none"/>
        </w:rPr>
        <w:t xml:space="preserve">1.提交投标文件截止时间、开标时间：</w:t>
      </w:r>
      <w:r>
        <w:rPr>
          <w:rFonts w:hint="eastAsia" w:ascii="仿宋" w:hAnsi="仿宋" w:eastAsia="仿宋" w:cs="仿宋"/>
          <w:b/>
          <w:bCs/>
          <w:color w:val="auto"/>
          <w:sz w:val="24"/>
          <w:szCs w:val="24"/>
          <w:highlight w:val="none"/>
          <w:lang w:eastAsia="zh-CN"/>
        </w:rPr>
        <w:t xml:space="preserve">2026年</w:t>
      </w:r>
      <w:r>
        <w:rPr>
          <w:rFonts w:hint="eastAsia" w:ascii="仿宋" w:hAnsi="仿宋" w:eastAsia="仿宋" w:cs="仿宋"/>
          <w:b/>
          <w:bCs/>
          <w:color w:val="auto"/>
          <w:sz w:val="24"/>
          <w:szCs w:val="24"/>
          <w:highlight w:val="none"/>
          <w:lang w:val="en-US" w:eastAsia="zh-CN"/>
        </w:rPr>
        <w:t xml:space="preserve">09</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30</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val="0"/>
          <w:color w:val="auto"/>
          <w:sz w:val="24"/>
          <w:szCs w:val="24"/>
          <w:highlight w:val="none"/>
          <w:u w:val="none"/>
        </w:rPr>
        <w:t xml:space="preserve">09点</w:t>
      </w:r>
      <w:r>
        <w:rPr>
          <w:rFonts w:hint="eastAsia" w:ascii="仿宋" w:hAnsi="仿宋" w:eastAsia="仿宋" w:cs="仿宋"/>
          <w:b/>
          <w:bCs w:val="0"/>
          <w:color w:val="auto"/>
          <w:sz w:val="24"/>
          <w:szCs w:val="24"/>
          <w:highlight w:val="none"/>
          <w:u w:val="none"/>
          <w:lang w:val="en-US" w:eastAsia="zh-CN"/>
        </w:rPr>
        <w:t xml:space="preserve">3</w:t>
      </w:r>
      <w:r>
        <w:rPr>
          <w:rFonts w:hint="eastAsia" w:ascii="仿宋" w:hAnsi="仿宋" w:eastAsia="仿宋" w:cs="仿宋"/>
          <w:b/>
          <w:bCs w:val="0"/>
          <w:color w:val="auto"/>
          <w:sz w:val="24"/>
          <w:szCs w:val="24"/>
          <w:highlight w:val="none"/>
          <w:u w:val="none"/>
        </w:rPr>
        <w:t xml:space="preserve">0分</w:t>
      </w:r>
      <w:r>
        <w:rPr>
          <w:rFonts w:hint="eastAsia" w:ascii="仿宋" w:hAnsi="仿宋" w:eastAsia="仿宋" w:cs="仿宋"/>
          <w:b/>
          <w:bCs w:val="0"/>
          <w:color w:val="auto"/>
          <w:sz w:val="24"/>
          <w:szCs w:val="24"/>
          <w:highlight w:val="none"/>
        </w:rPr>
        <w:t xml:space="preserve">（北京时间）</w:t>
      </w:r>
      <w:r/>
    </w:p>
    <w:p>
      <w:pPr>
        <w:ind w:firstLine="482"/>
        <w:pageBreakBefore w:val="0"/>
        <w:spacing w:line="56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2.地点：“苏采云”政府采购交易系统网上开标大厅。</w:t>
      </w:r>
      <w:r/>
    </w:p>
    <w:p>
      <w:pPr>
        <w:pStyle w:val="891"/>
        <w:ind w:firstLine="482"/>
        <w:pageBreakBefore w:val="0"/>
        <w:spacing w:before="0" w:after="0" w:line="560" w:lineRule="exact"/>
        <w:rPr>
          <w:rFonts w:hint="eastAsia" w:ascii="仿宋" w:hAnsi="仿宋" w:eastAsia="仿宋" w:cs="仿宋"/>
          <w:color w:val="auto"/>
          <w:sz w:val="24"/>
          <w:szCs w:val="24"/>
          <w:highlight w:val="none"/>
        </w:rPr>
      </w:pPr>
      <w:r/>
      <w:bookmarkStart w:id="29" w:name="_Toc28359084"/>
      <w:r/>
      <w:bookmarkStart w:id="30" w:name="_Toc35393794"/>
      <w:r/>
      <w:bookmarkStart w:id="31" w:name="_Toc35393625"/>
      <w:r/>
      <w:bookmarkStart w:id="32" w:name="_Toc28359007"/>
      <w:r/>
      <w:bookmarkStart w:id="33" w:name="_Toc38985267"/>
      <w:r>
        <w:rPr>
          <w:rFonts w:hint="eastAsia" w:ascii="仿宋" w:hAnsi="仿宋" w:eastAsia="仿宋" w:cs="仿宋"/>
          <w:color w:val="auto"/>
          <w:sz w:val="24"/>
          <w:szCs w:val="24"/>
          <w:highlight w:val="none"/>
        </w:rPr>
        <w:t xml:space="preserve">五、公告期限</w:t>
      </w:r>
      <w:bookmarkEnd w:id="29"/>
      <w:r/>
      <w:bookmarkEnd w:id="30"/>
      <w:r/>
      <w:bookmarkEnd w:id="31"/>
      <w:r/>
      <w:bookmarkEnd w:id="32"/>
      <w:r/>
      <w:bookmarkEnd w:id="33"/>
      <w:r/>
      <w:r/>
    </w:p>
    <w:p>
      <w:pPr>
        <w:ind w:firstLine="480"/>
        <w:pageBreakBefore w:val="0"/>
        <w:spacing w:line="560" w:lineRule="exact"/>
        <w:rPr>
          <w:rFonts w:hint="eastAsia" w:ascii="仿宋" w:hAnsi="仿宋" w:eastAsia="仿宋" w:cs="仿宋"/>
          <w:color w:val="auto"/>
          <w:sz w:val="24"/>
          <w:szCs w:val="24"/>
          <w:highlight w:val="none"/>
        </w:rPr>
      </w:pPr>
      <w:r/>
      <w:bookmarkStart w:id="34" w:name="_Toc38985268"/>
      <w:r/>
      <w:bookmarkStart w:id="35" w:name="_Toc35393626"/>
      <w:r/>
      <w:bookmarkStart w:id="36" w:name="_Toc35393795"/>
      <w:r>
        <w:rPr>
          <w:rFonts w:hint="eastAsia" w:ascii="仿宋" w:hAnsi="仿宋" w:eastAsia="仿宋" w:cs="仿宋"/>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891"/>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六、其他补充事宜</w:t>
      </w:r>
      <w:bookmarkEnd w:id="34"/>
      <w:r/>
      <w:bookmarkEnd w:id="35"/>
      <w:r/>
      <w:bookmarkEnd w:id="36"/>
      <w:r/>
      <w:r/>
    </w:p>
    <w:p>
      <w:pPr>
        <w:ind w:firstLine="480"/>
        <w:pageBreakBefore w:val="0"/>
        <w:spacing w:line="560" w:lineRule="exact"/>
        <w:rPr>
          <w:rFonts w:hint="eastAsia" w:ascii="仿宋" w:hAnsi="仿宋" w:eastAsia="仿宋" w:cs="仿宋"/>
          <w:color w:val="auto"/>
          <w:sz w:val="24"/>
          <w:szCs w:val="24"/>
          <w:highlight w:val="none"/>
        </w:rPr>
      </w:pPr>
      <w:r/>
      <w:bookmarkStart w:id="37" w:name="EB64e1f522fd8c43fcb4d3ba471386b3e7"/>
      <w:r/>
      <w:bookmarkStart w:id="38" w:name="_Toc28359008"/>
      <w:r/>
      <w:bookmarkStart w:id="39" w:name="_Toc35393796"/>
      <w:r/>
      <w:bookmarkStart w:id="40" w:name="_Toc38985269"/>
      <w:r/>
      <w:bookmarkStart w:id="41" w:name="_Toc28359085"/>
      <w:r/>
      <w:bookmarkStart w:id="42" w:name="_Toc35393627"/>
      <w:r>
        <w:rPr>
          <w:rFonts w:hint="eastAsia" w:ascii="仿宋" w:hAnsi="仿宋" w:eastAsia="仿宋" w:cs="仿宋"/>
          <w:color w:val="auto"/>
          <w:sz w:val="24"/>
          <w:szCs w:val="24"/>
          <w:highlight w:val="none"/>
        </w:rPr>
        <w:t xml:space="preserve">1.财政部门监督电话：</w:t>
      </w:r>
      <w:r>
        <w:rPr>
          <w:rFonts w:hint="eastAsia" w:ascii="仿宋" w:hAnsi="仿宋" w:eastAsia="仿宋" w:cs="仿宋"/>
          <w:color w:val="auto"/>
          <w:sz w:val="24"/>
          <w:szCs w:val="24"/>
          <w:highlight w:val="none"/>
          <w:lang w:eastAsia="zh-CN"/>
        </w:rPr>
        <w:t xml:space="preserve">0527-84363063</w:t>
      </w:r>
      <w:r>
        <w:rPr>
          <w:rFonts w:hint="eastAsia" w:ascii="仿宋" w:hAnsi="仿宋" w:eastAsia="仿宋" w:cs="仿宋"/>
          <w:color w:val="auto"/>
          <w:sz w:val="24"/>
          <w:szCs w:val="24"/>
          <w:highlight w:val="none"/>
        </w:rPr>
        <w:t xml:space="preserve">。</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pageBreakBefore w:val="0"/>
        <w:spacing w:line="56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3.宿迁地区“苏采云”技术支持客服电话：0527-</w:t>
      </w:r>
      <w:r>
        <w:rPr>
          <w:rFonts w:hint="eastAsia" w:ascii="仿宋" w:hAnsi="仿宋" w:eastAsia="仿宋" w:cs="仿宋"/>
          <w:color w:val="auto"/>
          <w:sz w:val="24"/>
          <w:szCs w:val="24"/>
          <w:highlight w:val="none"/>
          <w:lang w:val="en-US" w:eastAsia="zh-CN"/>
        </w:rPr>
        <w:t xml:space="preserve">84363067</w:t>
      </w:r>
      <w:r>
        <w:rPr>
          <w:rFonts w:hint="eastAsia" w:ascii="仿宋" w:hAnsi="仿宋" w:eastAsia="仿宋" w:cs="仿宋"/>
          <w:color w:val="auto"/>
          <w:sz w:val="24"/>
          <w:szCs w:val="24"/>
          <w:highlight w:val="none"/>
          <w:lang w:val="en-US"/>
        </w:rPr>
        <w:t xml:space="preserve">、0519-86722806。</w:t>
      </w:r>
      <w:r/>
    </w:p>
    <w:p>
      <w:pPr>
        <w:ind w:firstLine="480"/>
        <w:pageBreakBefore w:val="0"/>
        <w:spacing w:line="56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4.如果投标人通过苏采云系统参与政府采购项目，相关操作手册详见链接：http://www.ccgp-jiangsu.gov.cn/jiangsu/zlxz/ee/ee3a4bc5a3454aa2b0d9312230633ce9.html。</w:t>
      </w:r>
      <w:bookmarkEnd w:id="37"/>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5.现场勘察及答疑：本项目不组织集中勘察及答疑，投标人如对采购需求有疑问，请咨询采购单位联系人。</w:t>
      </w:r>
      <w:r/>
    </w:p>
    <w:p>
      <w:pPr>
        <w:pStyle w:val="891"/>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七、本次招标联系方式</w:t>
      </w:r>
      <w:bookmarkEnd w:id="38"/>
      <w:r/>
      <w:bookmarkEnd w:id="39"/>
      <w:r/>
      <w:bookmarkEnd w:id="40"/>
      <w:r/>
      <w:bookmarkEnd w:id="41"/>
      <w:r/>
      <w:bookmarkEnd w:id="42"/>
      <w:r/>
      <w:r/>
    </w:p>
    <w:p>
      <w:pPr>
        <w:ind w:firstLine="480"/>
        <w:jc w:val="left"/>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宿迁市医疗保障局</w:t>
      </w:r>
      <w:r>
        <w:rPr>
          <w:rFonts w:hint="eastAsia" w:ascii="仿宋" w:hAnsi="仿宋" w:eastAsia="仿宋" w:cs="仿宋"/>
          <w:color w:val="auto"/>
          <w:sz w:val="24"/>
          <w:szCs w:val="24"/>
          <w:highlight w:val="none"/>
        </w:rPr>
        <w:t xml:space="preserve">　</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宿迁市洪泽湖路889号便民方舟1号楼</w:t>
      </w:r>
      <w:r>
        <w:rPr>
          <w:rFonts w:hint="eastAsia" w:ascii="仿宋" w:hAnsi="仿宋" w:eastAsia="仿宋" w:cs="仿宋"/>
          <w:color w:val="auto"/>
          <w:sz w:val="24"/>
          <w:szCs w:val="24"/>
          <w:highlight w:val="none"/>
        </w:rPr>
        <w:t xml:space="preserve">　</w:t>
      </w:r>
      <w:r/>
    </w:p>
    <w:p>
      <w:pPr>
        <w:ind w:firstLine="480"/>
        <w:jc w:val="left"/>
        <w:pageBreakBefore w:val="0"/>
        <w:spacing w:line="56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联系人：</w:t>
      </w:r>
      <w:r>
        <w:rPr>
          <w:rFonts w:hint="eastAsia" w:ascii="仿宋" w:hAnsi="仿宋" w:eastAsia="仿宋" w:cs="仿宋"/>
          <w:color w:val="auto"/>
          <w:sz w:val="24"/>
          <w:szCs w:val="24"/>
          <w:highlight w:val="none"/>
          <w:lang w:val="en-US" w:eastAsia="zh-CN"/>
        </w:rPr>
        <w:t xml:space="preserve"> 马云晓</w:t>
      </w:r>
      <w:r/>
    </w:p>
    <w:p>
      <w:pPr>
        <w:ind w:firstLine="480"/>
        <w:jc w:val="left"/>
        <w:pageBreakBefore w:val="0"/>
        <w:spacing w:line="56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 xml:space="preserve">联系方式：</w:t>
      </w:r>
      <w:bookmarkStart w:id="43" w:name="_Toc28359086"/>
      <w:r/>
      <w:bookmarkStart w:id="44" w:name="_Toc28359009"/>
      <w:r>
        <w:rPr>
          <w:rFonts w:hint="eastAsia" w:ascii="仿宋" w:hAnsi="仿宋" w:eastAsia="仿宋" w:cs="仿宋"/>
          <w:color w:val="auto"/>
          <w:sz w:val="24"/>
          <w:szCs w:val="24"/>
          <w:highlight w:val="none"/>
          <w:lang w:eastAsia="zh-CN"/>
        </w:rPr>
        <w:t xml:space="preserve">0527-84368750</w:t>
      </w:r>
      <w:r/>
    </w:p>
    <w:p>
      <w:pPr>
        <w:ind w:firstLine="480"/>
        <w:jc w:val="left"/>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43"/>
      <w:r/>
      <w:bookmarkEnd w:id="44"/>
      <w:r>
        <w:rPr>
          <w:rFonts w:hint="eastAsia" w:ascii="仿宋" w:hAnsi="仿宋" w:eastAsia="仿宋" w:cs="仿宋"/>
          <w:color w:val="auto"/>
          <w:sz w:val="24"/>
          <w:szCs w:val="24"/>
          <w:highlight w:val="none"/>
        </w:rPr>
        <w:t xml:space="preserve">采购代理机构信息</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江苏翔堃项目管理有限公司</w:t>
      </w:r>
      <w:r>
        <w:rPr>
          <w:rFonts w:hint="eastAsia" w:ascii="仿宋" w:hAnsi="仿宋" w:eastAsia="仿宋" w:cs="仿宋"/>
          <w:color w:val="auto"/>
          <w:sz w:val="24"/>
          <w:szCs w:val="24"/>
          <w:highlight w:val="none"/>
        </w:rPr>
        <w:t xml:space="preserve">　</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eastAsia="zh-CN"/>
        </w:rPr>
        <w:t xml:space="preserve">宿迁市宿城新区曙光社区退役军人服务站2楼（时代名苑小区内物业办公室2楼）</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eastAsia="zh-CN"/>
        </w:rPr>
        <w:t xml:space="preserve">何壹少</w:t>
      </w:r>
      <w:r>
        <w:rPr>
          <w:rFonts w:hint="eastAsia" w:ascii="仿宋" w:hAnsi="仿宋" w:eastAsia="仿宋" w:cs="仿宋"/>
          <w:color w:val="auto"/>
          <w:sz w:val="24"/>
          <w:szCs w:val="24"/>
          <w:highlight w:val="none"/>
        </w:rPr>
        <w:t xml:space="preserve"> </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18888194515</w:t>
      </w:r>
      <w:r/>
    </w:p>
    <w:p>
      <w:pPr>
        <w:pStyle w:val="891"/>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八、其他</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1、有关本次招标的事项若存在变动或修改，敬请及时关注“宿迁市政府采购网”等平台更正公告。</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2、本次招标不收取投标保证金。</w:t>
      </w:r>
      <w:r/>
    </w:p>
    <w:p>
      <w:pPr>
        <w:ind w:left="0"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89"/>
        <w:ind w:left="0" w:firstLine="0"/>
        <w:jc w:val="center"/>
        <w:keepLines/>
        <w:keepNext/>
        <w:pageBreakBefore w:val="0"/>
        <w:spacing w:before="0" w:after="0" w:line="480" w:lineRule="auto"/>
        <w:widowControl w:val="off"/>
        <w:rPr>
          <w:rFonts w:hint="eastAsia" w:ascii="仿宋" w:hAnsi="仿宋" w:eastAsia="仿宋" w:cs="仿宋"/>
          <w:b w:val="0"/>
          <w:bCs w:val="0"/>
          <w:color w:val="auto"/>
          <w:highlight w:val="none"/>
        </w:rPr>
        <w:outlineLvl w:val="0"/>
      </w:pPr>
      <w:r/>
      <w:bookmarkStart w:id="45" w:name="_Toc120614211"/>
      <w:r>
        <w:rPr>
          <w:rFonts w:hint="eastAsia" w:ascii="仿宋" w:hAnsi="仿宋" w:eastAsia="仿宋" w:cs="仿宋"/>
          <w:color w:val="auto"/>
          <w:highlight w:val="none"/>
        </w:rPr>
        <w:br w:type="page" w:clear="all"/>
      </w:r>
      <w:bookmarkStart w:id="46" w:name="_Toc14806"/>
      <w:r>
        <w:rPr>
          <w:rStyle w:val="732"/>
          <w:rFonts w:hint="eastAsia" w:ascii="仿宋" w:hAnsi="仿宋" w:eastAsia="仿宋" w:cs="仿宋"/>
          <w:color w:val="auto"/>
          <w:highlight w:val="none"/>
        </w:rPr>
        <w:t xml:space="preserve">第二章</w:t>
      </w:r>
      <w:bookmarkEnd w:id="1"/>
      <w:r/>
      <w:bookmarkEnd w:id="2"/>
      <w:r/>
      <w:bookmarkEnd w:id="3"/>
      <w:r/>
      <w:bookmarkEnd w:id="4"/>
      <w:r/>
      <w:bookmarkEnd w:id="5"/>
      <w:r/>
      <w:bookmarkEnd w:id="45"/>
      <w:r/>
      <w:bookmarkStart w:id="47" w:name="_Toc513029202"/>
      <w:r/>
      <w:bookmarkStart w:id="48" w:name="_Toc120614213"/>
      <w:r/>
      <w:bookmarkStart w:id="49" w:name="_Toc20823274"/>
      <w:r/>
      <w:bookmarkStart w:id="50" w:name="_Toc16938518"/>
      <w:r>
        <w:rPr>
          <w:rStyle w:val="732"/>
          <w:rFonts w:hint="eastAsia" w:ascii="仿宋" w:hAnsi="仿宋" w:eastAsia="仿宋" w:cs="仿宋"/>
          <w:b/>
          <w:bCs/>
          <w:color w:val="auto"/>
          <w:highlight w:val="none"/>
        </w:rPr>
        <w:t xml:space="preserve">   </w:t>
      </w:r>
      <w:r>
        <w:rPr>
          <w:rStyle w:val="732"/>
          <w:rFonts w:hint="eastAsia" w:ascii="仿宋" w:hAnsi="仿宋" w:eastAsia="仿宋" w:cs="仿宋"/>
          <w:color w:val="auto"/>
          <w:highlight w:val="none"/>
        </w:rPr>
        <w:t xml:space="preserve">投标人须知</w:t>
      </w:r>
      <w:bookmarkEnd w:id="46"/>
      <w:r/>
      <w:bookmarkEnd w:id="47"/>
      <w:r/>
      <w:bookmarkEnd w:id="48"/>
      <w:r/>
      <w:bookmarkEnd w:id="49"/>
      <w:r/>
      <w:bookmarkEnd w:id="50"/>
      <w:r/>
      <w:r/>
    </w:p>
    <w:p>
      <w:pPr>
        <w:pStyle w:val="891"/>
        <w:ind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51" w:name="_Toc120614214"/>
      <w:r/>
      <w:bookmarkStart w:id="52" w:name="_Toc16938519"/>
      <w:r/>
      <w:bookmarkStart w:id="53" w:name="_Toc513029203"/>
      <w:r/>
      <w:bookmarkStart w:id="54" w:name="_Toc20823275"/>
      <w:r>
        <w:rPr>
          <w:rFonts w:hint="eastAsia" w:ascii="仿宋" w:hAnsi="仿宋" w:eastAsia="仿宋" w:cs="仿宋"/>
          <w:color w:val="auto"/>
          <w:sz w:val="24"/>
          <w:szCs w:val="24"/>
          <w:highlight w:val="none"/>
        </w:rPr>
        <w:t xml:space="preserve">一、总则</w:t>
      </w:r>
      <w:bookmarkEnd w:id="51"/>
      <w:r/>
      <w:bookmarkEnd w:id="52"/>
      <w:r/>
      <w:bookmarkEnd w:id="53"/>
      <w:r/>
      <w:bookmarkEnd w:id="54"/>
      <w:r/>
      <w:r/>
    </w:p>
    <w:p>
      <w:pPr>
        <w:pStyle w:val="895"/>
        <w:ind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55" w:name="_Hlt16619475"/>
      <w:r/>
      <w:bookmarkEnd w:id="55"/>
      <w:r/>
      <w:bookmarkStart w:id="56" w:name="_Toc458694821"/>
      <w:r/>
      <w:bookmarkStart w:id="57" w:name="_Toc513029204"/>
      <w:r/>
      <w:bookmarkStart w:id="58" w:name="_Toc16938520"/>
      <w:r/>
      <w:bookmarkStart w:id="59" w:name="_Toc20823276"/>
      <w:r>
        <w:rPr>
          <w:rFonts w:hint="eastAsia" w:ascii="仿宋" w:hAnsi="仿宋" w:eastAsia="仿宋" w:cs="仿宋"/>
          <w:b/>
          <w:bCs/>
          <w:color w:val="auto"/>
          <w:sz w:val="24"/>
          <w:szCs w:val="24"/>
          <w:highlight w:val="none"/>
        </w:rPr>
        <w:t xml:space="preserve">1</w:t>
      </w:r>
      <w:bookmarkEnd w:id="56"/>
      <w:r>
        <w:rPr>
          <w:rFonts w:hint="eastAsia" w:ascii="仿宋" w:hAnsi="仿宋" w:eastAsia="仿宋" w:cs="仿宋"/>
          <w:b/>
          <w:bCs/>
          <w:color w:val="auto"/>
          <w:sz w:val="24"/>
          <w:szCs w:val="24"/>
          <w:highlight w:val="none"/>
        </w:rPr>
        <w:t xml:space="preserve">、招标方式</w:t>
      </w:r>
      <w:bookmarkEnd w:id="57"/>
      <w:r/>
      <w:bookmarkEnd w:id="58"/>
      <w:r/>
      <w:bookmarkEnd w:id="59"/>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本次招标采取公开招标方式，本招标文件仅适用于招标公告中所述项目。</w:t>
      </w:r>
      <w:r/>
    </w:p>
    <w:p>
      <w:pPr>
        <w:pStyle w:val="895"/>
        <w:ind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60" w:name="_Toc16938521"/>
      <w:r/>
      <w:bookmarkStart w:id="61" w:name="_Toc20823277"/>
      <w:r/>
      <w:bookmarkStart w:id="62" w:name="_Toc513029205"/>
      <w:r>
        <w:rPr>
          <w:rFonts w:hint="eastAsia" w:ascii="仿宋" w:hAnsi="仿宋" w:eastAsia="仿宋" w:cs="仿宋"/>
          <w:b/>
          <w:bCs/>
          <w:color w:val="auto"/>
          <w:sz w:val="24"/>
          <w:szCs w:val="24"/>
          <w:highlight w:val="none"/>
        </w:rPr>
        <w:t xml:space="preserve">2、合格的投标人</w:t>
      </w:r>
      <w:bookmarkEnd w:id="60"/>
      <w:r/>
      <w:bookmarkEnd w:id="61"/>
      <w:r/>
      <w:bookmarkEnd w:id="62"/>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满足招标公告中投标人的资格要求的规定。</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满足本文件实质性要求和条件的规定。</w:t>
      </w:r>
      <w:r/>
    </w:p>
    <w:p>
      <w:pPr>
        <w:pStyle w:val="895"/>
        <w:ind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63" w:name="_Toc513029206"/>
      <w:r/>
      <w:bookmarkStart w:id="64" w:name="_Toc16938522"/>
      <w:r/>
      <w:bookmarkStart w:id="65" w:name="_Toc20823278"/>
      <w:r>
        <w:rPr>
          <w:rFonts w:hint="eastAsia" w:ascii="仿宋" w:hAnsi="仿宋" w:eastAsia="仿宋" w:cs="仿宋"/>
          <w:b/>
          <w:bCs/>
          <w:color w:val="auto"/>
          <w:sz w:val="24"/>
          <w:szCs w:val="24"/>
          <w:highlight w:val="none"/>
        </w:rPr>
        <w:t xml:space="preserve">3、适用法律</w:t>
      </w:r>
      <w:bookmarkEnd w:id="63"/>
      <w:r/>
      <w:bookmarkEnd w:id="64"/>
      <w:r/>
      <w:bookmarkEnd w:id="65"/>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本次招标及由此产生的合同受中华人民共和国有关的法律法规制约和保护。</w:t>
      </w:r>
      <w:r/>
    </w:p>
    <w:p>
      <w:pPr>
        <w:pStyle w:val="895"/>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66" w:name="_Toc462564067"/>
      <w:r/>
      <w:bookmarkStart w:id="67" w:name="_Toc16938523"/>
      <w:r/>
      <w:bookmarkStart w:id="68" w:name="_Toc513029207"/>
      <w:r/>
      <w:bookmarkStart w:id="69" w:name="_Toc20823279"/>
      <w:r>
        <w:rPr>
          <w:rFonts w:hint="eastAsia" w:ascii="仿宋" w:hAnsi="仿宋" w:eastAsia="仿宋" w:cs="仿宋"/>
          <w:b/>
          <w:bCs/>
          <w:color w:val="auto"/>
          <w:sz w:val="24"/>
          <w:szCs w:val="24"/>
          <w:highlight w:val="none"/>
        </w:rPr>
        <w:t xml:space="preserve">4、投标费用</w:t>
      </w:r>
      <w:bookmarkEnd w:id="66"/>
      <w:r/>
      <w:bookmarkEnd w:id="67"/>
      <w:r/>
      <w:bookmarkEnd w:id="68"/>
      <w:r/>
      <w:bookmarkEnd w:id="69"/>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投标人应自行承担所有与参加投标有关的费用，无论投标过程中的做法和结果如何，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江苏翔堃项目管理有限公司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（以下简称采购代理机构）在任何情况下均无义务和责任承担这些费用。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代理费用收取方式及标准：按以下第</w:t>
      </w:r>
      <w:r>
        <w:rPr>
          <w:rFonts w:hint="eastAsia" w:ascii="仿宋" w:hAnsi="仿宋" w:eastAsia="仿宋" w:cs="仿宋"/>
          <w:color w:val="auto"/>
          <w:sz w:val="24"/>
          <w:szCs w:val="24"/>
          <w:highlight w:val="none"/>
          <w:u w:val="single"/>
        </w:rPr>
        <w:t xml:space="preserve">4.2.</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rPr>
        <w:t xml:space="preserve">种方式执行</w:t>
      </w:r>
      <w:r/>
    </w:p>
    <w:p>
      <w:pPr>
        <w:ind w:left="0" w:firstLine="480"/>
        <w:pageBreakBefore w:val="0"/>
        <w:spacing w:line="5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4.2.1 无需支付；</w:t>
      </w:r>
      <w:r/>
    </w:p>
    <w:p>
      <w:pPr>
        <w:pStyle w:val="951"/>
        <w:ind w:left="0" w:firstLine="480"/>
        <w:pageBreakBefore w:val="0"/>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val="zh-CN"/>
        </w:rPr>
        <w:t xml:space="preserve">4.2.2 采购人支付，具体方式及标准为：</w:t>
      </w:r>
      <w:r>
        <w:rPr>
          <w:rFonts w:hint="eastAsia" w:ascii="仿宋" w:hAnsi="仿宋" w:eastAsia="仿宋" w:cs="仿宋"/>
          <w:color w:val="auto"/>
          <w:sz w:val="24"/>
          <w:szCs w:val="24"/>
          <w:highlight w:val="none"/>
          <w:u w:val="single"/>
          <w:lang w:val="en-US" w:eastAsia="zh-CN"/>
        </w:rPr>
        <w:t xml:space="preserve">中标公告发布5个工作日内支付4.8万元，可以通过转账或数字人民币等方式支付 </w:t>
      </w:r>
      <w:r>
        <w:rPr>
          <w:rFonts w:hint="eastAsia" w:ascii="仿宋" w:hAnsi="仿宋" w:eastAsia="仿宋" w:cs="仿宋"/>
          <w:color w:val="auto"/>
          <w:sz w:val="24"/>
          <w:szCs w:val="24"/>
          <w:highlight w:val="none"/>
          <w:lang w:val="en-US" w:eastAsia="zh-CN"/>
        </w:rPr>
        <w:t xml:space="preserve">；</w:t>
      </w:r>
      <w:r/>
    </w:p>
    <w:p>
      <w:pPr>
        <w:pStyle w:val="951"/>
        <w:ind w:left="0" w:firstLine="480"/>
        <w:pageBreakBefore w:val="0"/>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4.2.</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 </w:t>
      </w:r>
      <w:r>
        <w:rPr>
          <w:rFonts w:hint="eastAsia" w:ascii="仿宋" w:hAnsi="仿宋" w:eastAsia="仿宋" w:cs="仿宋"/>
          <w:color w:val="auto"/>
          <w:sz w:val="24"/>
          <w:szCs w:val="24"/>
          <w:highlight w:val="none"/>
          <w:lang w:val="en-US" w:eastAsia="zh-CN" w:bidi="ar-SA"/>
        </w:rPr>
        <w:t xml:space="preserve">中标</w:t>
      </w:r>
      <w:r>
        <w:rPr>
          <w:rFonts w:hint="eastAsia" w:ascii="仿宋" w:hAnsi="仿宋" w:eastAsia="仿宋" w:cs="仿宋"/>
          <w:color w:val="auto"/>
          <w:sz w:val="24"/>
          <w:szCs w:val="24"/>
          <w:highlight w:val="none"/>
          <w:lang w:val="zh-CN" w:eastAsia="zh-CN" w:bidi="ar-SA"/>
        </w:rPr>
        <w:t xml:space="preserve">人支付，具体方式及标准为</w:t>
      </w:r>
      <w:r>
        <w:rPr>
          <w:rFonts w:hint="eastAsia" w:ascii="仿宋" w:hAnsi="仿宋" w:eastAsia="仿宋" w:cs="仿宋"/>
          <w:color w:val="auto"/>
          <w:sz w:val="24"/>
          <w:szCs w:val="24"/>
          <w:highlight w:val="none"/>
          <w:lang w:val="en-US" w:eastAsia="zh-CN" w:bidi="ar-SA"/>
        </w:rPr>
        <w:t xml:space="preserve">，/。</w:t>
      </w:r>
      <w:r/>
    </w:p>
    <w:p>
      <w:pPr>
        <w:pStyle w:val="895"/>
        <w:ind w:left="0" w:firstLine="480"/>
        <w:pageBreakBefore w:val="0"/>
        <w:spacing w:before="0"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5、招标文件的约束力</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投标人一旦参加本项目采购活动，即被认为接受了本招标文件的规定和约束。</w:t>
      </w:r>
      <w:r/>
    </w:p>
    <w:p>
      <w:pPr>
        <w:pStyle w:val="891"/>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70" w:name="_Toc513029209"/>
      <w:r/>
      <w:bookmarkStart w:id="71" w:name="_Toc120614215"/>
      <w:r/>
      <w:bookmarkStart w:id="72" w:name="_Toc16938525"/>
      <w:r/>
      <w:bookmarkStart w:id="73" w:name="_Toc20823281"/>
      <w:r>
        <w:rPr>
          <w:rFonts w:hint="eastAsia" w:ascii="仿宋" w:hAnsi="仿宋" w:eastAsia="仿宋" w:cs="仿宋"/>
          <w:color w:val="auto"/>
          <w:sz w:val="24"/>
          <w:szCs w:val="24"/>
          <w:highlight w:val="none"/>
        </w:rPr>
        <w:t xml:space="preserve">二、招标文件</w:t>
      </w:r>
      <w:bookmarkEnd w:id="70"/>
      <w:r/>
      <w:bookmarkEnd w:id="71"/>
      <w:r/>
      <w:bookmarkEnd w:id="72"/>
      <w:r/>
      <w:bookmarkEnd w:id="73"/>
      <w:r/>
      <w:r/>
    </w:p>
    <w:p>
      <w:pPr>
        <w:pStyle w:val="895"/>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74" w:name="_Toc513029210"/>
      <w:r/>
      <w:bookmarkStart w:id="75" w:name="_Toc20823282"/>
      <w:r/>
      <w:bookmarkStart w:id="76" w:name="_Toc16938526"/>
      <w:r>
        <w:rPr>
          <w:rFonts w:hint="eastAsia" w:ascii="仿宋" w:hAnsi="仿宋" w:eastAsia="仿宋" w:cs="仿宋"/>
          <w:b/>
          <w:bCs/>
          <w:color w:val="auto"/>
          <w:sz w:val="24"/>
          <w:szCs w:val="24"/>
          <w:highlight w:val="none"/>
        </w:rPr>
        <w:t xml:space="preserve">6、招标文件构成</w:t>
      </w:r>
      <w:bookmarkEnd w:id="74"/>
      <w:r/>
      <w:bookmarkEnd w:id="75"/>
      <w:r/>
      <w:bookmarkEnd w:id="76"/>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w:t>
      </w:r>
      <w:r>
        <w:rPr>
          <w:rFonts w:hint="eastAsia" w:ascii="仿宋" w:hAnsi="仿宋" w:eastAsia="仿宋" w:cs="仿宋"/>
          <w:color w:val="auto"/>
          <w:sz w:val="24"/>
          <w:szCs w:val="24"/>
          <w:highlight w:val="none"/>
        </w:rPr>
        <w:t xml:space="preserve"> 招标文件由以下部分组成：</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（1）投标邀请</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（2）投标人须知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请仔细检查招标文件是否齐全，如有缺漏请立即与采购代理机构联系解决。</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6.2</w:t>
      </w:r>
      <w:r>
        <w:rPr>
          <w:rFonts w:hint="eastAsia" w:ascii="仿宋" w:hAnsi="仿宋" w:eastAsia="仿宋" w:cs="仿宋"/>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77" w:name="_Toc513029211"/>
      <w:r/>
      <w:bookmarkStart w:id="78" w:name="_Toc20823283"/>
      <w:r/>
      <w:bookmarkStart w:id="79" w:name="_Toc16938527"/>
      <w:r/>
      <w:bookmarkStart w:id="80" w:name="_Toc462564070"/>
      <w:r>
        <w:rPr>
          <w:rFonts w:hint="eastAsia" w:ascii="仿宋" w:hAnsi="仿宋" w:eastAsia="仿宋" w:cs="仿宋"/>
          <w:b/>
          <w:bCs/>
          <w:color w:val="auto"/>
          <w:sz w:val="24"/>
          <w:szCs w:val="24"/>
          <w:highlight w:val="none"/>
        </w:rPr>
        <w:t xml:space="preserve">7、招标文件的澄清</w:t>
      </w:r>
      <w:bookmarkEnd w:id="77"/>
      <w:r/>
      <w:bookmarkEnd w:id="78"/>
      <w:r/>
      <w:bookmarkEnd w:id="79"/>
      <w:r/>
      <w:bookmarkEnd w:id="80"/>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7.1</w:t>
      </w:r>
      <w:r>
        <w:rPr>
          <w:rFonts w:hint="eastAsia" w:ascii="仿宋" w:hAnsi="仿宋" w:eastAsia="仿宋" w:cs="仿宋"/>
          <w:color w:val="auto"/>
          <w:sz w:val="24"/>
          <w:szCs w:val="24"/>
          <w:highlight w:val="none"/>
        </w:rPr>
        <w:t xml:space="preserve"> 任何要求对招标文件进行澄清的投标人，应在投标截止期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前按招标公告中的通讯地址，以书面形式通知采购代理机构。</w:t>
      </w:r>
      <w:r/>
    </w:p>
    <w:p>
      <w:pPr>
        <w:pStyle w:val="895"/>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81" w:name="_Toc462564071"/>
      <w:r/>
      <w:bookmarkStart w:id="82" w:name="_Toc16938528"/>
      <w:r/>
      <w:bookmarkStart w:id="83" w:name="_Toc513029212"/>
      <w:r/>
      <w:bookmarkStart w:id="84" w:name="_Toc20823284"/>
      <w:r>
        <w:rPr>
          <w:rFonts w:hint="eastAsia" w:ascii="仿宋" w:hAnsi="仿宋" w:eastAsia="仿宋" w:cs="仿宋"/>
          <w:b/>
          <w:bCs/>
          <w:color w:val="auto"/>
          <w:sz w:val="24"/>
          <w:szCs w:val="24"/>
          <w:highlight w:val="none"/>
        </w:rPr>
        <w:t xml:space="preserve">8、招标文件的修改</w:t>
      </w:r>
      <w:bookmarkEnd w:id="81"/>
      <w:r/>
      <w:bookmarkEnd w:id="82"/>
      <w:r/>
      <w:bookmarkEnd w:id="83"/>
      <w:r/>
      <w:bookmarkEnd w:id="84"/>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 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 在投标截止时间前，采购代理机构可以对招标文件进行修改。</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 采购代理机构有权按照法定的要求推迟投标截止日期和开标日期。</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8.4 招标文件的修改将在原公告媒体上发布更正公告，补充文件将作为招标文件的组成部分，并对投标人具有约束力。</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8.5 投标人应及时登录“苏采云”系统获取澄清答疑文件（修改后招标文件），如因投标人原因未能及时下载澄清和修改后的招标文件，由此造成的相关责任，由投标人承担。</w:t>
      </w:r>
      <w:r/>
    </w:p>
    <w:p>
      <w:pPr>
        <w:pStyle w:val="891"/>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85" w:name="_Toc513029213"/>
      <w:r/>
      <w:bookmarkStart w:id="86" w:name="_Toc120614216"/>
      <w:r/>
      <w:bookmarkStart w:id="87" w:name="_Toc462564072"/>
      <w:r/>
      <w:bookmarkStart w:id="88" w:name="_Toc16938529"/>
      <w:r/>
      <w:bookmarkStart w:id="89" w:name="_Toc20823285"/>
      <w:r>
        <w:rPr>
          <w:rFonts w:hint="eastAsia" w:ascii="仿宋" w:hAnsi="仿宋" w:eastAsia="仿宋" w:cs="仿宋"/>
          <w:color w:val="auto"/>
          <w:sz w:val="24"/>
          <w:szCs w:val="24"/>
          <w:highlight w:val="none"/>
        </w:rPr>
        <w:t xml:space="preserve">三、投标文件的编制</w:t>
      </w:r>
      <w:bookmarkEnd w:id="85"/>
      <w:r/>
      <w:bookmarkEnd w:id="86"/>
      <w:r/>
      <w:bookmarkEnd w:id="87"/>
      <w:r/>
      <w:bookmarkEnd w:id="88"/>
      <w:r/>
      <w:bookmarkEnd w:id="89"/>
      <w:r/>
      <w:r/>
    </w:p>
    <w:p>
      <w:pPr>
        <w:pStyle w:val="895"/>
        <w:ind w:left="0" w:firstLine="480"/>
        <w:pageBreakBefore w:val="0"/>
        <w:spacing w:before="0" w:after="0" w:line="560" w:lineRule="exact"/>
        <w:widowControl w:val="off"/>
        <w:rPr>
          <w:rFonts w:hint="eastAsia" w:ascii="仿宋" w:hAnsi="仿宋" w:eastAsia="仿宋" w:cs="仿宋"/>
          <w:bCs w:val="0"/>
          <w:color w:val="auto"/>
          <w:sz w:val="24"/>
          <w:szCs w:val="24"/>
          <w:highlight w:val="none"/>
        </w:rPr>
      </w:pPr>
      <w:r/>
      <w:bookmarkStart w:id="90" w:name="_Toc513029214"/>
      <w:r/>
      <w:bookmarkStart w:id="91" w:name="_Toc16938530"/>
      <w:r/>
      <w:bookmarkStart w:id="92" w:name="_Toc20823286"/>
      <w:r/>
      <w:bookmarkStart w:id="93" w:name="_Toc462564073"/>
      <w:r>
        <w:rPr>
          <w:rFonts w:hint="eastAsia" w:ascii="仿宋" w:hAnsi="仿宋" w:eastAsia="仿宋" w:cs="仿宋"/>
          <w:b/>
          <w:bCs/>
          <w:color w:val="auto"/>
          <w:sz w:val="24"/>
          <w:szCs w:val="24"/>
          <w:highlight w:val="none"/>
        </w:rPr>
        <w:t xml:space="preserve">9、投标文件的语言及度量衡单位</w:t>
      </w:r>
      <w:bookmarkEnd w:id="90"/>
      <w:r/>
      <w:bookmarkEnd w:id="91"/>
      <w:r/>
      <w:bookmarkEnd w:id="92"/>
      <w:r/>
      <w:bookmarkEnd w:id="93"/>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9.1</w:t>
      </w:r>
      <w:r>
        <w:rPr>
          <w:rFonts w:hint="eastAsia" w:ascii="仿宋" w:hAnsi="仿宋" w:eastAsia="仿宋" w:cs="仿宋"/>
          <w:color w:val="auto"/>
          <w:sz w:val="24"/>
          <w:szCs w:val="24"/>
          <w:highlight w:val="none"/>
        </w:rPr>
        <w:t xml:space="preserve"> 投标人提交的投标文件以及投标人与采购代理机构就有关投标的所有来往通知、函件和文件均应使用</w:t>
      </w:r>
      <w:r>
        <w:rPr>
          <w:rFonts w:hint="eastAsia" w:ascii="仿宋" w:hAnsi="仿宋" w:eastAsia="仿宋" w:cs="仿宋"/>
          <w:b/>
          <w:bCs/>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9.2</w:t>
      </w:r>
      <w:r>
        <w:rPr>
          <w:rFonts w:hint="eastAsia" w:ascii="仿宋" w:hAnsi="仿宋" w:eastAsia="仿宋" w:cs="仿宋"/>
          <w:color w:val="auto"/>
          <w:sz w:val="24"/>
          <w:szCs w:val="24"/>
          <w:highlight w:val="none"/>
        </w:rPr>
        <w:t xml:space="preserve"> 除技术性能另有规定外，投标文件所使用的度量衡单位，均须采用国家法定计量单位。</w:t>
      </w:r>
      <w:r/>
    </w:p>
    <w:p>
      <w:pPr>
        <w:pStyle w:val="895"/>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94" w:name="_Toc513029215"/>
      <w:r/>
      <w:bookmarkStart w:id="95" w:name="_Toc462564074"/>
      <w:r/>
      <w:bookmarkStart w:id="96" w:name="_Toc20823287"/>
      <w:r/>
      <w:bookmarkStart w:id="97" w:name="_Toc16938531"/>
      <w:r>
        <w:rPr>
          <w:rFonts w:hint="eastAsia" w:ascii="仿宋" w:hAnsi="仿宋" w:eastAsia="仿宋" w:cs="仿宋"/>
          <w:b/>
          <w:bCs/>
          <w:color w:val="auto"/>
          <w:sz w:val="24"/>
          <w:szCs w:val="24"/>
          <w:highlight w:val="none"/>
        </w:rPr>
        <w:t xml:space="preserve">10、投标文件构成</w:t>
      </w:r>
      <w:bookmarkEnd w:id="94"/>
      <w:r/>
      <w:bookmarkEnd w:id="95"/>
      <w:r/>
      <w:bookmarkEnd w:id="96"/>
      <w:r/>
      <w:bookmarkEnd w:id="97"/>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10.1 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各投标人在编制投标文件时请按照招标文件第六</w:t>
      </w:r>
      <w:r>
        <w:rPr>
          <w:rFonts w:hint="eastAsia" w:ascii="仿宋" w:hAnsi="仿宋" w:eastAsia="仿宋" w:cs="仿宋"/>
          <w:bCs/>
          <w:color w:val="auto"/>
          <w:sz w:val="24"/>
          <w:szCs w:val="24"/>
          <w:highlight w:val="none"/>
        </w:rPr>
        <w:t xml:space="preserve">章</w:t>
      </w:r>
      <w:r>
        <w:rPr>
          <w:rFonts w:hint="eastAsia" w:ascii="仿宋" w:hAnsi="仿宋" w:eastAsia="仿宋" w:cs="仿宋"/>
          <w:bCs/>
          <w:color w:val="auto"/>
          <w:sz w:val="24"/>
          <w:szCs w:val="24"/>
          <w:highlight w:val="none"/>
          <w:lang w:val="zh-CN"/>
        </w:rPr>
        <w:t xml:space="preserve">规定的格式进行，混乱的编排导致投标文件被误读或评标委员会查找不到有效文件是投标人的风险。</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投标人编写的投标文件应包括资格证明文件、符合性证明文件、响应及偏离表、其他证明文件、投标函、开标一览表等部分。投标文件构成资料为非中文时应提供中文译版。</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10.3 投标文件须加盖电子签章之处，应按要求加盖投标人数字证书的电子签章。其他需要盖章但未明确要求电子签章的，投标人可按要求加盖公章后上传材料电子件或直接加盖电子签章。</w:t>
      </w:r>
      <w:r/>
    </w:p>
    <w:p>
      <w:pPr>
        <w:ind w:left="0" w:firstLine="482"/>
        <w:pageBreakBefore w:val="0"/>
        <w:spacing w:line="56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10.4 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因“苏采云”系统导致解密失败的除外</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10.5 如标书制作工具中格式、内容与“江苏政府采购网”“宿迁市政府采购网”发布的采购文件不一致的，以“江苏政府采购网”“宿迁市政府采购网”发布的采购文件为准。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10.6 中标后按相关要求提供与电子投标文件一致的纸质打印投标文件2份。</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bookmarkStart w:id="98" w:name="EBc50e2bb832bb43068403b10c1cce6141"/>
      <w:r>
        <w:rPr>
          <w:rFonts w:hint="eastAsia" w:ascii="仿宋" w:hAnsi="仿宋" w:eastAsia="仿宋" w:cs="仿宋"/>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可以视其未提供。（3）无论何种原因，即使投标人开标时携带了证书证明资料的原件，但电子投标文件中未包含相关资料电子件的，</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可以视同其未提供。</w:t>
      </w:r>
      <w:bookmarkEnd w:id="98"/>
      <w:r/>
      <w:r/>
    </w:p>
    <w:p>
      <w:pPr>
        <w:pStyle w:val="895"/>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99" w:name="_Hlt26954838"/>
      <w:r/>
      <w:bookmarkEnd w:id="99"/>
      <w:r/>
      <w:bookmarkStart w:id="100" w:name="_Hlt26668975"/>
      <w:r/>
      <w:bookmarkEnd w:id="100"/>
      <w:r/>
      <w:bookmarkStart w:id="101" w:name="_Hlt26670360"/>
      <w:r/>
      <w:bookmarkEnd w:id="101"/>
      <w:r/>
      <w:bookmarkStart w:id="102" w:name="_Toc14577357"/>
      <w:r/>
      <w:bookmarkStart w:id="103" w:name="_Toc14577354"/>
      <w:r/>
      <w:bookmarkStart w:id="104" w:name="_Toc513029219"/>
      <w:r/>
      <w:bookmarkStart w:id="105" w:name="_Toc49090509"/>
      <w:r/>
      <w:bookmarkStart w:id="106" w:name="_Toc513029216"/>
      <w:r/>
      <w:bookmarkStart w:id="107" w:name="_Toc49090507"/>
      <w:r>
        <w:rPr>
          <w:rFonts w:hint="eastAsia" w:ascii="仿宋" w:hAnsi="仿宋" w:eastAsia="仿宋" w:cs="仿宋"/>
          <w:b/>
          <w:bCs/>
          <w:color w:val="auto"/>
          <w:sz w:val="24"/>
          <w:szCs w:val="24"/>
          <w:highlight w:val="none"/>
        </w:rPr>
        <w:t xml:space="preserve">11、证明投标人及投标标的符合招标文件规定的文件</w:t>
      </w:r>
      <w:bookmarkEnd w:id="102"/>
      <w:r/>
      <w:bookmarkEnd w:id="103"/>
      <w:r/>
      <w:bookmarkEnd w:id="104"/>
      <w:r/>
      <w:bookmarkEnd w:id="105"/>
      <w:r/>
      <w:bookmarkEnd w:id="106"/>
      <w:r/>
      <w:bookmarkEnd w:id="107"/>
      <w:r/>
      <w:r/>
    </w:p>
    <w:p>
      <w:pPr>
        <w:ind w:left="0" w:firstLine="480"/>
        <w:pageBreakBefore w:val="0"/>
        <w:spacing w:line="560" w:lineRule="exact"/>
        <w:widowControl w:val="off"/>
        <w:rPr>
          <w:rFonts w:hint="eastAsia" w:ascii="仿宋" w:hAnsi="仿宋" w:eastAsia="仿宋" w:cs="仿宋"/>
          <w:color w:val="auto"/>
          <w:sz w:val="24"/>
          <w:szCs w:val="24"/>
          <w:highlight w:val="none"/>
        </w:rPr>
      </w:pPr>
      <w:r/>
      <w:bookmarkStart w:id="108" w:name="_Toc14577355"/>
      <w:r/>
      <w:bookmarkStart w:id="109" w:name="_Toc49090508"/>
      <w:r>
        <w:rPr>
          <w:rFonts w:hint="eastAsia" w:ascii="仿宋" w:hAnsi="仿宋" w:eastAsia="仿宋" w:cs="仿宋"/>
          <w:color w:val="auto"/>
          <w:sz w:val="24"/>
          <w:szCs w:val="24"/>
          <w:highlight w:val="none"/>
        </w:rPr>
        <w:t xml:space="preserve">11.1 投标人应按照法律、法规、规章和规范性文件以及招标文件要求提交证明文件，证明其及投标标的符合招标文件规定。</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招标文件对证明文件无明确形式要求的，证明文件可以以文字资料、图纸和数据等形式提交。</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12、投标分项报价</w:t>
      </w:r>
      <w:bookmarkEnd w:id="108"/>
      <w:r/>
      <w:bookmarkStart w:id="110" w:name="_Hlt26670373"/>
      <w:r/>
      <w:bookmarkEnd w:id="110"/>
      <w:r>
        <w:rPr>
          <w:rFonts w:hint="eastAsia" w:ascii="仿宋" w:hAnsi="仿宋" w:eastAsia="仿宋" w:cs="仿宋"/>
          <w:b/>
          <w:bCs/>
          <w:color w:val="auto"/>
          <w:sz w:val="24"/>
          <w:szCs w:val="24"/>
          <w:highlight w:val="none"/>
        </w:rPr>
        <w:t xml:space="preserve">表</w:t>
      </w:r>
      <w:bookmarkEnd w:id="109"/>
      <w:r/>
      <w:bookmarkStart w:id="111" w:name="_Hlt26954846"/>
      <w:r/>
      <w:bookmarkEnd w:id="111"/>
      <w:r/>
      <w:bookmarkStart w:id="112" w:name="_Hlt26670482"/>
      <w:r/>
      <w:bookmarkEnd w:id="112"/>
      <w:r/>
      <w:bookmarkStart w:id="113" w:name="_Hlt26954844"/>
      <w:r/>
      <w:bookmarkEnd w:id="113"/>
      <w:r/>
      <w:bookmarkStart w:id="114" w:name="_Hlt26670403"/>
      <w:r/>
      <w:bookmarkEnd w:id="114"/>
      <w:r/>
      <w:bookmarkStart w:id="115" w:name="_Hlt26954731"/>
      <w:r/>
      <w:bookmarkEnd w:id="115"/>
      <w:r/>
      <w:bookmarkStart w:id="116" w:name="_Hlt26954842"/>
      <w:r/>
      <w:bookmarkEnd w:id="116"/>
      <w:r/>
      <w:bookmarkStart w:id="117" w:name="_Hlt26954848"/>
      <w:r/>
      <w:bookmarkEnd w:id="117"/>
      <w:r/>
      <w:bookmarkStart w:id="118" w:name="_Hlt26668983"/>
      <w:r/>
      <w:bookmarkEnd w:id="118"/>
      <w:r/>
      <w:bookmarkStart w:id="119" w:name="_Hlt26670486"/>
      <w:r/>
      <w:bookmarkEnd w:id="119"/>
      <w:r/>
      <w:bookmarkStart w:id="120" w:name="_Hlt26670425"/>
      <w:r/>
      <w:bookmarkEnd w:id="120"/>
      <w:r/>
      <w:r/>
    </w:p>
    <w:p>
      <w:pPr>
        <w:ind w:left="0"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12.1 投标人应按照招标文件规定格式填报投标分项报价表。</w:t>
      </w:r>
      <w:r/>
    </w:p>
    <w:p>
      <w:pPr>
        <w:ind w:left="0"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12.3本项目不接受备选的投标方案或有选择的报价，只允许有一个报价。投标报价内容包括：服务本身、人工费、服务费</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税金以及交付使用过程中涉及到的其他一切费用。</w:t>
      </w:r>
      <w:r/>
    </w:p>
    <w:p>
      <w:pPr>
        <w:pStyle w:val="895"/>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13、技术要求响应及偏离表、商务要求响应及偏离表</w:t>
      </w:r>
      <w:r/>
    </w:p>
    <w:p>
      <w:pPr>
        <w:ind w:left="0" w:firstLine="480"/>
        <w:pageBreakBefore w:val="0"/>
        <w:spacing w:line="560" w:lineRule="exact"/>
        <w:widowControl w:val="off"/>
        <w:rPr>
          <w:rFonts w:hint="eastAsia" w:ascii="仿宋" w:hAnsi="仿宋" w:eastAsia="仿宋" w:cs="仿宋"/>
          <w:color w:val="auto"/>
          <w:sz w:val="24"/>
          <w:szCs w:val="24"/>
          <w:highlight w:val="none"/>
          <w:lang w:val="zh-CN"/>
        </w:rPr>
      </w:pPr>
      <w:r/>
      <w:bookmarkStart w:id="121" w:name="_Toc49090510"/>
      <w:r/>
      <w:bookmarkStart w:id="122" w:name="_Toc14577359"/>
      <w:r>
        <w:rPr>
          <w:rFonts w:hint="eastAsia" w:ascii="仿宋" w:hAnsi="仿宋" w:eastAsia="仿宋" w:cs="仿宋"/>
          <w:bCs/>
          <w:color w:val="auto"/>
          <w:sz w:val="24"/>
          <w:szCs w:val="24"/>
          <w:highlight w:val="none"/>
          <w:lang w:val="zh-CN"/>
        </w:rPr>
        <w:t xml:space="preserve">13.1</w:t>
      </w:r>
      <w:r>
        <w:rPr>
          <w:rFonts w:hint="eastAsia" w:ascii="仿宋" w:hAnsi="仿宋" w:eastAsia="仿宋" w:cs="仿宋"/>
          <w:color w:val="auto"/>
          <w:sz w:val="24"/>
          <w:szCs w:val="24"/>
          <w:highlight w:val="none"/>
          <w:lang w:val="zh-CN"/>
        </w:rPr>
        <w:t xml:space="preserve"> 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13.2 投标人可在投标文件中提供认为需要的其他技术文件或说明。</w:t>
      </w:r>
      <w:r/>
    </w:p>
    <w:p>
      <w:pPr>
        <w:pStyle w:val="895"/>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14、投标声明及承诺函和开标一览表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14.1</w:t>
      </w:r>
      <w:r>
        <w:rPr>
          <w:rFonts w:hint="eastAsia" w:ascii="仿宋" w:hAnsi="仿宋" w:eastAsia="仿宋" w:cs="仿宋"/>
          <w:color w:val="auto"/>
          <w:sz w:val="24"/>
          <w:szCs w:val="24"/>
          <w:highlight w:val="none"/>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 对于采用货币报价的项目，</w:t>
      </w:r>
      <w:r>
        <w:rPr>
          <w:rFonts w:hint="eastAsia" w:ascii="仿宋" w:hAnsi="仿宋" w:eastAsia="仿宋" w:cs="仿宋"/>
          <w:bCs/>
          <w:color w:val="auto"/>
          <w:sz w:val="24"/>
          <w:szCs w:val="24"/>
          <w:highlight w:val="none"/>
        </w:rPr>
        <w:t xml:space="preserve">开标一览表中的投标总报价应与投标分项报价表中的投标总报价一致，如不一致，</w:t>
      </w:r>
      <w:r>
        <w:rPr>
          <w:rFonts w:hint="eastAsia" w:ascii="仿宋" w:hAnsi="仿宋" w:eastAsia="仿宋" w:cs="仿宋"/>
          <w:color w:val="auto"/>
          <w:sz w:val="24"/>
          <w:szCs w:val="24"/>
          <w:highlight w:val="none"/>
        </w:rPr>
        <w:t xml:space="preserve">不作为无效投标处理</w:t>
      </w:r>
      <w:r>
        <w:rPr>
          <w:rFonts w:hint="eastAsia" w:ascii="仿宋" w:hAnsi="仿宋" w:eastAsia="仿宋" w:cs="仿宋"/>
          <w:bCs/>
          <w:color w:val="auto"/>
          <w:sz w:val="24"/>
          <w:szCs w:val="24"/>
          <w:highlight w:val="none"/>
        </w:rPr>
        <w:t xml:space="preserve">，但评标时按开标一览表中价格为准</w:t>
      </w:r>
      <w:r>
        <w:rPr>
          <w:rFonts w:hint="eastAsia" w:ascii="仿宋" w:hAnsi="仿宋" w:eastAsia="仿宋" w:cs="仿宋"/>
          <w:bCs/>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14.</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报价注意事项：</w:t>
      </w:r>
      <w:r>
        <w:rPr>
          <w:rFonts w:hint="eastAsia" w:ascii="仿宋" w:hAnsi="仿宋" w:eastAsia="仿宋" w:cs="仿宋"/>
          <w:bCs/>
          <w:color w:val="auto"/>
          <w:sz w:val="24"/>
          <w:szCs w:val="24"/>
          <w:highlight w:val="none"/>
          <w:lang w:eastAsia="zh-CN"/>
        </w:rPr>
        <w:t xml:space="preserve">投标价格一律以人民币计算，以元为单位标注，最多保留至小数点后两位，招标文件</w:t>
      </w:r>
      <w:r>
        <w:rPr>
          <w:rFonts w:hint="eastAsia" w:ascii="仿宋" w:hAnsi="仿宋" w:eastAsia="仿宋" w:cs="仿宋"/>
          <w:bCs/>
          <w:color w:val="auto"/>
          <w:sz w:val="24"/>
          <w:szCs w:val="24"/>
          <w:highlight w:val="none"/>
          <w:lang w:val="en-US" w:eastAsia="zh-CN"/>
        </w:rPr>
        <w:t xml:space="preserve">另</w:t>
      </w:r>
      <w:r>
        <w:rPr>
          <w:rFonts w:hint="eastAsia" w:ascii="仿宋" w:hAnsi="仿宋" w:eastAsia="仿宋" w:cs="仿宋"/>
          <w:bCs/>
          <w:color w:val="auto"/>
          <w:sz w:val="24"/>
          <w:szCs w:val="24"/>
          <w:highlight w:val="none"/>
          <w:lang w:eastAsia="zh-CN"/>
        </w:rPr>
        <w:t xml:space="preserve">有规定的按招标文件执行</w:t>
      </w:r>
      <w:r>
        <w:rPr>
          <w:rFonts w:hint="eastAsia" w:ascii="仿宋" w:hAnsi="仿宋" w:eastAsia="仿宋" w:cs="仿宋"/>
          <w:b/>
          <w:bCs/>
          <w:color w:val="auto"/>
          <w:sz w:val="24"/>
          <w:szCs w:val="24"/>
          <w:highlight w:val="none"/>
        </w:rPr>
        <w:t xml:space="preserve">。</w:t>
      </w:r>
      <w:bookmarkEnd w:id="121"/>
      <w:r/>
      <w:bookmarkEnd w:id="122"/>
      <w:r/>
      <w:r/>
    </w:p>
    <w:p>
      <w:pPr>
        <w:ind w:left="0"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注：因苏采云系统原因，“开标一览表”中的“投标报价”请按照“承办服务费”的报价填写，本项目以单价形式进行报价。</w:t>
      </w:r>
      <w:r/>
    </w:p>
    <w:p>
      <w:pPr>
        <w:pStyle w:val="895"/>
        <w:ind w:left="0" w:firstLine="480"/>
        <w:pageBreakBefore w:val="0"/>
        <w:spacing w:before="0" w:after="0" w:line="560" w:lineRule="exact"/>
        <w:widowControl w:val="off"/>
        <w:rPr>
          <w:rFonts w:hint="eastAsia" w:ascii="仿宋" w:hAnsi="仿宋" w:eastAsia="仿宋" w:cs="仿宋"/>
          <w:b/>
          <w:bCs/>
          <w:color w:val="auto"/>
          <w:sz w:val="24"/>
          <w:szCs w:val="24"/>
          <w:highlight w:val="none"/>
        </w:rPr>
      </w:pPr>
      <w:r/>
      <w:bookmarkStart w:id="123" w:name="_Hlt26954734"/>
      <w:r/>
      <w:bookmarkEnd w:id="123"/>
      <w:r/>
      <w:bookmarkStart w:id="124" w:name="_Hlt26954850"/>
      <w:r/>
      <w:bookmarkEnd w:id="124"/>
      <w:r/>
      <w:bookmarkStart w:id="125" w:name="_Hlt26670489"/>
      <w:r/>
      <w:bookmarkEnd w:id="125"/>
      <w:r/>
      <w:bookmarkStart w:id="126" w:name="_Toc14577360"/>
      <w:r/>
      <w:bookmarkStart w:id="127" w:name="_Toc49090511"/>
      <w:r>
        <w:rPr>
          <w:rFonts w:hint="eastAsia" w:ascii="仿宋" w:hAnsi="仿宋" w:eastAsia="仿宋" w:cs="仿宋"/>
          <w:b/>
          <w:bCs/>
          <w:color w:val="auto"/>
          <w:sz w:val="24"/>
          <w:szCs w:val="24"/>
          <w:highlight w:val="none"/>
        </w:rPr>
        <w:t xml:space="preserve">15、投标有效期</w:t>
      </w:r>
      <w:bookmarkEnd w:id="126"/>
      <w:r/>
      <w:bookmarkEnd w:id="127"/>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15.1</w:t>
      </w:r>
      <w:r>
        <w:rPr>
          <w:rFonts w:hint="eastAsia" w:ascii="仿宋" w:hAnsi="仿宋" w:eastAsia="仿宋" w:cs="仿宋"/>
          <w:bCs/>
          <w:color w:val="auto"/>
          <w:sz w:val="24"/>
          <w:szCs w:val="24"/>
          <w:highlight w:val="none"/>
        </w:rPr>
        <w:t xml:space="preserve"> 投标有效期为开标之日后</w:t>
      </w:r>
      <w:r>
        <w:rPr>
          <w:rFonts w:hint="eastAsia" w:ascii="仿宋" w:hAnsi="仿宋" w:eastAsia="仿宋" w:cs="仿宋"/>
          <w:b/>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。投标有效期比规定短的将被视为未实质性响应招标文件而予以拒绝。</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16、投标有效期的延长</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16.1</w:t>
      </w:r>
      <w:r>
        <w:rPr>
          <w:rFonts w:hint="eastAsia" w:ascii="仿宋" w:hAnsi="仿宋" w:eastAsia="仿宋" w:cs="仿宋"/>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同意延长投标有效期的投标人既不能要求也不允许修改其投标文件</w:t>
      </w:r>
      <w:r>
        <w:rPr>
          <w:rFonts w:hint="eastAsia" w:ascii="仿宋" w:hAnsi="仿宋" w:eastAsia="仿宋" w:cs="仿宋"/>
          <w:color w:val="auto"/>
          <w:sz w:val="24"/>
          <w:szCs w:val="24"/>
          <w:highlight w:val="none"/>
        </w:rPr>
        <w:t xml:space="preserve">，同时受投标有效期约束的所有权利与义务均延长至新的有效期</w:t>
      </w:r>
      <w:r>
        <w:rPr>
          <w:rFonts w:hint="eastAsia" w:ascii="仿宋" w:hAnsi="仿宋" w:eastAsia="仿宋" w:cs="仿宋"/>
          <w:bCs/>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16.2中标人的投标文件作为项目服务合同的附件，其有效期至中标人全部合同义务履行完毕为止。</w:t>
      </w:r>
      <w:r/>
    </w:p>
    <w:p>
      <w:pPr>
        <w:pStyle w:val="891"/>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28" w:name="_Hlt26954739"/>
      <w:r/>
      <w:bookmarkEnd w:id="128"/>
      <w:r/>
      <w:bookmarkStart w:id="129" w:name="_Hlt26954852"/>
      <w:r/>
      <w:bookmarkEnd w:id="129"/>
      <w:r/>
      <w:bookmarkStart w:id="130" w:name="_Toc120614217"/>
      <w:r/>
      <w:bookmarkStart w:id="131" w:name="_Toc20823296"/>
      <w:r/>
      <w:bookmarkStart w:id="132" w:name="_Toc513029224"/>
      <w:r/>
      <w:bookmarkStart w:id="133" w:name="_Toc16938540"/>
      <w:r>
        <w:rPr>
          <w:rFonts w:hint="eastAsia" w:ascii="仿宋" w:hAnsi="仿宋" w:eastAsia="仿宋" w:cs="仿宋"/>
          <w:color w:val="auto"/>
          <w:sz w:val="24"/>
          <w:szCs w:val="24"/>
          <w:highlight w:val="none"/>
        </w:rPr>
        <w:t xml:space="preserve">四、投标文件的递交</w:t>
      </w:r>
      <w:bookmarkEnd w:id="130"/>
      <w:r/>
      <w:bookmarkEnd w:id="131"/>
      <w:r/>
      <w:bookmarkEnd w:id="132"/>
      <w:r/>
      <w:bookmarkEnd w:id="133"/>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34" w:name="_Toc16938541"/>
      <w:r/>
      <w:bookmarkStart w:id="135" w:name="_Toc513029225"/>
      <w:r/>
      <w:bookmarkStart w:id="136" w:name="_Toc20823297"/>
      <w:r/>
      <w:bookmarkStart w:id="137" w:name="_Toc462564084"/>
      <w:r>
        <w:rPr>
          <w:rFonts w:hint="eastAsia" w:ascii="仿宋" w:hAnsi="仿宋" w:eastAsia="仿宋" w:cs="仿宋"/>
          <w:b w:val="0"/>
          <w:bCs w:val="0"/>
          <w:color w:val="auto"/>
          <w:sz w:val="24"/>
          <w:szCs w:val="24"/>
          <w:highlight w:val="none"/>
        </w:rPr>
        <w:t xml:space="preserve">17、投标文件</w:t>
      </w:r>
      <w:bookmarkEnd w:id="134"/>
      <w:r/>
      <w:bookmarkEnd w:id="135"/>
      <w:r/>
      <w:bookmarkEnd w:id="136"/>
      <w:r/>
      <w:bookmarkEnd w:id="137"/>
      <w:r>
        <w:rPr>
          <w:rFonts w:hint="eastAsia" w:ascii="仿宋" w:hAnsi="仿宋" w:eastAsia="仿宋" w:cs="仿宋"/>
          <w:b w:val="0"/>
          <w:bCs w:val="0"/>
          <w:color w:val="auto"/>
          <w:sz w:val="24"/>
          <w:szCs w:val="24"/>
          <w:highlight w:val="none"/>
        </w:rPr>
        <w:t xml:space="preserve">的递交</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17.1投标人应在招标文件规定的投标截止时间前提交投标文件并将电子投标文件上传至“苏采云”系统对应的本次开标采购包中。除招标文件另有规定外，投标人所提交的投标文件不予退还。</w:t>
      </w:r>
      <w:bookmarkStart w:id="138" w:name="_Toc513029226"/>
      <w:r/>
      <w:bookmarkStart w:id="139" w:name="_Toc20823298"/>
      <w:r/>
      <w:bookmarkStart w:id="140" w:name="_Toc16938542"/>
      <w:r/>
      <w:r/>
    </w:p>
    <w:p>
      <w:pPr>
        <w:ind w:left="0" w:firstLine="482"/>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17.2投标人通过“苏采云”系统不见面开标大厅在线参与开标活动。（具体操作详见《“苏采云”系统投标人操作手册》，网址链接http://www.ccgp-jiangsu.gov.cn//webfile/jiangsu/202311/1699268553318052447.pdf）</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18、投标截止</w:t>
      </w:r>
      <w:bookmarkEnd w:id="138"/>
      <w:r/>
      <w:bookmarkEnd w:id="139"/>
      <w:r/>
      <w:bookmarkEnd w:id="140"/>
      <w:r>
        <w:rPr>
          <w:rFonts w:hint="eastAsia" w:ascii="仿宋" w:hAnsi="仿宋" w:eastAsia="仿宋" w:cs="仿宋"/>
          <w:b w:val="0"/>
          <w:bCs w:val="0"/>
          <w:color w:val="auto"/>
          <w:sz w:val="24"/>
          <w:szCs w:val="24"/>
          <w:highlight w:val="none"/>
        </w:rPr>
        <w:t xml:space="preserve">时间</w:t>
      </w:r>
      <w:r/>
    </w:p>
    <w:p>
      <w:pPr>
        <w:ind w:left="0" w:firstLine="480"/>
        <w:pageBreakBefore w:val="0"/>
        <w:spacing w:line="560" w:lineRule="exact"/>
        <w:widowControl w:val="off"/>
        <w:rPr>
          <w:rFonts w:hint="eastAsia" w:ascii="仿宋" w:hAnsi="仿宋" w:eastAsia="仿宋" w:cs="仿宋"/>
          <w:bCs/>
          <w:iCs/>
          <w:color w:val="auto"/>
          <w:sz w:val="24"/>
          <w:szCs w:val="24"/>
          <w:highlight w:val="none"/>
        </w:rPr>
      </w:pPr>
      <w:r>
        <w:rPr>
          <w:rFonts w:hint="eastAsia" w:ascii="仿宋" w:hAnsi="仿宋" w:eastAsia="仿宋" w:cs="仿宋"/>
          <w:iCs/>
          <w:color w:val="auto"/>
          <w:sz w:val="24"/>
          <w:szCs w:val="24"/>
          <w:highlight w:val="none"/>
        </w:rPr>
        <w:t xml:space="preserve">18.1</w:t>
      </w:r>
      <w:r>
        <w:rPr>
          <w:rFonts w:hint="eastAsia" w:ascii="仿宋" w:hAnsi="仿宋" w:eastAsia="仿宋" w:cs="仿宋"/>
          <w:bCs/>
          <w:iCs/>
          <w:color w:val="auto"/>
          <w:sz w:val="24"/>
          <w:szCs w:val="24"/>
          <w:highlight w:val="none"/>
        </w:rPr>
        <w:t xml:space="preserve">投标人上传电子投标文件的时间不得迟于招标公告中规定的投标截止时间。</w:t>
      </w:r>
      <w:r/>
    </w:p>
    <w:p>
      <w:pPr>
        <w:ind w:left="0" w:firstLine="480"/>
        <w:pageBreakBefore w:val="0"/>
        <w:spacing w:line="560" w:lineRule="exact"/>
        <w:widowControl w:val="off"/>
        <w:rPr>
          <w:rFonts w:hint="eastAsia" w:ascii="仿宋" w:hAnsi="仿宋" w:eastAsia="仿宋" w:cs="仿宋"/>
          <w:bCs/>
          <w:iCs/>
          <w:color w:val="auto"/>
          <w:sz w:val="24"/>
          <w:szCs w:val="24"/>
          <w:highlight w:val="none"/>
        </w:rPr>
      </w:pPr>
      <w:r>
        <w:rPr>
          <w:rFonts w:hint="eastAsia" w:ascii="仿宋" w:hAnsi="仿宋" w:eastAsia="仿宋" w:cs="仿宋"/>
          <w:bCs/>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18.2</w:t>
      </w:r>
      <w:r>
        <w:rPr>
          <w:rFonts w:hint="eastAsia" w:ascii="仿宋" w:hAnsi="仿宋" w:eastAsia="仿宋" w:cs="仿宋"/>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41" w:name="_Toc513029227"/>
      <w:r/>
      <w:bookmarkStart w:id="142" w:name="_Toc16938543"/>
      <w:r/>
      <w:bookmarkStart w:id="143" w:name="_Toc20823299"/>
      <w:r>
        <w:rPr>
          <w:rFonts w:hint="eastAsia" w:ascii="仿宋" w:hAnsi="仿宋" w:eastAsia="仿宋" w:cs="仿宋"/>
          <w:b w:val="0"/>
          <w:bCs w:val="0"/>
          <w:color w:val="auto"/>
          <w:sz w:val="24"/>
          <w:szCs w:val="24"/>
          <w:highlight w:val="none"/>
        </w:rPr>
        <w:t xml:space="preserve">19、投标文件</w:t>
      </w:r>
      <w:bookmarkEnd w:id="141"/>
      <w:r/>
      <w:bookmarkEnd w:id="142"/>
      <w:r/>
      <w:bookmarkEnd w:id="143"/>
      <w:r>
        <w:rPr>
          <w:rFonts w:hint="eastAsia" w:ascii="仿宋" w:hAnsi="仿宋" w:eastAsia="仿宋" w:cs="仿宋"/>
          <w:b w:val="0"/>
          <w:bCs w:val="0"/>
          <w:color w:val="auto"/>
          <w:sz w:val="24"/>
          <w:szCs w:val="24"/>
          <w:highlight w:val="none"/>
        </w:rPr>
        <w:t xml:space="preserve">的拒收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 </w:t>
      </w:r>
      <w:r>
        <w:rPr>
          <w:rFonts w:hint="eastAsia" w:ascii="仿宋" w:hAnsi="仿宋" w:eastAsia="仿宋" w:cs="仿宋"/>
          <w:bCs/>
          <w:color w:val="auto"/>
          <w:sz w:val="24"/>
          <w:szCs w:val="24"/>
          <w:highlight w:val="none"/>
        </w:rPr>
        <w:t xml:space="preserve">采购代理机构拒绝接收在招标文件规定的投标截止时间后上传的投标文件或对投标报价或其他实质性内容修正的文件。</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44" w:name="_Toc20823300"/>
      <w:r/>
      <w:bookmarkStart w:id="145" w:name="_Toc16938544"/>
      <w:r/>
      <w:bookmarkStart w:id="146" w:name="_Toc513029228"/>
      <w:r>
        <w:rPr>
          <w:rFonts w:hint="eastAsia" w:ascii="仿宋" w:hAnsi="仿宋" w:eastAsia="仿宋" w:cs="仿宋"/>
          <w:b w:val="0"/>
          <w:bCs w:val="0"/>
          <w:color w:val="auto"/>
          <w:sz w:val="24"/>
          <w:szCs w:val="24"/>
          <w:highlight w:val="none"/>
        </w:rPr>
        <w:t xml:space="preserve">20、投标文件的撤回和修改</w:t>
      </w:r>
      <w:bookmarkEnd w:id="144"/>
      <w:r/>
      <w:bookmarkEnd w:id="145"/>
      <w:r/>
      <w:bookmarkEnd w:id="146"/>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 投标文件的撤回</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 电子投标文件的撤回</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投标人可在投标截止时间前，撤回其电子投标文件，具体操作方法见《操作手册》。</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20.1.2 投标人撤回电子投标文件，则认为其不再参与本项目投标活动。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 投标文件的修改</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20.2.1投标人可在投标截止时间前，对其电子投标文件进行修改，具体操作方法见《操作手册》。</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20.2.2</w:t>
      </w:r>
      <w:r>
        <w:rPr>
          <w:rFonts w:hint="eastAsia" w:ascii="仿宋" w:hAnsi="仿宋" w:eastAsia="仿宋" w:cs="仿宋"/>
          <w:bCs/>
          <w:color w:val="auto"/>
          <w:sz w:val="24"/>
          <w:szCs w:val="24"/>
          <w:highlight w:val="none"/>
        </w:rPr>
        <w:t xml:space="preserve"> 在投标截止时间之后，投标人不得对其电子投标文件作任何修改。</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20.3</w:t>
      </w:r>
      <w:r>
        <w:rPr>
          <w:rFonts w:hint="eastAsia" w:ascii="仿宋" w:hAnsi="仿宋" w:eastAsia="仿宋" w:cs="仿宋"/>
          <w:bCs/>
          <w:color w:val="auto"/>
          <w:sz w:val="24"/>
          <w:szCs w:val="24"/>
          <w:highlight w:val="none"/>
        </w:rPr>
        <w:t xml:space="preserve">在投标截止时间至招标文件中规定的投标有效期满之间的这段时间内，投标人不得撤回其投标。</w:t>
      </w:r>
      <w:r/>
    </w:p>
    <w:p>
      <w:pPr>
        <w:pStyle w:val="891"/>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47" w:name="_Toc20823301"/>
      <w:r/>
      <w:bookmarkStart w:id="148" w:name="_Toc16938545"/>
      <w:r/>
      <w:bookmarkStart w:id="149" w:name="_Toc120614218"/>
      <w:r/>
      <w:bookmarkStart w:id="150" w:name="_Toc513029229"/>
      <w:r>
        <w:rPr>
          <w:rFonts w:hint="eastAsia" w:ascii="仿宋" w:hAnsi="仿宋" w:eastAsia="仿宋" w:cs="仿宋"/>
          <w:color w:val="auto"/>
          <w:sz w:val="24"/>
          <w:szCs w:val="24"/>
          <w:highlight w:val="none"/>
        </w:rPr>
        <w:t xml:space="preserve">五、开标与评标</w:t>
      </w:r>
      <w:bookmarkEnd w:id="147"/>
      <w:r/>
      <w:bookmarkEnd w:id="148"/>
      <w:r/>
      <w:bookmarkEnd w:id="149"/>
      <w:r/>
      <w:bookmarkEnd w:id="150"/>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51" w:name="_Toc513029230"/>
      <w:r/>
      <w:bookmarkStart w:id="152" w:name="_Toc20823302"/>
      <w:r/>
      <w:bookmarkStart w:id="153" w:name="_Toc16938546"/>
      <w:r>
        <w:rPr>
          <w:rFonts w:hint="eastAsia" w:ascii="仿宋" w:hAnsi="仿宋" w:eastAsia="仿宋" w:cs="仿宋"/>
          <w:b w:val="0"/>
          <w:bCs w:val="0"/>
          <w:color w:val="auto"/>
          <w:sz w:val="24"/>
          <w:szCs w:val="24"/>
          <w:highlight w:val="none"/>
        </w:rPr>
        <w:t xml:space="preserve">21、开标</w:t>
      </w:r>
      <w:bookmarkEnd w:id="151"/>
      <w:r/>
      <w:bookmarkEnd w:id="152"/>
      <w:r/>
      <w:bookmarkEnd w:id="153"/>
      <w:r/>
      <w:r/>
    </w:p>
    <w:p>
      <w:pPr>
        <w:pStyle w:val="998"/>
        <w:ind w:left="0" w:firstLine="480"/>
        <w:pageBreakBefore w:val="0"/>
        <w:spacing w:line="560" w:lineRule="exact"/>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21.1</w:t>
      </w:r>
      <w:r>
        <w:rPr>
          <w:rFonts w:hint="eastAsia" w:ascii="仿宋" w:hAnsi="仿宋" w:eastAsia="仿宋" w:cs="仿宋"/>
          <w:bCs/>
          <w:color w:val="auto"/>
          <w:sz w:val="24"/>
          <w:szCs w:val="24"/>
          <w:highlight w:val="none"/>
        </w:rPr>
        <w:t xml:space="preserve">采购代理机构将在招标公告中规定的时间和地点组织公开开标</w:t>
      </w:r>
      <w:r>
        <w:rPr>
          <w:rFonts w:hint="eastAsia" w:ascii="仿宋" w:hAnsi="仿宋" w:eastAsia="仿宋" w:cs="仿宋"/>
          <w:color w:val="auto"/>
          <w:sz w:val="24"/>
          <w:szCs w:val="24"/>
          <w:highlight w:val="none"/>
          <w:lang w:val="en-US"/>
        </w:rPr>
        <w:t xml:space="preserve">。投标人应当按照《“苏采云”系统</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lang w:val="en-US"/>
        </w:rPr>
        <w:t xml:space="preserve">操作手册》规定，参加开标活动和在“苏采云”系统规定的时间内对投标文件进行解密。</w:t>
      </w:r>
      <w:r/>
    </w:p>
    <w:p>
      <w:pPr>
        <w:pStyle w:val="998"/>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21.3投标人在开标过程中涉及到的投标文件解密、开标结果确认等工作，应按照《操作手册》规定执行。</w:t>
      </w:r>
      <w:r>
        <w:rPr>
          <w:rFonts w:hint="eastAsia" w:ascii="仿宋" w:hAnsi="仿宋" w:eastAsia="仿宋" w:cs="仿宋"/>
          <w:b/>
          <w:bCs w:val="0"/>
          <w:color w:val="auto"/>
          <w:sz w:val="24"/>
          <w:szCs w:val="24"/>
          <w:highlight w:val="none"/>
        </w:rPr>
        <w:t xml:space="preserve">投标人用于解密的CA证书应为该投标文件生成加密、上传的同一把CA证书。投标人应登录“苏采云”系统进入“开标大厅”，在系统约定时间内使用CA证书解密，未成功解密的视为放弃投标</w:t>
      </w:r>
      <w:r>
        <w:rPr>
          <w:rFonts w:hint="eastAsia" w:ascii="仿宋" w:hAnsi="仿宋" w:eastAsia="仿宋" w:cs="仿宋"/>
          <w:b/>
          <w:bCs w:val="0"/>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left="0" w:firstLine="480"/>
        <w:pageBreakBefore w:val="0"/>
        <w:spacing w:line="56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21.5投标人在开、评标全过程中应保持通讯畅通，及时登录“苏采云”系统查阅、答复相关信息。</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54" w:name="_Toc513029231"/>
      <w:r/>
      <w:bookmarkStart w:id="155" w:name="_Toc16938547"/>
      <w:r/>
      <w:bookmarkStart w:id="156" w:name="_Toc20823303"/>
      <w:r>
        <w:rPr>
          <w:rFonts w:hint="eastAsia" w:ascii="仿宋" w:hAnsi="仿宋" w:eastAsia="仿宋" w:cs="仿宋"/>
          <w:b w:val="0"/>
          <w:bCs w:val="0"/>
          <w:color w:val="auto"/>
          <w:sz w:val="24"/>
          <w:szCs w:val="24"/>
          <w:highlight w:val="none"/>
        </w:rPr>
        <w:t xml:space="preserve">22、评标委员会</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w:t>
      </w:r>
      <w:r>
        <w:rPr>
          <w:rFonts w:hint="eastAsia" w:ascii="仿宋" w:hAnsi="仿宋" w:eastAsia="仿宋" w:cs="仿宋"/>
          <w:b/>
          <w:color w:val="auto"/>
          <w:sz w:val="24"/>
          <w:szCs w:val="24"/>
          <w:highlight w:val="none"/>
        </w:rPr>
        <w:t xml:space="preserve"> </w:t>
      </w:r>
      <w:r>
        <w:rPr>
          <w:rFonts w:hint="eastAsia" w:ascii="仿宋" w:hAnsi="仿宋" w:eastAsia="仿宋" w:cs="仿宋"/>
          <w:b w:val="0"/>
          <w:bCs/>
          <w:color w:val="auto"/>
          <w:sz w:val="24"/>
          <w:szCs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23、评标过程的保密与公正</w:t>
      </w:r>
      <w:bookmarkEnd w:id="154"/>
      <w:r/>
      <w:bookmarkEnd w:id="155"/>
      <w:r/>
      <w:bookmarkEnd w:id="156"/>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23.1</w:t>
      </w:r>
      <w:r>
        <w:rPr>
          <w:rFonts w:hint="eastAsia" w:ascii="仿宋" w:hAnsi="仿宋" w:eastAsia="仿宋" w:cs="仿宋"/>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23.2在评标过程中，投标人不得以任何行为影响评标过程，否则其投标文件将被作为无效投标文件。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23.3采购代理机构和</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不向未中标的投标人解释未中标原因，也不公布评标过程中的相关细节。</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57" w:name="_Toc513029232"/>
      <w:r/>
      <w:bookmarkStart w:id="158" w:name="_Toc20823304"/>
      <w:r/>
      <w:bookmarkStart w:id="159" w:name="_Toc16938548"/>
      <w:r>
        <w:rPr>
          <w:rFonts w:hint="eastAsia" w:ascii="仿宋" w:hAnsi="仿宋" w:eastAsia="仿宋" w:cs="仿宋"/>
          <w:b w:val="0"/>
          <w:bCs w:val="0"/>
          <w:color w:val="auto"/>
          <w:sz w:val="24"/>
          <w:szCs w:val="24"/>
          <w:highlight w:val="none"/>
        </w:rPr>
        <w:t xml:space="preserve">24、投标文件的澄清</w:t>
      </w:r>
      <w:bookmarkEnd w:id="157"/>
      <w:r/>
      <w:bookmarkEnd w:id="158"/>
      <w:r/>
      <w:bookmarkEnd w:id="159"/>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24.1评标期间，</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对投标文件中含义不明确、同类问题表述不一致或者有明显文字和计算错误的内容，有权要求投标人作出必要的澄清、说明或者补正。</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并非对每个投标人都做澄清要求。</w:t>
      </w:r>
      <w:r/>
    </w:p>
    <w:p>
      <w:pPr>
        <w:pStyle w:val="998"/>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24.2对投标文件中含义不明确、同类问题表述不一致或者有明显文字和计算错误的内容，需要投标人进行澄清、说明和补正的，</w:t>
      </w:r>
      <w:r>
        <w:rPr>
          <w:rFonts w:hint="eastAsia" w:ascii="仿宋" w:hAnsi="仿宋" w:eastAsia="仿宋" w:cs="仿宋"/>
          <w:color w:val="auto"/>
          <w:sz w:val="24"/>
          <w:szCs w:val="24"/>
          <w:highlight w:val="none"/>
          <w:lang w:val="en-US"/>
        </w:rPr>
        <w:t xml:space="preserve">本项目投标人的澄清、说明或者补正采用线上澄清，</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将通过</w:t>
      </w:r>
      <w:r>
        <w:rPr>
          <w:rFonts w:hint="eastAsia" w:ascii="仿宋" w:hAnsi="仿宋" w:eastAsia="仿宋" w:cs="仿宋"/>
          <w:color w:val="auto"/>
          <w:sz w:val="24"/>
          <w:szCs w:val="24"/>
          <w:highlight w:val="none"/>
          <w:lang w:val="en-US"/>
        </w:rPr>
        <w:t xml:space="preserve">“苏采云”系统</w:t>
      </w:r>
      <w:r>
        <w:rPr>
          <w:rFonts w:hint="eastAsia" w:ascii="仿宋" w:hAnsi="仿宋" w:eastAsia="仿宋" w:cs="仿宋"/>
          <w:color w:val="auto"/>
          <w:sz w:val="24"/>
          <w:szCs w:val="24"/>
          <w:highlight w:val="none"/>
        </w:rPr>
        <w:t xml:space="preserve">向投标人发出“澄清要求函”，要求投标人作出必要的澄清、说明或者补正。投标人的澄清、说明或者补正应当采用书面形式且不得超出投标文件的范围或者改变投标文件的实质性内容。接到“澄清要求函”的投标人应当按照要求</w:t>
      </w:r>
      <w:r>
        <w:rPr>
          <w:rFonts w:hint="eastAsia" w:ascii="仿宋" w:hAnsi="仿宋" w:eastAsia="仿宋" w:cs="仿宋"/>
          <w:color w:val="auto"/>
          <w:sz w:val="24"/>
          <w:szCs w:val="24"/>
          <w:highlight w:val="none"/>
          <w:lang w:val="en-US"/>
        </w:rPr>
        <w:t xml:space="preserve">在规定时间内通过“苏采云”系统</w:t>
      </w:r>
      <w:r>
        <w:rPr>
          <w:rFonts w:hint="eastAsia" w:ascii="仿宋" w:hAnsi="仿宋" w:eastAsia="仿宋" w:cs="仿宋"/>
          <w:color w:val="auto"/>
          <w:sz w:val="24"/>
          <w:szCs w:val="24"/>
          <w:highlight w:val="none"/>
        </w:rPr>
        <w:t xml:space="preserve">中提交“澄清响应函”并加盖CA电子公章。澄清、说明和补正的内容作为投标文件的补充部分，具体操作方式见《操作手册》。</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24.3接到</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澄清、说明和补正要求的投标人如未按规定做出澄清、说明和补正，其风险由投标人自行承担。</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60" w:name="_Toc513029233"/>
      <w:r/>
      <w:bookmarkStart w:id="161" w:name="_Toc16938549"/>
      <w:r/>
      <w:bookmarkStart w:id="162" w:name="_Toc20823305"/>
      <w:r>
        <w:rPr>
          <w:rFonts w:hint="eastAsia" w:ascii="仿宋" w:hAnsi="仿宋" w:eastAsia="仿宋" w:cs="仿宋"/>
          <w:b w:val="0"/>
          <w:bCs w:val="0"/>
          <w:color w:val="auto"/>
          <w:sz w:val="24"/>
          <w:szCs w:val="24"/>
          <w:highlight w:val="none"/>
        </w:rPr>
        <w:t xml:space="preserve">25、对投标文件的初审</w:t>
      </w:r>
      <w:bookmarkEnd w:id="160"/>
      <w:r/>
      <w:bookmarkEnd w:id="161"/>
      <w:r/>
      <w:bookmarkEnd w:id="162"/>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25.1 </w:t>
      </w:r>
      <w:r>
        <w:rPr>
          <w:rFonts w:hint="eastAsia" w:ascii="仿宋" w:hAnsi="仿宋" w:eastAsia="仿宋" w:cs="仿宋"/>
          <w:bCs/>
          <w:color w:val="auto"/>
          <w:sz w:val="24"/>
          <w:szCs w:val="24"/>
          <w:highlight w:val="none"/>
        </w:rPr>
        <w:t xml:space="preserve">投标文件初审分为资格审查和符合性审查。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25.1.1资格审查：依据法律法规和招标文件的规定，</w:t>
      </w:r>
      <w:r>
        <w:rPr>
          <w:rFonts w:hint="eastAsia" w:ascii="仿宋" w:hAnsi="仿宋" w:eastAsia="仿宋" w:cs="仿宋"/>
          <w:color w:val="auto"/>
          <w:sz w:val="24"/>
          <w:szCs w:val="24"/>
          <w:highlight w:val="none"/>
        </w:rPr>
        <w:t xml:space="preserve">由采购人或其委托的代理机构对投标文件中的资格证明文件进行审查，以确定投标人是否具备投标资格。</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查询结果留存并归档。</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25.1.2符合性审查：依据招标文件的规定，由</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从投标文件的有效性、完整性和对招标文件的响应程度进行审查，以确定是否对招标文件的实质性要求作出响应。</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25.1.3对各投标人符合性审查过程中，对初步被认定为无效投标者，由</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组长或采购人代表将集体意见通过</w:t>
      </w:r>
      <w:r>
        <w:rPr>
          <w:rFonts w:hint="eastAsia" w:ascii="仿宋" w:hAnsi="仿宋" w:eastAsia="仿宋" w:cs="仿宋"/>
          <w:color w:val="auto"/>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25.2在详细评标之前，</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以少数服从多数的原则作出结论。评委决定投标文件的响应性只根据投标文件本身的内容，而不寻求外部的证据。</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25.3如果投标文件实质上没有响应招标文件的要求，</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将予以拒绝，投标人不得通过修改或撤销不合要求的偏离或保留而使其投标成为实质性响应的投标。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25.4</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将对确定为实质性响应的投标进行进一步审核，确定其是否有计算上或累加上的算术错误，修正错误的原则如下：</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25.5</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将按上述修正错误的方法调整投标文件中的投标报价，并通过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告知投标人，调整后的价格应对投标人具有约束力。如果投标人不接受修正后的价格，则其投标将被拒绝。</w:t>
      </w:r>
      <w:r/>
    </w:p>
    <w:p>
      <w:pPr>
        <w:ind w:left="0" w:firstLine="480"/>
        <w:pageBreakBefore w:val="0"/>
        <w:spacing w:line="560" w:lineRule="exact"/>
        <w:widowControl w:val="off"/>
        <w:rPr>
          <w:rFonts w:hint="eastAsia" w:ascii="仿宋" w:hAnsi="仿宋" w:eastAsia="仿宋" w:cs="仿宋"/>
          <w:color w:val="auto"/>
          <w:sz w:val="24"/>
          <w:szCs w:val="24"/>
          <w:highlight w:val="none"/>
        </w:rPr>
      </w:pPr>
      <w:r/>
      <w:bookmarkStart w:id="163" w:name="_Toc16938550"/>
      <w:r/>
      <w:bookmarkStart w:id="164" w:name="_Toc513029234"/>
      <w:r/>
      <w:bookmarkStart w:id="165" w:name="_Toc20823306"/>
      <w:r>
        <w:rPr>
          <w:rFonts w:hint="eastAsia" w:ascii="仿宋" w:hAnsi="仿宋" w:eastAsia="仿宋" w:cs="仿宋"/>
          <w:color w:val="auto"/>
          <w:sz w:val="24"/>
          <w:szCs w:val="24"/>
          <w:highlight w:val="none"/>
        </w:rPr>
        <w:t xml:space="preserve">评标过程中，不得去掉报价中的最高报价和最低报价。</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25.</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 异常低价投标审查</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25.</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.1评标过程中出现下列情形之一的，评标委员会应当启动异常低价投标审查程序：</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（1）投标报价低于采购项目预算50%的，即投标报价＜采购项目预算×50%；</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（2）投标报价低于采购项目最高限价45%的，即投标报价＜采购项目最高限价×45%；</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（3）评标委员会认定的供应商报价过低（含明显低于其他通过符合性审查投标人的报价）、有可能影响产品质量或者不能诚信履约的其他情形。</w:t>
      </w:r>
      <w:r/>
    </w:p>
    <w:p>
      <w:pPr>
        <w:ind w:left="0"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25.</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en-US" w:eastAsia="zh-CN"/>
        </w:rPr>
        <w:t xml:space="preserve">6.3</w:t>
      </w:r>
      <w:r>
        <w:rPr>
          <w:rFonts w:hint="eastAsia" w:ascii="仿宋" w:hAnsi="仿宋" w:eastAsia="仿宋" w:cs="仿宋"/>
          <w:color w:val="auto"/>
          <w:sz w:val="24"/>
          <w:szCs w:val="24"/>
          <w:highlight w:val="none"/>
        </w:rPr>
        <w:t xml:space="preserve"> 投标人在开、评标全过程中应随时保持系统在线，及时在“苏采云”系统查阅、答复相关信息。</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26、</w:t>
      </w:r>
      <w:bookmarkEnd w:id="163"/>
      <w:r/>
      <w:bookmarkEnd w:id="164"/>
      <w:r/>
      <w:bookmarkEnd w:id="165"/>
      <w:r>
        <w:rPr>
          <w:rFonts w:hint="eastAsia" w:ascii="仿宋" w:hAnsi="仿宋" w:eastAsia="仿宋" w:cs="仿宋"/>
          <w:b w:val="0"/>
          <w:bCs w:val="0"/>
          <w:color w:val="auto"/>
          <w:sz w:val="24"/>
          <w:szCs w:val="24"/>
          <w:highlight w:val="none"/>
        </w:rPr>
        <w:t xml:space="preserve">无效投标条款和废标条款</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bookmarkStart w:id="166" w:name="_Toc20823307"/>
      <w:r/>
      <w:bookmarkStart w:id="167" w:name="_Toc513029235"/>
      <w:r/>
      <w:bookmarkStart w:id="168" w:name="_Toc16938551"/>
      <w:r>
        <w:rPr>
          <w:rFonts w:hint="eastAsia" w:ascii="仿宋" w:hAnsi="仿宋" w:eastAsia="仿宋" w:cs="仿宋"/>
          <w:bCs/>
          <w:color w:val="auto"/>
          <w:sz w:val="24"/>
          <w:szCs w:val="24"/>
          <w:highlight w:val="none"/>
        </w:rPr>
        <w:t xml:space="preserve">26.1无效投标条款</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 投标人在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规定的时间内未成功解密电子投标文件的。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26.1.2 投标人未按照招标文件要求上传电子投标文件的。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26.1.3 投标人同一采购包提交两个（含两个）以上不同的投标报价的。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26.1.4 投标人不符合招标文件规定资格要求的或未按规定提交资质证件的。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26.1.5 投标人的报价超过了采购预算或最高限价的。</w:t>
      </w:r>
      <w:r/>
    </w:p>
    <w:p>
      <w:pPr>
        <w:ind w:left="0" w:firstLine="480"/>
        <w:pageBreakBefore w:val="0"/>
        <w:spacing w:line="560" w:lineRule="exact"/>
        <w:widowControl w:val="off"/>
        <w:rPr>
          <w:rFonts w:hint="eastAsia" w:ascii="仿宋" w:hAnsi="仿宋" w:eastAsia="仿宋" w:cs="仿宋"/>
          <w:bCs/>
          <w:i/>
          <w:color w:val="auto"/>
          <w:sz w:val="24"/>
          <w:szCs w:val="24"/>
          <w:highlight w:val="none"/>
          <w:u w:val="single"/>
        </w:rPr>
      </w:pPr>
      <w:r>
        <w:rPr>
          <w:rFonts w:hint="eastAsia" w:ascii="仿宋" w:hAnsi="仿宋" w:eastAsia="仿宋" w:cs="仿宋"/>
          <w:bCs/>
          <w:color w:val="auto"/>
          <w:sz w:val="24"/>
          <w:szCs w:val="24"/>
          <w:highlight w:val="none"/>
        </w:rPr>
        <w:t xml:space="preserve">26.1.6 未通过符合性审查的。</w:t>
      </w:r>
      <w:r/>
    </w:p>
    <w:p>
      <w:pPr>
        <w:ind w:left="0" w:firstLine="480"/>
        <w:pageBreakBefore w:val="0"/>
        <w:spacing w:line="560" w:lineRule="exact"/>
        <w:widowControl w:val="off"/>
        <w:rPr>
          <w:rFonts w:hint="eastAsia" w:ascii="仿宋" w:hAnsi="仿宋" w:eastAsia="仿宋" w:cs="仿宋"/>
          <w:bCs/>
          <w:i/>
          <w:color w:val="auto"/>
          <w:sz w:val="24"/>
          <w:szCs w:val="24"/>
          <w:highlight w:val="none"/>
          <w:u w:val="single"/>
        </w:rPr>
      </w:pPr>
      <w:r>
        <w:rPr>
          <w:rFonts w:hint="eastAsia" w:ascii="仿宋" w:hAnsi="仿宋" w:eastAsia="仿宋" w:cs="仿宋"/>
          <w:bCs/>
          <w:color w:val="auto"/>
          <w:sz w:val="24"/>
          <w:szCs w:val="24"/>
          <w:highlight w:val="none"/>
        </w:rPr>
        <w:t xml:space="preserve">26.1.7 投标文件出现重大偏离，不符合招标文件中规定的实质性要求的（★部分为实质性要求）。</w:t>
      </w:r>
      <w:r/>
    </w:p>
    <w:p>
      <w:pPr>
        <w:ind w:left="0" w:firstLine="480"/>
        <w:pageBreakBefore w:val="0"/>
        <w:spacing w:line="56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26.1.8 评标委员会启动异常低价投标审查后，投标人不提供书面说明、证明材料，或者评标委员会认为投标人提供的书面说明、证明材料不能证明其报价合理性的，</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应当将其作为无效投标处理</w:t>
      </w:r>
      <w:r>
        <w:rPr>
          <w:rFonts w:hint="eastAsia" w:ascii="仿宋" w:hAnsi="仿宋" w:eastAsia="仿宋" w:cs="仿宋"/>
          <w:bCs/>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 投标文件含有采购人不能接受的附加条件的。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26.1.11本项目采购产品被财政部、国家发改委、生态环境部等列入“节能产品品目清单”、“环境标志产品品目清单”强制采购范围，而</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zh-CN"/>
        </w:rPr>
        <w:t xml:space="preserve">人所</w:t>
      </w:r>
      <w:r>
        <w:rPr>
          <w:rFonts w:hint="eastAsia" w:ascii="仿宋" w:hAnsi="仿宋" w:eastAsia="仿宋" w:cs="仿宋"/>
          <w:color w:val="auto"/>
          <w:sz w:val="24"/>
          <w:szCs w:val="24"/>
          <w:highlight w:val="none"/>
        </w:rPr>
        <w:t xml:space="preserve">投</w:t>
      </w:r>
      <w:r>
        <w:rPr>
          <w:rFonts w:hint="eastAsia" w:ascii="仿宋" w:hAnsi="仿宋" w:eastAsia="仿宋" w:cs="仿宋"/>
          <w:color w:val="auto"/>
          <w:sz w:val="24"/>
          <w:szCs w:val="24"/>
          <w:highlight w:val="none"/>
          <w:lang w:val="zh-CN"/>
        </w:rPr>
        <w:t xml:space="preserve">产品不在强制采购范围内的。（所</w:t>
      </w:r>
      <w:r>
        <w:rPr>
          <w:rFonts w:hint="eastAsia" w:ascii="仿宋" w:hAnsi="仿宋" w:eastAsia="仿宋" w:cs="仿宋"/>
          <w:color w:val="auto"/>
          <w:sz w:val="24"/>
          <w:szCs w:val="24"/>
          <w:highlight w:val="none"/>
        </w:rPr>
        <w:t xml:space="preserve">投</w:t>
      </w:r>
      <w:r>
        <w:rPr>
          <w:rFonts w:hint="eastAsia" w:ascii="仿宋" w:hAnsi="仿宋" w:eastAsia="仿宋" w:cs="仿宋"/>
          <w:color w:val="auto"/>
          <w:sz w:val="24"/>
          <w:szCs w:val="24"/>
          <w:highlight w:val="none"/>
          <w:lang w:val="zh-CN"/>
        </w:rPr>
        <w:t xml:space="preserve">产品如属于政府强制采购节能产品品目清单范围内，</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26.1.12 投标文件未按照招标文件要求加盖CA电子公章的。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26.1.13 投标人有本招标文件规定的恶意串通投标情形的。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 其他法律、法规及本招标文件规定的属无效投标的情形。</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 废标条款</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26.2.1符合专业条件的投标人或者对招标文件作实质响应的投标人不足三家的。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26.2.2 出现影响采购公正的违法、违规行为的。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26.2.3 因重大变故，采购任务取消的。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26.2.4 </w:t>
      </w:r>
      <w:r>
        <w:rPr>
          <w:rFonts w:hint="eastAsia" w:ascii="仿宋" w:hAnsi="仿宋" w:eastAsia="仿宋" w:cs="仿宋"/>
          <w:bCs/>
          <w:color w:val="auto"/>
          <w:sz w:val="24"/>
          <w:szCs w:val="24"/>
          <w:highlight w:val="none"/>
          <w:lang w:eastAsia="zh-CN"/>
        </w:rPr>
        <w:t xml:space="preserve">评标委员会</w:t>
      </w:r>
      <w:r>
        <w:rPr>
          <w:rFonts w:hint="eastAsia" w:ascii="仿宋" w:hAnsi="仿宋" w:eastAsia="仿宋" w:cs="仿宋"/>
          <w:bCs/>
          <w:color w:val="auto"/>
          <w:sz w:val="24"/>
          <w:szCs w:val="24"/>
          <w:highlight w:val="none"/>
        </w:rPr>
        <w:t xml:space="preserve">认定招标文件存在歧义、重大缺陷导致评审工作无法进行。</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26.2.5 因</w:t>
      </w:r>
      <w:r>
        <w:rPr>
          <w:rFonts w:hint="eastAsia" w:ascii="仿宋" w:hAnsi="仿宋" w:eastAsia="仿宋" w:cs="仿宋"/>
          <w:color w:val="auto"/>
          <w:sz w:val="24"/>
          <w:szCs w:val="24"/>
          <w:highlight w:val="none"/>
        </w:rPr>
        <w:t xml:space="preserve">“苏采云”</w:t>
      </w:r>
      <w:r>
        <w:rPr>
          <w:rFonts w:hint="eastAsia" w:ascii="仿宋" w:hAnsi="仿宋" w:eastAsia="仿宋" w:cs="仿宋"/>
          <w:color w:val="auto"/>
          <w:sz w:val="24"/>
          <w:szCs w:val="24"/>
          <w:highlight w:val="none"/>
          <w:lang w:eastAsia="zh-CN"/>
        </w:rPr>
        <w:t xml:space="preserve">系统故障</w:t>
      </w:r>
      <w:r>
        <w:rPr>
          <w:rFonts w:hint="eastAsia" w:ascii="仿宋" w:hAnsi="仿宋" w:eastAsia="仿宋" w:cs="仿宋"/>
          <w:bCs/>
          <w:color w:val="auto"/>
          <w:sz w:val="24"/>
          <w:szCs w:val="24"/>
          <w:highlight w:val="none"/>
        </w:rPr>
        <w:t xml:space="preserve">原因造成开标不成功的。</w:t>
      </w:r>
      <w:r/>
    </w:p>
    <w:p>
      <w:pPr>
        <w:ind w:left="0" w:firstLine="480"/>
        <w:pageBreakBefore w:val="0"/>
        <w:spacing w:line="56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26.2.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 在“苏采云”系统规定时间内成功解密电子投标文件的投标人不足3家的</w:t>
      </w:r>
      <w:r>
        <w:rPr>
          <w:rFonts w:hint="eastAsia" w:ascii="仿宋" w:hAnsi="仿宋" w:eastAsia="仿宋" w:cs="仿宋"/>
          <w:bCs/>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26.3 投标截止时间结束后参加投标的投标人不足三家的处理：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26.3.1投标截止后投标人不足3家或者通过资格审查或符合性审查的投标人不足3家的，除采购任务取消情形外，按财政部令第87号第四十三条条款进行处理。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 串通投标情形</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有下列情形之一的，属于恶意串通投标：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.1供应商直接或间接从采购人或采购代理机构处获得其他供应商的投标情况，并修改其投标文件；</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.2评审活动开始前供应商直接或间接从采购人或采购代理机构处获得评标委员会组成人员情况；</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.3供应商接受采购人或采购代理机构授意撤换、修改投标文件；</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.4供应商之间协商投标报价、技术方案等投标文件实质性内容；</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.5属于同一集团、协会、商会等组织成员的供应商按照该组织要求协同投标；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.6供应商之间事先约定由某一特定供应商中标、成交；</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.7供应商之间商定部分供应商放弃投标或者放弃中标、成交；</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.8供应商与采购人或采购代理机构之间、供应商相互之间为谋求特定供应商中标成交或者排斥其他供应商的其他串通行为。</w:t>
      </w:r>
      <w:r/>
    </w:p>
    <w:p>
      <w:pPr>
        <w:pStyle w:val="891"/>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69" w:name="_Toc120614219"/>
      <w:r>
        <w:rPr>
          <w:rFonts w:hint="eastAsia" w:ascii="仿宋" w:hAnsi="仿宋" w:eastAsia="仿宋" w:cs="仿宋"/>
          <w:color w:val="auto"/>
          <w:sz w:val="24"/>
          <w:szCs w:val="24"/>
          <w:highlight w:val="none"/>
        </w:rPr>
        <w:t xml:space="preserve">六、</w:t>
      </w:r>
      <w:bookmarkEnd w:id="166"/>
      <w:r/>
      <w:bookmarkEnd w:id="167"/>
      <w:r/>
      <w:bookmarkEnd w:id="168"/>
      <w:r>
        <w:rPr>
          <w:rFonts w:hint="eastAsia" w:ascii="仿宋" w:hAnsi="仿宋" w:eastAsia="仿宋" w:cs="仿宋"/>
          <w:color w:val="auto"/>
          <w:sz w:val="24"/>
          <w:szCs w:val="24"/>
          <w:highlight w:val="none"/>
        </w:rPr>
        <w:t xml:space="preserve">定标</w:t>
      </w:r>
      <w:bookmarkEnd w:id="169"/>
      <w:r/>
      <w:r/>
    </w:p>
    <w:p>
      <w:pPr>
        <w:pStyle w:val="895"/>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bookmarkStart w:id="170" w:name="_Toc513029238"/>
      <w:r/>
      <w:bookmarkStart w:id="171" w:name="_Toc16938554"/>
      <w:r/>
      <w:bookmarkStart w:id="172" w:name="_Toc20823310"/>
      <w:r>
        <w:rPr>
          <w:rFonts w:hint="eastAsia" w:ascii="仿宋" w:hAnsi="仿宋" w:eastAsia="仿宋" w:cs="仿宋"/>
          <w:b w:val="0"/>
          <w:color w:val="auto"/>
          <w:sz w:val="24"/>
          <w:szCs w:val="24"/>
          <w:highlight w:val="none"/>
        </w:rPr>
        <w:t xml:space="preserve">27、</w:t>
      </w:r>
      <w:bookmarkEnd w:id="170"/>
      <w:r>
        <w:rPr>
          <w:rFonts w:hint="eastAsia" w:ascii="仿宋" w:hAnsi="仿宋" w:eastAsia="仿宋" w:cs="仿宋"/>
          <w:b w:val="0"/>
          <w:color w:val="auto"/>
          <w:sz w:val="24"/>
          <w:szCs w:val="24"/>
          <w:highlight w:val="none"/>
        </w:rPr>
        <w:t xml:space="preserve">确定</w:t>
      </w:r>
      <w:bookmarkEnd w:id="171"/>
      <w:r/>
      <w:bookmarkEnd w:id="172"/>
      <w:r>
        <w:rPr>
          <w:rFonts w:hint="eastAsia" w:ascii="仿宋" w:hAnsi="仿宋" w:eastAsia="仿宋" w:cs="仿宋"/>
          <w:b w:val="0"/>
          <w:color w:val="auto"/>
          <w:sz w:val="24"/>
          <w:szCs w:val="24"/>
          <w:highlight w:val="none"/>
        </w:rPr>
        <w:t xml:space="preserve">中标单位</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 中标候选人的选取原则和数量见招标文件第五章规定。</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27.2 按以下第</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2 </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lang w:val="zh-CN"/>
        </w:rPr>
        <w:t xml:space="preserve">种方式确定中标人</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（1）评标委员会直接确定排名第一的中标候选人为中标人；</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（2）采购人在评标委员会推荐的中标候选人中按顺序确定中标人。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 xml:space="preserve">按第</w:t>
      </w: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zh-CN"/>
        </w:rPr>
        <w:t xml:space="preserve">种方式确定中标人的，</w:t>
      </w:r>
      <w:r>
        <w:rPr>
          <w:rFonts w:hint="eastAsia" w:ascii="仿宋" w:hAnsi="仿宋" w:eastAsia="仿宋" w:cs="仿宋"/>
          <w:bCs/>
          <w:color w:val="auto"/>
          <w:sz w:val="24"/>
          <w:szCs w:val="24"/>
          <w:highlight w:val="none"/>
        </w:rPr>
        <w:t xml:space="preserve">采购代理机构</w:t>
      </w:r>
      <w:r>
        <w:rPr>
          <w:rFonts w:hint="eastAsia" w:ascii="仿宋" w:hAnsi="仿宋" w:eastAsia="仿宋" w:cs="仿宋"/>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27.3中标人确定之日起2个工作日内，采购人、采购代理机构将发布中标结果，中标公告的公告期限为1个工作日</w:t>
      </w:r>
      <w:r>
        <w:rPr>
          <w:rFonts w:hint="eastAsia" w:ascii="仿宋" w:hAnsi="仿宋" w:eastAsia="仿宋" w:cs="仿宋"/>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采购人确定正被列为失信被执行人的投标人为中标人的，中标结果无效。</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27.4若有充分证据证明，中标人出现下列情况之一的，一经查实，将被取消中标资格：</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 提供虚假材料谋取中标的。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27.4.2 向采购人、采购代理机构行贿或者提供其他不正当利益的。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27.4.3 属于本文件规定的无效条件，但在评标过程中又未被</w:t>
      </w:r>
      <w:r>
        <w:rPr>
          <w:rFonts w:hint="eastAsia" w:ascii="仿宋" w:hAnsi="仿宋" w:eastAsia="仿宋" w:cs="仿宋"/>
          <w:color w:val="auto"/>
          <w:sz w:val="24"/>
          <w:szCs w:val="24"/>
          <w:highlight w:val="none"/>
          <w:lang w:eastAsia="zh-CN"/>
        </w:rPr>
        <w:t xml:space="preserve">评标委员会</w:t>
      </w:r>
      <w:r>
        <w:rPr>
          <w:rFonts w:hint="eastAsia" w:ascii="仿宋" w:hAnsi="仿宋" w:eastAsia="仿宋" w:cs="仿宋"/>
          <w:color w:val="auto"/>
          <w:sz w:val="24"/>
          <w:szCs w:val="24"/>
          <w:highlight w:val="none"/>
        </w:rPr>
        <w:t xml:space="preserve">发现的。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27.4.4 与采购人或者其他投标人恶意串通的。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27.4.5 采取不正当手段诋毁、排挤其他投标人的。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bookmarkStart w:id="173" w:name="_Toc200451960"/>
      <w:r>
        <w:rPr>
          <w:rFonts w:hint="eastAsia" w:ascii="仿宋" w:hAnsi="仿宋" w:eastAsia="仿宋" w:cs="仿宋"/>
          <w:color w:val="auto"/>
          <w:sz w:val="24"/>
          <w:szCs w:val="24"/>
          <w:highlight w:val="none"/>
        </w:rPr>
        <w:t xml:space="preserve">27.5 有下列情形之一的，视为投标人串通投标，投标无效：</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27.5.1 不同投标人的投标文件由同一单位或者个人编制。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27.5.2 不同投标人委托同一单位或者个人办理投标事宜。</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27.5.3 不同投标人的投标文件载明的项目管理成员或者联系人员为同一人。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27.5.4 不同投标人的投标文件异常一致或者投标报价呈规律性差异。</w:t>
      </w:r>
      <w:r/>
    </w:p>
    <w:p>
      <w:pPr>
        <w:pStyle w:val="895"/>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28、质疑处理</w:t>
      </w:r>
      <w:bookmarkEnd w:id="173"/>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28.1提出质疑的投标人应当是参与所质疑项目采购活动的投标人。潜在投标人依法获取其可质疑的采购文件的，可以对采购文件提出质疑。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28.2投标人认为采购文件、采购过程和采购结果使自己的权益受到损害的，可以在知道或应知其权益受到损害之日起七个工作日内，</w:t>
      </w:r>
      <w:bookmarkStart w:id="174" w:name="OLE_LINK2"/>
      <w:r>
        <w:rPr>
          <w:rFonts w:hint="eastAsia" w:ascii="仿宋" w:hAnsi="仿宋" w:eastAsia="仿宋" w:cs="仿宋"/>
          <w:b/>
          <w:bCs/>
          <w:color w:val="auto"/>
          <w:sz w:val="24"/>
          <w:highlight w:val="none"/>
        </w:rPr>
        <w:t xml:space="preserve">登录“苏采云”系统，从“项目质疑申请”模块向采购人提出质疑</w:t>
      </w:r>
      <w:bookmarkEnd w:id="174"/>
      <w:r>
        <w:rPr>
          <w:rFonts w:hint="eastAsia" w:ascii="仿宋" w:hAnsi="仿宋" w:eastAsia="仿宋" w:cs="仿宋"/>
          <w:b/>
          <w:bCs/>
          <w:color w:val="auto"/>
          <w:sz w:val="24"/>
          <w:highlight w:val="none"/>
        </w:rPr>
        <w:t xml:space="preserve">。</w:t>
      </w:r>
      <w:r>
        <w:rPr>
          <w:rFonts w:hint="eastAsia" w:ascii="仿宋" w:hAnsi="仿宋" w:eastAsia="仿宋" w:cs="仿宋"/>
          <w:color w:val="auto"/>
          <w:sz w:val="24"/>
          <w:szCs w:val="24"/>
          <w:highlight w:val="none"/>
        </w:rPr>
        <w:t xml:space="preserve">根据下述28.4条款的规定向采购代理机构或采购人提出质疑。上述应知其权益受到损害之日，是指：</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28.2.1对可以质疑的采购文件提出质疑的，为收到采购文件之日或者采购文件公告期限届满之日；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 对采购过程提出质疑的，为各采购程序环节结束之日；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28.2.3对中标结果提出质疑的，为中标结果公告期限届满之日。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28.3质疑函必须按照本招标文件中《质疑函范本》要求的格式和内容进行填写。质疑函的必备内容：</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（8）供应商为自然人的，由本人签字；供应商为法人或者其他组织的，应当由法定代表人、主要负责人，或者其授权代表签字或者盖章，并加盖公章；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28.4投标人应登录“苏采云”系统，从“项目质疑申请”模块向采购人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提出质疑</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以书面形式向采购人或者其委托的采购代理机构提出质疑。质疑超出采购机构代理范围的，投标人应当向采购人提出。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w:t>
      </w:r>
      <w:r>
        <w:rPr>
          <w:rFonts w:hint="eastAsia" w:ascii="仿宋" w:hAnsi="仿宋" w:eastAsia="仿宋" w:cs="仿宋"/>
          <w:color w:val="auto"/>
          <w:sz w:val="24"/>
          <w:szCs w:val="24"/>
          <w:highlight w:val="none"/>
          <w:lang w:eastAsia="zh-CN"/>
        </w:rPr>
        <w:t xml:space="preserve">纸质</w:t>
      </w:r>
      <w:r>
        <w:rPr>
          <w:rFonts w:hint="eastAsia" w:ascii="仿宋" w:hAnsi="仿宋" w:eastAsia="仿宋" w:cs="仿宋"/>
          <w:color w:val="auto"/>
          <w:sz w:val="24"/>
          <w:szCs w:val="24"/>
          <w:highlight w:val="none"/>
        </w:rPr>
        <w:t xml:space="preserve">质疑函的方式：将质疑函以书面形式由法定代表人或法人授权代表邮寄或现场送达采购人或委托的采购代理机构。</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联系部门：</w:t>
      </w:r>
      <w:r>
        <w:rPr>
          <w:rFonts w:hint="eastAsia" w:ascii="仿宋" w:hAnsi="仿宋" w:eastAsia="仿宋" w:cs="仿宋"/>
          <w:color w:val="auto"/>
          <w:sz w:val="24"/>
          <w:szCs w:val="24"/>
          <w:highlight w:val="none"/>
          <w:u w:val="single"/>
          <w:lang w:eastAsia="zh-CN"/>
        </w:rPr>
        <w:t xml:space="preserve">宿迁市医疗保障局</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江苏翔堃项目管理有限公司</w:t>
      </w:r>
      <w:r>
        <w:rPr>
          <w:rFonts w:hint="eastAsia" w:ascii="仿宋" w:hAnsi="仿宋" w:eastAsia="仿宋" w:cs="仿宋"/>
          <w:color w:val="auto"/>
          <w:sz w:val="24"/>
          <w:szCs w:val="24"/>
          <w:highlight w:val="none"/>
          <w:u w:val="single"/>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0527-84368750 /</w:t>
      </w:r>
      <w:r>
        <w:rPr>
          <w:rFonts w:hint="eastAsia" w:ascii="仿宋" w:hAnsi="仿宋" w:eastAsia="仿宋" w:cs="仿宋"/>
          <w:color w:val="auto"/>
          <w:sz w:val="24"/>
          <w:szCs w:val="24"/>
          <w:highlight w:val="none"/>
          <w:u w:val="single"/>
          <w:lang w:eastAsia="zh-CN"/>
        </w:rPr>
        <w:t xml:space="preserve">18888194515</w:t>
      </w:r>
      <w:r>
        <w:rPr>
          <w:rFonts w:hint="eastAsia" w:ascii="仿宋" w:hAnsi="仿宋" w:eastAsia="仿宋" w:cs="仿宋"/>
          <w:color w:val="auto"/>
          <w:sz w:val="24"/>
          <w:szCs w:val="24"/>
          <w:highlight w:val="none"/>
          <w:u w:val="single"/>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通讯地址</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single"/>
          <w:lang w:eastAsia="zh-CN"/>
        </w:rPr>
        <w:t xml:space="preserve">宿迁市洪泽湖路889号便民方舟1号楼</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宿迁市宿城新区曙光社区退役军人服务站2楼（时代名苑小区内物业办公室2楼）</w:t>
      </w:r>
      <w:r>
        <w:rPr>
          <w:rFonts w:hint="eastAsia" w:ascii="仿宋" w:hAnsi="仿宋" w:eastAsia="仿宋" w:cs="仿宋"/>
          <w:color w:val="auto"/>
          <w:sz w:val="24"/>
          <w:szCs w:val="24"/>
          <w:highlight w:val="none"/>
          <w:u w:val="single"/>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 以下情形的质疑不予受理</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 内容不符合《政府采购质疑和投诉办法》第十二条规定的质疑。</w:t>
      </w:r>
      <w:r/>
    </w:p>
    <w:p>
      <w:pPr>
        <w:ind w:left="0" w:firstLine="48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28.5.2 超出政府采购法定期限的质疑。</w:t>
      </w:r>
      <w:r>
        <w:rPr>
          <w:rFonts w:hint="eastAsia" w:ascii="仿宋" w:hAnsi="仿宋" w:eastAsia="仿宋" w:cs="仿宋"/>
          <w:color w:val="auto"/>
          <w:sz w:val="24"/>
          <w:szCs w:val="24"/>
          <w:highlight w:val="none"/>
          <w:lang w:val="en-US" w:eastAsia="zh-CN"/>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 以传真、电子邮件等方式递交的非原件形式的质疑。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28.5.4未参加投标活动的投标人或在投标活动中自身权益未受到损害的投标人所提出的质疑。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28.5.5投标人组成联合体参加投标，联合体中任何一方或多方未按要求签字、盖章、加盖公章的质疑。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28.7质疑</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对采购人、采购代理机构的答复不满意，或者采购人、采购代理机构未在规定时间内作出答复的，可以在答复期满后15个工作日内向同级财政部门提起投诉。</w:t>
      </w:r>
      <w:r/>
    </w:p>
    <w:p>
      <w:pPr>
        <w:pStyle w:val="895"/>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29、中标通知书</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29.l在公告中标结果的同时，采购代理机构将向中标人发出中标通知书。中标人使用CA数字证书登录“苏采云”系统及时下载中标通知书。</w:t>
      </w:r>
      <w:r>
        <w:rPr>
          <w:rFonts w:hint="eastAsia" w:ascii="仿宋" w:hAnsi="仿宋" w:eastAsia="仿宋" w:cs="仿宋"/>
          <w:color w:val="auto"/>
          <w:sz w:val="24"/>
          <w:szCs w:val="24"/>
          <w:highlight w:val="none"/>
          <w:lang w:eastAsia="zh-CN"/>
        </w:rPr>
        <w:t xml:space="preserve">中标人</w:t>
      </w:r>
      <w:r>
        <w:rPr>
          <w:rFonts w:hint="eastAsia" w:ascii="仿宋" w:hAnsi="仿宋" w:eastAsia="仿宋" w:cs="仿宋"/>
          <w:color w:val="auto"/>
          <w:sz w:val="24"/>
          <w:szCs w:val="24"/>
          <w:highlight w:val="none"/>
        </w:rPr>
        <w:t xml:space="preserve">可自行下载打印《中标通知书》，《中标通知书》将作为授予合同资格的唯一合法依据。</w:t>
      </w:r>
      <w:r/>
    </w:p>
    <w:p>
      <w:pPr>
        <w:ind w:left="0" w:firstLine="48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color w:val="auto"/>
          <w:sz w:val="24"/>
          <w:szCs w:val="24"/>
          <w:highlight w:val="none"/>
          <w:lang w:eastAsia="zh-CN"/>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w:t>
      </w:r>
      <w:r>
        <w:rPr>
          <w:rFonts w:hint="eastAsia" w:ascii="仿宋" w:hAnsi="仿宋" w:eastAsia="仿宋" w:cs="仿宋"/>
          <w:color w:val="auto"/>
          <w:sz w:val="24"/>
          <w:szCs w:val="24"/>
          <w:highlight w:val="none"/>
          <w:lang w:val="en-US" w:eastAsia="zh-CN"/>
        </w:rPr>
        <w:t xml:space="preserve">3采用综合评分法评审的，未中标人可于中标结果公告期限届满之日起通过“苏采云”系统查看自己的评审得分及排序情况</w:t>
      </w:r>
      <w:r>
        <w:rPr>
          <w:rFonts w:hint="eastAsia" w:ascii="仿宋" w:hAnsi="仿宋" w:eastAsia="仿宋" w:cs="仿宋"/>
          <w:color w:val="auto"/>
          <w:sz w:val="24"/>
          <w:szCs w:val="24"/>
          <w:highlight w:val="none"/>
        </w:rPr>
        <w:t xml:space="preserve">。</w:t>
      </w:r>
      <w:r/>
    </w:p>
    <w:p>
      <w:pPr>
        <w:pStyle w:val="891"/>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75" w:name="_Toc120614220"/>
      <w:r/>
      <w:bookmarkStart w:id="176" w:name="_Toc20823308"/>
      <w:r/>
      <w:bookmarkStart w:id="177" w:name="_Toc16938552"/>
      <w:r/>
      <w:bookmarkStart w:id="178" w:name="_Toc513029236"/>
      <w:r>
        <w:rPr>
          <w:rFonts w:hint="eastAsia" w:ascii="仿宋" w:hAnsi="仿宋" w:eastAsia="仿宋" w:cs="仿宋"/>
          <w:color w:val="auto"/>
          <w:sz w:val="24"/>
          <w:szCs w:val="24"/>
          <w:highlight w:val="none"/>
        </w:rPr>
        <w:t xml:space="preserve">七、授予合同</w:t>
      </w:r>
      <w:bookmarkEnd w:id="175"/>
      <w:r/>
      <w:bookmarkEnd w:id="176"/>
      <w:r/>
      <w:bookmarkEnd w:id="177"/>
      <w:r/>
      <w:bookmarkEnd w:id="178"/>
      <w:r/>
      <w:r/>
    </w:p>
    <w:p>
      <w:pPr>
        <w:pStyle w:val="895"/>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bookmarkStart w:id="179" w:name="_Toc513029237"/>
      <w:r/>
      <w:bookmarkStart w:id="180" w:name="_Toc16938553"/>
      <w:r/>
      <w:bookmarkStart w:id="181" w:name="_Toc20823309"/>
      <w:r>
        <w:rPr>
          <w:rFonts w:hint="eastAsia" w:ascii="仿宋" w:hAnsi="仿宋" w:eastAsia="仿宋" w:cs="仿宋"/>
          <w:b w:val="0"/>
          <w:color w:val="auto"/>
          <w:sz w:val="24"/>
          <w:szCs w:val="24"/>
          <w:highlight w:val="none"/>
        </w:rPr>
        <w:t xml:space="preserve">30.签订合同</w:t>
      </w:r>
      <w:r/>
    </w:p>
    <w:p>
      <w:pPr>
        <w:ind w:left="0" w:firstLine="48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30</w:t>
      </w:r>
      <w:r>
        <w:rPr>
          <w:rFonts w:hint="eastAsia" w:ascii="仿宋" w:hAnsi="仿宋" w:eastAsia="仿宋" w:cs="仿宋"/>
          <w:color w:val="auto"/>
          <w:sz w:val="24"/>
          <w:szCs w:val="24"/>
          <w:highlight w:val="none"/>
        </w:rPr>
        <w:t xml:space="preserve">.l</w:t>
      </w:r>
      <w:r>
        <w:rPr>
          <w:rFonts w:hint="eastAsia" w:ascii="仿宋" w:hAnsi="仿宋" w:eastAsia="仿宋" w:cs="仿宋"/>
          <w:color w:val="auto"/>
          <w:sz w:val="24"/>
          <w:szCs w:val="24"/>
          <w:highlight w:val="none"/>
          <w:lang w:eastAsia="zh-CN"/>
        </w:rPr>
        <w:t xml:space="preserve">合同签订方式：网上签订。</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color w:val="auto"/>
          <w:sz w:val="24"/>
          <w:szCs w:val="24"/>
          <w:highlight w:val="none"/>
        </w:rPr>
        <w:t xml:space="preserve">30.2采购人与中标人应当在中标通知书发出之日起15日内，按照招标文件确定的事项签订政府采购合同。采购人</w:t>
      </w:r>
      <w:r>
        <w:rPr>
          <w:rFonts w:hint="eastAsia" w:ascii="仿宋" w:hAnsi="仿宋" w:eastAsia="仿宋" w:cs="仿宋"/>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30.3招标文件、中标人的投标文件及招标过程中有关澄清、承诺文件均应作为合同附件。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1.允许分包，允许大中型企业向一家或者多家小微企业分包，分包具体内容</w:t>
      </w:r>
      <w:r>
        <w:rPr>
          <w:rFonts w:hint="eastAsia" w:ascii="仿宋" w:hAnsi="仿宋" w:eastAsia="仿宋" w:cs="仿宋"/>
          <w:color w:val="auto"/>
          <w:sz w:val="24"/>
          <w:szCs w:val="24"/>
          <w:highlight w:val="none"/>
          <w:lang w:eastAsia="zh-CN"/>
        </w:rPr>
        <w:t xml:space="preserve">主要为：提供风险减量</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lang w:eastAsia="zh-CN"/>
        </w:rPr>
        <w:t xml:space="preserve">服务。</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2.不允许分包。未经采购人同意，中标人也不得采用分包形式履行合同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否则采购人有权终止合同。转包或分包造成采购人损失的，中标人应承担相应赔偿责任。</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履约保证金</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按照以下第</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1</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方式确定履约保证收取方式。</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（1）本项目不收取履约保证金。</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（2）本项目收取履约保证金。</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6.1</w:t>
      </w:r>
      <w:r>
        <w:rPr>
          <w:rFonts w:hint="eastAsia" w:ascii="仿宋" w:hAnsi="仿宋" w:eastAsia="仿宋" w:cs="仿宋"/>
          <w:bCs/>
          <w:color w:val="auto"/>
          <w:sz w:val="24"/>
          <w:szCs w:val="24"/>
          <w:highlight w:val="none"/>
          <w:lang w:val="zh-CN"/>
        </w:rPr>
        <w:t xml:space="preserve">履约保证金应在采购合同签订前提交，履约保证金的金额：</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按采购合同总价的</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%计取(如使用江苏政府采购电子履约保函(保险)代替缴纳履约保证金的，按采购合同总价的</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%计取)。除银行电汇、网上银行、数字人民币外，投标人还可选用银行保函、担保公司的保证担保或保险公司的保证保险等多种形式向采购人缴纳；</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6.2</w:t>
      </w:r>
      <w:r>
        <w:rPr>
          <w:rFonts w:hint="eastAsia" w:ascii="仿宋" w:hAnsi="仿宋" w:eastAsia="仿宋" w:cs="仿宋"/>
          <w:bCs/>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6.3</w:t>
      </w:r>
      <w:r>
        <w:rPr>
          <w:rFonts w:hint="eastAsia" w:ascii="仿宋" w:hAnsi="仿宋" w:eastAsia="仿宋" w:cs="仿宋"/>
          <w:bCs/>
          <w:color w:val="auto"/>
          <w:sz w:val="24"/>
          <w:szCs w:val="24"/>
          <w:highlight w:val="none"/>
          <w:lang w:val="zh-CN"/>
        </w:rPr>
        <w:t xml:space="preserve">履约保证金退还的条件：按以下方式实行：</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服务类项目，项目履约期满评价合格，出具</w:t>
      </w:r>
      <w:r>
        <w:rPr>
          <w:rFonts w:hint="eastAsia" w:ascii="仿宋" w:hAnsi="仿宋" w:eastAsia="仿宋" w:cs="仿宋"/>
          <w:bCs/>
          <w:color w:val="auto"/>
          <w:sz w:val="24"/>
          <w:szCs w:val="24"/>
          <w:highlight w:val="none"/>
        </w:rPr>
        <w:t xml:space="preserve">验收报告（</w:t>
      </w:r>
      <w:r>
        <w:rPr>
          <w:rFonts w:hint="eastAsia" w:ascii="仿宋" w:hAnsi="仿宋" w:eastAsia="仿宋" w:cs="仿宋"/>
          <w:bCs/>
          <w:color w:val="auto"/>
          <w:sz w:val="24"/>
          <w:szCs w:val="24"/>
          <w:highlight w:val="none"/>
          <w:lang w:val="zh-CN"/>
        </w:rPr>
        <w:t xml:space="preserve">履约评价报告</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zh-CN"/>
        </w:rPr>
        <w:t xml:space="preserve">及履约保证金收据申请退付；</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6.4</w:t>
      </w:r>
      <w:r>
        <w:rPr>
          <w:rFonts w:hint="eastAsia" w:ascii="仿宋" w:hAnsi="仿宋" w:eastAsia="仿宋" w:cs="仿宋"/>
          <w:bCs/>
          <w:color w:val="auto"/>
          <w:sz w:val="24"/>
          <w:szCs w:val="24"/>
          <w:highlight w:val="none"/>
          <w:lang w:val="zh-CN"/>
        </w:rPr>
        <w:t xml:space="preserve">履约保证金退还时间：采购单位收到投标人退付申请后5个工作日内退还；</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6.5</w:t>
      </w:r>
      <w:r>
        <w:rPr>
          <w:rFonts w:hint="eastAsia" w:ascii="仿宋" w:hAnsi="仿宋" w:eastAsia="仿宋" w:cs="仿宋"/>
          <w:bCs/>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6.6</w:t>
      </w:r>
      <w:r>
        <w:rPr>
          <w:rFonts w:hint="eastAsia" w:ascii="仿宋" w:hAnsi="仿宋" w:eastAsia="仿宋" w:cs="仿宋"/>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本项目支持和鼓励</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保险</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的通知》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苏财购﹝2023﹞150号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pStyle w:val="895"/>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31、服务（包含与服务相关的货物）的追加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bookmarkEnd w:id="179"/>
      <w:r/>
      <w:bookmarkEnd w:id="180"/>
      <w:r/>
      <w:bookmarkEnd w:id="181"/>
      <w:r/>
      <w:r/>
    </w:p>
    <w:p>
      <w:pPr>
        <w:pStyle w:val="895"/>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bookmarkStart w:id="182" w:name="_Toc20823314"/>
      <w:r/>
      <w:bookmarkStart w:id="183" w:name="_Toc479757207"/>
      <w:r/>
      <w:bookmarkStart w:id="184" w:name="_Toc513029242"/>
      <w:r/>
      <w:bookmarkStart w:id="185" w:name="_Toc120614221"/>
      <w:r/>
      <w:bookmarkStart w:id="186" w:name="_Toc16938558"/>
      <w:r>
        <w:rPr>
          <w:rFonts w:hint="eastAsia" w:ascii="仿宋" w:hAnsi="仿宋" w:eastAsia="仿宋" w:cs="仿宋"/>
          <w:b w:val="0"/>
          <w:color w:val="auto"/>
          <w:sz w:val="24"/>
          <w:szCs w:val="24"/>
          <w:highlight w:val="none"/>
        </w:rPr>
        <w:t xml:space="preserve">32、政府采购履约资金扶持政策</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32.1依</w:t>
      </w:r>
      <w:r>
        <w:rPr>
          <w:rFonts w:hint="eastAsia" w:ascii="仿宋" w:hAnsi="仿宋" w:eastAsia="仿宋" w:cs="仿宋"/>
          <w:bCs/>
          <w:color w:val="auto"/>
          <w:sz w:val="24"/>
          <w:szCs w:val="24"/>
          <w:highlight w:val="none"/>
          <w:lang w:val="zh-CN"/>
        </w:rPr>
        <w:t xml:space="preserve">据《关于转发江苏省财政厅、中国人民银行南京分行〈关于深入推进政府采购线上合同信用融资工作的通知〉的通知》（通财购〔2021〕41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33、验收及付款</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须承担由此发生的一切损失和费用，并接受相应的处理。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33.2采购人可以邀请参加本项目的其他投标人或者第三方机构参与验收。参与验收的投标人或者第三方机构的意见作为验收书的参考资料一并存档。</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33.3严格按照采购合同开展履约验收。采购人成立验收小组，按照采购合同的约定对</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33.4验收合格的项目，采购人将根据采购合同的约定及时向</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支付采购资金、退还履约保证金。验收不合格的项目，采购人将依法及时处理。采购合同的履行、违约责任和解决争议的方式等适用《中华人民共和国民法典》。</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在履约过程中有政府采购法律法规规定的违法违规情形的，采购人应当及时报告本级财政部门。</w:t>
      </w:r>
      <w:r/>
    </w:p>
    <w:p>
      <w:pPr>
        <w:pStyle w:val="895"/>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34、付款</w:t>
      </w:r>
      <w:r/>
    </w:p>
    <w:p>
      <w:pPr>
        <w:ind w:left="0" w:firstLine="480"/>
        <w:jc w:val="left"/>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按照以下确定的付款方式，采购人及时办理付款手续。对于满足合同约定支付条件的，自收到发票后10个工作日内将资金支付到合同约定的</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账户或</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数字人民币账户。</w:t>
      </w:r>
      <w:r/>
    </w:p>
    <w:p>
      <w:pPr>
        <w:ind w:left="0" w:firstLine="480"/>
        <w:jc w:val="both"/>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预付款：合同金额的 </w:t>
      </w:r>
      <w:r>
        <w:rPr>
          <w:rFonts w:hint="eastAsia" w:ascii="仿宋" w:hAnsi="仿宋" w:eastAsia="仿宋" w:cs="仿宋"/>
          <w:bCs/>
          <w:color w:val="auto"/>
          <w:sz w:val="24"/>
          <w:szCs w:val="24"/>
          <w:highlight w:val="none"/>
          <w:u w:val="single"/>
          <w:lang w:val="en-US" w:eastAsia="zh-CN"/>
        </w:rPr>
        <w:t xml:space="preserve">10</w:t>
      </w:r>
      <w:r>
        <w:rPr>
          <w:rFonts w:hint="eastAsia" w:ascii="仿宋" w:hAnsi="仿宋" w:eastAsia="仿宋" w:cs="仿宋"/>
          <w:bCs/>
          <w:color w:val="auto"/>
          <w:sz w:val="24"/>
          <w:szCs w:val="24"/>
          <w:highlight w:val="none"/>
        </w:rPr>
        <w:t xml:space="preserve"> %，合同签订后按规定支付； </w:t>
      </w:r>
      <w:r/>
    </w:p>
    <w:p>
      <w:pPr>
        <w:ind w:left="0" w:firstLine="480"/>
        <w:jc w:val="both"/>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注：在签订合同时，中标人明确表示无需预付款或者主动要求降低预付款比例的金额，采购人可不适用预付款规定。</w:t>
      </w:r>
      <w:r/>
    </w:p>
    <w:p>
      <w:pPr>
        <w:ind w:left="0" w:firstLine="480"/>
        <w:jc w:val="both"/>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进度款：</w:t>
      </w:r>
      <w:r>
        <w:rPr>
          <w:rFonts w:hint="eastAsia" w:ascii="仿宋" w:hAnsi="仿宋" w:eastAsia="仿宋" w:cs="仿宋"/>
          <w:bCs/>
          <w:color w:val="auto"/>
          <w:sz w:val="24"/>
          <w:szCs w:val="24"/>
          <w:highlight w:val="none"/>
          <w:lang w:val="en-US" w:eastAsia="zh-CN"/>
        </w:rPr>
        <w:t xml:space="preserve">1.承办服务费。承办商保机构的当期承办服务费从当期长护险基金收入中计提，以中标人“承办服务费”报价中标价确定,后期综合考虑服务人口、机构运营成本、工作绩效等因素，合理调整承办服务费。承办服务费从长护险基金中支付。每季度初，医保经办机构以本年度参保人数的25%作为当季度计提测算基数，拨付本季度承办服务费的95%给商保机构。次年初，根据协议履行情况、服务对象满意度情况及当期考核结果，完成上一年度全部承办服务费结算。</w:t>
      </w:r>
      <w:r>
        <w:rPr>
          <w:rFonts w:hint="eastAsia" w:ascii="仿宋" w:hAnsi="仿宋" w:eastAsia="仿宋" w:cs="仿宋"/>
          <w:color w:val="auto"/>
          <w:sz w:val="24"/>
          <w:szCs w:val="24"/>
          <w:highlight w:val="none"/>
          <w:lang w:val="en-US" w:eastAsia="zh-CN" w:bidi="ar-SA"/>
        </w:rPr>
        <w:t xml:space="preserve">合同期满如有结余，结余部分返还基金，如有亏损按照承保份额承担。</w:t>
      </w:r>
      <w:r>
        <w:rPr>
          <w:rFonts w:hint="eastAsia" w:ascii="仿宋" w:hAnsi="仿宋" w:eastAsia="仿宋" w:cs="仿宋"/>
          <w:bCs/>
          <w:color w:val="auto"/>
          <w:sz w:val="24"/>
          <w:szCs w:val="24"/>
          <w:highlight w:val="none"/>
          <w:lang w:val="en-US" w:eastAsia="zh-CN"/>
        </w:rPr>
        <w:t xml:space="preserve">招录的经办服务人员薪酬、保险及福利费用，办公经费，稽核费用，培训费，宣传费，交通工具相关费用，以及长护险服务场所建设费用、办公装备设施费用、信息系统费用(含软件开发、硬件设备、安全等保)一次性投入均摊等列入承办服务费</w:t>
      </w:r>
      <w:r>
        <w:rPr>
          <w:rFonts w:hint="eastAsia" w:ascii="仿宋" w:hAnsi="仿宋" w:eastAsia="仿宋" w:cs="仿宋"/>
          <w:bCs/>
          <w:color w:val="auto"/>
          <w:sz w:val="24"/>
          <w:szCs w:val="24"/>
          <w:highlight w:val="none"/>
        </w:rPr>
        <w:t xml:space="preserve">。</w:t>
      </w:r>
      <w:r/>
    </w:p>
    <w:p>
      <w:pPr>
        <w:ind w:firstLine="480"/>
        <w:jc w:val="both"/>
        <w:keepLines w:val="0"/>
        <w:keepNext w:val="0"/>
        <w:pageBreakBefore w:val="0"/>
        <w:spacing w:line="560" w:lineRule="exact"/>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注：预付款从第一期进度款中扣除。</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2.参保</w:t>
      </w:r>
      <w:r>
        <w:rPr>
          <w:rFonts w:hint="eastAsia" w:ascii="仿宋" w:hAnsi="仿宋" w:eastAsia="仿宋" w:cs="仿宋"/>
          <w:bCs/>
          <w:color w:val="auto"/>
          <w:sz w:val="24"/>
          <w:szCs w:val="24"/>
          <w:highlight w:val="none"/>
          <w:lang w:val="en-US" w:eastAsia="zh-CN"/>
        </w:rPr>
        <w:t xml:space="preserve">失能人员发生的符合长护险失能评估、护理服务项目范围和标准的费用(由市医疗保障局另行制定),按规定从长护险基金中支付；超出长护险护理服务项目范围和标准的护理费用，长护险基金不予支付，由失能人员个人承担，并与定点服务机构直接结算</w:t>
      </w:r>
      <w:r>
        <w:rPr>
          <w:rFonts w:hint="eastAsia" w:ascii="仿宋" w:hAnsi="仿宋" w:eastAsia="仿宋" w:cs="仿宋"/>
          <w:bCs/>
          <w:color w:val="auto"/>
          <w:sz w:val="24"/>
          <w:szCs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3.采购人建立与服务对象满意度、评估质量、护理服务质量挂钩的考核结算机制。可通过约定预留款等方式，每期末根据考核结果进行费用清算</w:t>
      </w:r>
      <w:r>
        <w:rPr>
          <w:rFonts w:hint="eastAsia" w:ascii="仿宋" w:hAnsi="仿宋" w:eastAsia="仿宋" w:cs="仿宋"/>
          <w:bCs/>
          <w:color w:val="auto"/>
          <w:sz w:val="24"/>
          <w:szCs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4.根据上月长护险待遇享受人数、待遇标准和实际享受待遇时间，按照协议约定与定点服务机构结算费用。医保部门资金拨付周期，不构成承办机构延迟向定点服务机构付款的免责理由</w:t>
      </w:r>
      <w:r>
        <w:rPr>
          <w:rFonts w:hint="eastAsia" w:ascii="仿宋" w:hAnsi="仿宋" w:eastAsia="仿宋" w:cs="仿宋"/>
          <w:bCs/>
          <w:color w:val="auto"/>
          <w:sz w:val="24"/>
          <w:szCs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5.每月由共保体向采购人提交长护险支付费用情况表(表样由采购人提供),每月编报长护险运行分析报告，按考核当期提交总结报告</w:t>
      </w:r>
      <w:r>
        <w:rPr>
          <w:rFonts w:hint="eastAsia" w:ascii="仿宋" w:hAnsi="仿宋" w:eastAsia="仿宋" w:cs="仿宋"/>
          <w:bCs/>
          <w:color w:val="auto"/>
          <w:sz w:val="24"/>
          <w:szCs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6.保费与承办服务费分别建账、核算、考核。</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6.1采购人按每保险期的筹资标准及期初人数（即年初参保缴费状态正常的人数），计算长护险基金收入，期末根据实际参保缴费人数确定长护基金收入。将基金收入划分长护险保费与长护险承办服务费两个科目。其中承办服务费按招标确定的承办服务费基准标准计提，其余计提划入长护险保费。</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6.2共保体相应建立以上两个科目。合同期内，每季度初采购人按不低于上季度长护险基金实际支出（首季按照保费收入的20%，如有结余从下一个季度预付资金中扣除）和本季度承办服务费的95%向共保体分别拨付两个科目的预付资金，其余部分留存采购人，分别用于对共保体各期末综合考核和承办服务质量考核，根据考核结果及时清算。</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7.</w:t>
      </w:r>
      <w:r>
        <w:rPr>
          <w:rFonts w:hint="eastAsia" w:ascii="仿宋" w:hAnsi="仿宋" w:eastAsia="仿宋" w:cs="仿宋"/>
          <w:bCs/>
          <w:color w:val="auto"/>
          <w:sz w:val="24"/>
          <w:szCs w:val="24"/>
          <w:highlight w:val="none"/>
        </w:rPr>
        <w:t xml:space="preserve">盈亏处理</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长护险按照“以收定支、收支平衡、略有盈余”的原则建立风险共担机制。长护险保费收支结余如出现亏损，亏损2%(含)以内的部分由承办商保机构承担，2%以上的部分，（亏损比例以第三方报告为唯一结算依据）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经医疗保障行政部门综合评定后，对因政策调整导致的亏损部分，由基金承担，除政策调整原因以外导致的亏损部分，由承办商保机构承担；由采购人根据实际情况最终确定。如有盈利，则盈利部分全额返还基金。</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承办服务费</w:t>
      </w:r>
      <w:r>
        <w:rPr>
          <w:rFonts w:hint="eastAsia" w:ascii="仿宋" w:hAnsi="仿宋" w:eastAsia="仿宋" w:cs="仿宋"/>
          <w:bCs/>
          <w:color w:val="auto"/>
          <w:sz w:val="24"/>
          <w:szCs w:val="24"/>
          <w:highlight w:val="none"/>
          <w:lang w:val="en-US" w:eastAsia="zh-CN"/>
        </w:rPr>
        <w:t xml:space="preserve">当期有结余的，结转到下一年。合同期内</w:t>
      </w:r>
      <w:r>
        <w:rPr>
          <w:rFonts w:hint="eastAsia" w:ascii="仿宋" w:hAnsi="仿宋" w:eastAsia="仿宋" w:cs="仿宋"/>
          <w:bCs/>
          <w:color w:val="auto"/>
          <w:sz w:val="24"/>
          <w:szCs w:val="24"/>
          <w:highlight w:val="none"/>
        </w:rPr>
        <w:t xml:space="preserve">承办服务费结余归采购人所有，超支的由共保体承担。</w:t>
      </w:r>
      <w:r/>
    </w:p>
    <w:p>
      <w:pPr>
        <w:ind w:firstLine="480"/>
        <w:jc w:val="both"/>
        <w:keepLines w:val="0"/>
        <w:keepNext w:val="0"/>
        <w:pageBreakBefore w:val="0"/>
        <w:spacing w:line="560" w:lineRule="exact"/>
        <w:widowControl w:val="off"/>
        <w:rPr>
          <w:rFonts w:hint="eastAsia" w:ascii="仿宋" w:hAnsi="仿宋" w:eastAsia="仿宋" w:cs="仿宋"/>
          <w:bCs/>
          <w:color w:val="auto"/>
          <w:sz w:val="24"/>
          <w:szCs w:val="24"/>
          <w:highlight w:val="yellow"/>
        </w:rPr>
      </w:pPr>
      <w:r>
        <w:rPr>
          <w:rFonts w:hint="eastAsia" w:ascii="仿宋" w:hAnsi="仿宋" w:eastAsia="仿宋" w:cs="仿宋"/>
          <w:bCs/>
          <w:color w:val="auto"/>
          <w:sz w:val="24"/>
          <w:szCs w:val="24"/>
          <w:highlight w:val="none"/>
        </w:rPr>
        <w:t xml:space="preserve">盈利率或亏损率计算公式：[(本期长护险实际保费-本期长护险待遇支出-本期长护险评估费用支出)/本期长护险实际保费]×100%。本期长护险实际保费=当期长护险基金收入-本期长护险承办服务费</w:t>
      </w:r>
      <w:r>
        <w:rPr>
          <w:rFonts w:hint="eastAsia" w:ascii="仿宋" w:hAnsi="仿宋" w:eastAsia="仿宋" w:cs="仿宋"/>
          <w:bCs/>
          <w:color w:val="auto"/>
          <w:sz w:val="24"/>
          <w:szCs w:val="24"/>
          <w:highlight w:val="none"/>
          <w:lang w:val="en-US" w:eastAsia="zh-CN"/>
        </w:rPr>
        <w:t xml:space="preserve">计提费用</w:t>
      </w:r>
      <w:r>
        <w:rPr>
          <w:rFonts w:hint="eastAsia" w:ascii="仿宋" w:hAnsi="仿宋" w:eastAsia="仿宋" w:cs="仿宋"/>
          <w:bCs/>
          <w:color w:val="auto"/>
          <w:sz w:val="24"/>
          <w:szCs w:val="24"/>
          <w:highlight w:val="none"/>
        </w:rPr>
        <w:t xml:space="preserve">。承办服务费含共保体招录的经办服务人员薪酬、保险及福利费用；办公经费；稽查稽核费用；培训费；宣传费；交通工具相关费用，以及长护险服务场所建设费用、办公装备设施费用、信息系统费用(含软件开发、硬件设备、安全等保)一次性投入均摊等。</w:t>
      </w:r>
      <w:r/>
    </w:p>
    <w:p>
      <w:pPr>
        <w:ind w:firstLine="482"/>
        <w:jc w:val="both"/>
        <w:pageBreakBefore w:val="0"/>
        <w:spacing w:line="56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注：1.在签订合同时，中标人明确表示无需预付款或者主动要求降低预付款比例的金额，采购人可不适用预付款规定。</w:t>
      </w:r>
      <w:r/>
    </w:p>
    <w:p>
      <w:pPr>
        <w:ind w:firstLine="482"/>
        <w:jc w:val="both"/>
        <w:pageBreakBefore w:val="0"/>
        <w:spacing w:line="56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2.由于各期参保人数中途可能发生变动，以各期实际划拨的保费为准。</w:t>
      </w:r>
      <w:r/>
    </w:p>
    <w:p>
      <w:pPr>
        <w:ind w:firstLine="0"/>
        <w:jc w:val="center"/>
        <w:keepLines w:val="0"/>
        <w:keepNext w:val="0"/>
        <w:pageBreakBefore w:val="0"/>
        <w:spacing w:line="480"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bCs/>
          <w:color w:val="auto"/>
          <w:sz w:val="44"/>
          <w:highlight w:val="none"/>
        </w:rPr>
        <w:br w:type="page" w:clear="all"/>
      </w:r>
      <w:bookmarkStart w:id="187" w:name="_Toc10070"/>
      <w:r>
        <w:rPr>
          <w:rStyle w:val="732"/>
          <w:rFonts w:hint="eastAsia" w:ascii="仿宋" w:hAnsi="仿宋" w:eastAsia="仿宋" w:cs="仿宋"/>
          <w:b/>
          <w:bCs/>
          <w:color w:val="auto"/>
          <w:highlight w:val="none"/>
        </w:rPr>
        <w:t xml:space="preserve">第三章   合同</w:t>
      </w:r>
      <w:bookmarkEnd w:id="182"/>
      <w:r/>
      <w:bookmarkEnd w:id="183"/>
      <w:r/>
      <w:bookmarkEnd w:id="184"/>
      <w:r/>
      <w:bookmarkEnd w:id="185"/>
      <w:r/>
      <w:bookmarkEnd w:id="186"/>
      <w:r>
        <w:rPr>
          <w:rStyle w:val="732"/>
          <w:rFonts w:hint="eastAsia" w:ascii="仿宋" w:hAnsi="仿宋" w:eastAsia="仿宋" w:cs="仿宋"/>
          <w:b/>
          <w:bCs/>
          <w:color w:val="auto"/>
          <w:highlight w:val="none"/>
        </w:rPr>
        <w:t xml:space="preserve">文本</w:t>
      </w:r>
      <w:bookmarkEnd w:id="187"/>
      <w:r/>
      <w:r/>
    </w:p>
    <w:p>
      <w:pPr>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rPr>
      </w:pPr>
      <w:r/>
      <w:bookmarkStart w:id="188" w:name="_Toc513029243"/>
      <w:r/>
      <w:bookmarkStart w:id="189" w:name="_Toc20823315"/>
      <w:r/>
      <w:bookmarkStart w:id="190" w:name="_Toc16938559"/>
      <w:r>
        <w:rPr>
          <w:rFonts w:hint="eastAsia" w:ascii="仿宋" w:hAnsi="仿宋" w:eastAsia="仿宋" w:cs="仿宋"/>
          <w:bCs/>
          <w:color w:val="auto"/>
          <w:sz w:val="24"/>
          <w:szCs w:val="24"/>
          <w:highlight w:val="none"/>
        </w:rPr>
        <w:t xml:space="preserve">以下为中标后签定本项目合同的通用条款，</w:t>
      </w:r>
      <w:r>
        <w:rPr>
          <w:rFonts w:hint="eastAsia" w:ascii="仿宋" w:hAnsi="仿宋" w:eastAsia="仿宋" w:cs="仿宋"/>
          <w:bCs/>
          <w:color w:val="auto"/>
          <w:sz w:val="24"/>
          <w:szCs w:val="24"/>
          <w:highlight w:val="none"/>
          <w:lang w:eastAsia="zh-CN"/>
        </w:rPr>
        <w:t xml:space="preserve">乙方</w:t>
      </w:r>
      <w:r>
        <w:rPr>
          <w:rFonts w:hint="eastAsia" w:ascii="仿宋" w:hAnsi="仿宋" w:eastAsia="仿宋" w:cs="仿宋"/>
          <w:bCs/>
          <w:color w:val="auto"/>
          <w:sz w:val="24"/>
          <w:szCs w:val="24"/>
          <w:highlight w:val="none"/>
        </w:rPr>
        <w:t xml:space="preserve">不得提出实质性的修改。</w:t>
      </w:r>
      <w:r/>
    </w:p>
    <w:p>
      <w:pPr>
        <w:jc w:val="center"/>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r>
      <w:r/>
    </w:p>
    <w:p>
      <w:pPr>
        <w:pStyle w:val="993"/>
        <w:jc w:val="center"/>
        <w:spacing w:line="480" w:lineRule="auto"/>
        <w:widowControl/>
        <w:rPr>
          <w:rStyle w:val="705"/>
          <w:rFonts w:hint="eastAsia" w:ascii="仿宋" w:hAnsi="仿宋" w:eastAsia="仿宋" w:cs="仿宋"/>
          <w:b/>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Style w:val="705"/>
          <w:rFonts w:hint="eastAsia" w:ascii="仿宋" w:hAnsi="仿宋" w:eastAsia="仿宋" w:cs="仿宋"/>
          <w:b/>
          <w:color w:val="auto"/>
          <w:sz w:val="44"/>
          <w:szCs w:val="44"/>
          <w:highlight w:val="none"/>
          <w:lang w:eastAsia="zh-CN"/>
        </w:rPr>
        <w:t xml:space="preserve">宿迁市长期护理保险委托商保公司承办项目政府</w:t>
      </w:r>
      <w:r>
        <w:rPr>
          <w:rStyle w:val="705"/>
          <w:rFonts w:hint="eastAsia" w:ascii="仿宋" w:hAnsi="仿宋" w:eastAsia="仿宋" w:cs="仿宋"/>
          <w:b/>
          <w:color w:val="auto"/>
          <w:sz w:val="44"/>
          <w:szCs w:val="44"/>
          <w:highlight w:val="none"/>
          <w:lang w:val="en-US" w:eastAsia="zh-CN"/>
        </w:rPr>
        <w:t xml:space="preserve">采购合同</w:t>
      </w:r>
      <w:r/>
    </w:p>
    <w:p>
      <w:pPr>
        <w:jc w:val="center"/>
        <w:spacing w:before="145" w:after="145"/>
        <w:rPr>
          <w:rStyle w:val="705"/>
          <w:rFonts w:hint="eastAsia" w:ascii="仿宋" w:hAnsi="仿宋" w:eastAsia="仿宋" w:cs="仿宋"/>
          <w:b/>
          <w:color w:val="auto"/>
          <w:sz w:val="32"/>
          <w:szCs w:val="32"/>
          <w:highlight w:val="none"/>
          <w:lang w:val="en-US" w:eastAsia="zh-CN" w:bidi="ar-SA"/>
        </w:rPr>
        <w:outlineLvl w:val="0"/>
      </w:pPr>
      <w:r>
        <w:rPr>
          <w:rStyle w:val="705"/>
          <w:rFonts w:hint="eastAsia" w:ascii="仿宋" w:hAnsi="仿宋" w:eastAsia="仿宋" w:cs="仿宋"/>
          <w:b/>
          <w:color w:val="auto"/>
          <w:sz w:val="32"/>
          <w:szCs w:val="32"/>
          <w:highlight w:val="none"/>
          <w:lang w:val="en-US" w:eastAsia="zh-CN" w:bidi="ar-SA"/>
        </w:rPr>
        <w:t xml:space="preserve">（合同编号JSZC-321300-XKGL-G2026-0001001）</w:t>
      </w:r>
      <w:r/>
    </w:p>
    <w:p>
      <w:pPr>
        <w:jc w:val="center"/>
        <w:spacing w:before="145" w:after="145"/>
        <w:rPr>
          <w:rStyle w:val="705"/>
          <w:rFonts w:hint="eastAsia" w:ascii="仿宋" w:hAnsi="仿宋" w:eastAsia="仿宋" w:cs="仿宋"/>
          <w:b/>
          <w:color w:val="auto"/>
          <w:sz w:val="32"/>
          <w:szCs w:val="32"/>
          <w:highlight w:val="none"/>
          <w:lang w:val="en-US" w:eastAsia="zh-CN" w:bidi="ar-SA"/>
        </w:rPr>
        <w:outlineLvl w:val="0"/>
      </w:pPr>
      <w:r>
        <w:rPr>
          <w:rStyle w:val="705"/>
          <w:rFonts w:hint="eastAsia" w:ascii="仿宋" w:hAnsi="仿宋" w:eastAsia="仿宋" w:cs="仿宋"/>
          <w:b/>
          <w:color w:val="auto"/>
          <w:sz w:val="32"/>
          <w:szCs w:val="32"/>
          <w:highlight w:val="none"/>
          <w:lang w:val="en-US" w:eastAsia="zh-CN" w:bidi="ar-SA"/>
        </w:rPr>
        <w:t xml:space="preserve">（服务类）</w:t>
      </w:r>
      <w:r/>
    </w:p>
    <w:p>
      <w:pPr>
        <w:pStyle w:val="1011"/>
        <w:jc w:val="center"/>
        <w:spacing w:line="480" w:lineRule="auto"/>
        <w:widowControl/>
        <w:rPr>
          <w:rStyle w:val="705"/>
          <w:rFonts w:ascii="仿宋" w:hAnsi="仿宋" w:eastAsia="仿宋" w:cs="仿宋"/>
          <w:b/>
          <w:color w:val="auto"/>
          <w:sz w:val="24"/>
          <w:szCs w:val="20"/>
          <w:highlight w:val="none"/>
        </w:rPr>
      </w:pPr>
      <w:r>
        <w:rPr>
          <w:rFonts w:ascii="仿宋" w:hAnsi="仿宋" w:eastAsia="仿宋" w:cs="仿宋"/>
          <w:b/>
          <w:color w:val="auto"/>
          <w:sz w:val="24"/>
          <w:szCs w:val="20"/>
          <w:highlight w:val="none"/>
        </w:rPr>
      </w:r>
      <w:r/>
    </w:p>
    <w:p>
      <w:pPr>
        <w:pStyle w:val="1011"/>
        <w:spacing w:after="200"/>
        <w:rPr>
          <w:rStyle w:val="705"/>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1011"/>
        <w:spacing w:after="200"/>
        <w:rPr>
          <w:rStyle w:val="705"/>
          <w:rFonts w:ascii="仿宋" w:hAnsi="仿宋" w:eastAsia="仿宋" w:cs="仿宋"/>
          <w:color w:val="auto"/>
          <w:spacing w:val="-6"/>
          <w:sz w:val="32"/>
          <w:szCs w:val="28"/>
          <w:highlight w:val="none"/>
        </w:rPr>
      </w:pPr>
      <w:r>
        <w:rPr>
          <w:rStyle w:val="705"/>
          <w:rFonts w:hint="eastAsia" w:ascii="仿宋" w:hAnsi="仿宋" w:eastAsia="仿宋" w:cs="仿宋"/>
          <w:color w:val="auto"/>
          <w:sz w:val="32"/>
          <w:szCs w:val="28"/>
          <w:highlight w:val="none"/>
        </w:rPr>
        <w:t xml:space="preserve">项  目  名  称：</w:t>
      </w:r>
      <w:r>
        <w:rPr>
          <w:rStyle w:val="705"/>
          <w:rFonts w:hint="eastAsia" w:ascii="仿宋" w:hAnsi="仿宋" w:eastAsia="仿宋" w:cs="仿宋"/>
          <w:color w:val="auto"/>
          <w:spacing w:val="-6"/>
          <w:sz w:val="28"/>
          <w:szCs w:val="28"/>
          <w:highlight w:val="none"/>
          <w:u w:val="single"/>
        </w:rPr>
        <w:t xml:space="preserve">                                                 </w:t>
      </w:r>
      <w:r/>
    </w:p>
    <w:p>
      <w:pPr>
        <w:pStyle w:val="1011"/>
        <w:spacing w:after="200"/>
        <w:rPr>
          <w:rStyle w:val="705"/>
          <w:rFonts w:ascii="仿宋" w:hAnsi="仿宋" w:eastAsia="仿宋" w:cs="仿宋"/>
          <w:color w:val="auto"/>
          <w:sz w:val="32"/>
          <w:szCs w:val="28"/>
          <w:highlight w:val="none"/>
        </w:rPr>
      </w:pPr>
      <w:r>
        <w:rPr>
          <w:rFonts w:ascii="仿宋" w:hAnsi="仿宋" w:eastAsia="仿宋" w:cs="仿宋"/>
          <w:color w:val="auto"/>
          <w:sz w:val="32"/>
          <w:szCs w:val="28"/>
          <w:highlight w:val="none"/>
        </w:rPr>
      </w:r>
      <w:r/>
    </w:p>
    <w:p>
      <w:pPr>
        <w:pStyle w:val="1011"/>
        <w:spacing w:after="200"/>
        <w:rPr>
          <w:rStyle w:val="705"/>
          <w:rFonts w:ascii="仿宋" w:hAnsi="仿宋" w:eastAsia="仿宋" w:cs="仿宋"/>
          <w:color w:val="auto"/>
          <w:sz w:val="32"/>
          <w:szCs w:val="28"/>
          <w:highlight w:val="none"/>
        </w:rPr>
      </w:pPr>
      <w:r>
        <w:rPr>
          <w:rStyle w:val="705"/>
          <w:rFonts w:hint="eastAsia" w:ascii="仿宋" w:hAnsi="仿宋" w:eastAsia="仿宋" w:cs="仿宋"/>
          <w:color w:val="auto"/>
          <w:sz w:val="32"/>
          <w:szCs w:val="28"/>
          <w:highlight w:val="none"/>
        </w:rPr>
        <w:t xml:space="preserve">项  目  地  点：</w:t>
      </w:r>
      <w:r>
        <w:rPr>
          <w:rStyle w:val="705"/>
          <w:rFonts w:hint="eastAsia" w:ascii="仿宋" w:hAnsi="仿宋" w:eastAsia="仿宋" w:cs="仿宋"/>
          <w:color w:val="auto"/>
          <w:sz w:val="28"/>
          <w:szCs w:val="28"/>
          <w:highlight w:val="none"/>
          <w:u w:val="single"/>
        </w:rPr>
        <w:t xml:space="preserve">               宿迁市                       </w:t>
      </w:r>
      <w:r/>
    </w:p>
    <w:p>
      <w:pPr>
        <w:pStyle w:val="1011"/>
        <w:spacing w:after="200"/>
        <w:rPr>
          <w:rStyle w:val="705"/>
          <w:rFonts w:ascii="仿宋" w:hAnsi="仿宋" w:eastAsia="仿宋" w:cs="仿宋"/>
          <w:color w:val="auto"/>
          <w:sz w:val="32"/>
          <w:szCs w:val="28"/>
          <w:highlight w:val="none"/>
        </w:rPr>
      </w:pPr>
      <w:r>
        <w:rPr>
          <w:rFonts w:ascii="仿宋" w:hAnsi="仿宋" w:eastAsia="仿宋" w:cs="仿宋"/>
          <w:color w:val="auto"/>
          <w:sz w:val="32"/>
          <w:szCs w:val="28"/>
          <w:highlight w:val="none"/>
        </w:rPr>
      </w:r>
      <w:r/>
    </w:p>
    <w:p>
      <w:pPr>
        <w:pStyle w:val="1011"/>
        <w:spacing w:after="200"/>
        <w:rPr>
          <w:rStyle w:val="705"/>
          <w:rFonts w:ascii="仿宋" w:hAnsi="仿宋" w:eastAsia="仿宋" w:cs="仿宋"/>
          <w:color w:val="auto"/>
          <w:sz w:val="28"/>
          <w:szCs w:val="28"/>
          <w:highlight w:val="none"/>
          <w:u w:val="single"/>
        </w:rPr>
      </w:pPr>
      <w:r>
        <w:rPr>
          <w:rStyle w:val="705"/>
          <w:rFonts w:hint="eastAsia" w:ascii="仿宋" w:hAnsi="仿宋" w:eastAsia="仿宋" w:cs="仿宋"/>
          <w:color w:val="auto"/>
          <w:sz w:val="32"/>
          <w:szCs w:val="28"/>
          <w:highlight w:val="none"/>
        </w:rPr>
        <w:t xml:space="preserve">甲          方：</w:t>
      </w:r>
      <w:r>
        <w:rPr>
          <w:rStyle w:val="705"/>
          <w:rFonts w:hint="eastAsia" w:ascii="仿宋" w:hAnsi="仿宋" w:eastAsia="仿宋" w:cs="仿宋"/>
          <w:color w:val="auto"/>
          <w:sz w:val="28"/>
          <w:szCs w:val="28"/>
          <w:highlight w:val="none"/>
          <w:u w:val="single"/>
        </w:rPr>
        <w:t xml:space="preserve">             宿迁市医疗保障局               </w:t>
      </w:r>
      <w:r/>
    </w:p>
    <w:p>
      <w:pPr>
        <w:pStyle w:val="1011"/>
        <w:spacing w:after="200"/>
        <w:rPr>
          <w:rStyle w:val="705"/>
          <w:rFonts w:ascii="仿宋" w:hAnsi="仿宋" w:eastAsia="仿宋" w:cs="仿宋"/>
          <w:color w:val="auto"/>
          <w:sz w:val="32"/>
          <w:szCs w:val="28"/>
          <w:highlight w:val="none"/>
        </w:rPr>
      </w:pPr>
      <w:r>
        <w:rPr>
          <w:rFonts w:ascii="仿宋" w:hAnsi="仿宋" w:eastAsia="仿宋" w:cs="仿宋"/>
          <w:color w:val="auto"/>
          <w:sz w:val="32"/>
          <w:szCs w:val="28"/>
          <w:highlight w:val="none"/>
        </w:rPr>
      </w:r>
      <w:r/>
    </w:p>
    <w:p>
      <w:pPr>
        <w:pStyle w:val="1011"/>
        <w:spacing w:after="200"/>
        <w:rPr>
          <w:rStyle w:val="705"/>
          <w:rFonts w:ascii="仿宋" w:hAnsi="仿宋" w:eastAsia="仿宋" w:cs="仿宋"/>
          <w:color w:val="auto"/>
          <w:sz w:val="28"/>
          <w:szCs w:val="28"/>
          <w:highlight w:val="none"/>
          <w:u w:val="single"/>
        </w:rPr>
      </w:pPr>
      <w:r>
        <w:rPr>
          <w:rStyle w:val="705"/>
          <w:rFonts w:hint="eastAsia" w:ascii="仿宋" w:hAnsi="仿宋" w:eastAsia="仿宋" w:cs="仿宋"/>
          <w:color w:val="auto"/>
          <w:sz w:val="32"/>
          <w:szCs w:val="28"/>
          <w:highlight w:val="none"/>
        </w:rPr>
        <w:t xml:space="preserve">乙          方：</w:t>
      </w:r>
      <w:r>
        <w:rPr>
          <w:rStyle w:val="705"/>
          <w:rFonts w:hint="eastAsia" w:ascii="仿宋" w:hAnsi="仿宋" w:eastAsia="仿宋" w:cs="仿宋"/>
          <w:color w:val="auto"/>
          <w:sz w:val="32"/>
          <w:szCs w:val="28"/>
          <w:highlight w:val="none"/>
          <w:u w:val="single"/>
        </w:rPr>
        <w:t xml:space="preserve">     </w:t>
      </w:r>
      <w:r>
        <w:rPr>
          <w:rStyle w:val="705"/>
          <w:rFonts w:hint="eastAsia" w:ascii="仿宋" w:hAnsi="仿宋" w:eastAsia="仿宋" w:cs="仿宋"/>
          <w:color w:val="auto"/>
          <w:sz w:val="28"/>
          <w:szCs w:val="28"/>
          <w:highlight w:val="none"/>
          <w:u w:val="single"/>
        </w:rPr>
        <w:t xml:space="preserve">                                       </w:t>
      </w:r>
      <w:r/>
    </w:p>
    <w:p>
      <w:pPr>
        <w:pStyle w:val="1011"/>
        <w:spacing w:after="200"/>
        <w:rPr>
          <w:rStyle w:val="705"/>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11"/>
        <w:jc w:val="center"/>
        <w:spacing w:after="200"/>
        <w:rPr>
          <w:rStyle w:val="705"/>
          <w:rFonts w:ascii="仿宋" w:hAnsi="仿宋" w:eastAsia="仿宋" w:cs="仿宋"/>
          <w:color w:val="auto"/>
          <w:sz w:val="28"/>
          <w:szCs w:val="28"/>
          <w:highlight w:val="none"/>
        </w:rPr>
      </w:pPr>
      <w:r>
        <w:rPr>
          <w:rStyle w:val="705"/>
          <w:rFonts w:hint="eastAsia" w:ascii="仿宋" w:hAnsi="仿宋" w:eastAsia="仿宋" w:cs="仿宋"/>
          <w:color w:val="auto"/>
          <w:sz w:val="28"/>
          <w:szCs w:val="28"/>
          <w:highlight w:val="none"/>
        </w:rPr>
        <w:t xml:space="preserve">签订日期：      年    月   日</w:t>
      </w:r>
      <w:r/>
    </w:p>
    <w:p>
      <w:pPr>
        <w:ind w:left="0" w:firstLine="480"/>
        <w:jc w:val="center"/>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仿宋" w:hAnsi="仿宋" w:eastAsia="仿宋" w:cs="仿宋"/>
          <w:color w:val="auto"/>
          <w:sz w:val="24"/>
          <w:szCs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宿迁市长期护理保险委托商保公司承办项目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JSZC-321300-XKGL-G2026-0001</w:t>
      </w:r>
      <w:r/>
    </w:p>
    <w:p>
      <w:pPr>
        <w:pStyle w:val="1013"/>
        <w:ind w:firstLine="480"/>
        <w:keepLines w:val="0"/>
        <w:keepNext w:val="0"/>
        <w:pageBreakBefore w:val="0"/>
        <w:spacing w:line="520" w:lineRule="exact"/>
        <w:widowControl w:val="off"/>
        <w:rPr>
          <w:rStyle w:val="705"/>
          <w:rFonts w:hint="eastAsia" w:ascii="仿宋" w:hAnsi="仿宋" w:eastAsia="仿宋" w:cs="仿宋"/>
          <w:color w:val="auto"/>
          <w:sz w:val="24"/>
          <w:highlight w:val="none"/>
          <w:u w:val="single"/>
        </w:rPr>
      </w:pPr>
      <w:r>
        <w:rPr>
          <w:rStyle w:val="705"/>
          <w:rFonts w:hint="eastAsia" w:ascii="仿宋" w:hAnsi="仿宋" w:eastAsia="仿宋" w:cs="仿宋"/>
          <w:color w:val="auto"/>
          <w:sz w:val="24"/>
          <w:highlight w:val="none"/>
        </w:rPr>
        <w:t xml:space="preserve">甲方（采购单位）：</w:t>
      </w:r>
      <w:r>
        <w:rPr>
          <w:rStyle w:val="705"/>
          <w:rFonts w:hint="eastAsia" w:ascii="仿宋" w:hAnsi="仿宋" w:eastAsia="仿宋" w:cs="仿宋"/>
          <w:color w:val="auto"/>
          <w:sz w:val="24"/>
          <w:highlight w:val="none"/>
          <w:u w:val="single"/>
        </w:rPr>
        <w:t xml:space="preserve">                                   </w:t>
      </w:r>
      <w:r/>
    </w:p>
    <w:p>
      <w:pPr>
        <w:pStyle w:val="1013"/>
        <w:ind w:firstLine="480"/>
        <w:keepLines w:val="0"/>
        <w:keepNext w:val="0"/>
        <w:pageBreakBefore w:val="0"/>
        <w:spacing w:line="520" w:lineRule="exact"/>
        <w:widowControl w:val="off"/>
        <w:rPr>
          <w:rStyle w:val="705"/>
          <w:rFonts w:hint="eastAsia" w:ascii="仿宋" w:hAnsi="仿宋" w:eastAsia="仿宋" w:cs="仿宋"/>
          <w:color w:val="auto"/>
          <w:sz w:val="24"/>
          <w:highlight w:val="none"/>
          <w:u w:val="single"/>
        </w:rPr>
      </w:pPr>
      <w:r>
        <w:rPr>
          <w:rStyle w:val="705"/>
          <w:rFonts w:hint="eastAsia" w:ascii="仿宋" w:hAnsi="仿宋" w:eastAsia="仿宋" w:cs="仿宋"/>
          <w:color w:val="auto"/>
          <w:sz w:val="24"/>
          <w:highlight w:val="none"/>
        </w:rPr>
        <w:t xml:space="preserve">乙方（共保体）：1. </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（第一中标人）</w:t>
      </w:r>
      <w:r/>
    </w:p>
    <w:p>
      <w:pPr>
        <w:numPr>
          <w:ilvl w:val="0"/>
          <w:numId w:val="0"/>
        </w:numPr>
        <w:ind w:left="2381" w:firstLine="0"/>
        <w:jc w:val="both"/>
        <w:keepLines w:val="0"/>
        <w:keepNext w:val="0"/>
        <w:pageBreakBefore w:val="0"/>
        <w:spacing w:line="360" w:lineRule="auto"/>
        <w:widowControl/>
        <w:rPr>
          <w:rStyle w:val="705"/>
          <w:rFonts w:hint="eastAsia" w:ascii="仿宋" w:hAnsi="仿宋" w:eastAsia="仿宋" w:cs="仿宋"/>
          <w:color w:val="auto"/>
          <w:sz w:val="24"/>
          <w:szCs w:val="22"/>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lang w:val="en-US" w:eastAsia="zh-CN" w:bidi="ar-SA"/>
        </w:rPr>
        <w:t xml:space="preserve">2.</w:t>
      </w:r>
      <w:r>
        <w:rPr>
          <w:rStyle w:val="705"/>
          <w:rFonts w:hint="eastAsia" w:ascii="仿宋" w:hAnsi="仿宋" w:eastAsia="仿宋" w:cs="仿宋"/>
          <w:color w:val="auto"/>
          <w:sz w:val="24"/>
          <w:szCs w:val="22"/>
          <w:highlight w:val="none"/>
          <w:u w:val="single"/>
          <w:lang w:val="en-US" w:eastAsia="zh-CN" w:bidi="ar-SA"/>
        </w:rPr>
        <w:t xml:space="preserve">                                </w:t>
      </w:r>
      <w:r>
        <w:rPr>
          <w:rStyle w:val="705"/>
          <w:rFonts w:hint="eastAsia" w:ascii="仿宋" w:hAnsi="仿宋" w:eastAsia="仿宋" w:cs="仿宋"/>
          <w:color w:val="auto"/>
          <w:sz w:val="24"/>
          <w:szCs w:val="22"/>
          <w:highlight w:val="none"/>
          <w:lang w:val="en-US" w:eastAsia="zh-CN" w:bidi="ar-SA"/>
        </w:rPr>
        <w:t xml:space="preserve">（第二中标人）</w:t>
      </w:r>
      <w:r/>
    </w:p>
    <w:p>
      <w:pPr>
        <w:numPr>
          <w:ilvl w:val="0"/>
          <w:numId w:val="0"/>
        </w:numPr>
        <w:ind w:left="2381" w:firstLine="0"/>
        <w:jc w:val="both"/>
        <w:keepLines w:val="0"/>
        <w:keepNext w:val="0"/>
        <w:pageBreakBefore w:val="0"/>
        <w:spacing w:line="360" w:lineRule="auto"/>
        <w:widowControl/>
        <w:rPr>
          <w:rStyle w:val="705"/>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3.</w:t>
      </w:r>
      <w:r>
        <w:rPr>
          <w:rStyle w:val="705"/>
          <w:rFonts w:hint="eastAsia" w:ascii="仿宋" w:hAnsi="仿宋" w:eastAsia="仿宋" w:cs="仿宋"/>
          <w:color w:val="auto"/>
          <w:sz w:val="24"/>
          <w:szCs w:val="22"/>
          <w:highlight w:val="none"/>
          <w:u w:val="single"/>
          <w:lang w:val="en-US" w:eastAsia="zh-CN" w:bidi="ar-SA"/>
        </w:rPr>
        <w:t xml:space="preserve">                                </w:t>
      </w:r>
      <w:r>
        <w:rPr>
          <w:rStyle w:val="705"/>
          <w:rFonts w:hint="eastAsia" w:ascii="仿宋" w:hAnsi="仿宋" w:eastAsia="仿宋" w:cs="仿宋"/>
          <w:color w:val="auto"/>
          <w:sz w:val="24"/>
          <w:szCs w:val="22"/>
          <w:highlight w:val="none"/>
          <w:lang w:val="en-US" w:eastAsia="zh-CN" w:bidi="ar-SA"/>
        </w:rPr>
        <w:t xml:space="preserve">（第三中标人）</w:t>
      </w:r>
      <w:r/>
    </w:p>
    <w:p>
      <w:pPr>
        <w:numPr>
          <w:ilvl w:val="0"/>
          <w:numId w:val="0"/>
        </w:numPr>
        <w:ind w:left="2381" w:firstLine="0"/>
        <w:jc w:val="both"/>
        <w:keepLines w:val="0"/>
        <w:keepNext w:val="0"/>
        <w:pageBreakBefore w:val="0"/>
        <w:spacing w:line="360" w:lineRule="auto"/>
        <w:widowControl/>
        <w:rPr>
          <w:rStyle w:val="705"/>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4.</w:t>
      </w:r>
      <w:r>
        <w:rPr>
          <w:rStyle w:val="705"/>
          <w:rFonts w:hint="eastAsia" w:ascii="仿宋" w:hAnsi="仿宋" w:eastAsia="仿宋" w:cs="仿宋"/>
          <w:color w:val="auto"/>
          <w:sz w:val="24"/>
          <w:szCs w:val="22"/>
          <w:highlight w:val="none"/>
          <w:u w:val="single"/>
          <w:lang w:val="en-US" w:eastAsia="zh-CN" w:bidi="ar-SA"/>
        </w:rPr>
        <w:t xml:space="preserve">                                </w:t>
      </w:r>
      <w:r>
        <w:rPr>
          <w:rStyle w:val="705"/>
          <w:rFonts w:hint="eastAsia" w:ascii="仿宋" w:hAnsi="仿宋" w:eastAsia="仿宋" w:cs="仿宋"/>
          <w:color w:val="auto"/>
          <w:sz w:val="24"/>
          <w:szCs w:val="22"/>
          <w:highlight w:val="none"/>
          <w:lang w:val="en-US" w:eastAsia="zh-CN" w:bidi="ar-SA"/>
        </w:rPr>
        <w:t xml:space="preserve">（第四中标人）</w:t>
      </w:r>
      <w:r/>
    </w:p>
    <w:p>
      <w:pPr>
        <w:numPr>
          <w:ilvl w:val="0"/>
          <w:numId w:val="0"/>
        </w:numPr>
        <w:ind w:left="2381" w:firstLine="0"/>
        <w:jc w:val="both"/>
        <w:keepLines w:val="0"/>
        <w:keepNext w:val="0"/>
        <w:pageBreakBefore w:val="0"/>
        <w:spacing w:line="360" w:lineRule="auto"/>
        <w:widowControl/>
        <w:rPr>
          <w:rStyle w:val="705"/>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5.</w:t>
      </w:r>
      <w:r>
        <w:rPr>
          <w:rStyle w:val="705"/>
          <w:rFonts w:hint="eastAsia" w:ascii="仿宋" w:hAnsi="仿宋" w:eastAsia="仿宋" w:cs="仿宋"/>
          <w:color w:val="auto"/>
          <w:sz w:val="24"/>
          <w:szCs w:val="22"/>
          <w:highlight w:val="none"/>
          <w:u w:val="single"/>
          <w:lang w:val="en-US" w:eastAsia="zh-CN" w:bidi="ar-SA"/>
        </w:rPr>
        <w:t xml:space="preserve">                                </w:t>
      </w:r>
      <w:r>
        <w:rPr>
          <w:rStyle w:val="705"/>
          <w:rFonts w:hint="eastAsia" w:ascii="仿宋" w:hAnsi="仿宋" w:eastAsia="仿宋" w:cs="仿宋"/>
          <w:color w:val="auto"/>
          <w:sz w:val="24"/>
          <w:szCs w:val="22"/>
          <w:highlight w:val="none"/>
          <w:lang w:val="en-US" w:eastAsia="zh-CN" w:bidi="ar-SA"/>
        </w:rPr>
        <w:t xml:space="preserve">（第五中标人）</w:t>
      </w:r>
      <w:r/>
    </w:p>
    <w:p>
      <w:pPr>
        <w:numPr>
          <w:ilvl w:val="0"/>
          <w:numId w:val="0"/>
        </w:numPr>
        <w:ind w:left="2381" w:firstLine="0"/>
        <w:jc w:val="both"/>
        <w:keepLines w:val="0"/>
        <w:keepNext w:val="0"/>
        <w:pageBreakBefore w:val="0"/>
        <w:spacing w:line="360" w:lineRule="auto"/>
        <w:widowControl/>
        <w:rPr>
          <w:rStyle w:val="705"/>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6.</w:t>
      </w:r>
      <w:r>
        <w:rPr>
          <w:rStyle w:val="705"/>
          <w:rFonts w:hint="eastAsia" w:ascii="仿宋" w:hAnsi="仿宋" w:eastAsia="仿宋" w:cs="仿宋"/>
          <w:color w:val="auto"/>
          <w:sz w:val="24"/>
          <w:szCs w:val="22"/>
          <w:highlight w:val="none"/>
          <w:u w:val="single"/>
          <w:lang w:val="en-US" w:eastAsia="zh-CN" w:bidi="ar-SA"/>
        </w:rPr>
        <w:t xml:space="preserve">                                </w:t>
      </w:r>
      <w:r>
        <w:rPr>
          <w:rStyle w:val="705"/>
          <w:rFonts w:hint="eastAsia" w:ascii="仿宋" w:hAnsi="仿宋" w:eastAsia="仿宋" w:cs="仿宋"/>
          <w:color w:val="auto"/>
          <w:sz w:val="24"/>
          <w:szCs w:val="22"/>
          <w:highlight w:val="none"/>
          <w:lang w:val="en-US" w:eastAsia="zh-CN" w:bidi="ar-SA"/>
        </w:rPr>
        <w:t xml:space="preserve">（第六中标人）</w:t>
      </w:r>
      <w:r/>
    </w:p>
    <w:p>
      <w:pPr>
        <w:numPr>
          <w:ilvl w:val="0"/>
          <w:numId w:val="0"/>
        </w:numPr>
        <w:ind w:left="2381" w:firstLine="0"/>
        <w:jc w:val="both"/>
        <w:keepLines w:val="0"/>
        <w:keepNext w:val="0"/>
        <w:pageBreakBefore w:val="0"/>
        <w:spacing w:line="360" w:lineRule="auto"/>
        <w:widowControl/>
        <w:rPr>
          <w:rStyle w:val="705"/>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7.</w:t>
      </w:r>
      <w:r>
        <w:rPr>
          <w:rStyle w:val="705"/>
          <w:rFonts w:hint="eastAsia" w:ascii="仿宋" w:hAnsi="仿宋" w:eastAsia="仿宋" w:cs="仿宋"/>
          <w:color w:val="auto"/>
          <w:sz w:val="24"/>
          <w:szCs w:val="22"/>
          <w:highlight w:val="none"/>
          <w:u w:val="single"/>
          <w:lang w:val="en-US" w:eastAsia="zh-CN" w:bidi="ar-SA"/>
        </w:rPr>
        <w:t xml:space="preserve">                                </w:t>
      </w:r>
      <w:r>
        <w:rPr>
          <w:rStyle w:val="705"/>
          <w:rFonts w:hint="eastAsia" w:ascii="仿宋" w:hAnsi="仿宋" w:eastAsia="仿宋" w:cs="仿宋"/>
          <w:color w:val="auto"/>
          <w:sz w:val="24"/>
          <w:szCs w:val="22"/>
          <w:highlight w:val="none"/>
          <w:lang w:val="en-US" w:eastAsia="zh-CN" w:bidi="ar-SA"/>
        </w:rPr>
        <w:t xml:space="preserve">（第七中标人）</w:t>
      </w:r>
      <w:r/>
    </w:p>
    <w:p>
      <w:pPr>
        <w:pStyle w:val="1015"/>
        <w:rPr>
          <w:rStyle w:val="705"/>
          <w:rFonts w:hint="eastAsia" w:eastAsia="宋体" w:cs="Times New Roman"/>
          <w:color w:val="auto"/>
          <w:highlight w:val="none"/>
        </w:rPr>
      </w:pPr>
      <w:r>
        <w:rPr>
          <w:rFonts w:hint="eastAsia" w:eastAsia="宋体" w:cs="Times New Roman"/>
          <w:color w:val="auto"/>
          <w:highlight w:val="none"/>
        </w:rPr>
      </w:r>
      <w:r/>
    </w:p>
    <w:p>
      <w:pPr>
        <w:ind w:firstLine="480"/>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w:t>
      </w:r>
      <w:r>
        <w:rPr>
          <w:rStyle w:val="705"/>
          <w:rFonts w:hint="eastAsia" w:ascii="仿宋" w:hAnsi="仿宋" w:eastAsia="仿宋" w:cs="仿宋"/>
          <w:color w:val="auto"/>
          <w:sz w:val="24"/>
          <w:szCs w:val="24"/>
          <w:highlight w:val="none"/>
          <w:lang w:bidi="ar"/>
        </w:rPr>
        <w:t xml:space="preserve">依照《中华人民共和国政府采购法》及其实施条例、《中华人民共和国民法典》、《国家医保局办公室民政部办公厅关于印发&lt;长期护理失能等级评估标准(试行)&gt;的通知》(医保办发〔2021〕37号)、《宿迁市人民政府关于建立长期护理保险制度的实施意见》(宿政规发〔2023〕6号)、</w:t>
      </w:r>
      <w:r>
        <w:rPr>
          <w:rFonts w:hint="eastAsia" w:ascii="仿宋" w:hAnsi="仿宋" w:eastAsia="仿宋" w:cs="仿宋"/>
          <w:color w:val="auto"/>
          <w:sz w:val="24"/>
          <w:szCs w:val="24"/>
          <w:highlight w:val="none"/>
          <w:lang w:val="en-US" w:eastAsia="zh-CN" w:bidi="ar-SA"/>
        </w:rPr>
        <w:t xml:space="preserve">《宿迁市居民长期护理保险试行方案》</w:t>
      </w:r>
      <w:r>
        <w:rPr>
          <w:rStyle w:val="705"/>
          <w:rFonts w:hint="eastAsia" w:ascii="仿宋" w:hAnsi="仿宋" w:eastAsia="仿宋" w:cs="仿宋"/>
          <w:color w:val="auto"/>
          <w:sz w:val="24"/>
          <w:szCs w:val="24"/>
          <w:highlight w:val="none"/>
          <w:lang w:bidi="ar"/>
        </w:rPr>
        <w:t xml:space="preserve">等有关文件规定，</w:t>
      </w:r>
      <w:r>
        <w:rPr>
          <w:rStyle w:val="705"/>
          <w:rFonts w:hint="eastAsia" w:ascii="仿宋" w:hAnsi="仿宋" w:eastAsia="仿宋" w:cs="仿宋"/>
          <w:color w:val="auto"/>
          <w:sz w:val="24"/>
          <w:szCs w:val="24"/>
          <w:highlight w:val="none"/>
        </w:rPr>
        <w:t xml:space="preserve">遵循平等、自愿、公平和诚实信用的原则，</w:t>
      </w:r>
      <w:r>
        <w:rPr>
          <w:rFonts w:hint="eastAsia" w:ascii="仿宋" w:hAnsi="仿宋" w:eastAsia="仿宋" w:cs="仿宋"/>
          <w:color w:val="auto"/>
          <w:sz w:val="24"/>
          <w:szCs w:val="24"/>
          <w:highlight w:val="none"/>
          <w:lang w:val="en-US" w:eastAsia="zh-CN"/>
        </w:rPr>
        <w:t xml:space="preserve">就</w:t>
      </w:r>
      <w:r>
        <w:rPr>
          <w:rFonts w:hint="eastAsia" w:ascii="仿宋" w:hAnsi="仿宋" w:eastAsia="仿宋" w:cs="仿宋"/>
          <w:color w:val="auto"/>
          <w:sz w:val="24"/>
          <w:szCs w:val="24"/>
          <w:highlight w:val="none"/>
          <w:u w:val="single"/>
          <w:lang w:eastAsia="zh-CN"/>
        </w:rPr>
        <w:t xml:space="preserve">宿迁市长期护理保险委托商保公司承办项目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JSZC-321300-XKGL-G2026-0001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公开招标</w:t>
      </w:r>
      <w:r>
        <w:rPr>
          <w:rFonts w:hint="eastAsia" w:ascii="仿宋" w:hAnsi="仿宋" w:eastAsia="仿宋" w:cs="仿宋"/>
          <w:color w:val="auto"/>
          <w:sz w:val="24"/>
          <w:szCs w:val="24"/>
          <w:highlight w:val="none"/>
        </w:rPr>
        <w:t xml:space="preserve">的结果，签署本合同。</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一、合同内容</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 标的名称：宿迁市长期护理保险委托商保公司承办项目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为贯彻落实党的二十大关于建立长期护理保险制度的决策部署，根据《市政府关于建立长期护理保险制度的实施意见》（宿政规发〔2023〕6号）《宿迁市居民长期护理保险试行方案》要求，宿迁市长期护理保险制度（以下简称“长护险”）实行市级统筹，全市统一基金管理、统一经办服务，统一招标确定承办机构。长护险承办服务费采购人留存用于考核部分，根据各承办机构经办服务的每期末考核结果进行拨付。承办服务费计提基数为每合同期期初参保人数为准。（即年初参保缴费状态正常的人数）</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）按照承保份额分为</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个采购包确定保险机构作为本项目的承保人：</w:t>
      </w:r>
      <w:r/>
    </w:p>
    <w:p>
      <w:pPr>
        <w:ind w:firstLine="480"/>
        <w:keepLines w:val="0"/>
        <w:keepNext w:val="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分包一：</w:t>
      </w:r>
      <w:r>
        <w:rPr>
          <w:rFonts w:hint="eastAsia" w:ascii="仿宋" w:hAnsi="仿宋" w:eastAsia="仿宋" w:cs="仿宋"/>
          <w:color w:val="auto"/>
          <w:sz w:val="24"/>
          <w:szCs w:val="24"/>
          <w:highlight w:val="none"/>
          <w:lang w:val="en-US" w:eastAsia="zh-CN"/>
        </w:rPr>
        <w:t xml:space="preserve">承保份额为50</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分包二：</w:t>
      </w:r>
      <w:r>
        <w:rPr>
          <w:rFonts w:hint="eastAsia" w:ascii="仿宋" w:hAnsi="仿宋" w:eastAsia="仿宋" w:cs="仿宋"/>
          <w:color w:val="auto"/>
          <w:sz w:val="24"/>
          <w:szCs w:val="24"/>
          <w:highlight w:val="none"/>
          <w:lang w:val="en-US" w:eastAsia="zh-CN"/>
        </w:rPr>
        <w:t xml:space="preserve">承保份额为20</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分包三：</w:t>
      </w:r>
      <w:r>
        <w:rPr>
          <w:rFonts w:hint="eastAsia" w:ascii="仿宋" w:hAnsi="仿宋" w:eastAsia="仿宋" w:cs="仿宋"/>
          <w:color w:val="auto"/>
          <w:sz w:val="24"/>
          <w:szCs w:val="24"/>
          <w:highlight w:val="none"/>
          <w:lang w:val="en-US" w:eastAsia="zh-CN"/>
        </w:rPr>
        <w:t xml:space="preserve">承保份额为10%；</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承保份额为5%；</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承保份额为5%；</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承保份额为5%；</w:t>
      </w:r>
      <w:r/>
    </w:p>
    <w:p>
      <w:pPr>
        <w:ind w:firstLine="480"/>
        <w:keepLines w:val="0"/>
        <w:keepNext w:val="0"/>
        <w:pageBreakBefore w:val="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分包</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承保份额为5%。</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（二）基本原则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坚持以人为本，着力解决重度失能人员长期护理保障问题。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坚持独立运行，独立险种，独立设计，统筹推进。</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坚持保障基本，低水平起步，以收定支，合理确定保障范围和待遇标准。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坚持责任分担，遵循权利义务对等，多渠道筹资，合理划分筹资责任和保障责任。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坚持市级统筹，全市统一待遇政策、统一基金管理、统一经办管理、统一信息系统、统一监督管理。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（三）筹资标准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长护险筹资标准：起步阶段，职工长护险由个人缴费、单位缴纳（调整职工基本医疗保险单位费率，从职工基本医保统筹基金中平移）两部分组成，其中个人缴费标准为每人每年20元、医保统筹基金平移每人每年20元；居民长护险由个人缴费和财政补助构成，筹资标准每人每年40元，其中个人缴费和财政补助各20元。今后，可根据经济社会发展水平和长护险实际需要，由市医疗保障局会同市财政局适时调整长护险筹资标准。如国家、省调整参保筹资政策，按新政策执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（四）承保份额</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根据《市政府关于建立长期护理保险制度的实施意见》（宿政规发〔2023〕6号）要求，宿迁市长期护理保险制度（以下简称“长护险”）实行市级统筹，全市统一基金管理、统一经办服务，统一招标确定承办机构。承办方式实行共保体模式，由不超过7个商保公司共同组成长护险共保体。按照每个采购包投标人得分顺序确定第1—7中标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其中，第一中标人为主承保单位，负责做好长护险共保体牵头工作；其余中标人为次承保单位，按得分排序，承保相应份额（具体份额占比详见下表），并根据中标份额承担相应人力物力等资源配置，根据政策、合同等规定做好长护险相关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bl>
      <w:tblPr>
        <w:tblStyle w:val="706"/>
        <w:tblpPr w:horzAnchor="text" w:tblpXSpec="center" w:vertAnchor="text" w:tblpY="1" w:leftFromText="180" w:topFromText="0" w:rightFromText="180" w:bottomFromText="0"/>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2674"/>
        <w:gridCol w:w="2485"/>
        <w:gridCol w:w="2485"/>
      </w:tblGrid>
      <w:tr>
        <w:trPr>
          <w:jc w:val="center"/>
          <w:trHeight w:val="633" w:hRule="exact"/>
        </w:trPr>
        <w:tc>
          <w:tcPr>
            <w:tcW w:w="15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bCs/>
                <w:color w:val="auto"/>
                <w:sz w:val="24"/>
                <w:szCs w:val="24"/>
                <w:highlight w:val="none"/>
                <w:lang w:val="en-US" w:eastAsia="zh-CN"/>
              </w:rPr>
            </w:pPr>
            <w:r>
              <w:rPr>
                <w:rStyle w:val="705"/>
                <w:rFonts w:hint="eastAsia" w:ascii="仿宋" w:hAnsi="仿宋" w:eastAsia="仿宋" w:cs="仿宋"/>
                <w:b/>
                <w:bCs/>
                <w:color w:val="auto"/>
                <w:sz w:val="24"/>
                <w:szCs w:val="24"/>
                <w:highlight w:val="none"/>
                <w:lang w:val="en-US" w:eastAsia="zh-CN"/>
              </w:rPr>
              <w:t xml:space="preserve">采购包序号</w:t>
            </w:r>
            <w:r/>
          </w:p>
        </w:tc>
        <w:tc>
          <w:tcPr>
            <w:tcW w:w="26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bCs/>
                <w:color w:val="auto"/>
                <w:sz w:val="24"/>
                <w:szCs w:val="24"/>
                <w:highlight w:val="none"/>
                <w:lang w:val="en-US" w:eastAsia="zh-CN"/>
              </w:rPr>
            </w:pPr>
            <w:r>
              <w:rPr>
                <w:rStyle w:val="705"/>
                <w:rFonts w:hint="eastAsia" w:ascii="仿宋" w:hAnsi="仿宋" w:eastAsia="仿宋" w:cs="仿宋"/>
                <w:b/>
                <w:bCs/>
                <w:color w:val="auto"/>
                <w:sz w:val="24"/>
                <w:szCs w:val="24"/>
                <w:highlight w:val="none"/>
                <w:lang w:val="en-US" w:eastAsia="zh-CN"/>
              </w:rPr>
              <w:t xml:space="preserve">中标人</w:t>
            </w:r>
            <w:r/>
          </w:p>
        </w:tc>
        <w:tc>
          <w:tcPr>
            <w:tcW w:w="2485" w:type="dxa"/>
            <w:vAlign w:val="center"/>
            <w:textDirection w:val="lrTb"/>
            <w:noWrap/>
          </w:tcPr>
          <w:p>
            <w:pPr>
              <w:pStyle w:val="1024"/>
              <w:ind w:left="0" w:firstLine="0"/>
              <w:jc w:val="center"/>
              <w:spacing w:before="0" w:after="0" w:line="500" w:lineRule="exact"/>
              <w:rPr>
                <w:rStyle w:val="705"/>
                <w:rFonts w:hint="default" w:ascii="仿宋" w:hAnsi="仿宋" w:eastAsia="仿宋" w:cs="仿宋"/>
                <w:b/>
                <w:bCs/>
                <w:color w:val="auto"/>
                <w:sz w:val="24"/>
                <w:szCs w:val="24"/>
                <w:highlight w:val="none"/>
                <w:lang w:val="en-US" w:eastAsia="zh-CN"/>
              </w:rPr>
            </w:pPr>
            <w:r>
              <w:rPr>
                <w:rStyle w:val="705"/>
                <w:rFonts w:hint="eastAsia" w:ascii="仿宋" w:hAnsi="仿宋" w:eastAsia="仿宋" w:cs="仿宋"/>
                <w:b/>
                <w:bCs/>
                <w:color w:val="auto"/>
                <w:sz w:val="24"/>
                <w:szCs w:val="24"/>
                <w:highlight w:val="none"/>
                <w:lang w:val="en-US" w:eastAsia="zh-CN"/>
              </w:rPr>
              <w:t xml:space="preserve">承保份额</w:t>
            </w:r>
            <w:r/>
          </w:p>
        </w:tc>
        <w:tc>
          <w:tcPr>
            <w:tcW w:w="2485"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bCs/>
                <w:color w:val="auto"/>
                <w:sz w:val="24"/>
                <w:szCs w:val="24"/>
                <w:highlight w:val="none"/>
                <w:lang w:val="en-US" w:eastAsia="zh-CN"/>
              </w:rPr>
            </w:pPr>
            <w:r>
              <w:rPr>
                <w:rStyle w:val="705"/>
                <w:rFonts w:hint="eastAsia" w:ascii="仿宋" w:hAnsi="仿宋" w:eastAsia="仿宋" w:cs="仿宋"/>
                <w:b/>
                <w:bCs/>
                <w:color w:val="auto"/>
                <w:sz w:val="24"/>
                <w:szCs w:val="24"/>
                <w:highlight w:val="none"/>
                <w:lang w:val="en-US" w:eastAsia="zh-CN"/>
              </w:rPr>
              <w:t xml:space="preserve">参保人数</w:t>
            </w:r>
            <w:r/>
          </w:p>
        </w:tc>
      </w:tr>
      <w:tr>
        <w:trPr>
          <w:jc w:val="center"/>
          <w:trHeight w:val="496" w:hRule="exact"/>
        </w:trPr>
        <w:tc>
          <w:tcPr>
            <w:tcW w:w="15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1</w:t>
            </w:r>
            <w:r/>
          </w:p>
        </w:tc>
        <w:tc>
          <w:tcPr>
            <w:tcW w:w="26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第一中标人</w:t>
            </w:r>
            <w:r/>
          </w:p>
        </w:tc>
        <w:tc>
          <w:tcPr>
            <w:tcW w:w="2485" w:type="dxa"/>
            <w:vAlign w:val="center"/>
            <w:textDirection w:val="lrTb"/>
            <w:noWrap/>
          </w:tcPr>
          <w:p>
            <w:pPr>
              <w:jc w:val="center"/>
              <w:keepLines w:val="0"/>
              <w:keepNext w:val="0"/>
              <w:widowControl/>
              <w:rPr>
                <w:rStyle w:val="705"/>
                <w:rFonts w:hint="eastAsia" w:ascii="仿宋" w:hAnsi="仿宋" w:eastAsia="仿宋" w:cs="仿宋"/>
                <w:b w:val="0"/>
                <w:bCs w:val="0"/>
                <w:color w:val="auto"/>
                <w:sz w:val="24"/>
                <w:szCs w:val="24"/>
                <w:highlight w:val="none"/>
                <w:lang w:val="en-US" w:eastAsia="zh-CN"/>
              </w:rPr>
              <w:suppressLineNumbers w:val="0"/>
            </w:pPr>
            <w:r>
              <w:rPr>
                <w:rFonts w:hint="eastAsia" w:ascii="宋体" w:hAnsi="宋体" w:cs="宋体"/>
                <w:i w:val="0"/>
                <w:iCs w:val="0"/>
                <w:color w:val="auto"/>
                <w:sz w:val="22"/>
                <w:szCs w:val="22"/>
                <w:u w:val="none"/>
                <w:lang w:val="en-US" w:eastAsia="zh-CN" w:bidi="ar"/>
              </w:rPr>
              <w:t xml:space="preserve">50</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restart"/>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u w:val="none"/>
                <w:lang w:val="en-US" w:eastAsia="zh-CN"/>
              </w:rPr>
            </w:pPr>
            <w:r>
              <w:rPr>
                <w:rStyle w:val="705"/>
                <w:rFonts w:hint="eastAsia" w:ascii="仿宋" w:hAnsi="仿宋" w:eastAsia="仿宋" w:cs="仿宋"/>
                <w:b w:val="0"/>
                <w:bCs w:val="0"/>
                <w:color w:val="auto"/>
                <w:sz w:val="24"/>
                <w:szCs w:val="24"/>
                <w:highlight w:val="none"/>
                <w:u w:val="none"/>
                <w:lang w:val="en-US" w:eastAsia="zh-CN"/>
              </w:rPr>
              <w:t xml:space="preserve">参保人数为515.38万人(其中职工87.23万人、居民428.15万人)</w:t>
            </w:r>
            <w:r/>
          </w:p>
          <w:p>
            <w:pPr>
              <w:pStyle w:val="1024"/>
              <w:ind w:left="0" w:firstLine="0"/>
              <w:jc w:val="center"/>
              <w:spacing w:before="0" w:after="0" w:line="500" w:lineRule="exact"/>
              <w:rPr>
                <w:rStyle w:val="705"/>
                <w:rFonts w:hint="default" w:ascii="仿宋" w:hAnsi="仿宋" w:eastAsia="仿宋" w:cs="仿宋"/>
                <w:b w:val="0"/>
                <w:bCs w:val="0"/>
                <w:color w:val="auto"/>
                <w:sz w:val="24"/>
                <w:szCs w:val="24"/>
                <w:highlight w:val="none"/>
                <w:u w:val="single"/>
                <w:lang w:val="en-US" w:eastAsia="zh-CN"/>
              </w:rPr>
            </w:pPr>
            <w:r>
              <w:rPr>
                <w:rStyle w:val="705"/>
                <w:rFonts w:hint="eastAsia" w:ascii="仿宋" w:hAnsi="仿宋" w:eastAsia="仿宋" w:cs="仿宋"/>
                <w:b w:val="0"/>
                <w:bCs w:val="0"/>
                <w:color w:val="auto"/>
                <w:sz w:val="24"/>
                <w:szCs w:val="24"/>
                <w:highlight w:val="none"/>
                <w:u w:val="none"/>
                <w:lang w:val="en-US" w:eastAsia="zh-CN"/>
              </w:rPr>
              <w:t xml:space="preserve">注：按实结算。</w:t>
            </w:r>
            <w:r/>
          </w:p>
        </w:tc>
      </w:tr>
      <w:tr>
        <w:trPr>
          <w:jc w:val="center"/>
          <w:trHeight w:val="496" w:hRule="exact"/>
        </w:trPr>
        <w:tc>
          <w:tcPr>
            <w:tcW w:w="15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2</w:t>
            </w:r>
            <w:r/>
          </w:p>
        </w:tc>
        <w:tc>
          <w:tcPr>
            <w:tcW w:w="26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第二中标人</w:t>
            </w:r>
            <w:r/>
          </w:p>
        </w:tc>
        <w:tc>
          <w:tcPr>
            <w:tcW w:w="2485" w:type="dxa"/>
            <w:vAlign w:val="center"/>
            <w:textDirection w:val="lrTb"/>
            <w:noWrap/>
          </w:tcPr>
          <w:p>
            <w:pPr>
              <w:jc w:val="center"/>
              <w:keepLines w:val="0"/>
              <w:keepNext w:val="0"/>
              <w:widowControl/>
              <w:rPr>
                <w:rStyle w:val="705"/>
                <w:rFonts w:hint="eastAsia" w:ascii="仿宋" w:hAnsi="仿宋" w:eastAsia="仿宋" w:cs="仿宋"/>
                <w:b w:val="0"/>
                <w:bCs w:val="0"/>
                <w:color w:val="auto"/>
                <w:sz w:val="24"/>
                <w:szCs w:val="24"/>
                <w:highlight w:val="none"/>
                <w:lang w:val="en-US" w:eastAsia="zh-CN"/>
              </w:rPr>
              <w:suppressLineNumbers w:val="0"/>
            </w:pPr>
            <w:r>
              <w:rPr>
                <w:rFonts w:hint="eastAsia" w:ascii="宋体" w:hAnsi="宋体" w:cs="宋体"/>
                <w:i w:val="0"/>
                <w:iCs w:val="0"/>
                <w:color w:val="auto"/>
                <w:sz w:val="22"/>
                <w:szCs w:val="22"/>
                <w:u w:val="none"/>
                <w:lang w:val="en-US" w:eastAsia="zh-CN" w:bidi="ar"/>
              </w:rPr>
              <w:t xml:space="preserve">20</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3</w:t>
            </w:r>
            <w:r/>
          </w:p>
        </w:tc>
        <w:tc>
          <w:tcPr>
            <w:tcW w:w="26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第三中标人</w:t>
            </w:r>
            <w:r/>
          </w:p>
        </w:tc>
        <w:tc>
          <w:tcPr>
            <w:tcW w:w="2485" w:type="dxa"/>
            <w:vAlign w:val="center"/>
            <w:textDirection w:val="lrTb"/>
            <w:noWrap/>
          </w:tcPr>
          <w:p>
            <w:pPr>
              <w:jc w:val="center"/>
              <w:keepLines w:val="0"/>
              <w:keepNext w:val="0"/>
              <w:widowControl/>
              <w:rPr>
                <w:rStyle w:val="705"/>
                <w:rFonts w:hint="eastAsia" w:ascii="仿宋" w:hAnsi="仿宋" w:eastAsia="仿宋" w:cs="仿宋"/>
                <w:b w:val="0"/>
                <w:bCs w:val="0"/>
                <w:color w:val="auto"/>
                <w:sz w:val="24"/>
                <w:szCs w:val="24"/>
                <w:highlight w:val="none"/>
                <w:lang w:val="en-US" w:eastAsia="zh-CN"/>
              </w:rPr>
              <w:suppressLineNumbers w:val="0"/>
            </w:pPr>
            <w:r>
              <w:rPr>
                <w:rFonts w:hint="eastAsia" w:ascii="宋体" w:hAnsi="宋体" w:cs="宋体"/>
                <w:i w:val="0"/>
                <w:iCs w:val="0"/>
                <w:color w:val="auto"/>
                <w:sz w:val="22"/>
                <w:szCs w:val="22"/>
                <w:u w:val="none"/>
                <w:lang w:val="en-US" w:eastAsia="zh-CN" w:bidi="ar"/>
              </w:rPr>
              <w:t xml:space="preserve">10</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4</w:t>
            </w:r>
            <w:r/>
          </w:p>
        </w:tc>
        <w:tc>
          <w:tcPr>
            <w:tcW w:w="26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第四中标人</w:t>
            </w:r>
            <w:r/>
          </w:p>
        </w:tc>
        <w:tc>
          <w:tcPr>
            <w:tcW w:w="2485" w:type="dxa"/>
            <w:vAlign w:val="center"/>
            <w:textDirection w:val="lrTb"/>
            <w:noWrap/>
          </w:tcPr>
          <w:p>
            <w:pPr>
              <w:jc w:val="center"/>
              <w:keepLines w:val="0"/>
              <w:keepNext w:val="0"/>
              <w:widowControl/>
              <w:rPr>
                <w:rStyle w:val="705"/>
                <w:rFonts w:hint="eastAsia" w:ascii="仿宋" w:hAnsi="仿宋" w:eastAsia="仿宋" w:cs="仿宋"/>
                <w:b w:val="0"/>
                <w:bCs w:val="0"/>
                <w:color w:val="auto"/>
                <w:sz w:val="24"/>
                <w:szCs w:val="24"/>
                <w:highlight w:val="none"/>
                <w:lang w:val="en-US" w:eastAsia="zh-CN"/>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5</w:t>
            </w:r>
            <w:r/>
          </w:p>
        </w:tc>
        <w:tc>
          <w:tcPr>
            <w:tcW w:w="26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第五中标人</w:t>
            </w:r>
            <w:r/>
          </w:p>
        </w:tc>
        <w:tc>
          <w:tcPr>
            <w:tcW w:w="2485" w:type="dxa"/>
            <w:vAlign w:val="center"/>
            <w:textDirection w:val="lrTb"/>
            <w:noWrap/>
          </w:tcPr>
          <w:p>
            <w:pPr>
              <w:jc w:val="center"/>
              <w:keepLines w:val="0"/>
              <w:keepNext w:val="0"/>
              <w:widowControl/>
              <w:rPr>
                <w:rStyle w:val="705"/>
                <w:rFonts w:hint="eastAsia" w:ascii="仿宋" w:hAnsi="仿宋" w:eastAsia="仿宋" w:cs="仿宋"/>
                <w:b w:val="0"/>
                <w:bCs w:val="0"/>
                <w:color w:val="auto"/>
                <w:sz w:val="24"/>
                <w:szCs w:val="24"/>
                <w:highlight w:val="none"/>
                <w:lang w:val="en-US" w:eastAsia="zh-CN"/>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6</w:t>
            </w:r>
            <w:r/>
          </w:p>
        </w:tc>
        <w:tc>
          <w:tcPr>
            <w:tcW w:w="26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第六中标人</w:t>
            </w:r>
            <w:r/>
          </w:p>
        </w:tc>
        <w:tc>
          <w:tcPr>
            <w:tcW w:w="2485" w:type="dxa"/>
            <w:vAlign w:val="center"/>
            <w:textDirection w:val="lrTb"/>
            <w:noWrap/>
          </w:tcPr>
          <w:p>
            <w:pPr>
              <w:jc w:val="center"/>
              <w:keepLines w:val="0"/>
              <w:keepNext w:val="0"/>
              <w:widowControl/>
              <w:rPr>
                <w:rStyle w:val="705"/>
                <w:rFonts w:hint="eastAsia" w:ascii="仿宋" w:hAnsi="仿宋" w:eastAsia="仿宋" w:cs="仿宋"/>
                <w:b w:val="0"/>
                <w:bCs w:val="0"/>
                <w:color w:val="auto"/>
                <w:sz w:val="24"/>
                <w:szCs w:val="24"/>
                <w:highlight w:val="none"/>
                <w:lang w:val="en-US" w:eastAsia="zh-CN"/>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jc w:val="center"/>
          <w:trHeight w:val="496" w:hRule="exact"/>
        </w:trPr>
        <w:tc>
          <w:tcPr>
            <w:tcW w:w="15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7</w:t>
            </w:r>
            <w:r/>
          </w:p>
        </w:tc>
        <w:tc>
          <w:tcPr>
            <w:tcW w:w="2674" w:type="dxa"/>
            <w:vAlign w:val="center"/>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Style w:val="705"/>
                <w:rFonts w:hint="eastAsia" w:ascii="仿宋" w:hAnsi="仿宋" w:eastAsia="仿宋" w:cs="仿宋"/>
                <w:b w:val="0"/>
                <w:bCs w:val="0"/>
                <w:color w:val="auto"/>
                <w:sz w:val="24"/>
                <w:szCs w:val="24"/>
                <w:highlight w:val="none"/>
                <w:lang w:val="en-US" w:eastAsia="zh-CN"/>
              </w:rPr>
              <w:t xml:space="preserve">第七中标人</w:t>
            </w:r>
            <w:r/>
          </w:p>
        </w:tc>
        <w:tc>
          <w:tcPr>
            <w:tcW w:w="2485" w:type="dxa"/>
            <w:vAlign w:val="center"/>
            <w:textDirection w:val="lrTb"/>
            <w:noWrap/>
          </w:tcPr>
          <w:p>
            <w:pPr>
              <w:jc w:val="center"/>
              <w:keepLines w:val="0"/>
              <w:keepNext w:val="0"/>
              <w:widowControl/>
              <w:rPr>
                <w:rStyle w:val="705"/>
                <w:rFonts w:hint="eastAsia" w:ascii="仿宋" w:hAnsi="仿宋" w:eastAsia="仿宋" w:cs="仿宋"/>
                <w:b w:val="0"/>
                <w:bCs w:val="0"/>
                <w:color w:val="auto"/>
                <w:sz w:val="24"/>
                <w:szCs w:val="24"/>
                <w:highlight w:val="none"/>
                <w:lang w:val="en-US" w:eastAsia="zh-CN"/>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pStyle w:val="1024"/>
              <w:ind w:left="0" w:firstLine="0"/>
              <w:jc w:val="center"/>
              <w:spacing w:before="0" w:after="0" w:line="500" w:lineRule="exact"/>
              <w:rPr>
                <w:rStyle w:val="705"/>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bl>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本项目如第一中标人发生不能履行主承保单位职责情形时，由第二中标人代为承担相关工作职责，相应份额与其他承保单位均分；如其他中标人不能履行承保单位职责情形时，由排在第一的中标人承担工作职责，相应份额与其他承保单位均分。长护险承办服务费采购人留存用于考核部分，根据各承办机构经办服务的每期末考核结果进行拨付。</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val="en-US" w:eastAsia="zh-CN"/>
        </w:rPr>
        <w:t xml:space="preserve">1.3 合同履行期限及地点</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（一）合同签订方式：网上签订。</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（二）服务期：2027年1月1日至2029年12月31日。</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注：1.服务期内将进行考核；服务期满，采购人根据政府采购的相关规定，另行组织招标采购。因考核不合格或政策、经办管理模式发生重大变化等原因，采购人有权单方面终止服务合同，中标人应无条件服从。</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2.合同一年一签，根据国家、省有关政策规定，逐步将保费模式过渡为经办模式，合同内容由甲乙双方根据政策协商调整，协商不一致的，乙方应退出本项目，相关份额由承担份额最多的商保公司承接。</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（三）服务地点：宿迁市，具体由采购人指定。</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val="en-US" w:eastAsia="zh-CN"/>
        </w:rPr>
        <w:t xml:space="preserve">1.4 服务内容与要求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（一）总体要求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标人按《宿迁市人民政府关于建立长期护理保险制度的实施意见》(宿政规发〔2023〕6号)、《宿迁市居民长期护理保险试行方案》及相关的配套政策文件要求，在长护险经办管理机构(以下简称"医保经办机构")指导下协助或参与做好宿迁市长护险相关经办服务，并接受医保经办机构考核管理、服务群众监督。</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（二）服务内容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在协议服务期内，在经办机构指导下，承办商保机构协助经办机构或经经办机构授权开展以下工作：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default" w:ascii="仿宋" w:hAnsi="仿宋" w:eastAsia="仿宋" w:cs="仿宋"/>
          <w:color w:val="auto"/>
          <w:sz w:val="24"/>
          <w:szCs w:val="24"/>
          <w:highlight w:val="none"/>
          <w:lang w:val="en-US" w:eastAsia="zh-CN"/>
        </w:rPr>
        <w:t xml:space="preserve">政策宣传与咨询、投诉举报线索受理；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2.配合开展申请受理及材料审核工作；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3.根据中标顺序分别承办沭阳县、泗阳县、泗洪县、宿豫区、宿城区、经开区（洋河新区）、湖滨新区（苏宿园区）七个区域的失能评估工作，并与定点评估机构共同对评估结果负责。</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组织责任区内评估机构开展失能评估和护理需求评估工作。派长护专员监督现场评估实施，并结合护理服务建议，与定点长护服务机构和参保人员沟通，形成护理服务计划；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4.协助开展失能等级评估机构和长护服务机构定点申请受理、材料初审、综合审核以及失能评估费用、护理服务费用初审等事务性工作；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5.协助做好定点评估机构和定点长护服务机构日常检查、评估结论及参保人员失能状态抽查、服务质量检查等工作；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6.协助开展异议复评、重新评估等工作；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7.长护险业务档案资料的整理和保存；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8.协助做好长护险从业人员的政策业务培训工作；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9.长护险待遇享受人员跟踪回访、稽核调查工作；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10.长护险基金运行监测分析，按月编报长护险运行分析报告；</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11.协助做好长护险政策调整工作；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12.医保经办机构安排的其他工作。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（三）项目实施方案及要求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1.总体服务方案及启动工作安排</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制定总体服务方案及启动工作安排，包括但不限于总体服务方案、启动进度安排、保证措施和风控措施以及服务费预算计划。</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2.制定失能评估管理方案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承办机构在医保经办机构指导下，组织评估机构开展失能评估工作。方案包括以下几方面内容：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（1）失能评估申请的受理审核、上门评估的组织、评定结果公示及送达4个方面；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（2）承办机构应自接收申请材料之日起15个工作日内，且体态智能感知监管设备安装完成已满7天后，完成派单分配和现场评估。</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注：原则上评估结论书应在申请受理之日起30个工作日内送达。</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（3）有风险管控方案；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（4）方案对失能评估有完善的风险监督机制，申请评估人员满意度符合要求；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（5）有及时有效处理各类咨询、投诉的方案，方案科学，实际可行。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3.制定针对本项目的定点服务机构管理方案，包括以下几方面内容。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（1）需对定点机构的服务质量、长期护理保险费用管理、参保人员满意度等情况进行日常监督检查，并按规定结算流程，与定点评估机构及定点护理机构完成基金结算支付等方面，方案完整且可行；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（2）包括督促定点护理机构、定点评估机构做好协议签订、实名制管理等，在促进护理机构提升服务质量，强化费用控制方面的基础上合理、可行；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（3）满足15个工作日与定点护理机构、定点评估机构签订协议；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（4）满足每季度至少完成2次对定点护理机构、定点评估机构履行服务协议情况进行巡查，且日常检查达到100%，对违规行为进行处理的。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4.协助制定长护服务质量监督与稽核巡查方案(包括对定点服务机构、定点评估机构进行监管；待遇支付及核查工作等)；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制定巡查计划及措施，对定点护理机构、定点评估机构开展定时巡查，重点核查定点护理机构失能人员在院情况、护理服务提供、待遇结算、违规情况、待遇享受人员失能及恢复情况，核查定点评估机构评估流程规范、评估结果真实合规、档案资料完整等情况，并开展失能人员满意度调查；</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（2）配置具有录音、录像、等功能的执法记录仪以及平板等具有文字处理功能的移动终端设备开展日常巡查，并满足每季度巡查定点护理机构、定点评估机构不少于总数的25%，失能人员不少于总人数的10%；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人协助建立有定点护理机构、定点评估机构退出机制，对定点机构服务场所、服务范围、服务人员情况等发生变化的，视情况重新进行服务能力评估，对不符合长期护理保险服务管理要求的，暂停或终止服务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5.协助制定待遇支付及基金管理方案(包括待遇支付、基金风险管理、基金运行情况分析等)；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（1）根据项目的实际要求，对长期护理保险的待遇支付及基金风险管理方面提出具体的工作方案。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（2）方案满足每月初前10个工作日完成对定点护理机构、定点评估机构费用的审核、对账、结算和支付工作，并提供有效审核方案。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（3）满足每月结束后的20个工作日内，报送长期护理保险运行情况统计分析材料。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（4）有完善的基金管理内控方案的。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6.制定宣传工作方案(包括宣传方向、宣传方式、宣传渠道、宣传频率等)；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（1）按照政策规定及政策调整，及时做好本项目的政策和业务培训的；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（2）投标人为本项目开通专门的咨询投诉热线电话，并对外公布；</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（3）有承担失能评估申请和护理服务相关的政策和业务咨询，并受理失能人员投诉。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7.制定业务数据保密措施</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包括但不限于对参保人员相关信息、数据、资料承担保密责任，不得用于其他用途，并不得向第三方泄露，不得利用经办之便推销或者变相推销其他商业保险产品。</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8.制定创新服务方案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包括但不限于在长期护理保险创新性方面，特别是在利用互联网、大数据AI等先进技术对失能评估、护理服务、服务监管等方面，提供相应方案。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9.制定培训方案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包括但不限于培训内容、培训时间、培训地点、培训目标、培训人数、培训方法和培训师资等。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10.制定人员配置方案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包括但不限于针对本项目服务的管理职能部门、成立专业管理团队、建立管理制度。</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11.项目组成员配备要求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标人应按承诺为本项目配备长护险经办服务全日制本科以上学历工作人员(工作人员与覆盖人群比不少于1:35000）,其中医学、康复、护理、信息、统计、财务等专业的人员比例不低于40%,派驻相应数量的工作人员至医保经办机构共同办理长护险经办业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12.办公设备及交通工具配置要求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标人应为本项目提供独立的办公场所满足服务运营需求，应配备开展各项业务且与工作量相适应的办公设施(配备打印机、复印机、传真机、扫描仪等能够满足办公需求的办公设备，每人配备办公电脑，鉴定岗及稽核岗应按岗位要求配备便携电脑、摄像机、照相机、录音笔等记录核查设备)、核查设备及车辆，并根据长护险各项工作的需求及时提供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13.信息系统服务要求</w:t>
      </w:r>
      <w:r/>
    </w:p>
    <w:p>
      <w:pPr>
        <w:ind w:left="0" w:firstLine="48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统一</w:t>
      </w:r>
      <w:r>
        <w:rPr>
          <w:rFonts w:hint="eastAsia" w:ascii="仿宋" w:hAnsi="仿宋" w:eastAsia="仿宋" w:cs="仿宋"/>
          <w:color w:val="auto"/>
          <w:sz w:val="24"/>
          <w:szCs w:val="24"/>
          <w:highlight w:val="none"/>
          <w:lang w:val="en-US" w:eastAsia="zh-CN"/>
        </w:rPr>
        <w:t xml:space="preserve">使用江苏省医疗保障功能信息平台长护险系统开展业务经办，按要求完成系统对接、权限申请、数据上报及业务操作，按规定配置计算机和网络环境，配备与长护险业务相适应的信息管理人员，实现长护险待遇申请、失能评估、护理服务、基金结算、经办管理、服务监督、风险控制等全流程信息化运行。建立评估人员、上门护理人员库，将符合条件的评估人员、上门护理人员信息按要求录入省医保长护险信息系统，实行动态管理，并做好长护险信息系统各类用户的操作培训和业务指导工作。根据业务需求，及时升级业务模块，按照试点要求，完成智能监管信息系统建设。  </w:t>
      </w:r>
      <w:r/>
    </w:p>
    <w:p>
      <w:pPr>
        <w:ind w:lef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1.5 保障内容及要求</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（一）保障对象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全市职工基本医疗保险和城乡居民基本医疗保险参保人员为长护险参保对象。长护险制度运行期间根据宿迁市经济发展水平、基金运行情况、照护需求、照护服务成本等因素，适时扩大参保范围和保障对象，调整筹资水平和待遇标准等政策。</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（二）保障范围及补偿比例</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参保人员因年老、疾病、伤残等原因，失能状态持续6个月以上的，经申请评估符合失能等级标准的，可享受长护险待遇。失能等级评估为重度失能等级的参保人员(以下简称“失能人员”),自相关手续办结次日起可享受长护险待遇。失能人员本人或其代理人可选择通过入住定点服务机构接受护理服务、居家接受定点服务机构护理服务等方式享受长护险待遇。</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2.失能人员接受护理服务期间，发生的符合长护险护理服务项目范围和标准的费用，由长护险基金按以下标准定额支付：</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（1）入住服务机构的医疗床位接受护理服务的，按50元/天的标准与服务机构结算；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（2）入住服务机构的护理床位接受护理服务的，按40元/天的标准与服务机构结算；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（3）居家接受服务机构上门服务的，根据服务范围和标准以及质量考核情况，按30元/天的标准与服务机构结算；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（4）在社区服务机构接受日间照护服务的，根据服务范围和标准以及质量考核情况，按照30元/天的标准与服务机构结算。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3.服务结算支付</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失能人员在享受长护险待遇期间，发生的符合长护险护理服务项目范围和标准的护理费用，从长护险基金中支付；超出长护险护理服务项目范围和标准的护理费用，长护险基金不予支付，由失能人员个人承担，并与定点服务机构直接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1.6经办模式</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宿迁市长护险服务项目实行"运行风险共担、保险事务共办、购买承办服务"的运行模式。</w:t>
      </w:r>
      <w:r/>
    </w:p>
    <w:p>
      <w:pPr>
        <w:numPr>
          <w:ilvl w:val="0"/>
          <w:numId w:val="0"/>
        </w:num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（一）运行风险共担</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yellow"/>
          <w:lang w:val="en-US" w:eastAsia="zh-CN" w:bidi="ar-SA"/>
        </w:rPr>
      </w:pPr>
      <w:r>
        <w:rPr>
          <w:rFonts w:hint="eastAsia" w:ascii="仿宋" w:hAnsi="仿宋" w:eastAsia="仿宋" w:cs="仿宋"/>
          <w:color w:val="auto"/>
          <w:sz w:val="24"/>
          <w:szCs w:val="24"/>
          <w:highlight w:val="none"/>
          <w:lang w:val="en-US" w:eastAsia="zh-CN" w:bidi="ar-SA"/>
        </w:rPr>
        <w:t xml:space="preserve">长护险委托承办商保机构参与经办，承办商保机构与长护险基金实行风险共担机制，长护险收入扣除长护险待遇支出(按“待遇支付标准”计算)、评估费用支出(初评评估费用+复评评估费用)、该统筹当期承办服务费（从当期长护险基金收入中计提，</w:t>
      </w:r>
      <w:r>
        <w:rPr>
          <w:rFonts w:hint="eastAsia" w:ascii="仿宋" w:hAnsi="仿宋" w:eastAsia="仿宋" w:cs="仿宋"/>
          <w:bCs/>
          <w:color w:val="auto"/>
          <w:sz w:val="24"/>
          <w:szCs w:val="24"/>
          <w:highlight w:val="none"/>
          <w:lang w:val="en-US" w:eastAsia="zh-CN"/>
        </w:rPr>
        <w:t xml:space="preserve">以中标人“承办服务费”报价中标价确定</w:t>
      </w:r>
      <w:r>
        <w:rPr>
          <w:rFonts w:hint="eastAsia" w:ascii="仿宋" w:hAnsi="仿宋" w:eastAsia="仿宋" w:cs="仿宋"/>
          <w:color w:val="auto"/>
          <w:sz w:val="24"/>
          <w:szCs w:val="24"/>
          <w:highlight w:val="none"/>
          <w:lang w:val="en-US" w:eastAsia="zh-CN" w:bidi="ar-SA"/>
        </w:rPr>
        <w:t xml:space="preserve">）后，长护险保费收支结余如出现亏损，亏损2%(含)以内的部分由承办商保机构承担，2%以上的部分（亏损比例以第三方报告为唯一结算依据），经医疗保障行政部门综合评定后，对因政策性原因导致的亏损部分，由基金承担，对非政策性原因导致的亏损部分，由承办商保机构承担；如有盈利，则盈利部分全额返还基金。</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（二）保险事务共办</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 xml:space="preserve">在医疗保障经办机构指导下，</w:t>
      </w:r>
      <w:r>
        <w:rPr>
          <w:rFonts w:hint="eastAsia" w:ascii="仿宋" w:hAnsi="仿宋" w:eastAsia="仿宋" w:cs="仿宋"/>
          <w:color w:val="auto"/>
          <w:sz w:val="24"/>
          <w:szCs w:val="24"/>
          <w:highlight w:val="none"/>
          <w:lang w:val="en-US" w:eastAsia="zh-CN" w:bidi="ar-SA"/>
        </w:rPr>
        <w:t xml:space="preserve">承保机构协助开展以下业务：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1.政策宣传与咨询、投诉举报线索受理；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2.配合开展申请受理及材料审核工作；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3.参与失能评估和护理需求评估工作。派长护专员监督现场评估实施，并结合护理服务建议，与定点长护服务机构和参保人员沟通，形成护理服务计划；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4.协助开展失能等级评估机构和长护服务机构定点申请受理、材料初审、综合审核以及失能评估费用、护理服务费用初审等事务性工作；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5.协助做好定点评估机构和定点长护服务机构日常检查、评估结论及参保人员失能状态抽查、服务质量检查等工作；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6.协助开展异议复评、重新评估等工作；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7.协助做好信息系统运用和档案管理工作；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8.协助做好相关业务培训及合同约定的其他工作；</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9.医保经办机构安排的其他工作。</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（三）购买承办服务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承办商保机构的当期承办服务费从当期长护险基金收入中计提，</w:t>
      </w:r>
      <w:r>
        <w:rPr>
          <w:rFonts w:hint="eastAsia" w:ascii="仿宋" w:hAnsi="仿宋" w:eastAsia="仿宋" w:cs="仿宋"/>
          <w:bCs/>
          <w:color w:val="auto"/>
          <w:sz w:val="24"/>
          <w:szCs w:val="24"/>
          <w:highlight w:val="none"/>
          <w:lang w:val="en-US" w:eastAsia="zh-CN"/>
        </w:rPr>
        <w:t xml:space="preserve">以中标人“承办服务费”报价中标价确定</w:t>
      </w:r>
      <w:r>
        <w:rPr>
          <w:rFonts w:hint="eastAsia" w:ascii="仿宋" w:hAnsi="仿宋" w:eastAsia="仿宋" w:cs="仿宋"/>
          <w:color w:val="auto"/>
          <w:sz w:val="24"/>
          <w:szCs w:val="24"/>
          <w:highlight w:val="none"/>
          <w:lang w:val="en-US" w:eastAsia="zh-CN" w:bidi="ar-SA"/>
        </w:rPr>
        <w:t xml:space="preserve">,后期综合考虑服务人口、机构运营成本、工作绩效等因素，合理调整承办服务费。承办服务费从长护险基金中支付。</w:t>
      </w:r>
      <w:r>
        <w:rPr>
          <w:rFonts w:hint="eastAsia" w:ascii="仿宋" w:hAnsi="仿宋" w:eastAsia="仿宋" w:cs="仿宋"/>
          <w:bCs/>
          <w:color w:val="auto"/>
          <w:sz w:val="24"/>
          <w:szCs w:val="24"/>
          <w:highlight w:val="none"/>
          <w:lang w:val="en-US" w:eastAsia="zh-CN"/>
        </w:rPr>
        <w:t xml:space="preserve">每季度初，医保经办机构以本年度参保人数的25%作为当季度计提测算基数，拨付本季度承办服务费的95%给商保机构。次年初，根据协议履行情况、服务对象满意度情况及当期考核结果，完成上一年度全部承办服务费结算。</w:t>
      </w:r>
      <w:r>
        <w:rPr>
          <w:rFonts w:hint="eastAsia" w:ascii="仿宋" w:hAnsi="仿宋" w:eastAsia="仿宋" w:cs="仿宋"/>
          <w:bCs/>
          <w:color w:val="auto"/>
          <w:sz w:val="24"/>
          <w:szCs w:val="24"/>
          <w:highlight w:val="none"/>
        </w:rPr>
        <w:t xml:space="preserve">承办服务费</w:t>
      </w:r>
      <w:r>
        <w:rPr>
          <w:rFonts w:hint="eastAsia" w:ascii="仿宋" w:hAnsi="仿宋" w:eastAsia="仿宋" w:cs="仿宋"/>
          <w:bCs/>
          <w:color w:val="auto"/>
          <w:sz w:val="24"/>
          <w:szCs w:val="24"/>
          <w:highlight w:val="none"/>
          <w:lang w:val="en-US" w:eastAsia="zh-CN"/>
        </w:rPr>
        <w:t xml:space="preserve">当期有结余的，结转到下一年。</w:t>
      </w:r>
      <w:r>
        <w:rPr>
          <w:rFonts w:hint="eastAsia" w:ascii="仿宋" w:hAnsi="仿宋" w:eastAsia="仿宋" w:cs="仿宋"/>
          <w:color w:val="auto"/>
          <w:sz w:val="24"/>
          <w:szCs w:val="24"/>
          <w:highlight w:val="none"/>
          <w:lang w:val="en-US" w:eastAsia="zh-CN" w:bidi="ar-SA"/>
        </w:rPr>
        <w:t xml:space="preserve">合同期满如有结余，结余部分返还基金，如有亏损按照承保份额承担。</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招录的经办服务人员薪酬、保险及福利费用；办公经费；稽查稽核费用；培训费；宣传费；交通工具相关费用，以及长护险服务场所建设费用、办公装备设施费用、信息系统费用(含软件开发、硬件设备、安全等保)一次性投入均摊等列入承办服务费。</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1.7考核与管理</w:t>
      </w:r>
      <w:r/>
    </w:p>
    <w:p>
      <w:pPr>
        <w:numPr>
          <w:ilvl w:val="0"/>
          <w:numId w:val="4"/>
        </w:num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医保经办机构有权邀请相关专业机构组成考核小组对承办商保机构相关工作进行考核评价，</w:t>
      </w:r>
      <w:r>
        <w:rPr>
          <w:rFonts w:hint="eastAsia" w:ascii="仿宋" w:hAnsi="仿宋" w:eastAsia="仿宋" w:cs="仿宋"/>
          <w:color w:val="auto"/>
          <w:sz w:val="24"/>
          <w:szCs w:val="24"/>
          <w:highlight w:val="none"/>
          <w:lang w:val="en-US" w:eastAsia="zh-CN" w:bidi="ar-SA"/>
        </w:rPr>
        <w:t xml:space="preserve">内容包括但不限于：合同履行情况、基金运行管理情况、服务质效情况和促进参保扩面情况等，承办商保机构须积极配合。如有承办商保机构当期考核不合格，予以解除合同，相关职责及中标份额按照以下规则处理：第一中标人发生不能履行主承保单位职责情形时，由第二中标人代为承担相关工作职责，相应份额与其他承保单位均分；如其他中标人不能履行承保单位职责情形时，由排在第一的中标人承担工作职责，相应份额与其他承保单位均分。份额划转设置3个月业务交接期，原商保必须完整移交全部档案、系统权限、服务台账，交接期内业务差错由原承办商保全额承担。</w:t>
      </w:r>
      <w:r/>
    </w:p>
    <w:p>
      <w:pPr>
        <w:numPr>
          <w:ilvl w:val="0"/>
          <w:numId w:val="4"/>
        </w:num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建立健全长护险基金监管机制，对基金使用情况、医疗护理服务、欺诈骗保等进行监督管理。</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（三）医保经办机构建立举报投诉、信息披露、基金监管、欺诈防范等监管机制。对承办商保机构政策制度执行情况及业务经办情况进行实时督查。</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四）承办商保机构应建立费用审核、内部控制、日常巡查、运行分析等管理制度，通过信息系统、抽查询访、满意度调查等途径，对评估机构评估质量、定点护理机构服务质量及待遇享受等情况进行跟踪管理，按月编报长护险运行分析报告报送至市财政局及医保经办机构。</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五）承办商保机构应发挥精准精细服务优势，以护理服务为抓手，引导群众及其家庭成员及时参保缴费，实现应保尽保。宣传动员灵活就业人员、个体工商户参加职工基本医保，进一步优化参保结构，扩大长期护理保险参保人数。</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（六）承办商保机构、定点评估机构及其工作人员、参保人员等存在违法违规行为造成基金损失的，可参照医疗保障基金使用监督管理有关规定处理。构成犯罪的，移送司法机关追究刑事责任。</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（七）</w:t>
      </w:r>
      <w:r>
        <w:rPr>
          <w:rFonts w:hint="eastAsia" w:ascii="仿宋" w:hAnsi="仿宋" w:eastAsia="仿宋" w:cs="仿宋"/>
          <w:color w:val="auto"/>
          <w:sz w:val="24"/>
          <w:szCs w:val="24"/>
          <w:highlight w:val="none"/>
          <w:lang w:val="en-US" w:eastAsia="zh-CN"/>
        </w:rPr>
        <w:t xml:space="preserve">建立健全长护险诚信档案，根据信用评价等级分级分类监督管理，对失信行为按照国家有关规定实施惩戒</w:t>
      </w:r>
      <w:r>
        <w:rPr>
          <w:rFonts w:hint="eastAsia" w:ascii="仿宋" w:hAnsi="仿宋" w:eastAsia="仿宋" w:cs="仿宋"/>
          <w:color w:val="auto"/>
          <w:sz w:val="24"/>
          <w:szCs w:val="24"/>
          <w:highlight w:val="none"/>
          <w:lang w:val="en-US" w:eastAsia="zh-CN" w:bidi="ar-SA"/>
        </w:rPr>
        <w:t xml:space="preserve">。</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1.8 项目实施依据</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1.《国家医保局办公室民政部办公厅关于印发&lt;长期护理失能等级评估标准(试行)&gt;的通知》(医保办发〔2021〕37号)；</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2.《宿迁市人民政府关于建立长期护理保险制度的实施意见》(宿政规发〔2023〕6号)；</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3.《宿迁市居民长期护理保险试行</w:t>
      </w:r>
      <w:r>
        <w:rPr>
          <w:rFonts w:hint="default" w:ascii="仿宋" w:hAnsi="仿宋" w:eastAsia="仿宋" w:cs="仿宋"/>
          <w:color w:val="auto"/>
          <w:sz w:val="24"/>
          <w:szCs w:val="24"/>
          <w:highlight w:val="none"/>
          <w:lang w:val="en-US" w:eastAsia="zh-CN" w:bidi="ar-SA"/>
        </w:rPr>
        <w:t xml:space="preserve">方案</w:t>
      </w:r>
      <w:r>
        <w:rPr>
          <w:rFonts w:hint="eastAsia" w:ascii="仿宋" w:hAnsi="仿宋" w:eastAsia="仿宋" w:cs="仿宋"/>
          <w:color w:val="auto"/>
          <w:sz w:val="24"/>
          <w:szCs w:val="24"/>
          <w:highlight w:val="none"/>
          <w:lang w:val="en-US" w:eastAsia="zh-CN" w:bidi="ar-SA"/>
        </w:rPr>
        <w:t xml:space="preserve">》</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二、合同组成</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下列文件应作为本合同的组成部分：</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 本合同及附件；</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2.2 中标通知书；</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2.3 投标文件；</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2.4 招标文件；</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2.5 与本次招标有关的并经双方确认的其他文件。</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三、双方权利和义务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（一）甲方权利与义务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甲方有权对合同规定范围内乙方的服务进行监督和检查，有权定期核对乙方提供服务所配备的人员信息、费用支出、办公设备、场所及相关交通工具等开展长护险业务必备资源。</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1.甲方应协助提供长护险核查所需的相关资料。依托省医保长护险信息系统提供必要的信息。</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2.甲方应加强长护险基金管理，完善付费方式及结算办法，及时审核并与乙方进行结算。</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3.甲方为乙方进驻定点机构完成长护险评估核查工作尽可能提供支持。</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4.乙方若对省医保长护险信息系统计算结果或对甲方审核的费用等有异议，可向甲方申请复核，甲方应积极予以配合。</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5.甲方通过建立投诉受理渠道、日常抽查等多种方式对乙方提供服务及赔付情况进行考核，保证服务质量。</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6.国家法律、法规所规定的由甲方承担的其他责任。</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（二）乙方权利与义务</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1.乙方应在承保区域提供必要的办公场所，用于开展长护险经办服务工作。根据承办片区参保人员数量、机构、分布等实际情况合理设置服务网点，服务网点的配置须满足待遇人员需求。</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乙方须按每3.5万参保人员配备不少于1名工作人员的比例落实人员，并保证人员的稳定性；负责支付工作人员相关费用；负责聘请专家、落实长护险异地调查人员和相关费用等。乙方在按照每3.5万参保人员不少于配备1名工作人员的基础上，另行增加的人员成本不纳入长护险合作经办人员成本，由乙方自行承担。</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乙方组织评估人员开展评估相关工作、定点服务机构服务行为进行监管，包括协助审核参保人员身份、告知参保人员权益和义务以及护理服务合规性核查等，负责开展业务派单、失能人员评估、费用结算、待遇支付、基金运行监测、长护险待遇享受人员跟踪回访、稽核调查工作等工作。</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充分发挥自身资源与宣传优势，配合采购人做好宿迁市参保群众长护险参保缴费政策宣讲工作：城乡居民随城乡居民基本医疗保险同步参加长期护理保险并缴费，重点做好政策告知；针对灵活就业人员、个体工商户参加职工基本医保进行动员引导，扩大长期护理保险参保人数。</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5.乙方对甲方提供的参保人信息以及相关资料承担保密责任，不得用于其他用途，不得向第三方泄露。</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6.乙方应每月向甲方提交长护险支付费用情况表(表样由甲方提供),每月编报长护险运行分析报告，按考核当期提交总结报告。</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7.未经甲方书面同意，乙方不得将本保险合同业务转让转包给任何第三方。</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8.每期末，乙方需向甲方提供委托会计师事务所出具的长护险使用财务报告。 </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9.长护险政策宣传、公众号运维、咨询回复、投诉处理等工作。</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10.医保经办机构安排的其他工作。</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11.以宿迁市长护险相关政策文件为指导开展工作。</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四、共保体成员责任分工</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乙方根据中标结果组成共保体，分别负责本服务区域内长护险业务承办工作。</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1.共保体成员在领取中标通知书15日内签订共保体协议，共保体协议为政府采购合同的附件。</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2.主承保人组织并负责共保体成员按要求签订共保体协议，制定共保体服务章程，建立服务制度。</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3.合同履约期内主承保人召集讨论经办过程中存在的问题并提出完善措施。</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4.合同履约期内主承保人定期组织共保体成员开展业务培训，互学互评等提升经办业务的交流活动。</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5.合同履约期内，主承保人根据甲方要求，按月出具长护险运行数据并提出建设性意见。</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6.共保体成员需配合主承保人工作，按要求履行合同及共保体协议。</w:t>
      </w:r>
      <w:r/>
    </w:p>
    <w:p>
      <w:pPr>
        <w:ind w:lef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五、共同责任</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 接受监督。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甲乙双方签订协议的情况，以及长护险收入、赔付情况等定期按规定接受财政、审计、医保部门的监督。</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2.合署办公。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乙方有关机构安排一定数量的工作人员至甲方服务窗口合署办公，共同制定管理制度、工作流程，在甲方的指导下开展长期护理服务监管等工作，有关情况及时向甲乙双方汇报。</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3.相互沟通。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本项目相关政策发生调整时，甲方及时告知乙方；乙方办理长护险业务时出现新情况或遭遇突发事件，要及时通报甲方。</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4.加强培训。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要按照本项目政策规定及政策调整，及时做好本项目的政策和业务培训；为本项目开通专门的咨询、投诉热线电话，并对外公布；承担失能鉴定申请和长期护理服务相关的政策和业务咨询，并受理参保人的相关投诉。</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5.保证支付。 </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合同结束或提前终止前已发生但未结算的长期护理费用由乙方支付。</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甲乙双方协商有效办法，落实结算责任，保障参保人、定点护理机构权益。</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w:t>
      </w:r>
      <w:r>
        <w:rPr>
          <w:rFonts w:hint="eastAsia" w:ascii="仿宋" w:hAnsi="仿宋" w:eastAsia="仿宋" w:cs="仿宋"/>
          <w:b/>
          <w:color w:val="auto"/>
          <w:sz w:val="24"/>
          <w:szCs w:val="24"/>
          <w:highlight w:val="none"/>
          <w:lang w:val="en-US" w:eastAsia="zh-CN" w:bidi="ar-SA"/>
        </w:rPr>
        <w:t xml:space="preserve">履约保证金</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eastAsia="zh-CN"/>
        </w:rPr>
        <w:t xml:space="preserve">本项目</w:t>
      </w:r>
      <w:r>
        <w:rPr>
          <w:rFonts w:hint="eastAsia" w:ascii="仿宋" w:hAnsi="仿宋" w:eastAsia="仿宋" w:cs="仿宋"/>
          <w:bCs/>
          <w:color w:val="auto"/>
          <w:sz w:val="24"/>
          <w:szCs w:val="24"/>
          <w:highlight w:val="none"/>
          <w:lang w:val="en-US" w:eastAsia="zh-CN"/>
        </w:rPr>
        <w:t xml:space="preserve">不</w:t>
      </w:r>
      <w:r>
        <w:rPr>
          <w:rFonts w:hint="eastAsia" w:ascii="仿宋" w:hAnsi="仿宋" w:eastAsia="仿宋" w:cs="仿宋"/>
          <w:bCs/>
          <w:color w:val="auto"/>
          <w:sz w:val="24"/>
          <w:szCs w:val="24"/>
          <w:highlight w:val="none"/>
          <w:lang w:val="zh-CN" w:eastAsia="zh-CN"/>
        </w:rPr>
        <w:t xml:space="preserve">收取履约保证金</w:t>
      </w:r>
      <w:r>
        <w:rPr>
          <w:rFonts w:hint="eastAsia" w:ascii="仿宋" w:hAnsi="仿宋" w:eastAsia="仿宋" w:cs="仿宋"/>
          <w:bCs/>
          <w:color w:val="auto"/>
          <w:sz w:val="24"/>
          <w:szCs w:val="24"/>
          <w:highlight w:val="none"/>
          <w:lang w:val="zh-CN"/>
        </w:rPr>
        <w:t xml:space="preserve">。</w:t>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合同变更</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7.1因国家政策和上级政府的规定发生变化，按照调整后政策要求执行。</w:t>
      </w:r>
      <w:r/>
    </w:p>
    <w:p>
      <w:pPr>
        <w:ind w:left="0"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八、合同款项支付</w:t>
      </w:r>
      <w:r/>
    </w:p>
    <w:p>
      <w:pPr>
        <w:ind w:left="0"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8.1付款方式</w:t>
      </w:r>
      <w:r/>
    </w:p>
    <w:p>
      <w:pPr>
        <w:ind w:left="0"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8.1.1对于满足合同约定支付条件的，自收到发票后10个工作日内将资金支付到合同约定的乙方账户或乙方数字人民币账户。</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.2签订合同且收到发票后10个工作日内，支付10%的合同款作为预付款；</w:t>
      </w:r>
      <w:r/>
    </w:p>
    <w:p>
      <w:pPr>
        <w:ind w:firstLine="48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rPr>
        <w:t xml:space="preserve">承办服务费。</w:t>
      </w:r>
      <w:r>
        <w:rPr>
          <w:rFonts w:hint="eastAsia" w:ascii="仿宋" w:hAnsi="仿宋" w:eastAsia="仿宋" w:cs="仿宋"/>
          <w:color w:val="auto"/>
          <w:sz w:val="24"/>
          <w:szCs w:val="24"/>
          <w:highlight w:val="none"/>
          <w:lang w:val="en-US" w:eastAsia="zh-CN" w:bidi="ar-SA"/>
        </w:rPr>
        <w:t xml:space="preserve">承办商保机构的当期承办服务费从当期长护险基金收入中计提，</w:t>
      </w:r>
      <w:r>
        <w:rPr>
          <w:rFonts w:hint="eastAsia" w:ascii="仿宋" w:hAnsi="仿宋" w:eastAsia="仿宋" w:cs="仿宋"/>
          <w:bCs/>
          <w:color w:val="auto"/>
          <w:sz w:val="24"/>
          <w:szCs w:val="24"/>
          <w:highlight w:val="none"/>
          <w:lang w:val="en-US" w:eastAsia="zh-CN"/>
        </w:rPr>
        <w:t xml:space="preserve">以中标人“承办服务费”报价中标价确定</w:t>
      </w:r>
      <w:r>
        <w:rPr>
          <w:rFonts w:hint="eastAsia" w:ascii="仿宋" w:hAnsi="仿宋" w:eastAsia="仿宋" w:cs="仿宋"/>
          <w:color w:val="auto"/>
          <w:sz w:val="24"/>
          <w:szCs w:val="24"/>
          <w:highlight w:val="none"/>
          <w:lang w:val="en-US" w:eastAsia="zh-CN" w:bidi="ar-SA"/>
        </w:rPr>
        <w:t xml:space="preserve">,后期综合考虑服务人口、机构运营成本、工作绩效等因素，合理调整承办服务费。承办服务费从长护险基金中支付。</w:t>
      </w:r>
      <w:r>
        <w:rPr>
          <w:rFonts w:hint="eastAsia" w:ascii="仿宋" w:hAnsi="仿宋" w:eastAsia="仿宋" w:cs="仿宋"/>
          <w:bCs/>
          <w:color w:val="auto"/>
          <w:sz w:val="24"/>
          <w:szCs w:val="24"/>
          <w:highlight w:val="none"/>
          <w:lang w:val="en-US" w:eastAsia="zh-CN"/>
        </w:rPr>
        <w:t xml:space="preserve">每季度初，医保经办机构以本年度参保人数的25%作为当季度计提测算基数，拨付本季度承办服务费的95%给商保机构。次年初，根据协议履行情况、服务对象满意度情况及当期考核结果，完成上一年度全部承办服务费结算。</w:t>
      </w:r>
      <w:r>
        <w:rPr>
          <w:rFonts w:hint="eastAsia" w:ascii="仿宋" w:hAnsi="仿宋" w:eastAsia="仿宋" w:cs="仿宋"/>
          <w:bCs/>
          <w:color w:val="auto"/>
          <w:sz w:val="24"/>
          <w:szCs w:val="24"/>
          <w:highlight w:val="none"/>
        </w:rPr>
        <w:t xml:space="preserve">承办服务费</w:t>
      </w:r>
      <w:r>
        <w:rPr>
          <w:rFonts w:hint="eastAsia" w:ascii="仿宋" w:hAnsi="仿宋" w:eastAsia="仿宋" w:cs="仿宋"/>
          <w:bCs/>
          <w:color w:val="auto"/>
          <w:sz w:val="24"/>
          <w:szCs w:val="24"/>
          <w:highlight w:val="none"/>
          <w:lang w:val="en-US" w:eastAsia="zh-CN"/>
        </w:rPr>
        <w:t xml:space="preserve">当期有结余的，结转到下一年。</w:t>
      </w:r>
      <w:r>
        <w:rPr>
          <w:rFonts w:hint="eastAsia" w:ascii="仿宋" w:hAnsi="仿宋" w:eastAsia="仿宋" w:cs="仿宋"/>
          <w:color w:val="auto"/>
          <w:sz w:val="24"/>
          <w:szCs w:val="24"/>
          <w:highlight w:val="none"/>
          <w:lang w:val="en-US" w:eastAsia="zh-CN" w:bidi="ar-SA"/>
        </w:rPr>
        <w:t xml:space="preserve">合同期满如有结余，结余部分返还基金，如有亏损按照承保份额承担</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招录的经办服务人员薪酬、保险及福利费用；办公经费；稽查稽核费用；培训费；宣传费；交通工具相关费用，以及长护险服务场所建设费用、办公装备设施费用</w:t>
      </w:r>
      <w:r>
        <w:rPr>
          <w:rFonts w:hint="eastAsia" w:ascii="仿宋" w:hAnsi="仿宋" w:eastAsia="仿宋" w:cs="仿宋"/>
          <w:bCs/>
          <w:color w:val="auto"/>
          <w:sz w:val="24"/>
          <w:szCs w:val="24"/>
          <w:highlight w:val="none"/>
        </w:rPr>
        <w:t xml:space="preserve">、信息系统费用(含软件开发、硬件设备、安全等保)</w:t>
      </w:r>
      <w:r>
        <w:rPr>
          <w:rFonts w:hint="eastAsia" w:ascii="仿宋" w:hAnsi="仿宋" w:eastAsia="仿宋" w:cs="仿宋"/>
          <w:color w:val="auto"/>
          <w:sz w:val="24"/>
          <w:szCs w:val="24"/>
          <w:highlight w:val="none"/>
          <w:lang w:val="en-US" w:eastAsia="zh-CN" w:bidi="ar-SA"/>
        </w:rPr>
        <w:t xml:space="preserve">一次性投入均摊等列入承办服务费。</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失能人员在待遇享受期内发生的符合长护险失能评估、护理服务项目范围和标准的费用(由市医疗保障局另行制定),从长护险基金中支付；超出长护险护理服务项目范围和标准的护理费用，长护险基金不予支付，由失能人员个人承担，并与定点服务机构直接结算。</w:t>
      </w:r>
      <w:r/>
    </w:p>
    <w:p>
      <w:pPr>
        <w:ind w:firstLine="482"/>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采购人建立与服务对象满意度、评估质量、护理服务质量挂钩的考核结算机制。可通过约定预留款等方式，每期末根据考核结果进行费用清算。</w:t>
      </w:r>
      <w:r/>
    </w:p>
    <w:p>
      <w:pPr>
        <w:numPr>
          <w:ilvl w:val="0"/>
          <w:numId w:val="0"/>
        </w:numPr>
        <w:ind w:firstLine="482"/>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根据上月长护险待遇享受人数、待遇标准，按照协议约定与定点服务机构结算费用。</w:t>
      </w:r>
      <w:r>
        <w:rPr>
          <w:rFonts w:hint="eastAsia" w:ascii="仿宋" w:hAnsi="仿宋" w:eastAsia="仿宋" w:cs="仿宋"/>
          <w:color w:val="auto"/>
          <w:sz w:val="24"/>
          <w:szCs w:val="24"/>
          <w:highlight w:val="none"/>
          <w:lang w:val="en-US" w:eastAsia="zh-CN" w:bidi="ar-SA"/>
        </w:rPr>
        <w:t xml:space="preserve">医保部门资金拨付周期，不构成承办机构延迟向定点服务机构付款的免责理由。</w:t>
      </w:r>
      <w:r/>
    </w:p>
    <w:p>
      <w:pPr>
        <w:ind w:firstLine="482"/>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每月由共保体向采购人提交长护险支付费用情况表(表样由采购人提供),每月编报长护险运行分析报告，按考核当期提交总结报告。</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保费与承办服务费分别建账、核算、考核。</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采购人按每保险期的筹资标准及期初人数</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即年初参保缴费状态正常的人数</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，计算长护险基金收入，</w:t>
      </w:r>
      <w:r>
        <w:rPr>
          <w:rFonts w:hint="eastAsia" w:ascii="仿宋" w:hAnsi="仿宋" w:eastAsia="仿宋" w:cs="仿宋"/>
          <w:bCs/>
          <w:color w:val="auto"/>
          <w:sz w:val="24"/>
          <w:szCs w:val="24"/>
          <w:highlight w:val="none"/>
          <w:lang w:eastAsia="zh-CN"/>
        </w:rPr>
        <w:t xml:space="preserve">期末根据实际参保缴费人数确定长护基金收入。</w:t>
      </w:r>
      <w:r>
        <w:rPr>
          <w:rFonts w:hint="eastAsia" w:ascii="仿宋" w:hAnsi="仿宋" w:eastAsia="仿宋" w:cs="仿宋"/>
          <w:bCs/>
          <w:color w:val="auto"/>
          <w:sz w:val="24"/>
          <w:szCs w:val="24"/>
          <w:highlight w:val="none"/>
        </w:rPr>
        <w:t xml:space="preserve">将基金收入划分长护险保费与长护险承办服务费两个科目。其中承办服务费按招标确定的承办服务费基准标准计提，其余计提划入长护险保费。</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共保体相应建立以上两个科目。合同期内，每季度初采购人按</w:t>
      </w:r>
      <w:r>
        <w:rPr>
          <w:rFonts w:hint="eastAsia" w:ascii="仿宋" w:hAnsi="仿宋" w:eastAsia="仿宋" w:cs="仿宋"/>
          <w:bCs/>
          <w:color w:val="auto"/>
          <w:sz w:val="24"/>
          <w:szCs w:val="24"/>
          <w:highlight w:val="none"/>
          <w:lang w:eastAsia="zh-CN"/>
        </w:rPr>
        <w:t xml:space="preserve">不低于</w:t>
      </w:r>
      <w:r>
        <w:rPr>
          <w:rFonts w:hint="eastAsia" w:ascii="仿宋" w:hAnsi="仿宋" w:eastAsia="仿宋" w:cs="仿宋"/>
          <w:bCs/>
          <w:color w:val="auto"/>
          <w:sz w:val="24"/>
          <w:szCs w:val="24"/>
          <w:highlight w:val="none"/>
        </w:rPr>
        <w:t xml:space="preserve">上季度长护险基金</w:t>
      </w:r>
      <w:r>
        <w:rPr>
          <w:rFonts w:hint="eastAsia" w:ascii="仿宋" w:hAnsi="仿宋" w:eastAsia="仿宋" w:cs="仿宋"/>
          <w:bCs/>
          <w:color w:val="auto"/>
          <w:sz w:val="24"/>
          <w:szCs w:val="24"/>
          <w:highlight w:val="none"/>
          <w:lang w:eastAsia="zh-CN"/>
        </w:rPr>
        <w:t xml:space="preserve">实际</w:t>
      </w:r>
      <w:r>
        <w:rPr>
          <w:rFonts w:hint="eastAsia" w:ascii="仿宋" w:hAnsi="仿宋" w:eastAsia="仿宋" w:cs="仿宋"/>
          <w:bCs/>
          <w:color w:val="auto"/>
          <w:sz w:val="24"/>
          <w:szCs w:val="24"/>
          <w:highlight w:val="none"/>
        </w:rPr>
        <w:t xml:space="preserve">支出</w:t>
      </w:r>
      <w:r>
        <w:rPr>
          <w:rFonts w:hint="eastAsia" w:ascii="仿宋" w:hAnsi="仿宋" w:eastAsia="仿宋" w:cs="仿宋"/>
          <w:bCs/>
          <w:color w:val="auto"/>
          <w:sz w:val="24"/>
          <w:szCs w:val="24"/>
          <w:highlight w:val="none"/>
          <w:lang w:eastAsia="zh-CN"/>
        </w:rPr>
        <w:t xml:space="preserve">（首季按照保费收入的</w:t>
      </w:r>
      <w:r>
        <w:rPr>
          <w:rFonts w:hint="eastAsia" w:ascii="仿宋" w:hAnsi="仿宋" w:eastAsia="仿宋" w:cs="仿宋"/>
          <w:bCs/>
          <w:color w:val="auto"/>
          <w:sz w:val="24"/>
          <w:szCs w:val="24"/>
          <w:highlight w:val="none"/>
          <w:lang w:val="en-US" w:eastAsia="zh-CN"/>
        </w:rPr>
        <w:t xml:space="preserve">20%，如有结余从下一个季度预付资金中扣除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和</w:t>
      </w:r>
      <w:r>
        <w:rPr>
          <w:rFonts w:hint="eastAsia" w:ascii="仿宋" w:hAnsi="仿宋" w:eastAsia="仿宋" w:cs="仿宋"/>
          <w:bCs/>
          <w:color w:val="auto"/>
          <w:sz w:val="24"/>
          <w:szCs w:val="24"/>
          <w:highlight w:val="none"/>
          <w:lang w:val="en-US" w:eastAsia="zh-CN"/>
        </w:rPr>
        <w:t xml:space="preserve">本季度</w:t>
      </w:r>
      <w:r>
        <w:rPr>
          <w:rFonts w:hint="eastAsia" w:ascii="仿宋" w:hAnsi="仿宋" w:eastAsia="仿宋" w:cs="仿宋"/>
          <w:bCs/>
          <w:color w:val="auto"/>
          <w:sz w:val="24"/>
          <w:szCs w:val="24"/>
          <w:highlight w:val="none"/>
        </w:rPr>
        <w:t xml:space="preserve">承办服务费的95%向共保体分别拨付两个科目的预付资金，其余部分留存采购人，分别用于对共保体各期末综合考核和承办服务质量考核，根据考核结果及时清算，</w:t>
      </w:r>
      <w:r>
        <w:rPr>
          <w:rFonts w:hint="eastAsia" w:ascii="仿宋" w:hAnsi="仿宋" w:eastAsia="仿宋" w:cs="仿宋"/>
          <w:bCs/>
          <w:color w:val="auto"/>
          <w:sz w:val="24"/>
          <w:szCs w:val="24"/>
          <w:highlight w:val="none"/>
          <w:lang w:val="en-US" w:eastAsia="zh-CN"/>
        </w:rPr>
        <w:t xml:space="preserve">合同期满如有结余，结余部分返还基金，如有亏损按照承保份额承担。</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盈亏处理：</w:t>
      </w:r>
      <w:r>
        <w:rPr>
          <w:rFonts w:hint="eastAsia" w:ascii="仿宋" w:hAnsi="仿宋" w:eastAsia="仿宋" w:cs="仿宋"/>
          <w:bCs/>
          <w:color w:val="auto"/>
          <w:sz w:val="24"/>
          <w:szCs w:val="24"/>
          <w:highlight w:val="none"/>
        </w:rPr>
        <w:t xml:space="preserve">长护险按照“以收定支、收支平衡、略有盈余”的原则建立风险共担机制。长护险保费收支结余如出现亏损，亏损2%(含)以内的部分由承办商保机构承担，2%以上的部分</w:t>
      </w:r>
      <w:r>
        <w:rPr>
          <w:rFonts w:hint="eastAsia" w:ascii="仿宋" w:hAnsi="仿宋" w:eastAsia="仿宋" w:cs="仿宋"/>
          <w:bCs/>
          <w:color w:val="auto"/>
          <w:sz w:val="24"/>
          <w:szCs w:val="24"/>
          <w:highlight w:val="none"/>
          <w:lang w:val="en-US" w:eastAsia="zh-CN"/>
        </w:rPr>
        <w:t xml:space="preserve">（亏损比例以第三方报告为唯一结算依据）</w:t>
      </w:r>
      <w:r>
        <w:rPr>
          <w:rFonts w:hint="eastAsia" w:ascii="仿宋" w:hAnsi="仿宋" w:eastAsia="仿宋" w:cs="仿宋"/>
          <w:bCs/>
          <w:color w:val="auto"/>
          <w:sz w:val="24"/>
          <w:szCs w:val="24"/>
          <w:highlight w:val="none"/>
        </w:rPr>
        <w:t xml:space="preserve">，经医疗保障行政部门综合评定后，对因政策调整导致的亏损部分，由基金承担，除政策调整原因以外导致的亏损部分，由承办商保机构承担；由采购人根据实际情况最终确定。如有盈利，则盈利部分全额返还基金。</w:t>
      </w:r>
      <w:r/>
    </w:p>
    <w:p>
      <w:pPr>
        <w:ind w:firstLine="48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承办服务费</w:t>
      </w:r>
      <w:r>
        <w:rPr>
          <w:rFonts w:hint="eastAsia" w:ascii="仿宋" w:hAnsi="仿宋" w:eastAsia="仿宋" w:cs="仿宋"/>
          <w:bCs/>
          <w:color w:val="auto"/>
          <w:sz w:val="24"/>
          <w:szCs w:val="24"/>
          <w:highlight w:val="none"/>
          <w:lang w:val="en-US" w:eastAsia="zh-CN"/>
        </w:rPr>
        <w:t xml:space="preserve">当期有结余的，结转到下一年。合同期内</w:t>
      </w:r>
      <w:r>
        <w:rPr>
          <w:rFonts w:hint="eastAsia" w:ascii="仿宋" w:hAnsi="仿宋" w:eastAsia="仿宋" w:cs="仿宋"/>
          <w:bCs/>
          <w:color w:val="auto"/>
          <w:sz w:val="24"/>
          <w:szCs w:val="24"/>
          <w:highlight w:val="none"/>
        </w:rPr>
        <w:t xml:space="preserve">承办服务费结余归采购人所有，超支的由共保体承担。</w:t>
      </w:r>
      <w:r/>
    </w:p>
    <w:p>
      <w:pPr>
        <w:ind w:firstLine="482"/>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盈利率或亏损率计算公式：[(本期长护险实际保费-本期长护险待遇支出-本期长护险评估费用支出)/本期长护险实际保费]×100%。本期长护险实际保费=当期长护险基金收入-本期长护险承办服务费</w:t>
      </w:r>
      <w:r>
        <w:rPr>
          <w:rFonts w:hint="eastAsia" w:ascii="仿宋" w:hAnsi="仿宋" w:eastAsia="仿宋" w:cs="仿宋"/>
          <w:bCs/>
          <w:color w:val="auto"/>
          <w:sz w:val="24"/>
          <w:szCs w:val="24"/>
          <w:highlight w:val="none"/>
          <w:lang w:val="en-US" w:eastAsia="zh-CN"/>
        </w:rPr>
        <w:t xml:space="preserve">计提费用</w:t>
      </w:r>
      <w:r>
        <w:rPr>
          <w:rFonts w:hint="eastAsia" w:ascii="仿宋" w:hAnsi="仿宋" w:eastAsia="仿宋" w:cs="仿宋"/>
          <w:bCs/>
          <w:color w:val="auto"/>
          <w:sz w:val="24"/>
          <w:szCs w:val="24"/>
          <w:highlight w:val="none"/>
        </w:rPr>
        <w:t xml:space="preserve">。承办服务费含共保体招录的经办服务人员薪酬、保险及福利费用；办公经费；稽核费用；培训费；宣传费；交通工具相关费用，以及长护险服务场所建设费用、办公装备设施费用、信息系统费用(含软件开发、硬件设备、安全等保)一次性投入均摊等。</w:t>
      </w:r>
      <w:r/>
    </w:p>
    <w:p>
      <w:pPr>
        <w:ind w:firstLine="482"/>
        <w:jc w:val="both"/>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注：1.在签订合同时，中标人明确表示无需预付款或者主动要求降低预付款比例的金额，采购人可不适用预付款规定。</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8.2绩效考核、按月结算、评估机构全责约束条款。约定开展年度考核，考核结果作为承办服务费清算、份额调整、合同解除唯一依据。</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8.2.1按月结算履约违约责任</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乙方必须执行每月10个工作日内足额拨付上月定点护理机构、定点评估机构结算资金制度，不得以甲方季度预拨基金延迟、资金未到位为由拖欠、缓付定点机构款项，该抗辩理由甲方不予认可。</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（1）单笔逾期拨付超5个工作日，按应付未付金额万分之五每日向甲方支付违约金；</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（2）单季度出现3家及以上定点机构结算逾期，扣除当期全部考核预留服务费；</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（3）因长期拖欠引发定点机构集体上访、媒体负面舆情，甲方有权单方解除合同，乙方承担全部基金损失及舆情处置成本。</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8.2.2评估机构过错兜底追责约定</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乙方为失能评估工作牵头责任方，配合经办机构与所有定点评估机构签订管理协议，建立保证金、违约追偿机制。凡评估机构出现以下情形，全部认定为乙方未尽管理义务，甲方直接向乙方追责：</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（1）未按规定时限、标准开展评估，结论失真、虚假评估；</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（2）评估人员收受财物、篡改材料、协助参保人骗取长护险待遇；</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（3）未配合甲方抽查、拒不整改评估问题；</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（4）评估差错造成基金流失、参保人大规模投诉。</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出现上述情形，甲方有权：①每起扣年度考核10分；②追回全部违规支出基金；③要求乙方支付违规金额20%违约金；④情节严重直接终止承办合同。</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b/>
          <w:bCs w:val="0"/>
          <w:color w:val="auto"/>
          <w:sz w:val="24"/>
          <w:szCs w:val="24"/>
          <w:highlight w:val="none"/>
          <w:lang w:val="zh-CN"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乙方考核年度不合格，预留服务费不予支付；连续两次半年考核不合格，甲方有权提前终止本服务合同，乙方须配合完成3个月业务交接，交接期间产生的结算、评估差错全部由乙方承担。</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highlight w:val="none"/>
          <w:lang w:val="en-US" w:eastAsia="zh-CN"/>
        </w:rPr>
        <w:t xml:space="preserve">8.3</w:t>
      </w:r>
      <w:r>
        <w:rPr>
          <w:rFonts w:hint="eastAsia" w:ascii="仿宋" w:hAnsi="仿宋" w:eastAsia="仿宋" w:cs="仿宋"/>
          <w:bCs/>
          <w:color w:val="auto"/>
          <w:sz w:val="24"/>
          <w:szCs w:val="24"/>
          <w:highlight w:val="none"/>
          <w:lang w:val="zh-CN" w:eastAsia="zh-CN" w:bidi="ar-SA"/>
        </w:rPr>
        <w:t xml:space="preserve">本合同金额以为准。</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highlight w:val="none"/>
          <w:lang w:val="en-US" w:eastAsia="zh-CN"/>
        </w:rPr>
        <w:t xml:space="preserve">8.4</w:t>
      </w:r>
      <w:r>
        <w:rPr>
          <w:rFonts w:hint="eastAsia" w:ascii="仿宋" w:hAnsi="仿宋" w:eastAsia="仿宋" w:cs="仿宋"/>
          <w:color w:val="auto"/>
          <w:sz w:val="24"/>
          <w:szCs w:val="24"/>
          <w:highlight w:val="none"/>
        </w:rPr>
        <w:t xml:space="preserve">发票开具方式：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具体由甲方指定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highlight w:val="none"/>
          <w:lang w:val="en-US" w:eastAsia="zh-CN"/>
        </w:rPr>
        <w:t xml:space="preserve">8.5</w:t>
      </w:r>
      <w:r>
        <w:rPr>
          <w:rFonts w:hint="eastAsia" w:ascii="仿宋" w:hAnsi="仿宋" w:eastAsia="仿宋" w:cs="仿宋"/>
          <w:color w:val="auto"/>
          <w:sz w:val="24"/>
          <w:szCs w:val="24"/>
          <w:highlight w:val="none"/>
          <w:lang w:val="en-US" w:eastAsia="zh-CN" w:bidi="ar-SA"/>
        </w:rPr>
        <w:t xml:space="preserve">乙方收款账户信息</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乙方开户银行：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left="0" w:firstLine="480"/>
        <w:jc w:val="both"/>
        <w:keepLines w:val="0"/>
        <w:keepNext w:val="0"/>
        <w:pageBreakBefore w:val="0"/>
        <w:spacing w:before="0" w:beforeAutospacing="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乙方开户名称：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乙方开户账号：</w:t>
      </w:r>
      <w:r>
        <w:rPr>
          <w:rFonts w:hint="eastAsia" w:ascii="仿宋" w:hAnsi="仿宋" w:eastAsia="仿宋" w:cs="仿宋"/>
          <w:color w:val="auto"/>
          <w:sz w:val="24"/>
          <w:szCs w:val="24"/>
          <w:highlight w:val="none"/>
          <w:u w:val="single"/>
          <w:lang w:val="en-US" w:eastAsia="zh-CN" w:bidi="ar-SA"/>
        </w:rPr>
        <w:t xml:space="preserve">                                           </w:t>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、税费</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.1本合同执行中相关的一切税费均由乙方负担。</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十、违约责任</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（一）除不可抗力外，如果乙方没有按照本合同约定的期限、地点或方式履行，那么甲方可要求乙方支付违约金，违约金按每迟延履行一日的合同总价款的</w:t>
      </w:r>
      <w:r>
        <w:rPr>
          <w:rFonts w:hint="eastAsia" w:ascii="仿宋" w:hAnsi="仿宋" w:eastAsia="仿宋" w:cs="仿宋"/>
          <w:color w:val="auto"/>
          <w:sz w:val="24"/>
          <w:szCs w:val="24"/>
          <w:highlight w:val="none"/>
          <w:u w:val="single"/>
          <w:lang w:val="en-US" w:eastAsia="zh-CN" w:bidi="ar-SA"/>
        </w:rPr>
        <w:t xml:space="preserve">1%</w:t>
      </w:r>
      <w:r>
        <w:rPr>
          <w:rFonts w:hint="eastAsia" w:ascii="仿宋" w:hAnsi="仿宋" w:eastAsia="仿宋" w:cs="仿宋"/>
          <w:color w:val="auto"/>
          <w:sz w:val="24"/>
          <w:szCs w:val="24"/>
          <w:highlight w:val="none"/>
          <w:lang w:val="en-US" w:eastAsia="zh-CN" w:bidi="ar-SA"/>
        </w:rPr>
        <w:t xml:space="preserve">计算，逾期达30日以上，甲方享有单方解除权，在乙方收到甲方的书面解除通知后本合同视为解除，乙方除返还甲方已付款项外，另向甲方支付合同总价款30%违约金如不足弥补给甲方造成的损失，甲方有权索赔。</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（二）非因甲方原因，乙方不履行本合同规定的其他义务之一的，甲方有权要求其继续履行，并要求乙方支付合同总价</w:t>
      </w:r>
      <w:r>
        <w:rPr>
          <w:rFonts w:hint="eastAsia" w:ascii="仿宋" w:hAnsi="仿宋" w:eastAsia="仿宋" w:cs="仿宋"/>
          <w:color w:val="auto"/>
          <w:sz w:val="24"/>
          <w:szCs w:val="24"/>
          <w:highlight w:val="none"/>
          <w:u w:val="single"/>
          <w:lang w:val="en-US" w:eastAsia="zh-CN" w:bidi="ar-SA"/>
        </w:rPr>
        <w:t xml:space="preserve">10%</w:t>
      </w:r>
      <w:r>
        <w:rPr>
          <w:rFonts w:hint="eastAsia" w:ascii="仿宋" w:hAnsi="仿宋" w:eastAsia="仿宋" w:cs="仿宋"/>
          <w:color w:val="auto"/>
          <w:sz w:val="24"/>
          <w:szCs w:val="24"/>
          <w:highlight w:val="none"/>
          <w:lang w:val="en-US" w:eastAsia="zh-CN" w:bidi="ar-SA"/>
        </w:rPr>
        <w:t xml:space="preserve">违约金；未按甲方要求进行整改的，甲方有权解除本合同，乙方除退还甲方已付款项外，乙方另应支付合同总价</w:t>
      </w:r>
      <w:r>
        <w:rPr>
          <w:rFonts w:hint="eastAsia" w:ascii="仿宋" w:hAnsi="仿宋" w:eastAsia="仿宋" w:cs="仿宋"/>
          <w:color w:val="auto"/>
          <w:sz w:val="24"/>
          <w:szCs w:val="24"/>
          <w:highlight w:val="none"/>
          <w:u w:val="single"/>
          <w:lang w:val="en-US" w:eastAsia="zh-CN" w:bidi="ar-SA"/>
        </w:rPr>
        <w:t xml:space="preserve">30%</w:t>
      </w:r>
      <w:r>
        <w:rPr>
          <w:rFonts w:hint="eastAsia" w:ascii="仿宋" w:hAnsi="仿宋" w:eastAsia="仿宋" w:cs="仿宋"/>
          <w:color w:val="auto"/>
          <w:sz w:val="24"/>
          <w:szCs w:val="24"/>
          <w:highlight w:val="none"/>
          <w:lang w:val="en-US" w:eastAsia="zh-CN" w:bidi="ar-SA"/>
        </w:rPr>
        <w:t xml:space="preserve">的违约金。不足弥补甲方损失的，仍需赔偿。</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（三）本项目不得转让分包，如有发生，无条件清理退场，所造成的一切损失由乙方负责。</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（四）甲方未按约定期限付款的，除向乙方支付货款外，须按中国人民银行有关规定向乙方支付滞纳金。</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五）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六）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七）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（八）如果出现政府采购监督管理部门在处理投诉事项期间，书面通知甲方暂停采购活动的情形，或者询问或质疑事项可能影响中标结果的，导致甲方中止或终止履行合同的情形，均不视为甲方违约。</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十一、项目验收</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11.1甲方依法组织履约验收工作。</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11.3对于实际使用人和甲方分离的项目，甲方邀请实际使用人参与验收。</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11.4如有必要，甲方邀请参加本项目的其他投标人或第三方专业机构及专家参与验收，相关意见将作为验收书的参考资料。</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0"/>
        <w:jc w:val="both"/>
        <w:keepLines w:val="0"/>
        <w:keepNext w:val="0"/>
        <w:pageBreakBefore w:val="0"/>
        <w:spacing w:before="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11.7</w:t>
      </w:r>
      <w:r>
        <w:rPr>
          <w:rFonts w:hint="eastAsia" w:ascii="仿宋" w:hAnsi="仿宋" w:eastAsia="仿宋" w:cs="仿宋"/>
          <w:bCs/>
          <w:color w:val="auto"/>
          <w:sz w:val="24"/>
          <w:szCs w:val="24"/>
          <w:highlight w:val="none"/>
          <w:lang w:val="en-US" w:eastAsia="zh-CN"/>
        </w:rPr>
        <w:t xml:space="preserve">合同履行期满，</w:t>
      </w:r>
      <w:r>
        <w:rPr>
          <w:rFonts w:hint="eastAsia" w:ascii="仿宋" w:hAnsi="仿宋" w:eastAsia="仿宋" w:cs="仿宋"/>
          <w:color w:val="auto"/>
          <w:sz w:val="24"/>
          <w:szCs w:val="24"/>
          <w:highlight w:val="none"/>
          <w:lang w:val="en-US" w:eastAsia="zh-CN" w:bidi="ar-SA"/>
        </w:rPr>
        <w:t xml:space="preserve">乙方</w:t>
      </w:r>
      <w:r>
        <w:rPr>
          <w:rFonts w:hint="eastAsia" w:ascii="仿宋" w:hAnsi="仿宋" w:eastAsia="仿宋" w:cs="仿宋"/>
          <w:bCs/>
          <w:color w:val="auto"/>
          <w:sz w:val="24"/>
          <w:szCs w:val="24"/>
          <w:highlight w:val="none"/>
          <w:lang w:val="en-US" w:eastAsia="zh-CN"/>
        </w:rPr>
        <w:t xml:space="preserve">向甲方提交项目验收资料以及验收申请单，甲方收到申请后3个工作日内组织验收且验收无问题后签署验收单。</w:t>
      </w:r>
      <w:bookmarkEnd w:id="188"/>
      <w:bookmarkEnd w:id="189"/>
      <w:bookmarkEnd w:id="190"/>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bookmarkStart w:id="191" w:name="_Toc15293"/>
      <w:r/>
      <w:bookmarkStart w:id="192" w:name="_Toc49090575"/>
      <w:r/>
      <w:bookmarkStart w:id="193" w:name="_Toc120614281"/>
      <w:r/>
      <w:bookmarkStart w:id="194" w:name="_Toc26554093"/>
      <w:r/>
      <w:bookmarkStart w:id="195" w:name="_Toc462564139"/>
      <w:r/>
      <w:bookmarkStart w:id="196" w:name="_Toc479757211"/>
      <w:r>
        <w:rPr>
          <w:rFonts w:hint="eastAsia" w:ascii="仿宋" w:hAnsi="仿宋" w:eastAsia="仿宋" w:cs="仿宋"/>
          <w:b/>
          <w:color w:val="auto"/>
          <w:sz w:val="24"/>
          <w:szCs w:val="24"/>
          <w:highlight w:val="none"/>
          <w:lang w:val="en-US" w:eastAsia="zh-CN" w:bidi="ar-SA"/>
        </w:rPr>
        <w:t xml:space="preserve">十二、不可抗力事件处理</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十三、解决争议的方法</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13.1甲乙双方发生有关长护险争议时，可通过协商解决；协商不成甲乙双方一致同意提交甲方所在地人民法院管辖。</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十四、特殊情况处理</w:t>
      </w:r>
      <w:r/>
    </w:p>
    <w:p>
      <w:pPr>
        <w:ind w:firstLine="480"/>
        <w:jc w:val="both"/>
        <w:keepLines w:val="0"/>
        <w:keepNext w:val="0"/>
        <w:pageBreakBefore w:val="0"/>
        <w:spacing w:line="360" w:lineRule="auto"/>
        <w:widowControl w:val="off"/>
        <w:rPr>
          <w:rStyle w:val="705"/>
          <w:rFonts w:hint="eastAsia" w:ascii="仿宋" w:hAnsi="仿宋" w:eastAsia="仿宋" w:cs="仿宋"/>
          <w:color w:val="auto"/>
          <w:sz w:val="24"/>
          <w:szCs w:val="24"/>
          <w:highlight w:val="none"/>
          <w:lang w:val="en-US" w:eastAsia="zh-CN" w:bidi="ar-SA"/>
        </w:rPr>
      </w:pPr>
      <w:r>
        <w:rPr>
          <w:rStyle w:val="705"/>
          <w:rFonts w:hint="eastAsia" w:ascii="仿宋" w:hAnsi="仿宋" w:eastAsia="仿宋" w:cs="仿宋"/>
          <w:color w:val="auto"/>
          <w:sz w:val="24"/>
          <w:szCs w:val="24"/>
          <w:highlight w:val="none"/>
          <w:lang w:val="en-US" w:eastAsia="zh-CN" w:bidi="ar-SA"/>
        </w:rPr>
        <w:t xml:space="preserve">如因乙方不能履行合同，影响了参保人权益，甲方按政策规定履行职能，停止拨付尚未拨付的长护险相关资金，甲方有权提前终止或解除合同，并报相关部门追究其责任。</w:t>
      </w:r>
      <w:r/>
    </w:p>
    <w:p>
      <w:pPr>
        <w:ind w:left="0" w:firstLine="482"/>
        <w:jc w:val="both"/>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十五、合同生效及其它</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15.1合同经双方法定代表人或授权委托代表人签字并加盖单位公章后生效。</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15.2本合同未尽事宜，遵照《民法典》、《政府采购法》有关条文执行。</w:t>
      </w:r>
      <w:r/>
    </w:p>
    <w:p>
      <w:pPr>
        <w:pStyle w:val="1026"/>
        <w:ind w:firstLine="480"/>
        <w:keepLines w:val="0"/>
        <w:keepNext w:val="0"/>
        <w:pageBreakBefore w:val="0"/>
        <w:spacing w:line="360" w:lineRule="auto"/>
        <w:rPr>
          <w:rStyle w:val="705"/>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15.3本合同正本一式</w:t>
      </w:r>
      <w:r>
        <w:rPr>
          <w:rStyle w:val="705"/>
          <w:rFonts w:hint="eastAsia" w:ascii="仿宋" w:hAnsi="仿宋" w:eastAsia="仿宋" w:cs="仿宋"/>
          <w:color w:val="auto"/>
          <w:sz w:val="24"/>
          <w:szCs w:val="24"/>
          <w:highlight w:val="none"/>
        </w:rPr>
        <w:t xml:space="preserve">拾壹</w:t>
      </w:r>
      <w:r>
        <w:rPr>
          <w:rFonts w:hint="eastAsia" w:ascii="仿宋" w:hAnsi="仿宋" w:eastAsia="仿宋" w:cs="仿宋"/>
          <w:color w:val="auto"/>
          <w:sz w:val="24"/>
          <w:szCs w:val="24"/>
          <w:highlight w:val="none"/>
          <w:lang w:val="en-US" w:eastAsia="zh-CN" w:bidi="ar-SA"/>
        </w:rPr>
        <w:t xml:space="preserve">份，</w:t>
      </w:r>
      <w:r>
        <w:rPr>
          <w:rStyle w:val="705"/>
          <w:rFonts w:hint="eastAsia" w:ascii="仿宋" w:hAnsi="仿宋" w:eastAsia="仿宋" w:cs="仿宋"/>
          <w:color w:val="auto"/>
          <w:sz w:val="24"/>
          <w:szCs w:val="24"/>
          <w:highlight w:val="none"/>
        </w:rPr>
        <w:t xml:space="preserve">合同各方各执壹份</w:t>
      </w:r>
      <w:r>
        <w:rPr>
          <w:rFonts w:hint="eastAsia" w:ascii="仿宋" w:hAnsi="仿宋" w:eastAsia="仿宋" w:cs="仿宋"/>
          <w:color w:val="auto"/>
          <w:sz w:val="24"/>
          <w:szCs w:val="24"/>
          <w:highlight w:val="none"/>
          <w:lang w:val="en-US" w:eastAsia="zh-CN" w:bidi="ar-SA"/>
        </w:rPr>
        <w:t xml:space="preserve">，具有同等法律效力。</w:t>
      </w:r>
      <w:r/>
    </w:p>
    <w:p>
      <w:pPr>
        <w:pStyle w:val="1026"/>
        <w:ind w:firstLine="480"/>
        <w:keepLines w:val="0"/>
        <w:keepNext w:val="0"/>
        <w:pageBreakBefore w:val="0"/>
        <w:spacing w:line="360" w:lineRule="auto"/>
        <w:rPr>
          <w:rStyle w:val="705"/>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26"/>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甲方：</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（盖章）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地址：</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法定（授权）代表人：</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u w:val="none"/>
          <w:lang w:val="en-US" w:eastAsia="zh-CN"/>
        </w:rPr>
        <w:t xml:space="preserve">签字或盖章</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联系电话：</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乙方1：</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（盖章）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地址：</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u w:val="single"/>
        </w:rPr>
      </w:pPr>
      <w:r>
        <w:rPr>
          <w:rStyle w:val="705"/>
          <w:rFonts w:hint="eastAsia" w:ascii="仿宋" w:hAnsi="仿宋" w:eastAsia="仿宋" w:cs="仿宋"/>
          <w:color w:val="auto"/>
          <w:sz w:val="24"/>
          <w:highlight w:val="none"/>
        </w:rPr>
        <w:t xml:space="preserve">法定（授权）代表人：</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u w:val="none"/>
          <w:lang w:val="en-US" w:eastAsia="zh-CN"/>
        </w:rPr>
        <w:t xml:space="preserve">签字或盖章</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highlight w:val="none"/>
          <w:u w:val="single"/>
        </w:rPr>
      </w:pPr>
      <w:r>
        <w:rPr>
          <w:rStyle w:val="705"/>
          <w:rFonts w:hint="eastAsia" w:ascii="仿宋" w:hAnsi="仿宋" w:eastAsia="仿宋" w:cs="仿宋"/>
          <w:color w:val="auto"/>
          <w:sz w:val="24"/>
          <w:highlight w:val="none"/>
        </w:rPr>
        <w:t xml:space="preserve">联系电话：</w:t>
      </w:r>
      <w:r>
        <w:rPr>
          <w:rStyle w:val="705"/>
          <w:rFonts w:hint="eastAsia" w:ascii="仿宋" w:hAnsi="仿宋" w:eastAsia="仿宋" w:cs="仿宋"/>
          <w:color w:val="auto"/>
          <w:sz w:val="24"/>
          <w:highlight w:val="none"/>
          <w:u w:val="single"/>
        </w:rPr>
        <w:t xml:space="preserve">                            </w:t>
      </w:r>
      <w:r/>
    </w:p>
    <w:p>
      <w:pPr>
        <w:pStyle w:val="1029"/>
        <w:ind w:firstLine="40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0"/>
          <w:highlight w:val="none"/>
        </w:rPr>
        <w:t xml:space="preserve"> </w:t>
      </w:r>
      <w:r>
        <w:rPr>
          <w:rStyle w:val="705"/>
          <w:rFonts w:hint="eastAsia" w:ascii="仿宋" w:hAnsi="仿宋" w:eastAsia="仿宋" w:cs="仿宋"/>
          <w:color w:val="auto"/>
          <w:sz w:val="24"/>
          <w:highlight w:val="none"/>
        </w:rPr>
        <w:t xml:space="preserve">开户银行：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开户名称：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开户账号：</w:t>
      </w:r>
      <w:r/>
    </w:p>
    <w:p>
      <w:pPr>
        <w:pStyle w:val="1030"/>
        <w:ind w:firstLine="400"/>
        <w:keepLines w:val="0"/>
        <w:keepNext w:val="0"/>
        <w:pageBreakBefore w:val="0"/>
        <w:spacing w:after="0" w:line="360" w:lineRule="auto"/>
        <w:rPr>
          <w:rStyle w:val="705"/>
          <w:rFonts w:hint="eastAsia" w:eastAsia="宋体" w:cs="Times New Roman"/>
          <w:color w:val="auto"/>
          <w:highlight w:val="none"/>
        </w:rPr>
      </w:pPr>
      <w:r>
        <w:rPr>
          <w:rFonts w:hint="eastAsia" w:eastAsia="宋体" w:cs="Times New Roman"/>
          <w:color w:val="auto"/>
          <w:highlight w:val="none"/>
        </w:rPr>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乙方2：</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（盖章）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地址：</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u w:val="single"/>
        </w:rPr>
      </w:pPr>
      <w:r>
        <w:rPr>
          <w:rStyle w:val="705"/>
          <w:rFonts w:hint="eastAsia" w:ascii="仿宋" w:hAnsi="仿宋" w:eastAsia="仿宋" w:cs="仿宋"/>
          <w:color w:val="auto"/>
          <w:sz w:val="24"/>
          <w:highlight w:val="none"/>
        </w:rPr>
        <w:t xml:space="preserve">法定（授权）代表人：</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u w:val="none"/>
          <w:lang w:val="en-US" w:eastAsia="zh-CN"/>
        </w:rPr>
        <w:t xml:space="preserve">签字或盖章</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highlight w:val="none"/>
          <w:u w:val="single"/>
        </w:rPr>
      </w:pPr>
      <w:r>
        <w:rPr>
          <w:rStyle w:val="705"/>
          <w:rFonts w:hint="eastAsia" w:ascii="仿宋" w:hAnsi="仿宋" w:eastAsia="仿宋" w:cs="仿宋"/>
          <w:color w:val="auto"/>
          <w:sz w:val="24"/>
          <w:highlight w:val="none"/>
        </w:rPr>
        <w:t xml:space="preserve">联系电话：</w:t>
      </w:r>
      <w:r>
        <w:rPr>
          <w:rStyle w:val="705"/>
          <w:rFonts w:hint="eastAsia" w:ascii="仿宋" w:hAnsi="仿宋" w:eastAsia="仿宋" w:cs="仿宋"/>
          <w:color w:val="auto"/>
          <w:sz w:val="24"/>
          <w:highlight w:val="none"/>
          <w:u w:val="single"/>
        </w:rPr>
        <w:t xml:space="preserve">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开户银行：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开户名称：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开户账号：</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乙方3：</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（盖章）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地址：</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u w:val="single"/>
        </w:rPr>
      </w:pPr>
      <w:r>
        <w:rPr>
          <w:rStyle w:val="705"/>
          <w:rFonts w:hint="eastAsia" w:ascii="仿宋" w:hAnsi="仿宋" w:eastAsia="仿宋" w:cs="仿宋"/>
          <w:color w:val="auto"/>
          <w:sz w:val="24"/>
          <w:highlight w:val="none"/>
        </w:rPr>
        <w:t xml:space="preserve">法定（授权）代表人：</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u w:val="none"/>
          <w:lang w:val="en-US" w:eastAsia="zh-CN"/>
        </w:rPr>
        <w:t xml:space="preserve">签字或盖章</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highlight w:val="none"/>
          <w:u w:val="single"/>
        </w:rPr>
      </w:pPr>
      <w:r>
        <w:rPr>
          <w:rStyle w:val="705"/>
          <w:rFonts w:hint="eastAsia" w:ascii="仿宋" w:hAnsi="仿宋" w:eastAsia="仿宋" w:cs="仿宋"/>
          <w:color w:val="auto"/>
          <w:sz w:val="24"/>
          <w:highlight w:val="none"/>
        </w:rPr>
        <w:t xml:space="preserve">联系电话：</w:t>
      </w:r>
      <w:r>
        <w:rPr>
          <w:rStyle w:val="705"/>
          <w:rFonts w:hint="eastAsia" w:ascii="仿宋" w:hAnsi="仿宋" w:eastAsia="仿宋" w:cs="仿宋"/>
          <w:color w:val="auto"/>
          <w:sz w:val="24"/>
          <w:highlight w:val="none"/>
          <w:u w:val="single"/>
        </w:rPr>
        <w:t xml:space="preserve">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开户银行：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开户名称：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开户账号：</w:t>
      </w:r>
      <w:r/>
    </w:p>
    <w:p>
      <w:pPr>
        <w:pStyle w:val="1031"/>
        <w:ind w:firstLine="400"/>
        <w:keepLines w:val="0"/>
        <w:keepNext w:val="0"/>
        <w:pageBreakBefore w:val="0"/>
        <w:spacing w:line="360" w:lineRule="auto"/>
        <w:rPr>
          <w:rStyle w:val="705"/>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乙方4：</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（盖章）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地址：</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u w:val="single"/>
        </w:rPr>
      </w:pPr>
      <w:r>
        <w:rPr>
          <w:rStyle w:val="705"/>
          <w:rFonts w:hint="eastAsia" w:ascii="仿宋" w:hAnsi="仿宋" w:eastAsia="仿宋" w:cs="仿宋"/>
          <w:color w:val="auto"/>
          <w:sz w:val="24"/>
          <w:highlight w:val="none"/>
        </w:rPr>
        <w:t xml:space="preserve">法定（授权）代表人：</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u w:val="none"/>
          <w:lang w:val="en-US" w:eastAsia="zh-CN"/>
        </w:rPr>
        <w:t xml:space="preserve">签字或盖章</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highlight w:val="none"/>
          <w:u w:val="single"/>
        </w:rPr>
      </w:pPr>
      <w:r>
        <w:rPr>
          <w:rStyle w:val="705"/>
          <w:rFonts w:hint="eastAsia" w:ascii="仿宋" w:hAnsi="仿宋" w:eastAsia="仿宋" w:cs="仿宋"/>
          <w:color w:val="auto"/>
          <w:sz w:val="24"/>
          <w:highlight w:val="none"/>
        </w:rPr>
        <w:t xml:space="preserve">联系电话：</w:t>
      </w:r>
      <w:r>
        <w:rPr>
          <w:rStyle w:val="705"/>
          <w:rFonts w:hint="eastAsia" w:ascii="仿宋" w:hAnsi="仿宋" w:eastAsia="仿宋" w:cs="仿宋"/>
          <w:color w:val="auto"/>
          <w:sz w:val="24"/>
          <w:highlight w:val="none"/>
          <w:u w:val="single"/>
        </w:rPr>
        <w:t xml:space="preserve">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开户银行：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开户名称：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开户账号：</w:t>
      </w:r>
      <w:r/>
    </w:p>
    <w:p>
      <w:pPr>
        <w:pStyle w:val="1030"/>
        <w:ind w:firstLine="400"/>
        <w:keepLines w:val="0"/>
        <w:keepNext w:val="0"/>
        <w:pageBreakBefore w:val="0"/>
        <w:spacing w:after="0" w:line="360" w:lineRule="auto"/>
        <w:rPr>
          <w:rStyle w:val="705"/>
          <w:rFonts w:hint="eastAsia" w:eastAsia="宋体" w:cs="Times New Roman"/>
          <w:color w:val="auto"/>
          <w:highlight w:val="none"/>
        </w:rPr>
      </w:pPr>
      <w:r>
        <w:rPr>
          <w:rFonts w:hint="eastAsia" w:eastAsia="宋体" w:cs="Times New Roman"/>
          <w:color w:val="auto"/>
          <w:highlight w:val="none"/>
        </w:rPr>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乙方5：</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（盖章）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地址：</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u w:val="single"/>
        </w:rPr>
      </w:pPr>
      <w:r>
        <w:rPr>
          <w:rStyle w:val="705"/>
          <w:rFonts w:hint="eastAsia" w:ascii="仿宋" w:hAnsi="仿宋" w:eastAsia="仿宋" w:cs="仿宋"/>
          <w:color w:val="auto"/>
          <w:sz w:val="24"/>
          <w:highlight w:val="none"/>
        </w:rPr>
        <w:t xml:space="preserve">法定（授权）代表人：</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u w:val="none"/>
          <w:lang w:val="en-US" w:eastAsia="zh-CN"/>
        </w:rPr>
        <w:t xml:space="preserve">签字或盖章</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highlight w:val="none"/>
          <w:u w:val="single"/>
        </w:rPr>
      </w:pPr>
      <w:r>
        <w:rPr>
          <w:rStyle w:val="705"/>
          <w:rFonts w:hint="eastAsia" w:ascii="仿宋" w:hAnsi="仿宋" w:eastAsia="仿宋" w:cs="仿宋"/>
          <w:color w:val="auto"/>
          <w:sz w:val="24"/>
          <w:highlight w:val="none"/>
        </w:rPr>
        <w:t xml:space="preserve">联系电话：</w:t>
      </w:r>
      <w:r>
        <w:rPr>
          <w:rStyle w:val="705"/>
          <w:rFonts w:hint="eastAsia" w:ascii="仿宋" w:hAnsi="仿宋" w:eastAsia="仿宋" w:cs="仿宋"/>
          <w:color w:val="auto"/>
          <w:sz w:val="24"/>
          <w:highlight w:val="none"/>
          <w:u w:val="single"/>
        </w:rPr>
        <w:t xml:space="preserve">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开户银行：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开户名称：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开户账号：</w:t>
      </w:r>
      <w:r/>
    </w:p>
    <w:p>
      <w:pPr>
        <w:pStyle w:val="1030"/>
        <w:ind w:firstLine="400"/>
        <w:keepLines w:val="0"/>
        <w:keepNext w:val="0"/>
        <w:pageBreakBefore w:val="0"/>
        <w:spacing w:after="0" w:line="360" w:lineRule="auto"/>
        <w:rPr>
          <w:rStyle w:val="705"/>
          <w:rFonts w:hint="eastAsia" w:eastAsia="宋体" w:cs="Times New Roman"/>
          <w:color w:val="auto"/>
          <w:highlight w:val="none"/>
        </w:rPr>
      </w:pPr>
      <w:r>
        <w:rPr>
          <w:rFonts w:hint="eastAsia" w:eastAsia="宋体" w:cs="Times New Roman"/>
          <w:color w:val="auto"/>
          <w:highlight w:val="none"/>
        </w:rPr>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乙方6：</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（盖章）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地址：</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u w:val="single"/>
        </w:rPr>
      </w:pPr>
      <w:r>
        <w:rPr>
          <w:rStyle w:val="705"/>
          <w:rFonts w:hint="eastAsia" w:ascii="仿宋" w:hAnsi="仿宋" w:eastAsia="仿宋" w:cs="仿宋"/>
          <w:color w:val="auto"/>
          <w:sz w:val="24"/>
          <w:highlight w:val="none"/>
        </w:rPr>
        <w:t xml:space="preserve">法定（授权）代表人：</w:t>
      </w:r>
      <w:r>
        <w:rPr>
          <w:rStyle w:val="705"/>
          <w:rFonts w:hint="eastAsia" w:ascii="仿宋" w:hAnsi="仿宋" w:eastAsia="仿宋" w:cs="仿宋"/>
          <w:color w:val="auto"/>
          <w:sz w:val="24"/>
          <w:highlight w:val="none"/>
          <w:u w:val="singl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highlight w:val="none"/>
          <w:u w:val="single"/>
        </w:rPr>
      </w:pPr>
      <w:r>
        <w:rPr>
          <w:rStyle w:val="705"/>
          <w:rFonts w:hint="eastAsia" w:ascii="仿宋" w:hAnsi="仿宋" w:eastAsia="仿宋" w:cs="仿宋"/>
          <w:color w:val="auto"/>
          <w:sz w:val="24"/>
          <w:highlight w:val="none"/>
        </w:rPr>
        <w:t xml:space="preserve">联系电话：</w:t>
      </w:r>
      <w:r>
        <w:rPr>
          <w:rStyle w:val="705"/>
          <w:rFonts w:hint="eastAsia" w:ascii="仿宋" w:hAnsi="仿宋" w:eastAsia="仿宋" w:cs="仿宋"/>
          <w:color w:val="auto"/>
          <w:sz w:val="24"/>
          <w:highlight w:val="none"/>
          <w:u w:val="single"/>
        </w:rPr>
        <w:t xml:space="preserve">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开户银行：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开户名称：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开户账号：</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乙方7：</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（盖章）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地址：</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sz w:val="24"/>
          <w:highlight w:val="none"/>
          <w:u w:val="single"/>
        </w:rPr>
      </w:pPr>
      <w:r>
        <w:rPr>
          <w:rStyle w:val="705"/>
          <w:rFonts w:hint="eastAsia" w:ascii="仿宋" w:hAnsi="仿宋" w:eastAsia="仿宋" w:cs="仿宋"/>
          <w:color w:val="auto"/>
          <w:sz w:val="24"/>
          <w:highlight w:val="none"/>
        </w:rPr>
        <w:t xml:space="preserve">法定（授权）代表人：</w:t>
      </w:r>
      <w:r>
        <w:rPr>
          <w:rStyle w:val="705"/>
          <w:rFonts w:hint="eastAsia" w:ascii="仿宋" w:hAnsi="仿宋" w:eastAsia="仿宋" w:cs="仿宋"/>
          <w:color w:val="auto"/>
          <w:sz w:val="24"/>
          <w:highlight w:val="none"/>
          <w:u w:val="single"/>
        </w:rPr>
        <w:t xml:space="preserve">                  </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u w:val="none"/>
          <w:lang w:val="en-US" w:eastAsia="zh-CN"/>
        </w:rPr>
        <w:t xml:space="preserve">签字或盖章</w:t>
      </w:r>
      <w:r>
        <w:rPr>
          <w:rStyle w:val="705"/>
          <w:rFonts w:hint="eastAsia" w:ascii="仿宋" w:hAnsi="仿宋" w:eastAsia="仿宋" w:cs="仿宋"/>
          <w:color w:val="auto"/>
          <w:sz w:val="24"/>
          <w:highlight w:val="none"/>
          <w:u w:val="none"/>
          <w:lang w:eastAsia="zh-CN"/>
        </w:rPr>
        <w:t xml:space="preserve">）</w:t>
      </w:r>
      <w:r>
        <w:rPr>
          <w:rStyle w:val="705"/>
          <w:rFonts w:hint="eastAsia" w:ascii="仿宋" w:hAnsi="仿宋" w:eastAsia="仿宋" w:cs="仿宋"/>
          <w:color w:val="auto"/>
          <w:sz w:val="24"/>
          <w:highlight w:val="none"/>
        </w:rPr>
        <w:t xml:space="preserve"> </w:t>
      </w:r>
      <w:r/>
    </w:p>
    <w:p>
      <w:pPr>
        <w:pStyle w:val="1029"/>
        <w:ind w:firstLine="480"/>
        <w:keepLines w:val="0"/>
        <w:keepNext w:val="0"/>
        <w:pageBreakBefore w:val="0"/>
        <w:spacing w:line="360" w:lineRule="auto"/>
        <w:widowControl/>
        <w:rPr>
          <w:rStyle w:val="705"/>
          <w:rFonts w:hint="eastAsia" w:ascii="仿宋" w:hAnsi="仿宋" w:eastAsia="仿宋" w:cs="仿宋"/>
          <w:color w:val="auto"/>
          <w:highlight w:val="none"/>
          <w:u w:val="single"/>
        </w:rPr>
      </w:pPr>
      <w:r>
        <w:rPr>
          <w:rStyle w:val="705"/>
          <w:rFonts w:hint="eastAsia" w:ascii="仿宋" w:hAnsi="仿宋" w:eastAsia="仿宋" w:cs="仿宋"/>
          <w:color w:val="auto"/>
          <w:sz w:val="24"/>
          <w:highlight w:val="none"/>
        </w:rPr>
        <w:t xml:space="preserve">联系电话：</w:t>
      </w:r>
      <w:r>
        <w:rPr>
          <w:rStyle w:val="705"/>
          <w:rFonts w:hint="eastAsia" w:ascii="仿宋" w:hAnsi="仿宋" w:eastAsia="仿宋" w:cs="仿宋"/>
          <w:color w:val="auto"/>
          <w:sz w:val="24"/>
          <w:highlight w:val="none"/>
          <w:u w:val="single"/>
        </w:rPr>
        <w:t xml:space="preserve">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开户银行：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开户名称：                                    </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Style w:val="705"/>
          <w:rFonts w:hint="eastAsia" w:ascii="仿宋" w:hAnsi="仿宋" w:eastAsia="仿宋" w:cs="仿宋"/>
          <w:color w:val="auto"/>
          <w:sz w:val="24"/>
          <w:highlight w:val="none"/>
        </w:rPr>
        <w:t xml:space="preserve">开户账号：</w:t>
      </w:r>
      <w:r/>
    </w:p>
    <w:p>
      <w:pPr>
        <w:pStyle w:val="1029"/>
        <w:ind w:firstLine="480"/>
        <w:keepLines w:val="0"/>
        <w:keepNext w:val="0"/>
        <w:pageBreakBefore w:val="0"/>
        <w:spacing w:line="360" w:lineRule="auto"/>
        <w:rPr>
          <w:rStyle w:val="705"/>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br w:type="page" w:clear="all"/>
      </w:r>
      <w:r/>
    </w:p>
    <w:p>
      <w:pPr>
        <w:pStyle w:val="696"/>
        <w:jc w:val="center"/>
        <w:keepLines/>
        <w:keepNext/>
        <w:pageBreakBefore w:val="0"/>
        <w:spacing w:before="0" w:after="0" w:line="480" w:lineRule="auto"/>
        <w:widowControl w:val="off"/>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第四章   采购需求</w:t>
      </w:r>
      <w:bookmarkEnd w:id="191"/>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项目属性：服务类项目。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w:t>
      </w:r>
      <w:r>
        <w:rPr>
          <w:rFonts w:hint="eastAsia" w:ascii="仿宋" w:hAnsi="仿宋" w:eastAsia="仿宋" w:cs="仿宋"/>
          <w:color w:val="auto"/>
          <w:sz w:val="24"/>
          <w:szCs w:val="24"/>
          <w:highlight w:val="none"/>
          <w:u w:val="single"/>
        </w:rPr>
        <w:t xml:space="preserve"> 其他未列明行业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不接受 </w:t>
      </w:r>
      <w:r>
        <w:rPr>
          <w:rFonts w:hint="eastAsia" w:ascii="仿宋" w:hAnsi="仿宋" w:eastAsia="仿宋" w:cs="仿宋"/>
          <w:color w:val="auto"/>
          <w:sz w:val="24"/>
          <w:szCs w:val="24"/>
          <w:highlight w:val="none"/>
        </w:rPr>
        <w:t xml:space="preserve">（接受/不接受）进口产品。</w:t>
      </w:r>
      <w:r/>
    </w:p>
    <w:p>
      <w:pPr>
        <w:ind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rPr>
        <w:t xml:space="preserve">一、项目</w:t>
      </w:r>
      <w:r>
        <w:rPr>
          <w:rFonts w:hint="eastAsia" w:ascii="仿宋" w:hAnsi="仿宋" w:eastAsia="仿宋" w:cs="仿宋"/>
          <w:b/>
          <w:bCs w:val="0"/>
          <w:color w:val="auto"/>
          <w:sz w:val="24"/>
          <w:szCs w:val="24"/>
          <w:highlight w:val="none"/>
          <w:lang w:val="en-US" w:eastAsia="zh-CN"/>
        </w:rPr>
        <w:t xml:space="preserve">概况</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项目概述</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为贯彻落实党的二十大关于建立长期护理保险制度的决策部署，根据《市政府关于建立长期护理保险制度的实施意见》（宿政规发〔2023〕6号）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宿迁市居民长期护理保险试行</w:t>
      </w:r>
      <w:r>
        <w:rPr>
          <w:rFonts w:hint="default" w:ascii="仿宋" w:hAnsi="仿宋" w:eastAsia="仿宋" w:cs="仿宋"/>
          <w:color w:val="auto"/>
          <w:sz w:val="24"/>
          <w:szCs w:val="24"/>
          <w:highlight w:val="none"/>
        </w:rPr>
        <w:t xml:space="preserve">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要求，宿迁市长期护理保险制度（以下简称“长护险”）实行市级统筹，全市统一基金管理、统一经办服务，统一招标确定承办机构。长护险承办服务费采购人留存用于考核部分，根据各承办机构经办服务的每期末考核结果进行拨付。由于各期参保人数中途可能发生变动，以各期实际划拨的保费为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本次采购</w:t>
      </w:r>
      <w:r>
        <w:rPr>
          <w:rFonts w:hint="eastAsia" w:ascii="仿宋" w:hAnsi="仿宋" w:eastAsia="仿宋" w:cs="仿宋"/>
          <w:color w:val="auto"/>
          <w:sz w:val="24"/>
          <w:szCs w:val="24"/>
          <w:highlight w:val="none"/>
          <w:lang w:eastAsia="zh-CN"/>
        </w:rPr>
        <w:t xml:space="preserve">宿迁市长期护理保险委托商保公司承办项目，</w:t>
      </w:r>
      <w:r>
        <w:rPr>
          <w:rFonts w:hint="eastAsia" w:ascii="仿宋" w:hAnsi="仿宋" w:eastAsia="仿宋" w:cs="仿宋"/>
          <w:color w:val="auto"/>
          <w:sz w:val="24"/>
          <w:szCs w:val="24"/>
          <w:highlight w:val="none"/>
          <w:lang w:val="en-US" w:eastAsia="zh-CN"/>
        </w:rPr>
        <w:t xml:space="preserve">总预算为81178.9万元，其中分包一预算金额为40589.45万元，分包二预算金额为16235.78万元，分包三预算金额8117.89万元，分包四预算金额为4058.945万元，分包五预算金额为4058.945万元，分包六预算金额为4058.945万元，分包七预算金额为4058.945万元。</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本项目最高限价：承办服务费最高限价为3.2元/人/年。（开标一览表报价为供应商最终结算单价）</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rPr>
        <w:t xml:space="preserve">亏损率（绝对值）期望值最高为2%。</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按照承保份额分为</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个采购包确定保险机构作为本项目的承保人</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分包一：40589.45万元，承保份额为50%；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分包二：16235.78万元，承保份额为20%；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分包三：8117.89万元，承保份额为10%；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分包四：4058.945万元，承保份额为5%；</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分包五：4058.945万元，承保份额为5%；</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分包六：4058.945万元，承保份额为5%；</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：4058.945万元，承保份额为5%</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如联合体投标联合体成员其中一方承保份额不低于所投分包的40%。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投标分包选择：</w:t>
      </w:r>
      <w:r>
        <w:rPr>
          <w:rFonts w:hint="eastAsia" w:ascii="仿宋" w:hAnsi="仿宋" w:eastAsia="仿宋" w:cs="仿宋"/>
          <w:color w:val="auto"/>
          <w:sz w:val="24"/>
          <w:szCs w:val="24"/>
          <w:highlight w:val="none"/>
          <w:lang w:eastAsia="zh-CN"/>
        </w:rPr>
        <w:t xml:space="preserve">为保证上述分包所涉及的县（区）长护险工作推进的同步性</w:t>
      </w:r>
      <w:r>
        <w:rPr>
          <w:rFonts w:hint="eastAsia" w:ascii="仿宋" w:hAnsi="仿宋" w:eastAsia="仿宋" w:cs="仿宋"/>
          <w:color w:val="auto"/>
          <w:sz w:val="24"/>
          <w:szCs w:val="24"/>
          <w:highlight w:val="none"/>
        </w:rPr>
        <w:t xml:space="preserve">，投标人可参与任意分包或全部分包的投标。</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开标顺序：按分包序号从小到大依次，即先开分包一，再开分包二，后开分包三，以此类推。评标顺序同开标顺序。</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定标原则：按“兼投不兼中”的原则，每位投标人只能在一个分包上中标。如某投标人已在分包一被推荐为第一中标候选人的，则其参与分包二、分包三评标，但在分包二、分包三不参与推荐中标候选人的排序，以此类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若有分包无合格中标候选人，则该分包份额由分包一中标候选人承担。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注：评审结束后，若其中一个分包受到质疑投诉等原因，导致本分包评审结果改变，但不影响其他分包的评审结果。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（二）基本原则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坚持以人为本，着力解决重度失能人员长期护理保障问题。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坚持独立运行，独立险种，独立设计，统筹推进。</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坚持保障基本，低水平起步，以收定支，合理确定保障范围和待遇标准。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坚持责任分担，遵循权利义务对等，多渠道筹资，合理划分筹资责任和保障责任。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坚持市级统筹，全市统一待遇政策、统一基金管理、统一经办管理、统一信息系统、统一监督管理。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（三）筹资标准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长护险筹资标准：起步阶段，职工长护险由个人缴费、单位缴纳（调整职工基本医疗保险单位费率，从职工基本医保统筹基金中平移）两部分组成，其中个人缴费标准为每人每年20元、医保统筹基金平移每人每年20元；居民长护险由个人缴费和财政补助构成，筹资标准每人每年40元，其中个人缴费和财政补助各20元。今后，可根据经济社会发展水平和长护险实际需要，由市医疗保障局会同市财政局适时调整长护险筹资标准。如国家、省调整参保筹资政策，按新政策执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）承保份额</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根据《市政府关于建立长期护理保险制度的实施意见》（宿政规发〔2023〕6号）《宿迁市居民长期护理保险试行</w:t>
      </w:r>
      <w:r>
        <w:rPr>
          <w:rFonts w:hint="default"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CN"/>
        </w:rPr>
        <w:t xml:space="preserve">》要求，宿迁市长期护理保险制度（以下简称“长护险”）实行市级统筹，全市统一基金管理、统一经办服务，统一招标确定承办机构。承办方式实行共保体模式，由不超过7个商保公司共同组成长护险共保体。按照每个采购包投标人得分顺序确定第1—7中标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其中，第一中标人为主承保单位，负责做好长护险共保体牵头、各个区域长护险中心、信息系统建设等方面工作；其余中标人为次承保单位，按得分排序，承保相应份额（具体份额占比详见下表），并根据中标份额承担相应人力物力等资源配置，配合主承保单位做好长护险各项工作。</w:t>
      </w:r>
      <w:r/>
    </w:p>
    <w:tbl>
      <w:tblPr>
        <w:tblStyle w:val="706"/>
        <w:tblpPr w:horzAnchor="text" w:tblpXSpec="center" w:vertAnchor="text" w:tblpY="1" w:leftFromText="180" w:topFromText="0" w:rightFromText="180" w:bottomFromText="0"/>
        <w:tblW w:w="9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2674"/>
        <w:gridCol w:w="2485"/>
        <w:gridCol w:w="2485"/>
      </w:tblGrid>
      <w:tr>
        <w:trPr>
          <w:trHeight w:val="1118"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采购包序号</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中标人</w:t>
            </w:r>
            <w:r/>
          </w:p>
        </w:tc>
        <w:tc>
          <w:tcPr>
            <w:tcW w:w="2485" w:type="dxa"/>
            <w:vAlign w:val="center"/>
            <w:textDirection w:val="lrTb"/>
            <w:noWrap/>
          </w:tcPr>
          <w:p>
            <w:pPr>
              <w:ind w:left="0" w:firstLine="0"/>
              <w:jc w:val="center"/>
              <w:spacing w:before="0" w:after="0"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承保份额</w:t>
            </w:r>
            <w:r/>
          </w:p>
        </w:tc>
        <w:tc>
          <w:tcPr>
            <w:tcW w:w="2485" w:type="dxa"/>
            <w:vAlign w:val="center"/>
            <w:textDirection w:val="lrTb"/>
            <w:noWrap/>
          </w:tcPr>
          <w:p>
            <w:pPr>
              <w:ind w:left="0" w:firstLine="0"/>
              <w:jc w:val="center"/>
              <w:spacing w:before="0" w:after="0"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参保人数</w:t>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第一中标人</w:t>
            </w:r>
            <w:r/>
          </w:p>
        </w:tc>
        <w:tc>
          <w:tcPr>
            <w:tcW w:w="2485" w:type="dxa"/>
            <w:vAlign w:val="center"/>
            <w:textDirection w:val="lrTb"/>
            <w:noWrap/>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宋体" w:hAnsi="宋体" w:cs="宋体"/>
                <w:i w:val="0"/>
                <w:iCs w:val="0"/>
                <w:color w:val="auto"/>
                <w:sz w:val="22"/>
                <w:szCs w:val="22"/>
                <w:u w:val="none"/>
                <w:lang w:val="en-US" w:eastAsia="zh-CN" w:bidi="ar"/>
              </w:rPr>
              <w:t xml:space="preserve">50</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restart"/>
            <w:textDirection w:val="lrTb"/>
            <w:noWrap/>
          </w:tcPr>
          <w:p>
            <w:pPr>
              <w:ind w:left="0" w:firstLine="0"/>
              <w:jc w:val="center"/>
              <w:spacing w:before="0" w:after="0" w:line="500" w:lineRule="exact"/>
              <w:widowControl w:val="off"/>
              <w:rPr>
                <w:rStyle w:val="705"/>
                <w:rFonts w:hint="eastAsia" w:ascii="仿宋" w:hAnsi="仿宋" w:eastAsia="仿宋" w:cs="仿宋"/>
                <w:b w:val="0"/>
                <w:bCs w:val="0"/>
                <w:color w:val="auto"/>
                <w:sz w:val="24"/>
                <w:szCs w:val="24"/>
                <w:highlight w:val="none"/>
                <w:u w:val="none"/>
                <w:lang w:val="en-US" w:eastAsia="zh-CN"/>
              </w:rPr>
            </w:pPr>
            <w:r>
              <w:rPr>
                <w:rStyle w:val="705"/>
                <w:rFonts w:hint="eastAsia" w:ascii="仿宋" w:hAnsi="仿宋" w:eastAsia="仿宋" w:cs="仿宋"/>
                <w:b w:val="0"/>
                <w:bCs w:val="0"/>
                <w:color w:val="auto"/>
                <w:sz w:val="24"/>
                <w:szCs w:val="24"/>
                <w:highlight w:val="none"/>
                <w:u w:val="none"/>
                <w:lang w:val="en-US" w:eastAsia="zh-CN"/>
              </w:rPr>
              <w:t xml:space="preserve">参保人数为515.38万人(其中职工87.23万人、居民428.15万人)</w:t>
            </w:r>
            <w:r/>
          </w:p>
          <w:p>
            <w:pPr>
              <w:ind w:left="0" w:firstLine="0"/>
              <w:jc w:val="center"/>
              <w:spacing w:before="0" w:after="0" w:line="500" w:lineRule="exact"/>
              <w:widowControl w:val="off"/>
              <w:rPr>
                <w:rStyle w:val="705"/>
                <w:rFonts w:hint="eastAsia" w:ascii="仿宋" w:hAnsi="仿宋" w:eastAsia="仿宋" w:cs="仿宋"/>
                <w:b w:val="0"/>
                <w:bCs w:val="0"/>
                <w:color w:val="auto"/>
                <w:sz w:val="24"/>
                <w:szCs w:val="24"/>
                <w:highlight w:val="none"/>
                <w:u w:val="none"/>
                <w:lang w:val="en-US" w:eastAsia="zh-CN"/>
              </w:rPr>
            </w:pPr>
            <w:r>
              <w:rPr>
                <w:rStyle w:val="705"/>
                <w:rFonts w:hint="eastAsia" w:ascii="仿宋" w:hAnsi="仿宋" w:eastAsia="仿宋" w:cs="仿宋"/>
                <w:b w:val="0"/>
                <w:bCs w:val="0"/>
                <w:color w:val="auto"/>
                <w:sz w:val="24"/>
                <w:szCs w:val="24"/>
                <w:highlight w:val="none"/>
                <w:u w:val="none"/>
                <w:lang w:val="en-US" w:eastAsia="zh-CN"/>
              </w:rPr>
              <w:t xml:space="preserve">注：按实结算。</w:t>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第二中标人</w:t>
            </w:r>
            <w:r/>
          </w:p>
        </w:tc>
        <w:tc>
          <w:tcPr>
            <w:tcW w:w="2485" w:type="dxa"/>
            <w:vAlign w:val="center"/>
            <w:textDirection w:val="lrTb"/>
            <w:noWrap/>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宋体" w:hAnsi="宋体" w:cs="宋体"/>
                <w:i w:val="0"/>
                <w:iCs w:val="0"/>
                <w:color w:val="auto"/>
                <w:sz w:val="22"/>
                <w:szCs w:val="22"/>
                <w:u w:val="none"/>
                <w:lang w:val="en-US" w:eastAsia="zh-CN" w:bidi="ar"/>
              </w:rPr>
              <w:t xml:space="preserve">20</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第三中标人</w:t>
            </w:r>
            <w:r/>
          </w:p>
        </w:tc>
        <w:tc>
          <w:tcPr>
            <w:tcW w:w="2485" w:type="dxa"/>
            <w:vAlign w:val="center"/>
            <w:textDirection w:val="lrTb"/>
            <w:noWrap/>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宋体" w:hAnsi="宋体" w:cs="宋体"/>
                <w:i w:val="0"/>
                <w:iCs w:val="0"/>
                <w:color w:val="auto"/>
                <w:sz w:val="22"/>
                <w:szCs w:val="22"/>
                <w:u w:val="none"/>
                <w:lang w:val="en-US" w:eastAsia="zh-CN" w:bidi="ar"/>
              </w:rPr>
              <w:t xml:space="preserve">10</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第四中标人</w:t>
            </w:r>
            <w:r/>
          </w:p>
        </w:tc>
        <w:tc>
          <w:tcPr>
            <w:tcW w:w="2485" w:type="dxa"/>
            <w:vAlign w:val="center"/>
            <w:textDirection w:val="lrTb"/>
            <w:noWrap/>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第五中标人</w:t>
            </w:r>
            <w:r/>
          </w:p>
        </w:tc>
        <w:tc>
          <w:tcPr>
            <w:tcW w:w="2485" w:type="dxa"/>
            <w:vAlign w:val="center"/>
            <w:textDirection w:val="lrTb"/>
            <w:noWrap/>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第六中标人</w:t>
            </w:r>
            <w:r/>
          </w:p>
        </w:tc>
        <w:tc>
          <w:tcPr>
            <w:tcW w:w="2485" w:type="dxa"/>
            <w:vAlign w:val="center"/>
            <w:textDirection w:val="lrTb"/>
            <w:noWrap/>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496" w:hRule="exact"/>
        </w:trPr>
        <w:tc>
          <w:tcPr>
            <w:tcW w:w="15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tcW w:w="2674" w:type="dxa"/>
            <w:vAlign w:val="center"/>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第七中标人</w:t>
            </w:r>
            <w:r/>
          </w:p>
        </w:tc>
        <w:tc>
          <w:tcPr>
            <w:tcW w:w="2485" w:type="dxa"/>
            <w:vAlign w:val="center"/>
            <w:textDirection w:val="lrTb"/>
            <w:noWrap/>
          </w:tcPr>
          <w:p>
            <w:pPr>
              <w:jc w:val="center"/>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w:t>
            </w:r>
            <w:r/>
          </w:p>
        </w:tc>
        <w:tc>
          <w:tcPr>
            <w:tcW w:w="2485" w:type="dxa"/>
            <w:vAlign w:val="center"/>
            <w:vMerge w:val="continue"/>
            <w:textDirection w:val="lrTb"/>
            <w:noWrap/>
          </w:tcPr>
          <w:p>
            <w:pPr>
              <w:ind w:left="0" w:firstLine="0"/>
              <w:jc w:val="center"/>
              <w:spacing w:before="0" w:after="0"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bl>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本项目如第一中标人发生不能履行主承保单位职责情形时，由第二中标人代为承担相关工作职责，相应份额与其他承保单位均分；如其他中标人不能履行承保单位职责情形时，由排在第一的中标人承担工作职责，相应份额与其他承保单位均分。长护险承办服务费采购人留存用于考核部分，根据各承办机构经办服务的每期末考核结果进行拨付。</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二、</w:t>
      </w:r>
      <w:r>
        <w:rPr>
          <w:rFonts w:hint="eastAsia" w:ascii="仿宋" w:hAnsi="仿宋" w:eastAsia="仿宋" w:cs="仿宋"/>
          <w:b/>
          <w:bCs/>
          <w:color w:val="auto"/>
          <w:sz w:val="24"/>
          <w:szCs w:val="24"/>
          <w:highlight w:val="none"/>
          <w:lang w:val="en-US" w:eastAsia="zh-CN"/>
        </w:rPr>
        <w:t xml:space="preserve">合同签订方式、履行期限及地点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（一）合同签订方式：网上签订。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服务期：</w:t>
      </w:r>
      <w:r>
        <w:rPr>
          <w:rFonts w:hint="eastAsia" w:ascii="仿宋" w:hAnsi="仿宋" w:eastAsia="仿宋" w:cs="仿宋"/>
          <w:color w:val="auto"/>
          <w:sz w:val="24"/>
          <w:szCs w:val="24"/>
          <w:highlight w:val="none"/>
          <w:lang w:eastAsia="zh-CN"/>
        </w:rPr>
        <w:t xml:space="preserve">2027年1月1日至2029年12月31日。</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注：1.服务期内将进行考核；服务期满，采购人根据政府采购的相关规定，另行组织招标采购。因考核不合格或政策、经办管理模式发生重大变化等原因，采购人有权单方面终止服务合同，中标人应无条件服从。</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2.合同一年一签，根据国家、省有关政策规定，逐步将保费模式过渡为经办模式，合同内容由甲乙双方根据政策协商调整，协商不一致的，乙方应退出本项目，相关份额由承担份额最多的商保公司承接。</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服务地点：宿迁市，具体由采购人指定。</w:t>
      </w:r>
      <w:r/>
    </w:p>
    <w:p>
      <w:pPr>
        <w:ind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三、付款方式</w:t>
      </w:r>
      <w:r/>
    </w:p>
    <w:p>
      <w:pPr>
        <w:ind w:firstLine="480"/>
        <w:keepLines w:val="0"/>
        <w:keepNext w:val="0"/>
        <w:pageBreakBefore w:val="0"/>
        <w:spacing w:line="360" w:lineRule="auto"/>
        <w:widowControl w:val="off"/>
        <w:rPr>
          <w:rFonts w:hint="eastAsia" w:ascii="仿宋" w:hAnsi="仿宋" w:eastAsia="仿宋" w:cs="仿宋"/>
          <w:bCs/>
          <w:color w:val="auto"/>
          <w:sz w:val="24"/>
          <w:szCs w:val="21"/>
          <w:highlight w:val="none"/>
          <w:lang w:val="zh-CN" w:eastAsia="zh-CN" w:bidi="ar-SA"/>
        </w:rPr>
      </w:pPr>
      <w:r>
        <w:rPr>
          <w:rFonts w:hint="eastAsia" w:ascii="仿宋" w:hAnsi="仿宋" w:eastAsia="仿宋" w:cs="仿宋"/>
          <w:bCs/>
          <w:color w:val="auto"/>
          <w:sz w:val="24"/>
          <w:szCs w:val="21"/>
          <w:highlight w:val="none"/>
          <w:lang w:val="zh-CN" w:eastAsia="zh-CN" w:bidi="ar-SA"/>
        </w:rPr>
        <w:t xml:space="preserve">对于满足合同约定支付条件的，自收到发票后10个工作日内将资金支付到合同约定的投标人账户或投标人数字人民币账户。</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1.签订合同且收到发票后10个工作日内，支付10%的合同款作为预付款；</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2.承办服务费。承办商保机构的当期承办服务费从当期长护险基金收入中计提，</w:t>
      </w:r>
      <w:r>
        <w:rPr>
          <w:rFonts w:hint="eastAsia" w:ascii="仿宋" w:hAnsi="仿宋" w:eastAsia="仿宋" w:cs="仿宋"/>
          <w:bCs/>
          <w:color w:val="auto"/>
          <w:sz w:val="24"/>
          <w:szCs w:val="24"/>
          <w:highlight w:val="none"/>
          <w:lang w:val="en-US" w:eastAsia="zh-CN"/>
        </w:rPr>
        <w:t xml:space="preserve">以中标人“承办服务费”报价中标价确定</w:t>
      </w:r>
      <w:r>
        <w:rPr>
          <w:rFonts w:hint="eastAsia" w:ascii="仿宋" w:hAnsi="仿宋" w:eastAsia="仿宋" w:cs="仿宋"/>
          <w:color w:val="auto"/>
          <w:sz w:val="24"/>
          <w:szCs w:val="24"/>
          <w:highlight w:val="none"/>
          <w:lang w:val="en-US" w:eastAsia="zh-CN" w:bidi="ar-SA"/>
        </w:rPr>
        <w:t xml:space="preserve">,后期综合考虑服务人口、机构运营成本、工作绩效等因素，合理调整承办服务费。承办服务费从长护险基金中支付。</w:t>
      </w:r>
      <w:r>
        <w:rPr>
          <w:rFonts w:hint="eastAsia" w:ascii="仿宋" w:hAnsi="仿宋" w:eastAsia="仿宋" w:cs="仿宋"/>
          <w:bCs/>
          <w:color w:val="auto"/>
          <w:sz w:val="24"/>
          <w:szCs w:val="24"/>
          <w:highlight w:val="none"/>
          <w:lang w:val="en-US" w:eastAsia="zh-CN"/>
        </w:rPr>
        <w:t xml:space="preserve">每季度初，医保经办机构以本年度参保人数的25%作为当季度计提测算基数，拨付本季度承办服务费的95%给商保机构。次年初，根据协议履行情况、服务对象满意度情况及当期考核结果，完成上一年度全部承办服务费结算。</w:t>
      </w:r>
      <w:r>
        <w:rPr>
          <w:rFonts w:hint="eastAsia" w:ascii="仿宋" w:hAnsi="仿宋" w:eastAsia="仿宋" w:cs="仿宋"/>
          <w:bCs/>
          <w:color w:val="auto"/>
          <w:sz w:val="24"/>
          <w:szCs w:val="24"/>
          <w:highlight w:val="none"/>
        </w:rPr>
        <w:t xml:space="preserve">承办服务费</w:t>
      </w:r>
      <w:r>
        <w:rPr>
          <w:rFonts w:hint="eastAsia" w:ascii="仿宋" w:hAnsi="仿宋" w:eastAsia="仿宋" w:cs="仿宋"/>
          <w:bCs/>
          <w:color w:val="auto"/>
          <w:sz w:val="24"/>
          <w:szCs w:val="24"/>
          <w:highlight w:val="none"/>
          <w:lang w:val="en-US" w:eastAsia="zh-CN"/>
        </w:rPr>
        <w:t xml:space="preserve">当期有结余的，结转到下一年。</w:t>
      </w:r>
      <w:r>
        <w:rPr>
          <w:rFonts w:hint="eastAsia" w:ascii="仿宋" w:hAnsi="仿宋" w:eastAsia="仿宋" w:cs="仿宋"/>
          <w:color w:val="auto"/>
          <w:sz w:val="24"/>
          <w:szCs w:val="24"/>
          <w:highlight w:val="none"/>
          <w:lang w:val="en-US" w:eastAsia="zh-CN" w:bidi="ar-SA"/>
        </w:rPr>
        <w:t xml:space="preserve">合同期满如有结余，结余部分返还基金，如有亏损按照承保份额承担。招录的经办服务人员薪酬、保险及福利费用；办公经费；稽查稽核费用；培训费；宣传费；交通工具相关费用，以及长护险服务场所建设费用、办公装备设施费用、信息系统费用(含软件开发、硬件设备、安全等保)一次性投入均摊等列入承办服务费。</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失能人员发生的符合长护险失能评估、护理服务项目范围和标准的费用(由市医疗保障局另行制定),从长护险基金中支付；超出长护险护理服务项目范围和标准的护理费用，长护险基金不予支付，由失能人员个人承担，并与定点服务机构直接结算。</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4.采购人建立与服务对象满意度、评估质量、护理服务质量挂钩的考核结算机制。可通过约定预留款等方式，每期末根据考核结果进行费用清算。</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5.根据上月长护险待遇享受人数、待遇标准，按照协议约定与定点服务机构结算费用。医保部门资金拨付周期，不构成承办机构延迟向定点服务机构付款的免责理由。</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6.每月由共保体向采购人提交长护险支付费用情况表(表样由采购人提供),每月编报长护险运行分析报告，按考核当期提交总结报告。</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7.保费与承办服务费分别建账、核算、考核。</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7.1 采购人按每保险期的筹资标准及期初人数（即年初参保缴费状态正常的人数），计算长护险基金收入，期末根据实际参保缴费人数确定长护基金收入。将基金收入划分长护险保费与长护险承办服务费两个科目。其中承办服务费按招标确定的承办服务费基准标准计提，其余计提划入长护险保费。</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7.2 共保体相应建立以上两个科目。合同期内，每季度初采购人按不低于上季度长护险基金实际支出（首季按照保费收入的20%，如有结余从下一个季度预付资金中扣除）和本季度承办服务费的95%向共保体分别拨付两个科目的预付资金，其余部分留存采购人，分别用于对共保体各期末综合考核和承办服务质量考核，根据考核结果及时清算，合同期满如有结余，结余部分返还基金，如有亏损按照承保份额承担。</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7.3若甲方已完成全部拨款申报手续，因财政国库、长护险基金专户资金调度客观原因造成款项到账延迟，乙方给予甲方30日资金协调缓冲期；因乙方未及时提供发票、结算材料导致拨付滞后的，甲方不承担逾期付款相关责任，乙方不得中止长护险承办服务。</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8.盈亏处理</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长护险按照“以收定支、收支平衡、略有盈余”的原则建立风险共担机制。长护险保费收支结余如出现亏损，亏损2%(含)以内的部分由承办商保机构承担，2%以上的部分（亏损比例以第三方报告为唯一结算依据），经医疗保障行政部门综合评定后，对因政策调整导致的亏损部分，由基金承担，除政策调整原因以外导致的亏损部分，由承办商保机构承担；由采购人根据实际情况最终确定。如有盈利，则盈利部分全额返还基金。</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8.2.</w:t>
      </w:r>
      <w:r>
        <w:rPr>
          <w:rFonts w:hint="eastAsia" w:ascii="仿宋" w:hAnsi="仿宋" w:eastAsia="仿宋" w:cs="仿宋"/>
          <w:bCs/>
          <w:color w:val="auto"/>
          <w:sz w:val="24"/>
          <w:szCs w:val="24"/>
          <w:highlight w:val="none"/>
        </w:rPr>
        <w:t xml:space="preserve">承办服务费</w:t>
      </w:r>
      <w:r>
        <w:rPr>
          <w:rFonts w:hint="eastAsia" w:ascii="仿宋" w:hAnsi="仿宋" w:eastAsia="仿宋" w:cs="仿宋"/>
          <w:bCs/>
          <w:color w:val="auto"/>
          <w:sz w:val="24"/>
          <w:szCs w:val="24"/>
          <w:highlight w:val="none"/>
          <w:lang w:val="en-US" w:eastAsia="zh-CN"/>
        </w:rPr>
        <w:t xml:space="preserve">当期有结余的，结转到下一年。</w:t>
      </w:r>
      <w:r>
        <w:rPr>
          <w:rFonts w:hint="eastAsia" w:ascii="仿宋" w:hAnsi="仿宋" w:eastAsia="仿宋" w:cs="仿宋"/>
          <w:color w:val="auto"/>
          <w:sz w:val="24"/>
          <w:szCs w:val="24"/>
          <w:highlight w:val="none"/>
          <w:lang w:val="en-US" w:eastAsia="zh-CN" w:bidi="ar-SA"/>
        </w:rPr>
        <w:t xml:space="preserve">合同期内承办服务费结余归采购人所有，超支的由共保体承担。</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8.3.盈利率或亏损率计算公式：[(本期长护险实际保费-本期长护险待遇支出-本期长护险评估费用支出)/本期长护险实际保费]×100%。本期长护险实际保费=当期长护险基金收入-本期长护险承办服务费计提费用。承办服务费含共保体招录的经办服务人员薪酬、保险及福利费用；办公经费；稽核费用；培训费；宣传费；交通工具相关费用，以及长护险服务场所建设费用、办公装备设施费用、信息系统费用(含软件开发、硬件设备、安全等保)一次性投入均摊等。</w:t>
      </w:r>
      <w:r/>
    </w:p>
    <w:p>
      <w:pPr>
        <w:ind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注：1.在签订合同时，中标人明确表示无需预付款或者主动要求降低预付款比例的金额，采购人可不适用预付款规定。</w:t>
      </w:r>
      <w:r/>
    </w:p>
    <w:p>
      <w:pPr>
        <w:ind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2.由于各期参保人数中途可能发生变动，以各期实际划拨的保费为准。</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1"/>
          <w:highlight w:val="none"/>
          <w:lang w:val="en-US" w:eastAsia="zh-CN" w:bidi="ar-SA"/>
        </w:rPr>
        <w:t xml:space="preserve">四、服务内容与要求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（一）总体要求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标人按《宿迁市人民政府关于建立长期护理保险制度的实施意见》(宿政规发〔2023〕6号)、《宿迁市居民长期护理保险试行方案》及相关的配套政策文件要求，在长护险经办管理机构(以下简称"医保经办机构")指导下，协助或参与做好宿迁市长护险相关经办服务，并接受医保经办机构考核管理、服务群众监督。</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（二）服务内容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在协议服务期内，在经办机构指导下，承办商保机构协助经办机构或经经办机构授权开展以下工作：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1.政策宣传与咨询、投诉举报线索受理；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2.配合开展申请受理及材料审核工作；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3.根据中标顺序分别承办沭阳县、泗阳县、泗洪县、宿豫区、宿城区、经开区（洋河新区）、湖滨新区（苏宿园区）七个区域的失能评估工作，并与定点评估机构共同对评估结果负责。</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注：组织责任区内评估机构开展失能评估和护理需求评估工作。派长护专员监督现场评估实施，并结合护理服务建议，与定点长护服务机构和参保人员沟通，形成护理服务计划；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4.协助开展失能等级评估机构和长护服务机构定点申请受理、材料初审、综合审核以及失能评估费用、护理服务费用初审等事务性工作；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5.协助做好定点评估机构和定点长护服务机构日常检查、评估结论及参保人员失能状态抽查、服务质量检查等工作；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6.协助开展异议复评、重新评估等工作；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7.长护险业务档案资料的整理和保存；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8.协助做好长护险从业人员的政策业务培训工作；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9.长护险待遇享受人员跟踪回访、稽核调查工作；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10.长护险基金运行监测分析，按月编报长护险运行分析报告；</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11.协助做好长护险政策调整工作；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12.医保经办机构安排的其他工作。</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（三）项目实施方案及要求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1.总体服务方案及启动工作安排</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制定总体服务方案及启动工作安排，包括但不限于总体服务方案、启动进度安排、保证措施和风控措施以及服务费预算计划。</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2.制定失能评估管理方案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承办机构在医保经办机构指导下，组织评估机构开展失能评估工作。方案包括以下几方面内容：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（1）失能评估申请的受理审核、上门评估的组织、评定结果公示及送达4个方面；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（2）承办机构应自接收申请材料之日起15个工作日内，且体态智能感知监管设备安装完成已满7天后，完成派单分配和现场评估。</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原则上评估结论书应在申请受理之日起30个工作日内送达。</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（3）有风险管控方案；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（4）方案对失能评估有完善的风险监督机制，申请评估人员满意度符合要求；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（5）有及时有效处理各类咨询、投诉的方案，方案科学，实际可行。</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3.制定针对本项目的定点服务机构管理方案，包括以下几方面内容。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（1）需对定点机构的服务质量、长期护理保险费用管理、参保人员满意度等情况进行日常监督检查，并按规定结算流程，与定点评估机构及定点护理机构完成基金结算支付等方面，方案完整且可行；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（2）包括督促定点护理机构、定点评估机构做好协议签订、实名制管理等，在促进护理机构提升服务质量，强化费用控制方面的基础上合理、可行；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（3）满足15个工作日与定点护理机构、定点评估机构签订协议；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（4）满足每季度至少完成2次对定点护理机构、定点评估机构履行服务协议情况进行巡查，且日常检查达到100%，对违规行为进行处理的。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4.协助制定长护服务质量监督与稽核巡查方案(包括对定点服务机构、定点评估机构进行监管；待遇支付及核查工作等)；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制定巡查计划及措施，对定点护理机构、定点评估机构开展定时巡查，重点核查定点护理机构失能人员在院情况、护理服务提供、待遇结算、违规情况、待遇享受人员失能及恢复情况，核查定点评估机构评估流程规范、评估结果真实合规、档案资料完整等情况，并开展失能人员满意度调查；</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（2）配置具有录音、录像、等功能的执法记录仪以及平板等具有文字处理功能的移动终端设备开展日常巡查，并满足每季度巡查定点护理机构、定点评估机构不少于总数的25%，失能人员不少于总人数的10%；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人协助建立有定点护理机构、定点评估机构退出机制，对定点机构服务场所、服务范围、服务人员情况等发生变化的，视情况重新进行服务能力评估，对不符合长期护理保险服务管理要求的，暂停或终止服务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5.协助制定待遇支付及基金管理方案(包括待遇支付、基金风险管理、基金运行情况分析等)；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（1）根据项目的实际要求，对长期护理保险的待遇支付及基金风险管理方面提出具体的工作方案。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（2）方案满足每月初前10个工作日完成对定点护理机构、定点评估机构费用的审核、对账、结算和支付工作，并提供有效审核方案。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（3）满足每月结束后的20个工作日内，报送长期护理保险运行情况统计分析材料。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（4）有完善的基金管理内控方案的。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6.制定宣传工作方案(包括宣传方向、宣传方式、宣传渠道、宣传频率等)；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（1）按照政策规定及政策调整，及时做好本项目的政策和业务培训的；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（2）投标人为本项目开通专门的咨询投诉热线电话，并对外公布；</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（3）有承担失能评估申请和护理服务相关的政策和业务咨询，并受理失能人员投诉。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7.制定业务数据保密措施</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包括但不限于对参保人员相关信息、数据、资料承担保密责任，不得用于其他用途，并不得向第三方泄露，不得利用经办之便推销或者变相推销其他商业保险产品。</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8.制定创新服务方案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包括但不限于在长期护理保险创新性方面，特别是在利用互联网、大数据等先进技术对失能评估、护理服务、服务监管等方面，提供相应方案。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9.制定培训方案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包括但不限于培训内容、培训时间、培训地点、培训目标、培训人数、培训方法和培训师资等。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10.制定人员配置方案</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包括但不限于针对本项目服务的管理职能部门、成立专业管理团队、建立管理制度。</w:t>
      </w:r>
      <w:r/>
    </w:p>
    <w:p>
      <w:pPr>
        <w:ind w:firstLine="480"/>
        <w:keepLines w:val="0"/>
        <w:keepNext w:val="0"/>
        <w:pageBreakBefore w:val="0"/>
        <w:spacing w:line="360" w:lineRule="auto"/>
        <w:widowControl w:val="off"/>
        <w:rPr>
          <w:rFonts w:hint="eastAsia" w:ascii="仿宋" w:hAnsi="仿宋" w:eastAsia="仿宋" w:cs="仿宋"/>
          <w:strike w:val="0"/>
          <w:color w:val="auto"/>
          <w:sz w:val="24"/>
          <w:szCs w:val="24"/>
          <w:highlight w:val="none"/>
          <w:lang w:val="en-US" w:eastAsia="zh-CN"/>
        </w:rPr>
      </w:pPr>
      <w:r>
        <w:rPr>
          <w:rFonts w:hint="eastAsia" w:ascii="仿宋" w:hAnsi="仿宋" w:eastAsia="仿宋" w:cs="仿宋"/>
          <w:strike w:val="0"/>
          <w:color w:val="auto"/>
          <w:sz w:val="24"/>
          <w:szCs w:val="24"/>
          <w:highlight w:val="none"/>
          <w:lang w:val="en-US" w:eastAsia="zh-CN"/>
        </w:rPr>
        <w:t xml:space="preserve">11.项目组成员配备要求</w:t>
      </w:r>
      <w:r/>
    </w:p>
    <w:p>
      <w:pPr>
        <w:ind w:firstLine="480"/>
        <w:keepLines w:val="0"/>
        <w:keepNext w:val="0"/>
        <w:pageBreakBefore w:val="0"/>
        <w:spacing w:line="360" w:lineRule="auto"/>
        <w:widowControl w:val="off"/>
        <w:rPr>
          <w:rFonts w:hint="default" w:ascii="仿宋" w:hAnsi="仿宋" w:eastAsia="仿宋" w:cs="仿宋"/>
          <w:strike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标人应按承诺为本项目配备长护险经办服务全日制本科以上学历工作人员(工作人员与覆盖人群比不少于1:35000）,其中医学、康复、护理、信息、统计、财务等专业的人员比例不低于40%,派驻相应数量的工作人员至医保经办机构共同办理长护险经办业务，投标人需提供承诺函（格式自拟）。</w:t>
      </w:r>
      <w:r/>
    </w:p>
    <w:p>
      <w:pPr>
        <w:ind w:firstLine="480"/>
        <w:keepLines w:val="0"/>
        <w:keepNext w:val="0"/>
        <w:pageBreakBefore w:val="0"/>
        <w:spacing w:line="360" w:lineRule="auto"/>
        <w:widowControl w:val="off"/>
        <w:rPr>
          <w:rFonts w:hint="eastAsia" w:ascii="仿宋" w:hAnsi="仿宋" w:eastAsia="仿宋" w:cs="仿宋"/>
          <w:strike w:val="0"/>
          <w:color w:val="auto"/>
          <w:sz w:val="24"/>
          <w:szCs w:val="24"/>
          <w:highlight w:val="none"/>
          <w:lang w:val="en-US" w:eastAsia="zh-CN"/>
        </w:rPr>
      </w:pPr>
      <w:r>
        <w:rPr>
          <w:rFonts w:hint="eastAsia" w:ascii="仿宋" w:hAnsi="仿宋" w:eastAsia="仿宋" w:cs="仿宋"/>
          <w:strike w:val="0"/>
          <w:color w:val="auto"/>
          <w:sz w:val="24"/>
          <w:szCs w:val="24"/>
          <w:highlight w:val="none"/>
          <w:lang w:val="en-US" w:eastAsia="zh-CN"/>
        </w:rPr>
        <w:t xml:space="preserve">12.办公设备及交通工具配置要求</w:t>
      </w:r>
      <w:r/>
    </w:p>
    <w:p>
      <w:pPr>
        <w:ind w:firstLine="480"/>
        <w:keepLines w:val="0"/>
        <w:keepNext w:val="0"/>
        <w:pageBreakBefore w:val="0"/>
        <w:spacing w:line="360" w:lineRule="auto"/>
        <w:widowControl w:val="off"/>
        <w:rPr>
          <w:rFonts w:hint="eastAsia" w:ascii="仿宋" w:hAnsi="仿宋" w:eastAsia="仿宋" w:cs="仿宋"/>
          <w:strike w:val="0"/>
          <w:color w:val="auto"/>
          <w:sz w:val="24"/>
          <w:szCs w:val="24"/>
          <w:highlight w:val="none"/>
          <w:lang w:val="en-US" w:eastAsia="zh-CN"/>
        </w:rPr>
      </w:pPr>
      <w:r>
        <w:rPr>
          <w:rFonts w:hint="eastAsia" w:ascii="仿宋" w:hAnsi="仿宋" w:eastAsia="仿宋" w:cs="仿宋"/>
          <w:strike w:val="0"/>
          <w:color w:val="auto"/>
          <w:sz w:val="24"/>
          <w:szCs w:val="24"/>
          <w:highlight w:val="none"/>
          <w:lang w:val="en-US" w:eastAsia="zh-CN"/>
        </w:rPr>
        <w:t xml:space="preserve">中标人应为本项目提供独立的办公场所满足服务运营需求，应配备开展各项业务且与工作量相适应的办公设施(配备打印机、复印机、传真机、扫描仪等能够满足办公需求的办公设备，每人配备办公电脑，鉴定岗及稽核岗应按岗位要求配备便携电脑、摄像机、照相机、录音笔等记录核查设备)、核查设备及车辆，并根据长护险各项工作的需求</w:t>
      </w:r>
      <w:r>
        <w:rPr>
          <w:rFonts w:hint="eastAsia" w:ascii="仿宋" w:hAnsi="仿宋" w:eastAsia="仿宋" w:cs="仿宋"/>
          <w:color w:val="auto"/>
          <w:sz w:val="24"/>
          <w:szCs w:val="24"/>
          <w:highlight w:val="none"/>
          <w:lang w:val="en-US" w:eastAsia="zh-CN"/>
        </w:rPr>
        <w:t xml:space="preserve">及时提供方案</w:t>
      </w:r>
      <w:r>
        <w:rPr>
          <w:rFonts w:hint="eastAsia" w:ascii="仿宋" w:hAnsi="仿宋" w:eastAsia="仿宋" w:cs="仿宋"/>
          <w:strike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13.信息系统服务要求</w:t>
      </w:r>
      <w:r/>
    </w:p>
    <w:p>
      <w:pPr>
        <w:ind w:firstLine="480"/>
        <w:keepLines w:val="0"/>
        <w:keepNext w:val="0"/>
        <w:pageBreakBefore w:val="0"/>
        <w:spacing w:line="360" w:lineRule="auto"/>
        <w:widowControl w:val="off"/>
        <w:rPr>
          <w:rFonts w:hint="eastAsia" w:ascii="仿宋" w:hAnsi="仿宋" w:eastAsia="仿宋" w:cs="仿宋"/>
          <w:strike w:val="0"/>
          <w:color w:val="auto"/>
          <w:sz w:val="24"/>
          <w:szCs w:val="24"/>
          <w:highlight w:val="none"/>
          <w:lang w:val="en-US" w:eastAsia="zh-CN"/>
        </w:rPr>
      </w:pPr>
      <w:r>
        <w:rPr>
          <w:rFonts w:hint="eastAsia" w:ascii="仿宋" w:hAnsi="仿宋" w:eastAsia="仿宋" w:cs="仿宋"/>
          <w:strike w:val="0"/>
          <w:color w:val="auto"/>
          <w:sz w:val="24"/>
          <w:szCs w:val="24"/>
          <w:highlight w:val="none"/>
          <w:lang w:val="en-US" w:eastAsia="zh-CN"/>
        </w:rPr>
        <w:t xml:space="preserve">统一使用江苏</w:t>
      </w:r>
      <w:r>
        <w:rPr>
          <w:rFonts w:hint="eastAsia" w:ascii="仿宋" w:hAnsi="仿宋" w:eastAsia="仿宋" w:cs="仿宋"/>
          <w:strike w:val="0"/>
          <w:color w:val="auto"/>
          <w:sz w:val="24"/>
          <w:szCs w:val="24"/>
          <w:highlight w:val="none"/>
          <w:lang w:val="en-US" w:eastAsia="zh-CN"/>
        </w:rPr>
        <w:t xml:space="preserve">省医疗保障功能信息平台长护险系统开展业务经办，按要求完成系统对接、权限申请、数据上报及业务操作，按规定配置计算机和网络环境，配备与长护险业务相适应的信息管理人员，实现长护险待遇申请、失能评估、护理服务、基金结算、经办管理、服务监督、风险控制等全流程信息化运行。建立评估人员、上门护理人员库，将符合条件的评估人员、上门护理人员信息按要求录入省医保长护险信息系统，实行动态管理，并做好长护险信息系统各类用户的操作培训和业务指导工作。根据业务需求，及时升级业务模块，按照试点要求，完成智能监管信息系统建设。      </w:t>
      </w:r>
      <w:r/>
    </w:p>
    <w:p>
      <w:pPr>
        <w:ind w:firstLine="480"/>
        <w:keepLines w:val="0"/>
        <w:keepNext w:val="0"/>
        <w:pageBreakBefore w:val="0"/>
        <w:spacing w:line="360" w:lineRule="auto"/>
        <w:widowControl w:val="off"/>
        <w:rPr>
          <w:rFonts w:hint="eastAsia" w:ascii="仿宋" w:hAnsi="仿宋" w:eastAsia="仿宋" w:cs="仿宋"/>
          <w:strike w:val="0"/>
          <w:color w:val="auto"/>
          <w:sz w:val="24"/>
          <w:szCs w:val="24"/>
          <w:highlight w:val="none"/>
          <w:lang w:val="en-US" w:eastAsia="zh-CN"/>
        </w:rPr>
      </w:pPr>
      <w:r>
        <w:rPr>
          <w:rFonts w:hint="eastAsia" w:ascii="仿宋" w:hAnsi="仿宋" w:eastAsia="仿宋" w:cs="仿宋"/>
          <w:b/>
          <w:bCs w:val="0"/>
          <w:color w:val="auto"/>
          <w:sz w:val="24"/>
          <w:szCs w:val="21"/>
          <w:highlight w:val="none"/>
          <w:lang w:val="en-US" w:eastAsia="zh-CN" w:bidi="ar-SA"/>
        </w:rPr>
        <w:t xml:space="preserve">五、保障内容及要求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1.保障对象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全市职工基本医疗保险和城乡居民基本医疗保险参保人员为长护险参保对象。长护险制度运行期间根据宿迁市经济发展水平、基金运行情况、照护需求、照护服务成本等因素，适时扩大参保范围和保障对象，调整筹资水平和待遇标准等政策。</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 保障范围及补偿比例</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参保人员因年老、疾病、伤残等原因，失能状态持续6个月以上的，经申请评估符合失能等级标准的，可享受长护险待遇。失能等级评估为重度失能等级的参保人员(以下简称“失能人员”),自相关手续办结次日起可享受长护险待遇。失能人员本人或其代理人可选择通过入住定点服务机构接受护理服务、居家接受定点服务机构护理服务等方式享受长护险待遇。</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2.2失能人员接受护理服务期间，发生的符合长护险护理服务项目范围和标准的费用，由长护险基金按以下标准定额支付：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（1）入住服务机构的医疗床位接受护理服务的，按50元/天的标准与服务机构结算；</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（2）入住服务机构的护理床位接受护理服务的，按40元/天的标准与服务机构结算；</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（3）居家接受服务机构上门服务的，根据服务范围和标准以及质量考核情况，按30元/天的标准与服务机构结算；</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（4）在社区服务机构接受日间照护服务的，根据服务范围和标准以及质量考核情况，按照30元/天的标准与服务机构结算。</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 服务结算支付</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失能人员在享受长护险待遇期间，发生的符合长护险护理服务项目范围和标准的护理费用，从长护险基金中支付；超出长护险护理服务项目范围和标准的护理费用，长护险基金不予支付，由失能人员个人承担，并与定点服务机构直接结算。</w:t>
      </w:r>
      <w:r/>
    </w:p>
    <w:p>
      <w:pPr>
        <w:ind w:firstLine="482"/>
        <w:keepLines w:val="0"/>
        <w:keepNext w:val="0"/>
        <w:pageBreakBefore w:val="0"/>
        <w:spacing w:line="360" w:lineRule="auto"/>
        <w:widowControl w:val="off"/>
        <w:rPr>
          <w:rFonts w:hint="eastAsia" w:ascii="仿宋" w:hAnsi="仿宋" w:eastAsia="仿宋" w:cs="仿宋"/>
          <w:bCs/>
          <w:color w:val="auto"/>
          <w:sz w:val="24"/>
          <w:szCs w:val="24"/>
          <w:highlight w:val="none"/>
          <w:lang w:val="en-US"/>
        </w:rPr>
      </w:pPr>
      <w:r>
        <w:rPr>
          <w:rFonts w:hint="eastAsia" w:ascii="仿宋" w:hAnsi="仿宋" w:eastAsia="仿宋" w:cs="仿宋"/>
          <w:b/>
          <w:bCs/>
          <w:color w:val="auto"/>
          <w:sz w:val="24"/>
          <w:szCs w:val="24"/>
          <w:highlight w:val="none"/>
          <w:lang w:val="en-US" w:eastAsia="zh-CN"/>
        </w:rPr>
        <w:t xml:space="preserve">六、经办模式</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宿迁市长护险服务项目实行"运行风险共担、保险事务共办、购买承办服务"的运行模式。</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★1.运行风险共担(投标人须提供承诺函格式自拟，否则作无效标处理。)</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长护险委托承办商保机构参与经办，承办商保机构与长护险基金实行风险共担机制，长护险收入扣除长护险待遇支出(按“待遇支付标准”计算)、评估费用支出(初评评估费用+复评评估费用)、该统筹当期承办服务费（从当期长护险基金收入中计提，</w:t>
      </w:r>
      <w:r>
        <w:rPr>
          <w:rFonts w:hint="eastAsia" w:ascii="仿宋" w:hAnsi="仿宋" w:eastAsia="仿宋" w:cs="仿宋"/>
          <w:bCs/>
          <w:color w:val="auto"/>
          <w:sz w:val="24"/>
          <w:szCs w:val="24"/>
          <w:highlight w:val="none"/>
          <w:lang w:val="en-US" w:eastAsia="zh-CN"/>
        </w:rPr>
        <w:t xml:space="preserve">以中标人“承办服务费”报价中标价确定</w:t>
      </w:r>
      <w:r>
        <w:rPr>
          <w:rFonts w:hint="eastAsia" w:ascii="仿宋" w:hAnsi="仿宋" w:eastAsia="仿宋" w:cs="仿宋"/>
          <w:bCs/>
          <w:color w:val="auto"/>
          <w:sz w:val="24"/>
          <w:szCs w:val="24"/>
          <w:highlight w:val="none"/>
          <w:rtl w:val="0"/>
          <w:lang w:val="en-US" w:eastAsia="zh-CN"/>
        </w:rPr>
        <w:t xml:space="preserve">）后，长护险保费收支结余如出现亏损，亏损2%(含)以内的部分由承办商保机构承担，2%以上的部分（亏损比例以第三方报告为唯一结算依据），经医疗保障行政部门综合评定后，对因政策性原因导致的亏损部分，由基金承担，对非政策性原因导致的亏损部分，由承办商保机构承担；但如有盈利，则盈利部分全额返还基金。</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2.保险事务共办</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在医疗保障经办机构指导下，承保机构协助开展以下业务：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（1）政策宣传与咨询、投诉举报线索受理；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（2）配合开展申请受理及材料审核工作；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（3）参与失能评估和护理需求评估工作。派长护专员监督现场评估实施，并结合护理服务建议，与定点长护服务机构和参保人员沟通，形成护理服务计划；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（4）协助开展失能等级评估机构和长护服务机构定点申请受理、材料初审、综合审核以及失能评估费用、护理服务费用初审等事务性工作；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（5）协助做好定点评估机构和定点长护服务机构日常检查、评估结论及参保人员失能状态抽查、服务质量检查等工作；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（6）协助开展异议复评、重新评估等工作；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（7）协助做好信息系统运用和档案管理工作；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（8）协助做好相关业务培训及合同约定的其他工作；</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（9）医保经办机构安排的其他工作。</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tl w:val="0"/>
          <w:lang w:val="en-US" w:eastAsia="zh-CN"/>
        </w:rPr>
      </w:pPr>
      <w:r>
        <w:rPr>
          <w:rFonts w:hint="eastAsia" w:ascii="仿宋" w:hAnsi="仿宋" w:eastAsia="仿宋" w:cs="仿宋"/>
          <w:bCs/>
          <w:color w:val="auto"/>
          <w:sz w:val="24"/>
          <w:szCs w:val="24"/>
          <w:highlight w:val="none"/>
          <w:rtl w:val="0"/>
          <w:lang w:val="en-US" w:eastAsia="zh-CN"/>
        </w:rPr>
        <w:t xml:space="preserve">3.购买承办服务</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承办商保机构的当期承办服务费从当期长护险基金收入中计提，</w:t>
      </w:r>
      <w:r>
        <w:rPr>
          <w:rFonts w:hint="eastAsia" w:ascii="仿宋" w:hAnsi="仿宋" w:eastAsia="仿宋" w:cs="仿宋"/>
          <w:bCs/>
          <w:color w:val="auto"/>
          <w:sz w:val="24"/>
          <w:szCs w:val="24"/>
          <w:highlight w:val="none"/>
          <w:lang w:val="en-US" w:eastAsia="zh-CN"/>
        </w:rPr>
        <w:t xml:space="preserve">以中标人“承办服务费”报价中标价确定</w:t>
      </w:r>
      <w:r>
        <w:rPr>
          <w:rFonts w:hint="eastAsia" w:ascii="仿宋" w:hAnsi="仿宋" w:eastAsia="仿宋" w:cs="仿宋"/>
          <w:color w:val="auto"/>
          <w:sz w:val="24"/>
          <w:szCs w:val="24"/>
          <w:highlight w:val="none"/>
          <w:lang w:val="en-US" w:eastAsia="zh-CN" w:bidi="ar-SA"/>
        </w:rPr>
        <w:t xml:space="preserve">,后期综合考虑服务人口、机构运营成本、工作绩效等因素，合理调整承办服务费。承办服务费从长护险基金中支付。</w:t>
      </w:r>
      <w:r>
        <w:rPr>
          <w:rFonts w:hint="eastAsia" w:ascii="仿宋" w:hAnsi="仿宋" w:eastAsia="仿宋" w:cs="仿宋"/>
          <w:bCs/>
          <w:color w:val="auto"/>
          <w:sz w:val="24"/>
          <w:szCs w:val="24"/>
          <w:highlight w:val="none"/>
          <w:lang w:val="en-US" w:eastAsia="zh-CN"/>
        </w:rPr>
        <w:t xml:space="preserve">每季度初，医保经办机构以本年度参保人数的25%作为当季度计提测算基数，拨付本季度承办服务费的95%给商保机构。次年初，根据协议履行情况、服务对象满意度情况及当期考核结果，完成上一年度全部承办服务费结算。</w:t>
      </w:r>
      <w:r>
        <w:rPr>
          <w:rFonts w:hint="eastAsia" w:ascii="仿宋" w:hAnsi="仿宋" w:eastAsia="仿宋" w:cs="仿宋"/>
          <w:bCs/>
          <w:color w:val="auto"/>
          <w:sz w:val="24"/>
          <w:szCs w:val="24"/>
          <w:highlight w:val="none"/>
        </w:rPr>
        <w:t xml:space="preserve">承办服务费</w:t>
      </w:r>
      <w:r>
        <w:rPr>
          <w:rFonts w:hint="eastAsia" w:ascii="仿宋" w:hAnsi="仿宋" w:eastAsia="仿宋" w:cs="仿宋"/>
          <w:bCs/>
          <w:color w:val="auto"/>
          <w:sz w:val="24"/>
          <w:szCs w:val="24"/>
          <w:highlight w:val="none"/>
          <w:lang w:val="en-US" w:eastAsia="zh-CN"/>
        </w:rPr>
        <w:t xml:space="preserve">当期有结余的，结转到下一年。</w:t>
      </w:r>
      <w:r>
        <w:rPr>
          <w:rFonts w:hint="eastAsia" w:ascii="仿宋" w:hAnsi="仿宋" w:eastAsia="仿宋" w:cs="仿宋"/>
          <w:color w:val="auto"/>
          <w:sz w:val="24"/>
          <w:szCs w:val="24"/>
          <w:highlight w:val="none"/>
          <w:lang w:val="en-US" w:eastAsia="zh-CN" w:bidi="ar-SA"/>
        </w:rPr>
        <w:t xml:space="preserve">合同期满如有结余，结余部分返还基金，如有亏损按照承保份额承担。</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招录的经办服务人员薪酬、保险及福利费用；办公经费；稽查稽核费用；培训费；宣传费；交通工具相关费用，以及长护险服务场所建设费用、办公装备设施费用、信息系统费用(含软件开发、硬件设备、安全等保)一次性投入均摊等列入承办服务费。</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七、考核与管理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 xml:space="preserve">1.医保经办机构有权邀请相关专业机构组成考核小组对承办商保机构相关工作进行考核评价，</w:t>
      </w:r>
      <w:r>
        <w:rPr>
          <w:rFonts w:hint="eastAsia" w:ascii="仿宋" w:hAnsi="仿宋" w:eastAsia="仿宋" w:cs="仿宋"/>
          <w:color w:val="auto"/>
          <w:sz w:val="24"/>
          <w:szCs w:val="24"/>
          <w:highlight w:val="none"/>
          <w:lang w:val="en-US" w:eastAsia="zh-CN"/>
        </w:rPr>
        <w:t xml:space="preserve">内容包括但不限于：合同履行情况、基金运行管理情况、服务质效情况和促进参保扩面情况等，承办商保机构须积极配合。如有承办商保机构当期考核不合格，予以解除合同，相关职责及中标份额按照以下规则处理：第一中标人发生不能履行主承保单位职责情形时，由第二中标人代为承担相关工作职责，相应份额与其他承保单位均分；如其他中标人不能履行承保单位职责情形时，由排在第一的中标人承担工作职责，相应份额与其他承保单位均分。份额划转设置3个月业务交接期，原商保必须完整移交全部档案、系统权限、服务台账，交接期内业务差错由原承办商保全额承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2.建立健全长护险基金监管机制，对基金使用情况、医疗护理服务、欺诈骗保等进行监督管理。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3.医保经办机构建立举报投诉、信息披露、基金监管、欺诈防范等监管机制。对承办商保机构政策制度执行情况及业务经办情况进行实时督查。</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承办商保机构应建立费用审核、内部控制、日常巡查、运行分析等管理制度，通过信息系统、抽查询访、满意度调查等途径，对评估机构评估质量、定点护理机构服务质量及待遇享受等情况进行跟踪管理，按月编报长护险运行分析报告报送至市财政局及医保经办机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承办商保机构应发挥精准精细服务优势，以护理服务为抓手，引导群众及其家庭成员及时参保缴费，实现应保尽保。宣传动员灵活就业人员、个体工商户参加职工基本医保，进一步优化参保结构，扩大长期护理保险参保人数。</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6.承办商保机构、定点服务机构、定点评估机构及其工作人员、参保人员等存在违法违规行为造成基金损失的，可参照医疗保障基金使用监督管理有关规定处理。构成犯罪的，移送司法机关追究刑事责任。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7.建立健全长护险诚信档案，根据信用评价等级分级分类监督管理，对失信行为按照国家有关规定实施惩戒。</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8.考核主体与周期</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市级医保经办机构统筹全市长护险绩效考核，各县（区）医保经办机构每年开展一次承办机构现场考核，次年2月底前完成年度综合考评初评；最终考核结果直接与承办服务费预留款、承保份额、合同存续资格挂钩。承办机构设立长护险专职管理部门，牵头统筹失能评估工作，对评估机构行为承担主体管理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（1）结算管理（10分）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①每月10个工作日内完成上月定点护理机构费用核对、审核、足额拨付，医保按季度预拨资金不得作为延迟付款、拖欠定点机构的免责理由；</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因承办机构资金调度、审核滞后等自身原因，未按时完成月度结算拨付，每出现1家定点机构逾期扣1分，本项最多扣6分；财务业务台账、拨付凭证数据不一致的，每笔扣0.5分，最多扣3分；仅系统故障、医保专户客观延迟且提供书面证明可不扣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③出现定点机构因拖欠结算集体投诉、信访舆情的，本项直接0分。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（2）失能评估管理考核（30分）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办机构为评估业务责任主体，全面负责评估业务落地执行、全流程过程管控、评估质量常态化抽查、合作评估机构日常监管与违规问题上报处置。评估机构发生的业务差错、流程违规、虚假评估、欺诈骗保等问题，均认定为承办机构日常监管缺位、履职不到位，对承办机构同步实施考核扣分并追责，具体扣分标准如下：</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①未建立评估人员动态管理库并动态维护，每次扣2分；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②评估流程不合规、结论失真、虚假评估、超时评估，查实1例扣1分，造成基金损失的1例扣10分；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③未及时督促、提请处置评估机构违规，暂停/终止评估合作协议，每起扣3分；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④因评估机构过错引发参保人复评、投诉、上访，全部计入承办机构考核扣分，每起扣3分。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（3）其余考核指标（60分）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①组织管理（8分）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设立独立长护险专职管理部门、配齐专项负责人得满分；未单独设立部门扣4分；无固定专人分管长护业务扣4分；市级区域服务点位设置不达标，扣4分。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②人员配置（8分）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按参保人口1:35000配备全职经办人员，医学、护理、统计等专业人员占比达标得满分；人员配比不足每少1人扣1分，医保经办机构统筹安排的除外；专业人员占比不达标每低1个百分点扣0.5分。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③信息系统管理（6分）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配合经办机构负责系统运维、按时完成系统升级、数据报送、人员培训；系统故障处置迟缓、未按期组织机构操作人员培训，单次扣2分；数据漏报、错报每批次扣1分；私自更改系统网络、泄露系统数据本项0分。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④宣传与信访投诉（6分）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配合经办机构开通专线咨询投诉电话、场所公示政策宣传材料得基础分；投诉超时限办结1件扣1分；信访处置推诿、未建立回访台账每例扣1分；无常态化政策宣传、无线下宣讲记录扣2分。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⑤档案管理（6分）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失能申请、评估档案、结算凭证、巡查台账分类完整归档；台账缺失、资料不完整每笔扣0.5分；档案保管不规范、丢失纸质/电子档案单次扣3分。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⑥定点机构监管（6分）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按要求季度全覆盖巡查、动态更新机构信息库；巡查频次不达标、未及时处置机构违规行为，每起扣2分；未定期组织机构培训扣3分；机构违规隐瞒不报每例扣2分。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⑦基金风险管控（8分）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建立费用稽核、欺诈骗保排查、月度资金预判机制；无风控预案扣3分；稽核发现违规未及时追回基金、未移送线索每笔扣3分；配合审计、基金核查不积极单次扣2分。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⑧服务满意度（6分）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失能人员年度综合满意度≥95%得满分；93%≤满意度＜95%得5分；低于93分本项不得分；有效投诉查实1起额外扣2分。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⑨稽核巡查（6分）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每季度按要求抽查定点机构、上门失能人员，留存音视频、纸质巡查记录；巡查覆盖率不达标每低5%扣2分；巡查发现问题未建立整改闭环每起扣2分。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考核等次与结果运用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（1）年度考核≥90分（优秀）：全额拨付考核预留承办服务费；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（2）70分≤年度考核&lt;90分（合格）：按实际得分比例折算拨付预留款；</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（3）年度考核＜70分（不合格）：考核预留款全额不予拨付，直接解除承办合同、收回承保份额；</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一票否决（直接判定年度不合格，可提前解除协议）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①拖延与定点机构月度结算，引发群体性信访、重大舆情；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②牵头管理评估不力，评估机构弄虚作假、造成长护险基金重大损失；</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③未按投标承诺履行资金垫付、按月结算义务；</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④泄露参保信息、恶意攻击信息系统、内外勾结欺诈骗保等情形。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考核报送要求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承办机构每月同步报送定点机构月度结算台账、资金拨付凭证、评估抽查记录；每年年底前提交自评报告，逾期未报送，当期考核直接扣5分。</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八、项目实施依据</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1.《国家医保局办公室民政部办公厅关于印发&lt;长期护理失能等级评估标准(试行)&gt;的通知》(医保办发〔2021〕37号)；</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2.《宿迁市人民政府关于建立长期护理保险制度的实施意见》(宿政规发〔2023〕6号)；</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3.宿迁市居民长期护理保险试行方案。</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九、验收要求</w:t>
      </w:r>
      <w:r/>
    </w:p>
    <w:p>
      <w:pPr>
        <w:ind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合同履行期满，中标人向采购人提交项目验收资料以及验收申请单，采购人收到申请后3个工作日内组织验收且验收无问题后签署验收单。</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十、采购本国货物、工程和服务</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政府采购应当采购本国货物、工程和服务，但有《中华人民共和国政府采购法》第十条规定情形的除外。</w:t>
      </w:r>
      <w:r/>
    </w:p>
    <w:p>
      <w:pPr>
        <w:ind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注：★部分为实质性要求，不接受负偏离。否则，作为无效标处理。具体事宜按照现行长护险政策执行</w:t>
      </w:r>
      <w:r>
        <w:rPr>
          <w:rFonts w:hint="eastAsia" w:ascii="仿宋" w:hAnsi="仿宋" w:eastAsia="仿宋" w:cs="仿宋"/>
          <w:color w:val="auto"/>
          <w:sz w:val="24"/>
          <w:szCs w:val="24"/>
          <w:highlight w:val="none"/>
          <w:lang w:val="en-US" w:eastAsia="zh-CN" w:bidi="ar-SA"/>
        </w:rPr>
        <w:t xml:space="preserve">。</w:t>
      </w:r>
      <w:r/>
    </w:p>
    <w:p>
      <w:pPr>
        <w:pStyle w:val="1017"/>
        <w:ind w:right="0" w:firstLine="480"/>
        <w:keepLines w:val="0"/>
        <w:keepNext w:val="0"/>
        <w:pageBreakBefore w:val="0"/>
        <w:spacing w:line="360" w:lineRule="auto"/>
        <w:widowControl w:val="off"/>
        <w:rPr>
          <w:rStyle w:val="705"/>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jc w:val="center"/>
        <w:keepLines w:val="0"/>
        <w:keepNext w:val="0"/>
        <w:pageBreakBefore w:val="0"/>
        <w:spacing w:line="480" w:lineRule="auto"/>
        <w:widowControl w:val="off"/>
        <w:rPr>
          <w:rFonts w:hint="eastAsia" w:ascii="仿宋" w:hAnsi="仿宋" w:eastAsia="仿宋" w:cs="仿宋"/>
          <w:bCs/>
          <w:color w:val="auto"/>
          <w:sz w:val="44"/>
          <w:highlight w:val="none"/>
        </w:rPr>
        <w:outlineLvl w:val="0"/>
      </w:pPr>
      <w:r>
        <w:rPr>
          <w:rFonts w:hint="eastAsia" w:ascii="仿宋" w:hAnsi="仿宋" w:eastAsia="仿宋" w:cs="仿宋"/>
          <w:bCs/>
          <w:color w:val="auto"/>
          <w:sz w:val="44"/>
          <w:highlight w:val="none"/>
        </w:rPr>
        <w:br w:type="page" w:clear="all"/>
      </w:r>
      <w:bookmarkStart w:id="197" w:name="_Toc3329"/>
      <w:r>
        <w:rPr>
          <w:rStyle w:val="732"/>
          <w:rFonts w:hint="eastAsia" w:ascii="仿宋" w:hAnsi="仿宋" w:eastAsia="仿宋" w:cs="仿宋"/>
          <w:b/>
          <w:bCs/>
          <w:color w:val="auto"/>
          <w:highlight w:val="none"/>
        </w:rPr>
        <w:t xml:space="preserve">第五章   评标方法与评标标准</w:t>
      </w:r>
      <w:bookmarkEnd w:id="197"/>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一、资格审查。</w:t>
      </w:r>
      <w:r>
        <w:rPr>
          <w:rFonts w:hint="eastAsia" w:ascii="仿宋" w:hAnsi="仿宋" w:eastAsia="仿宋" w:cs="仿宋"/>
          <w:color w:val="auto"/>
          <w:sz w:val="24"/>
          <w:szCs w:val="24"/>
          <w:highlight w:val="none"/>
        </w:rPr>
        <w:t xml:space="preserve">资格审查人员按照下列指标对各投标人的资格进行审查，未通过审查的为无效标，不参与评标。</w:t>
      </w:r>
      <w:r/>
    </w:p>
    <w:tbl>
      <w:tblPr>
        <w:tblStyle w:val="706"/>
        <w:tblW w:w="9014"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left"/>
              <w:keepLines w:val="0"/>
              <w:keepNext w:val="0"/>
              <w:pageBreakBefore w:val="0"/>
              <w:spacing w:line="560" w:lineRule="exact"/>
              <w:widowControl w:val="off"/>
              <w:tabs>
                <w:tab w:val="left" w:pos="728" w:leader="none"/>
              </w:tabs>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506"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联合体投标</w:t>
            </w:r>
            <w:r/>
          </w:p>
        </w:tc>
        <w:tc>
          <w:tcPr>
            <w:tcBorders>
              <w:top w:val="single" w:color="000000" w:sz="6" w:space="0"/>
              <w:left w:val="single" w:color="000000" w:sz="6" w:space="0"/>
              <w:bottom w:val="single" w:color="000000" w:sz="6" w:space="0"/>
              <w:right w:val="single" w:color="000000" w:sz="6" w:space="0"/>
            </w:tcBorders>
            <w:tcW w:w="4508"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接受联合体投标</w:t>
            </w:r>
            <w:r/>
          </w:p>
        </w:tc>
      </w:tr>
    </w:tbl>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二、符合性审查。</w:t>
      </w:r>
      <w:r>
        <w:rPr>
          <w:rFonts w:hint="eastAsia" w:ascii="仿宋" w:hAnsi="仿宋" w:eastAsia="仿宋" w:cs="仿宋"/>
          <w:color w:val="auto"/>
          <w:sz w:val="24"/>
          <w:szCs w:val="24"/>
          <w:highlight w:val="none"/>
        </w:rPr>
        <w:t xml:space="preserve">评标委员会首先按照下列指标对各投标人的投标文件进行符合性审查，未通过审查的为无效标，不再参与评审。</w:t>
      </w:r>
      <w:r/>
    </w:p>
    <w:tbl>
      <w:tblPr>
        <w:tblStyle w:val="706"/>
        <w:tblW w:w="8983"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bl>
    <w:p>
      <w:pPr>
        <w:ind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三、评分办法—综合评分法</w:t>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（一）评标办法：</w:t>
      </w:r>
      <w:r>
        <w:rPr>
          <w:rFonts w:hint="eastAsia" w:ascii="仿宋" w:hAnsi="仿宋" w:eastAsia="仿宋" w:cs="仿宋"/>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评标委员会根据评审后投标人排序推荐中标候选人，并形成评标报告。投标文件满足招标文件全部实质性要求，且评审后排序第一的投标人为第一中标候选人，依次类推。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位投标人只能在一个分包上中标。如某投标人已在分包一被推荐为第一中标候选人的，则其参与分包二、分包三评标，但在分包二、分包三不参与推荐中标候选人的排序，以此类推，若有分包无合格中标候选人，则该分包份额由分包一中标候选人承担。</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注：评审结束后，若其中一个分包受到质疑投诉等原因，导致本分包评审结果改变，但不影响其他分包的评审结果。综合评分保留至小数点后两位。</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（二）详细评审。</w:t>
      </w:r>
      <w:r>
        <w:rPr>
          <w:rFonts w:hint="eastAsia" w:ascii="仿宋" w:hAnsi="仿宋" w:eastAsia="仿宋" w:cs="仿宋"/>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06"/>
        <w:tblW w:w="9202"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42"/>
        <w:gridCol w:w="1314"/>
        <w:gridCol w:w="900"/>
        <w:gridCol w:w="5646"/>
      </w:tblGrid>
      <w:tr>
        <w:trPr>
          <w:trHeight w:val="632"/>
        </w:trPr>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center"/>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分数</w:t>
            </w:r>
            <w:r/>
          </w:p>
        </w:tc>
        <w:tc>
          <w:tcPr>
            <w:gridSpan w:val="2"/>
            <w:tcBorders>
              <w:top w:val="single" w:color="auto" w:sz="6" w:space="0"/>
              <w:left w:val="single" w:color="auto" w:sz="6" w:space="0"/>
              <w:bottom w:val="single" w:color="auto" w:sz="6" w:space="0"/>
              <w:right w:val="single" w:color="auto" w:sz="6" w:space="0"/>
            </w:tcBorders>
            <w:tcW w:w="6546" w:type="dxa"/>
            <w:vAlign w:val="center"/>
            <w:textDirection w:val="lrTb"/>
            <w:noWrap w:val="false"/>
          </w:tcPr>
          <w:p>
            <w:pPr>
              <w:jc w:val="center"/>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评审标准</w:t>
            </w:r>
            <w:r/>
          </w:p>
        </w:tc>
      </w:tr>
      <w:tr>
        <w:trPr/>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报价分</w:t>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投标报价</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10.00分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采用低价优先法计算，即满足招标文件要求且承办服务费最低的报价为评标基准值价，其得分为10分，其他投标人承办服务费得分=（评标基准价/承办服务费报价）×10。</w:t>
            </w:r>
            <w:r/>
          </w:p>
          <w:p>
            <w:pPr>
              <w:jc w:val="left"/>
              <w:keepLines w:val="0"/>
              <w:keepNext w:val="0"/>
              <w:pageBreakBefore w:val="0"/>
              <w:spacing w:after="0" w:afterAutospacing="0" w:line="360" w:lineRule="auto"/>
              <w:widowControl w:val="off"/>
              <w:rPr>
                <w:rFonts w:hint="default"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注：①符合规定的小微企业（含监狱企业和残疾人福利单位）报价给予 10%的扣除，用扣除后的价格参加评审。</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restart"/>
            <w:textDirection w:val="lrTb"/>
            <w:noWrap w:val="false"/>
          </w:tcPr>
          <w:p>
            <w:pPr>
              <w:jc w:val="left"/>
              <w:spacing w:after="0" w:afterAutospacing="0"/>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企业经营业绩、信誉等</w:t>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企业业绩</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10.00分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default"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投标人及投标人总公司或其下属分支机构自2023年1月1日（以合同签订时间为准）以来</w:t>
            </w:r>
            <w:r>
              <w:rPr>
                <w:rFonts w:hint="eastAsia" w:ascii="仿宋" w:hAnsi="仿宋" w:eastAsia="仿宋" w:cs="仿宋"/>
                <w:b/>
                <w:bCs/>
                <w:color w:val="auto"/>
                <w:sz w:val="21"/>
                <w:szCs w:val="22"/>
                <w:highlight w:val="none"/>
                <w:u w:val="none"/>
                <w:rtl w:val="0"/>
                <w:lang w:val="en-US" w:eastAsia="zh-CN" w:bidi="ar-SA"/>
              </w:rPr>
              <w:t xml:space="preserve">，</w:t>
            </w:r>
            <w:r>
              <w:rPr>
                <w:rFonts w:hint="eastAsia" w:ascii="仿宋" w:hAnsi="仿宋" w:eastAsia="仿宋" w:cs="仿宋"/>
                <w:b w:val="0"/>
                <w:bCs w:val="0"/>
                <w:color w:val="auto"/>
                <w:sz w:val="21"/>
                <w:szCs w:val="22"/>
                <w:highlight w:val="none"/>
                <w:u w:val="none"/>
                <w:rtl w:val="0"/>
                <w:lang w:val="en-US" w:eastAsia="zh-CN" w:bidi="ar-SA"/>
              </w:rPr>
              <w:t xml:space="preserve">承担过类似项目业绩的每提供一个得2分；本项最高得10分。</w:t>
            </w:r>
            <w:r>
              <w:rPr>
                <w:rFonts w:hint="eastAsia" w:ascii="仿宋" w:hAnsi="仿宋" w:eastAsia="仿宋" w:cs="仿宋"/>
                <w:color w:val="auto"/>
                <w:sz w:val="21"/>
                <w:szCs w:val="22"/>
                <w:highlight w:val="none"/>
                <w:u w:val="none"/>
                <w:rtl w:val="0"/>
                <w:lang w:val="en-US" w:eastAsia="zh-CN" w:bidi="ar-SA"/>
              </w:rPr>
              <w:t xml:space="preserve">注：①须提供保险项目业绩合同(合作协议书）及中标（成交）通知书电子件。同一项目与同一单位或部门连续签约的，计一次合作经验（与企业、社会组织等签订协议不得分），协议中能清晰反映投保人名称、签订日期，反映不全不得分。少提供或不提供不得分。②</w:t>
            </w:r>
            <w:r>
              <w:rPr>
                <w:rFonts w:hint="eastAsia" w:ascii="仿宋" w:hAnsi="仿宋" w:eastAsia="仿宋" w:cs="仿宋"/>
                <w:color w:val="auto"/>
                <w:sz w:val="21"/>
                <w:szCs w:val="22"/>
                <w:highlight w:val="none"/>
                <w:rtl w:val="0"/>
                <w:lang w:val="en-US" w:eastAsia="zh-CN" w:bidi="ar-SA"/>
              </w:rPr>
              <w:t xml:space="preserve">如联合体参与投标的每提供一个业绩只得1分。</w:t>
            </w:r>
            <w:r/>
          </w:p>
        </w:tc>
      </w:tr>
      <w:tr>
        <w:trPr>
          <w:trHeight w:val="260"/>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center"/>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核心偿付能力充足率</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投标人总公司经审计的2025年末核心偿付能力充足率≥200%的，得6分；180%≤2025年末核心偿付能力充足率﹤200%的，得4分；2025年末核心偿付能力充足率﹤180%的，得2分。</w:t>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注：①须提供投标人总公司经审计的2025年末核心偿付能力报告电子件，否则不得分。</w:t>
            </w:r>
            <w:r/>
          </w:p>
          <w:p>
            <w:pPr>
              <w:jc w:val="left"/>
              <w:keepLines w:val="0"/>
              <w:keepNext w:val="0"/>
              <w:pageBreakBefore w:val="0"/>
              <w:spacing w:after="0" w:afterAutospacing="0" w:line="360" w:lineRule="auto"/>
              <w:widowControl w:val="off"/>
              <w:rPr>
                <w:rFonts w:hint="default"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②如联合体参与投标的，联合体成员应提供各总公司经审计的2025年末核心偿付能力报告电子件，只有联合体成员一方提供的获得对应分值的1/2，如联合体成员同时提供取对应分值的平均值。（总（母）公司和其下属分支机构联合体除外）。</w:t>
            </w:r>
            <w:r/>
          </w:p>
        </w:tc>
      </w:tr>
      <w:tr>
        <w:trPr/>
        <w:tc>
          <w:tcPr>
            <w:tcBorders>
              <w:top w:val="single" w:color="auto" w:sz="6" w:space="0"/>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企业荣誉</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default"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投标人及投标人总公司或其下属分支机构自2023年1月1日（以证书落款时间为准）以来，获得市级及以上政府或行政主管部门表彰的，每有一项得2分，本项最高得6分。注：①须提供以上证明材料电子件，否则不得分。②如无证书以文件落款时间为准，两时间不一致以证书落款时间为准。③如联合体参与投标的每提供一个荣誉只得1分。</w:t>
            </w:r>
            <w:r/>
          </w:p>
        </w:tc>
      </w:tr>
      <w:tr>
        <w:trPr/>
        <w:tc>
          <w:tcPr>
            <w:tcBorders>
              <w:top w:val="single" w:color="auto" w:sz="6" w:space="0"/>
              <w:left w:val="single" w:color="auto" w:sz="6" w:space="0"/>
              <w:right w:val="single" w:color="auto" w:sz="6" w:space="0"/>
            </w:tcBorders>
            <w:tcW w:w="1342" w:type="dxa"/>
            <w:vAlign w:val="center"/>
            <w:vMerge w:val="restart"/>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总体服务方案及启动工作安排</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w:t>
            </w:r>
            <w:r>
              <w:rPr>
                <w:rFonts w:hint="eastAsia" w:ascii="仿宋" w:hAnsi="仿宋" w:eastAsia="仿宋" w:cs="仿宋"/>
                <w:color w:val="auto"/>
                <w:sz w:val="21"/>
                <w:szCs w:val="22"/>
                <w:highlight w:val="none"/>
                <w:rtl w:val="0"/>
                <w:lang w:val="en-US" w:eastAsia="zh-CN" w:bidi="ar-SA"/>
              </w:rPr>
              <w:t xml:space="preserve">容与要求-（三）项目实施方案及要求-1.总体服务方案及启动工作安排”要求，提供总体服务方案及启动工作安排。总体方案完整，实施措施详尽，保证措施和风控措施针对性强、可执行性高，服务费预算计划详实且优于采购需求，得6分；总体方案较完整，实施措施较详尽，保证措施和风控措施针对性较强、可执行性较高，服务费预算计划较详实能够满足采购需求，得4分；总体方案基本完善，实施措施基本详尽，保证措施和风控措施针对性、可执行性，服务费预算计划不强，通过后期优化能实现采购需求的，得2分；没有内容或其情况不满足招标文件需求的不得分。</w:t>
            </w:r>
            <w:r/>
          </w:p>
        </w:tc>
      </w:tr>
      <w:tr>
        <w:trPr/>
        <w:tc>
          <w:tcPr>
            <w:tcBorders>
              <w:left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失能评估管理</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10.00分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-2.制定失能评估管理方案”要求，提供失能评估管理。工作方案架构详实，流程清晰，方法描述切合实际，且优于采购需求，得10分；工作方案架构较详实，流程较清晰，方法描述较切合实际，能够满足采购需求，得6分；工作方案架构基本详细，流程基本完整，方法描述不详细，通过后期优化能实现采购需求的，得3分；没有内容或其情况不满足招标文件需求的不得分。</w:t>
            </w:r>
            <w:r/>
          </w:p>
        </w:tc>
      </w:tr>
      <w:tr>
        <w:trPr/>
        <w:tc>
          <w:tcPr>
            <w:tcBorders>
              <w:left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定点护理服务机构管理</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-3.制定针对本项目的定点服务机构管理方案”要求，提供定点护理服务机构管理。管理方案细节详细、规划切合实际，针对性强、可执行性高，且优于采购需求，得6分；管理方案细节较详细、规划较切合实际，针对性较强、可执行性较高，能够满足采购需求，得4分；管理方案细节规划，针对性和可执行性不强，通过后期优化能实现采购需求的，得2分；没有内容或其情况不满足招标文件需求的不得分。</w:t>
            </w:r>
            <w:r/>
          </w:p>
        </w:tc>
      </w:tr>
      <w:tr>
        <w:trPr/>
        <w:tc>
          <w:tcPr>
            <w:tcBorders>
              <w:left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长护服务质量监督与稽核巡查</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numPr>
                <w:ilvl w:val="0"/>
                <w:numId w:val="0"/>
              </w:numPr>
              <w:ind w:left="0" w:firstLine="0"/>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-4.制定长护服务质量监督与稽核巡查方案”要求，提供长护服务质量监督与稽核巡查。监管方案设计切合实际，条理清晰，实用性强，且优于采购需求得6分；监管方案设计较切合实际，条理较清晰，实用性较强，能够满足采购需求，得4分；监管方案设计基本符合实际情况，条理基本清晰，实用性不强，通过后期优化能实现采购需求的，得2分；没有内容或其情况不满足招标文件需求的不得分。</w:t>
            </w:r>
            <w:r/>
          </w:p>
        </w:tc>
      </w:tr>
      <w:tr>
        <w:trPr/>
        <w:tc>
          <w:tcPr>
            <w:tcBorders>
              <w:left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待遇支付及基金管理方案</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-5.制定待遇支付及基金管理方案”要求，提供待遇支付及基金管理方案。总体方案完整，实施措施详尽，针对性强、可执行性高，且优于采购需求，得6分；总体方案较完整，实施措施较详尽，针对性较强、可执行性较高，能够满足采购需求，得4分；总体方案基本完善，实施措施基本详尽，针对性可执行性不强，通过后期优化能实现采购需求的得2分；没有内容或其情况不满足招标文件需求的不得分。</w:t>
            </w:r>
            <w:r/>
          </w:p>
        </w:tc>
      </w:tr>
      <w:tr>
        <w:trPr/>
        <w:tc>
          <w:tcPr>
            <w:tcBorders>
              <w:left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宣传方案</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-6.制定宣传工作方案”要求，提供宣传方案。政策宣传方向正确，方案完整详实，标新立异，思路新颖、实用性强，且优于采购需求，得6分；政策宣传方向正确，方案较完整详实，思路普通，能够满足采购需求，得4分；政策宣传方向正确，方案思路陈旧，通过后期优化能实现采购需求的，得2分；没有内容或其情况不满足招标文件需求的不得分。</w:t>
            </w:r>
            <w:r/>
          </w:p>
        </w:tc>
      </w:tr>
      <w:tr>
        <w:trPr/>
        <w:tc>
          <w:tcPr>
            <w:tcBorders>
              <w:left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业务数据保密措施</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-7.制定业务数据保密措施”要求，提供业务数据保密措施。保密措施完整详实、切合实际、能够实现采购人保密要求的，且优于采购需求得6分；保密措施完整、较切合实际，能够满足采购需求得4分；保密措施不强，通过后期优化能实现采购需求的，得2分；没有内容或其情况不满足招标文件需求的不得分。</w:t>
            </w:r>
            <w:r/>
          </w:p>
        </w:tc>
      </w:tr>
      <w:tr>
        <w:trPr/>
        <w:tc>
          <w:tcPr>
            <w:tcBorders>
              <w:left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创新服务</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-8.制定创新服务方案”要求，提供创新服务。方案完整详实、思路新颖，且优于采购需求的得6分；方案基本详实，思路普通，能够满足采购需求，得4分；方案内容不完善、思路陈旧，通过后期优化能实现采购需求的，得2分；没有内容或其情况不满足招标文件需求的不得分。</w:t>
            </w:r>
            <w:r/>
          </w:p>
        </w:tc>
      </w:tr>
      <w:tr>
        <w:trPr/>
        <w:tc>
          <w:tcPr>
            <w:tcBorders>
              <w:left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培训方案</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-9.制定培训方案”要求，提供培训方案。培训方案内容详实，可执行性强、表述清晰准确，且优于采购需求，得6分；培训方案内容较详实，表述不够准确，但不影响实施，能够满足采购需求，得4分；有培训方案，但方案内容笼统，没有针对本项目细化制定，通过后期优化能满足采购需求的得2分；没有内容或其情况不满足招标文件需求的不得分。</w:t>
            </w:r>
            <w:r/>
          </w:p>
        </w:tc>
      </w:tr>
      <w:tr>
        <w:trPr/>
        <w:tc>
          <w:tcPr>
            <w:tcBorders>
              <w:left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人员配备</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6.00分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 采购需求”中“四、服务内容与要求-（三）项目实施方案及要求-10.制定人员配置方案”要求，提供人员配备。内容结构严谨、思路清晰、描述详细、转化落地有较强可实施性、满足且优于项目需求，得6分；表述略有偏差、但不影响实质性意思表达、基本能够满足项目需求，得4分；内容有欠缺，通过后期优化能实现采购需求的，得2分；没有内容或其情况不满足招标文件需求不得分。</w:t>
            </w:r>
            <w:r/>
          </w:p>
        </w:tc>
      </w:tr>
      <w:tr>
        <w:trPr/>
        <w:tc>
          <w:tcPr>
            <w:tcBorders>
              <w:left w:val="single" w:color="auto" w:sz="6" w:space="0"/>
              <w:bottom w:val="single" w:color="auto" w:sz="6" w:space="0"/>
              <w:right w:val="single" w:color="auto" w:sz="6" w:space="0"/>
            </w:tcBorders>
            <w:tcW w:w="1342" w:type="dxa"/>
            <w:vAlign w:val="center"/>
            <w:vMerge w:val="continue"/>
            <w:textDirection w:val="lrTb"/>
            <w:noWrap w:val="false"/>
          </w:tcPr>
          <w:p>
            <w:pPr>
              <w:jc w:val="left"/>
              <w:spacing w:after="0" w:afterAutospacing="0"/>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314"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服务场所配置</w:t>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r>
            <w:r/>
          </w:p>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4.00分</w:t>
            </w:r>
            <w:r/>
          </w:p>
        </w:tc>
        <w:tc>
          <w:tcPr>
            <w:tcBorders>
              <w:top w:val="single" w:color="auto" w:sz="6" w:space="0"/>
              <w:left w:val="single" w:color="auto" w:sz="6" w:space="0"/>
              <w:bottom w:val="single" w:color="auto" w:sz="6" w:space="0"/>
              <w:right w:val="single" w:color="auto" w:sz="6" w:space="0"/>
            </w:tcBorders>
            <w:tcW w:w="5646" w:type="dxa"/>
            <w:vAlign w:val="center"/>
            <w:textDirection w:val="lrTb"/>
            <w:noWrap w:val="false"/>
          </w:tcPr>
          <w:p>
            <w:pPr>
              <w:jc w:val="left"/>
              <w:keepLines w:val="0"/>
              <w:keepNext w:val="0"/>
              <w:pageBreakBefore w:val="0"/>
              <w:spacing w:after="0" w:afterAutospacing="0" w:line="360" w:lineRule="auto"/>
              <w:widowControl w:val="off"/>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sz w:val="21"/>
                <w:szCs w:val="22"/>
                <w:highlight w:val="none"/>
                <w:rtl w:val="0"/>
                <w:lang w:val="en-US" w:eastAsia="zh-CN" w:bidi="ar-SA"/>
              </w:rPr>
              <w:t xml:space="preserve">针对采购文件“第四章采购需求”中四、服务内容与要求-（三）项目实施方案及要求-12.办公设备及交通工具配置要求要求，提供服务场所配置方案。方案完整详实，办公场所位置合理、面积充足且独立设置，办公设施、核查设备及车辆配备齐全、优于采购需求，服务网点设置科学合理、满足待遇人员需求，得4分；方案较完整，办公场所基本满足运营需求，办公设施、核查设备及车辆配备较齐全，服务网点设置基本合理，能够满足采购需求，得2分；方案实时性不强通过后期优化能实现采购需求的，得1分；没有内容或其情况不满足招标文件需求的不得分。</w:t>
            </w:r>
            <w:r/>
          </w:p>
        </w:tc>
      </w:tr>
    </w:tbl>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（三）评标结果。</w:t>
      </w:r>
      <w:r>
        <w:rPr>
          <w:rFonts w:hint="eastAsia" w:ascii="仿宋" w:hAnsi="仿宋" w:eastAsia="仿宋" w:cs="仿宋"/>
          <w:color w:val="auto"/>
          <w:sz w:val="24"/>
          <w:szCs w:val="24"/>
          <w:highlight w:val="none"/>
        </w:rPr>
        <w:t xml:space="preserve">评标委员会按照本办法规定推荐中标候选人，并形成评标报告。</w:t>
      </w:r>
      <w:r/>
    </w:p>
    <w:p>
      <w:pPr>
        <w:ind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（四）政府采购政策功能落实</w:t>
      </w:r>
      <w:r/>
    </w:p>
    <w:p>
      <w:pPr>
        <w:ind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本项目落实的政府采购政策对应以下序号为</w:t>
      </w:r>
      <w:r>
        <w:rPr>
          <w:rFonts w:hint="eastAsia" w:ascii="仿宋" w:hAnsi="仿宋" w:eastAsia="仿宋" w:cs="仿宋"/>
          <w:b/>
          <w:bCs/>
          <w:color w:val="auto"/>
          <w:sz w:val="24"/>
          <w:szCs w:val="24"/>
          <w:highlight w:val="none"/>
          <w:u w:val="single"/>
        </w:rPr>
        <w:t xml:space="preserve"> 1</w:t>
      </w:r>
      <w:r>
        <w:rPr>
          <w:rFonts w:hint="eastAsia" w:ascii="仿宋" w:hAnsi="仿宋" w:eastAsia="仿宋" w:cs="仿宋"/>
          <w:b/>
          <w:bCs/>
          <w:color w:val="auto"/>
          <w:sz w:val="24"/>
          <w:szCs w:val="24"/>
          <w:highlight w:val="none"/>
          <w:u w:val="single"/>
          <w:lang w:val="en-US" w:eastAsia="zh-CN"/>
        </w:rPr>
        <w:t xml:space="preserve">、2</w:t>
      </w:r>
      <w:r/>
    </w:p>
    <w:p>
      <w:pPr>
        <w:numPr>
          <w:ilvl w:val="0"/>
          <w:numId w:val="0"/>
        </w:num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采购本国货物、工程和服务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2、中小企业政策</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种政策确定本项目落实的中小企业政策：</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（1）本项目专门面向中小企业（含监狱企业、残疾人福利企业）采购。</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（2）投标人提供的服务符合下列情形的，对小微企业报价给予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的扣除，用扣除后的价格参加评审。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含新疆生产建设兵团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出具的属于监狱企业的证明文件（投标文件中上传加盖出具单位公章的电子件）。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3、政府采购节能产品、环境标志产品</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（3）采购人拟采购的产品属于优先采购的节能环保品目清单范围的，按以下条件优先采购：</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采用综合评分法的项目，对提供有效节能环保证书的投标人加分。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采用最低评标价法的项目，同等条件下优先推荐提供有效节能环保证书多的投标人为中标人。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4、商品包装、快递包装政府采购需求标准（试行）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5、绿色数据中心政府采购需求标准（试行）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Style w:val="732"/>
          <w:rFonts w:hint="eastAsia" w:ascii="仿宋" w:hAnsi="仿宋" w:eastAsia="仿宋" w:cs="仿宋"/>
          <w:b/>
          <w:bCs/>
          <w:color w:val="auto"/>
          <w:highlight w:val="none"/>
        </w:rPr>
      </w:pPr>
      <w:r/>
      <w:bookmarkStart w:id="198" w:name="_Toc15930"/>
      <w:r/>
      <w:r/>
    </w:p>
    <w:p>
      <w:pPr>
        <w:rPr>
          <w:rStyle w:val="732"/>
          <w:rFonts w:hint="eastAsia" w:ascii="仿宋" w:hAnsi="仿宋" w:eastAsia="仿宋" w:cs="仿宋"/>
          <w:b/>
          <w:bCs/>
          <w:color w:val="auto"/>
          <w:highlight w:val="none"/>
        </w:rPr>
      </w:pPr>
      <w:r>
        <w:rPr>
          <w:rStyle w:val="732"/>
          <w:rFonts w:hint="eastAsia" w:ascii="仿宋" w:hAnsi="仿宋" w:eastAsia="仿宋" w:cs="仿宋"/>
          <w:b/>
          <w:bCs/>
          <w:color w:val="auto"/>
          <w:highlight w:val="none"/>
        </w:rPr>
        <w:br w:type="page" w:clear="all"/>
      </w:r>
      <w:r/>
    </w:p>
    <w:p>
      <w:pPr>
        <w:pStyle w:val="887"/>
        <w:keepLines w:val="0"/>
        <w:keepNext/>
        <w:pageBreakBefore w:val="0"/>
        <w:spacing w:line="480" w:lineRule="auto"/>
        <w:widowControl w:val="off"/>
        <w:rPr>
          <w:rFonts w:hint="eastAsia" w:ascii="仿宋" w:hAnsi="仿宋" w:eastAsia="仿宋" w:cs="仿宋"/>
          <w:bCs/>
          <w:color w:val="auto"/>
          <w:sz w:val="44"/>
          <w:highlight w:val="none"/>
        </w:rPr>
      </w:pPr>
      <w:r>
        <w:rPr>
          <w:rStyle w:val="732"/>
          <w:rFonts w:hint="eastAsia" w:ascii="仿宋" w:hAnsi="仿宋" w:eastAsia="仿宋" w:cs="仿宋"/>
          <w:b/>
          <w:bCs/>
          <w:color w:val="auto"/>
          <w:highlight w:val="none"/>
        </w:rPr>
        <w:t xml:space="preserve">第六章   投标</w:t>
      </w:r>
      <w:bookmarkEnd w:id="192"/>
      <w:r/>
      <w:bookmarkEnd w:id="193"/>
      <w:r/>
      <w:bookmarkEnd w:id="194"/>
      <w:r>
        <w:rPr>
          <w:rStyle w:val="732"/>
          <w:rFonts w:hint="eastAsia" w:ascii="仿宋" w:hAnsi="仿宋" w:eastAsia="仿宋" w:cs="仿宋"/>
          <w:b/>
          <w:bCs/>
          <w:color w:val="auto"/>
          <w:highlight w:val="none"/>
        </w:rPr>
        <w:t xml:space="preserve">文件格式</w:t>
      </w:r>
      <w:bookmarkEnd w:id="198"/>
      <w:r>
        <w:rPr>
          <w:rFonts w:hint="eastAsia" w:ascii="仿宋" w:hAnsi="仿宋" w:eastAsia="仿宋" w:cs="仿宋"/>
          <w:bCs/>
          <w:color w:val="auto"/>
          <w:sz w:val="44"/>
          <w:highlight w:val="none"/>
        </w:rPr>
        <w:t xml:space="preserve"> </w:t>
      </w:r>
      <w:r/>
    </w:p>
    <w:p>
      <w:pPr>
        <w:jc w:val="center"/>
        <w:rPr>
          <w:rFonts w:hint="eastAsia" w:ascii="仿宋" w:hAnsi="仿宋" w:eastAsia="仿宋" w:cs="仿宋"/>
          <w:b/>
          <w:color w:val="auto"/>
          <w:sz w:val="72"/>
          <w:highlight w:val="none"/>
        </w:rPr>
      </w:pPr>
      <w:r/>
      <w:bookmarkStart w:id="199" w:name="_Hlt26671244"/>
      <w:r/>
      <w:bookmarkEnd w:id="199"/>
      <w:r/>
      <w:bookmarkStart w:id="200" w:name="_Hlt26955039"/>
      <w:r/>
      <w:bookmarkEnd w:id="200"/>
      <w:r/>
      <w:bookmarkStart w:id="201" w:name="_Toc49090576"/>
      <w:r/>
      <w:bookmarkStart w:id="202" w:name="_Toc120614282"/>
      <w:r/>
      <w:bookmarkStart w:id="203" w:name="_Toc26554094"/>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t xml:space="preserve">投  标  文  件</w:t>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rPr>
          <w:rFonts w:hint="eastAsia" w:ascii="仿宋" w:hAnsi="仿宋" w:eastAsia="仿宋" w:cs="仿宋"/>
          <w:b/>
          <w:color w:val="auto"/>
          <w:sz w:val="36"/>
          <w:highlight w:val="none"/>
          <w:u w:val="single"/>
        </w:rPr>
        <w:t xml:space="preserve">               </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rPr>
          <w:rFonts w:hint="eastAsia" w:ascii="仿宋" w:hAnsi="仿宋" w:eastAsia="仿宋" w:cs="仿宋"/>
          <w:b/>
          <w:color w:val="auto"/>
          <w:sz w:val="36"/>
          <w:highlight w:val="none"/>
          <w:u w:val="single"/>
        </w:rPr>
        <w:t xml:space="preserve">               </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投标人名称 ：</w:t>
      </w:r>
      <w:r>
        <w:rPr>
          <w:rFonts w:hint="eastAsia" w:ascii="仿宋" w:hAnsi="仿宋" w:eastAsia="仿宋" w:cs="仿宋"/>
          <w:b/>
          <w:color w:val="auto"/>
          <w:sz w:val="36"/>
          <w:highlight w:val="none"/>
          <w:u w:val="single"/>
        </w:rPr>
        <w:t xml:space="preserve">（加盖CA电子公章）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rPr>
          <w:rFonts w:hint="eastAsia" w:ascii="仿宋" w:hAnsi="仿宋" w:eastAsia="仿宋" w:cs="仿宋"/>
          <w:b/>
          <w:color w:val="auto"/>
          <w:sz w:val="36"/>
          <w:highlight w:val="none"/>
          <w:u w:val="single"/>
        </w:rPr>
        <w:t xml:space="preserve">               </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084"/>
        <w:rPr>
          <w:rFonts w:hint="eastAsia" w:ascii="仿宋" w:hAnsi="仿宋" w:eastAsia="仿宋" w:cs="仿宋"/>
          <w:b/>
          <w:bCs/>
          <w:color w:val="auto"/>
          <w:sz w:val="32"/>
          <w:szCs w:val="32"/>
          <w:highlight w:val="none"/>
        </w:rPr>
      </w:pPr>
      <w:r>
        <w:rPr>
          <w:rFonts w:hint="eastAsia" w:ascii="仿宋" w:hAnsi="仿宋" w:eastAsia="仿宋" w:cs="仿宋"/>
          <w:b/>
          <w:color w:val="auto"/>
          <w:sz w:val="36"/>
          <w:highlight w:val="none"/>
          <w:u w:val="single"/>
        </w:rPr>
        <w:br w:type="page" w:clear="all"/>
      </w:r>
      <w:r/>
    </w:p>
    <w:p>
      <w:pPr>
        <w:jc w:val="center"/>
        <w:keepLines w:val="0"/>
        <w:keepNext w:val="0"/>
        <w:pageBreakBefore w:val="0"/>
        <w:spacing w:line="480" w:lineRule="auto"/>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投标文件目录</w:t>
      </w:r>
      <w:r/>
    </w:p>
    <w:p>
      <w:pPr>
        <w:jc w:val="center"/>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一、投标声明及承诺函</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二、投标人基本情况</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三、满足特定资格要求的证明文件</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四、法人（负责人）授权书</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五、开标一览表及分项报价表</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六、中小企业声明函</w:t>
      </w:r>
      <w:r>
        <w:rPr>
          <w:rFonts w:hint="eastAsia" w:ascii="仿宋" w:hAnsi="仿宋" w:eastAsia="仿宋" w:cs="仿宋"/>
          <w:color w:val="auto"/>
          <w:sz w:val="28"/>
          <w:szCs w:val="28"/>
          <w:highlight w:val="none"/>
          <w:lang w:val="en-US" w:eastAsia="zh-CN"/>
        </w:rPr>
        <w:t xml:space="preserve">或</w:t>
      </w:r>
      <w:r>
        <w:rPr>
          <w:rFonts w:hint="eastAsia" w:ascii="仿宋" w:hAnsi="仿宋" w:eastAsia="仿宋" w:cs="仿宋"/>
          <w:color w:val="auto"/>
          <w:sz w:val="28"/>
          <w:szCs w:val="28"/>
          <w:highlight w:val="none"/>
        </w:rPr>
        <w:t xml:space="preserve">残疾人福利性单位声明函</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、技术要求响应及偏离表</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、项目组人员</w:t>
      </w:r>
      <w:r/>
    </w:p>
    <w:p>
      <w:pPr>
        <w:ind w:firstLine="560"/>
        <w:spacing w:line="6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企业业绩</w:t>
      </w:r>
      <w:r/>
    </w:p>
    <w:p>
      <w:pPr>
        <w:ind w:firstLine="560"/>
        <w:spacing w:line="60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 xml:space="preserve">十、联合体协议书（如联合体投标提供，非联合体投标无需提供）</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w:t>
      </w:r>
      <w:r>
        <w:rPr>
          <w:rFonts w:hint="eastAsia" w:ascii="仿宋" w:hAnsi="仿宋" w:eastAsia="仿宋" w:cs="仿宋"/>
          <w:color w:val="auto"/>
          <w:sz w:val="28"/>
          <w:szCs w:val="28"/>
          <w:highlight w:val="none"/>
        </w:rPr>
        <w:t xml:space="preserve">投标所需其他材料</w:t>
      </w:r>
      <w:r/>
    </w:p>
    <w:p>
      <w:pPr>
        <w:pStyle w:val="718"/>
        <w:rPr>
          <w:rFonts w:hint="eastAsia" w:ascii="仿宋" w:hAnsi="仿宋" w:eastAsia="仿宋" w:cs="仿宋"/>
          <w:caps w:val="0"/>
          <w:color w:val="auto"/>
          <w:highlight w:val="none"/>
          <w:lang w:val="en-US" w:eastAsia="zh-CN"/>
        </w:rPr>
      </w:pPr>
      <w:r>
        <w:rPr>
          <w:rFonts w:hint="eastAsia" w:ascii="仿宋" w:hAnsi="仿宋" w:eastAsia="仿宋" w:cs="仿宋"/>
          <w:caps w:val="0"/>
          <w:color w:val="auto"/>
          <w:highlight w:val="none"/>
          <w:lang w:val="en-US" w:eastAsia="zh-CN"/>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92"/>
        <w:rPr>
          <w:rFonts w:hint="eastAsia" w:ascii="仿宋" w:hAnsi="仿宋" w:eastAsia="仿宋" w:cs="仿宋"/>
          <w:color w:val="auto"/>
          <w:highlight w:val="none"/>
        </w:rPr>
      </w:pPr>
      <w:r/>
      <w:bookmarkStart w:id="204" w:name="_Toc23838"/>
      <w:r/>
      <w:r/>
    </w:p>
    <w:p>
      <w:pPr>
        <w:pStyle w:val="9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pPr>
      <w:r>
        <w:rPr>
          <w:rFonts w:hint="eastAsia" w:ascii="仿宋" w:hAnsi="仿宋" w:eastAsia="仿宋" w:cs="仿宋"/>
          <w:color w:val="auto"/>
          <w:highlight w:val="none"/>
        </w:rPr>
        <w:br w:type="page" w:clear="all"/>
      </w:r>
      <w:bookmarkEnd w:id="204"/>
      <w:r/>
      <w:r/>
    </w:p>
    <w:p>
      <w:pPr>
        <w:pStyle w:val="990"/>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w:t>
      </w:r>
      <w:bookmarkEnd w:id="201"/>
      <w:r/>
      <w:bookmarkEnd w:id="202"/>
      <w:r/>
      <w:bookmarkEnd w:id="203"/>
      <w:r/>
      <w:bookmarkStart w:id="205" w:name="_Toc120614284"/>
      <w:r>
        <w:rPr>
          <w:rFonts w:hint="eastAsia" w:ascii="仿宋" w:hAnsi="仿宋" w:eastAsia="仿宋" w:cs="仿宋"/>
          <w:b/>
          <w:color w:val="auto"/>
          <w:sz w:val="32"/>
          <w:szCs w:val="32"/>
          <w:highlight w:val="none"/>
        </w:rPr>
        <w:t xml:space="preserve">投标声明及承诺函</w:t>
      </w:r>
      <w:r/>
    </w:p>
    <w:p>
      <w:pPr>
        <w:pStyle w:val="99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99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宿迁市医疗保障局</w:t>
      </w:r>
      <w:r>
        <w:rPr>
          <w:rFonts w:hint="eastAsia" w:ascii="仿宋" w:hAnsi="仿宋" w:eastAsia="仿宋" w:cs="仿宋"/>
          <w:color w:val="auto"/>
          <w:sz w:val="24"/>
          <w:szCs w:val="24"/>
          <w:highlight w:val="none"/>
          <w:u w:val="single"/>
        </w:rPr>
        <w:t xml:space="preserve">：</w:t>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JSZC-321300-XKGL-G2026-0001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宿迁市长期护理保险委托商保公司承办项目</w:t>
      </w:r>
      <w:r>
        <w:rPr>
          <w:rFonts w:hint="eastAsia" w:ascii="仿宋" w:hAnsi="仿宋" w:eastAsia="仿宋" w:cs="仿宋"/>
          <w:color w:val="auto"/>
          <w:sz w:val="24"/>
          <w:szCs w:val="24"/>
          <w:highlight w:val="none"/>
        </w:rPr>
        <w:t xml:space="preserve">的招标文件，我方在参加本项目招投标活动中，特做出如下承诺：</w:t>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一、我方具备《中华人民共和国政府采购法》第二十二条第一款规定的6项条件；</w:t>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三、我方按招标文件要求提交投标文件，响应招标文件规定的投标有效期；</w:t>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五、我方投标文件中提供的任何材料资料和技术、服务、商务等响应承诺情况都是真实的、有效的、合法的；</w:t>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六、我方若违背本声明及承诺约定，经查实，自愿接受采购人及相关主管部门相应的规定处理，并依法承担相应的法律责任。</w:t>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七、我方同意采购人、采购代理机构将本声明及承诺函上网公开。</w:t>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0"/>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（加盖CA电子公章）</w:t>
      </w:r>
      <w:r/>
    </w:p>
    <w:p>
      <w:pPr>
        <w:pStyle w:val="990"/>
        <w:ind w:firstLine="48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年    月   日</w:t>
      </w:r>
      <w:r/>
    </w:p>
    <w:p>
      <w:pPr>
        <w:pStyle w:val="992"/>
        <w:jc w:val="lef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b/>
          <w:color w:val="auto"/>
          <w:sz w:val="32"/>
          <w:szCs w:val="32"/>
          <w:highlight w:val="none"/>
        </w:rPr>
        <w:t xml:space="preserve">二、投标人基本情况</w:t>
      </w:r>
      <w:r/>
    </w:p>
    <w:p>
      <w:pPr>
        <w:pStyle w:val="993"/>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投标人基本情况表</w:t>
      </w:r>
      <w:r/>
    </w:p>
    <w:tbl>
      <w:tblPr>
        <w:tblStyle w:val="706"/>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p>
        </w:tc>
        <w:tc>
          <w:tcPr>
            <w:gridSpan w:val="3"/>
            <w:tcW w:w="6998"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w:t>
            </w:r>
            <w:r/>
          </w:p>
        </w:tc>
        <w:tc>
          <w:tcPr>
            <w:tcW w:w="3118"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通讯地址</w:t>
            </w:r>
            <w:r/>
          </w:p>
        </w:tc>
        <w:tc>
          <w:tcPr>
            <w:tcW w:w="3118"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3118"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注册号或社会信用代码</w:t>
            </w:r>
            <w:r/>
          </w:p>
        </w:tc>
        <w:tc>
          <w:tcPr>
            <w:tcW w:w="3118"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法人单位注册资本（万元）</w:t>
            </w:r>
            <w:r/>
          </w:p>
        </w:tc>
        <w:tc>
          <w:tcPr>
            <w:tcW w:w="2604"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3118"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3118"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993"/>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376"/>
        </w:trPr>
        <w:tc>
          <w:tcPr>
            <w:tcW w:w="1526" w:type="dxa"/>
            <w:vAlign w:val="center"/>
            <w:textDirection w:val="lrTb"/>
            <w:noWrap w:val="false"/>
          </w:tcPr>
          <w:p>
            <w:pPr>
              <w:pStyle w:val="993"/>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998" w:type="dxa"/>
            <w:vAlign w:val="top"/>
            <w:textDirection w:val="lrTb"/>
            <w:noWrap w:val="false"/>
          </w:tcPr>
          <w:p>
            <w:pPr>
              <w:pStyle w:val="993"/>
              <w:ind w:firstLine="1432"/>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rPr>
          <w:rFonts w:hint="eastAsia" w:ascii="仿宋" w:hAnsi="仿宋" w:eastAsia="仿宋" w:cs="仿宋"/>
          <w:b/>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b/>
          <w:color w:val="auto"/>
          <w:sz w:val="32"/>
          <w:szCs w:val="32"/>
          <w:highlight w:val="none"/>
        </w:rPr>
      </w:r>
      <w:r/>
    </w:p>
    <w:p>
      <w:pPr>
        <w:jc w:val="left"/>
        <w:rPr>
          <w:rFonts w:hint="eastAsia" w:ascii="仿宋" w:hAnsi="仿宋" w:eastAsia="仿宋" w:cs="仿宋"/>
          <w:i/>
          <w:color w:val="auto"/>
          <w:sz w:val="32"/>
          <w:szCs w:val="32"/>
          <w:highlight w:val="none"/>
          <w:u w:val="single"/>
        </w:rPr>
      </w:pPr>
      <w:r>
        <w:rPr>
          <w:rFonts w:hint="eastAsia" w:ascii="仿宋" w:hAnsi="仿宋" w:eastAsia="仿宋" w:cs="仿宋"/>
          <w:b/>
          <w:color w:val="auto"/>
          <w:sz w:val="32"/>
          <w:szCs w:val="32"/>
          <w:highlight w:val="none"/>
        </w:rPr>
        <w:t xml:space="preserve">三、满足特定资格要求的证明文件</w:t>
      </w:r>
      <w:r/>
    </w:p>
    <w:p>
      <w:pP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keepLines w:val="0"/>
        <w:keepNext w:val="0"/>
        <w:pageBreakBefore w:val="0"/>
        <w:spacing w:line="560" w:lineRule="exact"/>
        <w:widowControl w:val="off"/>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如果本项目申请人的特定资格要求中要求提供的，必须提供。</w:t>
      </w:r>
      <w:r/>
    </w:p>
    <w:p>
      <w:pP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四、法人（负责人）授权书</w:t>
      </w:r>
      <w:r/>
    </w:p>
    <w:p>
      <w:pPr>
        <w:pStyle w:val="962"/>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2"/>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62"/>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（投标人名称）授权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（被授权人的姓名）为我方就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号项目采购活动的合法代理人，以本单位名义全权处理一切与该项目采购有关的事务。</w:t>
      </w:r>
      <w:r/>
    </w:p>
    <w:p>
      <w:pPr>
        <w:pStyle w:val="962"/>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日起生效，特此声明。</w:t>
      </w:r>
      <w:r/>
    </w:p>
    <w:p>
      <w:pPr>
        <w:pStyle w:val="962"/>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法定代表人/负责人（签字或盖章）：</w:t>
      </w:r>
      <w:r>
        <w:rPr>
          <w:rFonts w:hint="eastAsia" w:ascii="仿宋" w:hAnsi="仿宋" w:eastAsia="仿宋" w:cs="仿宋"/>
          <w:color w:val="auto"/>
          <w:sz w:val="24"/>
          <w:szCs w:val="24"/>
          <w:highlight w:val="none"/>
          <w:u w:val="single"/>
        </w:rPr>
        <w:t xml:space="preserve">              </w:t>
      </w:r>
      <w:r/>
    </w:p>
    <w:p>
      <w:pPr>
        <w:pStyle w:val="962"/>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法定代表人/负责人身份证号码：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pStyle w:val="962"/>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被授权人身份证号码：</w:t>
      </w:r>
      <w:r>
        <w:rPr>
          <w:rFonts w:hint="eastAsia" w:ascii="仿宋" w:hAnsi="仿宋" w:eastAsia="仿宋" w:cs="仿宋"/>
          <w:color w:val="auto"/>
          <w:sz w:val="24"/>
          <w:szCs w:val="24"/>
          <w:highlight w:val="none"/>
          <w:u w:val="single"/>
        </w:rPr>
        <w:t xml:space="preserve">                           </w:t>
      </w:r>
      <w:r/>
    </w:p>
    <w:p>
      <w:pPr>
        <w:pStyle w:val="962"/>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授权人联系电话：（手机）</w:t>
      </w:r>
      <w:r>
        <w:rPr>
          <w:rFonts w:hint="eastAsia" w:ascii="仿宋" w:hAnsi="仿宋" w:eastAsia="仿宋" w:cs="仿宋"/>
          <w:color w:val="auto"/>
          <w:sz w:val="24"/>
          <w:szCs w:val="24"/>
          <w:highlight w:val="none"/>
          <w:u w:val="single"/>
        </w:rPr>
        <w:t xml:space="preserve">                       </w:t>
      </w:r>
      <w:r/>
    </w:p>
    <w:p>
      <w:pPr>
        <w:pStyle w:val="962"/>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pStyle w:val="962"/>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p>
    <w:p>
      <w:pPr>
        <w:pStyle w:val="962"/>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bookmarkStart w:id="206" w:name="_格式3__银行出具的资信证明"/>
      <w:r/>
      <w:bookmarkEnd w:id="206"/>
      <w:r/>
      <w:bookmarkStart w:id="207" w:name="_Hlt26671380"/>
      <w:r/>
      <w:bookmarkEnd w:id="207"/>
      <w:r/>
      <w:bookmarkStart w:id="208" w:name="_Hlt26955070"/>
      <w:r/>
      <w:bookmarkEnd w:id="208"/>
      <w:r>
        <w:rPr>
          <w:rFonts w:hint="eastAsia" w:ascii="仿宋" w:hAnsi="仿宋" w:eastAsia="仿宋" w:cs="仿宋"/>
          <w:color w:val="auto"/>
          <w:sz w:val="24"/>
          <w:szCs w:val="24"/>
          <w:highlight w:val="none"/>
          <w:u w:val="single"/>
        </w:rPr>
        <w:t xml:space="preserve">                                         </w:t>
      </w:r>
      <w:r/>
    </w:p>
    <w:p>
      <w:pPr>
        <w:pStyle w:val="892"/>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（授权委托书电子件可由授权代理人签字后扫描上传或直接加盖电子签章，并</w:t>
      </w:r>
      <w:r/>
    </w:p>
    <w:p>
      <w:pPr>
        <w:pStyle w:val="892"/>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加盖单位及法定代表人电子签章。）</w:t>
      </w:r>
      <w:r/>
    </w:p>
    <w:p>
      <w:pPr>
        <w:pStyle w:val="892"/>
        <w:ind w:firstLine="42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left"/>
        <w:rPr>
          <w:rFonts w:hint="eastAsia" w:ascii="仿宋" w:hAnsi="仿宋" w:eastAsia="仿宋" w:cs="仿宋"/>
          <w:color w:val="auto"/>
          <w:sz w:val="24"/>
          <w:szCs w:val="20"/>
          <w:highlight w:val="none"/>
          <w:lang w:val="en-US" w:eastAsia="zh-CN"/>
        </w:rPr>
      </w:pPr>
      <w:r>
        <w:rPr>
          <w:rFonts w:hint="eastAsia" w:ascii="仿宋" w:hAnsi="仿宋" w:eastAsia="仿宋" w:cs="仿宋"/>
          <w:bCs/>
          <w:color w:val="auto"/>
          <w:sz w:val="24"/>
          <w:highlight w:val="none"/>
        </w:rPr>
        <w:br w:type="page" w:clear="all"/>
      </w:r>
      <w:r>
        <w:rPr>
          <w:rFonts w:hint="eastAsia" w:ascii="仿宋" w:hAnsi="仿宋" w:eastAsia="仿宋" w:cs="仿宋"/>
          <w:b/>
          <w:color w:val="auto"/>
          <w:sz w:val="32"/>
          <w:szCs w:val="32"/>
          <w:highlight w:val="none"/>
        </w:rPr>
        <w:t xml:space="preserve">五、开标一览表</w:t>
      </w:r>
      <w:r>
        <w:rPr>
          <w:rFonts w:hint="eastAsia" w:ascii="仿宋" w:hAnsi="仿宋" w:eastAsia="仿宋" w:cs="仿宋"/>
          <w:b/>
          <w:color w:val="auto"/>
          <w:sz w:val="32"/>
          <w:szCs w:val="32"/>
          <w:highlight w:val="none"/>
          <w:lang w:val="en-US" w:eastAsia="zh-CN"/>
        </w:rPr>
        <w:t xml:space="preserve">及分项报价表</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43"/>
        <w:jc w:val="center"/>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32"/>
          <w:szCs w:val="32"/>
          <w:highlight w:val="none"/>
        </w:rPr>
        <w:t xml:space="preserve">开标一览表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投标人全称（加盖CA电子签章）：</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宿迁市长期护理保险委托商保公司承办项目</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招标编号：</w:t>
      </w:r>
      <w:r>
        <w:rPr>
          <w:rFonts w:hint="eastAsia" w:ascii="仿宋" w:hAnsi="仿宋" w:eastAsia="仿宋" w:cs="仿宋"/>
          <w:color w:val="auto"/>
          <w:sz w:val="24"/>
          <w:szCs w:val="24"/>
          <w:highlight w:val="none"/>
          <w:lang w:eastAsia="zh-CN"/>
        </w:rPr>
        <w:t xml:space="preserve">JSZC-321300-XKGL-G2026-0001</w:t>
      </w:r>
      <w:r>
        <w:rPr>
          <w:rFonts w:hint="eastAsia" w:ascii="仿宋" w:hAnsi="仿宋" w:eastAsia="仿宋" w:cs="仿宋"/>
          <w:color w:val="auto"/>
          <w:sz w:val="24"/>
          <w:szCs w:val="24"/>
          <w:highlight w:val="none"/>
        </w:rPr>
        <w:t xml:space="preserve">                分包号：</w:t>
      </w:r>
      <w:r/>
    </w:p>
    <w:tbl>
      <w:tblPr>
        <w:tblStyle w:val="706"/>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keepLines w:val="0"/>
              <w:keepNext w:val="0"/>
              <w:pageBreakBefore w:val="0"/>
              <w:spacing w:line="56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投标报价</w:t>
            </w:r>
            <w:r/>
          </w:p>
        </w:tc>
      </w:tr>
      <w:tr>
        <w:trPr>
          <w:cantSplit/>
          <w:trHeight w:val="612"/>
        </w:trPr>
        <w:tc>
          <w:tcPr>
            <w:tcW w:w="8206" w:type="dxa"/>
            <w:vAlign w:val="center"/>
            <w:textDirection w:val="lrTb"/>
            <w:noWrap w:val="false"/>
          </w:tcPr>
          <w:p>
            <w:pPr>
              <w:pStyle w:val="964"/>
              <w:ind w:firstLine="0"/>
              <w:jc w:val="center"/>
              <w:keepLines w:val="0"/>
              <w:keepNext w:val="0"/>
              <w:pageBreakBefore w:val="0"/>
              <w:spacing w:before="0" w:after="0" w:line="560" w:lineRule="exact"/>
              <w:widowControl w:val="off"/>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lang w:val="en-US" w:eastAsia="zh-CN"/>
              </w:rPr>
              <w:t xml:space="preserve">承办服务费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元/人/年</w:t>
            </w:r>
            <w:r/>
          </w:p>
        </w:tc>
      </w:tr>
    </w:tbl>
    <w:p>
      <w:pPr>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注：①因苏采云系统原因，“开标一览表”中的“投标报价”请按照“承办服务费”的报价填写报价。</w:t>
      </w:r>
      <w:r/>
    </w:p>
    <w:p>
      <w:pPr>
        <w:ind w:firstLine="787"/>
        <w:keepLines w:val="0"/>
        <w:keepNext w:val="0"/>
        <w:pageBreakBefore w:val="0"/>
        <w:spacing w:line="56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②开标一览表报价为供应商最终结算单价。</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b/>
          <w:color w:val="auto"/>
          <w:sz w:val="32"/>
          <w:szCs w:val="32"/>
          <w:highlight w:val="none"/>
        </w:rPr>
      </w:r>
      <w:r/>
    </w:p>
    <w:p>
      <w:pPr>
        <w:jc w:val="center"/>
        <w:keepLines w:val="0"/>
        <w:keepNext w:val="0"/>
        <w:pageBreakBefore w:val="0"/>
        <w:spacing w:line="560" w:lineRule="exact"/>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分项报价表（分包号：</w:t>
      </w:r>
      <w:r>
        <w:rPr>
          <w:rFonts w:hint="eastAsia" w:ascii="仿宋" w:hAnsi="仿宋" w:eastAsia="仿宋" w:cs="仿宋"/>
          <w:b/>
          <w:color w:val="auto"/>
          <w:sz w:val="32"/>
          <w:szCs w:val="32"/>
          <w:highlight w:val="none"/>
          <w:lang w:eastAsia="zh-CN"/>
        </w:rPr>
        <w:t xml:space="preserve">JSZC-321300-XKGL-G2026-0001</w:t>
      </w:r>
      <w:r>
        <w:rPr>
          <w:rFonts w:hint="eastAsia" w:ascii="仿宋" w:hAnsi="仿宋" w:eastAsia="仿宋" w:cs="仿宋"/>
          <w:b/>
          <w:color w:val="auto"/>
          <w:sz w:val="32"/>
          <w:szCs w:val="32"/>
          <w:highlight w:val="none"/>
        </w:rPr>
        <w:t xml:space="preserve">）（服务类）</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06"/>
        <w:tblpPr w:horzAnchor="text" w:tblpXSpec="center" w:vertAnchor="text" w:tblpY="1" w:leftFromText="180" w:topFromText="0" w:rightFromText="180" w:bottomFromText="0"/>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232"/>
        <w:gridCol w:w="3339"/>
        <w:gridCol w:w="1097"/>
        <w:gridCol w:w="1256"/>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033"/>
              <w:jc w:val="center"/>
              <w:spacing w:line="3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序号</w:t>
            </w:r>
            <w:r/>
          </w:p>
        </w:tc>
        <w:tc>
          <w:tcPr>
            <w:gridSpan w:val="2"/>
            <w:tcBorders>
              <w:top w:val="single" w:color="auto" w:sz="4" w:space="0"/>
              <w:left w:val="single" w:color="auto" w:sz="4" w:space="0"/>
              <w:bottom w:val="single" w:color="auto" w:sz="4" w:space="0"/>
              <w:right w:val="single" w:color="auto" w:sz="4" w:space="0"/>
            </w:tcBorders>
            <w:tcW w:w="2639" w:type="dxa"/>
            <w:vAlign w:val="center"/>
            <w:textDirection w:val="lrTb"/>
            <w:noWrap w:val="false"/>
          </w:tcPr>
          <w:p>
            <w:pPr>
              <w:pStyle w:val="1033"/>
              <w:jc w:val="center"/>
              <w:spacing w:line="3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服务费用简述</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33"/>
              <w:jc w:val="center"/>
              <w:spacing w:line="3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承办服务费</w:t>
            </w:r>
            <w:r/>
          </w:p>
          <w:p>
            <w:pPr>
              <w:pStyle w:val="1033"/>
              <w:jc w:val="center"/>
              <w:spacing w:line="360" w:lineRule="exact"/>
              <w:widowControl/>
              <w:rPr>
                <w:rStyle w:val="705"/>
                <w:rFonts w:hint="default"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4"/>
                <w:szCs w:val="24"/>
                <w:highlight w:val="none"/>
                <w:lang w:val="en-US" w:eastAsia="zh-CN"/>
              </w:rPr>
              <w:t xml:space="preserve">元/每服务一个参保人员·年）</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pStyle w:val="1033"/>
              <w:jc w:val="center"/>
              <w:spacing w:line="3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pStyle w:val="1033"/>
              <w:jc w:val="center"/>
              <w:spacing w:line="3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备注</w:t>
            </w:r>
            <w:r/>
          </w:p>
        </w:tc>
      </w:tr>
      <w:tr>
        <w:trPr>
          <w:cantSplit/>
          <w:trHeight w:val="563"/>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1</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right w:val="single" w:color="auto" w:sz="4" w:space="0"/>
            </w:tcBorders>
            <w:tcW w:w="1097" w:type="dxa"/>
            <w:vAlign w:val="center"/>
            <w:vMerge w:val="restart"/>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Style w:val="705"/>
                <w:rFonts w:hint="eastAsia" w:ascii="仿宋" w:hAnsi="仿宋" w:eastAsia="仿宋" w:cs="仿宋"/>
                <w:color w:val="auto"/>
                <w:sz w:val="24"/>
                <w:szCs w:val="22"/>
                <w:highlight w:val="none"/>
                <w:lang w:val="en-US" w:eastAsia="zh-CN" w:bidi="ar-SA"/>
              </w:rPr>
              <w:t xml:space="preserve">实际人数以各期参保人数为准</w:t>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56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2</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right w:val="single" w:color="auto" w:sz="4" w:space="0"/>
            </w:tcBorders>
            <w:tcW w:w="1097" w:type="dxa"/>
            <w:vAlign w:val="top"/>
            <w:vMerge w:val="continue"/>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3</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right w:val="single" w:color="auto" w:sz="4" w:space="0"/>
            </w:tcBorders>
            <w:tcW w:w="1097" w:type="dxa"/>
            <w:vAlign w:val="top"/>
            <w:vMerge w:val="continue"/>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4</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right w:val="single" w:color="auto" w:sz="4" w:space="0"/>
            </w:tcBorders>
            <w:tcW w:w="1097" w:type="dxa"/>
            <w:vAlign w:val="top"/>
            <w:vMerge w:val="continue"/>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5</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right w:val="single" w:color="auto" w:sz="4" w:space="0"/>
            </w:tcBorders>
            <w:tcW w:w="1097" w:type="dxa"/>
            <w:vAlign w:val="top"/>
            <w:vMerge w:val="continue"/>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033"/>
              <w:jc w:val="both"/>
              <w:spacing w:line="560" w:lineRule="exact"/>
              <w:widowControl/>
              <w:rPr>
                <w:rStyle w:val="705"/>
                <w:rFonts w:hint="eastAsia" w:ascii="仿宋" w:hAnsi="仿宋" w:eastAsia="仿宋" w:cs="仿宋"/>
                <w:color w:val="auto"/>
                <w:sz w:val="28"/>
                <w:szCs w:val="28"/>
                <w:highlight w:val="none"/>
                <w:lang w:val="en-US" w:eastAsia="zh-CN" w:bidi="ar-SA"/>
              </w:rPr>
            </w:pPr>
            <w:r>
              <w:rPr>
                <w:rStyle w:val="705"/>
                <w:rFonts w:hint="eastAsia" w:ascii="仿宋" w:hAnsi="仿宋" w:eastAsia="仿宋" w:cs="仿宋"/>
                <w:color w:val="auto"/>
                <w:sz w:val="28"/>
                <w:szCs w:val="28"/>
                <w:highlight w:val="none"/>
                <w:lang w:val="en-US" w:eastAsia="zh-CN" w:bidi="ar-SA"/>
              </w:rPr>
              <w:t xml:space="preserve">…</w:t>
            </w:r>
            <w:r/>
          </w:p>
        </w:tc>
        <w:tc>
          <w:tcPr>
            <w:gridSpan w:val="2"/>
            <w:tcBorders>
              <w:top w:val="single" w:color="auto" w:sz="4" w:space="0"/>
              <w:left w:val="single" w:color="auto" w:sz="4" w:space="0"/>
              <w:bottom w:val="single" w:color="auto" w:sz="4" w:space="0"/>
              <w:right w:val="single" w:color="auto" w:sz="4" w:space="0"/>
            </w:tcBorders>
            <w:tcW w:w="2639" w:type="dxa"/>
            <w:vAlign w:val="top"/>
            <w:textDirection w:val="lrTb"/>
            <w:noWrap w:val="false"/>
          </w:tcPr>
          <w:p>
            <w:pPr>
              <w:pStyle w:val="1033"/>
              <w:jc w:val="center"/>
              <w:spacing w:line="560" w:lineRule="exact"/>
              <w:widowControl/>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left w:val="single" w:color="auto" w:sz="4" w:space="0"/>
              <w:bottom w:val="single" w:color="auto" w:sz="4" w:space="0"/>
              <w:right w:val="single" w:color="auto" w:sz="4" w:space="0"/>
            </w:tcBorders>
            <w:tcW w:w="1097" w:type="dxa"/>
            <w:vAlign w:val="top"/>
            <w:vMerge w:val="continue"/>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pStyle w:val="1033"/>
              <w:jc w:val="center"/>
              <w:spacing w:line="560" w:lineRule="exact"/>
              <w:widowControl w:val="off"/>
              <w:rPr>
                <w:rStyle w:val="705"/>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r>
        <w:trPr>
          <w:cantSplit/>
          <w:trHeight w:val="140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033"/>
              <w:jc w:val="center"/>
              <w:spacing w:line="500" w:lineRule="exact"/>
              <w:widowControl w:val="off"/>
              <w:rPr>
                <w:rStyle w:val="705"/>
                <w:rFonts w:hint="eastAsia" w:ascii="仿宋" w:hAnsi="仿宋" w:eastAsia="仿宋" w:cs="仿宋"/>
                <w:b/>
                <w:bCs/>
                <w:color w:val="auto"/>
                <w:sz w:val="24"/>
                <w:szCs w:val="22"/>
                <w:highlight w:val="none"/>
                <w:lang w:val="en-US" w:eastAsia="zh-CN" w:bidi="ar-SA"/>
              </w:rPr>
            </w:pPr>
            <w:r>
              <w:rPr>
                <w:rStyle w:val="705"/>
                <w:rFonts w:hint="eastAsia" w:ascii="仿宋" w:hAnsi="仿宋" w:eastAsia="仿宋" w:cs="仿宋"/>
                <w:b/>
                <w:bCs/>
                <w:color w:val="auto"/>
                <w:sz w:val="28"/>
                <w:szCs w:val="28"/>
                <w:highlight w:val="none"/>
                <w:lang w:val="en-US" w:eastAsia="zh-CN" w:bidi="ar-SA"/>
              </w:rPr>
              <w:t xml:space="preserve">报价总计</w:t>
            </w:r>
            <w:r/>
          </w:p>
        </w:tc>
        <w:tc>
          <w:tcPr>
            <w:gridSpan w:val="4"/>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033"/>
              <w:jc w:val="both"/>
              <w:spacing w:line="500" w:lineRule="exact"/>
              <w:widowControl w:val="off"/>
              <w:rPr>
                <w:rStyle w:val="705"/>
                <w:rFonts w:hint="eastAsia" w:ascii="仿宋" w:hAnsi="仿宋" w:eastAsia="仿宋" w:cs="仿宋"/>
                <w:b/>
                <w:bCs/>
                <w:color w:val="auto"/>
                <w:sz w:val="24"/>
                <w:szCs w:val="22"/>
                <w:highlight w:val="none"/>
                <w:lang w:val="en-US" w:eastAsia="zh-CN" w:bidi="ar-SA"/>
              </w:rPr>
            </w:pPr>
            <w:r>
              <w:rPr>
                <w:rStyle w:val="705"/>
                <w:rFonts w:hint="eastAsia" w:ascii="仿宋" w:hAnsi="仿宋" w:eastAsia="仿宋" w:cs="仿宋"/>
                <w:color w:val="auto"/>
                <w:sz w:val="24"/>
                <w:szCs w:val="22"/>
                <w:highlight w:val="none"/>
                <w:lang w:val="en-US" w:eastAsia="zh-CN" w:bidi="ar-SA"/>
              </w:rPr>
              <w:t xml:space="preserve">承办服务费为</w:t>
            </w:r>
            <w:r>
              <w:rPr>
                <w:rStyle w:val="705"/>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4"/>
                <w:highlight w:val="none"/>
                <w:lang w:val="en-US" w:eastAsia="zh-CN"/>
              </w:rPr>
              <w:t xml:space="preserve">元/每服务一个参保人员·年</w:t>
            </w:r>
            <w:r>
              <w:rPr>
                <w:rStyle w:val="705"/>
                <w:rFonts w:hint="eastAsia" w:ascii="仿宋" w:hAnsi="仿宋" w:eastAsia="仿宋" w:cs="仿宋"/>
                <w:color w:val="auto"/>
                <w:sz w:val="24"/>
                <w:szCs w:val="22"/>
                <w:highlight w:val="none"/>
                <w:lang w:val="en-US" w:eastAsia="zh-CN" w:bidi="ar-SA"/>
              </w:rPr>
              <w:t xml:space="preserve">                </w:t>
            </w:r>
            <w:r/>
          </w:p>
        </w:tc>
      </w:tr>
    </w:tbl>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投标人名称：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（加盖CA电子公章）</w:t>
      </w:r>
      <w:r/>
    </w:p>
    <w:p>
      <w:pPr>
        <w:ind w:firstLine="480"/>
        <w:jc w:val="both"/>
        <w:keepLines w:val="0"/>
        <w:keepNext w:val="0"/>
        <w:pageBreakBefore w:val="0"/>
        <w:spacing w:line="560" w:lineRule="exac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w:t>
      </w:r>
      <w:r/>
    </w:p>
    <w:p>
      <w:pPr>
        <w:spacing w:line="420" w:lineRule="exact"/>
        <w:rPr>
          <w:rFonts w:hint="eastAsia" w:ascii="仿宋" w:hAnsi="仿宋" w:eastAsia="仿宋" w:cs="仿宋"/>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color w:val="auto"/>
          <w:sz w:val="24"/>
          <w:szCs w:val="24"/>
          <w:highlight w:val="none"/>
        </w:rPr>
      </w:r>
      <w:r/>
    </w:p>
    <w:p>
      <w:pPr>
        <w:pStyle w:val="889"/>
        <w:jc w:val="left"/>
        <w:keepNext w:val="0"/>
        <w:spacing w:before="120" w:after="12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六、中小企业声明函</w:t>
      </w:r>
      <w:r>
        <w:rPr>
          <w:rFonts w:hint="eastAsia" w:ascii="仿宋" w:hAnsi="仿宋" w:eastAsia="仿宋" w:cs="仿宋"/>
          <w:color w:val="auto"/>
          <w:sz w:val="32"/>
          <w:szCs w:val="32"/>
          <w:highlight w:val="none"/>
          <w:lang w:val="en-US" w:eastAsia="zh-CN"/>
        </w:rPr>
        <w:t xml:space="preserve">或</w:t>
      </w:r>
      <w:r>
        <w:rPr>
          <w:rFonts w:hint="eastAsia" w:ascii="仿宋" w:hAnsi="仿宋" w:eastAsia="仿宋" w:cs="仿宋"/>
          <w:b/>
          <w:color w:val="auto"/>
          <w:sz w:val="32"/>
          <w:szCs w:val="32"/>
          <w:highlight w:val="none"/>
        </w:rPr>
        <w:t xml:space="preserve">残疾人福利性单位声明函</w:t>
      </w:r>
      <w:r>
        <w:rPr>
          <w:rFonts w:hint="eastAsia" w:ascii="仿宋" w:hAnsi="仿宋" w:eastAsia="仿宋" w:cs="仿宋"/>
          <w:color w:val="auto"/>
          <w:sz w:val="32"/>
          <w:szCs w:val="32"/>
          <w:highlight w:val="none"/>
        </w:rPr>
        <w:t xml:space="preserve">（分包号：</w:t>
      </w:r>
      <w:r>
        <w:rPr>
          <w:rFonts w:hint="eastAsia" w:ascii="仿宋" w:hAnsi="仿宋" w:eastAsia="仿宋" w:cs="仿宋"/>
          <w:color w:val="auto"/>
          <w:sz w:val="32"/>
          <w:szCs w:val="32"/>
          <w:highlight w:val="none"/>
          <w:lang w:eastAsia="zh-CN"/>
        </w:rPr>
        <w:t xml:space="preserve">JSZC-321300-XKGL-G2026-0001</w:t>
      </w:r>
      <w:r>
        <w:rPr>
          <w:rFonts w:hint="eastAsia" w:ascii="仿宋" w:hAnsi="仿宋" w:eastAsia="仿宋" w:cs="仿宋"/>
          <w:color w:val="auto"/>
          <w:sz w:val="32"/>
          <w:szCs w:val="32"/>
          <w:highlight w:val="none"/>
        </w:rPr>
        <w:t xml:space="preserve">）</w:t>
      </w:r>
      <w:r/>
    </w:p>
    <w:p>
      <w:pPr>
        <w:ind w:right="0"/>
        <w:jc w:val="center"/>
        <w:keepLines w:val="0"/>
        <w:keepNext w:val="0"/>
        <w:pageBreakBefore w:val="0"/>
        <w:spacing w:line="48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中小企业声明函</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财库[2020]46号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的规定，本公司参加江苏省政府采购代理机构组织的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宿迁市医疗保障局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lang w:eastAsia="zh-CN"/>
        </w:rPr>
        <w:t xml:space="preserve">JSZC-321300-XKGL-G2026-0001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宿迁市长期护理保险委托商保公司承办项目</w:t>
      </w:r>
      <w:r>
        <w:rPr>
          <w:rFonts w:hint="eastAsia" w:ascii="仿宋" w:hAnsi="仿宋" w:eastAsia="仿宋" w:cs="仿宋"/>
          <w:color w:val="auto"/>
          <w:sz w:val="24"/>
          <w:szCs w:val="24"/>
          <w:highlight w:val="none"/>
          <w:u w:val="single"/>
        </w:rPr>
        <w:t xml:space="preserve">）（分包号：</w:t>
      </w:r>
      <w:r>
        <w:rPr>
          <w:rFonts w:hint="eastAsia" w:ascii="仿宋" w:hAnsi="仿宋" w:eastAsia="仿宋" w:cs="仿宋"/>
          <w:color w:val="auto"/>
          <w:sz w:val="24"/>
          <w:szCs w:val="24"/>
          <w:highlight w:val="none"/>
          <w:u w:val="single"/>
          <w:lang w:eastAsia="zh-CN"/>
        </w:rPr>
        <w:t xml:space="preserve">JSZC-321300-XKGL-G2026-0001</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的规定，相关企业（含联合体中的小微企业、签订分包意向协议的小微企业）的具体情况如下：</w:t>
      </w:r>
      <w:r/>
    </w:p>
    <w:p>
      <w:pPr>
        <w:ind w:left="0" w:right="0" w:firstLine="480"/>
        <w:keepLines w:val="0"/>
        <w:keepNext w:val="0"/>
        <w:pageBreakBefore w:val="0"/>
        <w:spacing w:line="480" w:lineRule="auto"/>
        <w:widowControl w:val="off"/>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ind w:left="0" w:right="0" w:firstLine="480"/>
        <w:keepLines w:val="0"/>
        <w:keepNext w:val="0"/>
        <w:pageBreakBefore w:val="0"/>
        <w:spacing w:line="480" w:lineRule="auto"/>
        <w:widowControl w:val="off"/>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0"/>
        <w:jc w:val="right"/>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rPr>
          <w:rFonts w:hint="eastAsia" w:ascii="仿宋" w:hAnsi="仿宋" w:eastAsia="仿宋" w:cs="仿宋"/>
          <w:b/>
          <w:color w:val="auto"/>
          <w:sz w:val="32"/>
          <w:szCs w:val="32"/>
          <w:highlight w:val="none"/>
        </w:rPr>
      </w:pPr>
      <w:r/>
      <w:bookmarkStart w:id="209" w:name="_Hlk172201893"/>
      <w:r>
        <w:rPr>
          <w:rFonts w:hint="eastAsia" w:ascii="仿宋" w:hAnsi="仿宋" w:eastAsia="仿宋" w:cs="仿宋"/>
          <w:b/>
          <w:color w:val="auto"/>
          <w:sz w:val="32"/>
          <w:szCs w:val="32"/>
          <w:highlight w:val="none"/>
        </w:rPr>
        <w:br w:type="page" w:clear="all"/>
      </w:r>
      <w:r/>
    </w:p>
    <w:p>
      <w:pPr>
        <w:ind w:left="0" w:right="0" w:firstLine="643"/>
        <w:jc w:val="center"/>
        <w:keepLines w:val="0"/>
        <w:keepNext w:val="0"/>
        <w:pageBreakBefore w:val="0"/>
        <w:spacing w:line="480" w:lineRule="auto"/>
        <w:widowControl w:val="off"/>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残疾人福利性单位声明函</w:t>
      </w:r>
      <w:bookmarkEnd w:id="209"/>
      <w:r/>
      <w:r/>
    </w:p>
    <w:p>
      <w:pPr>
        <w:ind w:left="0" w:right="0" w:firstLine="480"/>
        <w:keepLines w:val="0"/>
        <w:keepNext w:val="0"/>
        <w:pageBreakBefore w:val="0"/>
        <w:spacing w:line="48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lang w:eastAsia="zh-CN"/>
        </w:rPr>
        <w:t xml:space="preserve">〔2017〕141号</w:t>
      </w:r>
      <w:r>
        <w:rPr>
          <w:rFonts w:hint="eastAsia" w:ascii="仿宋" w:hAnsi="仿宋" w:eastAsia="仿宋" w:cs="仿宋"/>
          <w:color w:val="auto"/>
          <w:sz w:val="24"/>
          <w:highlight w:val="none"/>
        </w:rPr>
        <w:t xml:space="preserve">）的规定，本单位为符合条件的残疾人福利性单位，且本单位参加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单位的采购文件编号为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项目（分包号：**）采购活动由本单位提供服务。</w:t>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（备注：1、投标人如不提供此声明函，价格将不做相应扣除。2、中标人为残疾人福利单位的，此声明函将随中标结果同时公告，接受社会监督。）</w:t>
      </w:r>
      <w:r/>
    </w:p>
    <w:p>
      <w:pPr>
        <w:ind w:left="0" w:right="0" w:firstLine="624"/>
        <w:keepLines w:val="0"/>
        <w:keepNext w:val="0"/>
        <w:pageBreakBefore w:val="0"/>
        <w:spacing w:line="560" w:lineRule="exact"/>
        <w:widowControl w:val="off"/>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996"/>
        <w:ind w:left="0" w:right="0" w:firstLine="42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80"/>
        <w:jc w:val="righ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left="0" w:righ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numPr>
          <w:ilvl w:val="0"/>
          <w:numId w:val="0"/>
        </w:numPr>
        <w:jc w:val="left"/>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技术要求响应及偏离表（分包号：**）</w:t>
      </w:r>
      <w:r/>
    </w:p>
    <w:p>
      <w:pPr>
        <w:numPr>
          <w:ilvl w:val="0"/>
          <w:numId w:val="0"/>
        </w:numPr>
        <w:jc w:val="left"/>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706"/>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291" w:type="dxa"/>
            <w:vAlign w:val="center"/>
            <w:textDirection w:val="lrTb"/>
            <w:noWrap w:val="false"/>
          </w:tcPr>
          <w:p>
            <w:pPr>
              <w:pStyle w:val="937"/>
              <w:jc w:val="center"/>
              <w:keepLines w:val="0"/>
              <w:keepNext w:val="0"/>
              <w:pageBreakBefore w:val="0"/>
              <w:spacing w:before="0" w:beforeAutospacing="0" w:after="0" w:afterAutospacing="0"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招标文件“第四</w:t>
            </w:r>
            <w:r>
              <w:rPr>
                <w:rFonts w:hint="eastAsia" w:ascii="仿宋" w:hAnsi="仿宋" w:eastAsia="仿宋" w:cs="仿宋"/>
                <w:color w:val="auto"/>
                <w:highlight w:val="none"/>
                <w:lang w:val="en-US" w:eastAsia="zh-CN"/>
              </w:rPr>
              <w:t xml:space="preserve">章 </w:t>
            </w:r>
            <w:r>
              <w:rPr>
                <w:rFonts w:hint="eastAsia" w:ascii="仿宋" w:hAnsi="仿宋" w:eastAsia="仿宋" w:cs="仿宋"/>
                <w:color w:val="auto"/>
                <w:highlight w:val="none"/>
              </w:rPr>
              <w:t xml:space="preserve">采购需求”中所列内容</w:t>
            </w:r>
            <w:r/>
          </w:p>
        </w:tc>
        <w:tc>
          <w:tcPr>
            <w:tcW w:w="2852" w:type="dxa"/>
            <w:vAlign w:val="center"/>
            <w:textDirection w:val="lrTb"/>
            <w:noWrap w:val="false"/>
          </w:tcPr>
          <w:p>
            <w:pPr>
              <w:pStyle w:val="937"/>
              <w:jc w:val="center"/>
              <w:keepLines w:val="0"/>
              <w:keepNext w:val="0"/>
              <w:pageBreakBefore w:val="0"/>
              <w:spacing w:before="0" w:beforeAutospacing="0" w:after="0" w:afterAutospacing="0"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响应情况（填报“响应或完全响应”）</w:t>
            </w:r>
            <w:r/>
          </w:p>
        </w:tc>
        <w:tc>
          <w:tcPr>
            <w:tcW w:w="1308" w:type="dxa"/>
            <w:vAlign w:val="center"/>
            <w:textDirection w:val="lrTb"/>
            <w:noWrap w:val="false"/>
          </w:tcPr>
          <w:p>
            <w:pPr>
              <w:pStyle w:val="937"/>
              <w:jc w:val="center"/>
              <w:keepLines w:val="0"/>
              <w:keepNext w:val="0"/>
              <w:pageBreakBefore w:val="0"/>
              <w:spacing w:before="0" w:beforeAutospacing="0" w:after="0" w:afterAutospacing="0"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偏离（填报“正偏离、符合或负偏离”）</w:t>
            </w:r>
            <w:r/>
          </w:p>
        </w:tc>
        <w:tc>
          <w:tcPr>
            <w:tcW w:w="1173" w:type="dxa"/>
            <w:vAlign w:val="center"/>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w:t>
            </w:r>
            <w:r/>
          </w:p>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w:t>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1.投标人必须对招标文件“第四章 采购需求”中所列内容</w:t>
      </w:r>
      <w:r>
        <w:rPr>
          <w:rFonts w:hint="eastAsia" w:ascii="仿宋" w:hAnsi="仿宋" w:eastAsia="仿宋" w:cs="仿宋"/>
          <w:b/>
          <w:bCs/>
          <w:color w:val="auto"/>
          <w:sz w:val="24"/>
          <w:highlight w:val="none"/>
          <w:lang w:val="en-US" w:eastAsia="zh-CN"/>
        </w:rPr>
        <w:t xml:space="preserve">分条目</w:t>
      </w:r>
      <w:r>
        <w:rPr>
          <w:rFonts w:hint="eastAsia" w:ascii="仿宋" w:hAnsi="仿宋" w:eastAsia="仿宋" w:cs="仿宋"/>
          <w:color w:val="auto"/>
          <w:sz w:val="24"/>
          <w:highlight w:val="none"/>
        </w:rPr>
        <w:t xml:space="preserve">做出明确响应，否则作无效响应处理。</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2.如果采购文件要求提供证明材料，投标人必须将证明材料列于该表之下。</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3.投标人未对实质性要求作出明确响应的，或未按采购文件要求提供证明材料的，该分包作无效响应处理。</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4.行数不够，可自行添加。</w:t>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999"/>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999"/>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999"/>
        <w:jc w:val="left"/>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八</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项目组人员</w:t>
      </w:r>
      <w:r/>
    </w:p>
    <w:tbl>
      <w:tblPr>
        <w:tblStyle w:val="706"/>
        <w:tblpPr w:horzAnchor="margin" w:tblpXSpec="center" w:vertAnchor="text" w:tblpY="74" w:leftFromText="180" w:topFromText="0" w:rightFromText="180" w:bottomFromText="0"/>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985"/>
        <w:gridCol w:w="850"/>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280"/>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隶属分支机构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jc w:val="center"/>
              <w:keepLines w:val="0"/>
              <w:keepNext w:val="0"/>
              <w:pageBreakBefore w:val="0"/>
              <w:spacing w:before="0" w:beforeAutospacing="0" w:after="0" w:afterAutospacing="0" w:line="560" w:lineRule="exact"/>
              <w:widowControl/>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jc w:val="center"/>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ind w:firstLine="420"/>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7"/>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0"/>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937"/>
        <w:ind w:firstLine="482"/>
        <w:keepLines w:val="0"/>
        <w:keepNext w:val="0"/>
        <w:pageBreakBefore w:val="0"/>
        <w:spacing w:before="0" w:beforeAutospacing="0" w:after="0" w:afterAutospacing="0" w:line="560" w:lineRule="exact"/>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004"/>
        <w:jc w:val="left"/>
        <w:rPr>
          <w:rFonts w:hint="eastAsia" w:ascii="仿宋" w:hAnsi="仿宋" w:eastAsia="仿宋" w:cs="仿宋"/>
          <w:color w:val="auto"/>
          <w:highlight w:val="none"/>
          <w:lang w:val="en-US" w:eastAsia="zh-CN"/>
        </w:rPr>
        <w:sectPr>
          <w:footnotePr/>
          <w:endnotePr/>
          <w:type w:val="nextPage"/>
          <w:pgSz w:w="11906" w:h="16838" w:orient="portrait"/>
          <w:pgMar w:top="1418" w:right="1588" w:bottom="1418" w:left="1365" w:header="851" w:footer="907" w:gutter="0"/>
          <w:cols w:num="1" w:sep="0" w:space="720" w:equalWidth="1"/>
          <w:docGrid w:linePitch="360"/>
          <w:titlePg/>
        </w:sectPr>
        <w:outlineLvl w:val="1"/>
      </w:pPr>
      <w:r/>
      <w:bookmarkStart w:id="210" w:name="_Toc28140"/>
      <w:r/>
      <w:r/>
    </w:p>
    <w:p>
      <w:pPr>
        <w:pStyle w:val="999"/>
        <w:jc w:val="left"/>
        <w:rPr>
          <w:rFonts w:hint="default"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九、企业业绩</w:t>
      </w:r>
      <w:r/>
    </w:p>
    <w:p>
      <w:pPr>
        <w:ind w:left="0" w:right="0" w:firstLine="643"/>
        <w:jc w:val="center"/>
        <w:keepLines w:val="0"/>
        <w:keepNext w:val="0"/>
        <w:pageBreakBefore w:val="0"/>
        <w:spacing w:line="480" w:lineRule="auto"/>
        <w:widowControl w:val="off"/>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投标人承担类似项目业绩一览表</w:t>
      </w:r>
      <w:r/>
    </w:p>
    <w:tbl>
      <w:tblPr>
        <w:tblStyle w:val="706"/>
        <w:tblpPr w:horzAnchor="text" w:tblpXSpec="center" w:vertAnchor="text" w:tblpY="1" w:leftFromText="180" w:topFromText="0" w:rightFromText="180" w:bottomFromText="0"/>
        <w:tblW w:w="8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4"/>
        </w:trPr>
        <w:tc>
          <w:tcPr>
            <w:tcW w:w="1229" w:type="dxa"/>
            <w:vAlign w:val="center"/>
            <w:textDirection w:val="lrTb"/>
            <w:noWrap w:val="false"/>
          </w:tcPr>
          <w:p>
            <w:pPr>
              <w:pStyle w:val="1000"/>
              <w:ind w:firstLine="28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序号</w:t>
            </w:r>
            <w:r/>
          </w:p>
        </w:tc>
        <w:tc>
          <w:tcPr>
            <w:tcW w:w="3827" w:type="dxa"/>
            <w:vAlign w:val="center"/>
            <w:textDirection w:val="lrTb"/>
            <w:noWrap w:val="false"/>
          </w:tcPr>
          <w:p>
            <w:pPr>
              <w:pStyle w:val="100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项目名称</w:t>
            </w:r>
            <w:r/>
          </w:p>
        </w:tc>
        <w:tc>
          <w:tcPr>
            <w:tcW w:w="2433" w:type="dxa"/>
            <w:vAlign w:val="center"/>
            <w:textDirection w:val="lrTb"/>
            <w:noWrap w:val="false"/>
          </w:tcPr>
          <w:p>
            <w:pPr>
              <w:pStyle w:val="100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采购单位</w:t>
            </w:r>
            <w:r/>
          </w:p>
        </w:tc>
        <w:tc>
          <w:tcPr>
            <w:tcW w:w="1395" w:type="dxa"/>
            <w:vAlign w:val="center"/>
            <w:textDirection w:val="lrTb"/>
            <w:noWrap w:val="false"/>
          </w:tcPr>
          <w:p>
            <w:pPr>
              <w:pStyle w:val="100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合同金额</w:t>
            </w:r>
            <w:r/>
          </w:p>
        </w:tc>
      </w:tr>
      <w:tr>
        <w:trPr>
          <w:trHeight w:val="1510"/>
        </w:trPr>
        <w:tc>
          <w:tcPr>
            <w:tcW w:w="1229" w:type="dxa"/>
            <w:vAlign w:val="top"/>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r>
        <w:trPr>
          <w:trHeight w:val="1510"/>
        </w:trPr>
        <w:tc>
          <w:tcPr>
            <w:tcW w:w="1229" w:type="dxa"/>
            <w:vAlign w:val="top"/>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r>
        <w:trPr>
          <w:trHeight w:val="1510"/>
        </w:trPr>
        <w:tc>
          <w:tcPr>
            <w:tcW w:w="1229" w:type="dxa"/>
            <w:vAlign w:val="top"/>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r>
        <w:trPr>
          <w:trHeight w:val="1525"/>
        </w:trPr>
        <w:tc>
          <w:tcPr>
            <w:tcW w:w="1229" w:type="dxa"/>
            <w:vAlign w:val="top"/>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bl>
    <w:p>
      <w:pPr>
        <w:ind w:firstLine="480"/>
        <w:keepLines w:val="0"/>
        <w:keepNext w:val="0"/>
        <w:pageBreakBefore w:val="0"/>
        <w:spacing w:line="560" w:lineRule="exact"/>
        <w:widowControl w:val="off"/>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注：请填写此表，并按要求上传业绩资料电子件。</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999"/>
        <w:jc w:val="left"/>
        <w:rPr>
          <w:rFonts w:hint="eastAsia" w:ascii="仿宋" w:hAnsi="仿宋" w:eastAsia="仿宋" w:cs="仿宋"/>
          <w:color w:val="auto"/>
          <w:highlight w:val="none"/>
          <w:lang w:val="en-US" w:eastAsia="zh-CN"/>
        </w:rPr>
        <w:outlineLvl w:val="1"/>
      </w:pPr>
      <w:r/>
      <w:bookmarkStart w:id="211" w:name="_Toc7495"/>
      <w:r>
        <w:rPr>
          <w:rFonts w:hint="eastAsia" w:ascii="仿宋" w:hAnsi="仿宋" w:eastAsia="仿宋" w:cs="仿宋"/>
          <w:color w:val="auto"/>
          <w:highlight w:val="none"/>
          <w:lang w:val="en-US" w:eastAsia="zh-CN"/>
        </w:rPr>
        <w:t xml:space="preserve">十、联合体协议书（如联合体投标提供，非联合体投标无需提供）</w:t>
      </w:r>
      <w:bookmarkEnd w:id="211"/>
      <w:r/>
      <w:r/>
    </w:p>
    <w:p>
      <w:pPr>
        <w:pStyle w:val="1014"/>
        <w:ind w:firstLine="480"/>
        <w:spacing w:line="360" w:lineRule="auto"/>
        <w:rPr>
          <w:rStyle w:val="705"/>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（所有成员单位名称）自愿组成</w:t>
      </w: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（联合体名称）联合体，共同参加</w:t>
      </w: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（项目名称）投标。现就联合体投标事宜订立如下协议。</w:t>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1、</w:t>
      </w: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（某成员单位名称）为</w:t>
      </w: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（联合体名称）牵头人。</w:t>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3、联合体将严格按照招标文件的各项要求，递交投标文件，履行合同，并对外承担连带责任。</w:t>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4、联合体各成员单位内部的职责分工如下：</w:t>
      </w: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 。</w:t>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5、本协议书自签署之日起生效，合同履行完毕后自动失效。</w:t>
      </w:r>
      <w:r/>
    </w:p>
    <w:p>
      <w:pPr>
        <w:ind w:firstLine="480"/>
        <w:keepLines w:val="0"/>
        <w:keepNext w:val="0"/>
        <w:pageBreakBefore w:val="0"/>
        <w:spacing w:line="360" w:lineRule="auto"/>
        <w:widowControl w:val="off"/>
        <w:rPr>
          <w:rStyle w:val="705"/>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6、如联合体投标联合体成员其中一方承保份额不低于所投分包的40%。</w:t>
      </w:r>
      <w:r/>
    </w:p>
    <w:p>
      <w:pPr>
        <w:pStyle w:val="1014"/>
        <w:ind w:firstLine="480"/>
        <w:spacing w:line="360" w:lineRule="auto"/>
        <w:rPr>
          <w:rStyle w:val="705"/>
          <w:rFonts w:hint="default" w:ascii="仿宋" w:hAnsi="仿宋" w:eastAsia="仿宋" w:cs="仿宋"/>
          <w:color w:val="auto"/>
          <w:sz w:val="24"/>
          <w:lang w:val="en-US" w:eastAsia="zh-CN"/>
        </w:rPr>
      </w:pPr>
      <w:r>
        <w:rPr>
          <w:rStyle w:val="705"/>
          <w:rFonts w:hint="eastAsia" w:ascii="仿宋" w:hAnsi="仿宋" w:eastAsia="仿宋" w:cs="仿宋"/>
          <w:color w:val="auto"/>
          <w:sz w:val="24"/>
          <w:lang w:val="en-US" w:eastAsia="zh-CN"/>
        </w:rPr>
        <w:t xml:space="preserve">7、如联合体投标，投标文件中盖章由牵头人盖章即可。（除联合体协议书）</w:t>
      </w:r>
      <w:r/>
    </w:p>
    <w:p>
      <w:pPr>
        <w:pStyle w:val="1014"/>
        <w:ind w:firstLine="480"/>
        <w:spacing w:line="360" w:lineRule="auto"/>
        <w:rPr>
          <w:rStyle w:val="705"/>
          <w:rFonts w:hint="eastAsia" w:ascii="仿宋" w:hAnsi="仿宋" w:eastAsia="仿宋" w:cs="仿宋"/>
          <w:color w:val="auto"/>
          <w:sz w:val="24"/>
        </w:rPr>
      </w:pPr>
      <w:r>
        <w:rPr>
          <w:rFonts w:hint="eastAsia" w:ascii="仿宋" w:hAnsi="仿宋" w:eastAsia="仿宋" w:cs="仿宋"/>
          <w:color w:val="auto"/>
          <w:sz w:val="24"/>
        </w:rPr>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牵头人名称：</w:t>
      </w: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（盖单位章）</w:t>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法定代表人或其委托代理人：</w:t>
      </w: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（签字）</w:t>
      </w:r>
      <w:r/>
    </w:p>
    <w:p>
      <w:pPr>
        <w:pStyle w:val="1014"/>
        <w:ind w:firstLine="480"/>
        <w:spacing w:line="360" w:lineRule="auto"/>
        <w:rPr>
          <w:rStyle w:val="705"/>
          <w:rFonts w:hint="eastAsia" w:ascii="仿宋" w:hAnsi="仿宋" w:eastAsia="仿宋" w:cs="仿宋"/>
          <w:color w:val="auto"/>
          <w:sz w:val="24"/>
        </w:rPr>
      </w:pPr>
      <w:r>
        <w:rPr>
          <w:rFonts w:hint="eastAsia" w:ascii="仿宋" w:hAnsi="仿宋" w:eastAsia="仿宋" w:cs="仿宋"/>
          <w:color w:val="auto"/>
          <w:sz w:val="24"/>
        </w:rPr>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成员一名称：</w:t>
      </w: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（盖单位章）</w:t>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法定代表人或其委托代理人：</w:t>
      </w:r>
      <w:r>
        <w:rPr>
          <w:rStyle w:val="705"/>
          <w:rFonts w:hint="eastAsia" w:ascii="仿宋" w:hAnsi="仿宋" w:eastAsia="仿宋" w:cs="仿宋"/>
          <w:color w:val="auto"/>
          <w:sz w:val="24"/>
          <w:u w:val="single"/>
        </w:rPr>
        <w:t xml:space="preserve">                       </w:t>
      </w:r>
      <w:r>
        <w:rPr>
          <w:rStyle w:val="705"/>
          <w:rFonts w:hint="eastAsia" w:ascii="仿宋" w:hAnsi="仿宋" w:eastAsia="仿宋" w:cs="仿宋"/>
          <w:color w:val="auto"/>
          <w:sz w:val="24"/>
        </w:rPr>
        <w:t xml:space="preserve">（签字）</w:t>
      </w:r>
      <w:r/>
    </w:p>
    <w:p>
      <w:pPr>
        <w:pStyle w:val="1014"/>
        <w:ind w:firstLine="480"/>
        <w:spacing w:line="360" w:lineRule="auto"/>
        <w:rPr>
          <w:rStyle w:val="705"/>
          <w:rFonts w:hint="eastAsia" w:ascii="仿宋" w:hAnsi="仿宋" w:eastAsia="仿宋" w:cs="仿宋"/>
          <w:color w:val="auto"/>
          <w:sz w:val="24"/>
        </w:rPr>
      </w:pPr>
      <w:r>
        <w:rPr>
          <w:rStyle w:val="705"/>
          <w:rFonts w:hint="eastAsia" w:ascii="仿宋" w:hAnsi="仿宋" w:eastAsia="仿宋" w:cs="仿宋"/>
          <w:color w:val="auto"/>
          <w:sz w:val="24"/>
        </w:rPr>
        <w:t xml:space="preserve"> </w:t>
      </w:r>
      <w:r/>
    </w:p>
    <w:p>
      <w:pPr>
        <w:pStyle w:val="1014"/>
        <w:ind w:firstLine="480"/>
        <w:spacing w:line="360" w:lineRule="auto"/>
        <w:rPr>
          <w:rStyle w:val="705"/>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1014"/>
        <w:ind w:firstLine="480"/>
        <w:jc w:val="right"/>
        <w:spacing w:line="360" w:lineRule="auto"/>
        <w:rPr>
          <w:rStyle w:val="705"/>
          <w:rFonts w:ascii="Times New Roman" w:hAnsi="Times New Roman" w:eastAsia="宋体" w:cs="Times New Roman"/>
          <w:color w:val="auto"/>
          <w:sz w:val="24"/>
        </w:rPr>
      </w:pPr>
      <w:r>
        <w:rPr>
          <w:rStyle w:val="705"/>
          <w:rFonts w:ascii="Times New Roman" w:hAnsi="Times New Roman" w:eastAsia="宋体" w:cs="Times New Roman"/>
          <w:color w:val="auto"/>
          <w:sz w:val="24"/>
          <w:u w:val="single"/>
        </w:rPr>
        <w:t xml:space="preserve">        </w:t>
      </w:r>
      <w:r>
        <w:rPr>
          <w:rStyle w:val="705"/>
          <w:rFonts w:ascii="Times New Roman" w:hAnsi="Times New Roman" w:eastAsia="宋体" w:cs="Times New Roman"/>
          <w:color w:val="auto"/>
          <w:sz w:val="24"/>
        </w:rPr>
        <w:t xml:space="preserve">年</w:t>
      </w:r>
      <w:r>
        <w:rPr>
          <w:rStyle w:val="705"/>
          <w:rFonts w:ascii="Times New Roman" w:hAnsi="Times New Roman" w:eastAsia="宋体" w:cs="Times New Roman"/>
          <w:color w:val="auto"/>
          <w:sz w:val="24"/>
          <w:u w:val="single"/>
        </w:rPr>
        <w:t xml:space="preserve">   </w:t>
      </w:r>
      <w:r>
        <w:rPr>
          <w:rStyle w:val="705"/>
          <w:rFonts w:hint="eastAsia" w:ascii="Times New Roman" w:hAnsi="Times New Roman" w:eastAsia="宋体" w:cs="Times New Roman"/>
          <w:color w:val="auto"/>
          <w:sz w:val="24"/>
          <w:u w:val="single"/>
        </w:rPr>
        <w:t xml:space="preserve">   </w:t>
      </w:r>
      <w:r>
        <w:rPr>
          <w:rStyle w:val="705"/>
          <w:rFonts w:ascii="Times New Roman" w:hAnsi="Times New Roman" w:eastAsia="宋体" w:cs="Times New Roman"/>
          <w:color w:val="auto"/>
          <w:sz w:val="24"/>
          <w:u w:val="single"/>
        </w:rPr>
        <w:t xml:space="preserve"> </w:t>
      </w:r>
      <w:r>
        <w:rPr>
          <w:rStyle w:val="705"/>
          <w:rFonts w:ascii="Times New Roman" w:hAnsi="Times New Roman" w:eastAsia="宋体" w:cs="Times New Roman"/>
          <w:color w:val="auto"/>
          <w:sz w:val="24"/>
        </w:rPr>
        <w:t xml:space="preserve">月</w:t>
      </w:r>
      <w:r>
        <w:rPr>
          <w:rStyle w:val="705"/>
          <w:rFonts w:ascii="Times New Roman" w:hAnsi="Times New Roman" w:eastAsia="宋体" w:cs="Times New Roman"/>
          <w:color w:val="auto"/>
          <w:sz w:val="24"/>
          <w:u w:val="single"/>
        </w:rPr>
        <w:t xml:space="preserve"> </w:t>
      </w:r>
      <w:r>
        <w:rPr>
          <w:rStyle w:val="705"/>
          <w:rFonts w:hint="eastAsia" w:ascii="Times New Roman" w:hAnsi="Times New Roman" w:eastAsia="宋体" w:cs="Times New Roman"/>
          <w:color w:val="auto"/>
          <w:sz w:val="24"/>
          <w:u w:val="single"/>
        </w:rPr>
        <w:t xml:space="preserve">   </w:t>
      </w:r>
      <w:r>
        <w:rPr>
          <w:rStyle w:val="705"/>
          <w:rFonts w:ascii="Times New Roman" w:hAnsi="Times New Roman" w:eastAsia="宋体" w:cs="Times New Roman"/>
          <w:color w:val="auto"/>
          <w:sz w:val="24"/>
          <w:u w:val="single"/>
        </w:rPr>
        <w:t xml:space="preserve">   </w:t>
      </w:r>
      <w:r>
        <w:rPr>
          <w:rStyle w:val="705"/>
          <w:rFonts w:ascii="Times New Roman" w:hAnsi="Times New Roman" w:eastAsia="宋体" w:cs="Times New Roman"/>
          <w:color w:val="auto"/>
          <w:sz w:val="24"/>
        </w:rPr>
        <w:t xml:space="preserve">日</w:t>
      </w:r>
      <w:r/>
    </w:p>
    <w:p>
      <w:pPr>
        <w:pStyle w:val="1004"/>
        <w:jc w:val="left"/>
        <w:rPr>
          <w:rFonts w:hint="eastAsia" w:ascii="仿宋" w:hAnsi="仿宋" w:eastAsia="仿宋" w:cs="仿宋"/>
          <w:color w:val="auto"/>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1"/>
      </w:pPr>
      <w:r>
        <w:rPr>
          <w:rFonts w:hint="eastAsia" w:ascii="仿宋" w:hAnsi="仿宋" w:eastAsia="仿宋" w:cs="仿宋"/>
          <w:color w:val="auto"/>
          <w:highlight w:val="none"/>
        </w:rPr>
      </w:r>
      <w:r/>
    </w:p>
    <w:p>
      <w:pPr>
        <w:pStyle w:val="1004"/>
        <w:jc w:val="left"/>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十一、</w:t>
      </w:r>
      <w:r>
        <w:rPr>
          <w:rFonts w:hint="eastAsia" w:ascii="仿宋" w:hAnsi="仿宋" w:eastAsia="仿宋" w:cs="仿宋"/>
          <w:color w:val="auto"/>
          <w:highlight w:val="none"/>
        </w:rPr>
        <w:t xml:space="preserve">投标所需其他材料</w:t>
      </w:r>
      <w:bookmarkEnd w:id="210"/>
      <w:r/>
      <w:r/>
    </w:p>
    <w:p>
      <w:pPr>
        <w:pStyle w:val="1005"/>
        <w:ind w:firstLine="56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auto"/>
          <w:sz w:val="20"/>
          <w:highlight w:val="none"/>
        </w:rPr>
      </w:pPr>
      <w:r>
        <w:rPr>
          <w:rFonts w:hint="eastAsia" w:ascii="仿宋" w:hAnsi="仿宋" w:eastAsia="仿宋" w:cs="仿宋"/>
          <w:color w:val="auto"/>
          <w:sz w:val="20"/>
          <w:highlight w:val="non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bookmarkEnd w:id="205"/>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8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pStyle w:val="892"/>
        <w:ind w:firstLine="0"/>
        <w:rPr>
          <w:rFonts w:hint="eastAsia" w:ascii="仿宋" w:hAnsi="仿宋" w:eastAsia="仿宋" w:cs="仿宋"/>
          <w:color w:val="auto"/>
          <w:sz w:val="24"/>
          <w:highlight w:val="none"/>
        </w:rPr>
      </w:pPr>
      <w:r/>
      <w:bookmarkStart w:id="212" w:name="_Hlt26609389"/>
      <w:r/>
      <w:bookmarkEnd w:id="212"/>
      <w:r/>
      <w:bookmarkStart w:id="213" w:name="_Hlt26671374"/>
      <w:r/>
      <w:bookmarkEnd w:id="213"/>
      <w:r/>
      <w:bookmarkStart w:id="214" w:name="_Hlt26955066"/>
      <w:r/>
      <w:bookmarkEnd w:id="214"/>
      <w:r/>
      <w:bookmarkStart w:id="215" w:name="_Toc462564146"/>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51"/>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51"/>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51"/>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51"/>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bookmarkEnd w:id="195"/>
      <w:bookmarkEnd w:id="196"/>
      <w:bookmarkEnd w:id="215"/>
      <w:r/>
    </w:p>
    <w:p>
      <w:pPr>
        <w:pStyle w:val="951"/>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51"/>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
          <w:color w:val="auto"/>
          <w:sz w:val="32"/>
          <w:szCs w:val="32"/>
          <w:highlight w:val="none"/>
        </w:rPr>
      </w:pPr>
      <w:r/>
      <w:bookmarkStart w:id="216" w:name="_格式2__法定代表人授权书"/>
      <w:r/>
      <w:bookmarkEnd w:id="216"/>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质疑函范本</w:t>
      </w:r>
      <w:r/>
    </w:p>
    <w:p>
      <w:pPr>
        <w:ind w:firstLine="480"/>
        <w:keepLines w:val="0"/>
        <w:keepNext w:val="0"/>
        <w:pageBreakBefore w:val="0"/>
        <w:spacing w:before="290"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一、质疑投标人基本信息</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质疑投标人：</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ind w:firstLine="480"/>
        <w:keepLines w:val="0"/>
        <w:keepNext w:val="0"/>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公章：                      </w:t>
      </w:r>
      <w:r/>
    </w:p>
    <w:p>
      <w:pPr>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ind w:firstLine="482"/>
        <w:keepLines w:val="0"/>
        <w:keepNext w:val="0"/>
        <w:pageBreakBefore w:val="0"/>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1.投标人提出质疑时，应提交质疑函和必要的证明材料。</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3.质疑投标人若对项目的某一分包进行质疑，质疑函中应列明具体分包号。</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892"/>
        <w:ind w:firstLine="480"/>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9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ascii="宋体" w:hAnsi="宋体"/>
        <w:b/>
        <w:i/>
        <w:sz w:val="24"/>
        <w:szCs w:val="24"/>
      </w:rPr>
    </w:pPr>
    <w:r>
      <w:rPr>
        <w:rFonts w:ascii="宋体" w:hAnsi="宋体"/>
        <w:b/>
        <w:i/>
        <w:sz w:val="28"/>
        <w:szCs w:val="24"/>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ascii="宋体" w:hAnsi="宋体"/>
        <w:b/>
        <w:i/>
        <w:sz w:val="24"/>
        <w:szCs w:val="24"/>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1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ascii="宋体" w:hAnsi="宋体"/>
        <w:b/>
        <w:i/>
        <w:sz w:val="28"/>
        <w:szCs w:val="24"/>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9"/>
      <w:isLgl w:val="false"/>
      <w:suff w:val="nothing"/>
      <w:lvlText w:val=""/>
      <w:lvlJc w:val="left"/>
      <w:pPr>
        <w:ind w:left="0" w:firstLine="0"/>
      </w:pPr>
      <w:rPr>
        <w:rFonts w:hint="eastAsia"/>
      </w:rPr>
    </w:lvl>
    <w:lvl w:ilvl="6">
      <w:start w:val="1"/>
      <w:numFmt w:val="decimal"/>
      <w:pStyle w:val="901"/>
      <w:isLgl w:val="false"/>
      <w:suff w:val="nothing"/>
      <w:lvlText w:val=""/>
      <w:lvlJc w:val="left"/>
      <w:pPr>
        <w:ind w:left="0" w:firstLine="0"/>
      </w:pPr>
      <w:rPr>
        <w:rFonts w:hint="eastAsia"/>
      </w:rPr>
    </w:lvl>
    <w:lvl w:ilvl="7">
      <w:start w:val="1"/>
      <w:numFmt w:val="decimal"/>
      <w:pStyle w:val="903"/>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2">
    <w:multiLevelType w:val="hybridMultilevel"/>
    <w:lvl w:ilvl="0">
      <w:start w:val="1"/>
      <w:numFmt w:val="decimal"/>
      <w:pStyle w:val="7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6">
    <w:name w:val="Heading 1"/>
    <w:basedOn w:val="695"/>
    <w:next w:val="695"/>
    <w:link w:val="732"/>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3"/>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34"/>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35"/>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36"/>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37"/>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39"/>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0"/>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unhideWhenUsed/>
    <w:qFormat/>
  </w:style>
  <w:style w:type="table" w:styleId="706" w:default="1">
    <w:name w:val="Normal Table"/>
    <w:uiPriority w:val="99"/>
    <w:unhideWhenUsed/>
    <w:qFormat/>
    <w:tblPr>
      <w:tblCellMar>
        <w:left w:w="108" w:type="dxa"/>
        <w:top w:w="0" w:type="dxa"/>
        <w:right w:w="108" w:type="dxa"/>
        <w:bottom w:w="0" w:type="dxa"/>
      </w:tblCellMar>
    </w:tblPr>
  </w:style>
  <w:style w:type="paragraph" w:styleId="707">
    <w:name w:val="toc 7"/>
    <w:basedOn w:val="695"/>
    <w:next w:val="695"/>
    <w:uiPriority w:val="0"/>
    <w:semiHidden/>
    <w:qFormat/>
    <w:pPr>
      <w:ind w:left="1260"/>
      <w:jc w:val="left"/>
    </w:pPr>
  </w:style>
  <w:style w:type="paragraph" w:styleId="708">
    <w:name w:val="Caption"/>
    <w:basedOn w:val="695"/>
    <w:next w:val="695"/>
    <w:uiPriority w:val="35"/>
    <w:unhideWhenUsed/>
    <w:qFormat/>
    <w:pPr>
      <w:spacing w:line="276" w:lineRule="auto"/>
    </w:pPr>
    <w:rPr>
      <w:b/>
      <w:bCs/>
      <w:color w:val="4f81bd"/>
      <w:sz w:val="18"/>
      <w:szCs w:val="18"/>
    </w:rPr>
  </w:style>
  <w:style w:type="paragraph" w:styleId="709">
    <w:name w:val="annotation text"/>
    <w:basedOn w:val="695"/>
    <w:uiPriority w:val="99"/>
    <w:semiHidden/>
    <w:unhideWhenUsed/>
    <w:qFormat/>
    <w:pPr>
      <w:jc w:val="left"/>
    </w:pPr>
  </w:style>
  <w:style w:type="paragraph" w:styleId="710">
    <w:name w:val="Body Text"/>
    <w:basedOn w:val="695"/>
    <w:next w:val="695"/>
    <w:uiPriority w:val="0"/>
    <w:qFormat/>
  </w:style>
  <w:style w:type="paragraph" w:styleId="711">
    <w:name w:val="toc 5"/>
    <w:basedOn w:val="695"/>
    <w:next w:val="695"/>
    <w:uiPriority w:val="0"/>
    <w:semiHidden/>
    <w:qFormat/>
    <w:pPr>
      <w:ind w:left="840"/>
      <w:jc w:val="left"/>
    </w:pPr>
  </w:style>
  <w:style w:type="paragraph" w:styleId="712">
    <w:name w:val="toc 3"/>
    <w:basedOn w:val="695"/>
    <w:next w:val="695"/>
    <w:uiPriority w:val="0"/>
    <w:semiHidden/>
    <w:qFormat/>
    <w:pPr>
      <w:ind w:left="420"/>
      <w:jc w:val="left"/>
    </w:pPr>
    <w:rPr>
      <w:i/>
      <w:iCs/>
      <w:szCs w:val="24"/>
    </w:rPr>
  </w:style>
  <w:style w:type="paragraph" w:styleId="713">
    <w:name w:val="Plain Text"/>
    <w:uiPriority w:val="0"/>
    <w:qFormat/>
    <w:pPr>
      <w:jc w:val="both"/>
      <w:widowControl w:val="off"/>
    </w:pPr>
    <w:rPr>
      <w:rFonts w:hint="default" w:ascii="宋体" w:hAnsi="Courier New" w:eastAsia="宋体" w:cs="Courier New"/>
      <w:sz w:val="21"/>
      <w:szCs w:val="21"/>
      <w:lang w:val="en-US" w:eastAsia="zh-CN" w:bidi="ar-SA"/>
    </w:rPr>
  </w:style>
  <w:style w:type="paragraph" w:styleId="714">
    <w:name w:val="toc 8"/>
    <w:basedOn w:val="695"/>
    <w:next w:val="695"/>
    <w:uiPriority w:val="0"/>
    <w:semiHidden/>
    <w:qFormat/>
    <w:pPr>
      <w:ind w:left="1470"/>
      <w:jc w:val="left"/>
    </w:pPr>
  </w:style>
  <w:style w:type="paragraph" w:styleId="715">
    <w:name w:val="endnote text"/>
    <w:basedOn w:val="695"/>
    <w:link w:val="741"/>
    <w:uiPriority w:val="99"/>
    <w:unhideWhenUsed/>
    <w:qFormat/>
    <w:pPr>
      <w:spacing w:after="0" w:line="240" w:lineRule="auto"/>
    </w:pPr>
    <w:rPr>
      <w:sz w:val="20"/>
    </w:rPr>
  </w:style>
  <w:style w:type="paragraph" w:styleId="716">
    <w:name w:val="Footer"/>
    <w:basedOn w:val="695"/>
    <w:link w:val="747"/>
    <w:uiPriority w:val="99"/>
    <w:unhideWhenUsed/>
    <w:qFormat/>
    <w:pPr>
      <w:spacing w:after="0" w:line="240" w:lineRule="auto"/>
      <w:tabs>
        <w:tab w:val="center" w:pos="7143" w:leader="none"/>
        <w:tab w:val="right" w:pos="14287" w:leader="none"/>
      </w:tabs>
    </w:pPr>
  </w:style>
  <w:style w:type="paragraph" w:styleId="717">
    <w:name w:val="Header"/>
    <w:basedOn w:val="695"/>
    <w:link w:val="743"/>
    <w:uiPriority w:val="99"/>
    <w:unhideWhenUsed/>
    <w:qFormat/>
    <w:pPr>
      <w:spacing w:after="0" w:line="240" w:lineRule="auto"/>
      <w:tabs>
        <w:tab w:val="center" w:pos="7143" w:leader="none"/>
        <w:tab w:val="right" w:pos="14287" w:leader="none"/>
      </w:tabs>
    </w:pPr>
  </w:style>
  <w:style w:type="paragraph" w:styleId="718">
    <w:name w:val="toc 1"/>
    <w:basedOn w:val="695"/>
    <w:next w:val="695"/>
    <w:uiPriority w:val="0"/>
    <w:semiHidden/>
    <w:qFormat/>
    <w:pPr>
      <w:jc w:val="left"/>
      <w:spacing w:before="120" w:after="120" w:line="400" w:lineRule="exact"/>
      <w:tabs>
        <w:tab w:val="right" w:pos="8720" w:leader="dot"/>
      </w:tabs>
    </w:pPr>
    <w:rPr>
      <w:rFonts w:ascii="宋体" w:hAnsi="宋体"/>
      <w:caps/>
      <w:sz w:val="24"/>
      <w:szCs w:val="24"/>
    </w:rPr>
  </w:style>
  <w:style w:type="paragraph" w:styleId="719">
    <w:name w:val="toc 4"/>
    <w:basedOn w:val="695"/>
    <w:next w:val="695"/>
    <w:uiPriority w:val="0"/>
    <w:semiHidden/>
    <w:qFormat/>
    <w:pPr>
      <w:ind w:left="630"/>
      <w:jc w:val="left"/>
    </w:pPr>
  </w:style>
  <w:style w:type="paragraph" w:styleId="720">
    <w:name w:val="Subtitle"/>
    <w:basedOn w:val="695"/>
    <w:next w:val="695"/>
    <w:link w:val="744"/>
    <w:uiPriority w:val="11"/>
    <w:qFormat/>
    <w:pPr>
      <w:spacing w:before="200" w:after="200"/>
    </w:pPr>
    <w:rPr>
      <w:sz w:val="24"/>
      <w:szCs w:val="24"/>
    </w:rPr>
  </w:style>
  <w:style w:type="paragraph" w:styleId="721">
    <w:name w:val="footnote text"/>
    <w:basedOn w:val="695"/>
    <w:link w:val="745"/>
    <w:uiPriority w:val="99"/>
    <w:unhideWhenUsed/>
    <w:qFormat/>
    <w:pPr>
      <w:spacing w:after="40" w:line="240" w:lineRule="auto"/>
    </w:pPr>
    <w:rPr>
      <w:sz w:val="18"/>
    </w:rPr>
  </w:style>
  <w:style w:type="paragraph" w:styleId="722">
    <w:name w:val="toc 6"/>
    <w:basedOn w:val="695"/>
    <w:next w:val="695"/>
    <w:uiPriority w:val="0"/>
    <w:semiHidden/>
    <w:qFormat/>
    <w:pPr>
      <w:ind w:left="1050"/>
      <w:jc w:val="left"/>
    </w:pPr>
  </w:style>
  <w:style w:type="paragraph" w:styleId="723">
    <w:name w:val="table of figures"/>
    <w:basedOn w:val="695"/>
    <w:next w:val="695"/>
    <w:uiPriority w:val="99"/>
    <w:unhideWhenUsed/>
    <w:qFormat/>
    <w:pPr>
      <w:spacing w:after="0" w:afterAutospacing="0"/>
    </w:pPr>
  </w:style>
  <w:style w:type="paragraph" w:styleId="724">
    <w:name w:val="toc 2"/>
    <w:basedOn w:val="695"/>
    <w:next w:val="695"/>
    <w:uiPriority w:val="0"/>
    <w:semiHidden/>
    <w:qFormat/>
    <w:pPr>
      <w:ind w:left="210"/>
      <w:jc w:val="left"/>
    </w:pPr>
    <w:rPr>
      <w:smallCaps/>
      <w:szCs w:val="24"/>
    </w:rPr>
  </w:style>
  <w:style w:type="paragraph" w:styleId="725">
    <w:name w:val="toc 9"/>
    <w:basedOn w:val="695"/>
    <w:next w:val="695"/>
    <w:uiPriority w:val="0"/>
    <w:semiHidden/>
    <w:qFormat/>
    <w:pPr>
      <w:ind w:left="1680"/>
      <w:jc w:val="left"/>
    </w:pPr>
  </w:style>
  <w:style w:type="paragraph" w:styleId="726">
    <w:name w:val="Body Text 2"/>
    <w:uiPriority w:val="0"/>
    <w:qFormat/>
    <w:pPr>
      <w:jc w:val="both"/>
      <w:widowControl w:val="off"/>
    </w:pPr>
    <w:rPr>
      <w:rFonts w:hint="default" w:ascii="宋体" w:hAnsi="宋体" w:eastAsia="宋体" w:cs="Times New Roman"/>
      <w:b/>
      <w:bCs/>
      <w:sz w:val="28"/>
      <w:szCs w:val="24"/>
      <w:lang w:val="en-US" w:eastAsia="zh-CN" w:bidi="ar-SA"/>
    </w:rPr>
  </w:style>
  <w:style w:type="paragraph" w:styleId="727">
    <w:name w:val="Title"/>
    <w:basedOn w:val="695"/>
    <w:next w:val="695"/>
    <w:link w:val="746"/>
    <w:uiPriority w:val="10"/>
    <w:qFormat/>
    <w:pPr>
      <w:contextualSpacing/>
      <w:spacing w:before="300" w:after="200"/>
    </w:pPr>
    <w:rPr>
      <w:sz w:val="48"/>
      <w:szCs w:val="48"/>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unhideWhenUsed/>
    <w:qFormat/>
    <w:rPr>
      <w:vertAlign w:val="superscript"/>
    </w:rPr>
  </w:style>
  <w:style w:type="character" w:styleId="730">
    <w:name w:val="Hyperlink"/>
    <w:uiPriority w:val="99"/>
    <w:unhideWhenUsed/>
    <w:qFormat/>
    <w:rPr>
      <w:color w:val="0000ff"/>
      <w:u w:val="single"/>
    </w:rPr>
  </w:style>
  <w:style w:type="character" w:styleId="731">
    <w:name w:val="footnote reference"/>
    <w:uiPriority w:val="99"/>
    <w:unhideWhenUsed/>
    <w:qFormat/>
    <w:rPr>
      <w:vertAlign w:val="superscript"/>
    </w:rPr>
  </w:style>
  <w:style w:type="character" w:styleId="732" w:customStyle="1">
    <w:name w:val="Heading 1 Char"/>
    <w:link w:val="696"/>
    <w:uiPriority w:val="9"/>
    <w:qFormat/>
    <w:rPr>
      <w:rFonts w:ascii="Arial" w:hAnsi="Arial" w:eastAsia="Arial" w:cs="Arial"/>
      <w:sz w:val="40"/>
      <w:szCs w:val="40"/>
    </w:rPr>
  </w:style>
  <w:style w:type="character" w:styleId="733" w:customStyle="1">
    <w:name w:val="Heading 2 Char"/>
    <w:link w:val="697"/>
    <w:uiPriority w:val="9"/>
    <w:qFormat/>
    <w:rPr>
      <w:rFonts w:ascii="Arial" w:hAnsi="Arial" w:eastAsia="Arial" w:cs="Arial"/>
      <w:sz w:val="34"/>
    </w:rPr>
  </w:style>
  <w:style w:type="character" w:styleId="734" w:customStyle="1">
    <w:name w:val="Heading 3 Char"/>
    <w:link w:val="698"/>
    <w:uiPriority w:val="9"/>
    <w:qFormat/>
    <w:rPr>
      <w:rFonts w:ascii="Arial" w:hAnsi="Arial" w:eastAsia="Arial" w:cs="Arial"/>
      <w:sz w:val="30"/>
      <w:szCs w:val="30"/>
    </w:rPr>
  </w:style>
  <w:style w:type="character" w:styleId="735" w:customStyle="1">
    <w:name w:val="Heading 4 Char"/>
    <w:link w:val="699"/>
    <w:uiPriority w:val="9"/>
    <w:qFormat/>
    <w:rPr>
      <w:rFonts w:ascii="Arial" w:hAnsi="Arial" w:eastAsia="Arial" w:cs="Arial"/>
      <w:b/>
      <w:bCs/>
      <w:sz w:val="26"/>
      <w:szCs w:val="26"/>
    </w:rPr>
  </w:style>
  <w:style w:type="character" w:styleId="736" w:customStyle="1">
    <w:name w:val="Heading 5 Char"/>
    <w:link w:val="700"/>
    <w:uiPriority w:val="9"/>
    <w:qFormat/>
    <w:rPr>
      <w:rFonts w:ascii="Arial" w:hAnsi="Arial" w:eastAsia="Arial" w:cs="Arial"/>
      <w:b/>
      <w:bCs/>
      <w:sz w:val="24"/>
      <w:szCs w:val="24"/>
    </w:rPr>
  </w:style>
  <w:style w:type="character" w:styleId="737" w:customStyle="1">
    <w:name w:val="Heading 6 Char"/>
    <w:link w:val="701"/>
    <w:uiPriority w:val="9"/>
    <w:qFormat/>
    <w:rPr>
      <w:rFonts w:ascii="Arial" w:hAnsi="Arial" w:eastAsia="Arial" w:cs="Arial"/>
      <w:b/>
      <w:bCs/>
      <w:sz w:val="22"/>
      <w:szCs w:val="22"/>
    </w:rPr>
  </w:style>
  <w:style w:type="character" w:styleId="738" w:customStyle="1">
    <w:name w:val="Heading 7 Char"/>
    <w:link w:val="702"/>
    <w:uiPriority w:val="9"/>
    <w:qFormat/>
    <w:rPr>
      <w:rFonts w:ascii="Arial" w:hAnsi="Arial" w:eastAsia="Arial" w:cs="Arial"/>
      <w:b/>
      <w:bCs/>
      <w:i/>
      <w:iCs/>
      <w:sz w:val="22"/>
      <w:szCs w:val="22"/>
    </w:rPr>
  </w:style>
  <w:style w:type="character" w:styleId="739" w:customStyle="1">
    <w:name w:val="Heading 8 Char"/>
    <w:link w:val="703"/>
    <w:uiPriority w:val="9"/>
    <w:qFormat/>
    <w:rPr>
      <w:rFonts w:ascii="Arial" w:hAnsi="Arial" w:eastAsia="Arial" w:cs="Arial"/>
      <w:i/>
      <w:iCs/>
      <w:sz w:val="22"/>
      <w:szCs w:val="22"/>
    </w:rPr>
  </w:style>
  <w:style w:type="character" w:styleId="740" w:customStyle="1">
    <w:name w:val="Heading 9 Char"/>
    <w:link w:val="704"/>
    <w:uiPriority w:val="9"/>
    <w:qFormat/>
    <w:rPr>
      <w:rFonts w:ascii="Arial" w:hAnsi="Arial" w:eastAsia="Arial" w:cs="Arial"/>
      <w:i/>
      <w:iCs/>
      <w:sz w:val="21"/>
      <w:szCs w:val="21"/>
    </w:rPr>
  </w:style>
  <w:style w:type="character" w:styleId="741" w:customStyle="1">
    <w:name w:val="Endnote Text Char"/>
    <w:link w:val="715"/>
    <w:uiPriority w:val="99"/>
    <w:qFormat/>
    <w:rPr>
      <w:sz w:val="20"/>
    </w:rPr>
  </w:style>
  <w:style w:type="character" w:styleId="742" w:customStyle="1">
    <w:name w:val="Caption Char"/>
    <w:link w:val="716"/>
    <w:uiPriority w:val="99"/>
    <w:qFormat/>
  </w:style>
  <w:style w:type="character" w:styleId="743" w:customStyle="1">
    <w:name w:val="Header Char"/>
    <w:link w:val="717"/>
    <w:uiPriority w:val="99"/>
    <w:qFormat/>
  </w:style>
  <w:style w:type="character" w:styleId="744" w:customStyle="1">
    <w:name w:val="Subtitle Char"/>
    <w:link w:val="720"/>
    <w:uiPriority w:val="11"/>
    <w:qFormat/>
    <w:rPr>
      <w:sz w:val="24"/>
      <w:szCs w:val="24"/>
    </w:rPr>
  </w:style>
  <w:style w:type="character" w:styleId="745" w:customStyle="1">
    <w:name w:val="Footnote Text Char"/>
    <w:link w:val="721"/>
    <w:uiPriority w:val="99"/>
    <w:qFormat/>
    <w:rPr>
      <w:sz w:val="18"/>
    </w:rPr>
  </w:style>
  <w:style w:type="character" w:styleId="746" w:customStyle="1">
    <w:name w:val="Title Char"/>
    <w:link w:val="727"/>
    <w:uiPriority w:val="10"/>
    <w:qFormat/>
    <w:rPr>
      <w:sz w:val="48"/>
      <w:szCs w:val="48"/>
    </w:rPr>
  </w:style>
  <w:style w:type="character" w:styleId="747" w:customStyle="1">
    <w:name w:val="Footer Char"/>
    <w:link w:val="716"/>
    <w:uiPriority w:val="99"/>
    <w:qFormat/>
  </w:style>
  <w:style w:type="character" w:styleId="748" w:customStyle="1">
    <w:name w:val="10_0"/>
    <w:uiPriority w:val="0"/>
    <w:qFormat/>
    <w:rPr>
      <w:rFonts w:ascii="Times New Roman" w:hAnsi="Times New Roman" w:cs="Times New Roman"/>
    </w:rPr>
  </w:style>
  <w:style w:type="paragraph" w:styleId="749" w:customStyle="1">
    <w:name w:val="样式1"/>
    <w:basedOn w:val="695"/>
    <w:uiPriority w:val="0"/>
    <w:qFormat/>
    <w:pPr>
      <w:numPr>
        <w:ilvl w:val="0"/>
        <w:numId w:val="1"/>
      </w:numPr>
    </w:pPr>
    <w:rPr>
      <w:rFonts w:ascii="宋体" w:hAnsi="宋体"/>
    </w:rPr>
  </w:style>
  <w:style w:type="paragraph" w:styleId="750" w:customStyle="1">
    <w:name w:val="正文首行缩进 21"/>
    <w:basedOn w:val="751"/>
    <w:next w:val="695"/>
    <w:uiPriority w:val="0"/>
    <w:qFormat/>
    <w:pPr>
      <w:ind w:firstLine="420"/>
      <w:spacing w:line="360" w:lineRule="auto"/>
    </w:pPr>
    <w:rPr>
      <w:rFonts w:ascii="宋体" w:hAnsi="宋体" w:eastAsia="宋体"/>
      <w:sz w:val="21"/>
      <w:szCs w:val="20"/>
    </w:rPr>
  </w:style>
  <w:style w:type="paragraph" w:styleId="751" w:customStyle="1">
    <w:name w:val="正文文本缩进1"/>
    <w:basedOn w:val="695"/>
    <w:next w:val="752"/>
    <w:link w:val="753"/>
    <w:uiPriority w:val="0"/>
    <w:qFormat/>
    <w:pPr>
      <w:ind w:firstLine="645"/>
    </w:pPr>
    <w:rPr>
      <w:rFonts w:ascii="楷体_GB2312" w:eastAsia="楷体_GB2312"/>
      <w:sz w:val="32"/>
      <w:szCs w:val="32"/>
    </w:rPr>
  </w:style>
  <w:style w:type="paragraph" w:styleId="752" w:customStyle="1">
    <w:name w:val="寄信人地址1"/>
    <w:basedOn w:val="695"/>
    <w:uiPriority w:val="0"/>
    <w:qFormat/>
    <w:rPr>
      <w:rFonts w:ascii="Arial" w:hAnsi="Arial"/>
    </w:rPr>
  </w:style>
  <w:style w:type="character" w:styleId="753" w:customStyle="1">
    <w:name w:val="正文文本缩进 字符"/>
    <w:link w:val="751"/>
    <w:uiPriority w:val="0"/>
    <w:qFormat/>
    <w:rPr>
      <w:rFonts w:ascii="楷体_GB2312" w:hAnsi="Times New Roman" w:eastAsia="楷体_GB2312" w:cs="Times New Roman"/>
      <w:sz w:val="32"/>
      <w:szCs w:val="32"/>
    </w:rPr>
  </w:style>
  <w:style w:type="paragraph" w:styleId="754"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755">
    <w:name w:val="List Paragraph"/>
    <w:basedOn w:val="695"/>
    <w:uiPriority w:val="34"/>
    <w:qFormat/>
    <w:pPr>
      <w:contextualSpacing/>
      <w:ind w:left="720"/>
    </w:p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paragraph" w:styleId="757">
    <w:name w:val="Quote"/>
    <w:basedOn w:val="695"/>
    <w:next w:val="695"/>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695"/>
    <w:next w:val="695"/>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table" w:styleId="761"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7"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03"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04"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05"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806"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07"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08"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09"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24"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25"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26"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27"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28"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29"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30"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45"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46"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47"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48"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49"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50"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51"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2"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3"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4"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5"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6"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7"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8"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9"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标题 11"/>
    <w:basedOn w:val="695"/>
    <w:next w:val="695"/>
    <w:link w:val="888"/>
    <w:uiPriority w:val="0"/>
    <w:qFormat/>
    <w:pPr>
      <w:jc w:val="center"/>
      <w:keepNext/>
      <w:outlineLvl w:val="0"/>
    </w:pPr>
    <w:rPr>
      <w:rFonts w:ascii="楷体_GB2312" w:eastAsia="楷体_GB2312"/>
      <w:sz w:val="28"/>
      <w:szCs w:val="28"/>
    </w:rPr>
  </w:style>
  <w:style w:type="character" w:styleId="888" w:customStyle="1">
    <w:name w:val="标题 1 字符"/>
    <w:link w:val="887"/>
    <w:uiPriority w:val="0"/>
    <w:qFormat/>
    <w:rPr>
      <w:rFonts w:ascii="楷体_GB2312" w:hAnsi="Times New Roman" w:eastAsia="楷体_GB2312" w:cs="Times New Roman"/>
      <w:sz w:val="28"/>
      <w:szCs w:val="28"/>
    </w:rPr>
  </w:style>
  <w:style w:type="paragraph" w:styleId="889" w:customStyle="1">
    <w:name w:val="标题 21"/>
    <w:basedOn w:val="695"/>
    <w:next w:val="695"/>
    <w:link w:val="890"/>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90" w:customStyle="1">
    <w:name w:val="标题 2 字符"/>
    <w:link w:val="889"/>
    <w:uiPriority w:val="0"/>
    <w:qFormat/>
    <w:rPr>
      <w:rFonts w:ascii="Arial" w:hAnsi="Arial" w:eastAsia="幼圆" w:cs="Arial"/>
      <w:b/>
      <w:bCs/>
      <w:sz w:val="44"/>
      <w:szCs w:val="44"/>
    </w:rPr>
  </w:style>
  <w:style w:type="paragraph" w:styleId="891" w:customStyle="1">
    <w:name w:val="标题 31"/>
    <w:basedOn w:val="695"/>
    <w:next w:val="892"/>
    <w:link w:val="893"/>
    <w:uiPriority w:val="0"/>
    <w:qFormat/>
    <w:pPr>
      <w:keepLines/>
      <w:keepNext/>
      <w:spacing w:before="260" w:after="260" w:line="416" w:lineRule="auto"/>
      <w:outlineLvl w:val="2"/>
    </w:pPr>
    <w:rPr>
      <w:b/>
      <w:bCs/>
      <w:sz w:val="32"/>
      <w:szCs w:val="32"/>
    </w:rPr>
  </w:style>
  <w:style w:type="paragraph" w:styleId="892" w:customStyle="1">
    <w:name w:val="正文缩进1"/>
    <w:basedOn w:val="695"/>
    <w:next w:val="695"/>
    <w:link w:val="894"/>
    <w:uiPriority w:val="0"/>
    <w:qFormat/>
    <w:pPr>
      <w:ind w:firstLine="420"/>
    </w:pPr>
  </w:style>
  <w:style w:type="character" w:styleId="893" w:customStyle="1">
    <w:name w:val="标题 3 字符"/>
    <w:link w:val="891"/>
    <w:uiPriority w:val="0"/>
    <w:qFormat/>
    <w:rPr>
      <w:rFonts w:ascii="Times New Roman" w:hAnsi="Times New Roman" w:eastAsia="宋体" w:cs="Times New Roman"/>
      <w:b/>
      <w:bCs/>
      <w:sz w:val="32"/>
      <w:szCs w:val="32"/>
    </w:rPr>
  </w:style>
  <w:style w:type="character" w:styleId="894" w:customStyle="1">
    <w:name w:val="正文缩进 字符"/>
    <w:link w:val="892"/>
    <w:uiPriority w:val="0"/>
    <w:qFormat/>
    <w:rPr>
      <w:rFonts w:ascii="Times New Roman" w:hAnsi="Times New Roman" w:eastAsia="宋体" w:cs="Times New Roman"/>
      <w:szCs w:val="21"/>
    </w:rPr>
  </w:style>
  <w:style w:type="paragraph" w:styleId="895" w:customStyle="1">
    <w:name w:val="标题 41"/>
    <w:basedOn w:val="695"/>
    <w:next w:val="892"/>
    <w:link w:val="896"/>
    <w:uiPriority w:val="0"/>
    <w:qFormat/>
    <w:pPr>
      <w:keepLines/>
      <w:keepNext/>
      <w:spacing w:before="280" w:after="290" w:line="376" w:lineRule="auto"/>
      <w:outlineLvl w:val="3"/>
    </w:pPr>
    <w:rPr>
      <w:rFonts w:ascii="Arial" w:hAnsi="Arial" w:eastAsia="黑体" w:cs="Arial"/>
      <w:b/>
      <w:bCs/>
      <w:sz w:val="28"/>
      <w:szCs w:val="28"/>
    </w:rPr>
  </w:style>
  <w:style w:type="character" w:styleId="896" w:customStyle="1">
    <w:name w:val="标题 4 字符"/>
    <w:link w:val="895"/>
    <w:uiPriority w:val="0"/>
    <w:qFormat/>
    <w:rPr>
      <w:rFonts w:ascii="Arial" w:hAnsi="Arial" w:eastAsia="黑体" w:cs="Arial"/>
      <w:b/>
      <w:bCs/>
      <w:sz w:val="28"/>
      <w:szCs w:val="28"/>
    </w:rPr>
  </w:style>
  <w:style w:type="paragraph" w:styleId="897" w:customStyle="1">
    <w:name w:val="标题 51"/>
    <w:basedOn w:val="695"/>
    <w:next w:val="892"/>
    <w:link w:val="898"/>
    <w:uiPriority w:val="0"/>
    <w:qFormat/>
    <w:pPr>
      <w:keepNext/>
      <w:outlineLvl w:val="4"/>
    </w:pPr>
    <w:rPr>
      <w:rFonts w:ascii="宋体"/>
      <w:color w:val="000000"/>
      <w:sz w:val="28"/>
      <w:szCs w:val="28"/>
    </w:rPr>
  </w:style>
  <w:style w:type="character" w:styleId="898" w:customStyle="1">
    <w:name w:val="标题 5 字符"/>
    <w:link w:val="897"/>
    <w:uiPriority w:val="0"/>
    <w:qFormat/>
    <w:rPr>
      <w:rFonts w:ascii="宋体" w:hAnsi="Times New Roman" w:eastAsia="宋体" w:cs="Times New Roman"/>
      <w:color w:val="000000"/>
      <w:sz w:val="28"/>
      <w:szCs w:val="28"/>
    </w:rPr>
  </w:style>
  <w:style w:type="paragraph" w:styleId="899" w:customStyle="1">
    <w:name w:val="标题 61"/>
    <w:basedOn w:val="695"/>
    <w:next w:val="695"/>
    <w:link w:val="900"/>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00" w:customStyle="1">
    <w:name w:val="标题 6 字符"/>
    <w:link w:val="899"/>
    <w:uiPriority w:val="0"/>
    <w:qFormat/>
    <w:rPr>
      <w:rFonts w:ascii="Arial" w:hAnsi="Arial" w:eastAsia="黑体" w:cs="Times New Roman"/>
      <w:b/>
      <w:bCs/>
      <w:sz w:val="24"/>
      <w:szCs w:val="24"/>
    </w:rPr>
  </w:style>
  <w:style w:type="paragraph" w:styleId="901" w:customStyle="1">
    <w:name w:val="标题 71"/>
    <w:basedOn w:val="695"/>
    <w:next w:val="695"/>
    <w:link w:val="902"/>
    <w:uiPriority w:val="0"/>
    <w:qFormat/>
    <w:pPr>
      <w:numPr>
        <w:ilvl w:val="6"/>
        <w:numId w:val="2"/>
      </w:numPr>
      <w:keepLines/>
      <w:keepNext/>
      <w:spacing w:before="240" w:after="64" w:line="320" w:lineRule="auto"/>
      <w:outlineLvl w:val="6"/>
    </w:pPr>
    <w:rPr>
      <w:b/>
      <w:bCs/>
      <w:sz w:val="24"/>
      <w:szCs w:val="24"/>
    </w:rPr>
  </w:style>
  <w:style w:type="character" w:styleId="902" w:customStyle="1">
    <w:name w:val="标题 7 字符"/>
    <w:link w:val="901"/>
    <w:uiPriority w:val="0"/>
    <w:qFormat/>
    <w:rPr>
      <w:rFonts w:ascii="Times New Roman" w:hAnsi="Times New Roman" w:eastAsia="宋体" w:cs="Times New Roman"/>
      <w:b/>
      <w:bCs/>
      <w:sz w:val="24"/>
      <w:szCs w:val="24"/>
    </w:rPr>
  </w:style>
  <w:style w:type="paragraph" w:styleId="903" w:customStyle="1">
    <w:name w:val="标题 81"/>
    <w:basedOn w:val="695"/>
    <w:next w:val="695"/>
    <w:link w:val="904"/>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04" w:customStyle="1">
    <w:name w:val="标题 8 字符"/>
    <w:link w:val="903"/>
    <w:uiPriority w:val="0"/>
    <w:qFormat/>
    <w:rPr>
      <w:rFonts w:ascii="Arial" w:hAnsi="Arial" w:eastAsia="黑体" w:cs="Times New Roman"/>
      <w:sz w:val="24"/>
      <w:szCs w:val="24"/>
    </w:rPr>
  </w:style>
  <w:style w:type="paragraph" w:styleId="905" w:customStyle="1">
    <w:name w:val="标题 91"/>
    <w:basedOn w:val="695"/>
    <w:next w:val="695"/>
    <w:link w:val="906"/>
    <w:uiPriority w:val="0"/>
    <w:qFormat/>
    <w:pPr>
      <w:numPr>
        <w:ilvl w:val="8"/>
        <w:numId w:val="2"/>
      </w:numPr>
      <w:keepLines/>
      <w:keepNext/>
      <w:spacing w:before="240" w:after="64" w:line="320" w:lineRule="auto"/>
      <w:outlineLvl w:val="8"/>
    </w:pPr>
    <w:rPr>
      <w:rFonts w:ascii="Arial" w:hAnsi="Arial" w:eastAsia="黑体"/>
    </w:rPr>
  </w:style>
  <w:style w:type="character" w:styleId="906" w:customStyle="1">
    <w:name w:val="标题 9 字符"/>
    <w:link w:val="905"/>
    <w:uiPriority w:val="0"/>
    <w:qFormat/>
    <w:rPr>
      <w:rFonts w:ascii="Arial" w:hAnsi="Arial" w:eastAsia="黑体" w:cs="Times New Roman"/>
      <w:szCs w:val="21"/>
    </w:rPr>
  </w:style>
  <w:style w:type="character" w:styleId="907" w:customStyle="1">
    <w:name w:val="默认段落字体1"/>
    <w:uiPriority w:val="1"/>
    <w:unhideWhenUsed/>
    <w:qFormat/>
  </w:style>
  <w:style w:type="table" w:styleId="908" w:customStyle="1">
    <w:name w:val="普通表格1"/>
    <w:uiPriority w:val="99"/>
    <w:unhideWhenUsed/>
    <w:qFormat/>
    <w:tblPr/>
  </w:style>
  <w:style w:type="paragraph" w:styleId="909" w:customStyle="1">
    <w:name w:val="列表 31"/>
    <w:basedOn w:val="695"/>
    <w:uiPriority w:val="0"/>
    <w:qFormat/>
    <w:pPr>
      <w:ind w:left="100" w:hanging="200"/>
    </w:pPr>
  </w:style>
  <w:style w:type="paragraph" w:styleId="910" w:customStyle="1">
    <w:name w:val="文档结构图1"/>
    <w:basedOn w:val="695"/>
    <w:link w:val="911"/>
    <w:uiPriority w:val="0"/>
    <w:semiHidden/>
    <w:qFormat/>
    <w:pPr>
      <w:shd w:val="clear" w:color="auto" w:fill="000080"/>
    </w:pPr>
  </w:style>
  <w:style w:type="character" w:styleId="911" w:customStyle="1">
    <w:name w:val="文档结构图 字符"/>
    <w:link w:val="910"/>
    <w:uiPriority w:val="0"/>
    <w:semiHidden/>
    <w:qFormat/>
    <w:rPr>
      <w:rFonts w:ascii="Times New Roman" w:hAnsi="Times New Roman" w:eastAsia="宋体" w:cs="Times New Roman"/>
      <w:szCs w:val="21"/>
      <w:shd w:val="clear" w:color="auto" w:fill="000080"/>
    </w:rPr>
  </w:style>
  <w:style w:type="paragraph" w:styleId="912" w:customStyle="1">
    <w:name w:val="批注文字1"/>
    <w:basedOn w:val="695"/>
    <w:link w:val="913"/>
    <w:uiPriority w:val="0"/>
    <w:semiHidden/>
    <w:qFormat/>
    <w:pPr>
      <w:jc w:val="left"/>
    </w:pPr>
  </w:style>
  <w:style w:type="character" w:styleId="913" w:customStyle="1">
    <w:name w:val="批注文字 字符"/>
    <w:link w:val="912"/>
    <w:uiPriority w:val="0"/>
    <w:semiHidden/>
    <w:qFormat/>
    <w:rPr>
      <w:rFonts w:ascii="Times New Roman" w:hAnsi="Times New Roman" w:eastAsia="宋体" w:cs="Times New Roman"/>
      <w:szCs w:val="21"/>
    </w:rPr>
  </w:style>
  <w:style w:type="paragraph" w:styleId="914" w:customStyle="1">
    <w:name w:val="正文文本 31"/>
    <w:basedOn w:val="695"/>
    <w:link w:val="915"/>
    <w:uiPriority w:val="0"/>
    <w:qFormat/>
    <w:rPr>
      <w:rFonts w:ascii="仿宋_GB2312" w:hAnsi="Arial" w:eastAsia="仿宋_GB2312"/>
      <w:sz w:val="32"/>
      <w:szCs w:val="32"/>
    </w:rPr>
  </w:style>
  <w:style w:type="character" w:styleId="915" w:customStyle="1">
    <w:name w:val="正文文本 3 字符"/>
    <w:link w:val="914"/>
    <w:uiPriority w:val="0"/>
    <w:qFormat/>
    <w:rPr>
      <w:rFonts w:ascii="仿宋_GB2312" w:hAnsi="Arial" w:eastAsia="仿宋_GB2312" w:cs="Times New Roman"/>
      <w:sz w:val="32"/>
      <w:szCs w:val="32"/>
    </w:rPr>
  </w:style>
  <w:style w:type="paragraph" w:styleId="916" w:customStyle="1">
    <w:name w:val="正文文本1"/>
    <w:basedOn w:val="695"/>
    <w:next w:val="695"/>
    <w:link w:val="917"/>
    <w:uiPriority w:val="0"/>
    <w:qFormat/>
    <w:rPr>
      <w:rFonts w:ascii="楷体_GB2312" w:hAnsi="Arial" w:eastAsia="楷体_GB2312"/>
      <w:sz w:val="28"/>
      <w:szCs w:val="28"/>
    </w:rPr>
  </w:style>
  <w:style w:type="character" w:styleId="917" w:customStyle="1">
    <w:name w:val="正文文本 字符"/>
    <w:link w:val="916"/>
    <w:uiPriority w:val="0"/>
    <w:qFormat/>
    <w:rPr>
      <w:rFonts w:ascii="楷体_GB2312" w:hAnsi="Arial" w:eastAsia="楷体_GB2312" w:cs="Times New Roman"/>
      <w:sz w:val="28"/>
      <w:szCs w:val="28"/>
    </w:rPr>
  </w:style>
  <w:style w:type="paragraph" w:styleId="918" w:customStyle="1">
    <w:name w:val="列表 21"/>
    <w:basedOn w:val="695"/>
    <w:uiPriority w:val="0"/>
    <w:qFormat/>
    <w:pPr>
      <w:ind w:left="100" w:hanging="200"/>
    </w:pPr>
  </w:style>
  <w:style w:type="paragraph" w:styleId="919" w:customStyle="1">
    <w:name w:val="纯文本1"/>
    <w:basedOn w:val="695"/>
    <w:link w:val="920"/>
    <w:uiPriority w:val="0"/>
    <w:qFormat/>
    <w:rPr>
      <w:rFonts w:ascii="宋体" w:hAnsi="Courier New" w:cs="Courier New"/>
    </w:rPr>
  </w:style>
  <w:style w:type="character" w:styleId="920" w:customStyle="1">
    <w:name w:val="纯文本 字符"/>
    <w:link w:val="919"/>
    <w:uiPriority w:val="0"/>
    <w:qFormat/>
    <w:rPr>
      <w:rFonts w:ascii="宋体" w:hAnsi="Courier New" w:eastAsia="宋体" w:cs="Courier New"/>
      <w:szCs w:val="21"/>
    </w:rPr>
  </w:style>
  <w:style w:type="paragraph" w:styleId="921" w:customStyle="1">
    <w:name w:val="日期1"/>
    <w:basedOn w:val="695"/>
    <w:next w:val="695"/>
    <w:link w:val="922"/>
    <w:uiPriority w:val="0"/>
    <w:qFormat/>
    <w:rPr>
      <w:sz w:val="24"/>
      <w:szCs w:val="24"/>
    </w:rPr>
  </w:style>
  <w:style w:type="character" w:styleId="922" w:customStyle="1">
    <w:name w:val="日期 字符"/>
    <w:link w:val="921"/>
    <w:uiPriority w:val="0"/>
    <w:qFormat/>
    <w:rPr>
      <w:rFonts w:ascii="Times New Roman" w:hAnsi="Times New Roman" w:eastAsia="宋体" w:cs="Times New Roman"/>
      <w:sz w:val="24"/>
      <w:szCs w:val="24"/>
    </w:rPr>
  </w:style>
  <w:style w:type="paragraph" w:styleId="923" w:customStyle="1">
    <w:name w:val="正文文本缩进 21"/>
    <w:basedOn w:val="695"/>
    <w:link w:val="924"/>
    <w:uiPriority w:val="0"/>
    <w:qFormat/>
    <w:pPr>
      <w:ind w:left="630" w:firstLine="645"/>
    </w:pPr>
    <w:rPr>
      <w:rFonts w:ascii="Arial" w:hAnsi="Arial" w:eastAsia="仿宋_GB2312" w:cs="Arial"/>
      <w:sz w:val="32"/>
      <w:szCs w:val="32"/>
    </w:rPr>
  </w:style>
  <w:style w:type="character" w:styleId="924" w:customStyle="1">
    <w:name w:val="正文文本缩进 2 字符"/>
    <w:link w:val="923"/>
    <w:uiPriority w:val="0"/>
    <w:qFormat/>
    <w:rPr>
      <w:rFonts w:ascii="Arial" w:hAnsi="Arial" w:eastAsia="仿宋_GB2312" w:cs="Arial"/>
      <w:sz w:val="32"/>
      <w:szCs w:val="32"/>
    </w:rPr>
  </w:style>
  <w:style w:type="paragraph" w:styleId="925" w:customStyle="1">
    <w:name w:val="批注框文本1"/>
    <w:basedOn w:val="695"/>
    <w:link w:val="926"/>
    <w:uiPriority w:val="0"/>
    <w:semiHidden/>
    <w:qFormat/>
    <w:rPr>
      <w:sz w:val="18"/>
      <w:szCs w:val="18"/>
    </w:rPr>
  </w:style>
  <w:style w:type="character" w:styleId="926" w:customStyle="1">
    <w:name w:val="批注框文本 字符"/>
    <w:link w:val="925"/>
    <w:uiPriority w:val="0"/>
    <w:semiHidden/>
    <w:qFormat/>
    <w:rPr>
      <w:rFonts w:ascii="Times New Roman" w:hAnsi="Times New Roman" w:eastAsia="宋体" w:cs="Times New Roman"/>
      <w:sz w:val="18"/>
      <w:szCs w:val="18"/>
    </w:rPr>
  </w:style>
  <w:style w:type="paragraph" w:styleId="927" w:customStyle="1">
    <w:name w:val="页脚1"/>
    <w:basedOn w:val="695"/>
    <w:link w:val="928"/>
    <w:uiPriority w:val="0"/>
    <w:qFormat/>
    <w:pPr>
      <w:jc w:val="left"/>
      <w:tabs>
        <w:tab w:val="center" w:pos="4153" w:leader="none"/>
        <w:tab w:val="right" w:pos="8306" w:leader="none"/>
      </w:tabs>
    </w:pPr>
    <w:rPr>
      <w:sz w:val="18"/>
      <w:szCs w:val="18"/>
    </w:rPr>
  </w:style>
  <w:style w:type="character" w:styleId="928" w:customStyle="1">
    <w:name w:val="页脚 字符"/>
    <w:link w:val="927"/>
    <w:uiPriority w:val="0"/>
    <w:qFormat/>
    <w:rPr>
      <w:rFonts w:ascii="Times New Roman" w:hAnsi="Times New Roman" w:eastAsia="宋体" w:cs="Times New Roman"/>
      <w:sz w:val="18"/>
      <w:szCs w:val="18"/>
    </w:rPr>
  </w:style>
  <w:style w:type="paragraph" w:styleId="929" w:customStyle="1">
    <w:name w:val="页眉1"/>
    <w:basedOn w:val="695"/>
    <w:link w:val="930"/>
    <w:uiPriority w:val="0"/>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字符"/>
    <w:link w:val="929"/>
    <w:uiPriority w:val="0"/>
    <w:qFormat/>
    <w:rPr>
      <w:rFonts w:ascii="Times New Roman" w:hAnsi="Times New Roman" w:eastAsia="宋体" w:cs="Times New Roman"/>
      <w:sz w:val="18"/>
      <w:szCs w:val="18"/>
    </w:rPr>
  </w:style>
  <w:style w:type="paragraph" w:styleId="931" w:customStyle="1">
    <w:name w:val="列表1"/>
    <w:basedOn w:val="695"/>
    <w:uiPriority w:val="0"/>
    <w:qFormat/>
    <w:pPr>
      <w:ind w:left="200" w:hanging="200"/>
    </w:pPr>
  </w:style>
  <w:style w:type="paragraph" w:styleId="932" w:customStyle="1">
    <w:name w:val="正文文本缩进 31"/>
    <w:basedOn w:val="695"/>
    <w:link w:val="933"/>
    <w:uiPriority w:val="0"/>
    <w:qFormat/>
    <w:pPr>
      <w:ind w:left="645" w:firstLine="645"/>
    </w:pPr>
    <w:rPr>
      <w:rFonts w:ascii="Arial" w:hAnsi="Arial" w:eastAsia="仿宋_GB2312" w:cs="Arial"/>
      <w:color w:val="ffff00"/>
      <w:sz w:val="32"/>
      <w:szCs w:val="32"/>
    </w:rPr>
  </w:style>
  <w:style w:type="character" w:styleId="933" w:customStyle="1">
    <w:name w:val="正文文本缩进 3 字符"/>
    <w:link w:val="932"/>
    <w:uiPriority w:val="0"/>
    <w:qFormat/>
    <w:rPr>
      <w:rFonts w:ascii="Arial" w:hAnsi="Arial" w:eastAsia="仿宋_GB2312" w:cs="Arial"/>
      <w:color w:val="ffff00"/>
      <w:sz w:val="32"/>
      <w:szCs w:val="32"/>
    </w:rPr>
  </w:style>
  <w:style w:type="paragraph" w:styleId="934" w:customStyle="1">
    <w:name w:val="图表目录1"/>
    <w:basedOn w:val="695"/>
    <w:next w:val="695"/>
    <w:uiPriority w:val="0"/>
    <w:semiHidden/>
    <w:qFormat/>
    <w:pPr>
      <w:ind w:left="840" w:hanging="420"/>
    </w:pPr>
  </w:style>
  <w:style w:type="paragraph" w:styleId="935" w:customStyle="1">
    <w:name w:val="正文文本 21"/>
    <w:basedOn w:val="695"/>
    <w:link w:val="936"/>
    <w:uiPriority w:val="0"/>
    <w:qFormat/>
    <w:pPr>
      <w:jc w:val="center"/>
      <w:widowControl/>
    </w:pPr>
    <w:rPr>
      <w:rFonts w:ascii="楷体_GB2312" w:eastAsia="楷体_GB2312"/>
      <w:sz w:val="28"/>
      <w:szCs w:val="28"/>
    </w:rPr>
  </w:style>
  <w:style w:type="character" w:styleId="936" w:customStyle="1">
    <w:name w:val="正文文本 2 字符"/>
    <w:link w:val="935"/>
    <w:uiPriority w:val="0"/>
    <w:qFormat/>
    <w:rPr>
      <w:rFonts w:ascii="楷体_GB2312" w:hAnsi="Times New Roman" w:eastAsia="楷体_GB2312" w:cs="Times New Roman"/>
      <w:sz w:val="28"/>
      <w:szCs w:val="28"/>
    </w:rPr>
  </w:style>
  <w:style w:type="paragraph" w:styleId="937" w:customStyle="1">
    <w:name w:val="普通(网站)1"/>
    <w:basedOn w:val="695"/>
    <w:uiPriority w:val="99"/>
    <w:qFormat/>
    <w:pPr>
      <w:jc w:val="left"/>
      <w:spacing w:before="100" w:beforeAutospacing="1" w:after="100" w:afterAutospacing="1"/>
      <w:widowControl/>
    </w:pPr>
    <w:rPr>
      <w:rFonts w:ascii="宋体" w:hAnsi="宋体" w:cs="宋体"/>
      <w:sz w:val="24"/>
      <w:szCs w:val="24"/>
    </w:rPr>
  </w:style>
  <w:style w:type="paragraph" w:styleId="938" w:customStyle="1">
    <w:name w:val="索引 11"/>
    <w:basedOn w:val="695"/>
    <w:next w:val="695"/>
    <w:uiPriority w:val="0"/>
    <w:semiHidden/>
    <w:qFormat/>
    <w:pPr>
      <w:spacing w:line="240" w:lineRule="atLeast"/>
    </w:pPr>
    <w:rPr>
      <w:b/>
      <w:bCs/>
    </w:rPr>
  </w:style>
  <w:style w:type="paragraph" w:styleId="939" w:customStyle="1">
    <w:name w:val="批注主题1"/>
    <w:basedOn w:val="912"/>
    <w:next w:val="912"/>
    <w:link w:val="940"/>
    <w:uiPriority w:val="0"/>
    <w:semiHidden/>
    <w:qFormat/>
    <w:rPr>
      <w:b/>
      <w:bCs/>
    </w:rPr>
  </w:style>
  <w:style w:type="character" w:styleId="940" w:customStyle="1">
    <w:name w:val="批注主题 字符"/>
    <w:link w:val="939"/>
    <w:uiPriority w:val="0"/>
    <w:semiHidden/>
    <w:qFormat/>
    <w:rPr>
      <w:rFonts w:ascii="Times New Roman" w:hAnsi="Times New Roman" w:eastAsia="宋体" w:cs="Times New Roman"/>
      <w:b/>
      <w:bCs/>
      <w:szCs w:val="21"/>
    </w:rPr>
  </w:style>
  <w:style w:type="paragraph" w:styleId="941" w:customStyle="1">
    <w:name w:val="正文文本首行缩进"/>
    <w:basedOn w:val="695"/>
    <w:link w:val="942"/>
    <w:uiPriority w:val="0"/>
    <w:qFormat/>
    <w:pPr>
      <w:ind w:firstLine="200"/>
      <w:spacing w:line="360" w:lineRule="auto"/>
    </w:pPr>
    <w:rPr>
      <w:rFonts w:ascii="仿宋_GB2312" w:eastAsia="仿宋_GB2312"/>
      <w:sz w:val="30"/>
      <w:szCs w:val="30"/>
    </w:rPr>
  </w:style>
  <w:style w:type="character" w:styleId="942" w:customStyle="1">
    <w:name w:val="正文文本首行缩进 字符"/>
    <w:link w:val="941"/>
    <w:uiPriority w:val="0"/>
    <w:qFormat/>
    <w:rPr>
      <w:rFonts w:ascii="仿宋_GB2312" w:hAnsi="Times New Roman" w:eastAsia="仿宋_GB2312" w:cs="Times New Roman"/>
      <w:sz w:val="30"/>
      <w:szCs w:val="30"/>
    </w:rPr>
  </w:style>
  <w:style w:type="paragraph" w:styleId="943" w:customStyle="1">
    <w:name w:val="正文文本首行缩进 2"/>
    <w:basedOn w:val="751"/>
    <w:link w:val="944"/>
    <w:uiPriority w:val="0"/>
    <w:qFormat/>
    <w:pPr>
      <w:ind w:firstLine="420"/>
      <w:spacing w:line="360" w:lineRule="auto"/>
    </w:pPr>
    <w:rPr>
      <w:rFonts w:ascii="宋体" w:hAnsi="宋体" w:eastAsia="宋体"/>
      <w:sz w:val="21"/>
      <w:szCs w:val="20"/>
    </w:rPr>
  </w:style>
  <w:style w:type="character" w:styleId="944" w:customStyle="1">
    <w:name w:val="正文文本首行缩进 2 字符"/>
    <w:link w:val="943"/>
    <w:uiPriority w:val="0"/>
    <w:qFormat/>
    <w:rPr>
      <w:rFonts w:ascii="宋体" w:hAnsi="宋体" w:eastAsia="宋体" w:cs="Times New Roman"/>
      <w:sz w:val="32"/>
      <w:szCs w:val="20"/>
    </w:rPr>
  </w:style>
  <w:style w:type="table" w:styleId="945" w:customStyle="1">
    <w:name w:val="网格型1"/>
    <w:basedOn w:val="908"/>
    <w:uiPriority w:val="0"/>
    <w:qFormat/>
    <w:pPr>
      <w:jc w:val="both"/>
      <w:widowControl w:val="off"/>
    </w:pPr>
    <w:rPr>
      <w:rFonts w:ascii="Times New Roman" w:hAnsi="Times New Roman" w:eastAsia="宋体" w:cs="Times New Roman"/>
      <w:sz w:val="20"/>
      <w:szCs w:val="20"/>
    </w:rPr>
    <w:tblPr/>
  </w:style>
  <w:style w:type="character" w:styleId="946" w:customStyle="1">
    <w:name w:val="要点1"/>
    <w:uiPriority w:val="0"/>
    <w:qFormat/>
    <w:rPr>
      <w:b/>
      <w:bCs/>
    </w:rPr>
  </w:style>
  <w:style w:type="character" w:styleId="947" w:customStyle="1">
    <w:name w:val="页码1"/>
    <w:uiPriority w:val="0"/>
    <w:qFormat/>
  </w:style>
  <w:style w:type="character" w:styleId="948" w:customStyle="1">
    <w:name w:val="访问过的超链接"/>
    <w:uiPriority w:val="0"/>
    <w:qFormat/>
    <w:rPr>
      <w:color w:val="800080"/>
      <w:u w:val="single"/>
    </w:rPr>
  </w:style>
  <w:style w:type="character" w:styleId="949" w:customStyle="1">
    <w:name w:val="超链接1"/>
    <w:uiPriority w:val="0"/>
    <w:qFormat/>
    <w:rPr>
      <w:color w:val="0000ff"/>
      <w:u w:val="single"/>
    </w:rPr>
  </w:style>
  <w:style w:type="character" w:styleId="950" w:customStyle="1">
    <w:name w:val="批注引用1"/>
    <w:uiPriority w:val="0"/>
    <w:semiHidden/>
    <w:qFormat/>
    <w:rPr>
      <w:sz w:val="21"/>
      <w:szCs w:val="21"/>
    </w:rPr>
  </w:style>
  <w:style w:type="paragraph" w:styleId="951" w:customStyle="1">
    <w:name w:val="正文空2字"/>
    <w:basedOn w:val="952"/>
    <w:uiPriority w:val="99"/>
    <w:qFormat/>
    <w:pPr>
      <w:ind w:firstLine="640"/>
      <w:spacing w:line="560" w:lineRule="exact"/>
      <w:widowControl w:val="off"/>
    </w:pPr>
    <w:rPr>
      <w:rFonts w:ascii="仿宋_GB2312" w:hAnsi="仿宋_GB2312" w:cs="仿宋_GB2312"/>
      <w:lang w:val="zh-TW"/>
    </w:rPr>
  </w:style>
  <w:style w:type="paragraph" w:styleId="952" w:customStyle="1">
    <w:name w:val="左对齐正文"/>
    <w:uiPriority w:val="99"/>
    <w:qFormat/>
    <w:rPr>
      <w:rFonts w:hint="default" w:ascii="Calibri" w:hAnsi="Calibri" w:eastAsia="仿宋_GB2312" w:cs="Calibri"/>
      <w:sz w:val="32"/>
      <w:szCs w:val="32"/>
      <w:lang w:val="en-US" w:eastAsia="zh-CN" w:bidi="ar-SA"/>
    </w:rPr>
  </w:style>
  <w:style w:type="paragraph" w:styleId="953" w:customStyle="1">
    <w:name w:val="索引 41"/>
    <w:basedOn w:val="695"/>
    <w:next w:val="695"/>
    <w:uiPriority w:val="0"/>
    <w:semiHidden/>
    <w:qFormat/>
    <w:pPr>
      <w:ind w:left="1260"/>
    </w:pPr>
    <w:rPr>
      <w:rFonts w:ascii="Calibri" w:hAnsi="Calibri" w:eastAsia="Calibri" w:cs="宋体"/>
      <w:sz w:val="20"/>
      <w:lang w:val="zh-CN"/>
    </w:rPr>
  </w:style>
  <w:style w:type="character" w:styleId="954" w:customStyle="1">
    <w:name w:val="font5 Char"/>
    <w:uiPriority w:val="0"/>
    <w:qFormat/>
    <w:rPr>
      <w:rFonts w:ascii="宋体" w:hAnsi="宋体" w:eastAsia="宋体"/>
      <w:sz w:val="28"/>
      <w:szCs w:val="28"/>
      <w:lang w:val="en-US" w:eastAsia="zh-CN" w:bidi="ar-SA"/>
    </w:rPr>
  </w:style>
  <w:style w:type="character" w:styleId="955" w:customStyle="1">
    <w:name w:val="二级目录 Char"/>
    <w:link w:val="956"/>
    <w:uiPriority w:val="0"/>
    <w:qFormat/>
    <w:rPr>
      <w:b/>
      <w:sz w:val="30"/>
      <w:szCs w:val="28"/>
    </w:rPr>
  </w:style>
  <w:style w:type="paragraph" w:styleId="956" w:customStyle="1">
    <w:name w:val="二级目录"/>
    <w:next w:val="695"/>
    <w:link w:val="95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7" w:customStyle="1">
    <w:name w:val="列出段落 Char"/>
    <w:link w:val="958"/>
    <w:uiPriority w:val="0"/>
    <w:qFormat/>
    <w:rPr>
      <w:rFonts w:ascii="Calibri" w:hAnsi="Calibri"/>
      <w:sz w:val="24"/>
      <w:szCs w:val="24"/>
      <w:lang w:eastAsia="en-US" w:bidi="en-US"/>
    </w:rPr>
  </w:style>
  <w:style w:type="paragraph" w:styleId="958" w:customStyle="1">
    <w:name w:val="列出段落1"/>
    <w:basedOn w:val="695"/>
    <w:link w:val="957"/>
    <w:uiPriority w:val="0"/>
    <w:qFormat/>
    <w:pPr>
      <w:contextualSpacing/>
      <w:ind w:left="720"/>
      <w:jc w:val="left"/>
      <w:widowControl/>
    </w:pPr>
    <w:rPr>
      <w:rFonts w:ascii="Calibri" w:hAnsi="Calibri" w:eastAsia="宋体" w:cs="Times New Roman"/>
      <w:sz w:val="24"/>
      <w:szCs w:val="24"/>
      <w:lang w:eastAsia="en-US" w:bidi="en-US"/>
    </w:rPr>
  </w:style>
  <w:style w:type="paragraph" w:styleId="959" w:customStyle="1">
    <w:name w:val="Body Text(ch)"/>
    <w:basedOn w:val="695"/>
    <w:next w:val="916"/>
    <w:uiPriority w:val="0"/>
    <w:qFormat/>
    <w:pPr>
      <w:spacing w:after="120"/>
    </w:pPr>
    <w:rPr>
      <w:rFonts w:ascii="宋体" w:hAnsi="Arial"/>
      <w:bCs/>
      <w:iCs/>
      <w:szCs w:val="24"/>
    </w:rPr>
  </w:style>
  <w:style w:type="paragraph" w:styleId="960" w:customStyle="1">
    <w:name w:val="xl27"/>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xl26"/>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customStyle="1">
    <w:name w:val="Char"/>
    <w:basedOn w:val="695"/>
    <w:uiPriority w:val="0"/>
    <w:qFormat/>
    <w:pPr>
      <w:ind w:firstLine="200"/>
      <w:tabs>
        <w:tab w:val="left" w:pos="360" w:leader="none"/>
      </w:tabs>
    </w:pPr>
    <w:rPr>
      <w:sz w:val="28"/>
      <w:szCs w:val="30"/>
    </w:rPr>
  </w:style>
  <w:style w:type="paragraph" w:styleId="963" w:customStyle="1">
    <w:name w:val=" Char"/>
    <w:basedOn w:val="910"/>
    <w:uiPriority w:val="0"/>
    <w:qFormat/>
    <w:rPr>
      <w:rFonts w:ascii="Tahoma" w:hAnsi="Tahoma"/>
      <w:sz w:val="24"/>
      <w:szCs w:val="24"/>
    </w:rPr>
  </w:style>
  <w:style w:type="paragraph" w:styleId="964" w:customStyle="1">
    <w:name w:val="普通正文"/>
    <w:basedOn w:val="695"/>
    <w:uiPriority w:val="0"/>
    <w:qFormat/>
    <w:pPr>
      <w:ind w:firstLine="480"/>
      <w:jc w:val="left"/>
      <w:spacing w:before="120" w:after="120" w:line="360" w:lineRule="auto"/>
    </w:pPr>
    <w:rPr>
      <w:rFonts w:ascii="Arial" w:hAnsi="Arial"/>
      <w:sz w:val="24"/>
      <w:szCs w:val="24"/>
    </w:rPr>
  </w:style>
  <w:style w:type="paragraph" w:styleId="965" w:customStyle="1">
    <w:name w:val="table_lines"/>
    <w:basedOn w:val="695"/>
    <w:uiPriority w:val="0"/>
    <w:qFormat/>
    <w:pPr>
      <w:jc w:val="left"/>
      <w:widowControl/>
    </w:pPr>
    <w:rPr>
      <w:sz w:val="20"/>
      <w:szCs w:val="20"/>
      <w:lang w:val="de-DE" w:eastAsia="de-DE"/>
    </w:rPr>
  </w:style>
  <w:style w:type="paragraph" w:styleId="96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67" w:customStyle="1">
    <w:name w:val="font7"/>
    <w:basedOn w:val="695"/>
    <w:uiPriority w:val="0"/>
    <w:qFormat/>
    <w:pPr>
      <w:jc w:val="left"/>
      <w:spacing w:before="100" w:beforeAutospacing="1" w:after="100" w:afterAutospacing="1"/>
      <w:widowControl/>
    </w:pPr>
    <w:rPr>
      <w:rFonts w:hint="eastAsia" w:ascii="宋体" w:hAnsi="宋体"/>
      <w:sz w:val="18"/>
      <w:szCs w:val="18"/>
    </w:rPr>
  </w:style>
  <w:style w:type="paragraph" w:styleId="968" w:customStyle="1">
    <w:name w:val=" Char Char Char Char"/>
    <w:basedOn w:val="910"/>
    <w:uiPriority w:val="0"/>
    <w:qFormat/>
    <w:pPr>
      <w:spacing w:line="360" w:lineRule="auto"/>
    </w:pPr>
    <w:rPr>
      <w:rFonts w:ascii="Tahoma" w:hAnsi="Tahoma"/>
      <w:sz w:val="24"/>
      <w:szCs w:val="24"/>
    </w:rPr>
  </w:style>
  <w:style w:type="paragraph" w:styleId="969" w:customStyle="1">
    <w:name w:val="列表段落"/>
    <w:basedOn w:val="695"/>
    <w:uiPriority w:val="99"/>
    <w:qFormat/>
    <w:pPr>
      <w:contextualSpacing/>
      <w:ind w:left="720"/>
      <w:jc w:val="left"/>
      <w:widowControl/>
    </w:pPr>
    <w:rPr>
      <w:rFonts w:ascii="Calibri" w:hAnsi="Calibri"/>
      <w:sz w:val="24"/>
      <w:szCs w:val="24"/>
      <w:lang w:eastAsia="en-US" w:bidi="en-US"/>
    </w:rPr>
  </w:style>
  <w:style w:type="paragraph" w:styleId="970" w:customStyle="1">
    <w:name w:val="4"/>
    <w:basedOn w:val="695"/>
    <w:next w:val="932"/>
    <w:uiPriority w:val="0"/>
    <w:qFormat/>
    <w:pPr>
      <w:ind w:firstLine="420"/>
      <w:spacing w:line="360" w:lineRule="auto"/>
    </w:pPr>
    <w:rPr>
      <w:color w:val="ff0000"/>
      <w:sz w:val="24"/>
      <w:szCs w:val="24"/>
    </w:rPr>
  </w:style>
  <w:style w:type="paragraph" w:styleId="971" w:customStyle="1">
    <w:name w:val="普通 (Web)"/>
    <w:basedOn w:val="695"/>
    <w:uiPriority w:val="0"/>
    <w:qFormat/>
    <w:pPr>
      <w:jc w:val="left"/>
      <w:spacing w:before="100" w:beforeAutospacing="1" w:after="100" w:afterAutospacing="1"/>
      <w:widowControl/>
    </w:pPr>
    <w:rPr>
      <w:rFonts w:ascii="宋体" w:hAnsi="宋体"/>
      <w:sz w:val="24"/>
      <w:szCs w:val="24"/>
    </w:rPr>
  </w:style>
  <w:style w:type="paragraph" w:styleId="972" w:customStyle="1">
    <w:name w:val=" Char Char Char Char Char Char Char Char Char Char"/>
    <w:basedOn w:val="695"/>
    <w:uiPriority w:val="0"/>
    <w:qFormat/>
    <w:pPr>
      <w:spacing w:line="360" w:lineRule="auto"/>
    </w:pPr>
    <w:rPr>
      <w:sz w:val="24"/>
      <w:szCs w:val="20"/>
    </w:rPr>
  </w:style>
  <w:style w:type="paragraph" w:styleId="973" w:customStyle="1">
    <w:name w:val="font6"/>
    <w:basedOn w:val="695"/>
    <w:uiPriority w:val="0"/>
    <w:qFormat/>
    <w:pPr>
      <w:jc w:val="left"/>
      <w:spacing w:before="100" w:beforeAutospacing="1" w:after="100" w:afterAutospacing="1"/>
      <w:widowControl/>
    </w:pPr>
    <w:rPr>
      <w:rFonts w:hint="eastAsia" w:ascii="宋体" w:hAnsi="宋体"/>
      <w:sz w:val="28"/>
      <w:szCs w:val="28"/>
      <w:u w:val="single"/>
    </w:rPr>
  </w:style>
  <w:style w:type="paragraph" w:styleId="974" w:customStyle="1">
    <w:name w:val="xl25"/>
    <w:basedOn w:val="69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695"/>
    <w:next w:val="69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customStyle="1">
    <w:name w:val="标题3"/>
    <w:basedOn w:val="695"/>
    <w:next w:val="695"/>
    <w:uiPriority w:val="0"/>
    <w:qFormat/>
    <w:pPr>
      <w:ind w:firstLine="624"/>
      <w:spacing w:line="590" w:lineRule="atLeast"/>
    </w:pPr>
    <w:rPr>
      <w:rFonts w:ascii="方正黑体_GBK" w:eastAsia="方正黑体_GBK"/>
      <w:sz w:val="32"/>
      <w:szCs w:val="32"/>
    </w:rPr>
  </w:style>
  <w:style w:type="paragraph" w:styleId="977" w:customStyle="1">
    <w:name w:val="xl24"/>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9"/>
    <w:basedOn w:val="69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customStyle="1">
    <w:name w:val="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980" w:customStyle="1">
    <w:name w:val="xl2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customStyle="1">
    <w:name w:val="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982" w:customStyle="1">
    <w:name w:val="xl30"/>
    <w:basedOn w:val="695"/>
    <w:uiPriority w:val="0"/>
    <w:qFormat/>
    <w:pPr>
      <w:jc w:val="center"/>
      <w:spacing w:before="100" w:beforeAutospacing="1" w:after="100" w:afterAutospacing="1"/>
      <w:widowControl/>
    </w:pPr>
    <w:rPr>
      <w:rFonts w:ascii="宋体" w:hAnsi="宋体"/>
      <w:b/>
      <w:bCs/>
      <w:sz w:val="36"/>
      <w:szCs w:val="36"/>
    </w:rPr>
  </w:style>
  <w:style w:type="paragraph" w:styleId="983" w:customStyle="1">
    <w:name w:val="Char Char Char Char"/>
    <w:basedOn w:val="910"/>
    <w:uiPriority w:val="0"/>
    <w:qFormat/>
    <w:pPr>
      <w:spacing w:line="360" w:lineRule="auto"/>
    </w:pPr>
    <w:rPr>
      <w:rFonts w:ascii="Tahoma" w:hAnsi="Tahoma"/>
      <w:sz w:val="24"/>
      <w:szCs w:val="24"/>
    </w:rPr>
  </w:style>
  <w:style w:type="paragraph" w:styleId="984" w:customStyle="1">
    <w:name w:val="table_1stline"/>
    <w:basedOn w:val="695"/>
    <w:uiPriority w:val="0"/>
    <w:qFormat/>
    <w:pPr>
      <w:jc w:val="left"/>
      <w:spacing w:before="120"/>
      <w:widowControl/>
    </w:pPr>
    <w:rPr>
      <w:bCs/>
      <w:sz w:val="20"/>
      <w:szCs w:val="20"/>
      <w:lang w:val="de-DE" w:eastAsia="de-DE"/>
    </w:rPr>
  </w:style>
  <w:style w:type="paragraph" w:styleId="985" w:customStyle="1">
    <w:name w:val="font5"/>
    <w:basedOn w:val="695"/>
    <w:uiPriority w:val="0"/>
    <w:qFormat/>
    <w:pPr>
      <w:jc w:val="left"/>
      <w:spacing w:before="100" w:beforeAutospacing="1" w:after="100" w:afterAutospacing="1"/>
      <w:widowControl/>
    </w:pPr>
    <w:rPr>
      <w:rFonts w:hint="eastAsia" w:ascii="宋体" w:hAnsi="宋体"/>
      <w:sz w:val="28"/>
      <w:szCs w:val="28"/>
    </w:rPr>
  </w:style>
  <w:style w:type="paragraph" w:styleId="986" w:customStyle="1">
    <w:name w:val="标题1"/>
    <w:basedOn w:val="695"/>
    <w:next w:val="69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9" w:customStyle="1">
    <w:name w:val="Table Normal"/>
    <w:uiPriority w:val="0"/>
    <w:qFormat/>
    <w:rPr>
      <w:lang w:val="en-US" w:eastAsia="zh-CN" w:bidi="ar-SA"/>
    </w:rPr>
    <w:tblPr/>
  </w:style>
  <w:style w:type="paragraph" w:styleId="99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Normal_6_0"/>
    <w:uiPriority w:val="0"/>
    <w:qFormat/>
    <w:rPr>
      <w:rFonts w:hint="default" w:ascii="黑体" w:hAnsi="黑体" w:eastAsia="黑体" w:cs="黑体"/>
      <w:b/>
      <w:sz w:val="32"/>
      <w:szCs w:val="24"/>
      <w:lang w:val="en-US" w:eastAsia="zh-CN" w:bidi="ar-SA"/>
    </w:rPr>
  </w:style>
  <w:style w:type="paragraph" w:styleId="99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3" w:customStyle="1">
    <w:name w:val="正文_2"/>
    <w:next w:val="994"/>
    <w:uiPriority w:val="0"/>
    <w:qFormat/>
    <w:pPr>
      <w:jc w:val="both"/>
      <w:widowControl w:val="off"/>
    </w:pPr>
    <w:rPr>
      <w:rFonts w:hint="default" w:ascii="Calibri" w:hAnsi="Calibri" w:eastAsia="宋体" w:cs="Times New Roman"/>
      <w:sz w:val="21"/>
      <w:szCs w:val="22"/>
      <w:lang w:val="en-US" w:eastAsia="zh-CN" w:bidi="ar-SA"/>
    </w:rPr>
  </w:style>
  <w:style w:type="paragraph" w:styleId="994" w:customStyle="1">
    <w:name w:val="正文文本_0"/>
    <w:basedOn w:val="995"/>
    <w:next w:val="993"/>
    <w:uiPriority w:val="0"/>
    <w:unhideWhenUsed/>
    <w:qFormat/>
    <w:pPr>
      <w:ind w:left="72" w:right="30"/>
      <w:jc w:val="center"/>
      <w:spacing w:after="60" w:line="360" w:lineRule="atLeast"/>
      <w:widowControl w:val="off"/>
    </w:pPr>
    <w:rPr>
      <w:rFonts w:ascii="Calibri" w:hAnsi="Calibri" w:eastAsia="宋体" w:cs="Times New Roman"/>
      <w:sz w:val="21"/>
      <w:szCs w:val="22"/>
      <w:lang w:val="en-US" w:eastAsia="zh-CN" w:bidi="ar-SA"/>
    </w:rPr>
  </w:style>
  <w:style w:type="paragraph" w:styleId="995" w:customStyle="1">
    <w:name w:val="正文_4_0"/>
    <w:uiPriority w:val="0"/>
    <w:qFormat/>
    <w:pPr>
      <w:jc w:val="both"/>
      <w:widowControl w:val="off"/>
    </w:pPr>
    <w:rPr>
      <w:rFonts w:hint="default" w:ascii="Arial" w:hAnsi="Arial" w:eastAsia="Arial" w:cs="Times New Roman"/>
      <w:sz w:val="21"/>
      <w:szCs w:val="22"/>
      <w:lang w:val="en-US" w:eastAsia="zh-CN" w:bidi="ar-SA"/>
    </w:rPr>
  </w:style>
  <w:style w:type="paragraph" w:styleId="996" w:customStyle="1">
    <w:name w:val="正文文本12"/>
    <w:basedOn w:val="695"/>
    <w:uiPriority w:val="1"/>
    <w:qFormat/>
    <w:pPr>
      <w:ind w:left="120"/>
    </w:pPr>
    <w:rPr>
      <w:rFonts w:ascii="宋体" w:hAnsi="宋体" w:eastAsia="宋体" w:cs="宋体"/>
      <w:sz w:val="21"/>
      <w:szCs w:val="21"/>
      <w:lang w:val="zh-CN" w:eastAsia="zh-CN" w:bidi="zh-CN"/>
    </w:rPr>
  </w:style>
  <w:style w:type="paragraph" w:styleId="997" w:customStyle="1">
    <w:name w:val="正文2"/>
    <w:basedOn w:val="695"/>
    <w:uiPriority w:val="0"/>
    <w:qFormat/>
    <w:pPr>
      <w:ind w:firstLine="510"/>
      <w:spacing w:before="156" w:line="360" w:lineRule="auto"/>
    </w:pPr>
    <w:rPr>
      <w:sz w:val="24"/>
      <w:szCs w:val="20"/>
    </w:rPr>
  </w:style>
  <w:style w:type="paragraph" w:styleId="998" w:customStyle="1">
    <w:name w:val="首行缩进"/>
    <w:basedOn w:val="695"/>
    <w:uiPriority w:val="0"/>
    <w:qFormat/>
    <w:pPr>
      <w:ind w:firstLine="480"/>
    </w:pPr>
    <w:rPr>
      <w:rFonts w:ascii="Times New Roman" w:hAnsi="Times New Roman" w:cs="Times New Roman"/>
      <w:lang w:val="zh-CN"/>
    </w:rPr>
  </w:style>
  <w:style w:type="paragraph" w:styleId="999" w:customStyle="1">
    <w:name w:val="Normal_18_0"/>
    <w:uiPriority w:val="0"/>
    <w:qFormat/>
    <w:rPr>
      <w:rFonts w:hint="default" w:ascii="黑体" w:hAnsi="黑体" w:eastAsia="黑体" w:cs="黑体"/>
      <w:b/>
      <w:sz w:val="32"/>
      <w:szCs w:val="24"/>
      <w:lang w:val="en-US" w:eastAsia="zh-CN" w:bidi="ar-SA"/>
    </w:rPr>
  </w:style>
  <w:style w:type="paragraph" w:styleId="1000" w:customStyle="1">
    <w:name w:val="正文_12_0_0_0_0"/>
    <w:basedOn w:val="695"/>
    <w:uiPriority w:val="0"/>
    <w:qFormat/>
    <w:rPr>
      <w:rFonts w:ascii="Times New Roman" w:hAnsi="Times New Roman"/>
      <w:szCs w:val="24"/>
    </w:rPr>
  </w:style>
  <w:style w:type="paragraph" w:styleId="100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Normal_20"/>
    <w:uiPriority w:val="0"/>
    <w:qFormat/>
    <w:rPr>
      <w:rFonts w:hint="default" w:ascii="黑体" w:hAnsi="黑体" w:eastAsia="黑体" w:cs="黑体"/>
      <w:b/>
      <w:sz w:val="32"/>
      <w:szCs w:val="24"/>
      <w:lang w:val="en-US" w:eastAsia="zh-CN" w:bidi="ar-SA"/>
    </w:rPr>
  </w:style>
  <w:style w:type="paragraph" w:styleId="100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06" w:customStyle="1">
    <w:name w:val="Normal_0"/>
    <w:uiPriority w:val="0"/>
    <w:qFormat/>
    <w:rPr>
      <w:rFonts w:hint="default" w:ascii="黑体" w:hAnsi="黑体" w:eastAsia="黑体" w:cs="Times New Roman"/>
      <w:b/>
      <w:sz w:val="32"/>
      <w:szCs w:val="24"/>
      <w:lang w:val="en-US" w:eastAsia="zh-CN" w:bidi="ar-SA"/>
    </w:rPr>
  </w:style>
  <w:style w:type="paragraph" w:styleId="1007" w:customStyle="1">
    <w:name w:val="部分1"/>
    <w:basedOn w:val="695"/>
    <w:uiPriority w:val="0"/>
    <w:qFormat/>
    <w:pPr>
      <w:jc w:val="center"/>
      <w:keepNext/>
      <w:pageBreakBefore/>
      <w:spacing w:line="360" w:lineRule="auto"/>
      <w:tabs>
        <w:tab w:val="left" w:pos="720" w:leader="none"/>
      </w:tabs>
      <w:outlineLvl w:val="0"/>
    </w:pPr>
    <w:rPr>
      <w:rFonts w:eastAsia="黑体"/>
      <w:b/>
      <w:sz w:val="36"/>
      <w:szCs w:val="20"/>
    </w:rPr>
  </w:style>
  <w:style w:type="paragraph" w:styleId="1008" w:customStyle="1">
    <w:name w:val="正文-公1"/>
    <w:next w:val="937"/>
    <w:uiPriority w:val="0"/>
    <w:qFormat/>
    <w:pPr>
      <w:ind w:firstLine="200"/>
      <w:jc w:val="both"/>
      <w:widowControl w:val="off"/>
    </w:pPr>
    <w:rPr>
      <w:rFonts w:hint="default" w:ascii="Calibri" w:hAnsi="Calibri" w:eastAsia="Arial" w:cs="黑体"/>
      <w:sz w:val="21"/>
      <w:szCs w:val="24"/>
      <w:lang w:val="en-US" w:eastAsia="zh-CN" w:bidi="ar-SA"/>
    </w:rPr>
  </w:style>
  <w:style w:type="paragraph" w:styleId="100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WPSOffice手动目录 1"/>
    <w:uiPriority w:val="0"/>
    <w:qFormat/>
    <w:rPr>
      <w:rFonts w:hint="default" w:ascii="Times New Roman" w:hAnsi="Times New Roman" w:eastAsia="宋体" w:cs="Times New Roman"/>
      <w:sz w:val="20"/>
      <w:szCs w:val="20"/>
    </w:rPr>
  </w:style>
  <w:style w:type="paragraph" w:styleId="1011" w:customStyle="1">
    <w:name w:val="正文_2_0_0"/>
    <w:next w:val="1012"/>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列表接续 2_0"/>
    <w:next w:val="1011"/>
    <w:uiPriority w:val="0"/>
    <w:qFormat/>
    <w:pPr>
      <w:ind w:left="840"/>
      <w:jc w:val="both"/>
      <w:spacing w:after="120"/>
      <w:widowControl w:val="off"/>
    </w:pPr>
    <w:rPr>
      <w:rFonts w:hint="default" w:ascii="Times New Roman" w:hAnsi="Times New Roman" w:eastAsia="宋体" w:cs="Times New Roman"/>
      <w:sz w:val="21"/>
      <w:szCs w:val="24"/>
      <w:lang w:val="en-US" w:eastAsia="zh-CN" w:bidi="ar-SA"/>
    </w:rPr>
  </w:style>
  <w:style w:type="paragraph" w:styleId="1013" w:customStyle="1">
    <w:name w:val="正文_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正文文本_0_0"/>
    <w:next w:val="1014"/>
    <w:uiPriority w:val="99"/>
    <w:unhideWhenUsed/>
    <w:qFormat/>
    <w:pPr>
      <w:jc w:val="both"/>
      <w:spacing w:after="120"/>
      <w:widowControl w:val="off"/>
    </w:pPr>
    <w:rPr>
      <w:rFonts w:hint="default" w:ascii="Calibri" w:hAnsi="Calibri" w:eastAsia="宋体" w:cs="Times New Roman"/>
      <w:sz w:val="20"/>
      <w:szCs w:val="24"/>
      <w:lang w:val="en-US" w:eastAsia="zh-CN" w:bidi="ar-SA"/>
    </w:rPr>
  </w:style>
  <w:style w:type="paragraph" w:styleId="1016" w:customStyle="1">
    <w:name w:val="正文_4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7" w:customStyle="1">
    <w:name w:val="正文_2_0_0_0_0_0"/>
    <w:next w:val="1018"/>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列表接续 2_0_0_0_0"/>
    <w:next w:val="1017"/>
    <w:uiPriority w:val="0"/>
    <w:qFormat/>
    <w:pPr>
      <w:ind w:left="840"/>
      <w:jc w:val="both"/>
      <w:spacing w:after="120"/>
      <w:widowControl w:val="off"/>
    </w:pPr>
    <w:rPr>
      <w:rFonts w:hint="default" w:ascii="Times New Roman" w:hAnsi="Times New Roman" w:eastAsia="宋体" w:cs="Times New Roman"/>
      <w:sz w:val="21"/>
      <w:szCs w:val="24"/>
      <w:lang w:val="en-US" w:eastAsia="zh-CN" w:bidi="ar-SA"/>
    </w:rPr>
  </w:style>
  <w:style w:type="paragraph" w:styleId="1019" w:customStyle="1">
    <w:name w:val="正文_14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正文缩进_1_0_0_0"/>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021" w:customStyle="1">
    <w:name w:val="正文_2_0_0_0_1"/>
    <w:next w:val="1022"/>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列表接续 2_0_0_1"/>
    <w:next w:val="1021"/>
    <w:uiPriority w:val="0"/>
    <w:qFormat/>
    <w:pPr>
      <w:ind w:left="840"/>
      <w:jc w:val="both"/>
      <w:spacing w:after="120"/>
      <w:widowControl w:val="off"/>
    </w:pPr>
    <w:rPr>
      <w:rFonts w:hint="default" w:ascii="Times New Roman" w:hAnsi="Times New Roman" w:eastAsia="宋体" w:cs="Times New Roman"/>
      <w:sz w:val="21"/>
      <w:szCs w:val="24"/>
      <w:lang w:val="en-US" w:eastAsia="zh-CN" w:bidi="ar-SA"/>
    </w:rPr>
  </w:style>
  <w:style w:type="paragraph" w:styleId="1023" w:customStyle="1">
    <w:name w:val="正文_14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普通正文_1_0"/>
    <w:uiPriority w:val="0"/>
    <w:qFormat/>
    <w:pPr>
      <w:ind w:firstLine="425"/>
      <w:jc w:val="left"/>
      <w:widowControl w:val="off"/>
    </w:pPr>
    <w:rPr>
      <w:rFonts w:hint="default" w:ascii="宋体" w:hAnsi="Calibri" w:eastAsia="宋体" w:cs="Times New Roman"/>
      <w:sz w:val="20"/>
      <w:szCs w:val="20"/>
      <w:lang w:val="en-US" w:eastAsia="zh-CN" w:bidi="ar-SA"/>
    </w:rPr>
  </w:style>
  <w:style w:type="paragraph" w:styleId="1025" w:customStyle="1">
    <w:name w:val="正文_16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_3_0"/>
    <w:next w:val="1027"/>
    <w:uiPriority w:val="0"/>
    <w:qFormat/>
    <w:pPr>
      <w:jc w:val="both"/>
      <w:widowControl w:val="off"/>
    </w:pPr>
    <w:rPr>
      <w:rFonts w:hint="default" w:ascii="Times New Roman" w:hAnsi="Times New Roman" w:eastAsia="宋体" w:cs="Times New Roman"/>
      <w:sz w:val="21"/>
      <w:lang w:val="en-US" w:eastAsia="zh-CN" w:bidi="ar-SA"/>
    </w:rPr>
  </w:style>
  <w:style w:type="paragraph" w:styleId="1027" w:customStyle="1">
    <w:name w:val="标题 2_1"/>
    <w:next w:val="1026"/>
    <w:uiPriority w:val="0"/>
    <w:qFormat/>
    <w:pPr>
      <w:jc w:val="both"/>
      <w:keepLines/>
      <w:keepNext/>
      <w:spacing w:before="260" w:after="260" w:line="413" w:lineRule="auto"/>
      <w:widowControl w:val="off"/>
      <w:outlineLvl w:val="1"/>
    </w:pPr>
    <w:rPr>
      <w:rFonts w:hint="default" w:ascii="Arial" w:hAnsi="Arial" w:eastAsia="黑体" w:cs="Times New Roman"/>
      <w:b/>
      <w:sz w:val="32"/>
      <w:lang w:val="en-US" w:eastAsia="zh-CN" w:bidi="ar-SA"/>
    </w:rPr>
  </w:style>
  <w:style w:type="paragraph" w:styleId="1028" w:customStyle="1">
    <w:name w:val="正文_5_0"/>
    <w:uiPriority w:val="0"/>
    <w:qFormat/>
    <w:pPr>
      <w:jc w:val="both"/>
      <w:widowControl w:val="off"/>
    </w:pPr>
    <w:rPr>
      <w:rFonts w:hint="default" w:ascii="Times New Roman" w:hAnsi="Times New Roman" w:eastAsia="宋体" w:cs="Times New Roman"/>
      <w:sz w:val="21"/>
      <w:lang w:val="en-US" w:eastAsia="zh-CN" w:bidi="ar-SA"/>
    </w:rPr>
  </w:style>
  <w:style w:type="paragraph" w:styleId="1029"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文本_0_1"/>
    <w:next w:val="1031"/>
    <w:uiPriority w:val="99"/>
    <w:unhideWhenUsed/>
    <w:qFormat/>
    <w:pPr>
      <w:jc w:val="both"/>
      <w:spacing w:after="120"/>
      <w:widowControl w:val="off"/>
    </w:pPr>
    <w:rPr>
      <w:rFonts w:hint="default" w:ascii="Calibri" w:hAnsi="Calibri" w:eastAsia="宋体" w:cs="Times New Roman"/>
      <w:sz w:val="20"/>
      <w:szCs w:val="24"/>
      <w:lang w:val="en-US" w:eastAsia="zh-CN" w:bidi="ar-SA"/>
    </w:rPr>
  </w:style>
  <w:style w:type="paragraph" w:styleId="1031" w:customStyle="1">
    <w:name w:val="正文_2_1"/>
    <w:next w:val="103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正文_4_1"/>
    <w:uiPriority w:val="0"/>
    <w:qFormat/>
    <w:pPr>
      <w:jc w:val="both"/>
      <w:widowControl w:val="off"/>
    </w:pPr>
    <w:rPr>
      <w:rFonts w:hint="default" w:ascii="Times New Roman" w:hAnsi="Times New Roman" w:eastAsia="宋体" w:cs="Times New Roman"/>
      <w:sz w:val="21"/>
      <w:lang w:val="en-US" w:eastAsia="zh-CN" w:bidi="ar-SA"/>
    </w:rPr>
  </w:style>
  <w:style w:type="paragraph" w:styleId="1033" w:customStyle="1">
    <w:name w:val="Normal_11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标题 2_2"/>
    <w:basedOn w:val="1014"/>
    <w:next w:val="1014"/>
    <w:uiPriority w:val="0"/>
    <w:qFormat/>
    <w:pPr>
      <w:keepLines/>
      <w:keepNext/>
      <w:spacing w:before="260" w:after="260" w:line="413" w:lineRule="auto"/>
      <w:outlineLvl w:val="1"/>
    </w:pPr>
    <w:rPr>
      <w:rFonts w:ascii="Arial" w:hAnsi="Arial" w:eastAsia="黑体"/>
      <w:b/>
      <w:sz w:val="32"/>
      <w:szCs w:val="20"/>
    </w:rPr>
  </w:style>
  <w:style w:type="numbering" w:styleId="11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何壹少</cp:lastModifiedBy>
  <cp:revision>509</cp:revision>
  <dcterms:created xsi:type="dcterms:W3CDTF">2024-07-16T01:02:00Z</dcterms:created>
  <dcterms:modified xsi:type="dcterms:W3CDTF">2026-09-16T09:18:20Z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B517388186E24E19AF77B4CCCF578939_13</vt:lpwstr>
  </property>
  <property fmtid="{D5CDD505-2E9C-101B-9397-08002B2CF9AE}" pid="4" name="KSOTemplateDocerSaveRecord">
    <vt:lpwstr>eyJoZGlkIjoiMmFiZmJkNGFmZjllOGUzNmRhZTUxNzQyNGFkOWVhNDAiLCJ1c2VySWQiOiI0MjU1NjQxODYifQ==</vt:lpwstr>
  </property>
</Properties>
</file>