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29"/>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9"/>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1600"/>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项目编号：</w:t>
      </w:r>
      <w:r>
        <w:rPr>
          <w:rFonts w:hint="eastAsia" w:ascii="宋体" w:hAnsi="宋体" w:eastAsia="宋体" w:cs="宋体"/>
          <w:color w:val="auto"/>
          <w:sz w:val="32"/>
          <w:szCs w:val="32"/>
          <w:highlight w:val="none"/>
          <w:lang w:eastAsia="zh-CN"/>
        </w:rPr>
        <w:t xml:space="preserve">JSZC-320500-SZZJ-G2026-0035</w:t>
      </w:r>
      <w:r/>
    </w:p>
    <w:p>
      <w:pPr>
        <w:ind w:firstLine="1600"/>
        <w:spacing w:line="360" w:lineRule="auto"/>
        <w:tabs>
          <w:tab w:val="left" w:pos="1744" w:leader="none"/>
        </w:tabs>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 购 人：</w:t>
      </w:r>
      <w:r>
        <w:rPr>
          <w:rFonts w:hint="eastAsia" w:ascii="宋体" w:hAnsi="宋体" w:eastAsia="宋体" w:cs="宋体"/>
          <w:bCs/>
          <w:color w:val="auto"/>
          <w:sz w:val="32"/>
          <w:szCs w:val="32"/>
          <w:highlight w:val="none"/>
          <w:lang w:eastAsia="zh-CN"/>
        </w:rPr>
        <w:t xml:space="preserve">苏州市公共资源交易中心</w:t>
      </w:r>
      <w:r/>
    </w:p>
    <w:p>
      <w:pPr>
        <w:ind w:firstLine="1600"/>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项目名称：</w:t>
      </w:r>
      <w:r>
        <w:rPr>
          <w:rFonts w:hint="eastAsia" w:ascii="宋体" w:hAnsi="宋体" w:eastAsia="宋体" w:cs="宋体"/>
          <w:bCs/>
          <w:color w:val="auto"/>
          <w:sz w:val="32"/>
          <w:szCs w:val="32"/>
          <w:highlight w:val="none"/>
          <w:lang w:eastAsia="zh-CN"/>
        </w:rPr>
        <w:t xml:space="preserve">农村产权交易建设项目</w:t>
      </w:r>
      <w:r/>
    </w:p>
    <w:p>
      <w:pPr>
        <w:ind w:firstLine="1600"/>
        <w:jc w:val="left"/>
        <w:spacing w:line="360" w:lineRule="auto"/>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项目类别：服务类</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9"/>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shd w:val="clear" w:color="auto"/>
        <w:rPr>
          <w:rFonts w:hint="eastAsia" w:ascii="宋体" w:hAnsi="宋体" w:eastAsia="宋体" w:cs="宋体"/>
          <w:color w:val="auto"/>
          <w:sz w:val="32"/>
          <w:highlight w:val="none"/>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auto"/>
          <w:sz w:val="32"/>
          <w:highlight w:val="none"/>
        </w:rPr>
        <w:t xml:space="preserve">二○二六年</w:t>
      </w:r>
      <w:r>
        <w:rPr>
          <w:rFonts w:hint="eastAsia" w:ascii="宋体" w:hAnsi="宋体" w:eastAsia="宋体" w:cs="宋体"/>
          <w:color w:val="auto"/>
          <w:sz w:val="32"/>
          <w:highlight w:val="none"/>
          <w:lang w:val="en-US" w:eastAsia="zh-CN"/>
        </w:rPr>
        <w:t xml:space="preserve">十</w:t>
      </w:r>
      <w:r>
        <w:rPr>
          <w:rFonts w:hint="eastAsia" w:ascii="宋体" w:hAnsi="宋体" w:eastAsia="宋体" w:cs="宋体"/>
          <w:color w:val="auto"/>
          <w:sz w:val="32"/>
          <w:highlight w:val="none"/>
        </w:rPr>
        <w:t xml:space="preserve">月</w:t>
      </w:r>
      <w:r/>
    </w:p>
    <w:p>
      <w:pPr>
        <w:pStyle w:val="921"/>
        <w:ind w:firstLine="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firstLine="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pStyle w:val="921"/>
        <w:ind w:firstLine="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投标邀请函........................................</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采购需求..........................................</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合同主要条款......................................</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评分方法和评分标准................................</w:t>
      </w:r>
      <w:r/>
    </w:p>
    <w:p>
      <w:pPr>
        <w:pStyle w:val="921"/>
        <w:ind w:firstLine="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widowControl/>
        <w:rPr>
          <w:rFonts w:ascii="宋体" w:hAnsi="宋体" w:eastAsia="宋体" w:cs="宋体"/>
          <w:color w:val="auto"/>
          <w:sz w:val="24"/>
          <w:szCs w:val="24"/>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color w:val="auto"/>
          <w:sz w:val="24"/>
          <w:szCs w:val="24"/>
          <w:highlight w:val="none"/>
        </w:rPr>
      </w:r>
      <w:r/>
    </w:p>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苏州市公共资源交易中心</w:t>
      </w:r>
      <w:r>
        <w:rPr>
          <w:rFonts w:hint="eastAsia" w:ascii="宋体" w:hAnsi="宋体" w:eastAsia="宋体" w:cs="宋体"/>
          <w:color w:val="auto"/>
          <w:sz w:val="24"/>
          <w:szCs w:val="24"/>
          <w:highlight w:val="none"/>
        </w:rPr>
        <w:t xml:space="preserve">的委托，就其所需的</w:t>
      </w:r>
      <w:r>
        <w:rPr>
          <w:rFonts w:hint="eastAsia" w:ascii="宋体" w:hAnsi="宋体" w:eastAsia="宋体" w:cs="宋体"/>
          <w:color w:val="auto"/>
          <w:sz w:val="24"/>
          <w:szCs w:val="24"/>
          <w:highlight w:val="none"/>
          <w:lang w:eastAsia="zh-CN"/>
        </w:rPr>
        <w:t xml:space="preserve">农村产权交易建设项目</w:t>
      </w:r>
      <w:r>
        <w:rPr>
          <w:rFonts w:hint="eastAsia" w:ascii="宋体" w:hAnsi="宋体" w:eastAsia="宋体" w:cs="宋体"/>
          <w:color w:val="auto"/>
          <w:sz w:val="24"/>
          <w:szCs w:val="24"/>
          <w:highlight w:val="none"/>
        </w:rPr>
        <w:t xml:space="preserve">进行公开招标，欢迎符合资格条件和具备履约能力的供应商单位前来参与。</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JSZC-320500-SZZJ-G2026-0035</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农村产权交易建设项目</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6271498.33</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lang w:val="en-US" w:eastAsia="zh-CN"/>
        </w:rPr>
        <w:t xml:space="preserve">6271498.33</w:t>
      </w:r>
      <w:r>
        <w:rPr>
          <w:rFonts w:hint="eastAsia" w:ascii="宋体" w:hAnsi="宋体" w:eastAsia="宋体" w:cs="宋体"/>
          <w:color w:val="auto"/>
          <w:sz w:val="24"/>
          <w:szCs w:val="24"/>
          <w:highlight w:val="none"/>
        </w:rPr>
        <w:t xml:space="preserve">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1、标的的名称：</w:t>
      </w:r>
      <w:r>
        <w:rPr>
          <w:rFonts w:hint="eastAsia" w:ascii="宋体" w:hAnsi="宋体" w:eastAsia="宋体" w:cs="宋体"/>
          <w:color w:val="auto"/>
          <w:sz w:val="24"/>
          <w:szCs w:val="24"/>
          <w:highlight w:val="none"/>
          <w:lang w:eastAsia="zh-CN"/>
        </w:rPr>
        <w:t xml:space="preserve">农村产权交易建设项目</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w:t>
      </w:r>
      <w:r>
        <w:rPr>
          <w:rFonts w:hint="eastAsia" w:ascii="宋体" w:hAnsi="宋体" w:eastAsia="宋体" w:cs="宋体"/>
          <w:color w:val="auto"/>
          <w:sz w:val="24"/>
          <w:szCs w:val="24"/>
          <w:highlight w:val="none"/>
        </w:rPr>
        <w:t xml:space="preserve">负责协助苏州市公共资源交易中心(以下简称“市交易中心”)加强全市农村产权交易市场建设；运营和维护农村产权线上交易系统；为交易系统提供硬件支持；协助市交易中心为全市农村产权流转交易提供项目受理、信息公告、报名登记、竞价组织、资金结算、合同签订等服务；设计、开发农村阳光招采、租赁指导价建议等创新业务支持系统；统计、分析农村产权交易数据，及时向监管部门提供交易数据等。</w:t>
      </w:r>
      <w:r>
        <w:rPr>
          <w:rFonts w:hint="eastAsia" w:ascii="宋体" w:hAnsi="宋体" w:eastAsia="宋体" w:cs="宋体"/>
          <w:bCs/>
          <w:color w:val="auto"/>
          <w:sz w:val="24"/>
          <w:szCs w:val="24"/>
          <w:highlight w:val="none"/>
        </w:rPr>
        <w:t xml:space="preserve">具体详见招标文件采购需求。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w:t>
      </w:r>
      <w:r>
        <w:rPr>
          <w:rFonts w:hint="eastAsia" w:ascii="宋体" w:hAnsi="宋体" w:eastAsia="宋体" w:cs="宋体"/>
          <w:color w:val="auto"/>
          <w:sz w:val="24"/>
          <w:szCs w:val="24"/>
          <w:highlight w:val="none"/>
          <w:lang w:val="en-US" w:eastAsia="zh-CN"/>
        </w:rPr>
        <w:t xml:space="preserve">一年。</w:t>
      </w:r>
      <w:bookmarkStart w:id="21" w:name="_GoBack"/>
      <w:r/>
      <w:bookmarkEnd w:id="21"/>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本项不接受联合体投标、不接受进口产品、不允许转包。</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1、合格供应商的一般条件：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根据《政府采购促进中小企业发展管理办法》的相关规定，本项目专门面向中小企业，所属行业为租赁和商务服务业，投标人应为中小微企业、监狱企业、残疾人福利性单位。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2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pStyle w:val="92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eastAsia="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rPr>
        <w:t xml:space="preserve">月20</w:t>
      </w:r>
      <w:r>
        <w:rPr>
          <w:rFonts w:hint="eastAsia" w:ascii="宋体" w:hAnsi="宋体" w:eastAsia="宋体" w:cs="宋体"/>
          <w:color w:val="auto"/>
          <w:sz w:val="24"/>
          <w:szCs w:val="24"/>
          <w:highlight w:val="none"/>
        </w:rPr>
        <w:t xml:space="preserve">日13点30分（北京时间）。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color w:val="auto"/>
          <w:sz w:val="24"/>
          <w:szCs w:val="24"/>
          <w:highlight w:val="none"/>
        </w:rPr>
        <w:fldChar w:fldCharType="begin"/>
      </w:r>
      <w:r>
        <w:rPr>
          <w:color w:val="auto"/>
          <w:sz w:val="24"/>
          <w:szCs w:val="24"/>
          <w:highlight w:val="none"/>
        </w:rPr>
        <w:instrText xml:space="preserve"> HYPERLINK "http://jszfcg.jsczt.cn/）“开标大厅”。" </w:instrText>
      </w:r>
      <w:r>
        <w:rPr>
          <w:color w:val="auto"/>
          <w:sz w:val="24"/>
          <w:szCs w:val="24"/>
          <w:highlight w:val="none"/>
        </w:rPr>
        <w:fldChar w:fldCharType="separate"/>
      </w:r>
      <w:r>
        <w:rPr>
          <w:rStyle w:val="971"/>
          <w:rFonts w:hint="eastAsia" w:ascii="宋体" w:hAnsi="宋体" w:eastAsia="宋体" w:cs="宋体"/>
          <w:color w:val="auto"/>
          <w:sz w:val="24"/>
          <w:szCs w:val="24"/>
          <w:highlight w:val="none"/>
        </w:rPr>
        <w:t xml:space="preserve">http：//jszfcg.jsczt.cn/）。</w:t>
      </w:r>
      <w:r>
        <w:rPr>
          <w:rStyle w:val="971"/>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3、方式：投标文件网上递交</w:t>
      </w:r>
      <w:bookmarkStart w:id="0" w:name="_Hlk90650305"/>
      <w:r/>
      <w:bookmarkEnd w:id="0"/>
      <w:r/>
      <w:bookmarkStart w:id="1" w:name="_Hlk90650417"/>
      <w:r>
        <w:rPr>
          <w:rFonts w:hint="eastAsia" w:ascii="宋体" w:hAnsi="宋体" w:eastAsia="宋体" w:cs="宋体"/>
          <w:color w:val="auto"/>
          <w:sz w:val="24"/>
          <w:szCs w:val="24"/>
          <w:highlight w:val="none"/>
        </w:rPr>
        <w:t xml:space="preserve"> ，不需要现场参加采购活动。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线上参加开标（开启）会方式：供应商登录“苏采云”系统，点击“开标大厅”，选择对应项目，点击进入不见面开标系统。 </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 </w:t>
      </w:r>
      <w:bookmarkEnd w:id="1"/>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3、如不同供应商使用同一台电脑制作的电子响应文件的，双方“文件制作机器码”一致的，则其投标文件将被认定为无效响应。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5、政府采购监督电话：0512-68616651。</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七、对本次招标提出询问，请按以下方式联系：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苏州市公共资源交易中心</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default" w:ascii="宋体" w:hAnsi="宋体" w:eastAsia="宋体" w:cs="宋体"/>
          <w:color w:val="auto"/>
          <w:sz w:val="24"/>
          <w:szCs w:val="24"/>
          <w:highlight w:val="none"/>
          <w:lang w:val="en-US" w:eastAsia="zh-CN"/>
        </w:rPr>
        <w:t xml:space="preserve">苏州市姑苏区平泷路251号城市生活广场西楼四楼</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联系方式：电话0512-</w:t>
      </w:r>
      <w:r>
        <w:rPr>
          <w:rFonts w:hint="default" w:ascii="宋体" w:hAnsi="宋体" w:eastAsia="宋体" w:cs="宋体"/>
          <w:color w:val="auto"/>
          <w:sz w:val="24"/>
          <w:szCs w:val="24"/>
          <w:highlight w:val="none"/>
          <w:lang w:val="en-US" w:eastAsia="zh-CN"/>
        </w:rPr>
        <w:t xml:space="preserve">69820855</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w:t>
      </w:r>
      <w:r>
        <w:rPr>
          <w:rFonts w:hint="default" w:ascii="宋体" w:hAnsi="宋体" w:eastAsia="宋体" w:cs="宋体"/>
          <w:color w:val="auto"/>
          <w:sz w:val="24"/>
          <w:szCs w:val="24"/>
          <w:highlight w:val="none"/>
          <w:lang w:val="en-US" w:eastAsia="zh-CN"/>
        </w:rPr>
        <w:t xml:space="preserve">胡治宇</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名称：苏州正杰招投标咨询服务有限公司。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联系方式：电话0512-62826523。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项目联系人：沈鹰、陈晓梦、徐杰、刘木兰。</w:t>
      </w:r>
      <w:r/>
    </w:p>
    <w:p>
      <w:pPr>
        <w:jc w:val="center"/>
        <w:spacing w:before="120" w:line="360" w:lineRule="auto"/>
        <w:rPr>
          <w:rFonts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rPr>
        <w:br w:type="page" w:clear="all"/>
      </w:r>
      <w:r/>
    </w:p>
    <w:p>
      <w:pPr>
        <w:jc w:val="center"/>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1、总则</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1.1.1详见第一章投标邀请函中“二、申请人的资格要求”。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Cs/>
          <w:color w:val="auto"/>
          <w:sz w:val="24"/>
          <w:szCs w:val="24"/>
          <w:highlight w:val="none"/>
        </w:rPr>
        <w:t xml:space="preserve">第一章投标邀请函规定接受联合体投标的，联合体除应符合上述资格要求外，还应遵守以下规定：</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（1）联合体各方应当向采购人提交联合体协议书，载明联合体各方承担的工作和义务，否则投标无效。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（2）本项目接受联合体投标，但一个联合体最多接受两个单位进行联合投标。</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（5）联合体各方应当共同与采购人签订采购合同，就采购合同约定的事项对采购人承担连带责任。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本项目不允许分包或转包。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2、招标文件的说明</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2.1招标文件的获取见第一章投标邀请函。</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供应商在收到招标文件后，若有问题需要询问，应于下载招标文件后，可通过投标邀请函中的联系方式及时提出，采购人或采购代理机构将予以解答。</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2.3招标文件的澄清或修改</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2.3.4招标文件的澄清、修改、补充等内容均以苏州市政府采购网上发布的内容为准。</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3.1投标保证金：无。</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3.2投标文件的组成</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3.2.3公开分项报价表（如有，格式见第三章）；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（2）具有良好的商业信誉和健全的财务会计制度的材料：包括但不限于法人提供2025年度经审计的财务报告或基本开户银行在本年度内出具的资信证明复印件；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3.2.4.2其他有关资格证明的文件（若有）。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3.2.5符合性审查投标文件：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3.2.5.7其他有关符合性证明的文件（若有）。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3.2.6综合评审投标文件（见第六章）；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3.2.6.1采购需求、评审方法及评审标准中所涉及到的其他材料、证明等；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3.2.6.2《关于符合本国产品标准的声明函》。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以上3.2.2-3.2.3项为供应商报价的依据，投标供应商必须提供并加盖电子公章，否则，投标文件将被认定为未实质性响应。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以上3.2.4.1-3.2.4.2项为资格审查提供的资料，是作为对供应商资格审查、质疑身份认定的依据，响应供应商必须提供并加盖电子公章，否则，投标文件将被认定为不符合资格审查要求。</w:t>
      </w:r>
      <w:r/>
    </w:p>
    <w:p>
      <w:pPr>
        <w:ind w:firstLine="482"/>
        <w:spacing w:line="360" w:lineRule="auto"/>
        <w:tabs>
          <w:tab w:val="left" w:pos="0" w:leader="none"/>
          <w:tab w:val="left" w:pos="600" w:leader="none"/>
        </w:tabs>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以上3.2.5.1-3.2.5.</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为符合性审查必须提供的资料，投标供应商必须提供并加盖电子公章，否则，投标将被认定为未实质性响应。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制作电子投标文件时需与投标文件制作软件目录一一对应，将相关资料上传至相应模块。</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供应商应保证上传的投标文件完整、清晰可辨认，若因上传资料过小或模糊不清等无法辨认的都视为该资料未提供。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2"/>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如不同供应商使用同一台电脑制作的电子</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文件的，双方“文件制作机器码”一致的，则其</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3.3投标报价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3.2.5一项投标内容只允许一个报价，任何有选择性投标报价的，其投标无效。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3.4电子投标文件的编制与提交</w:t>
      </w:r>
      <w:r/>
    </w:p>
    <w:p>
      <w:pPr>
        <w:ind w:left="5" w:firstLine="518"/>
        <w:spacing w:line="360" w:lineRule="auto"/>
        <w:tabs>
          <w:tab w:val="left" w:pos="851" w:leader="none"/>
        </w:tabs>
        <w:rPr>
          <w:rFonts w:ascii="宋体" w:hAnsi="宋体" w:eastAsia="宋体" w:cs="宋体"/>
          <w:color w:val="auto"/>
          <w:sz w:val="24"/>
          <w:szCs w:val="24"/>
          <w:highlight w:val="none"/>
        </w:rPr>
      </w:pPr>
      <w:r/>
      <w:bookmarkStart w:id="2" w:name="_Hlk154589874"/>
      <w:r>
        <w:rPr>
          <w:rFonts w:hint="eastAsia" w:ascii="宋体" w:hAnsi="宋体" w:eastAsia="宋体" w:cs="宋体"/>
          <w:color w:val="auto"/>
          <w:sz w:val="24"/>
          <w:szCs w:val="24"/>
          <w:highlight w:val="none"/>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3.4.3投标文件未按照招标文件要求加盖CA电子公章的，响应无效。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3.5.3供应商在苏采云系统规定的时间内未成功解密电子投标文件的，投标无效。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bookmarkEnd w:id="2"/>
      <w:r>
        <w:rPr>
          <w:rFonts w:hint="eastAsia" w:ascii="宋体" w:hAnsi="宋体" w:eastAsia="宋体" w:cs="宋体"/>
          <w:color w:val="auto"/>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 </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1007"/>
        <w:ind w:firstLine="480"/>
        <w:spacing w:line="360" w:lineRule="auto"/>
        <w:rPr>
          <w:rFonts w:cs="宋体"/>
          <w:color w:val="auto"/>
          <w:sz w:val="24"/>
          <w:szCs w:val="24"/>
          <w:highlight w:val="none"/>
        </w:rPr>
      </w:pPr>
      <w:r>
        <w:rPr>
          <w:rFonts w:hint="eastAsia" w:cs="宋体"/>
          <w:color w:val="auto"/>
          <w:sz w:val="24"/>
          <w:szCs w:val="24"/>
          <w:highlight w:val="none"/>
        </w:rPr>
        <w:t xml:space="preserve">3.6.1供应商在提交投标文件截止时间前，可以对所递交的投标文件进行补充、修改或者撤回，具体操作方法见《操作手册》。提交投标文件截止时间后供应商不得撤回投标文件。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4、开标和评标：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4.1开标</w:t>
      </w:r>
      <w:r/>
    </w:p>
    <w:p>
      <w:pPr>
        <w:pStyle w:val="99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4.2资格审查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4.2.2.1查询时间：投标文件提交截止时间。</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4.2.2.2查询渠道：通过“信用中国”及“中国政府采购网” 上的信用信息查询供应商的信用记录。 </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4.3评标委员会</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4.3.4评标委员会成员应当按照客观、公正、审慎的原则，根据招标文件规定的评审程序、评审方法和评审标准进行独立评审。</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w:t>
      </w: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4.4.2.5启动异常低价投标审查后，</w:t>
      </w:r>
      <w:bookmarkStart w:id="3" w:name="OLE_LINK1"/>
      <w:r/>
      <w:bookmarkStart w:id="4" w:name="OLE_LINK2"/>
      <w:r>
        <w:rPr>
          <w:rFonts w:hint="eastAsia" w:ascii="宋体" w:hAnsi="宋体" w:eastAsia="宋体" w:cs="宋体"/>
          <w:color w:val="auto"/>
          <w:sz w:val="24"/>
          <w:szCs w:val="24"/>
          <w:highlight w:val="none"/>
        </w:rPr>
        <w:t xml:space="preserve">评标委员会</w:t>
      </w:r>
      <w:bookmarkEnd w:id="3"/>
      <w:r/>
      <w:bookmarkEnd w:id="4"/>
      <w:r>
        <w:rPr>
          <w:rFonts w:hint="eastAsia" w:ascii="宋体" w:hAnsi="宋体" w:eastAsia="宋体" w:cs="宋体"/>
          <w:color w:val="auto"/>
          <w:sz w:val="24"/>
          <w:szCs w:val="24"/>
          <w:highlight w:val="none"/>
        </w:rPr>
        <w:t xml:space="preserve">应当要求相关供应商在评标现场合理的时间内对投标价格作出解释，提供项目具体成本测算等与报价合理性相关的书面说明及相关证明材料</w:t>
      </w:r>
      <w:bookmarkStart w:id="5" w:name="OLE_LINK10"/>
      <w:r/>
      <w:bookmarkStart w:id="6" w:name="OLE_LINK9"/>
      <w:r>
        <w:rPr>
          <w:rFonts w:hint="eastAsia" w:ascii="宋体" w:hAnsi="宋体" w:eastAsia="宋体" w:cs="宋体"/>
          <w:color w:val="auto"/>
          <w:sz w:val="24"/>
          <w:szCs w:val="24"/>
          <w:highlight w:val="none"/>
        </w:rPr>
        <w:t xml:space="preserve">，</w:t>
      </w:r>
      <w:bookmarkEnd w:id="5"/>
      <w:r/>
      <w:bookmarkEnd w:id="6"/>
      <w:r>
        <w:rPr>
          <w:rFonts w:hint="eastAsia" w:ascii="宋体" w:hAnsi="宋体" w:eastAsia="宋体" w:cs="宋体"/>
          <w:color w:val="auto"/>
          <w:sz w:val="24"/>
          <w:szCs w:val="24"/>
          <w:highlight w:val="none"/>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5.2废标后，采购人应当将废标理由通知所有投标人。</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6、中标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7" w:name="_Hlk132385599"/>
      <w:r/>
      <w:bookmarkStart w:id="8" w:name="_Hlk132385577"/>
      <w:r/>
      <w:bookmarkStart w:id="9" w:name="_Hlk132389804"/>
      <w:r>
        <w:rPr>
          <w:rFonts w:hint="eastAsia" w:ascii="宋体" w:hAnsi="宋体" w:eastAsia="宋体" w:cs="宋体"/>
          <w:color w:val="auto"/>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eastAsia="宋体" w:cs="宋体"/>
          <w:color w:val="auto"/>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07"/>
        <w:ind w:firstLine="480"/>
        <w:spacing w:line="360" w:lineRule="auto"/>
        <w:rPr>
          <w:rFonts w:cs="宋体"/>
          <w:color w:val="auto"/>
          <w:sz w:val="24"/>
          <w:szCs w:val="24"/>
          <w:highlight w:val="none"/>
        </w:rPr>
      </w:pPr>
      <w:r>
        <w:rPr>
          <w:rFonts w:hint="eastAsia" w:cs="宋体"/>
          <w:color w:val="auto"/>
          <w:sz w:val="24"/>
          <w:szCs w:val="24"/>
          <w:highlight w:val="none"/>
        </w:rPr>
        <w:t xml:space="preserve">见第五章合同文本履约保证金条款。</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8.1采购人应当自中标通知书发出之日起15日内（最迟30日内），按照招标文件及投标文件规定与中标单位签订书面合同。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b/>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向采购人、采购代理机构提出质疑，联系人、联系电话和通讯地址等信息以招标公告中</w:t>
      </w:r>
      <w:r>
        <w:rPr>
          <w:rFonts w:hint="eastAsia" w:ascii="宋体" w:hAnsi="宋体" w:eastAsia="宋体" w:cs="宋体"/>
          <w:color w:val="auto"/>
          <w:sz w:val="24"/>
          <w:szCs w:val="24"/>
          <w:highlight w:val="none"/>
        </w:rPr>
        <w:t xml:space="preserve">对本次招标提出询问，请按以下方式联系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sz w:val="24"/>
          <w:szCs w:val="24"/>
          <w:highlight w:val="none"/>
        </w:rPr>
        <w:fldChar w:fldCharType="begin"/>
      </w:r>
      <w:r>
        <w:rPr>
          <w:color w:val="auto"/>
          <w:sz w:val="24"/>
          <w:szCs w:val="24"/>
          <w:highlight w:val="none"/>
        </w:rPr>
        <w:instrText xml:space="preserve"> HYPERLINK "http://czju.suzhou.gov.cn/zfcg/html/content/20180305093615738.shtml" \t "http://czju.suzhou.gov.cn/zfcg/html/channel/_blank" \o "政府采购供应商质疑函范本" </w:instrText>
      </w:r>
      <w:r>
        <w:rPr>
          <w:color w:val="auto"/>
          <w:sz w:val="24"/>
          <w:szCs w:val="24"/>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hint="eastAsia" w:ascii="宋体" w:hAnsi="宋体" w:cs="宋体"/>
          <w:b/>
          <w:bCs/>
          <w:color w:val="auto"/>
          <w:sz w:val="24"/>
          <w:szCs w:val="24"/>
          <w:highlight w:val="none"/>
        </w:rPr>
      </w:pPr>
      <w:r>
        <w:rPr>
          <w:rFonts w:hint="eastAsia" w:ascii="宋体" w:hAnsi="宋体" w:eastAsia="宋体" w:cs="宋体"/>
          <w:b/>
          <w:color w:val="auto"/>
          <w:sz w:val="24"/>
          <w:szCs w:val="24"/>
          <w:highlight w:val="none"/>
        </w:rPr>
        <w:t xml:space="preserve">11、代理服务费：按照最新江苏省财政厅《关于进一步规范政府采购活动相关费用管理的通知》（苏财规〔2026〕1号），本项目政府采购代理费由采购单位支付。</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11.1本项目代理服务费（人民币）：</w:t>
      </w:r>
      <w:r>
        <w:rPr>
          <w:rFonts w:hint="eastAsia" w:ascii="宋体" w:hAnsi="宋体" w:eastAsia="宋体" w:cs="宋体"/>
          <w:bCs/>
          <w:color w:val="auto"/>
          <w:sz w:val="24"/>
          <w:szCs w:val="24"/>
          <w:highlight w:val="none"/>
          <w:lang w:val="en-US" w:eastAsia="zh-CN"/>
        </w:rPr>
        <w:t xml:space="preserve">2900</w:t>
      </w:r>
      <w:r>
        <w:rPr>
          <w:rFonts w:hint="eastAsia" w:ascii="宋体" w:hAnsi="宋体" w:eastAsia="宋体" w:cs="宋体"/>
          <w:bCs/>
          <w:color w:val="auto"/>
          <w:sz w:val="24"/>
          <w:szCs w:val="24"/>
          <w:highlight w:val="none"/>
        </w:rPr>
        <w:t xml:space="preserve">0.00元。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12、其他事项</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12.1未尽事宜按《中华人民共和国政府采购法》及其他有关法律法规文件的规定执行。</w:t>
      </w:r>
      <w:r/>
    </w:p>
    <w:p>
      <w:pPr>
        <w:pStyle w:val="921"/>
        <w:ind w:firstLine="502"/>
        <w:jc w:val="both"/>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12.2本项目专家评审费由采购单位承担。</w:t>
      </w:r>
      <w:r>
        <w:rPr>
          <w:rFonts w:hint="eastAsia" w:ascii="宋体" w:hAnsi="宋体" w:eastAsia="宋体" w:cs="宋体"/>
          <w:color w:val="auto"/>
          <w:sz w:val="24"/>
          <w:szCs w:val="24"/>
          <w:highlight w:val="none"/>
        </w:rPr>
        <w:br w:type="page" w:clear="all"/>
      </w:r>
      <w:r/>
    </w:p>
    <w:p>
      <w:pPr>
        <w:pStyle w:val="921"/>
        <w:ind w:firstLine="482"/>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第三章 投标文件格式</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1、投标函</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我们收到贵公司________号招标文件，经仔细阅读和研究，我们决定参加采购活动。</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完成该项目的全部内容，我们的投标报价包括完成所有采购内容以及本项目所需的劳务支出、保险、配套费用、税费及服务相关等所发生的全部费用以及企业利润、税金和政策性文件规定及合同包含的所有风险、责任等各项应有费用。</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3、我们同意按招标文件规定，本投标书的有效期限自提交投标文件的截止之日起___天。如果我们在开标后规定的投标有效期内撤回投标，我们愿承担由此造成的一切后果。</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7、我们承诺本项投标文件在开标后的全过程中保持有效。我们同意中标后若不履行投标文件的内容要求和各项承诺及义务的即被视为违约，我们愿承担由此造成的一切后果。</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8、如果我们中标，我们愿意在签订合同时按招标文件规定支付中标服务费。</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9、与本次招标有关的通讯地址：</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21"/>
        <w:ind w:right="420"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                       </w:t>
      </w:r>
      <w:r/>
    </w:p>
    <w:p>
      <w:pPr>
        <w:pStyle w:val="921"/>
        <w:ind w:right="420"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921"/>
        <w:ind w:right="420"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21"/>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（姓名）为我公司代理人，并以本公司的名义在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号（项目编号）采购项目的开标、评标和合同签订过程中所签署的一切文件和处理与这有关的一切事务，我公司均予以承认。</w:t>
      </w:r>
      <w:r/>
    </w:p>
    <w:p>
      <w:pPr>
        <w:pStyle w:val="921"/>
        <w:ind w:firstLine="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21"/>
        <w:ind w:firstLine="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代理人无转委托权。特此委托。</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921"/>
        <w:ind w:firstLine="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法定代表人：（签字或盖章）</w:t>
      </w:r>
      <w:r/>
    </w:p>
    <w:p>
      <w:pPr>
        <w:pStyle w:val="921"/>
        <w:ind w:firstLine="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代理人：（签字或盖章）</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21"/>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921"/>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56"/>
        <w:ind w:firstLine="480"/>
        <w:jc w:val="both"/>
        <w:spacing w:line="360" w:lineRule="auto"/>
        <w:rPr>
          <w:rFonts w:hint="default" w:cs="宋体"/>
          <w:color w:val="auto"/>
          <w:sz w:val="24"/>
          <w:szCs w:val="24"/>
          <w:highlight w:val="none"/>
        </w:rPr>
      </w:pPr>
      <w:r>
        <w:rPr>
          <w:rFonts w:hint="default"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firstLine="0"/>
        <w:jc w:val="center"/>
        <w:spacing w:line="360" w:lineRule="auto"/>
        <w:rPr>
          <w:rFonts w:ascii="宋体" w:hAnsi="宋体" w:eastAsia="宋体" w:cs="宋体"/>
          <w:color w:val="auto"/>
          <w:sz w:val="24"/>
          <w:szCs w:val="24"/>
          <w:highlight w:val="none"/>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、关于资格文件的声明函</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本公司愿就由贵公司组织实施的项目编号为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997"/>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11"/>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1011"/>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1011"/>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1011"/>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4、开标一览表</w:t>
      </w:r>
      <w:r/>
    </w:p>
    <w:tbl>
      <w:tblPr>
        <w:tblStyle w:val="92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3061" w:type="dxa"/>
            <w:vAlign w:val="center"/>
            <w:textDirection w:val="lrTb"/>
            <w:noWrap w:val="false"/>
          </w:tcPr>
          <w:p>
            <w:pPr>
              <w:pStyle w:val="9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项目名称</w:t>
            </w:r>
            <w:r/>
          </w:p>
        </w:tc>
        <w:tc>
          <w:tcPr>
            <w:tcW w:w="2293" w:type="dxa"/>
            <w:vAlign w:val="center"/>
            <w:textDirection w:val="lrTb"/>
            <w:noWrap w:val="false"/>
          </w:tcPr>
          <w:p>
            <w:pPr>
              <w:pStyle w:val="9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投标总价（元）</w:t>
            </w:r>
            <w:r/>
          </w:p>
        </w:tc>
        <w:tc>
          <w:tcPr>
            <w:tcW w:w="1801" w:type="dxa"/>
            <w:vAlign w:val="center"/>
            <w:textDirection w:val="lrTb"/>
            <w:noWrap w:val="false"/>
          </w:tcPr>
          <w:p>
            <w:pPr>
              <w:pStyle w:val="9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合同履行期限</w:t>
            </w:r>
            <w:r/>
          </w:p>
        </w:tc>
        <w:tc>
          <w:tcPr>
            <w:tcW w:w="1331" w:type="dxa"/>
            <w:vAlign w:val="center"/>
            <w:textDirection w:val="lrTb"/>
            <w:noWrap w:val="false"/>
          </w:tcPr>
          <w:p>
            <w:pPr>
              <w:pStyle w:val="9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6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93" w:type="dxa"/>
            <w:vAlign w:val="center"/>
            <w:textDirection w:val="lrTb"/>
            <w:noWrap w:val="false"/>
          </w:tcPr>
          <w:p>
            <w:pPr>
              <w:pStyle w:val="9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801" w:type="dxa"/>
            <w:vAlign w:val="center"/>
            <w:textDirection w:val="lrTb"/>
            <w:noWrap w:val="false"/>
          </w:tcPr>
          <w:p>
            <w:pPr>
              <w:pStyle w:val="9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331" w:type="dxa"/>
            <w:vAlign w:val="center"/>
            <w:textDirection w:val="lrTb"/>
            <w:noWrap w:val="false"/>
          </w:tcPr>
          <w:p>
            <w:pPr>
              <w:pStyle w:val="9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bl>
    <w:p>
      <w:pPr>
        <w:pStyle w:val="9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shd w:val="clear" w:color="auto"/>
        <w:rPr>
          <w:rFonts w:hint="eastAsia" w:ascii="宋体" w:hAnsi="宋体" w:eastAsia="宋体" w:cs="宋体"/>
          <w:color w:val="auto"/>
          <w:sz w:val="24"/>
          <w:szCs w:val="24"/>
          <w:highlight w:val="none"/>
        </w:rPr>
      </w:pPr>
      <w:r/>
      <w:bookmarkStart w:id="10" w:name="_Toc142194269"/>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w:t>
      </w:r>
      <w:bookmarkEnd w:id="10"/>
      <w:r>
        <w:rPr>
          <w:rFonts w:hint="eastAsia" w:ascii="宋体" w:hAnsi="宋体" w:eastAsia="宋体" w:cs="宋体"/>
          <w:b w:val="0"/>
          <w:bCs w:val="0"/>
          <w:color w:val="auto"/>
          <w:sz w:val="24"/>
          <w:szCs w:val="24"/>
          <w:highlight w:val="none"/>
          <w:lang w:val="en-US" w:eastAsia="zh-CN"/>
        </w:rPr>
        <w:t xml:space="preserve">公开</w:t>
      </w:r>
      <w:r>
        <w:rPr>
          <w:rFonts w:hint="eastAsia" w:ascii="宋体" w:hAnsi="宋体" w:eastAsia="宋体" w:cs="宋体"/>
          <w:b w:val="0"/>
          <w:bCs w:val="0"/>
          <w:color w:val="auto"/>
          <w:sz w:val="24"/>
          <w:szCs w:val="24"/>
          <w:highlight w:val="none"/>
        </w:rPr>
        <w:t xml:space="preserve">分项报价表</w:t>
      </w:r>
      <w:r/>
    </w:p>
    <w:tbl>
      <w:tblPr>
        <w:tblStyle w:val="920"/>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jc w:val="center"/>
          <w:trHeight w:val="567"/>
        </w:trPr>
        <w:tc>
          <w:tcPr>
            <w:tcW w:w="1093"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3091"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费用条目</w:t>
            </w:r>
            <w:r/>
          </w:p>
        </w:tc>
        <w:tc>
          <w:tcPr>
            <w:tcW w:w="906"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906"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906"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906"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总价</w:t>
            </w:r>
            <w:r/>
          </w:p>
        </w:tc>
        <w:tc>
          <w:tcPr>
            <w:tcW w:w="1846"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567"/>
        </w:trPr>
        <w:tc>
          <w:tcPr>
            <w:tcW w:w="1093" w:type="dxa"/>
            <w:vAlign w:val="center"/>
            <w:textDirection w:val="lrTb"/>
            <w:noWrap w:val="false"/>
          </w:tcPr>
          <w:p>
            <w:pPr>
              <w:pStyle w:val="921"/>
              <w:ind w:right="21" w:firstLine="0"/>
              <w:jc w:val="cente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309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093" w:type="dxa"/>
            <w:vAlign w:val="center"/>
            <w:textDirection w:val="lrTb"/>
            <w:noWrap w:val="false"/>
          </w:tcPr>
          <w:p>
            <w:pPr>
              <w:pStyle w:val="921"/>
              <w:ind w:right="21" w:firstLine="0"/>
              <w:jc w:val="cente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3091" w:type="dxa"/>
            <w:vAlign w:val="center"/>
            <w:textDirection w:val="lrTb"/>
            <w:noWrap w:val="false"/>
          </w:tcPr>
          <w:p>
            <w:pPr>
              <w:spacing w:line="360" w:lineRule="auto"/>
              <w:rPr>
                <w:rStyle w:val="96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093" w:type="dxa"/>
            <w:vAlign w:val="center"/>
            <w:textDirection w:val="lrTb"/>
            <w:noWrap w:val="false"/>
          </w:tcPr>
          <w:p>
            <w:pPr>
              <w:pStyle w:val="921"/>
              <w:ind w:right="21" w:firstLine="0"/>
              <w:jc w:val="cente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W w:w="3091" w:type="dxa"/>
            <w:vAlign w:val="center"/>
            <w:textDirection w:val="lrTb"/>
            <w:noWrap w:val="false"/>
          </w:tcPr>
          <w:p>
            <w:pPr>
              <w:spacing w:line="360" w:lineRule="auto"/>
              <w:rPr>
                <w:rStyle w:val="96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093" w:type="dxa"/>
            <w:vAlign w:val="center"/>
            <w:textDirection w:val="lrTb"/>
            <w:noWrap w:val="false"/>
          </w:tcPr>
          <w:p>
            <w:pPr>
              <w:pStyle w:val="921"/>
              <w:ind w:right="21" w:firstLine="0"/>
              <w:jc w:val="cente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3091" w:type="dxa"/>
            <w:vAlign w:val="center"/>
            <w:textDirection w:val="lrTb"/>
            <w:noWrap w:val="false"/>
          </w:tcPr>
          <w:p>
            <w:pPr>
              <w:spacing w:line="360" w:lineRule="auto"/>
              <w:rPr>
                <w:rStyle w:val="96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093" w:type="dxa"/>
            <w:vAlign w:val="center"/>
            <w:textDirection w:val="lrTb"/>
            <w:noWrap w:val="false"/>
          </w:tcPr>
          <w:p>
            <w:pPr>
              <w:pStyle w:val="921"/>
              <w:ind w:right="-94" w:firstLine="0"/>
              <w:jc w:val="both"/>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W w:w="3091" w:type="dxa"/>
            <w:vAlign w:val="center"/>
            <w:textDirection w:val="lrTb"/>
            <w:noWrap w:val="false"/>
          </w:tcPr>
          <w:p>
            <w:pPr>
              <w:pStyle w:val="921"/>
              <w:ind w:right="420" w:firstLine="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6"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2"/>
            <w:tcW w:w="4184"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合计金额</w:t>
            </w:r>
            <w:r/>
          </w:p>
        </w:tc>
        <w:tc>
          <w:tcPr>
            <w:gridSpan w:val="5"/>
            <w:tcW w:w="5470" w:type="dxa"/>
            <w:vAlign w:val="center"/>
            <w:textDirection w:val="lrTb"/>
            <w:noWrap w:val="false"/>
          </w:tcPr>
          <w:p>
            <w:pPr>
              <w:pStyle w:val="921"/>
              <w:ind w:righ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圆（¥（小写）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r>
    </w:tbl>
    <w:p>
      <w:pPr>
        <w:pStyle w:val="921"/>
        <w:ind w:left="0" w:right="420"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ind w:left="0" w:right="420"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921"/>
        <w:ind w:left="0" w:right="420"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各投标人应根据此表格式按项目分别填写报价详细清单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val="en-US" w:eastAsia="zh-CN"/>
        </w:rPr>
        <w:t xml:space="preserve">表格内容不够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可自行添加。</w:t>
      </w:r>
      <w:r/>
    </w:p>
    <w:p>
      <w:pPr>
        <w:pStyle w:val="921"/>
        <w:numPr>
          <w:ilvl w:val="0"/>
          <w:numId w:val="0"/>
        </w:numPr>
        <w:ind w:right="420"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投标人须对全部采购内容进行报价。如未按照本表规定提供或本表中合计金额与“开标一览表”投标总价不一致的按无效投标报价的投标文件处理。</w:t>
      </w:r>
      <w:r/>
    </w:p>
    <w:p>
      <w:pPr>
        <w:pStyle w:val="921"/>
        <w:ind w:left="0" w:right="420"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7"/>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997"/>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997"/>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pStyle w:val="921"/>
        <w:ind w:right="420" w:firstLine="482"/>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97"/>
        <w:ind w:firstLine="480"/>
        <w:spacing w:line="360" w:lineRule="auto"/>
        <w:rPr>
          <w:rFonts w:hAnsi="宋体" w:eastAsia="宋体" w:cs="宋体"/>
          <w:bCs/>
          <w:color w:val="auto"/>
          <w:sz w:val="24"/>
          <w:szCs w:val="24"/>
          <w:highlight w:val="none"/>
        </w:rPr>
      </w:pPr>
      <w:r>
        <w:rPr>
          <w:rFonts w:hint="eastAsia"/>
          <w:color w:val="auto"/>
          <w:sz w:val="24"/>
          <w:szCs w:val="24"/>
          <w:highlight w:val="none"/>
        </w:rPr>
        <w:t xml:space="preserve"> </w:t>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right="420" w:firstLine="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pStyle w:val="997"/>
        <w:spacing w:line="360" w:lineRule="auto"/>
        <w:rPr>
          <w:rFonts w:hAnsi="宋体" w:eastAsia="宋体" w:cs="宋体"/>
          <w:b/>
          <w:color w:val="auto"/>
          <w:sz w:val="24"/>
          <w:szCs w:val="24"/>
          <w:highlight w:val="none"/>
          <w:lang w:val="zh-CN"/>
        </w:rPr>
      </w:pPr>
      <w:r>
        <w:rPr>
          <w:rFonts w:hint="eastAsia" w:hAnsi="宋体" w:eastAsia="宋体" w:cs="宋体"/>
          <w:color w:val="auto"/>
          <w:sz w:val="24"/>
          <w:szCs w:val="24"/>
          <w:highlight w:val="none"/>
        </w:rPr>
        <w:t xml:space="preserve">6、中小企业声明函</w:t>
      </w:r>
      <w:r/>
    </w:p>
    <w:p>
      <w:pPr>
        <w:pStyle w:val="928"/>
        <w:ind w:right="130"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郑重声明，根据《政府采购促进中小企业发展管理办法》（财库﹝2020﹞46 号）的规定，本公司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万元（注），属于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附：中小企业划型标准规定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7、残疾人福利性单位声明函</w:t>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（单位公章）：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第四章 采购需求</w:t>
      </w:r>
      <w:r/>
    </w:p>
    <w:p>
      <w:pPr>
        <w:ind w:firstLine="480"/>
        <w:spacing w:line="360" w:lineRule="auto"/>
        <w:rPr>
          <w:rFonts w:ascii="宋体" w:hAnsi="宋体" w:eastAsia="宋体" w:cs="宋体"/>
          <w:color w:val="auto"/>
          <w:sz w:val="24"/>
          <w:szCs w:val="24"/>
          <w:highlight w:val="none"/>
        </w:rPr>
      </w:pPr>
      <w:r/>
      <w:bookmarkStart w:id="11" w:name="_Toc13642116"/>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苏州市公共资源交易中心</w:t>
      </w:r>
      <w:r>
        <w:rPr>
          <w:rFonts w:hint="eastAsia" w:ascii="宋体" w:hAnsi="宋体" w:eastAsia="宋体" w:cs="宋体"/>
          <w:color w:val="auto"/>
          <w:sz w:val="24"/>
          <w:szCs w:val="24"/>
          <w:highlight w:val="none"/>
        </w:rPr>
        <w:t xml:space="preserve">的委托，就其所需的</w:t>
      </w:r>
      <w:r>
        <w:rPr>
          <w:rFonts w:hint="eastAsia" w:ascii="宋体" w:hAnsi="宋体" w:eastAsia="宋体" w:cs="宋体"/>
          <w:color w:val="auto"/>
          <w:sz w:val="24"/>
          <w:szCs w:val="24"/>
          <w:highlight w:val="none"/>
          <w:lang w:eastAsia="zh-CN"/>
        </w:rPr>
        <w:t xml:space="preserve">农村产权交易建设</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的采购进行公开招标，欢迎有资格的供应商前来参加投标。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一、项目编号：</w:t>
      </w:r>
      <w:r>
        <w:rPr>
          <w:rFonts w:hint="eastAsia" w:ascii="宋体" w:hAnsi="宋体" w:eastAsia="宋体" w:cs="宋体"/>
          <w:color w:val="auto"/>
          <w:sz w:val="24"/>
          <w:szCs w:val="24"/>
          <w:highlight w:val="none"/>
          <w:lang w:eastAsia="zh-CN"/>
        </w:rPr>
        <w:t xml:space="preserve">JSZC-320500-SZZJ-G2026-0035</w:t>
      </w:r>
      <w:r>
        <w:rPr>
          <w:rFonts w:hint="eastAsia" w:ascii="宋体" w:hAnsi="宋体" w:eastAsia="宋体" w:cs="宋体"/>
          <w:color w:val="auto"/>
          <w:sz w:val="24"/>
          <w:szCs w:val="24"/>
          <w:highlight w:val="none"/>
        </w:rPr>
        <w:t xml:space="preserve">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End w:id="11"/>
      <w:r/>
      <w:bookmarkStart w:id="12" w:name="_Toc13543213"/>
      <w:r>
        <w:rPr>
          <w:rFonts w:hint="eastAsia" w:ascii="宋体" w:hAnsi="宋体" w:eastAsia="宋体" w:cs="宋体"/>
          <w:color w:val="auto"/>
          <w:sz w:val="24"/>
          <w:szCs w:val="24"/>
          <w:highlight w:val="none"/>
        </w:rPr>
        <w:t xml:space="preserve">采购需求：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协助苏州市公共资源交易中心(以下简称“市交易中心”)加强全市农村产权交易市场建设；运营和维护农村产权线上交易系统；为交易系统提供硬件支持；协助市交易中心为全市农村产权流转交易提供项目受理、信息公告、报名登记、竞价组织、资金结算、合同签订等服务；</w:t>
      </w:r>
      <w:bookmarkStart w:id="13" w:name="OLE_LINK3"/>
      <w:r>
        <w:rPr>
          <w:rFonts w:hint="eastAsia" w:ascii="宋体" w:hAnsi="宋体" w:eastAsia="宋体" w:cs="宋体"/>
          <w:color w:val="auto"/>
          <w:sz w:val="24"/>
          <w:szCs w:val="24"/>
          <w:highlight w:val="none"/>
        </w:rPr>
        <w:t xml:space="preserve">设计、开发农村阳光招采、租赁指导价建议等创新业务支持系统；</w:t>
      </w:r>
      <w:bookmarkEnd w:id="13"/>
      <w:r>
        <w:rPr>
          <w:rFonts w:hint="eastAsia" w:ascii="宋体" w:hAnsi="宋体" w:eastAsia="宋体" w:cs="宋体"/>
          <w:color w:val="auto"/>
          <w:sz w:val="24"/>
          <w:szCs w:val="24"/>
          <w:highlight w:val="none"/>
        </w:rPr>
        <w:t xml:space="preserve">统计、分析农村产权交易数据，及时向监管部门提供交易数据等。</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（二）项目目标和采购内容：</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1.加强全市农村产权交易市场建设</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健全农村产权流转交易体系，加强全市农村产权市场建设，提供规范性较强的办公场所、交易场所，配备业务人员，进行项目受理、咨询服务等交易服务。指导镇街道农村产权交易服务中心工作。明确交易入场条件，丰富交易品种。负责对各板块农村产权交易市场运营进行帮扶。</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2.提供农村产权交易全流程服务</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营和维护农村产权线上交易系统，提供全流程交易服务。线上负责受理和审核交易申请和发布信息公告、受让登记、组织交易包括电子竞价会并出具交易结果证明，线下及时组织交易双方处理交易纠纷，修订和完善业务相关交易规则、实施办法等。实现各监管部门可通过互联网对平台交易各环节进行实时监控，协助各监管部门加强农村产权交易监管，及时提供交易数据统计，并且不定期对交易情况进行分析，可为监管部门及时提供所需相关交易情况，以便掌握交易是否存在异常。</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3.提供资金结算服务</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市交易中心监督指导下，做好各项资金结算服务；做好保证金的日常管理工作；专职结算人员记账，保证客户资金出入账及时高效；结算账目分明；结算账户专项专用，确保客户资金独立安全；提供线上结算服务，与银行互联互通，并支持多种结算方式。</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提供农业科技成果转化服务</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依托平台土地资源、技术资源、资金资源的汇聚能力，建立集体经济组织、农业科技载体、社会资本多方共赢的农业技术转移和知识产权交易模式。</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适配农村集体工程、货物、服务阳光招采业务，实现项目登记、公告发布、文件上传、供应商报名、开评标管理、结果公示等全流程电子化；支持多方</w:t>
      </w:r>
      <w:r>
        <w:rPr>
          <w:rFonts w:hint="eastAsia" w:ascii="宋体" w:hAnsi="宋体" w:eastAsia="宋体" w:cs="宋体"/>
          <w:color w:val="auto"/>
          <w:sz w:val="24"/>
          <w:szCs w:val="24"/>
          <w:highlight w:val="none"/>
          <w:lang w:val="en-US" w:eastAsia="zh-CN"/>
        </w:rPr>
        <w:t xml:space="preserve">主</w:t>
      </w:r>
      <w:r>
        <w:rPr>
          <w:rFonts w:hint="eastAsia" w:ascii="宋体" w:hAnsi="宋体" w:eastAsia="宋体" w:cs="宋体"/>
          <w:color w:val="auto"/>
          <w:sz w:val="24"/>
          <w:szCs w:val="24"/>
          <w:highlight w:val="none"/>
        </w:rPr>
        <w:t xml:space="preserve">体管理、专家抽取、线上结算、流程留痕、监管查询、数据统计，与农村产权交易平台一体化打通，保障集体采购阳光规范、全程可溯</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核心功能模块要求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核心前台网站展示</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。招采平台前台提供网站主界面，展示便捷的公告访问功能，公告公示栏目清晰。</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平台主界面核心功能。招采平台主界面布局及核心功能入口，展示当前用户待办事项列表、待办提醒及事项跳转处理，体现平台首页对操作用户的有效引导。</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常用功能快速访问</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。平台常用功能快捷入口配置与访问，支持用户快速进入项目登记、报名登记、专家抽取等等高频功能，体现操作便捷性。</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多方主体入库与查询</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。支持采购方、代理机构、供应商等多方主体的入库信息展示与查询功能，支持按主体类型、名称等条件检索，查看主体基本信息及入库状态。</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系统业务数据统计</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。平台业务数据统计模块，查看项目数量、交易金额等统计数据展示，体现平台业务运行情况的可视化管理。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rPr>
        <w:t xml:space="preserve">项目登记与立项申请</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。以某一工程/货物/服务项目为例，项目登记、立项申请发起，填报项目名称、采购单位、项目类型等立项基础信息并提交。</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⑦</w:t>
      </w:r>
      <w:r>
        <w:rPr>
          <w:rFonts w:hint="eastAsia" w:ascii="宋体" w:hAnsi="宋体" w:eastAsia="宋体" w:cs="宋体"/>
          <w:color w:val="auto"/>
          <w:sz w:val="24"/>
          <w:szCs w:val="24"/>
          <w:highlight w:val="none"/>
        </w:rPr>
        <w:t xml:space="preserve">公告发布</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后台发起采购公告/招标公告发布，填报公告内容并提交审核，审核通过后在前台公告公示栏目展示，支持公告查询查看。</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⑧</w:t>
      </w:r>
      <w:r>
        <w:rPr>
          <w:rFonts w:hint="eastAsia" w:ascii="宋体" w:hAnsi="宋体" w:eastAsia="宋体" w:cs="宋体"/>
          <w:color w:val="auto"/>
          <w:sz w:val="24"/>
          <w:szCs w:val="24"/>
          <w:highlight w:val="none"/>
        </w:rPr>
        <w:t xml:space="preserve">专家抽取发起</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。通过平台在项目采购组织环节发起专家抽取申请，系统按规则从专家库中随机抽取专家，体现平台对专家抽取业务的在线支撑能力。</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⑨</w:t>
      </w:r>
      <w:r>
        <w:rPr>
          <w:rFonts w:hint="eastAsia" w:ascii="宋体" w:hAnsi="宋体" w:eastAsia="宋体" w:cs="宋体"/>
          <w:color w:val="auto"/>
          <w:sz w:val="24"/>
          <w:szCs w:val="24"/>
          <w:highlight w:val="none"/>
        </w:rPr>
        <w:t xml:space="preserve">后台交易项目信息综合查询</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。后台针对交易项目信息的综合查询功能，支持按区域、项目类型、交易方式、</w:t>
      </w:r>
      <w:r>
        <w:rPr>
          <w:rFonts w:hint="eastAsia" w:ascii="宋体" w:hAnsi="宋体" w:eastAsia="宋体" w:cs="宋体"/>
          <w:color w:val="auto"/>
          <w:sz w:val="24"/>
          <w:szCs w:val="24"/>
          <w:highlight w:val="none"/>
          <w:lang w:val="en-US" w:eastAsia="zh-CN"/>
        </w:rPr>
        <w:t xml:space="preserve">项目状态</w:t>
      </w:r>
      <w:r>
        <w:rPr>
          <w:rFonts w:hint="eastAsia" w:ascii="宋体" w:hAnsi="宋体" w:eastAsia="宋体" w:cs="宋体"/>
          <w:color w:val="auto"/>
          <w:sz w:val="24"/>
          <w:szCs w:val="24"/>
          <w:highlight w:val="none"/>
        </w:rPr>
        <w:t xml:space="preserve">、时间等条件组合查询，体现平台的集中管理和综合查询能力。</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设计和开发农村集体资产租赁指导价建议服务模块</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开发集成于农村产权交易平台的集体资产租赁指导价业务子系统，支持资产踏勘到价格生成线上审批、分类分区域指导价查询、价格动态维护、数据归集管理，并配套技术运维、业务支撑等全流程服务，输出租赁指导价参考建议，供交易立项起拍价设置作参考。</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核心功能模块要求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后台首页指导价业务入口引导</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。登录后台首页，展示租赁指导价相关待办业务，引导工作人员进行业务办理。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支持多方主体参与</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。支持资产方、评估机构以及交易机构等多主体用户管理。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资产踏勘申请发起</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。支持资产方发起资产踏勘申请，填报资产面积、用途以及多种资产类别等。</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踏勘数据入库</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。审批通过后，演示踏勘数据入库，展示资产踏勘信息入库结果及数据归档情况。</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支持资产评估数据查询</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。演示根据资产编号、资产单位等条件查询已入库的资产踏勘数据。</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rPr>
        <w:t xml:space="preserve">租赁指导价报告申请</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。支持针对交易的资产发起租赁指导价价格报告的申请，价格申请流程。</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⑦</w:t>
      </w:r>
      <w:r>
        <w:rPr>
          <w:rFonts w:hint="eastAsia" w:ascii="宋体" w:hAnsi="宋体" w:eastAsia="宋体" w:cs="宋体"/>
          <w:color w:val="auto"/>
          <w:sz w:val="24"/>
          <w:szCs w:val="24"/>
          <w:highlight w:val="none"/>
        </w:rPr>
        <w:t xml:space="preserve">指导价报告查询</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。指导价报告查询功能，支持按资产编号、资产单位、区域、出具时间等条件查询报告。</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7.软件需求说明</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平台需采用</w:t>
      </w:r>
      <w:r>
        <w:rPr>
          <w:rFonts w:hint="eastAsia" w:ascii="宋体" w:hAnsi="宋体" w:eastAsia="宋体" w:cs="宋体"/>
          <w:color w:val="auto"/>
          <w:sz w:val="24"/>
          <w:szCs w:val="24"/>
          <w:highlight w:val="none"/>
        </w:rPr>
        <w:t xml:space="preserve">全网运营模式，具备审批监督、线上报名、网络竞价、资金结算等全流程线上服务的功能模块；通过与苏州大市各区县资产监管系统互联互通，各监管部门可对资产的交易各环节进行实时监控，确保平台交易的公正性。在系统管理方面，使用多种实时监督与风险控制手段，可以发生问题实时报警并启动应急机制。为确保交易系统稳定性、可靠性以及网络安全性，系统在系统容量、数据存储、负载均衡、接入模式的扩展性方面应不断更新完善；平台需配备业务系统以及数据库的冗余备份，确保数据安全。投标单位需提供详尽的网络安全保障方案和建立完善的系统信息保密机制。</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8.硬件需求说明</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为确保交易平台的安全稳定运营，平台应配备不少于8台业务服务器。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9.本项目人员配备</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本项目至少配备8名专职人员，分别设置管理岗、业务岗、结算岗、技术岗、风控法务岗、行政岗，并具备相应专业及工作经验。</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10.本项目情况汇报说明：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每双月需向交易中心报送项目运行情况、风险自查情况。</w:t>
      </w:r>
      <w:r>
        <w:rPr>
          <w:rFonts w:hint="eastAsia" w:ascii="宋体" w:hAnsi="宋体" w:eastAsia="宋体" w:cs="宋体"/>
          <w:color w:val="auto"/>
          <w:sz w:val="24"/>
          <w:szCs w:val="24"/>
          <w:highlight w:val="none"/>
          <w:shd w:val="clear" w:color="auto" w:fill="ffffff"/>
        </w:rPr>
        <w:t xml:space="preserve">接受交易中心对项目服务情况的相关监督。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11.服务期限：一年。</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（五）有关要求：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2、中标人须在项目实施前把详细的实施方案报送采购人审批，经批准同意后方可以组织实施。在项目实施期间中标人应遵守项目现场及采购人的各项规章制度。</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3、中标人在项目实施期间应无条件的接受采购人的监督管理，提出的质量问题要及时整改，整改完毕后通知采购人检查验收，合格后书面报送采购人备案。</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4、知识产权的要求：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（1）本项目全部知识产权均归采购人所有（独有），未经采购人书面同意，无论是否被采购人所采用中标人均不得对外发布。</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（2）采购人提供的资料文件，中标人具有保密义务。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（3）中标人为本项目而引用、收集其他社会上的文件、资料所涉及的知识产权费用和法律纠纷由中标人自行负责，由此而引起的法律纠纷以及费用须由中标人全部承担。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5、与本次采购项目有关的质量、安全问题均由中标人终生负责，相关的人员、财产责任风险均由中标人全部承担。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三、综合要求：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3、投标人应保证</w:t>
      </w:r>
      <w:r>
        <w:rPr>
          <w:rFonts w:hint="eastAsia" w:ascii="宋体" w:hAnsi="宋体" w:eastAsia="宋体" w:cs="宋体"/>
          <w:color w:val="auto"/>
          <w:sz w:val="24"/>
          <w:szCs w:val="24"/>
          <w:highlight w:val="none"/>
          <w:lang w:val="zh-CN"/>
        </w:rPr>
        <w:t xml:space="preserve">对所提供货物</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服务等知识产权方面的一切产权关系负全部责任</w:t>
      </w:r>
      <w:r>
        <w:rPr>
          <w:rFonts w:hint="eastAsia" w:ascii="宋体" w:hAnsi="宋体" w:eastAsia="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4、投标人需编制本项目的技术方案，包括但不限于：项目理解、平台系统运营、网络安全保障、资金结算服务、完善的管理办法、交易规则、相关配套、提供对农业科技成果转化服务的流程和制度说明等</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5、供应商拟投入本项目的团队需具有履约能力，有服务项目人员及设备，便于项目实施。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6、供应商需有丰富的类似项目经验等内容。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7、项目地点：采购人指定地点（苏州大市范围内）。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服务要求：投标人须为本项目提供每周5个工作日×12小时热线和长期免费服务支持；对采购人提出的服务要求，供应商须在接报后1小时内响应，2小时内到达现场，24小时内解决问题。 </w:t>
      </w:r>
      <w:r/>
    </w:p>
    <w:p>
      <w:pPr>
        <w:pStyle w:val="996"/>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9、验收要求：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9.1履约验收标准：服务期结束后根据国家相关法律法规、行业相关标准、政府采购合同要求、招标文件要求、投标文件规定。</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9.2履约验收主体：由采购人或其委托的采购代理机构邀请实际使用人参与验收。本项目苏州市公共资源交易中心委托苏州市正杰招投标咨询服务有限公司进行履约验收。</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履约验收方式：供应商应当按照政府采购合同的约定，配合采购人做好项目验收，提供与验收相关的技术、服务、质量、安全等资料，根据实际需要做好技术说明等工作，并对所提供资料和材料的真实性负责。验收结束后,出具验收书，由验收双方共同签署。</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9.4验收程序：</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9.4.1合同约定的履约验收条件达到时（本项目合同期限届满之日），采购人应当在5个工作日内启动履约验收工作，并向供应商发出《政府采购履约验收通知单》。 在政府采购合同约定的履行验收条件达到时，供应商可以主动联系采购人启动履约验收工作。</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9.4.2采购人或委托采购代理机构成立验收小组，负责采购项目履约验收具体工作。</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9.4.3验收小组应当按照验收工作实施方案开展验收，对供应商提供的服务按照招标文件、投标文件、政府采购合同等进行逐一核对、</w:t>
      </w:r>
      <w:r>
        <w:rPr>
          <w:rFonts w:hint="eastAsia" w:ascii="宋体" w:hAnsi="宋体" w:eastAsia="宋体" w:cs="宋体"/>
          <w:color w:val="auto"/>
          <w:sz w:val="24"/>
          <w:szCs w:val="24"/>
          <w:highlight w:val="none"/>
          <w:lang w:val="en-US" w:eastAsia="zh-CN" w:bidi="ar-SA"/>
        </w:rPr>
        <w:t xml:space="preserve">验收，并做好验收记录。 </w:t>
      </w:r>
      <w:r/>
    </w:p>
    <w:p>
      <w:pPr>
        <w:pStyle w:val="996"/>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9.4.4履约验收工作结束后，验收小组应形成书面验收意见，列明各项标准的验收情况及项目总体评价。验收小组所有成员应当在书面验收意见上签字并报送采购人。验收小组成员意见不一致时，按照少数服从多数的原则作出验收意见，并将不一致意见如实记录。</w:t>
      </w:r>
      <w:r/>
    </w:p>
    <w:p>
      <w:pPr>
        <w:pStyle w:val="996"/>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9.5项目经验收合格的，采购人根据政府采购合同约定及时向乙方支付最后一笔采购资金、退还履约保证金（如有），不得拖延、拖欠或非法扣留；项目验收不合格的，采购人应当停止支付采购资金，并按照政府采购合同约定追究供应商违约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10、凡涉及招标文件的补充说明和修改，均以苏州市政府采购网上公示信息为准。</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line="360" w:lineRule="auto"/>
        <w:tabs>
          <w:tab w:val="left" w:pos="70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第五章 合同主要条款</w:t>
      </w:r>
      <w:bookmarkEnd w:id="12"/>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lang w:eastAsia="zh-CN"/>
        </w:rPr>
        <w:t xml:space="preserve">农村产权交易建设项目</w:t>
      </w:r>
      <w:r>
        <w:rPr>
          <w:rFonts w:hint="eastAsia" w:ascii="宋体" w:hAnsi="宋体" w:eastAsia="宋体" w:cs="宋体"/>
          <w:b/>
          <w:color w:val="auto"/>
          <w:sz w:val="24"/>
          <w:szCs w:val="24"/>
          <w:highlight w:val="none"/>
        </w:rPr>
        <w:t xml:space="preserve">项目</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项目编号：</w:t>
      </w:r>
      <w:r>
        <w:rPr>
          <w:rFonts w:hint="eastAsia" w:ascii="宋体" w:hAnsi="宋体" w:eastAsia="宋体" w:cs="宋体"/>
          <w:b/>
          <w:color w:val="auto"/>
          <w:sz w:val="24"/>
          <w:szCs w:val="24"/>
          <w:highlight w:val="none"/>
          <w:lang w:eastAsia="zh-CN"/>
        </w:rPr>
        <w:t xml:space="preserve">JSZC-320500-SZZJ-G2026-0035</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乙方（中标单位）：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lang w:eastAsia="zh-CN"/>
        </w:rPr>
        <w:t xml:space="preserve">农村产权交易建设项目</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（一）本项目招标文件；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（二）乙方投标文件；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（四）乙方做出的有关澄清、说明或者补正文件（若有）；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（五）确定乙方的文件（包括但不限于中标通知书等）；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（六）本合同附件（若有）。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本合同项下乙方所提供的服务内容为：详见招标文件中的采购需求。</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三、合同金额：</w:t>
      </w:r>
      <w:r>
        <w:rPr>
          <w:rFonts w:hint="eastAsia" w:ascii="宋体" w:hAnsi="宋体" w:eastAsia="宋体" w:cs="宋体"/>
          <w:bCs/>
          <w:color w:val="auto"/>
          <w:sz w:val="24"/>
          <w:szCs w:val="24"/>
          <w:highlight w:val="none"/>
        </w:rPr>
        <w:t xml:space="preserve"> </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rPr>
          <w:rFonts w:hint="eastAsia" w:ascii="宋体" w:hAnsi="宋体" w:eastAsia="宋体" w:cs="宋体"/>
          <w:b/>
          <w:color w:val="auto"/>
          <w:sz w:val="24"/>
          <w:szCs w:val="24"/>
          <w:highlight w:val="none"/>
        </w:rPr>
        <w:t xml:space="preserve">合同金额包括完成所有采购内容以及本项目所需的劳务支出、保险、配套费用、税费及服务相关等所发生的全部费用以及乙方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1、甲方根据乙方在本合同中所提供银行开户信息转账支付。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乙方银行账户如需变更，应至少于付款期限届满前10个工作日书面通知甲方，否则产生的一切责任、因变更引起的额外费用由乙方承担。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2、付款步骤：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自本合同签订生效后，服务期限结束经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lang w:val="en-US" w:eastAsia="zh-CN"/>
        </w:rPr>
        <w:t xml:space="preserve">甲方向乙方</w:t>
      </w:r>
      <w:r>
        <w:rPr>
          <w:rFonts w:hint="eastAsia" w:ascii="宋体" w:hAnsi="宋体" w:eastAsia="宋体" w:cs="宋体"/>
          <w:color w:val="auto"/>
          <w:sz w:val="24"/>
          <w:szCs w:val="24"/>
          <w:highlight w:val="none"/>
        </w:rPr>
        <w:t xml:space="preserve">支付合同总价款的10</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注：甲方每次付款前，乙方均应当向甲方开具等额、合法的发票，否则甲方有权延迟付款且无须承担任何责任。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五、服务履行地点、期限</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1、服务履行地点：</w:t>
      </w:r>
      <w:r>
        <w:rPr>
          <w:rFonts w:hint="eastAsia" w:ascii="宋体" w:hAnsi="宋体" w:eastAsia="宋体" w:cs="宋体"/>
          <w:color w:val="auto"/>
          <w:sz w:val="24"/>
          <w:szCs w:val="24"/>
          <w:highlight w:val="none"/>
        </w:rPr>
        <w:t xml:space="preserve">甲方指定地点（苏州大市范围内）</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2、服务期限：</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六、服务要求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投标人须为本项目提供每周5个工作日×12小时热线和长期免费服务支持；对采购人提出的服务要求，供应商须在接报后1小时内响应，2小时内到达现场，24小时内解决问题。 </w:t>
      </w:r>
      <w:r>
        <w:rPr>
          <w:rFonts w:hint="eastAsia" w:ascii="宋体" w:hAnsi="宋体" w:eastAsia="宋体" w:cs="宋体"/>
          <w:color w:val="auto"/>
          <w:sz w:val="24"/>
          <w:szCs w:val="24"/>
          <w:highlight w:val="none"/>
          <w:lang w:val="en-US" w:eastAsia="zh-CN"/>
        </w:rPr>
        <w:t xml:space="preserve"> </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七、验收</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7.1履约验收标准：服务期结束后根据国家相关法律法规、行业相关标准、政府采购合同要求、招标文件要求、投标文件规定。</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7.2履约验收主体：由甲方或其委托的采购代理机构邀请实际使用人参与验收。本项目苏州市公共资源交易中心委托苏州市正杰招投标咨询服务有限公司进行履约验收。</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履约验收方式：乙方应当按照政府采购合同的约定，配合甲方做好项目验收，提供与验收相关的技术、服务、质量、安全等资料，根据实际需要做好技术说明等工作，并对所提供资料和材料的真实性负责。验收结束后,出具验收书，由验收双方共同签署。</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7.4验收程序：</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7.4.1合同约定的履约验收条件达到时（本项目合同期限届满之日），甲方应当在5个工作日内启动履约验收工作，并向乙方发出《政府采购履约验收通知单》。 在政府采购合同约定的履行验收条件达到时，乙方可以主动联系采购人启动履约验收工作。</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7.4.2甲方或委托采购代理机构成立验收小组，负责采购项目履约验收具体工作。</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7.4.3验收小组应当按照验收工作实施方案开展验收，对乙方提供的服务按照招标文件、投标文件、政府采购合同等进行逐一核对、</w:t>
      </w:r>
      <w:r>
        <w:rPr>
          <w:rFonts w:hint="eastAsia" w:ascii="宋体" w:hAnsi="宋体" w:eastAsia="宋体" w:cs="宋体"/>
          <w:color w:val="auto"/>
          <w:sz w:val="24"/>
          <w:szCs w:val="24"/>
          <w:highlight w:val="none"/>
          <w:lang w:val="en-US" w:eastAsia="zh-CN" w:bidi="ar-SA"/>
        </w:rPr>
        <w:t xml:space="preserve">验收，并做好验收记录。 </w:t>
      </w:r>
      <w:r/>
    </w:p>
    <w:p>
      <w:pPr>
        <w:pStyle w:val="996"/>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7.4.4履约验收工作结束后，验收小组应形成书面验收意见，列明各项标准的验收情况及项目总体评价。验收小组所有成员应当在书面验收意见上签字并报送采购人。验收小组成员意见不一致时，按照少数服从多数的原则作出验收意见，并将不一致意见如实记录。</w:t>
      </w:r>
      <w:r/>
    </w:p>
    <w:p>
      <w:pPr>
        <w:pStyle w:val="996"/>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项目经验收合格的，甲方根据政府采购合同约定及时向乙方支付最后一笔采购资金、退还履约保证金（如有），不得拖延、拖欠或非法扣留；项目验收不合格的，甲方应当停止支付采购资金，并按照政府采购合同约定追究乙方违约责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八、服务质量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1、乙方应保证提供给甲方的服务完全符合本项目招标文件规定的服务标准。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3、乙方保证提供的服务符合中华人民共和国国家及行业的安全质量标准、环保标准中之较高者。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九、履约保证金：无。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在合同生效后，甲方无故要求终止服务的，应向乙方偿付合同总价款的5％，作为违约金，违约金不足以补偿损失的，乙方有权要求甲方补足。</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甲方</w:t>
      </w:r>
      <w:r>
        <w:rPr>
          <w:rFonts w:hint="eastAsia" w:ascii="宋体" w:hAnsi="宋体" w:eastAsia="宋体" w:cs="宋体"/>
          <w:bCs/>
          <w:color w:val="auto"/>
          <w:sz w:val="24"/>
          <w:szCs w:val="24"/>
          <w:highlight w:val="none"/>
          <w:lang w:val="en-US" w:eastAsia="zh-CN"/>
        </w:rPr>
        <w:t xml:space="preserve">无故</w:t>
      </w:r>
      <w:r>
        <w:rPr>
          <w:rFonts w:hint="eastAsia" w:ascii="宋体" w:hAnsi="宋体" w:eastAsia="宋体" w:cs="宋体"/>
          <w:bCs/>
          <w:color w:val="auto"/>
          <w:sz w:val="24"/>
          <w:szCs w:val="24"/>
          <w:highlight w:val="none"/>
        </w:rPr>
        <w:t xml:space="preserve">逾期付款的应按照逾期付款金额的每天万分之</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支付逾期付款违约金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违约金总金额不超过合同逾期付款金额的5%</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甲方违反合同约定，拒绝接受乙方交付的合格服务的，应当承担乙方由此造成的损失。</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乙方不能服务（逾期超过24小时视为不能服务），或服务不合格</w:t>
      </w:r>
      <w:r>
        <w:rPr>
          <w:rFonts w:hint="eastAsia" w:ascii="宋体" w:hAnsi="宋体" w:eastAsia="宋体" w:cs="宋体"/>
          <w:bCs/>
          <w:color w:val="auto"/>
          <w:sz w:val="24"/>
          <w:szCs w:val="24"/>
          <w:highlight w:val="none"/>
          <w:lang w:val="en-US" w:eastAsia="zh-CN"/>
        </w:rPr>
        <w:t xml:space="preserve">经甲方催告后未在催告期限内改正</w:t>
      </w:r>
      <w:r>
        <w:rPr>
          <w:rFonts w:hint="eastAsia" w:ascii="宋体" w:hAnsi="宋体" w:eastAsia="宋体" w:cs="宋体"/>
          <w:bCs/>
          <w:color w:val="auto"/>
          <w:sz w:val="24"/>
          <w:szCs w:val="24"/>
          <w:highlight w:val="none"/>
        </w:rPr>
        <w:t xml:space="preserve">的，甲方有权解除合同，乙方向甲方赔偿合同总价款5％的违约金，违约金不足以补偿损失的甲方有权要求乙方补足。</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乙方逾期提供服务的，应在服务前与甲方和招标代理协商，甲方仍需求的，乙方应立即提供服务并应按照逾期服务部分</w:t>
      </w:r>
      <w:r>
        <w:rPr>
          <w:rFonts w:hint="eastAsia" w:ascii="宋体" w:hAnsi="宋体" w:eastAsia="宋体" w:cs="宋体"/>
          <w:bCs/>
          <w:color w:val="auto"/>
          <w:sz w:val="24"/>
          <w:szCs w:val="24"/>
          <w:highlight w:val="none"/>
          <w:lang w:val="en-US" w:eastAsia="zh-CN"/>
        </w:rPr>
        <w:t xml:space="preserve">款项</w:t>
      </w:r>
      <w:r>
        <w:rPr>
          <w:rFonts w:hint="eastAsia" w:ascii="宋体" w:hAnsi="宋体" w:eastAsia="宋体" w:cs="宋体"/>
          <w:bCs/>
          <w:color w:val="auto"/>
          <w:sz w:val="24"/>
          <w:szCs w:val="24"/>
          <w:highlight w:val="none"/>
        </w:rPr>
        <w:t xml:space="preserve">的每天万分之四支付逾期服务违约金，同时承担甲方因此遭致的损失费用。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十一、合同的解除和转让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1、甲方和乙方协商一致，可以解除合同。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2、有下列情形之一，合同一方可以解除合同：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（1）因不可抗力致使不能实现合同目的，未受不可抗力影响的一方有权解除合同；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（2）招标文件约定的解除合同的情形。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3、政府采购合同继续履行将损害国家利益和社会公共利益，甲方有权变更、中止或者终止、解除合同。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4、乙方提交的投标材料虚假，或者乙方故意隐瞒足以导致不能中标的事实被发现的，甲方可以单方解除本合同，由此造成甲方的损失由乙方承担赔偿（包括但不限于诉讼费、合理律师费等）。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5、本合同不得以任何形式转让，否则视为乙方违约，甲方可以单方解除本合同，由此造成甲方的损失由乙方承担赔偿（包括但不限于诉讼费、合理律师费等）。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6、本合同未经甲方书面同意不得分包，否则视为乙方违约，甲方可以单方解除本合同，由此造成甲方的损失由乙方承担赔偿（包括但不限于诉讼费、合理律师费等）。</w:t>
      </w:r>
      <w:r/>
    </w:p>
    <w:p>
      <w:pPr>
        <w:pStyle w:val="981"/>
        <w:ind w:firstLine="480"/>
        <w:rPr>
          <w:rFonts w:hAnsi="宋体" w:cs="宋体"/>
          <w:color w:val="auto"/>
          <w:sz w:val="24"/>
          <w:szCs w:val="24"/>
          <w:highlight w:val="none"/>
        </w:rPr>
      </w:pPr>
      <w:r>
        <w:rPr>
          <w:rFonts w:hint="eastAsia" w:hAnsi="宋体" w:cs="宋体"/>
          <w:color w:val="auto"/>
          <w:sz w:val="24"/>
          <w:szCs w:val="24"/>
          <w:highlight w:val="none"/>
        </w:rPr>
        <w:t xml:space="preserve">7、有权解除合同的一方，应当在违约事实或不可抗力发生之后三十天内书面通知对方以主张解除合同，合同在书面通知到达对方时解除。</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4、合同各方应根据不可抗力对本合同履行的影响程度，协商确定是否终止本合同，或是继续履行本合同。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5、本合同在执行过程中如遇甲方不能预见的情形发生致使本合同无法履行，应视为不可抗力事件，甲方免责。本合同终止后甲方应支付乙方实际履行时间（天数）的服务款项（单价不予调整）。</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十三、保密条款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1、任何一方对其获知的本合同及附件中其他各方的商业秘密和国家秘密等非公开信息负有保密义务。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十四、联系方式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3、上述发出通知、回复的费用由发出一方承担。</w:t>
      </w:r>
      <w:r/>
    </w:p>
    <w:p>
      <w:pPr>
        <w:ind w:firstLine="482"/>
        <w:spacing w:line="360" w:lineRule="auto"/>
        <w:rPr>
          <w:rFonts w:ascii="宋体" w:hAnsi="宋体" w:eastAsia="宋体" w:cs="宋体"/>
          <w:b/>
          <w:color w:val="auto"/>
          <w:sz w:val="24"/>
          <w:szCs w:val="24"/>
          <w:highlight w:val="none"/>
        </w:rPr>
      </w:pPr>
      <w:r/>
      <w:bookmarkStart w:id="14" w:name="_Toc26807"/>
      <w:r/>
      <w:bookmarkStart w:id="15" w:name="_Toc32454"/>
      <w:r/>
      <w:bookmarkStart w:id="16" w:name="_Toc30329"/>
      <w:r/>
      <w:bookmarkStart w:id="17" w:name="_Toc18683"/>
      <w:r/>
      <w:bookmarkStart w:id="18" w:name="_Toc51257766"/>
      <w:r/>
      <w:bookmarkStart w:id="19" w:name="_Toc9497"/>
      <w:r>
        <w:rPr>
          <w:rFonts w:hint="eastAsia" w:ascii="宋体" w:hAnsi="宋体" w:eastAsia="宋体" w:cs="宋体"/>
          <w:b/>
          <w:color w:val="auto"/>
          <w:sz w:val="24"/>
          <w:szCs w:val="24"/>
          <w:highlight w:val="none"/>
        </w:rPr>
        <w:t xml:space="preserve">十五、争议的解决</w:t>
      </w:r>
      <w:bookmarkEnd w:id="14"/>
      <w:r/>
      <w:bookmarkEnd w:id="15"/>
      <w:r/>
      <w:bookmarkEnd w:id="16"/>
      <w:r/>
      <w:bookmarkEnd w:id="17"/>
      <w:r/>
      <w:bookmarkEnd w:id="18"/>
      <w:r/>
      <w:bookmarkEnd w:id="19"/>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与本合同有关的一切争议，双方应通过友好协商解决。如果经协商不能达成协议，可以向甲方所在地有管辖权的人民法院起诉。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十六、合同生效及其他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1、本合同经甲乙双方签字盖章之日起生效。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系指本文件及其附件中的所有部分，招标文件、中标的投标文件、中标通知书、乙方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3、本合同壹式肆份，甲乙双方各执壹份，采购代理机构贰份，具有同等法律效力。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4、本合同应按照中华人民共和国的现行法律进行解释。</w:t>
      </w:r>
      <w:r/>
    </w:p>
    <w:p>
      <w:pPr>
        <w:pStyle w:val="928"/>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乙    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名称(公章)：                              名称(公章)：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法定代表人/负责人：                       法定代表人/负责人：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或授权代理人                              或授权代理人：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（签字）                                 （签字）</w:t>
      </w:r>
      <w:r/>
    </w:p>
    <w:p>
      <w:pPr>
        <w:ind w:firstLine="480"/>
        <w:spacing w:line="360" w:lineRule="auto"/>
        <w:rPr>
          <w:rFonts w:ascii="宋体" w:hAnsi="宋体" w:eastAsia="宋体" w:cs="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4"/>
          <w:szCs w:val="24"/>
          <w:highlight w:val="none"/>
        </w:rPr>
        <w:t xml:space="preserve">签订日期：                                签订日期：</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第六章 评分方法和评分标准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一、评分方法：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0％（权重），技术及其他分值占总分值的比重为</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0％（权重）。</w:t>
      </w:r>
      <w:r/>
    </w:p>
    <w:p>
      <w:pPr>
        <w:ind w:left="-20"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（一）价格分值：</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0分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第一步：投标报价不高于采购预算及最高限价的为有效报价，超出此范围的投标报价为无效报价，其投标文件不予评审，也不得标。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第二步：以满足招标文件实质性要求且投标价格最低的投标有效报价为评标基准价，其价格分为满分，即</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0分。其他有效投标报价得分统一按照下列公式计算：（计算结果均四舍五入保留两位小数）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（二）技术及其他分值：</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0分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1.对项目服务方案的评价（50分）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（1）项目理解（内容包括但不限于建设背景、平台定位、业务范围、用户角色、建设重难点，贴合本地农村产权交易实际业务等。）</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项目背景理解的准确程度，需求分析的透彻程度的说明。对项目背景理解的准确程度高，需求分析透彻的得10分；对项目背景理解的准确程度较高，需求分析基本透彻的得7分；对项目背景理解的准确程度一般，需求分析不够透彻的得4分；与项目实际不符或未提供的不得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（2）平台系统运营方案（内容包含但不限于系统基础架构与功能分析、系统日常运维与巡检机制、常见问题闭环处置机制等）</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本项目平台系统的运营方案。运营方案内容详细完整、技术可行性强、流程标准规范的得10分；运营方案内容较为完整、技术可行性较强、流程基本符合规范的得7分；运营方案内容简单笼统、技术可行性弱、流程规范性不足的得4分；未提供者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（3）网络安全保障方案（内容包含机房设备与基础运维、网络边界与访问控制、数据加密传输、定时备份恢复、网络安全相关制度等）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本项目网络安全保障内容和系统信息保密机制的说明。方案内容详细完整、技术可行性强、流程标准规范的得7分；方案内容较为完整、技术可行性较强、流程基本符合规范的得5分；方案内容简单笼统、技术可行性弱、流程规范性不足的得3分；未提供者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（4）资金结算服务方案（内容包含但不限于资金流转流程、对账机制、明细台账留存、异常资金处置、结算风险防控等）</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资金结算服务的说明方案。方案内容详细完整、技术可行性强、流程标准规范的得7分；方案内容较为完整、技术可行性较强、流程基本符合规范的得5分；方案内容简单笼统、技术可行性弱、流程规范性不足的得3分；未提供者不得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（5）完善的管理办法、交易规则、相关配套的制度（内容包含但不限于平台管理制度、交易准入制度、业务流程制度、风险管理制度、岗位权责制度等）</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单位对本项目管理办法、交易规则、相关配套的制度等说明。方案内容详细完整、技术可行性强、流程标准规范的得10分；方案内容较为完整、技术可行性较强、流程基本符合规范的得7分；方案内容简单笼统、技术可行性弱、流程规范性不足的得4分；未提供者不得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（6）提供对农业科技成果转化服务的流程和制度说明（内容包含但不限于成果入库登记、资料审核校验、交易办理流程、资料归档管理等）</w:t>
      </w:r>
      <w:r/>
    </w:p>
    <w:p>
      <w:pPr>
        <w:ind w:firstLine="420"/>
        <w:spacing w:line="360" w:lineRule="auto"/>
        <w:rPr>
          <w:rFonts w:hint="eastAsia" w:ascii="宋体" w:hAnsi="宋体" w:eastAsia="宋体" w:cs="宋体"/>
          <w:color w:val="auto"/>
          <w:sz w:val="24"/>
          <w:highlight w:val="none"/>
        </w:rPr>
      </w:pPr>
      <w:r/>
      <w:bookmarkStart w:id="20" w:name="OLE_LINK23"/>
      <w:r>
        <w:rPr>
          <w:rFonts w:hint="eastAsia" w:ascii="宋体" w:hAnsi="宋体" w:eastAsia="宋体" w:cs="宋体"/>
          <w:color w:val="auto"/>
          <w:sz w:val="24"/>
          <w:highlight w:val="none"/>
        </w:rPr>
        <w:t xml:space="preserve">投标单位对农业科技成果转化服务的流程和制度的说明。方案内容详细完整、技术可行性强、流程标准规范的得6分；方案内容较为完整、技术可行性较强、流程基本符合规范的得3分；方案内容简单笼统、技术可行性弱、流程规范性不足的得1分；未提供者不得分。</w:t>
      </w:r>
      <w:bookmarkEnd w:id="20"/>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2.功能演示（15分）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针对招标文件中“★”项功能要求，每满足一个得1.5分，投标单位须提供演示视频作为证明材料，否则对应项不得分。本项最高15分。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演示时间不超过10分钟，需在“苏采云”系统演示文件入口按系统要求上传演示文件。单个视频附件压缩包大小不得超过50M，整体附件压缩包不得超过300M，视频文件格式建议采用MP4、MKV、MOV、AVI格式。演示内容确保真实且作为项目履约验收的重要参考依据。因供应商上传文件本身损坏等自身原因导致演示资料无法正常读取的视为无效演示，本项不得分，由供应商自行承担责任。</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3.投标单位综合实力（25分）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（1）人员配备（9分）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投标单位对项目人员配备中具备中级会计师职称，有1人得3分，最多6分；具备国家技术转移专业人员能力等级技术经纪人证书，得3分。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注：上述人员须同时提供人员证书及供应商为上述人员缴纳的最近一个月的社保缴费证明（须有人员姓名并加盖社保部门章，非补缴），否则对应项不得分。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（2）硬件配备（4分）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运营平台需配备不少于8台本地化业务服务器，能够提供服务器购买发票的得4分；提供承诺函购买的得4分；如承诺购买的需承诺在履行合同时提交发票及维保证明。本项最高得4分。未提供相关证明材料不得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（3）投标单位具有2023年1月1日至今的相关类似业绩，每提供一份业绩得3分，最高12分。需提供相关完整的合同复印件。</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评审说明：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、其他评标未尽事宜由评标委员会根据有关规定讨论决定。</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（1）本项目专门面向中小企业采购。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bCs/>
          <w:color w:val="auto"/>
          <w:sz w:val="24"/>
          <w:szCs w:val="24"/>
          <w:highlight w:val="none"/>
        </w:rPr>
        <w:t xml:space="preserve">租赁和商务服务业</w:t>
      </w:r>
      <w:r>
        <w:rPr>
          <w:rFonts w:hint="eastAsia" w:ascii="宋体" w:hAnsi="宋体" w:eastAsia="宋体" w:cs="宋体"/>
          <w:b/>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1036"/>
          <w:rFonts w:hint="eastAsia" w:ascii="宋体" w:hAnsi="宋体" w:eastAsia="宋体" w:cs="宋体"/>
          <w:bCs/>
          <w:color w:val="auto"/>
          <w:sz w:val="24"/>
          <w:szCs w:val="24"/>
          <w:highlight w:val="none"/>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5、上述针对中小型企业、监狱企业和残疾人福利性单位的评审政策不重复享受。</w:t>
      </w:r>
      <w:r/>
    </w:p>
    <w:p>
      <w:pPr>
        <w:pStyle w:val="978"/>
        <w:rPr>
          <w:color w:val="auto"/>
          <w:sz w:val="24"/>
          <w:szCs w:val="24"/>
          <w:highlight w:val="none"/>
        </w:rPr>
      </w:pPr>
      <w:r>
        <w:rPr>
          <w:color w:val="auto"/>
          <w:sz w:val="24"/>
          <w:szCs w:val="24"/>
          <w:highlight w:val="none"/>
        </w:rPr>
      </w:r>
      <w:r/>
    </w:p>
    <w:p>
      <w:pPr>
        <w:jc w:val="righ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（全文完）</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华文细黑">
    <w:panose1 w:val="02010600040101010101"/>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64"/>
      </w:rPr>
      <w:framePr w:wrap="around" w:vAnchor="text" w:hAnchor="margin" w:xAlign="right" w:y="1"/>
    </w:pPr>
    <w:r>
      <w:fldChar w:fldCharType="begin"/>
    </w:r>
    <w:r>
      <w:rPr>
        <w:rStyle w:val="964"/>
      </w:rPr>
      <w:instrText xml:space="preserve">PAGE  </w:instrText>
    </w:r>
    <w:r>
      <w:fldChar w:fldCharType="end"/>
    </w:r>
    <w:r/>
  </w:p>
  <w:p>
    <w:pPr>
      <w:pStyle w:val="94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40"/>
                          </w:pPr>
                          <w:r>
                            <w:fldChar w:fldCharType="begin"/>
                          </w:r>
                          <w:r>
                            <w:instrText xml:space="preserve"> PAGE  \* MERGEFORMAT </w:instrText>
                          </w:r>
                          <w:r>
                            <w:fldChar w:fldCharType="separate"/>
                          </w:r>
                          <w:r>
                            <w:t xml:space="preserve">42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360"/>
      <w:rPr>
        <w:rFonts w:ascii="宋体" w:hAnsi="宋体" w:eastAsia="宋体" w:cs="宋体"/>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45</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45</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ascii="宋体" w:hAnsi="宋体" w:eastAsia="宋体" w:cs="宋体"/>
        <w:sz w:val="21"/>
        <w:szCs w:val="21"/>
      </w:rPr>
    </w:pPr>
    <w:r>
      <w:rPr>
        <w:rFonts w:hint="eastAsia" w:ascii="宋体" w:hAnsi="宋体" w:eastAsia="宋体" w:cs="宋体"/>
        <w:sz w:val="21"/>
        <w:szCs w:val="21"/>
      </w:rPr>
      <w:t xml:space="preserve">政府采购招标文件                                     项目编号：</w:t>
    </w:r>
    <w:r>
      <w:rPr>
        <w:rFonts w:hint="eastAsia" w:ascii="宋体" w:hAnsi="宋体" w:eastAsia="宋体" w:cs="宋体"/>
        <w:sz w:val="21"/>
        <w:szCs w:val="21"/>
        <w:lang w:eastAsia="zh-CN"/>
      </w:rPr>
      <w:t xml:space="preserve">JSZC-320500-SZZJ-G2026-0035</w:t>
    </w:r>
    <w:r>
      <w:rPr>
        <w:rFonts w:hint="eastAsia" w:ascii="宋体" w:hAnsi="宋体" w:eastAsia="宋体" w:cs="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pStyle w:val="99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14"/>
      <w:isLgl w:val="false"/>
      <w:suff w:val="tab"/>
      <w:lvlText w:val="%1.%2.%3.%4.%5"/>
      <w:lvlJc w:val="left"/>
      <w:pPr>
        <w:ind w:left="1008" w:hanging="1008"/>
        <w:tabs>
          <w:tab w:val="left" w:pos="1008" w:leader="none"/>
        </w:tabs>
      </w:pPr>
    </w:lvl>
    <w:lvl w:ilvl="5">
      <w:start w:val="1"/>
      <w:numFmt w:val="decimal"/>
      <w:pStyle w:val="915"/>
      <w:isLgl w:val="false"/>
      <w:suff w:val="tab"/>
      <w:lvlText w:val="%1.%2.%3.%4.%5.%6"/>
      <w:lvlJc w:val="left"/>
      <w:pPr>
        <w:ind w:left="1152" w:hanging="1152"/>
        <w:tabs>
          <w:tab w:val="left" w:pos="1152" w:leader="none"/>
        </w:tabs>
      </w:pPr>
    </w:lvl>
    <w:lvl w:ilvl="6">
      <w:start w:val="1"/>
      <w:numFmt w:val="decimal"/>
      <w:pStyle w:val="916"/>
      <w:isLgl w:val="false"/>
      <w:suff w:val="tab"/>
      <w:lvlText w:val="%1.%2.%3.%4.%5.%6.%7"/>
      <w:lvlJc w:val="left"/>
      <w:pPr>
        <w:ind w:left="1296" w:hanging="1296"/>
        <w:tabs>
          <w:tab w:val="left" w:pos="1296" w:leader="none"/>
        </w:tabs>
      </w:pPr>
    </w:lvl>
    <w:lvl w:ilvl="7">
      <w:start w:val="1"/>
      <w:numFmt w:val="decimal"/>
      <w:pStyle w:val="917"/>
      <w:isLgl w:val="false"/>
      <w:suff w:val="tab"/>
      <w:lvlText w:val="%1.%2.%3.%4.%5.%6.%7.%8"/>
      <w:lvlJc w:val="left"/>
      <w:pPr>
        <w:ind w:left="1440" w:hanging="1440"/>
        <w:tabs>
          <w:tab w:val="left" w:pos="1440" w:leader="none"/>
        </w:tabs>
      </w:pPr>
    </w:lvl>
    <w:lvl w:ilvl="8">
      <w:start w:val="1"/>
      <w:numFmt w:val="decimal"/>
      <w:pStyle w:val="918"/>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919"/>
    <w:link w:val="910"/>
    <w:uiPriority w:val="9"/>
    <w:rPr>
      <w:rFonts w:ascii="Arial" w:hAnsi="Arial" w:eastAsia="Arial" w:cs="Arial"/>
      <w:sz w:val="40"/>
      <w:szCs w:val="40"/>
    </w:rPr>
  </w:style>
  <w:style w:type="character" w:styleId="759">
    <w:name w:val="Heading 2 Char"/>
    <w:basedOn w:val="919"/>
    <w:link w:val="911"/>
    <w:uiPriority w:val="9"/>
    <w:rPr>
      <w:rFonts w:ascii="Arial" w:hAnsi="Arial" w:eastAsia="Arial" w:cs="Arial"/>
      <w:sz w:val="34"/>
    </w:rPr>
  </w:style>
  <w:style w:type="character" w:styleId="760">
    <w:name w:val="Heading 3 Char"/>
    <w:basedOn w:val="919"/>
    <w:link w:val="912"/>
    <w:uiPriority w:val="9"/>
    <w:rPr>
      <w:rFonts w:ascii="Arial" w:hAnsi="Arial" w:eastAsia="Arial" w:cs="Arial"/>
      <w:sz w:val="30"/>
      <w:szCs w:val="30"/>
    </w:rPr>
  </w:style>
  <w:style w:type="character" w:styleId="761">
    <w:name w:val="Heading 4 Char"/>
    <w:basedOn w:val="919"/>
    <w:link w:val="978"/>
    <w:uiPriority w:val="9"/>
    <w:rPr>
      <w:rFonts w:ascii="Arial" w:hAnsi="Arial" w:eastAsia="Arial" w:cs="Arial"/>
      <w:b/>
      <w:bCs/>
      <w:sz w:val="26"/>
      <w:szCs w:val="26"/>
    </w:rPr>
  </w:style>
  <w:style w:type="character" w:styleId="762">
    <w:name w:val="Heading 5 Char"/>
    <w:basedOn w:val="919"/>
    <w:link w:val="914"/>
    <w:uiPriority w:val="9"/>
    <w:rPr>
      <w:rFonts w:ascii="Arial" w:hAnsi="Arial" w:eastAsia="Arial" w:cs="Arial"/>
      <w:b/>
      <w:bCs/>
      <w:sz w:val="24"/>
      <w:szCs w:val="24"/>
    </w:rPr>
  </w:style>
  <w:style w:type="character" w:styleId="763">
    <w:name w:val="Heading 6 Char"/>
    <w:basedOn w:val="919"/>
    <w:link w:val="915"/>
    <w:uiPriority w:val="9"/>
    <w:rPr>
      <w:rFonts w:ascii="Arial" w:hAnsi="Arial" w:eastAsia="Arial" w:cs="Arial"/>
      <w:b/>
      <w:bCs/>
      <w:sz w:val="22"/>
      <w:szCs w:val="22"/>
    </w:rPr>
  </w:style>
  <w:style w:type="character" w:styleId="764">
    <w:name w:val="Heading 7 Char"/>
    <w:basedOn w:val="919"/>
    <w:link w:val="916"/>
    <w:uiPriority w:val="9"/>
    <w:rPr>
      <w:rFonts w:ascii="Arial" w:hAnsi="Arial" w:eastAsia="Arial" w:cs="Arial"/>
      <w:b/>
      <w:bCs/>
      <w:i/>
      <w:iCs/>
      <w:sz w:val="22"/>
      <w:szCs w:val="22"/>
    </w:rPr>
  </w:style>
  <w:style w:type="character" w:styleId="765">
    <w:name w:val="Heading 8 Char"/>
    <w:basedOn w:val="919"/>
    <w:link w:val="917"/>
    <w:uiPriority w:val="9"/>
    <w:rPr>
      <w:rFonts w:ascii="Arial" w:hAnsi="Arial" w:eastAsia="Arial" w:cs="Arial"/>
      <w:i/>
      <w:iCs/>
      <w:sz w:val="22"/>
      <w:szCs w:val="22"/>
    </w:rPr>
  </w:style>
  <w:style w:type="character" w:styleId="766">
    <w:name w:val="Heading 9 Char"/>
    <w:basedOn w:val="919"/>
    <w:link w:val="918"/>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character" w:styleId="768">
    <w:name w:val="Title Char"/>
    <w:basedOn w:val="919"/>
    <w:link w:val="958"/>
    <w:uiPriority w:val="10"/>
    <w:rPr>
      <w:sz w:val="48"/>
      <w:szCs w:val="48"/>
    </w:rPr>
  </w:style>
  <w:style w:type="paragraph" w:styleId="769">
    <w:name w:val="Subtitle"/>
    <w:basedOn w:val="909"/>
    <w:next w:val="909"/>
    <w:link w:val="770"/>
    <w:uiPriority w:val="11"/>
    <w:qFormat/>
    <w:pPr>
      <w:spacing w:before="200" w:after="200"/>
    </w:pPr>
    <w:rPr>
      <w:sz w:val="24"/>
      <w:szCs w:val="24"/>
    </w:rPr>
  </w:style>
  <w:style w:type="character" w:styleId="770">
    <w:name w:val="Subtitle Char"/>
    <w:basedOn w:val="919"/>
    <w:link w:val="769"/>
    <w:uiPriority w:val="11"/>
    <w:rPr>
      <w:sz w:val="24"/>
      <w:szCs w:val="24"/>
    </w:rPr>
  </w:style>
  <w:style w:type="paragraph" w:styleId="771">
    <w:name w:val="Quote"/>
    <w:basedOn w:val="909"/>
    <w:next w:val="909"/>
    <w:link w:val="772"/>
    <w:uiPriority w:val="29"/>
    <w:qFormat/>
    <w:pPr>
      <w:ind w:left="720" w:right="720"/>
    </w:pPr>
    <w:rPr>
      <w:i/>
    </w:rPr>
  </w:style>
  <w:style w:type="character" w:styleId="772">
    <w:name w:val="Quote Char"/>
    <w:link w:val="771"/>
    <w:uiPriority w:val="29"/>
    <w:rPr>
      <w:i/>
    </w:rPr>
  </w:style>
  <w:style w:type="paragraph" w:styleId="773">
    <w:name w:val="Intense Quote"/>
    <w:basedOn w:val="909"/>
    <w:next w:val="909"/>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19"/>
    <w:link w:val="942"/>
    <w:uiPriority w:val="99"/>
  </w:style>
  <w:style w:type="character" w:styleId="776">
    <w:name w:val="Footer Char"/>
    <w:basedOn w:val="919"/>
    <w:link w:val="940"/>
    <w:uiPriority w:val="99"/>
  </w:style>
  <w:style w:type="paragraph" w:styleId="777">
    <w:name w:val="Caption"/>
    <w:basedOn w:val="909"/>
    <w:next w:val="909"/>
    <w:uiPriority w:val="35"/>
    <w:semiHidden/>
    <w:unhideWhenUsed/>
    <w:qFormat/>
    <w:pPr>
      <w:spacing w:line="276" w:lineRule="auto"/>
    </w:pPr>
    <w:rPr>
      <w:b/>
      <w:bCs/>
      <w:color w:val="4f81bd" w:themeColor="accent1"/>
      <w:sz w:val="18"/>
      <w:szCs w:val="18"/>
    </w:rPr>
  </w:style>
  <w:style w:type="character" w:styleId="778">
    <w:name w:val="Caption Char"/>
    <w:basedOn w:val="777"/>
    <w:link w:val="940"/>
    <w:uiPriority w:val="99"/>
  </w:style>
  <w:style w:type="table" w:styleId="779">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5">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9">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7">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0">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4">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7">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1">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1">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5">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8">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2">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5">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9">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2">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6">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7"/>
    <w:uiPriority w:val="99"/>
    <w:rPr>
      <w:sz w:val="18"/>
    </w:rPr>
  </w:style>
  <w:style w:type="paragraph" w:styleId="905">
    <w:name w:val="endnote text"/>
    <w:basedOn w:val="90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19"/>
    <w:uiPriority w:val="99"/>
    <w:semiHidden/>
    <w:unhideWhenUsed/>
    <w:rPr>
      <w:vertAlign w:val="superscript"/>
    </w:rPr>
  </w:style>
  <w:style w:type="paragraph" w:styleId="908">
    <w:name w:val="TOC Heading"/>
    <w:uiPriority w:val="39"/>
    <w:unhideWhenUsed/>
  </w:style>
  <w:style w:type="paragraph" w:styleId="909"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10">
    <w:name w:val="Heading 1"/>
    <w:basedOn w:val="909"/>
    <w:next w:val="909"/>
    <w:link w:val="1045"/>
    <w:uiPriority w:val="0"/>
    <w:qFormat/>
    <w:pPr>
      <w:keepLines/>
      <w:keepNext/>
      <w:spacing w:before="340" w:after="330" w:line="578" w:lineRule="auto"/>
      <w:outlineLvl w:val="0"/>
    </w:pPr>
    <w:rPr>
      <w:b/>
      <w:sz w:val="44"/>
    </w:rPr>
  </w:style>
  <w:style w:type="paragraph" w:styleId="911">
    <w:name w:val="Heading 2"/>
    <w:basedOn w:val="909"/>
    <w:next w:val="909"/>
    <w:uiPriority w:val="0"/>
    <w:qFormat/>
    <w:pPr>
      <w:jc w:val="left"/>
      <w:keepLines/>
      <w:keepNext/>
      <w:outlineLvl w:val="1"/>
    </w:pPr>
    <w:rPr>
      <w:rFonts w:ascii="宋体" w:hAnsi="宋体"/>
      <w:b/>
    </w:rPr>
  </w:style>
  <w:style w:type="paragraph" w:styleId="912">
    <w:name w:val="Heading 3"/>
    <w:basedOn w:val="909"/>
    <w:next w:val="909"/>
    <w:uiPriority w:val="0"/>
    <w:qFormat/>
    <w:pPr>
      <w:jc w:val="left"/>
      <w:keepLines/>
      <w:keepNext/>
      <w:outlineLvl w:val="2"/>
    </w:pPr>
    <w:rPr>
      <w:b/>
    </w:rPr>
  </w:style>
  <w:style w:type="paragraph" w:styleId="913">
    <w:name w:val="Heading 4"/>
    <w:basedOn w:val="909"/>
    <w:next w:val="909"/>
    <w:uiPriority w:val="9"/>
    <w:qFormat/>
    <w:pPr>
      <w:keepLines/>
      <w:keepNext/>
      <w:spacing w:before="280" w:after="290" w:line="376" w:lineRule="auto"/>
      <w:outlineLvl w:val="3"/>
    </w:pPr>
    <w:rPr>
      <w:rFonts w:ascii="Cambria" w:hAnsi="Cambria"/>
      <w:bCs/>
      <w:szCs w:val="28"/>
    </w:rPr>
  </w:style>
  <w:style w:type="paragraph" w:styleId="914">
    <w:name w:val="Heading 5"/>
    <w:basedOn w:val="909"/>
    <w:next w:val="921"/>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15">
    <w:name w:val="Heading 6"/>
    <w:basedOn w:val="909"/>
    <w:next w:val="909"/>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16">
    <w:name w:val="Heading 7"/>
    <w:basedOn w:val="909"/>
    <w:next w:val="921"/>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17">
    <w:name w:val="Heading 8"/>
    <w:basedOn w:val="909"/>
    <w:next w:val="921"/>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18">
    <w:name w:val="Heading 9"/>
    <w:basedOn w:val="909"/>
    <w:next w:val="921"/>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name w:val="Normal Indent"/>
    <w:basedOn w:val="909"/>
    <w:next w:val="909"/>
    <w:link w:val="983"/>
    <w:uiPriority w:val="0"/>
    <w:qFormat/>
    <w:pPr>
      <w:ind w:firstLine="420"/>
      <w:jc w:val="left"/>
    </w:pPr>
    <w:rPr>
      <w:sz w:val="24"/>
    </w:rPr>
  </w:style>
  <w:style w:type="paragraph" w:styleId="922">
    <w:name w:val="toc 7"/>
    <w:basedOn w:val="909"/>
    <w:next w:val="909"/>
    <w:uiPriority w:val="0"/>
    <w:qFormat/>
    <w:pPr>
      <w:ind w:left="2520"/>
    </w:pPr>
  </w:style>
  <w:style w:type="paragraph" w:styleId="923">
    <w:name w:val="index 8"/>
    <w:basedOn w:val="909"/>
    <w:next w:val="909"/>
    <w:uiPriority w:val="0"/>
    <w:qFormat/>
    <w:pPr>
      <w:ind w:left="2940"/>
    </w:pPr>
  </w:style>
  <w:style w:type="paragraph" w:styleId="924">
    <w:name w:val="index 5"/>
    <w:basedOn w:val="909"/>
    <w:next w:val="909"/>
    <w:uiPriority w:val="0"/>
    <w:qFormat/>
    <w:pPr>
      <w:ind w:left="1680"/>
    </w:pPr>
  </w:style>
  <w:style w:type="paragraph" w:styleId="925">
    <w:name w:val="Document Map"/>
    <w:basedOn w:val="909"/>
    <w:uiPriority w:val="0"/>
    <w:qFormat/>
    <w:pPr>
      <w:shd w:val="clear" w:color="auto" w:fill="000080"/>
    </w:pPr>
  </w:style>
  <w:style w:type="paragraph" w:styleId="926">
    <w:name w:val="annotation text"/>
    <w:basedOn w:val="909"/>
    <w:link w:val="1035"/>
    <w:uiPriority w:val="0"/>
    <w:qFormat/>
    <w:pPr>
      <w:jc w:val="left"/>
    </w:pPr>
  </w:style>
  <w:style w:type="paragraph" w:styleId="927">
    <w:name w:val="index 6"/>
    <w:basedOn w:val="909"/>
    <w:next w:val="909"/>
    <w:uiPriority w:val="0"/>
    <w:qFormat/>
    <w:pPr>
      <w:ind w:left="2100"/>
    </w:pPr>
  </w:style>
  <w:style w:type="paragraph" w:styleId="928">
    <w:name w:val="Body Text"/>
    <w:basedOn w:val="909"/>
    <w:next w:val="909"/>
    <w:uiPriority w:val="0"/>
    <w:qFormat/>
    <w:pPr>
      <w:spacing w:line="400" w:lineRule="exact"/>
    </w:pPr>
    <w:rPr>
      <w:rFonts w:ascii="楷体_GB2312"/>
      <w:sz w:val="28"/>
    </w:rPr>
  </w:style>
  <w:style w:type="paragraph" w:styleId="929">
    <w:name w:val="Body Text Indent"/>
    <w:basedOn w:val="909"/>
    <w:next w:val="909"/>
    <w:uiPriority w:val="0"/>
    <w:qFormat/>
    <w:pPr>
      <w:ind w:left="570"/>
      <w:spacing w:line="520" w:lineRule="exact"/>
    </w:pPr>
    <w:rPr>
      <w:rFonts w:ascii="方正仿宋简体" w:hAnsi="创艺简仿宋" w:eastAsia="方正仿宋简体"/>
      <w:sz w:val="24"/>
    </w:rPr>
  </w:style>
  <w:style w:type="paragraph" w:styleId="930">
    <w:name w:val="List Continue"/>
    <w:basedOn w:val="909"/>
    <w:uiPriority w:val="99"/>
    <w:unhideWhenUsed/>
    <w:qFormat/>
    <w:pPr>
      <w:ind w:left="200"/>
      <w:spacing w:after="120"/>
    </w:pPr>
    <w:rPr>
      <w:rFonts w:ascii="宋体" w:hAnsi="宋体" w:cs="Symbol"/>
      <w:sz w:val="28"/>
    </w:rPr>
  </w:style>
  <w:style w:type="paragraph" w:styleId="931">
    <w:name w:val="index 4"/>
    <w:basedOn w:val="909"/>
    <w:next w:val="909"/>
    <w:uiPriority w:val="0"/>
    <w:qFormat/>
    <w:pPr>
      <w:ind w:left="1260"/>
    </w:pPr>
  </w:style>
  <w:style w:type="paragraph" w:styleId="932">
    <w:name w:val="toc 5"/>
    <w:basedOn w:val="909"/>
    <w:next w:val="909"/>
    <w:uiPriority w:val="0"/>
    <w:qFormat/>
    <w:pPr>
      <w:ind w:left="1680"/>
    </w:pPr>
  </w:style>
  <w:style w:type="paragraph" w:styleId="933">
    <w:name w:val="toc 3"/>
    <w:basedOn w:val="909"/>
    <w:next w:val="909"/>
    <w:uiPriority w:val="0"/>
    <w:qFormat/>
    <w:pPr>
      <w:ind w:left="840"/>
    </w:pPr>
  </w:style>
  <w:style w:type="paragraph" w:styleId="934">
    <w:name w:val="Plain Text"/>
    <w:basedOn w:val="909"/>
    <w:next w:val="921"/>
    <w:link w:val="987"/>
    <w:uiPriority w:val="0"/>
    <w:qFormat/>
    <w:rPr>
      <w:rFonts w:ascii="宋体" w:hAnsi="Courier New"/>
    </w:rPr>
  </w:style>
  <w:style w:type="paragraph" w:styleId="935">
    <w:name w:val="toc 8"/>
    <w:basedOn w:val="909"/>
    <w:next w:val="909"/>
    <w:uiPriority w:val="0"/>
    <w:qFormat/>
    <w:pPr>
      <w:ind w:left="2940"/>
    </w:pPr>
  </w:style>
  <w:style w:type="paragraph" w:styleId="936">
    <w:name w:val="index 3"/>
    <w:basedOn w:val="909"/>
    <w:next w:val="909"/>
    <w:uiPriority w:val="0"/>
    <w:qFormat/>
    <w:pPr>
      <w:ind w:left="840"/>
    </w:pPr>
  </w:style>
  <w:style w:type="paragraph" w:styleId="937">
    <w:name w:val="Date"/>
    <w:basedOn w:val="909"/>
    <w:next w:val="909"/>
    <w:link w:val="988"/>
    <w:uiPriority w:val="0"/>
    <w:qFormat/>
    <w:rPr>
      <w:rFonts w:ascii="宋体" w:hAnsi="宋体"/>
      <w:sz w:val="24"/>
    </w:rPr>
  </w:style>
  <w:style w:type="paragraph" w:styleId="938">
    <w:name w:val="Body Text Indent 2"/>
    <w:basedOn w:val="909"/>
    <w:uiPriority w:val="0"/>
    <w:qFormat/>
    <w:pPr>
      <w:ind w:firstLine="502"/>
      <w:spacing w:line="360" w:lineRule="auto"/>
      <w:tabs>
        <w:tab w:val="left" w:pos="0" w:leader="none"/>
      </w:tabs>
    </w:pPr>
    <w:rPr>
      <w:rFonts w:ascii="宋体" w:eastAsia="宋体"/>
      <w:b/>
      <w:bCs/>
      <w:sz w:val="24"/>
    </w:rPr>
  </w:style>
  <w:style w:type="paragraph" w:styleId="939">
    <w:name w:val="Balloon Text"/>
    <w:basedOn w:val="909"/>
    <w:uiPriority w:val="0"/>
    <w:qFormat/>
    <w:rPr>
      <w:sz w:val="18"/>
      <w:szCs w:val="18"/>
    </w:rPr>
  </w:style>
  <w:style w:type="paragraph" w:styleId="940">
    <w:name w:val="Footer"/>
    <w:basedOn w:val="909"/>
    <w:link w:val="1043"/>
    <w:uiPriority w:val="99"/>
    <w:qFormat/>
    <w:pPr>
      <w:jc w:val="left"/>
      <w:tabs>
        <w:tab w:val="center" w:pos="4153" w:leader="none"/>
        <w:tab w:val="right" w:pos="8306" w:leader="none"/>
      </w:tabs>
    </w:pPr>
    <w:rPr>
      <w:sz w:val="18"/>
    </w:rPr>
  </w:style>
  <w:style w:type="paragraph" w:styleId="941">
    <w:name w:val="envelope return"/>
    <w:basedOn w:val="909"/>
    <w:uiPriority w:val="0"/>
    <w:qFormat/>
    <w:rPr>
      <w:rFonts w:ascii="Arial" w:hAnsi="Arial"/>
    </w:rPr>
  </w:style>
  <w:style w:type="paragraph" w:styleId="942">
    <w:name w:val="Header"/>
    <w:basedOn w:val="909"/>
    <w:link w:val="1044"/>
    <w:uiPriority w:val="99"/>
    <w:qFormat/>
    <w:pPr>
      <w:jc w:val="center"/>
      <w:tabs>
        <w:tab w:val="center" w:pos="4153" w:leader="none"/>
        <w:tab w:val="right" w:pos="8306" w:leader="none"/>
      </w:tabs>
      <w:pBdr>
        <w:bottom w:val="single" w:color="auto" w:sz="6" w:space="1"/>
      </w:pBdr>
    </w:pPr>
    <w:rPr>
      <w:sz w:val="18"/>
    </w:rPr>
  </w:style>
  <w:style w:type="paragraph" w:styleId="943">
    <w:name w:val="toc 1"/>
    <w:basedOn w:val="909"/>
    <w:next w:val="909"/>
    <w:uiPriority w:val="0"/>
    <w:qFormat/>
    <w:pPr>
      <w:tabs>
        <w:tab w:val="right" w:pos="9026" w:leader="dot"/>
      </w:tabs>
    </w:pPr>
    <w:rPr>
      <w:rFonts w:ascii="宋体" w:hAnsi="宋体" w:eastAsia="宋体"/>
      <w:sz w:val="24"/>
    </w:rPr>
  </w:style>
  <w:style w:type="paragraph" w:styleId="944">
    <w:name w:val="toc 4"/>
    <w:basedOn w:val="909"/>
    <w:next w:val="909"/>
    <w:uiPriority w:val="0"/>
    <w:qFormat/>
    <w:pPr>
      <w:ind w:left="1260"/>
    </w:pPr>
  </w:style>
  <w:style w:type="paragraph" w:styleId="945">
    <w:name w:val="index heading"/>
    <w:basedOn w:val="909"/>
    <w:next w:val="946"/>
    <w:uiPriority w:val="0"/>
    <w:qFormat/>
  </w:style>
  <w:style w:type="paragraph" w:styleId="946">
    <w:name w:val="index 1"/>
    <w:basedOn w:val="909"/>
    <w:next w:val="909"/>
    <w:uiPriority w:val="0"/>
    <w:qFormat/>
  </w:style>
  <w:style w:type="paragraph" w:styleId="947">
    <w:name w:val="footnote text"/>
    <w:basedOn w:val="909"/>
    <w:uiPriority w:val="0"/>
    <w:qFormat/>
    <w:pPr>
      <w:jc w:val="left"/>
    </w:pPr>
    <w:rPr>
      <w:sz w:val="18"/>
    </w:rPr>
  </w:style>
  <w:style w:type="paragraph" w:styleId="948">
    <w:name w:val="toc 6"/>
    <w:basedOn w:val="909"/>
    <w:next w:val="909"/>
    <w:uiPriority w:val="0"/>
    <w:qFormat/>
    <w:pPr>
      <w:ind w:left="2100"/>
    </w:pPr>
  </w:style>
  <w:style w:type="paragraph" w:styleId="949">
    <w:name w:val="Body Text Indent 3"/>
    <w:basedOn w:val="909"/>
    <w:uiPriority w:val="0"/>
    <w:qFormat/>
    <w:pPr>
      <w:ind w:firstLine="617"/>
      <w:spacing w:line="360" w:lineRule="auto"/>
    </w:pPr>
    <w:rPr>
      <w:rFonts w:eastAsia="宋体"/>
      <w:sz w:val="24"/>
      <w:szCs w:val="24"/>
    </w:rPr>
  </w:style>
  <w:style w:type="paragraph" w:styleId="950">
    <w:name w:val="index 7"/>
    <w:basedOn w:val="909"/>
    <w:next w:val="909"/>
    <w:uiPriority w:val="0"/>
    <w:qFormat/>
    <w:pPr>
      <w:ind w:left="2520"/>
    </w:pPr>
  </w:style>
  <w:style w:type="paragraph" w:styleId="951">
    <w:name w:val="index 9"/>
    <w:basedOn w:val="909"/>
    <w:next w:val="909"/>
    <w:uiPriority w:val="0"/>
    <w:qFormat/>
    <w:pPr>
      <w:ind w:left="3360"/>
    </w:pPr>
  </w:style>
  <w:style w:type="paragraph" w:styleId="952">
    <w:name w:val="table of figures"/>
    <w:basedOn w:val="909"/>
    <w:next w:val="909"/>
    <w:uiPriority w:val="0"/>
    <w:qFormat/>
    <w:pPr>
      <w:ind w:left="420" w:hanging="420"/>
      <w:jc w:val="left"/>
    </w:pPr>
    <w:rPr>
      <w:smallCaps/>
      <w:sz w:val="24"/>
    </w:rPr>
  </w:style>
  <w:style w:type="paragraph" w:styleId="953">
    <w:name w:val="toc 2"/>
    <w:basedOn w:val="909"/>
    <w:next w:val="909"/>
    <w:uiPriority w:val="0"/>
    <w:qFormat/>
    <w:pPr>
      <w:ind w:left="420"/>
    </w:pPr>
  </w:style>
  <w:style w:type="paragraph" w:styleId="954">
    <w:name w:val="toc 9"/>
    <w:basedOn w:val="909"/>
    <w:next w:val="909"/>
    <w:uiPriority w:val="0"/>
    <w:qFormat/>
    <w:pPr>
      <w:ind w:left="3360"/>
    </w:pPr>
  </w:style>
  <w:style w:type="paragraph" w:styleId="955">
    <w:name w:val="HTML Preformatted"/>
    <w:basedOn w:val="9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56">
    <w:name w:val="Normal (Web)"/>
    <w:basedOn w:val="909"/>
    <w:uiPriority w:val="99"/>
    <w:qFormat/>
    <w:pPr>
      <w:jc w:val="left"/>
      <w:spacing w:before="100" w:beforeAutospacing="1" w:after="100" w:afterAutospacing="1"/>
      <w:widowControl/>
    </w:pPr>
    <w:rPr>
      <w:rFonts w:hint="eastAsia" w:ascii="宋体" w:hAnsi="宋体" w:eastAsia="宋体"/>
      <w:sz w:val="24"/>
      <w:szCs w:val="24"/>
    </w:rPr>
  </w:style>
  <w:style w:type="paragraph" w:styleId="957">
    <w:name w:val="index 2"/>
    <w:basedOn w:val="909"/>
    <w:next w:val="909"/>
    <w:uiPriority w:val="0"/>
    <w:qFormat/>
    <w:pPr>
      <w:ind w:left="420"/>
    </w:pPr>
  </w:style>
  <w:style w:type="paragraph" w:styleId="958">
    <w:name w:val="Title"/>
    <w:basedOn w:val="909"/>
    <w:next w:val="909"/>
    <w:link w:val="1046"/>
    <w:uiPriority w:val="10"/>
    <w:qFormat/>
    <w:pPr>
      <w:jc w:val="center"/>
    </w:pPr>
    <w:rPr>
      <w:rFonts w:ascii="黑体" w:hAnsi="黑体" w:eastAsia="黑体"/>
      <w:sz w:val="28"/>
      <w:szCs w:val="24"/>
    </w:rPr>
  </w:style>
  <w:style w:type="paragraph" w:styleId="959">
    <w:name w:val="annotation subject"/>
    <w:basedOn w:val="926"/>
    <w:next w:val="926"/>
    <w:uiPriority w:val="0"/>
    <w:qFormat/>
    <w:rPr>
      <w:bCs/>
    </w:rPr>
  </w:style>
  <w:style w:type="paragraph" w:styleId="960">
    <w:name w:val="Body Text First Indent"/>
    <w:basedOn w:val="928"/>
    <w:uiPriority w:val="0"/>
    <w:qFormat/>
    <w:pPr>
      <w:ind w:firstLine="420"/>
      <w:spacing w:after="120" w:line="240" w:lineRule="auto"/>
    </w:pPr>
    <w:rPr>
      <w:rFonts w:ascii="Times New Roman"/>
      <w:sz w:val="26"/>
    </w:rPr>
  </w:style>
  <w:style w:type="paragraph" w:styleId="961">
    <w:name w:val="Body Text First Indent 2"/>
    <w:basedOn w:val="929"/>
    <w:next w:val="909"/>
    <w:uiPriority w:val="99"/>
    <w:semiHidden/>
    <w:unhideWhenUsed/>
    <w:qFormat/>
    <w:pPr>
      <w:ind w:firstLine="420"/>
    </w:pPr>
  </w:style>
  <w:style w:type="table" w:styleId="962">
    <w:name w:val="Table Grid"/>
    <w:basedOn w:val="92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Strong"/>
    <w:basedOn w:val="919"/>
    <w:uiPriority w:val="22"/>
    <w:qFormat/>
    <w:rPr>
      <w:b/>
      <w:bCs/>
    </w:rPr>
  </w:style>
  <w:style w:type="character" w:styleId="964">
    <w:name w:val="page number"/>
    <w:basedOn w:val="919"/>
    <w:uiPriority w:val="0"/>
    <w:qFormat/>
  </w:style>
  <w:style w:type="character" w:styleId="965">
    <w:name w:val="FollowedHyperlink"/>
    <w:basedOn w:val="919"/>
    <w:uiPriority w:val="99"/>
    <w:semiHidden/>
    <w:unhideWhenUsed/>
    <w:qFormat/>
    <w:rPr>
      <w:color w:val="333333"/>
      <w:u w:val="none"/>
    </w:rPr>
  </w:style>
  <w:style w:type="character" w:styleId="966">
    <w:name w:val="Emphasis"/>
    <w:basedOn w:val="919"/>
    <w:uiPriority w:val="20"/>
    <w:qFormat/>
  </w:style>
  <w:style w:type="character" w:styleId="967">
    <w:name w:val="HTML Definition"/>
    <w:basedOn w:val="919"/>
    <w:uiPriority w:val="99"/>
    <w:semiHidden/>
    <w:unhideWhenUsed/>
    <w:qFormat/>
  </w:style>
  <w:style w:type="character" w:styleId="968">
    <w:name w:val="HTML Typewriter"/>
    <w:basedOn w:val="919"/>
    <w:uiPriority w:val="99"/>
    <w:semiHidden/>
    <w:unhideWhenUsed/>
    <w:qFormat/>
    <w:rPr>
      <w:rFonts w:hint="default" w:ascii="monospace" w:hAnsi="monospace" w:eastAsia="monospace" w:cs="monospace"/>
      <w:sz w:val="20"/>
    </w:rPr>
  </w:style>
  <w:style w:type="character" w:styleId="969">
    <w:name w:val="HTML Acronym"/>
    <w:basedOn w:val="919"/>
    <w:uiPriority w:val="99"/>
    <w:semiHidden/>
    <w:unhideWhenUsed/>
    <w:qFormat/>
  </w:style>
  <w:style w:type="character" w:styleId="970">
    <w:name w:val="HTML Variable"/>
    <w:basedOn w:val="919"/>
    <w:uiPriority w:val="99"/>
    <w:semiHidden/>
    <w:unhideWhenUsed/>
    <w:qFormat/>
  </w:style>
  <w:style w:type="character" w:styleId="971">
    <w:name w:val="Hyperlink"/>
    <w:basedOn w:val="919"/>
    <w:uiPriority w:val="99"/>
    <w:unhideWhenUsed/>
    <w:qFormat/>
    <w:rPr>
      <w:color w:val="0000ff"/>
      <w:u w:val="none"/>
    </w:rPr>
  </w:style>
  <w:style w:type="character" w:styleId="972">
    <w:name w:val="HTML Code"/>
    <w:basedOn w:val="919"/>
    <w:uiPriority w:val="99"/>
    <w:semiHidden/>
    <w:unhideWhenUsed/>
    <w:qFormat/>
    <w:rPr>
      <w:rFonts w:hint="default" w:ascii="monospace" w:hAnsi="monospace" w:eastAsia="monospace" w:cs="monospace"/>
      <w:sz w:val="20"/>
    </w:rPr>
  </w:style>
  <w:style w:type="character" w:styleId="973">
    <w:name w:val="annotation reference"/>
    <w:uiPriority w:val="0"/>
    <w:qFormat/>
    <w:rPr>
      <w:sz w:val="21"/>
      <w:szCs w:val="21"/>
    </w:rPr>
  </w:style>
  <w:style w:type="character" w:styleId="974">
    <w:name w:val="HTML Cite"/>
    <w:basedOn w:val="919"/>
    <w:uiPriority w:val="99"/>
    <w:semiHidden/>
    <w:unhideWhenUsed/>
    <w:qFormat/>
  </w:style>
  <w:style w:type="character" w:styleId="975">
    <w:name w:val="footnote reference"/>
    <w:uiPriority w:val="0"/>
    <w:qFormat/>
    <w:rPr>
      <w:vertAlign w:val="superscript"/>
    </w:rPr>
  </w:style>
  <w:style w:type="character" w:styleId="976">
    <w:name w:val="HTML Keyboard"/>
    <w:basedOn w:val="919"/>
    <w:uiPriority w:val="99"/>
    <w:semiHidden/>
    <w:unhideWhenUsed/>
    <w:qFormat/>
    <w:rPr>
      <w:rFonts w:ascii="monospace" w:hAnsi="monospace" w:eastAsia="monospace" w:cs="monospace"/>
      <w:sz w:val="20"/>
    </w:rPr>
  </w:style>
  <w:style w:type="character" w:styleId="977">
    <w:name w:val="HTML Sample"/>
    <w:basedOn w:val="919"/>
    <w:uiPriority w:val="99"/>
    <w:semiHidden/>
    <w:unhideWhenUsed/>
    <w:qFormat/>
    <w:rPr>
      <w:rFonts w:hint="default" w:ascii="monospace" w:hAnsi="monospace" w:eastAsia="monospace" w:cs="monospace"/>
    </w:rPr>
  </w:style>
  <w:style w:type="paragraph" w:styleId="978" w:customStyle="1">
    <w:name w:val="Heading 4"/>
    <w:basedOn w:val="909"/>
    <w:next w:val="979"/>
    <w:uiPriority w:val="0"/>
    <w:qFormat/>
    <w:pPr>
      <w:keepLines/>
      <w:keepNext/>
      <w:spacing w:before="120" w:after="120"/>
    </w:pPr>
    <w:rPr>
      <w:rFonts w:ascii="Cambria" w:hAnsi="Cambria" w:eastAsia="华文细黑"/>
      <w:b/>
      <w:sz w:val="28"/>
    </w:rPr>
  </w:style>
  <w:style w:type="paragraph" w:styleId="979" w:customStyle="1">
    <w:name w:val="NormalIndent"/>
    <w:basedOn w:val="909"/>
    <w:uiPriority w:val="0"/>
    <w:qFormat/>
    <w:pPr>
      <w:ind w:firstLine="420"/>
    </w:pPr>
  </w:style>
  <w:style w:type="paragraph" w:styleId="980" w:customStyle="1">
    <w:name w:val="正文1"/>
    <w:next w:val="909"/>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981" w:customStyle="1">
    <w:name w:val="段"/>
    <w:next w:val="909"/>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82" w:customStyle="1">
    <w:name w:val="目录 51"/>
    <w:next w:val="909"/>
    <w:uiPriority w:val="0"/>
    <w:qFormat/>
    <w:pPr>
      <w:ind w:left="1275"/>
      <w:jc w:val="both"/>
    </w:pPr>
    <w:rPr>
      <w:rFonts w:ascii="Times New Roman" w:hAnsi="Times New Roman" w:eastAsia="宋体" w:cs="Times New Roman"/>
      <w:sz w:val="21"/>
      <w:lang w:val="en-US" w:eastAsia="zh-CN" w:bidi="ar-SA"/>
    </w:rPr>
  </w:style>
  <w:style w:type="character" w:styleId="983" w:customStyle="1">
    <w:name w:val="正文缩进 Char"/>
    <w:link w:val="921"/>
    <w:uiPriority w:val="0"/>
    <w:qFormat/>
    <w:rPr>
      <w:rFonts w:eastAsia="楷体_GB2312"/>
      <w:sz w:val="24"/>
      <w:lang w:val="en-US" w:eastAsia="zh-CN" w:bidi="ar-SA"/>
    </w:rPr>
  </w:style>
  <w:style w:type="character" w:styleId="984" w:customStyle="1">
    <w:name w:val="列出段落 Char"/>
    <w:link w:val="985"/>
    <w:uiPriority w:val="0"/>
    <w:qFormat/>
    <w:rPr>
      <w:rFonts w:eastAsia="楷体_GB2312"/>
      <w:sz w:val="26"/>
      <w:lang w:val="zh-CN" w:eastAsia="zh-CN" w:bidi="ar-SA"/>
    </w:rPr>
  </w:style>
  <w:style w:type="paragraph" w:styleId="985" w:customStyle="1">
    <w:name w:val="序号"/>
    <w:basedOn w:val="909"/>
    <w:next w:val="986"/>
    <w:link w:val="984"/>
    <w:uiPriority w:val="0"/>
    <w:qFormat/>
    <w:pPr>
      <w:ind w:firstLine="420"/>
    </w:pPr>
    <w:rPr>
      <w:lang w:val="zh-CN"/>
    </w:rPr>
  </w:style>
  <w:style w:type="paragraph" w:styleId="986" w:customStyle="1">
    <w:name w:val="列表段落1"/>
    <w:basedOn w:val="909"/>
    <w:uiPriority w:val="34"/>
    <w:qFormat/>
    <w:pPr>
      <w:ind w:firstLine="420"/>
    </w:pPr>
  </w:style>
  <w:style w:type="character" w:styleId="987" w:customStyle="1">
    <w:name w:val="纯文本 Char"/>
    <w:link w:val="934"/>
    <w:uiPriority w:val="0"/>
    <w:qFormat/>
    <w:rPr>
      <w:rFonts w:ascii="宋体" w:hAnsi="Courier New" w:eastAsia="楷体_GB2312"/>
      <w:sz w:val="26"/>
      <w:lang w:val="en-US" w:eastAsia="zh-CN" w:bidi="ar-SA"/>
    </w:rPr>
  </w:style>
  <w:style w:type="character" w:styleId="988" w:customStyle="1">
    <w:name w:val="日期 Char"/>
    <w:link w:val="937"/>
    <w:uiPriority w:val="0"/>
    <w:qFormat/>
    <w:rPr>
      <w:rFonts w:ascii="宋体" w:hAnsi="宋体" w:eastAsia="楷体_GB2312"/>
      <w:sz w:val="24"/>
      <w:lang w:val="en-US" w:eastAsia="zh-CN" w:bidi="ar-SA"/>
    </w:rPr>
  </w:style>
  <w:style w:type="character" w:styleId="989" w:customStyle="1">
    <w:name w:val="表格正文 字符"/>
    <w:link w:val="990"/>
    <w:uiPriority w:val="0"/>
    <w:qFormat/>
    <w:rPr>
      <w:rFonts w:ascii="宋体" w:hAnsi="宋体" w:eastAsia="楷体_GB2312"/>
      <w:sz w:val="26"/>
      <w:szCs w:val="24"/>
      <w:lang w:val="en-US" w:eastAsia="zh-CN" w:bidi="ar-SA"/>
    </w:rPr>
  </w:style>
  <w:style w:type="paragraph" w:styleId="990" w:customStyle="1">
    <w:name w:val="表格正文"/>
    <w:basedOn w:val="909"/>
    <w:next w:val="909"/>
    <w:link w:val="989"/>
    <w:uiPriority w:val="0"/>
    <w:qFormat/>
    <w:rPr>
      <w:rFonts w:ascii="宋体" w:hAnsi="宋体"/>
      <w:szCs w:val="24"/>
    </w:rPr>
  </w:style>
  <w:style w:type="character" w:styleId="991" w:customStyle="1">
    <w:name w:val="缩进正文 字符"/>
    <w:link w:val="992"/>
    <w:uiPriority w:val="0"/>
    <w:qFormat/>
    <w:rPr>
      <w:rFonts w:ascii="Calibri" w:hAnsi="Calibri" w:eastAsia="楷体_GB2312"/>
      <w:sz w:val="26"/>
      <w:szCs w:val="24"/>
      <w:lang w:val="en-US" w:eastAsia="zh-CN" w:bidi="ar-SA"/>
    </w:rPr>
  </w:style>
  <w:style w:type="paragraph" w:styleId="992" w:customStyle="1">
    <w:name w:val="缩进正文"/>
    <w:basedOn w:val="909"/>
    <w:link w:val="991"/>
    <w:uiPriority w:val="0"/>
    <w:qFormat/>
    <w:pPr>
      <w:ind w:firstLine="200"/>
    </w:pPr>
    <w:rPr>
      <w:rFonts w:ascii="Calibri" w:hAnsi="Calibri"/>
      <w:szCs w:val="24"/>
    </w:rPr>
  </w:style>
  <w:style w:type="paragraph" w:styleId="993" w:customStyle="1">
    <w:name w:val="Char Char Char"/>
    <w:basedOn w:val="909"/>
    <w:uiPriority w:val="0"/>
    <w:qFormat/>
    <w:pPr>
      <w:numPr>
        <w:ilvl w:val="0"/>
        <w:numId w:val="1"/>
      </w:numPr>
      <w:tabs>
        <w:tab w:val="clear" w:pos="432" w:leader="none"/>
        <w:tab w:val="left" w:pos="840" w:leader="none"/>
      </w:tabs>
    </w:pPr>
    <w:rPr>
      <w:rFonts w:eastAsia="宋体"/>
      <w:sz w:val="21"/>
      <w:szCs w:val="24"/>
    </w:rPr>
  </w:style>
  <w:style w:type="paragraph" w:styleId="994" w:customStyle="1">
    <w:name w:val="Char Char Char1 Char Char Char Char"/>
    <w:basedOn w:val="909"/>
    <w:uiPriority w:val="0"/>
    <w:qFormat/>
    <w:pPr>
      <w:jc w:val="left"/>
      <w:spacing w:after="160" w:line="240" w:lineRule="exact"/>
      <w:widowControl/>
    </w:pPr>
    <w:rPr>
      <w:rFonts w:eastAsia="宋体"/>
      <w:sz w:val="24"/>
      <w:szCs w:val="24"/>
    </w:rPr>
  </w:style>
  <w:style w:type="paragraph" w:styleId="995"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996" w:customStyle="1">
    <w:name w:val="首行缩进"/>
    <w:basedOn w:val="909"/>
    <w:uiPriority w:val="0"/>
    <w:qFormat/>
    <w:pPr>
      <w:ind w:firstLine="480"/>
    </w:pPr>
    <w:rPr>
      <w:lang w:val="zh-CN"/>
    </w:rPr>
  </w:style>
  <w:style w:type="paragraph" w:styleId="997" w:customStyle="1">
    <w:name w:val="纯文本1"/>
    <w:basedOn w:val="909"/>
    <w:uiPriority w:val="0"/>
    <w:qFormat/>
    <w:rPr>
      <w:rFonts w:ascii="宋体" w:hAnsi="Courier New"/>
    </w:rPr>
  </w:style>
  <w:style w:type="paragraph" w:styleId="998" w:customStyle="1">
    <w:name w:val="_Style 1"/>
    <w:basedOn w:val="909"/>
    <w:uiPriority w:val="34"/>
    <w:qFormat/>
    <w:pPr>
      <w:ind w:firstLine="420"/>
      <w:spacing w:line="312" w:lineRule="auto"/>
    </w:pPr>
  </w:style>
  <w:style w:type="paragraph" w:styleId="999" w:customStyle="1">
    <w:name w:val="_Style 12"/>
    <w:basedOn w:val="925"/>
    <w:uiPriority w:val="0"/>
    <w:qFormat/>
    <w:pPr>
      <w:spacing w:line="360" w:lineRule="auto"/>
    </w:pPr>
  </w:style>
  <w:style w:type="paragraph" w:styleId="1000" w:customStyle="1">
    <w:name w:val="列出段落1"/>
    <w:basedOn w:val="909"/>
    <w:uiPriority w:val="0"/>
    <w:qFormat/>
    <w:pPr>
      <w:ind w:firstLine="420"/>
    </w:pPr>
    <w:rPr>
      <w:rFonts w:ascii="Calibri" w:hAnsi="Calibri"/>
      <w:szCs w:val="21"/>
    </w:rPr>
  </w:style>
  <w:style w:type="paragraph" w:styleId="1001" w:customStyle="1">
    <w:name w:val="缩进正文-"/>
    <w:basedOn w:val="909"/>
    <w:uiPriority w:val="0"/>
    <w:qFormat/>
    <w:pPr>
      <w:ind w:firstLine="200"/>
      <w:spacing w:before="100" w:beforeAutospacing="1" w:line="360" w:lineRule="auto"/>
    </w:pPr>
    <w:rPr>
      <w:rFonts w:ascii="宋体" w:hAnsi="宋体" w:eastAsia="宋体"/>
      <w:color w:val="000000"/>
      <w:sz w:val="24"/>
      <w:szCs w:val="21"/>
    </w:rPr>
  </w:style>
  <w:style w:type="paragraph" w:styleId="1002" w:customStyle="1">
    <w:name w:val="*正文"/>
    <w:basedOn w:val="909"/>
    <w:uiPriority w:val="0"/>
    <w:qFormat/>
    <w:pPr>
      <w:ind w:firstLine="200"/>
      <w:spacing w:line="360" w:lineRule="auto"/>
      <w:widowControl/>
    </w:pPr>
    <w:rPr>
      <w:rFonts w:ascii="仿宋_GB2312" w:hAnsi="Calibri" w:eastAsia="仿宋_GB2312"/>
      <w:sz w:val="24"/>
      <w:szCs w:val="28"/>
    </w:rPr>
  </w:style>
  <w:style w:type="paragraph" w:styleId="1003" w:customStyle="1">
    <w:name w:val="纯文本11"/>
    <w:basedOn w:val="909"/>
    <w:uiPriority w:val="99"/>
    <w:qFormat/>
    <w:rPr>
      <w:rFonts w:ascii="宋体" w:hAnsi="Courier New"/>
    </w:rPr>
  </w:style>
  <w:style w:type="paragraph" w:styleId="1004" w:customStyle="1">
    <w:name w:val="Char Char Char1 Char"/>
    <w:basedOn w:val="909"/>
    <w:uiPriority w:val="0"/>
    <w:semiHidden/>
    <w:qFormat/>
    <w:pPr>
      <w:ind w:firstLine="200"/>
      <w:spacing w:line="360" w:lineRule="auto"/>
    </w:pPr>
    <w:rPr>
      <w:rFonts w:ascii="宋体" w:hAnsi="宋体" w:cs="宋体"/>
      <w:sz w:val="24"/>
    </w:rPr>
  </w:style>
  <w:style w:type="paragraph" w:styleId="1005" w:customStyle="1">
    <w:name w:val="Char Char1 Char Char Char Char"/>
    <w:basedOn w:val="925"/>
    <w:uiPriority w:val="0"/>
    <w:qFormat/>
    <w:pPr>
      <w:spacing w:line="360" w:lineRule="auto"/>
    </w:pPr>
    <w:rPr>
      <w:rFonts w:ascii="Tahoma" w:hAnsi="Tahoma" w:eastAsia="宋体"/>
      <w:sz w:val="24"/>
      <w:szCs w:val="24"/>
    </w:rPr>
  </w:style>
  <w:style w:type="paragraph" w:styleId="1006" w:customStyle="1">
    <w:name w:val="p0"/>
    <w:basedOn w:val="909"/>
    <w:uiPriority w:val="0"/>
    <w:qFormat/>
    <w:rPr>
      <w:rFonts w:hint="eastAsia"/>
    </w:rPr>
  </w:style>
  <w:style w:type="paragraph" w:styleId="1007">
    <w:name w:val="List Paragraph"/>
    <w:basedOn w:val="909"/>
    <w:uiPriority w:val="34"/>
    <w:qFormat/>
    <w:pPr>
      <w:ind w:firstLine="420"/>
    </w:pPr>
    <w:rPr>
      <w:rFonts w:ascii="宋体" w:hAnsi="宋体" w:eastAsia="宋体"/>
      <w:sz w:val="24"/>
      <w:szCs w:val="24"/>
    </w:rPr>
  </w:style>
  <w:style w:type="paragraph" w:styleId="1008" w:customStyle="1">
    <w:name w:val="Char"/>
    <w:basedOn w:val="909"/>
    <w:uiPriority w:val="0"/>
    <w:qFormat/>
    <w:rPr>
      <w:rFonts w:ascii="Tahoma" w:hAnsi="Tahoma" w:eastAsia="宋体"/>
      <w:sz w:val="24"/>
    </w:rPr>
  </w:style>
  <w:style w:type="paragraph" w:styleId="1009" w:customStyle="1">
    <w:name w:val="列出段落2"/>
    <w:basedOn w:val="909"/>
    <w:uiPriority w:val="34"/>
    <w:qFormat/>
    <w:pPr>
      <w:ind w:firstLine="420"/>
    </w:pPr>
  </w:style>
  <w:style w:type="paragraph" w:styleId="1010" w:customStyle="1">
    <w:name w:val="纯文本12"/>
    <w:basedOn w:val="909"/>
    <w:uiPriority w:val="0"/>
    <w:qFormat/>
    <w:rPr>
      <w:rFonts w:ascii="宋体" w:hAnsi="Courier New"/>
    </w:rPr>
  </w:style>
  <w:style w:type="paragraph" w:styleId="1011" w:customStyle="1">
    <w:name w:val="纯文本2"/>
    <w:basedOn w:val="909"/>
    <w:uiPriority w:val="0"/>
    <w:qFormat/>
    <w:rPr>
      <w:rFonts w:ascii="宋体" w:hAnsi="Courier New"/>
    </w:rPr>
  </w:style>
  <w:style w:type="paragraph" w:styleId="1012" w:customStyle="1">
    <w:name w:val="Char1"/>
    <w:basedOn w:val="909"/>
    <w:uiPriority w:val="0"/>
    <w:qFormat/>
    <w:rPr>
      <w:rFonts w:ascii="Tahoma" w:hAnsi="Tahoma" w:eastAsia="宋体"/>
      <w:sz w:val="24"/>
    </w:rPr>
  </w:style>
  <w:style w:type="paragraph" w:styleId="1013" w:customStyle="1">
    <w:name w:val="表格内容"/>
    <w:basedOn w:val="909"/>
    <w:uiPriority w:val="0"/>
    <w:qFormat/>
    <w:pPr>
      <w:jc w:val="left"/>
      <w:spacing w:before="100" w:beforeAutospacing="1" w:after="100" w:afterAutospacing="1" w:line="360" w:lineRule="auto"/>
    </w:pPr>
    <w:rPr>
      <w:rFonts w:ascii="宋体" w:hAnsi="宋体" w:eastAsia="宋体"/>
      <w:bCs/>
      <w:sz w:val="21"/>
      <w:szCs w:val="21"/>
    </w:rPr>
  </w:style>
  <w:style w:type="paragraph" w:styleId="1014" w:customStyle="1">
    <w:name w:val="纯文本3"/>
    <w:basedOn w:val="909"/>
    <w:uiPriority w:val="0"/>
    <w:qFormat/>
    <w:rPr>
      <w:rFonts w:ascii="宋体" w:hAnsi="Courier New"/>
      <w:sz w:val="28"/>
    </w:rPr>
  </w:style>
  <w:style w:type="paragraph" w:styleId="1015" w:customStyle="1">
    <w:name w:val="font7"/>
    <w:basedOn w:val="909"/>
    <w:uiPriority w:val="0"/>
    <w:qFormat/>
    <w:pPr>
      <w:jc w:val="left"/>
      <w:spacing w:before="100" w:beforeAutospacing="1" w:after="100" w:afterAutospacing="1"/>
      <w:widowControl/>
    </w:pPr>
    <w:rPr>
      <w:rFonts w:eastAsia="宋体"/>
      <w:sz w:val="20"/>
    </w:rPr>
  </w:style>
  <w:style w:type="paragraph" w:styleId="1016" w:customStyle="1">
    <w:name w:val="纯文本4"/>
    <w:basedOn w:val="909"/>
    <w:uiPriority w:val="0"/>
    <w:qFormat/>
    <w:rPr>
      <w:rFonts w:ascii="宋体" w:hAnsi="Courier New"/>
    </w:rPr>
  </w:style>
  <w:style w:type="paragraph" w:styleId="1017" w:customStyle="1">
    <w:name w:val="纯文本5"/>
    <w:basedOn w:val="909"/>
    <w:uiPriority w:val="0"/>
    <w:qFormat/>
    <w:rPr>
      <w:rFonts w:ascii="宋体" w:hAnsi="Courier New"/>
      <w:sz w:val="28"/>
    </w:rPr>
  </w:style>
  <w:style w:type="paragraph" w:styleId="1018"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19" w:customStyle="1">
    <w:name w:val="font171"/>
    <w:basedOn w:val="919"/>
    <w:uiPriority w:val="0"/>
    <w:qFormat/>
    <w:rPr>
      <w:rFonts w:hint="eastAsia" w:ascii="宋体" w:hAnsi="宋体" w:eastAsia="宋体" w:cs="宋体"/>
      <w:b/>
      <w:bCs/>
      <w:color w:val="000000"/>
      <w:sz w:val="36"/>
      <w:szCs w:val="36"/>
      <w:u w:val="none"/>
    </w:rPr>
  </w:style>
  <w:style w:type="character" w:styleId="1020" w:customStyle="1">
    <w:name w:val="font41"/>
    <w:basedOn w:val="919"/>
    <w:uiPriority w:val="0"/>
    <w:qFormat/>
    <w:rPr>
      <w:rFonts w:hint="default" w:ascii="Times New Roman" w:hAnsi="Times New Roman" w:cs="Times New Roman"/>
      <w:b/>
      <w:bCs/>
      <w:color w:val="000000"/>
      <w:sz w:val="36"/>
      <w:szCs w:val="36"/>
      <w:u w:val="none"/>
    </w:rPr>
  </w:style>
  <w:style w:type="character" w:styleId="1021" w:customStyle="1">
    <w:name w:val="font101"/>
    <w:basedOn w:val="919"/>
    <w:uiPriority w:val="0"/>
    <w:qFormat/>
    <w:rPr>
      <w:rFonts w:hint="eastAsia" w:ascii="宋体" w:hAnsi="宋体" w:eastAsia="宋体" w:cs="宋体"/>
      <w:b/>
      <w:bCs/>
      <w:color w:val="000000"/>
      <w:sz w:val="24"/>
      <w:szCs w:val="24"/>
      <w:u w:val="none"/>
    </w:rPr>
  </w:style>
  <w:style w:type="character" w:styleId="1022" w:customStyle="1">
    <w:name w:val="font91"/>
    <w:basedOn w:val="919"/>
    <w:uiPriority w:val="0"/>
    <w:qFormat/>
    <w:rPr>
      <w:rFonts w:hint="default" w:ascii="Times New Roman" w:hAnsi="Times New Roman" w:cs="Times New Roman"/>
      <w:b/>
      <w:bCs/>
      <w:color w:val="000000"/>
      <w:sz w:val="24"/>
      <w:szCs w:val="24"/>
      <w:u w:val="none"/>
    </w:rPr>
  </w:style>
  <w:style w:type="character" w:styleId="1023" w:customStyle="1">
    <w:name w:val="font121"/>
    <w:basedOn w:val="919"/>
    <w:uiPriority w:val="0"/>
    <w:qFormat/>
    <w:rPr>
      <w:rFonts w:hint="eastAsia" w:ascii="宋体" w:hAnsi="宋体" w:eastAsia="宋体" w:cs="宋体"/>
      <w:color w:val="000000"/>
      <w:sz w:val="24"/>
      <w:szCs w:val="24"/>
      <w:u w:val="none"/>
    </w:rPr>
  </w:style>
  <w:style w:type="character" w:styleId="1024" w:customStyle="1">
    <w:name w:val="font61"/>
    <w:basedOn w:val="919"/>
    <w:uiPriority w:val="0"/>
    <w:qFormat/>
    <w:rPr>
      <w:rFonts w:hint="default" w:ascii="Times New Roman" w:hAnsi="Times New Roman" w:cs="Times New Roman"/>
      <w:color w:val="000000"/>
      <w:sz w:val="24"/>
      <w:szCs w:val="24"/>
      <w:u w:val="none"/>
    </w:rPr>
  </w:style>
  <w:style w:type="character" w:styleId="1025" w:customStyle="1">
    <w:name w:val="font151"/>
    <w:basedOn w:val="919"/>
    <w:uiPriority w:val="0"/>
    <w:qFormat/>
    <w:rPr>
      <w:rFonts w:ascii="宋体" w:hAnsi="宋体" w:eastAsia="宋体" w:cs="宋体"/>
      <w:color w:val="000000"/>
      <w:sz w:val="24"/>
      <w:szCs w:val="24"/>
      <w:u w:val="none"/>
    </w:rPr>
  </w:style>
  <w:style w:type="paragraph" w:styleId="1026"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27" w:customStyle="1">
    <w:name w:val="msolistparagraph"/>
    <w:basedOn w:val="909"/>
    <w:uiPriority w:val="0"/>
    <w:qFormat/>
    <w:pPr>
      <w:ind w:firstLine="420"/>
    </w:pPr>
    <w:rPr>
      <w:szCs w:val="21"/>
    </w:rPr>
  </w:style>
  <w:style w:type="paragraph" w:styleId="1028" w:customStyle="1">
    <w:name w:val="Table Paragraph"/>
    <w:basedOn w:val="909"/>
    <w:uiPriority w:val="1"/>
    <w:qFormat/>
    <w:rPr>
      <w:rFonts w:ascii="宋体" w:hAnsi="宋体" w:cs="宋体"/>
      <w:lang w:val="zh-CN" w:bidi="zh-CN"/>
    </w:rPr>
  </w:style>
  <w:style w:type="character" w:styleId="1029" w:customStyle="1">
    <w:name w:val="font21"/>
    <w:basedOn w:val="919"/>
    <w:uiPriority w:val="0"/>
    <w:qFormat/>
    <w:rPr>
      <w:rFonts w:hint="eastAsia" w:ascii="仿宋" w:hAnsi="仿宋" w:eastAsia="仿宋" w:cs="仿宋"/>
      <w:color w:val="000000"/>
      <w:sz w:val="22"/>
      <w:szCs w:val="22"/>
      <w:u w:val="none"/>
    </w:rPr>
  </w:style>
  <w:style w:type="character" w:styleId="1030" w:customStyle="1">
    <w:name w:val="font71"/>
    <w:basedOn w:val="919"/>
    <w:uiPriority w:val="0"/>
    <w:qFormat/>
    <w:rPr>
      <w:rFonts w:hint="eastAsia" w:ascii="宋体" w:hAnsi="宋体" w:eastAsia="宋体" w:cs="宋体"/>
      <w:color w:val="000000"/>
      <w:sz w:val="22"/>
      <w:szCs w:val="22"/>
      <w:u w:val="none"/>
    </w:rPr>
  </w:style>
  <w:style w:type="character" w:styleId="1031" w:customStyle="1">
    <w:name w:val="font01"/>
    <w:basedOn w:val="919"/>
    <w:uiPriority w:val="0"/>
    <w:qFormat/>
    <w:rPr>
      <w:rFonts w:hint="eastAsia" w:ascii="宋体" w:hAnsi="宋体" w:eastAsia="宋体" w:cs="宋体"/>
      <w:color w:val="000000"/>
      <w:sz w:val="22"/>
      <w:szCs w:val="22"/>
      <w:u w:val="none"/>
    </w:rPr>
  </w:style>
  <w:style w:type="character" w:styleId="1032" w:customStyle="1">
    <w:name w:val="font11"/>
    <w:basedOn w:val="919"/>
    <w:uiPriority w:val="0"/>
    <w:qFormat/>
    <w:rPr>
      <w:rFonts w:hint="eastAsia" w:ascii="宋体" w:hAnsi="宋体" w:eastAsia="宋体" w:cs="宋体"/>
      <w:color w:val="ff0000"/>
      <w:sz w:val="22"/>
      <w:szCs w:val="22"/>
      <w:u w:val="none"/>
    </w:rPr>
  </w:style>
  <w:style w:type="character" w:styleId="1033" w:customStyle="1">
    <w:name w:val="font31"/>
    <w:basedOn w:val="919"/>
    <w:uiPriority w:val="0"/>
    <w:qFormat/>
    <w:rPr>
      <w:rFonts w:hint="eastAsia" w:ascii="宋体" w:hAnsi="宋体" w:eastAsia="宋体" w:cs="宋体"/>
      <w:color w:val="ff0000"/>
      <w:sz w:val="22"/>
      <w:szCs w:val="22"/>
      <w:u w:val="none"/>
    </w:rPr>
  </w:style>
  <w:style w:type="paragraph" w:styleId="1034" w:customStyle="1">
    <w:name w:val="p2"/>
    <w:basedOn w:val="909"/>
    <w:uiPriority w:val="0"/>
    <w:qFormat/>
    <w:pPr>
      <w:spacing w:before="100" w:beforeAutospacing="1" w:after="100" w:afterAutospacing="1"/>
    </w:pPr>
    <w:rPr>
      <w:rFonts w:ascii="宋体" w:hAnsi="宋体"/>
      <w:sz w:val="24"/>
      <w:szCs w:val="24"/>
    </w:rPr>
  </w:style>
  <w:style w:type="character" w:styleId="1035" w:customStyle="1">
    <w:name w:val="批注文字 Char"/>
    <w:link w:val="926"/>
    <w:uiPriority w:val="0"/>
    <w:qFormat/>
    <w:rPr>
      <w:rFonts w:eastAsia="楷体_GB2312"/>
      <w:sz w:val="26"/>
    </w:rPr>
  </w:style>
  <w:style w:type="character" w:styleId="1036" w:customStyle="1">
    <w:name w:val="NormalCharacter"/>
    <w:link w:val="1037"/>
    <w:uiPriority w:val="0"/>
    <w:qFormat/>
    <w:rPr>
      <w:sz w:val="20"/>
      <w:szCs w:val="20"/>
    </w:rPr>
  </w:style>
  <w:style w:type="paragraph" w:styleId="1037" w:customStyle="1">
    <w:name w:val="UserStyle_4"/>
    <w:basedOn w:val="909"/>
    <w:link w:val="1036"/>
    <w:uiPriority w:val="99"/>
    <w:qFormat/>
    <w:rPr>
      <w:sz w:val="20"/>
    </w:rPr>
  </w:style>
  <w:style w:type="character" w:styleId="1038" w:customStyle="1">
    <w:name w:val="hover"/>
    <w:basedOn w:val="919"/>
    <w:uiPriority w:val="0"/>
    <w:qFormat/>
    <w:rPr>
      <w:color w:val="2590eb"/>
    </w:rPr>
  </w:style>
  <w:style w:type="character" w:styleId="1039" w:customStyle="1">
    <w:name w:val="hover1"/>
    <w:basedOn w:val="919"/>
    <w:uiPriority w:val="0"/>
    <w:qFormat/>
  </w:style>
  <w:style w:type="character" w:styleId="1040" w:customStyle="1">
    <w:name w:val="hover2"/>
    <w:basedOn w:val="919"/>
    <w:uiPriority w:val="0"/>
    <w:qFormat/>
    <w:rPr>
      <w:color w:val="2590eb"/>
    </w:rPr>
  </w:style>
  <w:style w:type="character" w:styleId="1041" w:customStyle="1">
    <w:name w:val="15"/>
    <w:basedOn w:val="919"/>
    <w:uiPriority w:val="0"/>
    <w:qFormat/>
  </w:style>
  <w:style w:type="paragraph" w:styleId="1042" w:customStyle="1">
    <w:name w:val="p"/>
    <w:basedOn w:val="909"/>
    <w:uiPriority w:val="0"/>
    <w:qFormat/>
    <w:pPr>
      <w:jc w:val="left"/>
      <w:spacing w:before="100" w:beforeAutospacing="1" w:after="100" w:afterAutospacing="1"/>
      <w:widowControl/>
    </w:pPr>
    <w:rPr>
      <w:rFonts w:ascii="宋体" w:hAnsi="宋体" w:eastAsia="宋体" w:cs="宋体"/>
      <w:sz w:val="24"/>
      <w:szCs w:val="24"/>
    </w:rPr>
  </w:style>
  <w:style w:type="character" w:styleId="1043" w:customStyle="1">
    <w:name w:val="页脚 Char"/>
    <w:basedOn w:val="919"/>
    <w:link w:val="940"/>
    <w:uiPriority w:val="99"/>
    <w:qFormat/>
    <w:rPr>
      <w:rFonts w:eastAsia="楷体_GB2312"/>
      <w:sz w:val="18"/>
    </w:rPr>
  </w:style>
  <w:style w:type="character" w:styleId="1044" w:customStyle="1">
    <w:name w:val="页眉 Char"/>
    <w:basedOn w:val="919"/>
    <w:link w:val="942"/>
    <w:uiPriority w:val="99"/>
    <w:qFormat/>
    <w:rPr>
      <w:rFonts w:eastAsia="楷体_GB2312"/>
      <w:sz w:val="18"/>
    </w:rPr>
  </w:style>
  <w:style w:type="character" w:styleId="1045" w:customStyle="1">
    <w:name w:val="标题 1 Char"/>
    <w:link w:val="910"/>
    <w:uiPriority w:val="0"/>
    <w:qFormat/>
    <w:rPr>
      <w:rFonts w:eastAsia="楷体_GB2312"/>
      <w:b/>
      <w:sz w:val="44"/>
    </w:rPr>
  </w:style>
  <w:style w:type="character" w:styleId="1046" w:customStyle="1">
    <w:name w:val="标题 Char"/>
    <w:basedOn w:val="919"/>
    <w:link w:val="958"/>
    <w:uiPriority w:val="10"/>
    <w:qFormat/>
    <w:rPr>
      <w:rFonts w:ascii="黑体" w:hAnsi="黑体" w:eastAsia="黑体"/>
      <w:sz w:val="28"/>
      <w:szCs w:val="24"/>
    </w:rPr>
  </w:style>
  <w:style w:type="paragraph" w:styleId="1047" w:customStyle="1">
    <w:name w:val="UserStyle_780"/>
    <w:basedOn w:val="909"/>
    <w:uiPriority w:val="0"/>
    <w:qFormat/>
    <w:rPr>
      <w:rFonts w:ascii="宋体" w:hAnsi="Courier New"/>
      <w:sz w:val="28"/>
      <w:szCs w:val="24"/>
    </w:rPr>
  </w:style>
  <w:style w:type="paragraph" w:styleId="1048" w:customStyle="1">
    <w:name w:val="修订1"/>
    <w:hidden/>
    <w:uiPriority w:val="99"/>
    <w:semiHidden/>
    <w:qFormat/>
    <w:rPr>
      <w:rFonts w:ascii="Times New Roman" w:hAnsi="Times New Roman" w:eastAsia="楷体_GB2312" w:cs="Times New Roman"/>
      <w:sz w:val="26"/>
      <w:lang w:val="en-US" w:eastAsia="zh-CN" w:bidi="ar-SA"/>
    </w:rPr>
  </w:style>
  <w:style w:type="paragraph" w:styleId="1049" w:customStyle="1">
    <w:name w:val="修订2"/>
    <w:hidden/>
    <w:uiPriority w:val="99"/>
    <w:unhideWhenUsed/>
    <w:qFormat/>
    <w:rPr>
      <w:rFonts w:ascii="Times New Roman" w:hAnsi="Times New Roman" w:eastAsia="楷体_GB2312" w:cs="Times New Roman"/>
      <w:sz w:val="26"/>
      <w:lang w:val="en-US" w:eastAsia="zh-CN" w:bidi="ar-SA"/>
    </w:rPr>
  </w:style>
  <w:style w:type="character" w:styleId="1050" w:customStyle="1">
    <w:name w:val="16"/>
    <w:basedOn w:val="919"/>
    <w:uiPriority w:val="0"/>
    <w:qFormat/>
    <w:rPr>
      <w:rFonts w:hint="default" w:ascii="Times New Roman" w:hAnsi="Times New Roman" w:cs="Times New Roman"/>
      <w:i/>
    </w:rPr>
  </w:style>
  <w:style w:type="paragraph" w:styleId="1051" w:customStyle="1">
    <w:name w:val="标题 41"/>
    <w:basedOn w:val="909"/>
    <w:next w:val="979"/>
    <w:uiPriority w:val="0"/>
    <w:qFormat/>
    <w:pPr>
      <w:keepLines/>
      <w:keepNext/>
      <w:spacing w:before="120" w:after="120"/>
    </w:pPr>
    <w:rPr>
      <w:rFonts w:ascii="Cambria" w:hAnsi="Cambria" w:eastAsia="华文细黑"/>
      <w:b/>
      <w:sz w:val="28"/>
    </w:rPr>
  </w:style>
  <w:style w:type="paragraph" w:styleId="1052" w:customStyle="1">
    <w:name w:val="+正文"/>
    <w:uiPriority w:val="0"/>
    <w:qFormat/>
    <w:pPr>
      <w:ind w:firstLine="200"/>
      <w:jc w:val="both"/>
      <w:spacing w:line="360" w:lineRule="auto"/>
      <w:widowControl w:val="off"/>
    </w:pPr>
    <w:rPr>
      <w:rFonts w:ascii="Times New Roman" w:hAnsi="Times New Roman" w:eastAsia="宋体" w:cs="Times New Roman"/>
      <w:sz w:val="24"/>
      <w:lang w:val="en-US" w:eastAsia="zh-CN" w:bidi="ar-SA"/>
    </w:rPr>
  </w:style>
  <w:style w:type="paragraph" w:styleId="1053" w:customStyle="1">
    <w:name w:val="Table Text"/>
    <w:uiPriority w:val="0"/>
    <w:qFormat/>
    <w:pPr>
      <w:spacing w:before="80" w:after="80"/>
    </w:pPr>
    <w:rPr>
      <w:rFonts w:hint="default" w:ascii="Arial" w:hAnsi="Arial" w:eastAsia="宋体" w:cs="Times New Roman"/>
      <w:sz w:val="18"/>
      <w:lang w:val="en-US" w:eastAsia="zh-CN" w:bidi="ar-SA"/>
    </w:rPr>
  </w:style>
  <w:style w:type="table" w:styleId="1054" w:customStyle="1">
    <w:name w:val="Table Normal"/>
    <w:uiPriority w:val="0"/>
    <w:semiHidden/>
    <w:unhideWhenUsed/>
    <w:qFormat/>
    <w:tblPr>
      <w:tblCellMar>
        <w:left w:w="0" w:type="dxa"/>
        <w:top w:w="0" w:type="dxa"/>
        <w:right w:w="0" w:type="dxa"/>
        <w:bottom w:w="0" w:type="dxa"/>
      </w:tblCellMar>
    </w:tbl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1067075-6DFE-409E-A351-9C2D866F252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8</cp:revision>
  <dcterms:created xsi:type="dcterms:W3CDTF">2023-12-11T10:15:00Z</dcterms:created>
  <dcterms:modified xsi:type="dcterms:W3CDTF">2026-10-30T08:58:50Z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90353CA266144DE0AA2D367EA209D624_13</vt:lpwstr>
  </property>
  <property fmtid="{D5CDD505-2E9C-101B-9397-08002B2CF9AE}" pid="4" name="KSOTemplateDocerSaveRecord">
    <vt:lpwstr>eyJoZGlkIjoiZTg1ZjBiYjczODk3ZDAxZTcxNzhmZTc1ZjVmOWU3NDAiLCJ1c2VySWQiOiI0MTgxMDg2MzUifQ==</vt:lpwstr>
  </property>
</Properties>
</file>