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0"/>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6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60"/>
        <w:rPr>
          <w:rFonts w:hint="eastAsia" w:ascii="宋体" w:hAnsi="宋体" w:cs="宋体"/>
          <w:color w:val="auto"/>
          <w:highlight w:val="none"/>
        </w:rPr>
      </w:pPr>
      <w:r>
        <w:rPr>
          <w:rFonts w:hint="eastAsia" w:ascii="宋体" w:hAnsi="宋体" w:cs="宋体"/>
          <w:color w:val="auto"/>
          <w:highlight w:val="none"/>
        </w:rPr>
      </w:r>
      <w:r/>
    </w:p>
    <w:p>
      <w:pPr>
        <w:pStyle w:val="1260"/>
        <w:ind w:left="0"/>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项目编号：JSZC-320300-HWZX-C2026-0628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解放路院区“汽改水”改造工程项目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60"/>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pStyle w:val="1261"/>
        <w:rPr>
          <w:rFonts w:hint="eastAsia" w:ascii="宋体" w:hAnsi="宋体" w:cs="宋体"/>
          <w:color w:val="auto"/>
          <w:highlight w:val="none"/>
        </w:rPr>
      </w:pPr>
      <w:r>
        <w:rPr>
          <w:rFonts w:hint="eastAsia" w:ascii="宋体" w:hAnsi="宋体" w:cs="宋体"/>
          <w:color w:val="auto"/>
          <w:highlight w:val="none"/>
        </w:rPr>
      </w:r>
      <w:r/>
    </w:p>
    <w:p>
      <w:pPr>
        <w:ind w:right="-159"/>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jc w:val="center"/>
        <w:spacing w:line="300" w:lineRule="auto"/>
        <w:rPr>
          <w:rFonts w:hint="eastAsia" w:ascii="宋体" w:hAnsi="宋体" w:cs="宋体"/>
          <w:color w:val="auto"/>
          <w:sz w:val="44"/>
          <w:highlight w:val="none"/>
        </w:rPr>
      </w:pP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10"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蓝色透明底PNG"/>
                        <pic:cNvPicPr>
                          <a:picLocks noChangeAspect="1"/>
                        </pic:cNvPicPr>
                        <pic:nvPr/>
                      </pic:nvPicPr>
                      <pic:blipFill>
                        <a:blip r:embed="rId21"/>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0pt;height:81.4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十</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36"/>
          <w:szCs w:val="36"/>
          <w:highlight w:val="none"/>
        </w:rPr>
      </w:pPr>
      <w:r>
        <w:rPr>
          <w:rFonts w:hint="eastAsia" w:ascii="宋体" w:hAnsi="宋体" w:cs="宋体"/>
          <w:b/>
          <w:color w:val="auto"/>
          <w:sz w:val="36"/>
          <w:szCs w:val="36"/>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项目编号：JSZC-320300-HWZX-C2026-0628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徐州市中心医院</w:t>
      </w:r>
      <w:r>
        <w:rPr>
          <w:rFonts w:hint="eastAsia" w:ascii="宋体" w:hAnsi="宋体" w:cs="宋体"/>
          <w:color w:val="auto"/>
          <w:sz w:val="24"/>
          <w:highlight w:val="none"/>
        </w:rPr>
        <w:t xml:space="preserve">。</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解放路院区“汽改水”改造工程项目</w:t>
      </w:r>
      <w:r>
        <w:rPr>
          <w:rFonts w:hint="eastAsia" w:ascii="宋体" w:hAnsi="宋体" w:cs="宋体"/>
          <w:color w:val="auto"/>
          <w:sz w:val="24"/>
          <w:highlight w:val="none"/>
        </w:rPr>
        <w:t xml:space="preserve">。</w:t>
      </w:r>
      <w:r/>
    </w:p>
    <w:p>
      <w:pPr>
        <w:ind w:right="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三、项目编号：JSZC-320300-HWZX-C2026-0628</w:t>
      </w:r>
      <w:r>
        <w:rPr>
          <w:rFonts w:hint="eastAsia" w:ascii="宋体" w:hAnsi="宋体" w:cs="宋体"/>
          <w:color w:val="auto"/>
          <w:sz w:val="24"/>
          <w:highlight w:val="none"/>
          <w:lang w:eastAsia="zh-CN"/>
        </w:rPr>
        <w:t xml:space="preserve">。</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right="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right="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七、采购预算（采购项目预算金额）：见《磋商文件》附件2、《项目要求（采购需求）》。</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八、采购需求：见《磋商文件》附件2、《项目要求（采购需求）》。</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九、拟签订的合同文本：见《磋商文件》附件6、《拟签订的合同文本》。</w:t>
      </w:r>
      <w:r/>
    </w:p>
    <w:p>
      <w:pPr>
        <w:ind w:right="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十、报价要求</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ind w:right="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85"/>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085"/>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10</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26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85"/>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085"/>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2、供应商</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4"/>
          <w:highlight w:val="none"/>
          <w:lang w:val="en-US" w:eastAsia="zh-CN"/>
        </w:rPr>
        <w:t xml:space="preserve">财务状况报告</w:t>
      </w:r>
      <w:r>
        <w:rPr>
          <w:rFonts w:hint="eastAsia" w:ascii="宋体" w:hAnsi="宋体" w:cs="宋体"/>
          <w:b/>
          <w:bCs w:val="0"/>
          <w:color w:val="auto"/>
          <w:sz w:val="24"/>
          <w:highlight w:val="none"/>
        </w:rPr>
        <w:t xml:space="preserve">，</w:t>
      </w:r>
      <w:r>
        <w:rPr>
          <w:rFonts w:hint="eastAsia" w:ascii="宋体" w:hAnsi="宋体" w:cs="宋体"/>
          <w:b w:val="0"/>
          <w:bCs/>
          <w:color w:val="auto"/>
          <w:sz w:val="24"/>
          <w:highlight w:val="none"/>
        </w:rPr>
        <w:t xml:space="preserve">提供距磋商文件递交截止时间（不含“提交首次响应文件截止时间”当月</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前六个月内任何时间的资产负债表、利润表扫描件</w:t>
      </w:r>
      <w:r>
        <w:rPr>
          <w:rFonts w:hint="eastAsia" w:ascii="宋体" w:hAnsi="宋体" w:cs="宋体"/>
          <w:b/>
          <w:color w:val="auto"/>
          <w:sz w:val="24"/>
          <w:highlight w:val="none"/>
        </w:rPr>
        <w:t xml:space="preserve">各一份，或</w:t>
      </w:r>
      <w:r>
        <w:rPr>
          <w:rFonts w:hint="eastAsia" w:ascii="宋体" w:hAnsi="宋体" w:cs="宋体"/>
          <w:b w:val="0"/>
          <w:bCs/>
          <w:color w:val="auto"/>
          <w:sz w:val="24"/>
          <w:highlight w:val="none"/>
        </w:rPr>
        <w:t xml:space="preserve">其银行出具的资信证书扫描件</w:t>
      </w:r>
      <w:r>
        <w:rPr>
          <w:rFonts w:hint="eastAsia" w:ascii="宋体" w:hAnsi="宋体" w:cs="宋体"/>
          <w:b/>
          <w:bCs w:val="0"/>
          <w:color w:val="auto"/>
          <w:sz w:val="24"/>
          <w:highlight w:val="none"/>
          <w:lang w:val="en-US" w:eastAsia="zh-CN"/>
        </w:rPr>
        <w:t xml:space="preserve">一份</w:t>
      </w:r>
      <w:r>
        <w:rPr>
          <w:rFonts w:hint="eastAsia" w:ascii="宋体" w:hAnsi="宋体" w:cs="宋体"/>
          <w:b w:val="0"/>
          <w:bCs/>
          <w:color w:val="auto"/>
          <w:sz w:val="24"/>
          <w:highlight w:val="none"/>
        </w:rPr>
        <w:t xml:space="preserve">（在磋商文件递交截止时间前六个月内，不含“提交首次响应文件截止时间”当月）</w:t>
      </w:r>
      <w:r>
        <w:rPr>
          <w:rFonts w:hint="eastAsia" w:ascii="宋体" w:hAnsi="宋体" w:cs="宋体"/>
          <w:b/>
          <w:color w:val="auto"/>
          <w:sz w:val="24"/>
          <w:highlight w:val="none"/>
        </w:rPr>
        <w:t xml:space="preserve">，或</w:t>
      </w:r>
      <w:r>
        <w:rPr>
          <w:rFonts w:hint="eastAsia" w:ascii="宋体" w:hAnsi="宋体" w:cs="宋体"/>
          <w:b w:val="0"/>
          <w:bCs/>
          <w:color w:val="auto"/>
          <w:sz w:val="24"/>
          <w:highlight w:val="none"/>
        </w:rPr>
        <w:t xml:space="preserve">其2025年度经审计的财务报告扫描件</w:t>
      </w:r>
      <w:r>
        <w:rPr>
          <w:rFonts w:hint="eastAsia" w:ascii="宋体" w:hAnsi="宋体" w:cs="宋体"/>
          <w:b/>
          <w:color w:val="auto"/>
          <w:sz w:val="24"/>
          <w:highlight w:val="none"/>
          <w:lang w:val="en-US" w:eastAsia="zh-CN"/>
        </w:rPr>
        <w:t xml:space="preserve">一份</w:t>
      </w:r>
      <w:r>
        <w:rPr>
          <w:rFonts w:hint="eastAsia" w:ascii="宋体" w:hAnsi="宋体" w:cs="宋体"/>
          <w:b/>
          <w:color w:val="auto"/>
          <w:sz w:val="24"/>
          <w:highlight w:val="none"/>
        </w:rPr>
        <w:t xml:space="preserve">；</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3、供应商有依法缴纳税收的良好记录，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提供距磋商文件递交截止时间（不含“提交首次响应文件截止时间”当月）前六个月内任意一个月份的纳税凭据扫描件（依法免税的应提供相应文件说明）；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bCs w:val="0"/>
          <w:color w:val="auto"/>
          <w:sz w:val="24"/>
          <w:highlight w:val="none"/>
        </w:rPr>
        <w:t xml:space="preserve">4、有依法缴纳社会保障资金的良好记录，</w:t>
      </w:r>
      <w:r>
        <w:rPr>
          <w:rFonts w:hint="eastAsia" w:ascii="宋体" w:hAnsi="宋体" w:cs="宋体"/>
          <w:b w:val="0"/>
          <w:bCs/>
          <w:color w:val="auto"/>
          <w:sz w:val="24"/>
          <w:highlight w:val="none"/>
        </w:rPr>
        <w:t xml:space="preserve">提供距磋商文件递交截止时间（不含“提交首次响应文件截止时间”当月）前六个月内任意一个月份的依法缴纳社会保障资金的凭据扫描件；</w:t>
      </w:r>
      <w:r/>
    </w:p>
    <w:p>
      <w:pPr>
        <w:spacing w:line="360" w:lineRule="auto"/>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5、具备履行合同所必需的设备和专业技术能力的证明材料，</w:t>
      </w:r>
      <w:r>
        <w:rPr>
          <w:rFonts w:hint="eastAsia" w:ascii="宋体" w:hAnsi="宋体" w:cs="宋体"/>
          <w:b w:val="0"/>
          <w:bCs w:val="0"/>
          <w:color w:val="auto"/>
          <w:sz w:val="24"/>
          <w:highlight w:val="none"/>
        </w:rPr>
        <w:t xml:space="preserve">即响应文件中提供《具备履行合同所必需的设备和专业技术能力的书面声明》（附证明材料，加盖电子签章，格式见《磋商文件》附件）：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提供供应商有效的市政公用工程施工总承包叁级（含）以上资质证书扫描件；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提供供应商拟选派项目负责人（注册建造师）具备有效的市政公用工程专业贰级（含）以上建造师资格证书；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有效的《建筑施工企业项目负责人安全生产考核合格证书》（B证）且无在建工程，响应文件中提供证书扫描件；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③ 供应商具备有效的《中华人民共和国特种设备安装改造维修许可证》</w:t>
      </w:r>
      <w:bookmarkStart w:id="17" w:name="_GoBack"/>
      <w:r/>
      <w:bookmarkEnd w:id="17"/>
      <w:r>
        <w:rPr>
          <w:rFonts w:hint="eastAsia" w:ascii="宋体" w:hAnsi="宋体" w:cs="宋体"/>
          <w:bCs/>
          <w:color w:val="auto"/>
          <w:sz w:val="24"/>
          <w:highlight w:val="none"/>
          <w:lang w:val="en-US" w:eastAsia="zh-CN"/>
        </w:rPr>
        <w:t xml:space="preserve">（压力管道）GB2证书扫描件或《中华人民共和国特种设备生产许可证》（含承压类特种设备安装、修理、改造）GB2证书扫描件，响应文件中提供证书扫描件；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④</w:t>
      </w:r>
      <w:r>
        <w:rPr>
          <w:rFonts w:hint="eastAsia" w:ascii="宋体" w:hAnsi="宋体" w:cs="宋体"/>
          <w:bCs/>
          <w:color w:val="auto"/>
          <w:sz w:val="24"/>
          <w:highlight w:val="none"/>
        </w:rPr>
        <w:t xml:space="preserve"> 供应商具备安全生产条件，取得有效的《安全生产许可证》，响应文件中提供证书扫描件；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⑤</w:t>
      </w:r>
      <w:r>
        <w:rPr>
          <w:rFonts w:hint="eastAsia" w:ascii="宋体" w:hAnsi="宋体" w:cs="宋体"/>
          <w:bCs/>
          <w:color w:val="auto"/>
          <w:sz w:val="24"/>
          <w:highlight w:val="none"/>
        </w:rPr>
        <w:t xml:space="preserve"> 供应商拟选派项目负责人（注册建造师）无在建工程，响应文件中提供证明材料或承诺书（格式自拟）。</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1、《承诺书》（加盖电子签章，格式见《磋商文件》附件）；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2、《报价符合性审查》。属于响应报价低于采购项目最高限价45%的，即响应报价&lt;采购项目最高限价×45%，供应商可随响应文件一并提交相关书面说明及必要的证明材料。</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3、分项价格表（具有标价的工程量清单与报价表）（加盖电子签章，格式见《磋商文件》附件）；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4、授权委托书（附授权委托书中受托人身份证原件的扫描件），格式见《磋商文件》附件）；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5、偏离表（加盖电子签章，格式见《磋商文件》附件）；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6、主要材料（设备）一览表（加盖电子签章，格式见《磋商文件》附件）；</w:t>
      </w:r>
      <w:r/>
    </w:p>
    <w:p>
      <w:pPr>
        <w:ind w:right="-334"/>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7、磋商文件或相关法律法规规定的其他响应无效的情形</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无格式和内容要求，供应商可自行拟定</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w:t>
      </w:r>
      <w:r>
        <w:rPr>
          <w:rFonts w:hint="eastAsia" w:ascii="宋体" w:hAnsi="宋体" w:cs="宋体"/>
          <w:color w:val="auto"/>
          <w:sz w:val="24"/>
          <w:highlight w:val="none"/>
          <w:lang w:val="en-US" w:eastAsia="zh-CN"/>
        </w:rPr>
        <w:t xml:space="preserve">及相关证明材料</w:t>
      </w:r>
      <w:r>
        <w:rPr>
          <w:rFonts w:hint="eastAsia" w:ascii="宋体" w:hAnsi="宋体" w:cs="宋体"/>
          <w:color w:val="auto"/>
          <w:sz w:val="24"/>
          <w:highlight w:val="none"/>
        </w:rPr>
        <w:t xml:space="preserve">（要求见《磋商文件》附件1、《评分细则》）；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2、所投主要材料性能与质量评价（要求见《磋商文件》附件1、《评分细则》及附件：2、《项目要求（采购需求）》）；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3、施工组织设计（要求见《磋商文件》附件1、《评分细则》及附件：2、《项目要求（采购需求）》）；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4、售后服务方案（要求见《磋商文件》附件1、《评分细则》及附件：2、《项目要求（采购需求）》）；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1、供应商评价（要求见《磋商文件》附件1、《评分细则》）；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、供应商业绩（要求见《磋商文件》附件1、《评分细则》）；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、评分细则中评分得分需提供的相关证明文件或供应商认为需要提供的其他资料。</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85"/>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85"/>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8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08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9"/>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79"/>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85"/>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（3）“信用中国（江苏）”网（http://credit.jiangsu.gov.cn）；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“信用中国(江苏徐州)”网（http://www.xuzhoucredit.gov.cn）。</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85"/>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85"/>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8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85"/>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85"/>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85"/>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85"/>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85"/>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85"/>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8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85"/>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85"/>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85"/>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85"/>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徐州市中心医院</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地址：徐州市</w:t>
      </w:r>
      <w:r>
        <w:rPr>
          <w:rFonts w:hint="eastAsia" w:ascii="宋体" w:hAnsi="宋体" w:cs="宋体"/>
          <w:color w:val="auto"/>
          <w:sz w:val="24"/>
          <w:highlight w:val="none"/>
          <w:lang w:val="en-US" w:eastAsia="zh-CN"/>
        </w:rPr>
        <w:t xml:space="preserve">解放路199号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张响亮  0516-83956095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赵丽梅   </w:t>
      </w:r>
      <w:r>
        <w:rPr>
          <w:rFonts w:hint="eastAsia" w:ascii="宋体" w:hAnsi="宋体" w:cs="宋体"/>
          <w:color w:val="auto"/>
          <w:sz w:val="24"/>
          <w:highlight w:val="none"/>
        </w:rPr>
        <w:t xml:space="preserve">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二十五、采购人确定的采购项目属性：工程。</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二十六、履约担保（履约保证金）：</w:t>
      </w:r>
      <w:r/>
    </w:p>
    <w:p>
      <w:pPr>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成交供应商在签订合同时，应向采购人提交合同金额5%的履约保证金。</w:t>
      </w:r>
      <w:r/>
    </w:p>
    <w:p>
      <w:pPr>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缴纳方式：履约保证金缴纳方式现金、转账、银行出具的银行保函、银行汇票或现金支票等保证金缴纳需通过银行用其基本账户支付，不得以分公司、办事处或其它机构的名义交纳履约保证金。</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履约保证金的退还：工程全部竣工验收合格经审计结束后28天内，扣除承包人应承担的各项费用后，发包人退还履约保证金的70%，剩余部分待缺陷责任期满后28日内一次性无息退还。</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日</w:t>
      </w:r>
      <w:r/>
    </w:p>
    <w:p>
      <w:pPr>
        <w:numPr>
          <w:ilvl w:val="0"/>
          <w:numId w:val="3"/>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0"/>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评分细则</w:t>
      </w:r>
      <w:r/>
    </w:p>
    <w:tbl>
      <w:tblPr>
        <w:tblStyle w:val="102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7048"/>
      </w:tblGrid>
      <w:tr>
        <w:trPr>
          <w:jc w:val="center"/>
          <w:trHeight w:val="397"/>
        </w:trPr>
        <w:tc>
          <w:tcPr>
            <w:tcW w:w="866" w:type="pct"/>
            <w:vAlign w:val="center"/>
            <w:textDirection w:val="lrTb"/>
            <w:noWrap w:val="false"/>
          </w:tcPr>
          <w:p>
            <w:pPr>
              <w:pStyle w:val="1263"/>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33" w:type="pct"/>
            <w:vAlign w:val="center"/>
            <w:textDirection w:val="lrTb"/>
            <w:noWrap w:val="false"/>
          </w:tcPr>
          <w:p>
            <w:pPr>
              <w:pStyle w:val="1263"/>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256"/>
        </w:trPr>
        <w:tc>
          <w:tcPr>
            <w:tcW w:w="866" w:type="pct"/>
            <w:vAlign w:val="center"/>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30</w:t>
            </w:r>
            <w:r/>
          </w:p>
        </w:tc>
      </w:tr>
      <w:tr>
        <w:trPr>
          <w:cantSplit/>
          <w:jc w:val="center"/>
          <w:trHeight w:val="1923"/>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33"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lang w:val="en-US" w:eastAsia="zh-CN"/>
              </w:rPr>
              <w:t xml:space="preserve">为乙方，</w:t>
            </w:r>
            <w:r>
              <w:rPr>
                <w:rFonts w:hint="eastAsia" w:ascii="宋体" w:hAnsi="宋体" w:cs="宋体"/>
                <w:color w:val="auto"/>
                <w:sz w:val="24"/>
                <w:highlight w:val="none"/>
              </w:rPr>
              <w:t xml:space="preserve">自2023年1月1日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以来</w:t>
            </w:r>
            <w:r>
              <w:rPr>
                <w:rFonts w:hint="eastAsia" w:ascii="宋体" w:hAnsi="宋体" w:cs="宋体"/>
                <w:color w:val="auto"/>
                <w:sz w:val="24"/>
                <w:highlight w:val="none"/>
              </w:rPr>
              <w:t xml:space="preserve">承担过相同或类似工程的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时间以竣工验收时间为准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，响应文件中须同时提供合同扫描件和竣工验收证明材料作为业绩证明材料</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，每份得2分，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最高得4分。 </w:t>
            </w:r>
            <w:r>
              <w:rPr>
                <w:rFonts w:hint="eastAsia" w:ascii="宋体" w:hAnsi="宋体" w:cs="宋体"/>
                <w:b/>
                <w:bCs/>
                <w:color w:val="auto"/>
                <w:sz w:val="24"/>
                <w:highlight w:val="none"/>
              </w:rPr>
              <w:t xml:space="preserve"> </w:t>
            </w:r>
            <w:r/>
          </w:p>
          <w:p>
            <w:pPr>
              <w:pStyle w:val="1079"/>
              <w:spacing w:after="0"/>
              <w:rPr>
                <w:color w:val="auto"/>
                <w:highlight w:val="none"/>
              </w:rPr>
            </w:pPr>
            <w:r>
              <w:rPr>
                <w:rFonts w:hint="eastAsia" w:ascii="宋体" w:hAnsi="宋体" w:cs="宋体"/>
                <w:b w:val="0"/>
                <w:bCs w:val="0"/>
                <w:color w:val="auto"/>
                <w:sz w:val="24"/>
                <w:highlight w:val="none"/>
                <w:lang w:val="en-US" w:eastAsia="zh-CN"/>
              </w:rPr>
              <w:t xml:space="preserve">注：</w:t>
            </w:r>
            <w:r>
              <w:rPr>
                <w:rFonts w:hint="eastAsia" w:ascii="宋体" w:hAnsi="宋体" w:cs="宋体"/>
                <w:b w:val="0"/>
                <w:bCs w:val="0"/>
                <w:color w:val="auto"/>
                <w:sz w:val="24"/>
                <w:highlight w:val="none"/>
              </w:rPr>
              <w:t xml:space="preserve">响应文件中提供上述证明材料扫描件并加盖供应商电子签章方为有效，未提供或提供不全视为不满足。</w:t>
            </w:r>
            <w:r/>
          </w:p>
        </w:tc>
      </w:tr>
      <w:tr>
        <w:trPr>
          <w:cantSplit/>
          <w:jc w:val="center"/>
          <w:trHeight w:val="1134"/>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tcW w:w="4133" w:type="pct"/>
            <w:vAlign w:val="center"/>
            <w:textDirection w:val="lrTb"/>
            <w:noWrap w:val="false"/>
          </w:tcPr>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依据响应文件中偏离表等内容对竞争性磋商文件《2、项目要求（采购需求）》满足程度进行评价。</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任意1项响应指标不满足或负偏离的，该项不得分，扣完为止，本项最高得5分，最低得0分</w:t>
            </w:r>
            <w:r>
              <w:rPr>
                <w:rFonts w:hint="eastAsia" w:ascii="宋体" w:hAnsi="宋体" w:cs="宋体"/>
                <w:color w:val="auto"/>
                <w:sz w:val="24"/>
                <w:highlight w:val="none"/>
              </w:rPr>
              <w:t xml:space="preserve">。</w:t>
            </w:r>
            <w:r/>
          </w:p>
        </w:tc>
      </w:tr>
      <w:tr>
        <w:trPr>
          <w:cantSplit/>
          <w:jc w:val="center"/>
          <w:trHeight w:val="2858"/>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所投主要材料性能与质量评价（</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4133" w:type="pct"/>
            <w:vAlign w:val="center"/>
            <w:textDirection w:val="lrTb"/>
            <w:noWrap w:val="false"/>
          </w:tcPr>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根据供应商响应文件所投入设备及所投主要材料的说明</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产品品质（品牌）、质量等，从性能稳定性、质量可靠性等方面进行评价。</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性能稳定性（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分）：性能稳定性高的得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分，性能稳定性较高的得2分，性能稳定性较差的得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质量可靠性（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分）：质量可靠性高、配置合理的得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分，产品质量可靠性较高、配置较合理的得2分，质量可靠性程度较差、配置较差的得1分；</w:t>
            </w:r>
            <w:r/>
          </w:p>
          <w:p>
            <w:pPr>
              <w:pStyle w:val="1260"/>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未提供不得分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2044"/>
        </w:trPr>
        <w:tc>
          <w:tcPr>
            <w:tcW w:w="866" w:type="pct"/>
            <w:vAlign w:val="center"/>
            <w:vMerge w:val="restart"/>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分；欠缺针对性的得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分，最低不得分。</w:t>
            </w:r>
            <w:r/>
          </w:p>
        </w:tc>
      </w:tr>
      <w:tr>
        <w:trPr>
          <w:cantSplit/>
          <w:jc w:val="center"/>
          <w:trHeight w:val="593"/>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合理性(4分)：合理得4分；较合理得2分；不太合理的得1分。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未提供的不得分。最高得8分，最低得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445"/>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3、依据响应文件中的安全文明施工及环境保护措施以及质量保证措施等进行评价。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4、依据响应文件中的项目管理班子的人员配备、素质及管理经验、机械设备、材料投入保证措施等进行评价。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5、依据响应文件中的关键施工技术、工艺及工程项目实施的重点、难点和解决方案进行评价。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合理性(4分)：合理得4分；较合理得2分；不太合理的得1分。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最高得8分，最低得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cantSplit/>
          <w:jc w:val="center"/>
          <w:trHeight w:val="639"/>
        </w:trPr>
        <w:tc>
          <w:tcPr>
            <w:tcW w:w="866" w:type="pct"/>
            <w:vAlign w:val="center"/>
            <w:vMerge w:val="continue"/>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、依据响应文件中的</w:t>
            </w:r>
            <w:r>
              <w:rPr>
                <w:rFonts w:hint="eastAsia" w:ascii="宋体" w:hAnsi="宋体" w:cs="宋体"/>
                <w:color w:val="auto"/>
                <w:sz w:val="24"/>
                <w:highlight w:val="none"/>
                <w:lang w:val="en-US" w:eastAsia="zh-CN"/>
              </w:rPr>
              <w:t xml:space="preserve">验收</w:t>
            </w:r>
            <w:r>
              <w:rPr>
                <w:rFonts w:hint="eastAsia" w:ascii="宋体" w:hAnsi="宋体" w:cs="宋体"/>
                <w:color w:val="auto"/>
                <w:sz w:val="24"/>
                <w:highlight w:val="none"/>
              </w:rPr>
              <w:t xml:space="preserve">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分)：合理得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分；较合理得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分，最低得0分。</w:t>
            </w:r>
            <w:r/>
          </w:p>
        </w:tc>
      </w:tr>
      <w:tr>
        <w:trPr>
          <w:cantSplit/>
          <w:jc w:val="center"/>
          <w:trHeight w:val="639"/>
        </w:trPr>
        <w:tc>
          <w:tcPr>
            <w:tcW w:w="866" w:type="pct"/>
            <w:vAlign w:val="center"/>
            <w:textDirection w:val="lrTb"/>
            <w:noWrap w:val="false"/>
          </w:tcPr>
          <w:p>
            <w:pPr>
              <w:pStyle w:val="1263"/>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依据响应文件中的售后服务方案，包含缺陷责任期内和缺陷责任期满后的服务方案进行评价。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分；不太全面得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针对性(3分)：针对性强得3分；针对性较强得2分；针对性一般的得1分。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分；可行性欠缺得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分，最低得0分。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结果保留2位小数</w:t>
      </w:r>
      <w:r>
        <w:rPr>
          <w:rFonts w:hint="eastAsia" w:ascii="宋体" w:hAnsi="宋体" w:cs="宋体"/>
          <w:b/>
          <w:bCs/>
          <w:color w:val="auto"/>
          <w:sz w:val="24"/>
          <w:highlight w:val="none"/>
        </w:rPr>
        <w:t xml:space="preserve">。</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4"/>
        </w:numPr>
        <w:spacing w:line="360" w:lineRule="auto"/>
        <w:rPr>
          <w:rFonts w:hint="eastAsia" w:ascii="宋体" w:hAnsi="宋体" w:cs="宋体"/>
          <w:b/>
          <w:bCs/>
          <w:color w:val="auto"/>
          <w:highlight w:val="none"/>
        </w:rPr>
      </w:pPr>
      <w:r/>
      <w:bookmarkStart w:id="0" w:name="OLE_LINK1"/>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val="en-US" w:eastAsia="zh-CN"/>
        </w:rPr>
        <w:t xml:space="preserve">68.00万元（项目最高限价）；采购包2：人民币86.00万元（项目最高限价）；采购包3：人民币106.00万元</w:t>
      </w:r>
      <w:bookmarkEnd w:id="0"/>
      <w:r>
        <w:rPr>
          <w:rFonts w:hint="eastAsia" w:ascii="宋体" w:hAnsi="宋体" w:cs="宋体"/>
          <w:b/>
          <w:bCs/>
          <w:color w:val="auto"/>
          <w:sz w:val="24"/>
          <w:highlight w:val="none"/>
        </w:rPr>
        <w:t xml:space="preserve">（项目最高限价）的响应报价（首次报价和最终报价）。</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本项目共分为</w:t>
      </w:r>
      <w:r>
        <w:rPr>
          <w:rFonts w:hint="eastAsia"/>
          <w:b w:val="0"/>
          <w:bCs w:val="0"/>
          <w:color w:val="auto"/>
          <w:highlight w:val="none"/>
          <w:lang w:val="en-US" w:eastAsia="zh-CN"/>
        </w:rPr>
        <w:t xml:space="preserve">3</w:t>
      </w:r>
      <w:r>
        <w:rPr>
          <w:rFonts w:hint="eastAsia"/>
          <w:b w:val="0"/>
          <w:bCs w:val="0"/>
          <w:color w:val="auto"/>
          <w:highlight w:val="none"/>
        </w:rPr>
        <w:t xml:space="preserve">个采购包，</w:t>
      </w:r>
      <w:r>
        <w:rPr>
          <w:rFonts w:hint="eastAsia"/>
          <w:b w:val="0"/>
          <w:bCs w:val="0"/>
          <w:color w:val="auto"/>
          <w:highlight w:val="none"/>
          <w:lang w:val="en-US" w:eastAsia="zh-CN"/>
        </w:rPr>
        <w:t xml:space="preserve">供应商</w:t>
      </w:r>
      <w:r>
        <w:rPr>
          <w:rFonts w:hint="eastAsia"/>
          <w:b w:val="0"/>
          <w:bCs w:val="0"/>
          <w:color w:val="auto"/>
          <w:highlight w:val="none"/>
        </w:rPr>
        <w:t xml:space="preserve">可同时对</w:t>
      </w:r>
      <w:r>
        <w:rPr>
          <w:rFonts w:hint="eastAsia"/>
          <w:b w:val="0"/>
          <w:bCs w:val="0"/>
          <w:color w:val="auto"/>
          <w:highlight w:val="none"/>
          <w:lang w:val="en-US" w:eastAsia="zh-CN"/>
        </w:rPr>
        <w:t xml:space="preserve">3</w:t>
      </w:r>
      <w:r>
        <w:rPr>
          <w:rFonts w:hint="eastAsia"/>
          <w:b w:val="0"/>
          <w:bCs w:val="0"/>
          <w:color w:val="auto"/>
          <w:highlight w:val="none"/>
        </w:rPr>
        <w:t xml:space="preserve">个采购包进行投标，但最多只能</w:t>
      </w:r>
      <w:r>
        <w:rPr>
          <w:rFonts w:hint="eastAsia"/>
          <w:b w:val="0"/>
          <w:bCs w:val="0"/>
          <w:color w:val="auto"/>
          <w:highlight w:val="none"/>
          <w:lang w:val="en-US" w:eastAsia="zh-CN"/>
        </w:rPr>
        <w:t xml:space="preserve">成交</w:t>
      </w:r>
      <w:r>
        <w:rPr>
          <w:rFonts w:hint="eastAsia"/>
          <w:b w:val="0"/>
          <w:bCs w:val="0"/>
          <w:color w:val="auto"/>
          <w:highlight w:val="none"/>
        </w:rPr>
        <w:t xml:space="preserve">一个采购包。本项目按照采购包1、采购包2</w:t>
      </w:r>
      <w:r>
        <w:rPr>
          <w:rFonts w:hint="eastAsia"/>
          <w:b w:val="0"/>
          <w:bCs w:val="0"/>
          <w:color w:val="auto"/>
          <w:highlight w:val="none"/>
          <w:lang w:eastAsia="zh-CN"/>
        </w:rPr>
        <w:t xml:space="preserve">、</w:t>
      </w:r>
      <w:r>
        <w:rPr>
          <w:rFonts w:hint="eastAsia"/>
          <w:b w:val="0"/>
          <w:bCs w:val="0"/>
          <w:color w:val="auto"/>
          <w:highlight w:val="none"/>
        </w:rPr>
        <w:t xml:space="preserve">采购包</w:t>
      </w:r>
      <w:r>
        <w:rPr>
          <w:rFonts w:hint="eastAsia"/>
          <w:b w:val="0"/>
          <w:bCs w:val="0"/>
          <w:color w:val="auto"/>
          <w:highlight w:val="none"/>
          <w:lang w:val="en-US" w:eastAsia="zh-CN"/>
        </w:rPr>
        <w:t xml:space="preserve">3</w:t>
      </w:r>
      <w:r>
        <w:rPr>
          <w:rFonts w:hint="eastAsia"/>
          <w:b w:val="0"/>
          <w:bCs w:val="0"/>
          <w:color w:val="auto"/>
          <w:highlight w:val="none"/>
        </w:rPr>
        <w:t xml:space="preserve">的顺序依次进行评审。在前一采购包中被确定为</w:t>
      </w:r>
      <w:r>
        <w:rPr>
          <w:rFonts w:hint="eastAsia"/>
          <w:b w:val="0"/>
          <w:bCs w:val="0"/>
          <w:color w:val="auto"/>
          <w:highlight w:val="none"/>
          <w:lang w:val="en-US" w:eastAsia="zh-CN"/>
        </w:rPr>
        <w:t xml:space="preserve">成交供应商</w:t>
      </w:r>
      <w:r>
        <w:rPr>
          <w:rFonts w:hint="eastAsia"/>
          <w:b w:val="0"/>
          <w:bCs w:val="0"/>
          <w:color w:val="auto"/>
          <w:highlight w:val="none"/>
        </w:rPr>
        <w:t xml:space="preserve">的，可以继续参与后续采购包的评审，但不再被推荐为</w:t>
      </w:r>
      <w:r>
        <w:rPr>
          <w:rFonts w:hint="eastAsia"/>
          <w:b w:val="0"/>
          <w:bCs w:val="0"/>
          <w:color w:val="auto"/>
          <w:highlight w:val="none"/>
          <w:lang w:val="en-US" w:eastAsia="zh-CN"/>
        </w:rPr>
        <w:t xml:space="preserve">成交</w:t>
      </w:r>
      <w:r>
        <w:rPr>
          <w:rFonts w:hint="eastAsia"/>
          <w:b w:val="0"/>
          <w:bCs w:val="0"/>
          <w:color w:val="auto"/>
          <w:highlight w:val="none"/>
        </w:rPr>
        <w:t xml:space="preserve">候选人，且不得再次成为</w:t>
      </w:r>
      <w:r>
        <w:rPr>
          <w:rFonts w:hint="eastAsia"/>
          <w:b w:val="0"/>
          <w:bCs w:val="0"/>
          <w:color w:val="auto"/>
          <w:highlight w:val="none"/>
          <w:lang w:val="en-US" w:eastAsia="zh-CN"/>
        </w:rPr>
        <w:t xml:space="preserve">成交供应商</w:t>
      </w:r>
      <w:r>
        <w:rPr>
          <w:rFonts w:hint="eastAsia"/>
          <w:b w:val="0"/>
          <w:bCs w:val="0"/>
          <w:color w:val="auto"/>
          <w:highlight w:val="none"/>
        </w:rPr>
        <w:t xml:space="preserve">。</w:t>
      </w:r>
      <w:r/>
    </w:p>
    <w:p>
      <w:pPr>
        <w:pStyle w:val="1264"/>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1、项目名称：</w:t>
      </w:r>
      <w:r>
        <w:rPr>
          <w:rFonts w:hint="eastAsia"/>
          <w:b w:val="0"/>
          <w:bCs w:val="0"/>
          <w:color w:val="auto"/>
          <w:highlight w:val="none"/>
          <w:lang w:eastAsia="zh-CN"/>
        </w:rPr>
        <w:t xml:space="preserve">解放路院区“汽改水”改造工程项目</w:t>
      </w:r>
      <w:r>
        <w:rPr>
          <w:rFonts w:hint="eastAsia"/>
          <w:b w:val="0"/>
          <w:bCs w:val="0"/>
          <w:color w:val="auto"/>
          <w:highlight w:val="none"/>
        </w:rPr>
        <w:t xml:space="preserve">。</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2、项目地址（建设地点）：徐州市解放路199号。</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3、工期：</w:t>
      </w:r>
      <w:r>
        <w:rPr>
          <w:rFonts w:hint="eastAsia"/>
          <w:b w:val="0"/>
          <w:bCs w:val="0"/>
          <w:color w:val="auto"/>
          <w:highlight w:val="none"/>
          <w:lang w:val="en-US" w:eastAsia="zh-CN"/>
        </w:rPr>
        <w:t xml:space="preserve">自成交结果公告发布之日起25</w:t>
      </w:r>
      <w:r>
        <w:rPr>
          <w:rFonts w:hint="eastAsia"/>
          <w:b w:val="0"/>
          <w:bCs w:val="0"/>
          <w:color w:val="auto"/>
          <w:highlight w:val="none"/>
        </w:rPr>
        <w:t xml:space="preserve">日历天内完成。</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4、工程质量：合格，质保期不少于2年。</w:t>
      </w:r>
      <w:r/>
    </w:p>
    <w:p>
      <w:pPr>
        <w:pStyle w:val="1264"/>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64"/>
        <w:spacing w:before="0" w:beforeAutospacing="0" w:after="0" w:afterAutospacing="0" w:line="360" w:lineRule="auto"/>
        <w:rPr>
          <w:rFonts w:hint="eastAsia"/>
          <w:b/>
          <w:bCs/>
          <w:color w:val="auto"/>
          <w:highlight w:val="none"/>
        </w:rPr>
      </w:pPr>
      <w:r>
        <w:rPr>
          <w:rFonts w:hint="eastAsia"/>
          <w:color w:val="auto"/>
          <w:highlight w:val="none"/>
          <w:lang w:eastAsia="zh-CN"/>
        </w:rPr>
        <w:t xml:space="preserve">解放路院区“汽改水”改造工程项目</w:t>
      </w:r>
      <w:r>
        <w:rPr>
          <w:rFonts w:hint="eastAsia"/>
          <w:color w:val="auto"/>
          <w:highlight w:val="none"/>
        </w:rPr>
        <w:t xml:space="preserve">，详见施工图纸</w:t>
      </w:r>
      <w:r>
        <w:rPr>
          <w:rFonts w:hint="eastAsia"/>
          <w:color w:val="auto"/>
          <w:highlight w:val="none"/>
          <w:lang w:eastAsia="zh-CN"/>
        </w:rPr>
        <w:t xml:space="preserve">、</w:t>
      </w:r>
      <w:r>
        <w:rPr>
          <w:rFonts w:hint="eastAsia"/>
          <w:color w:val="auto"/>
          <w:highlight w:val="none"/>
        </w:rPr>
        <w:t xml:space="preserve">工程量清单</w:t>
      </w:r>
      <w:r>
        <w:rPr>
          <w:rFonts w:hint="eastAsia"/>
          <w:color w:val="auto"/>
          <w:highlight w:val="none"/>
          <w:lang w:val="en-US" w:eastAsia="zh-CN"/>
        </w:rPr>
        <w:t xml:space="preserve">及编制说明</w:t>
      </w:r>
      <w:r>
        <w:rPr>
          <w:rFonts w:hint="eastAsia"/>
          <w:color w:val="auto"/>
          <w:highlight w:val="none"/>
        </w:rPr>
        <w:t xml:space="preserve">所含全部内容</w:t>
      </w:r>
      <w:r>
        <w:rPr>
          <w:rFonts w:hint="eastAsia"/>
          <w:b/>
          <w:bCs/>
          <w:color w:val="auto"/>
          <w:highlight w:val="none"/>
        </w:rPr>
        <w:t xml:space="preserve">。</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6、承包方式：包工包料（产生的建筑垃圾、渣土负责清运）。</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8、现场踏勘：</w:t>
      </w:r>
      <w:r>
        <w:rPr>
          <w:rFonts w:hint="eastAsia"/>
          <w:b w:val="0"/>
          <w:bCs w:val="0"/>
          <w:color w:val="auto"/>
          <w:highlight w:val="none"/>
          <w:lang w:val="en-US" w:eastAsia="zh-CN"/>
        </w:rPr>
        <w:t xml:space="preserve">自行</w:t>
      </w:r>
      <w:r>
        <w:rPr>
          <w:rFonts w:hint="eastAsia"/>
          <w:b w:val="0"/>
          <w:bCs w:val="0"/>
          <w:color w:val="auto"/>
          <w:highlight w:val="none"/>
        </w:rPr>
        <w:t xml:space="preserve">踏勘现场。</w:t>
      </w:r>
      <w:r/>
    </w:p>
    <w:p>
      <w:pPr>
        <w:pStyle w:val="1264"/>
        <w:spacing w:before="0" w:beforeAutospacing="0" w:after="0" w:afterAutospacing="0" w:line="360" w:lineRule="auto"/>
        <w:rPr>
          <w:rFonts w:hint="eastAsia"/>
          <w:b w:val="0"/>
          <w:bCs w:val="0"/>
          <w:color w:val="auto"/>
          <w:highlight w:val="none"/>
        </w:rPr>
      </w:pPr>
      <w:r>
        <w:rPr>
          <w:rFonts w:hint="eastAsia"/>
          <w:b w:val="0"/>
          <w:bCs w:val="0"/>
          <w:color w:val="auto"/>
          <w:highlight w:val="none"/>
        </w:rPr>
        <w:t xml:space="preserve">说明：</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264"/>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9、本工程采用的技术规范：执行现行技术规范：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本工程</w:t>
      </w:r>
      <w:r>
        <w:rPr>
          <w:rFonts w:hint="eastAsia" w:ascii="宋体" w:hAnsi="宋体" w:cs="宋体"/>
          <w:color w:val="auto"/>
          <w:sz w:val="24"/>
          <w:highlight w:val="none"/>
        </w:rPr>
        <w:t xml:space="preserve">执行现行国家标准《建设工程工程量清单计价规范》（GB50500－2013）、《通用安装工程工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号]文件等有关文件规定及采购人提供的工程量清单、施工蓝图、本文件及其补充通知和答疑纪要。</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宋体" w:hAnsi="宋体" w:cs="宋体"/>
          <w:color w:val="auto"/>
          <w:spacing w:val="10"/>
          <w:sz w:val="24"/>
          <w:highlight w:val="none"/>
        </w:rPr>
      </w:pPr>
      <w:r>
        <w:rPr>
          <w:rFonts w:hint="eastAsia" w:ascii="宋体" w:hAnsi="宋体" w:cs="宋体"/>
          <w:color w:val="auto"/>
          <w:sz w:val="24"/>
          <w:highlight w:val="none"/>
        </w:rPr>
        <w:t xml:space="preserve">3.14 响应报价时含各专业施工过程中线管及相关井道开洞及封堵等费用。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5、工程价款调整：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6、相关取费要求：详见工程量清单。</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7、其他说明</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7.1词语和定义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同义词语</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工程量差异调整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 建筑安装工程造价的组成</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7.5.2 通用项目（供应商可自主报价，结算不调整）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（1）夜间施工。</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（2）二次搬运。</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（3）冬雨季施工。</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（4）大型机械设备进出场及安拆。</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（5）施工排水。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（6）施工降水。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（7）地上、地下设施，建筑物的临时保护设施。</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（8）已完工程及设备保护。</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（9）临时设施。</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（10）材料与设备检验试验。</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（11）赶工措施。</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（12）工程按质论价。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（13）特殊条件下施工增加。</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（14）垂直运输及超增加费。</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7.5.3 其他项目费：按照工程量清单载明的标准计价。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7.5.4 措施项目费、规费、税金的取费率按照工程量清单载明的标准计价。</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8、项目相关要求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未按照磋商文件要求提供证明材料的视为不满足</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供应商报价时需考虑完成本项目内容所涉及的人工费、材料费、机械费、税费、验收等相关的一切费用。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供应商应根据本项目实际情况，合理配置人员，除项目经理外，安全员、质检员、施工员、预算员、材料员等人员应经验丰富，确保项目顺利实施。</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8.5 承包人对工程建设期间扬尘治理工作负主体责任。应制定施工现场扬尘污染防治专项方案，按照承包工程范围做好扬尘污染防治措施的落实。方案必须符合</w:t>
      </w:r>
      <w:r>
        <w:rPr>
          <w:rFonts w:hint="eastAsia" w:ascii="宋体" w:hAnsi="宋体" w:cs="宋体"/>
          <w:color w:val="auto"/>
          <w:sz w:val="24"/>
          <w:highlight w:val="none"/>
          <w:lang w:val="en-US" w:eastAsia="zh-CN"/>
        </w:rPr>
        <w:t xml:space="preserve">徐州市</w:t>
      </w:r>
      <w:r>
        <w:rPr>
          <w:rFonts w:hint="eastAsia" w:ascii="宋体" w:hAnsi="宋体" w:cs="宋体"/>
          <w:color w:val="auto"/>
          <w:sz w:val="24"/>
          <w:highlight w:val="none"/>
        </w:rPr>
        <w:t xml:space="preserve">“徐空气提升办【2018】11号”和“徐城管发【2018】55号”关于扬尘管控的相关规定要求。</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供应商在参与竞争性磋商采购活动时需提供中档及以上档次品牌产品进行报价。</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供应商采购本项目设备材料前应向监理及招标人报审同意后方可采购，采购人保留对设备材料厂家考察及变更材料品牌的权利。</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供应商采购的设备、材料，均应提供完整有效的质保资料，否则不得使用。</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 设备材料进场报验要求</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9.7 采购人保留更换品牌的权力，供应商须按市场主流产品的优等产品进行采购，采购前报采购人确认后方可采购。上述其他要求不变。</w:t>
      </w:r>
      <w:r/>
    </w:p>
    <w:p>
      <w:pPr>
        <w:pStyle w:val="1079"/>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9.8供应商须严格按照此采购管理要求进行本项目设备材料的采购和管理工作，否则由此产生的一切后果由供应商承担。</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2、接到故障通知后</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小时响应到达现场服务以及故障应急处理方案，12小时完成故障处理。</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6、与磋商文件规定的暂列金额及甲供材料价格不一致的；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 </w:t>
      </w:r>
      <w:r/>
    </w:p>
    <w:p>
      <w:pPr>
        <w:pStyle w:val="1079"/>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079"/>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079"/>
        <w:spacing w:after="0" w:line="360" w:lineRule="auto"/>
        <w:rPr>
          <w:rFonts w:hint="eastAsia" w:ascii="宋体" w:hAnsi="宋体" w:cs="宋体"/>
          <w:b/>
          <w:bCs/>
          <w:color w:val="auto"/>
          <w:sz w:val="24"/>
          <w:highlight w:val="none"/>
        </w:rPr>
      </w:pPr>
      <w:r>
        <w:rPr>
          <w:rFonts w:ascii="宋体" w:hAnsi="宋体" w:cs="宋体"/>
          <w:b/>
          <w:color w:val="auto"/>
          <w:sz w:val="24"/>
          <w:highlight w:val="none"/>
        </w:rPr>
        <w:t xml:space="preserve">1、因系统原因，电子版图纸</w:t>
      </w:r>
      <w:r>
        <w:rPr>
          <w:rFonts w:hint="eastAsia" w:ascii="宋体" w:hAnsi="宋体" w:cs="宋体"/>
          <w:b/>
          <w:color w:val="auto"/>
          <w:sz w:val="24"/>
          <w:highlight w:val="none"/>
          <w:lang w:val="en-US" w:eastAsia="zh-CN"/>
        </w:rPr>
        <w:t xml:space="preserve">及相关资料</w:t>
      </w:r>
      <w:r>
        <w:rPr>
          <w:rFonts w:ascii="宋体" w:hAnsi="宋体" w:cs="宋体"/>
          <w:b/>
          <w:color w:val="auto"/>
          <w:sz w:val="24"/>
          <w:highlight w:val="none"/>
        </w:rPr>
        <w:t xml:space="preserve">无法上传到“徐州政府采购网”。电子版图纸、工程量清单等资料领取方法：</w:t>
      </w:r>
      <w:r/>
    </w:p>
    <w:p>
      <w:pPr>
        <w:ind w:left="0" w:right="0" w:firstLine="0"/>
        <w:jc w:val="both"/>
        <w:spacing w:before="0" w:after="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eastAsia="宋体" w:cs="宋体"/>
          <w:color w:val="auto"/>
          <w:sz w:val="24"/>
        </w:rPr>
        <w:t xml:space="preserve">通过网盘分享的文件：图纸及资料--</w:t>
      </w:r>
      <w:r>
        <w:rPr>
          <w:rFonts w:hint="eastAsia" w:ascii="宋体" w:hAnsi="宋体" w:cs="宋体"/>
          <w:color w:val="auto"/>
          <w:sz w:val="24"/>
          <w:lang w:eastAsia="zh-CN"/>
        </w:rPr>
        <w:t xml:space="preserve">解放路院区“汽改水”改造工程项目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链接: https://pan.baidu.com/s/1tY3eH4i5ojpUO248t7e5Qw 提取码: g1hf</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2、如在下载过程中出现异常情况，请及时联系：</w:t>
      </w:r>
      <w:r>
        <w:rPr>
          <w:rFonts w:hint="eastAsia" w:ascii="宋体" w:hAnsi="宋体" w:cs="宋体"/>
          <w:b/>
          <w:color w:val="auto"/>
          <w:sz w:val="24"/>
          <w:highlight w:val="none"/>
          <w:lang w:val="en-US" w:eastAsia="zh-CN"/>
        </w:rPr>
        <w:t xml:space="preserve">赵丽梅</w:t>
      </w:r>
      <w:r>
        <w:rPr>
          <w:rFonts w:ascii="宋体" w:hAnsi="宋体" w:cs="宋体"/>
          <w:b/>
          <w:color w:val="auto"/>
          <w:sz w:val="24"/>
          <w:highlight w:val="none"/>
        </w:rPr>
        <w:t xml:space="preserve">，联系电话：0516-83999206。</w:t>
      </w:r>
      <w:r/>
    </w:p>
    <w:p>
      <w:pPr>
        <w:pStyle w:val="1079"/>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079"/>
        <w:spacing w:after="0" w:line="360" w:lineRule="auto"/>
        <w:rPr>
          <w:rFonts w:hint="eastAsia" w:ascii="宋体" w:hAnsi="宋体" w:cs="宋体"/>
          <w:color w:val="auto"/>
          <w:highlight w:val="none"/>
        </w:rPr>
      </w:pPr>
      <w:r>
        <w:rPr>
          <w:rFonts w:hint="eastAsia" w:ascii="宋体" w:hAnsi="宋体" w:cs="宋体"/>
          <w:b/>
          <w:bCs/>
          <w:color w:val="auto"/>
          <w:sz w:val="24"/>
          <w:highlight w:val="none"/>
        </w:rPr>
        <w:t xml:space="preserve">1、见《磋商文件》附件：6、《拟签订的合同文本》、《工程量清单》及《图纸》。</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3、磋商报价表</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1079"/>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w:t>
      </w:r>
      <w:r>
        <w:rPr>
          <w:rFonts w:hint="eastAsia" w:ascii="宋体" w:hAnsi="宋体" w:cs="宋体"/>
          <w:b/>
          <w:color w:val="auto"/>
          <w:sz w:val="24"/>
          <w:lang w:eastAsia="zh-CN"/>
        </w:rPr>
        <w:t xml:space="preserve">。</w:t>
      </w:r>
      <w:r/>
    </w:p>
    <w:p>
      <w:pPr>
        <w:rPr>
          <w:rFonts w:hint="eastAsia"/>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4、分项价格表</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085"/>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按工程量清单报价</w:t>
      </w:r>
      <w:r>
        <w:rPr>
          <w:rFonts w:hint="eastAsia" w:ascii="宋体" w:hAnsi="宋体" w:cs="宋体"/>
          <w:b/>
          <w:bCs/>
          <w:color w:val="auto"/>
          <w:sz w:val="24"/>
          <w:highlight w:val="none"/>
          <w:lang w:eastAsia="zh-CN"/>
        </w:rPr>
        <w:t xml:space="preserve">。</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52"/>
        <w:rPr>
          <w:rFonts w:hint="eastAsia" w:ascii="宋体" w:hAnsi="宋体" w:cs="宋体"/>
          <w:color w:val="auto"/>
          <w:sz w:val="24"/>
          <w:highlight w:val="none"/>
        </w:rPr>
      </w:pPr>
      <w:r>
        <w:rPr>
          <w:rFonts w:hint="eastAsia" w:ascii="宋体" w:hAnsi="宋体" w:cs="宋体"/>
          <w:color w:val="auto"/>
          <w:sz w:val="24"/>
          <w:highlight w:val="none"/>
        </w:rPr>
      </w:r>
      <w:r/>
    </w:p>
    <w:p>
      <w:pPr>
        <w:pStyle w:val="105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27"/>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产品生产厂家名称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Mar>
              <w:left w:w="15" w:type="dxa"/>
              <w:top w:w="15" w:type="dxa"/>
              <w:right w:w="15" w:type="dxa"/>
              <w:bottom w:w="0" w:type="dxa"/>
            </w:tcMar>
            <w:tcW w:w="122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49"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8"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5"/>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266"/>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266"/>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解放路院区“汽改水”改造工程项目</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施工合同</w:t>
      </w:r>
      <w:r/>
    </w:p>
    <w:p>
      <w:pPr>
        <w:pStyle w:val="1266"/>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徐州市中心医院康复医院装修改造</w:t>
      </w:r>
      <w:r/>
    </w:p>
    <w:p>
      <w:pPr>
        <w:pStyle w:val="1266"/>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    方：</w:t>
      </w:r>
      <w:r>
        <w:rPr>
          <w:rFonts w:hint="eastAsia" w:ascii="宋体" w:hAnsi="宋体" w:cs="宋体"/>
          <w:b/>
          <w:color w:val="auto"/>
          <w:sz w:val="30"/>
          <w:szCs w:val="30"/>
          <w:highlight w:val="none"/>
          <w:lang w:eastAsia="zh-CN"/>
        </w:rPr>
        <w:t xml:space="preserve">徐州市中心医院</w:t>
      </w:r>
      <w:r/>
    </w:p>
    <w:p>
      <w:pPr>
        <w:pStyle w:val="1266"/>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266"/>
        <w:ind w:firstLine="301"/>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266"/>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66"/>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266"/>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友情提醒：采购人与成交供应商应当在成交通知书发出之日起三十日内，按照采购文件确定的事项签订政府采购合同。</w:t>
      </w:r>
      <w:r/>
    </w:p>
    <w:p>
      <w:pPr>
        <w:pStyle w:val="1266"/>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hint="eastAsia" w:ascii="宋体" w:hAnsi="宋体" w:cs="宋体"/>
          <w:b/>
          <w:color w:val="auto"/>
          <w:sz w:val="24"/>
          <w:highlight w:val="none"/>
        </w:rPr>
        <w:t xml:space="preserve">　　</w:t>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267"/>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269"/>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ind w:firstLine="482"/>
        <w:pageBreakBefore w:val="0"/>
        <w:spacing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ind w:firstLine="482"/>
        <w:pageBreakBefore w:val="0"/>
        <w:spacing w:line="360" w:lineRule="auto"/>
        <w:widowControl w:val="off"/>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及有关事项协商一致，共同达成如下协议：</w:t>
      </w:r>
      <w:r/>
    </w:p>
    <w:p>
      <w:pPr>
        <w:ind w:firstLine="482"/>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解放路院区“汽改水”改造工程项目</w:t>
      </w:r>
      <w:r/>
    </w:p>
    <w:p>
      <w:pPr>
        <w:ind w:firstLine="480"/>
        <w:jc w:val="left"/>
        <w:pageBreakBefore w:val="0"/>
        <w:spacing w:line="360" w:lineRule="auto"/>
        <w:widowControl w:val="off"/>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已落实 </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pageBreakBefore w:val="0"/>
        <w:spacing w:line="360" w:lineRule="auto"/>
        <w:widowControl w:val="off"/>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bCs/>
          <w:color w:val="auto"/>
          <w:sz w:val="24"/>
          <w:highlight w:val="none"/>
          <w:u w:val="single"/>
          <w:lang w:eastAsia="zh-CN"/>
        </w:rPr>
        <w:t xml:space="preserve">解放路院区“汽改水”改造工程项目</w:t>
      </w:r>
      <w:r>
        <w:rPr>
          <w:rFonts w:hint="eastAsia" w:ascii="宋体" w:hAnsi="宋体" w:cs="宋体"/>
          <w:bCs/>
          <w:color w:val="auto"/>
          <w:sz w:val="24"/>
          <w:highlight w:val="none"/>
          <w:u w:val="single"/>
        </w:rPr>
        <w:t xml:space="preserve">。具体详见工程量清单、图纸所含全部内容</w:t>
      </w:r>
      <w:r/>
    </w:p>
    <w:p>
      <w:pPr>
        <w:pStyle w:val="1270"/>
        <w:ind w:firstLine="480"/>
        <w:pageBreakBefore w:val="0"/>
        <w:spacing w:before="0" w:after="0" w:line="360" w:lineRule="auto"/>
        <w:widowControl w:val="off"/>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标准。</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270"/>
        <w:ind w:firstLine="480"/>
        <w:pageBreakBefore w:val="0"/>
        <w:spacing w:before="0" w:after="0"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ind w:firstLine="482"/>
        <w:pageBreakBefore w:val="0"/>
        <w:spacing w:line="360" w:lineRule="auto"/>
        <w:widowControl w:val="off"/>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pageBreakBefore w:val="0"/>
        <w:spacing w:line="360" w:lineRule="auto"/>
        <w:widowControl w:val="off"/>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270"/>
        <w:ind w:firstLine="482"/>
        <w:pageBreakBefore w:val="0"/>
        <w:spacing w:before="0" w:after="0" w:line="360" w:lineRule="auto"/>
        <w:widowControl w:val="off"/>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269"/>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269"/>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269"/>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269"/>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4套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5"/>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 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 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pStyle w:val="1079"/>
        <w:ind w:firstLine="720"/>
        <w:jc w:val="left"/>
        <w:spacing w:after="0" w:line="440" w:lineRule="exact"/>
        <w:rPr>
          <w:color w:val="auto"/>
          <w:highlight w:val="none"/>
        </w:rPr>
      </w:pPr>
      <w:r>
        <w:rPr>
          <w:rFonts w:hint="eastAsia" w:ascii="宋体" w:hAnsi="宋体" w:cs="宋体"/>
          <w:color w:val="auto"/>
          <w:sz w:val="24"/>
          <w:highlight w:val="none"/>
          <w:u w:val="single"/>
        </w:rPr>
        <w:t xml:space="preserve">④ 承包人必须履行总承包管理协调职能，对于由发包人单独分包的专业工程，本工程承包人不得以任何借口向专业工程施工单位收取管理配合费、安全管理押金、文明施工押金及其他一切费用。</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 履约保证金）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成交金额的5%，合同签订前向发包人交纳。履约担保（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苏建函价〔2025〕</w:t>
      </w:r>
      <w:r>
        <w:rPr>
          <w:rFonts w:hint="eastAsia" w:ascii="宋体" w:hAnsi="宋体"/>
          <w:color w:val="auto"/>
          <w:sz w:val="24"/>
          <w:highlight w:val="none"/>
          <w:u w:val="single"/>
          <w:lang w:eastAsia="zh-CN"/>
        </w:rPr>
        <w:t xml:space="preserve">273</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合同签订且材料进场后15日内</w:t>
      </w:r>
      <w:r>
        <w:rPr>
          <w:rFonts w:hint="eastAsia" w:ascii="宋体" w:hAnsi="宋体" w:cs="宋体"/>
          <w:b/>
          <w:color w:val="auto"/>
          <w:sz w:val="24"/>
          <w:highlight w:val="none"/>
          <w:u w:val="single"/>
        </w:rPr>
        <w:t xml:space="preserve">。</w:t>
      </w:r>
      <w:r/>
    </w:p>
    <w:p>
      <w:pPr>
        <w:ind w:firstLine="480"/>
        <w:spacing w:line="44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4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合同签订且材料进场后15日内支付签约合同总价的10%，作为项目预付款。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每逾期1天，每天按照10000元支付违约金。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合同文本；中标通知书；专用条款；谈判文件；响应文件、开、竣工报告；竣工验收合格证明书；签证变更资料；甲控材料认价单；通用条款；竣工图；监理人、发包人签收的满足城建档案管理要求的工程竣工资料（含竣工图）的交接单以及承包人已全部提交竣工结算资料的承诺书。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另行协商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不扣留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质量保证金的扣留：不扣留。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承包人必须按照工程所在地相关规定要求执行,并承担保险费用。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pStyle w:val="1270"/>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21.1承包人须与包括农民</w:t>
      </w:r>
      <w:r>
        <w:rPr>
          <w:rFonts w:hint="eastAsia" w:ascii="宋体" w:hAnsi="宋体" w:cs="宋体"/>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auto"/>
          <w:sz w:val="24"/>
          <w:highlight w:val="none"/>
          <w:u w:val="single"/>
        </w:rPr>
      </w:pPr>
      <w:r>
        <w:rPr>
          <w:rFonts w:hint="eastAsia" w:ascii="宋体" w:hAnsi="宋体" w:cs="宋体"/>
          <w:color w:val="auto"/>
          <w:sz w:val="24"/>
          <w:highlight w:val="none"/>
          <w:u w:val="single"/>
        </w:rPr>
        <w:t xml:space="preserve">21.4</w:t>
      </w:r>
      <w:r>
        <w:rPr>
          <w:rFonts w:hint="eastAsia" w:ascii="宋体" w:hAnsi="宋体"/>
          <w:color w:val="auto"/>
          <w:sz w:val="24"/>
          <w:highlight w:val="non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cs="宋体"/>
          <w:b/>
          <w:color w:val="auto"/>
          <w:sz w:val="24"/>
          <w:highlight w:val="none"/>
        </w:rPr>
      </w:pPr>
      <w:r/>
      <w:bookmarkStart w:id="14" w:name="_Toc351203652"/>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2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079"/>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徐州市中心医院</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解放路院区“汽改水”改造工程项目</w:t>
      </w:r>
      <w:r>
        <w:rPr>
          <w:rFonts w:hint="eastAsia" w:ascii="宋体" w:hAnsi="宋体" w:cs="宋体"/>
          <w:color w:val="auto"/>
          <w:sz w:val="24"/>
          <w:highlight w:val="none"/>
        </w:rPr>
        <w:t xml:space="preserve">（工程全称）签订工程质量保修书。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6"/>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7"/>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8"/>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9"/>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1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11"/>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440" w:lineRule="exact"/>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2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79"/>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2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79"/>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79"/>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1278"/>
        <w:ind w:left="0" w:right="0" w:firstLine="480"/>
        <w:jc w:val="both"/>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265"/>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徐州市中心医院</w:t>
      </w:r>
      <w:r>
        <w:rPr>
          <w:rFonts w:hint="eastAsia" w:ascii="宋体" w:hAnsi="宋体" w:cs="宋体"/>
          <w:b/>
          <w:bCs/>
          <w:color w:val="auto"/>
          <w:sz w:val="24"/>
          <w:highlight w:val="none"/>
        </w:rPr>
        <w:t xml:space="preserve">：</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273"/>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2"/>
          <w:szCs w:val="32"/>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、具备履行合同所必需的设备和专业技术能力的书面声明（附证明材料）格式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260"/>
        <w:numPr>
          <w:ilvl w:val="0"/>
          <w:numId w:val="0"/>
        </w:numPr>
        <w:ind w:firstLine="560"/>
        <w:jc w:val="left"/>
        <w:spacing w:after="0" w:line="360" w:lineRule="auto"/>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①</w:t>
      </w:r>
      <w:r>
        <w:rPr>
          <w:rFonts w:hint="eastAsia" w:ascii="宋体" w:hAnsi="宋体" w:cs="宋体"/>
          <w:b w:val="0"/>
          <w:bCs w:val="0"/>
          <w:color w:val="auto"/>
          <w:sz w:val="28"/>
          <w:szCs w:val="28"/>
          <w:highlight w:val="none"/>
        </w:rPr>
        <w:t xml:space="preserve">提供供应商有效的的市政公用工程施工总承包叁级（含）以上资质证书扫描件；</w:t>
      </w:r>
      <w:r/>
    </w:p>
    <w:p>
      <w:pPr>
        <w:pStyle w:val="1260"/>
        <w:ind w:left="0" w:firstLine="482"/>
        <w:jc w:val="left"/>
        <w:spacing w:after="0" w:line="360" w:lineRule="auto"/>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② 提供供应商拟选派项目负责人（注册建造师）具备有效的市政公用工程专业贰级（含）以上建造师资格证书</w:t>
      </w:r>
      <w:r>
        <w:rPr>
          <w:rFonts w:hint="eastAsia" w:ascii="宋体" w:hAnsi="宋体" w:cs="宋体"/>
          <w:b w:val="0"/>
          <w:bCs w:val="0"/>
          <w:color w:val="auto"/>
          <w:sz w:val="28"/>
          <w:szCs w:val="28"/>
          <w:highlight w:val="none"/>
          <w:lang w:val="en-US" w:eastAsia="zh-CN"/>
        </w:rPr>
        <w:t xml:space="preserve">扫描件</w:t>
      </w:r>
      <w:r>
        <w:rPr>
          <w:rFonts w:hint="eastAsia" w:ascii="宋体" w:hAnsi="宋体" w:cs="宋体"/>
          <w:b w:val="0"/>
          <w:bCs w:val="0"/>
          <w:color w:val="auto"/>
          <w:sz w:val="28"/>
          <w:szCs w:val="28"/>
          <w:highlight w:val="none"/>
        </w:rPr>
        <w:t xml:space="preserve">；并取得有效的《建筑施工企业项目负责人安全生产考核合格证书》（B证），响应文件中提供证书扫描件；</w:t>
      </w:r>
      <w:r/>
    </w:p>
    <w:p>
      <w:pPr>
        <w:pStyle w:val="1260"/>
        <w:ind w:left="0" w:firstLine="482"/>
        <w:jc w:val="left"/>
        <w:spacing w:after="0" w:line="360" w:lineRule="auto"/>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③ 供应商具备安全生产条件，取得有效的《安全生产许可证》，响应文件中提供证书扫描件；</w:t>
      </w:r>
      <w:r/>
    </w:p>
    <w:p>
      <w:pPr>
        <w:pStyle w:val="1260"/>
        <w:ind w:left="0" w:firstLine="482"/>
        <w:jc w:val="left"/>
        <w:spacing w:after="0" w:line="360" w:lineRule="auto"/>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④ 供应商拟选派项目负责人（注册建造师）无在建工程，响应文件中提供证明材料或承诺书（格式自拟）。</w:t>
      </w:r>
      <w:r/>
    </w:p>
    <w:p>
      <w:pPr>
        <w:pStyle w:val="1260"/>
        <w:ind w:left="0"/>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8"/>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keepLines w:val="0"/>
        <w:keepNext w:val="0"/>
        <w:pageBreakBefore w:val="0"/>
        <w:spacing w:beforeAutospacing="0" w:afterAutospacing="0" w:line="360" w:lineRule="auto"/>
        <w:widowControl/>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徐州市中心医院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564640" cy="3099435"/>
                <wp:effectExtent l="0" t="0" r="16510" b="571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564640" cy="309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23.2pt;height:244.0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lang w:val="en-US" w:eastAsia="zh-CN"/>
        </w:rPr>
        <w:t xml:space="preserve">12</w:t>
      </w:r>
      <w:r>
        <w:rPr>
          <w:rFonts w:hint="eastAsia" w:ascii="宋体" w:hAnsi="宋体" w:cs="宋体"/>
          <w:b/>
          <w:bCs/>
          <w:color w:val="auto"/>
          <w:sz w:val="32"/>
          <w:szCs w:val="32"/>
          <w:highlight w:val="none"/>
        </w:rPr>
        <w:t xml:space="preserve">、</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解放路院区“汽改水”改造工程项目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pStyle w:val="1264"/>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2"/>
          <w:szCs w:val="32"/>
          <w:highlight w:val="none"/>
        </w:rPr>
      </w:pPr>
      <w:r/>
      <w:bookmarkStart w:id="15" w:name="OLE_LINK13"/>
      <w:r/>
      <w:bookmarkStart w:id="16" w:name="OLE_LINK14"/>
      <w:r>
        <w:rPr>
          <w:rFonts w:hint="eastAsia" w:ascii="宋体" w:hAnsi="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rPr>
        <w:t xml:space="preserve">、残疾人福利性单位声明函</w:t>
      </w:r>
      <w:bookmarkEnd w:id="15"/>
      <w:r/>
      <w:bookmarkEnd w:id="1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单位名称（供应商电子签章）：</w:t>
      </w:r>
      <w:r/>
    </w:p>
    <w:p>
      <w:pPr>
        <w:ind w:right="1560" w:firstLine="584"/>
        <w:spacing w:line="360" w:lineRule="auto"/>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pStyle w:val="1260"/>
        <w:ind w:left="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1</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140"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pStyle w:val="1260"/>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方正书宋简体">
    <w:panose1 w:val="020B0503020202020204"/>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widowControl/>
      <w:rPr>
        <w:rStyle w:val="1277"/>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277"/>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3"/>
                            <w:widowControl/>
                            <w:tabs>
                              <w:tab w:val="clear" w:pos="4153" w:leader="none"/>
                              <w:tab w:val="clear" w:pos="8306" w:leader="none"/>
                            </w:tabs>
                            <w:rPr>
                              <w:rStyle w:val="1277"/>
                              <w:sz w:val="18"/>
                              <w:szCs w:val="18"/>
                            </w:rPr>
                          </w:pPr>
                          <w:r>
                            <w:rPr>
                              <w:sz w:val="18"/>
                              <w:szCs w:val="18"/>
                            </w:rPr>
                          </w:r>
                          <w:r/>
                        </w:p>
                        <w:p>
                          <w:pPr>
                            <w:widowControl/>
                            <w:rPr>
                              <w:rStyle w:val="1277"/>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3"/>
                      <w:widowControl/>
                      <w:tabs>
                        <w:tab w:val="clear" w:pos="4153" w:leader="none"/>
                        <w:tab w:val="clear" w:pos="8306" w:leader="none"/>
                      </w:tabs>
                      <w:rPr>
                        <w:rStyle w:val="1277"/>
                        <w:sz w:val="18"/>
                        <w:szCs w:val="18"/>
                      </w:rPr>
                    </w:pPr>
                    <w:r>
                      <w:rPr>
                        <w:sz w:val="18"/>
                        <w:szCs w:val="18"/>
                      </w:rPr>
                    </w:r>
                    <w:r/>
                  </w:p>
                  <w:p>
                    <w:pPr>
                      <w:widowControl/>
                      <w:rPr>
                        <w:rStyle w:val="1277"/>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77"/>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9"/>
  </w:num>
  <w:num w:numId="4">
    <w:abstractNumId w:val="1"/>
  </w:num>
  <w:num w:numId="5">
    <w:abstractNumId w:val="3"/>
  </w:num>
  <w:num w:numId="6">
    <w:abstractNumId w:val="2"/>
  </w:num>
  <w:num w:numId="7">
    <w:abstractNumId w:val="7"/>
  </w:num>
  <w:num w:numId="8">
    <w:abstractNumId w:val="8"/>
  </w:num>
  <w:num w:numId="9">
    <w:abstractNumId w:val="10"/>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6" w:default="1">
    <w:name w:val="Normal"/>
    <w:next w:val="1028"/>
    <w:uiPriority w:val="0"/>
    <w:qFormat/>
    <w:pPr>
      <w:jc w:val="both"/>
      <w:widowControl w:val="off"/>
    </w:pPr>
    <w:rPr>
      <w:rFonts w:hint="default" w:ascii="Calibri" w:hAnsi="Calibri" w:eastAsia="宋体" w:cs="Times New Roman"/>
      <w:sz w:val="21"/>
      <w:szCs w:val="24"/>
      <w:lang w:val="en-US" w:eastAsia="zh-CN" w:bidi="ar-SA"/>
    </w:rPr>
  </w:style>
  <w:style w:type="paragraph" w:styleId="1017">
    <w:name w:val="Heading 1"/>
    <w:basedOn w:val="1016"/>
    <w:next w:val="1016"/>
    <w:link w:val="1083"/>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link w:val="1081"/>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082"/>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link w:val="1134"/>
    <w:uiPriority w:val="9"/>
    <w:unhideWhenUsed/>
    <w:qFormat/>
    <w:pPr>
      <w:keepLines/>
      <w:keepNext/>
      <w:spacing w:before="320" w:after="200"/>
      <w:outlineLvl w:val="3"/>
    </w:pPr>
    <w:rPr>
      <w:rFonts w:ascii="Arial" w:hAnsi="Arial" w:eastAsia="Arial" w:cs="Arial"/>
      <w:b/>
      <w:bCs/>
      <w:sz w:val="26"/>
      <w:szCs w:val="26"/>
    </w:rPr>
  </w:style>
  <w:style w:type="paragraph" w:styleId="1021">
    <w:name w:val="Heading 5"/>
    <w:basedOn w:val="1016"/>
    <w:next w:val="1016"/>
    <w:link w:val="1135"/>
    <w:uiPriority w:val="9"/>
    <w:unhideWhenUsed/>
    <w:qFormat/>
    <w:pPr>
      <w:keepLines/>
      <w:keepNext/>
      <w:spacing w:before="320" w:after="200"/>
      <w:outlineLvl w:val="4"/>
    </w:pPr>
    <w:rPr>
      <w:rFonts w:ascii="Arial" w:hAnsi="Arial" w:eastAsia="Arial" w:cs="Arial"/>
      <w:b/>
      <w:bCs/>
      <w:sz w:val="24"/>
    </w:rPr>
  </w:style>
  <w:style w:type="paragraph" w:styleId="1022">
    <w:name w:val="Heading 6"/>
    <w:basedOn w:val="1016"/>
    <w:next w:val="1016"/>
    <w:link w:val="1136"/>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137"/>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138"/>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139"/>
    <w:uiPriority w:val="9"/>
    <w:unhideWhenUsed/>
    <w:qFormat/>
    <w:pPr>
      <w:keepLines/>
      <w:keepNext/>
      <w:spacing w:before="320" w:after="200"/>
      <w:outlineLvl w:val="8"/>
    </w:pPr>
    <w:rPr>
      <w:rFonts w:ascii="Arial" w:hAnsi="Arial" w:eastAsia="Arial" w:cs="Arial"/>
      <w:i/>
      <w:iCs/>
      <w:szCs w:val="21"/>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name w:val="Block Text"/>
    <w:basedOn w:val="1016"/>
    <w:uiPriority w:val="0"/>
    <w:qFormat/>
    <w:pPr>
      <w:ind w:left="256" w:right="6" w:firstLine="624"/>
    </w:pPr>
    <w:rPr>
      <w:rFonts w:eastAsia="仿宋"/>
      <w:sz w:val="28"/>
      <w:szCs w:val="20"/>
    </w:rPr>
  </w:style>
  <w:style w:type="paragraph" w:styleId="1029">
    <w:name w:val="toc 7"/>
    <w:basedOn w:val="1016"/>
    <w:next w:val="1016"/>
    <w:uiPriority w:val="39"/>
    <w:unhideWhenUsed/>
    <w:qFormat/>
    <w:pPr>
      <w:ind w:left="1701"/>
      <w:spacing w:after="57"/>
    </w:pPr>
  </w:style>
  <w:style w:type="paragraph" w:styleId="1030">
    <w:name w:val="Caption"/>
    <w:basedOn w:val="1016"/>
    <w:next w:val="10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31">
    <w:name w:val="annotation text"/>
    <w:basedOn w:val="1016"/>
    <w:link w:val="1282"/>
    <w:uiPriority w:val="99"/>
    <w:semiHidden/>
    <w:unhideWhenUsed/>
    <w:qFormat/>
    <w:pPr>
      <w:jc w:val="left"/>
    </w:pPr>
  </w:style>
  <w:style w:type="paragraph" w:styleId="1032">
    <w:name w:val="Body Text"/>
    <w:basedOn w:val="1016"/>
    <w:link w:val="1279"/>
    <w:uiPriority w:val="0"/>
    <w:qFormat/>
    <w:pPr>
      <w:ind w:left="72" w:right="30"/>
      <w:jc w:val="center"/>
      <w:spacing w:after="60" w:line="360" w:lineRule="atLeast"/>
    </w:pPr>
    <w:rPr>
      <w:rFonts w:ascii="Times New Roman" w:hAnsi="Times New Roman"/>
      <w:sz w:val="20"/>
      <w:szCs w:val="20"/>
    </w:rPr>
  </w:style>
  <w:style w:type="paragraph" w:styleId="1033">
    <w:name w:val="Body Text Indent"/>
    <w:basedOn w:val="1016"/>
    <w:uiPriority w:val="0"/>
    <w:qFormat/>
    <w:pPr>
      <w:ind w:firstLine="600"/>
      <w:spacing w:line="317" w:lineRule="auto"/>
    </w:pPr>
    <w:rPr>
      <w:rFonts w:ascii="方正书宋简体" w:eastAsia="方正书宋简体"/>
      <w:sz w:val="30"/>
    </w:rPr>
  </w:style>
  <w:style w:type="paragraph" w:styleId="1034">
    <w:name w:val="toc 5"/>
    <w:basedOn w:val="1016"/>
    <w:next w:val="1016"/>
    <w:uiPriority w:val="39"/>
    <w:unhideWhenUsed/>
    <w:qFormat/>
    <w:pPr>
      <w:ind w:left="1134"/>
      <w:spacing w:after="57"/>
    </w:pPr>
  </w:style>
  <w:style w:type="paragraph" w:styleId="1035">
    <w:name w:val="toc 3"/>
    <w:basedOn w:val="1016"/>
    <w:next w:val="1016"/>
    <w:uiPriority w:val="39"/>
    <w:unhideWhenUsed/>
    <w:qFormat/>
    <w:pPr>
      <w:ind w:left="567"/>
      <w:spacing w:after="57"/>
    </w:pPr>
  </w:style>
  <w:style w:type="paragraph" w:styleId="1036">
    <w:name w:val="Plain Text"/>
    <w:basedOn w:val="1016"/>
    <w:next w:val="1016"/>
    <w:uiPriority w:val="0"/>
    <w:qFormat/>
    <w:rPr>
      <w:rFonts w:hint="eastAsia" w:ascii="宋体" w:hAnsi="Courier New" w:eastAsia="仿宋_GB2312"/>
      <w:sz w:val="30"/>
      <w:szCs w:val="20"/>
    </w:rPr>
  </w:style>
  <w:style w:type="paragraph" w:styleId="1037">
    <w:name w:val="toc 8"/>
    <w:basedOn w:val="1016"/>
    <w:next w:val="1016"/>
    <w:uiPriority w:val="39"/>
    <w:unhideWhenUsed/>
    <w:qFormat/>
    <w:pPr>
      <w:ind w:left="1984"/>
      <w:spacing w:after="57"/>
    </w:pPr>
  </w:style>
  <w:style w:type="paragraph" w:styleId="1038">
    <w:name w:val="Date"/>
    <w:basedOn w:val="1016"/>
    <w:next w:val="1016"/>
    <w:uiPriority w:val="0"/>
    <w:unhideWhenUsed/>
    <w:qFormat/>
    <w:rPr>
      <w:rFonts w:ascii="宋体" w:hAnsi="Times New Roman"/>
    </w:rPr>
  </w:style>
  <w:style w:type="paragraph" w:styleId="1039">
    <w:name w:val="endnote text"/>
    <w:basedOn w:val="1016"/>
    <w:link w:val="1258"/>
    <w:uiPriority w:val="99"/>
    <w:semiHidden/>
    <w:unhideWhenUsed/>
    <w:qFormat/>
    <w:rPr>
      <w:sz w:val="20"/>
    </w:rPr>
  </w:style>
  <w:style w:type="paragraph" w:styleId="1040">
    <w:name w:val="Balloon Text"/>
    <w:basedOn w:val="1016"/>
    <w:link w:val="1281"/>
    <w:uiPriority w:val="99"/>
    <w:semiHidden/>
    <w:unhideWhenUsed/>
    <w:qFormat/>
    <w:rPr>
      <w:sz w:val="18"/>
      <w:szCs w:val="18"/>
    </w:rPr>
  </w:style>
  <w:style w:type="paragraph" w:styleId="1041">
    <w:name w:val="Footer"/>
    <w:basedOn w:val="1016"/>
    <w:link w:val="1150"/>
    <w:uiPriority w:val="99"/>
    <w:unhideWhenUsed/>
    <w:qFormat/>
    <w:pPr>
      <w:tabs>
        <w:tab w:val="center" w:pos="7143" w:leader="none"/>
        <w:tab w:val="right" w:pos="14287" w:leader="none"/>
      </w:tabs>
    </w:pPr>
  </w:style>
  <w:style w:type="paragraph" w:styleId="1042">
    <w:name w:val="Header"/>
    <w:basedOn w:val="1016"/>
    <w:link w:val="1148"/>
    <w:uiPriority w:val="99"/>
    <w:unhideWhenUsed/>
    <w:qFormat/>
    <w:pPr>
      <w:tabs>
        <w:tab w:val="center" w:pos="7143" w:leader="none"/>
        <w:tab w:val="right" w:pos="14287" w:leader="none"/>
      </w:tabs>
    </w:pPr>
  </w:style>
  <w:style w:type="paragraph" w:styleId="1043">
    <w:name w:val="toc 1"/>
    <w:basedOn w:val="1016"/>
    <w:next w:val="1016"/>
    <w:uiPriority w:val="39"/>
    <w:unhideWhenUsed/>
    <w:qFormat/>
    <w:pPr>
      <w:spacing w:after="57"/>
    </w:pPr>
  </w:style>
  <w:style w:type="paragraph" w:styleId="1044">
    <w:name w:val="toc 4"/>
    <w:basedOn w:val="1016"/>
    <w:next w:val="1016"/>
    <w:uiPriority w:val="39"/>
    <w:unhideWhenUsed/>
    <w:qFormat/>
    <w:pPr>
      <w:ind w:left="850"/>
      <w:spacing w:after="57"/>
    </w:pPr>
  </w:style>
  <w:style w:type="paragraph" w:styleId="1045">
    <w:name w:val="Subtitle"/>
    <w:basedOn w:val="1016"/>
    <w:next w:val="1016"/>
    <w:link w:val="1143"/>
    <w:uiPriority w:val="11"/>
    <w:qFormat/>
    <w:pPr>
      <w:spacing w:before="200" w:after="200"/>
    </w:pPr>
    <w:rPr>
      <w:sz w:val="24"/>
    </w:rPr>
  </w:style>
  <w:style w:type="paragraph" w:styleId="1046">
    <w:name w:val="footnote text"/>
    <w:basedOn w:val="1016"/>
    <w:link w:val="1257"/>
    <w:uiPriority w:val="99"/>
    <w:semiHidden/>
    <w:unhideWhenUsed/>
    <w:qFormat/>
    <w:pPr>
      <w:spacing w:after="40"/>
    </w:pPr>
    <w:rPr>
      <w:sz w:val="18"/>
    </w:rPr>
  </w:style>
  <w:style w:type="paragraph" w:styleId="1047">
    <w:name w:val="toc 6"/>
    <w:basedOn w:val="1016"/>
    <w:next w:val="1016"/>
    <w:uiPriority w:val="39"/>
    <w:unhideWhenUsed/>
    <w:qFormat/>
    <w:pPr>
      <w:ind w:left="1417"/>
      <w:spacing w:after="57"/>
    </w:pPr>
  </w:style>
  <w:style w:type="paragraph" w:styleId="1048">
    <w:name w:val="table of figures"/>
    <w:basedOn w:val="1016"/>
    <w:next w:val="1016"/>
    <w:uiPriority w:val="99"/>
    <w:unhideWhenUsed/>
    <w:qFormat/>
  </w:style>
  <w:style w:type="paragraph" w:styleId="1049">
    <w:name w:val="toc 2"/>
    <w:basedOn w:val="1016"/>
    <w:next w:val="1016"/>
    <w:uiPriority w:val="39"/>
    <w:unhideWhenUsed/>
    <w:qFormat/>
    <w:pPr>
      <w:ind w:left="283"/>
      <w:spacing w:after="57"/>
    </w:pPr>
  </w:style>
  <w:style w:type="paragraph" w:styleId="1050">
    <w:name w:val="toc 9"/>
    <w:basedOn w:val="1016"/>
    <w:next w:val="1016"/>
    <w:uiPriority w:val="39"/>
    <w:unhideWhenUsed/>
    <w:qFormat/>
    <w:pPr>
      <w:ind w:left="2268"/>
      <w:spacing w:after="57"/>
    </w:pPr>
  </w:style>
  <w:style w:type="paragraph" w:styleId="1051">
    <w:name w:val="Normal (Web)"/>
    <w:basedOn w:val="1016"/>
    <w:uiPriority w:val="0"/>
    <w:unhideWhenUsed/>
    <w:qFormat/>
    <w:pPr>
      <w:jc w:val="left"/>
      <w:spacing w:before="100" w:beforeAutospacing="1" w:after="100" w:afterAutospacing="1"/>
      <w:widowControl/>
    </w:pPr>
    <w:rPr>
      <w:rFonts w:ascii="宋体" w:hAnsi="宋体" w:cs="宋体"/>
      <w:sz w:val="24"/>
    </w:rPr>
  </w:style>
  <w:style w:type="paragraph" w:styleId="1052">
    <w:name w:val="Title"/>
    <w:basedOn w:val="1016"/>
    <w:next w:val="1016"/>
    <w:link w:val="1142"/>
    <w:uiPriority w:val="10"/>
    <w:qFormat/>
    <w:pPr>
      <w:contextualSpacing/>
      <w:spacing w:before="300" w:after="200"/>
    </w:pPr>
    <w:rPr>
      <w:sz w:val="48"/>
      <w:szCs w:val="48"/>
    </w:rPr>
  </w:style>
  <w:style w:type="paragraph" w:styleId="1053">
    <w:name w:val="annotation subject"/>
    <w:basedOn w:val="1031"/>
    <w:next w:val="1031"/>
    <w:link w:val="1283"/>
    <w:uiPriority w:val="99"/>
    <w:semiHidden/>
    <w:unhideWhenUsed/>
    <w:qFormat/>
    <w:rPr>
      <w:b/>
      <w:bCs/>
    </w:rPr>
  </w:style>
  <w:style w:type="table" w:styleId="1054">
    <w:name w:val="Table Grid"/>
    <w:basedOn w:val="102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5">
    <w:name w:val="endnote reference"/>
    <w:basedOn w:val="1026"/>
    <w:uiPriority w:val="99"/>
    <w:semiHidden/>
    <w:unhideWhenUsed/>
    <w:qFormat/>
    <w:rPr>
      <w:vertAlign w:val="superscript"/>
    </w:rPr>
  </w:style>
  <w:style w:type="character" w:styleId="1056">
    <w:name w:val="Hyperlink"/>
    <w:uiPriority w:val="99"/>
    <w:unhideWhenUsed/>
    <w:qFormat/>
    <w:rPr>
      <w:color w:val="0563c1" w:themeColor="hyperlink"/>
      <w:u w:val="single"/>
      <w14:textFill>
        <w14:solidFill>
          <w14:schemeClr w14:val="hlink"/>
        </w14:solidFill>
      </w14:textFill>
    </w:rPr>
  </w:style>
  <w:style w:type="character" w:styleId="1057">
    <w:name w:val="annotation reference"/>
    <w:basedOn w:val="1026"/>
    <w:uiPriority w:val="99"/>
    <w:semiHidden/>
    <w:unhideWhenUsed/>
    <w:qFormat/>
    <w:rPr>
      <w:sz w:val="21"/>
      <w:szCs w:val="21"/>
    </w:rPr>
  </w:style>
  <w:style w:type="character" w:styleId="1058">
    <w:name w:val="footnote reference"/>
    <w:basedOn w:val="1026"/>
    <w:uiPriority w:val="99"/>
    <w:unhideWhenUsed/>
    <w:qFormat/>
    <w:rPr>
      <w:vertAlign w:val="superscript"/>
    </w:rPr>
  </w:style>
  <w:style w:type="table" w:styleId="1059" w:customStyle="1">
    <w:name w:val="Plain Table 1"/>
    <w:basedOn w:val="10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2"/>
    <w:basedOn w:val="10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Plain Table 3"/>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Plain Table 4"/>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Plain Table 5"/>
    <w:basedOn w:val="10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Grid Table 1 Light"/>
    <w:basedOn w:val="10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3"/>
    <w:basedOn w:val="10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w:basedOn w:val="10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8" w:customStyle="1">
    <w:name w:val="Grid Table 5 Dark"/>
    <w:basedOn w:val="10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Grid Table 6 Colorful"/>
    <w:basedOn w:val="10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Grid Table 7 Colorful"/>
    <w:basedOn w:val="10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List Table 1 Light"/>
    <w:basedOn w:val="10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2"/>
    <w:basedOn w:val="10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3"/>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4"/>
    <w:basedOn w:val="10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5 Dark"/>
    <w:basedOn w:val="10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w:basedOn w:val="10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7 Colorful"/>
    <w:basedOn w:val="10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78" w:customStyle="1">
    <w:name w:val="TOC Heading"/>
    <w:uiPriority w:val="39"/>
    <w:unhideWhenUsed/>
    <w:qFormat/>
    <w:rPr>
      <w:rFonts w:hint="default" w:ascii="Times New Roman" w:hAnsi="Times New Roman" w:eastAsia="宋体" w:cs="Times New Roman"/>
    </w:rPr>
  </w:style>
  <w:style w:type="paragraph" w:styleId="1079" w:customStyle="1">
    <w:name w:val="正文文本11"/>
    <w:basedOn w:val="1080"/>
    <w:next w:val="1016"/>
    <w:uiPriority w:val="0"/>
    <w:qFormat/>
    <w:pPr>
      <w:spacing w:after="120"/>
    </w:pPr>
  </w:style>
  <w:style w:type="paragraph" w:styleId="1080" w:customStyle="1">
    <w:name w:val="正文112"/>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1" w:customStyle="1">
    <w:name w:val="标题 2 字符"/>
    <w:basedOn w:val="1026"/>
    <w:link w:val="1018"/>
    <w:uiPriority w:val="9"/>
    <w:qFormat/>
    <w:rPr>
      <w:rFonts w:ascii="Arial" w:hAnsi="Arial" w:eastAsia="Arial" w:cs="Arial"/>
      <w:sz w:val="34"/>
    </w:rPr>
  </w:style>
  <w:style w:type="character" w:styleId="1082" w:customStyle="1">
    <w:name w:val="标题 3 字符"/>
    <w:basedOn w:val="1026"/>
    <w:link w:val="1019"/>
    <w:uiPriority w:val="9"/>
    <w:qFormat/>
    <w:rPr>
      <w:rFonts w:ascii="Arial" w:hAnsi="Arial" w:eastAsia="Arial" w:cs="Arial"/>
      <w:sz w:val="30"/>
      <w:szCs w:val="30"/>
    </w:rPr>
  </w:style>
  <w:style w:type="character" w:styleId="1083" w:customStyle="1">
    <w:name w:val="标题 1 字符"/>
    <w:basedOn w:val="1026"/>
    <w:link w:val="1017"/>
    <w:uiPriority w:val="9"/>
    <w:qFormat/>
    <w:rPr>
      <w:rFonts w:ascii="Arial" w:hAnsi="Arial" w:eastAsia="Arial" w:cs="Arial"/>
      <w:sz w:val="40"/>
      <w:szCs w:val="40"/>
    </w:rPr>
  </w:style>
  <w:style w:type="paragraph" w:styleId="1084" w:customStyle="1">
    <w:name w:val="列表段落1"/>
    <w:basedOn w:val="1085"/>
    <w:next w:val="1016"/>
    <w:uiPriority w:val="99"/>
    <w:qFormat/>
    <w:pPr>
      <w:ind w:firstLine="420"/>
    </w:pPr>
  </w:style>
  <w:style w:type="paragraph" w:styleId="1085" w:customStyle="1">
    <w:name w:val="正文1"/>
    <w:basedOn w:val="1086"/>
    <w:next w:val="1089"/>
    <w:uiPriority w:val="0"/>
    <w:qFormat/>
  </w:style>
  <w:style w:type="paragraph" w:styleId="1086" w:customStyle="1">
    <w:name w:val="正文11"/>
    <w:basedOn w:val="1016"/>
    <w:next w:val="1087"/>
    <w:uiPriority w:val="0"/>
    <w:qFormat/>
  </w:style>
  <w:style w:type="paragraph" w:styleId="1087" w:customStyle="1">
    <w:name w:val="目录 11"/>
    <w:basedOn w:val="1088"/>
    <w:next w:val="1086"/>
    <w:uiPriority w:val="39"/>
    <w:unhideWhenUsed/>
    <w:qFormat/>
    <w:pPr>
      <w:jc w:val="left"/>
      <w:spacing w:after="100" w:line="259" w:lineRule="auto"/>
      <w:widowControl/>
    </w:pPr>
    <w:rPr>
      <w:rFonts w:ascii="Calibri" w:hAnsi="Calibri"/>
      <w:sz w:val="22"/>
      <w:szCs w:val="22"/>
    </w:rPr>
  </w:style>
  <w:style w:type="paragraph" w:styleId="1088" w:customStyle="1">
    <w:name w:val="正文12"/>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文本1"/>
    <w:basedOn w:val="1085"/>
    <w:next w:val="1085"/>
    <w:uiPriority w:val="0"/>
    <w:qFormat/>
    <w:pPr>
      <w:spacing w:after="120"/>
    </w:pPr>
    <w:rPr>
      <w:lang w:eastAsia="en-US"/>
    </w:rPr>
  </w:style>
  <w:style w:type="paragraph" w:styleId="1090" w:customStyle="1">
    <w:name w:val="一级条标题"/>
    <w:basedOn w:val="1091"/>
    <w:next w:val="10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next w:val="10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2" w:customStyle="1">
    <w:name w:val="段"/>
    <w:basedOn w:val="1016"/>
    <w:next w:val="1016"/>
    <w:uiPriority w:val="0"/>
    <w:qFormat/>
    <w:pPr>
      <w:ind w:firstLine="200"/>
      <w:widowControl/>
    </w:pPr>
    <w:rPr>
      <w:rFonts w:hint="eastAsia" w:ascii="宋体"/>
      <w:szCs w:val="20"/>
    </w:rPr>
  </w:style>
  <w:style w:type="paragraph" w:styleId="1093" w:customStyle="1">
    <w:name w:val="脚注文本1"/>
    <w:basedOn w:val="1085"/>
    <w:next w:val="1094"/>
    <w:uiPriority w:val="0"/>
    <w:qFormat/>
    <w:pPr>
      <w:jc w:val="left"/>
      <w:spacing w:line="360" w:lineRule="atLeast"/>
    </w:pPr>
    <w:rPr>
      <w:rFonts w:ascii="宋体" w:eastAsia="Times New Roman"/>
      <w:sz w:val="18"/>
      <w:szCs w:val="18"/>
    </w:rPr>
  </w:style>
  <w:style w:type="paragraph" w:styleId="1094" w:customStyle="1">
    <w:name w:val="索引 51"/>
    <w:basedOn w:val="1085"/>
    <w:next w:val="1085"/>
    <w:uiPriority w:val="0"/>
    <w:qFormat/>
    <w:pPr>
      <w:ind w:left="798"/>
      <w:jc w:val="left"/>
      <w:spacing w:line="360" w:lineRule="atLeast"/>
    </w:pPr>
    <w:rPr>
      <w:sz w:val="24"/>
      <w:szCs w:val="20"/>
    </w:rPr>
  </w:style>
  <w:style w:type="table" w:styleId="1095" w:customStyle="1">
    <w:name w:val="无格式表格 11"/>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21"/>
    <w:basedOn w:val="10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3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无格式表格 4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无格式表格 51"/>
    <w:basedOn w:val="10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网格表 1 浅色1"/>
    <w:basedOn w:val="10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网格表 2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网格表 31"/>
    <w:basedOn w:val="10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网格表 41"/>
    <w:basedOn w:val="10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customStyle="1">
    <w:name w:val="网格表 5 深色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网格表 6 彩色1"/>
    <w:basedOn w:val="10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6" w:customStyle="1">
    <w:name w:val="网格表 7 彩色1"/>
    <w:basedOn w:val="10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清单表 1 浅色1"/>
    <w:basedOn w:val="10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清单表 21"/>
    <w:basedOn w:val="10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9" w:customStyle="1">
    <w:name w:val="清单表 3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清单表 4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清单表 5 深色1"/>
    <w:basedOn w:val="10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清单表 6 彩色1"/>
    <w:basedOn w:val="10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清单表 7 彩色1"/>
    <w:basedOn w:val="10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14" w:customStyle="1">
    <w:name w:val="TOC 标题1"/>
    <w:uiPriority w:val="39"/>
    <w:unhideWhenUsed/>
    <w:qFormat/>
    <w:rPr>
      <w:rFonts w:hint="default" w:ascii="Times New Roman" w:hAnsi="Times New Roman" w:eastAsia="宋体" w:cs="Times New Roman"/>
      <w:lang w:val="en-US" w:eastAsia="zh-CN" w:bidi="ar-SA"/>
    </w:rPr>
  </w:style>
  <w:style w:type="paragraph" w:styleId="1115" w:customStyle="1">
    <w:name w:val="TOC 标题112"/>
    <w:uiPriority w:val="39"/>
    <w:unhideWhenUsed/>
    <w:qFormat/>
    <w:rPr>
      <w:rFonts w:hint="default" w:ascii="Times New Roman" w:hAnsi="Times New Roman" w:eastAsia="宋体" w:cs="Times New Roman"/>
      <w:lang w:val="en-US" w:eastAsia="zh-CN" w:bidi="ar-SA"/>
    </w:rPr>
  </w:style>
  <w:style w:type="character" w:styleId="1116" w:customStyle="1">
    <w:name w:val="Heading 1 Char"/>
    <w:basedOn w:val="1026"/>
    <w:uiPriority w:val="9"/>
    <w:qFormat/>
    <w:rPr>
      <w:rFonts w:ascii="Arial" w:hAnsi="Arial" w:eastAsia="Arial" w:cs="Arial"/>
      <w:sz w:val="40"/>
      <w:szCs w:val="40"/>
    </w:rPr>
  </w:style>
  <w:style w:type="character" w:styleId="1117" w:customStyle="1">
    <w:name w:val="Heading 2 Char"/>
    <w:basedOn w:val="1026"/>
    <w:uiPriority w:val="9"/>
    <w:qFormat/>
    <w:rPr>
      <w:rFonts w:ascii="Arial" w:hAnsi="Arial" w:eastAsia="Arial" w:cs="Arial"/>
      <w:sz w:val="34"/>
    </w:rPr>
  </w:style>
  <w:style w:type="character" w:styleId="1118" w:customStyle="1">
    <w:name w:val="Heading 3 Char"/>
    <w:basedOn w:val="1026"/>
    <w:uiPriority w:val="9"/>
    <w:qFormat/>
    <w:rPr>
      <w:rFonts w:ascii="Arial" w:hAnsi="Arial" w:eastAsia="Arial" w:cs="Arial"/>
      <w:sz w:val="30"/>
      <w:szCs w:val="30"/>
    </w:rPr>
  </w:style>
  <w:style w:type="character" w:styleId="1119" w:customStyle="1">
    <w:name w:val="Heading 4 Char"/>
    <w:basedOn w:val="1026"/>
    <w:uiPriority w:val="9"/>
    <w:qFormat/>
    <w:rPr>
      <w:rFonts w:ascii="Arial" w:hAnsi="Arial" w:eastAsia="Arial" w:cs="Arial"/>
      <w:b/>
      <w:bCs/>
      <w:sz w:val="26"/>
      <w:szCs w:val="26"/>
    </w:rPr>
  </w:style>
  <w:style w:type="character" w:styleId="1120" w:customStyle="1">
    <w:name w:val="Heading 5 Char"/>
    <w:basedOn w:val="1026"/>
    <w:uiPriority w:val="9"/>
    <w:qFormat/>
    <w:rPr>
      <w:rFonts w:ascii="Arial" w:hAnsi="Arial" w:eastAsia="Arial" w:cs="Arial"/>
      <w:b/>
      <w:bCs/>
      <w:sz w:val="24"/>
      <w:szCs w:val="24"/>
    </w:rPr>
  </w:style>
  <w:style w:type="character" w:styleId="1121" w:customStyle="1">
    <w:name w:val="Heading 6 Char"/>
    <w:basedOn w:val="1026"/>
    <w:uiPriority w:val="9"/>
    <w:qFormat/>
    <w:rPr>
      <w:rFonts w:ascii="Arial" w:hAnsi="Arial" w:eastAsia="Arial" w:cs="Arial"/>
      <w:b/>
      <w:bCs/>
      <w:sz w:val="22"/>
      <w:szCs w:val="22"/>
    </w:rPr>
  </w:style>
  <w:style w:type="character" w:styleId="1122" w:customStyle="1">
    <w:name w:val="Heading 7 Char"/>
    <w:basedOn w:val="1026"/>
    <w:uiPriority w:val="9"/>
    <w:qFormat/>
    <w:rPr>
      <w:rFonts w:ascii="Arial" w:hAnsi="Arial" w:eastAsia="Arial" w:cs="Arial"/>
      <w:b/>
      <w:bCs/>
      <w:i/>
      <w:iCs/>
      <w:sz w:val="22"/>
      <w:szCs w:val="22"/>
    </w:rPr>
  </w:style>
  <w:style w:type="character" w:styleId="1123" w:customStyle="1">
    <w:name w:val="Heading 8 Char"/>
    <w:basedOn w:val="1026"/>
    <w:uiPriority w:val="9"/>
    <w:qFormat/>
    <w:rPr>
      <w:rFonts w:ascii="Arial" w:hAnsi="Arial" w:eastAsia="Arial" w:cs="Arial"/>
      <w:i/>
      <w:iCs/>
      <w:sz w:val="22"/>
      <w:szCs w:val="22"/>
    </w:rPr>
  </w:style>
  <w:style w:type="character" w:styleId="1124" w:customStyle="1">
    <w:name w:val="Heading 9 Char"/>
    <w:basedOn w:val="1026"/>
    <w:uiPriority w:val="9"/>
    <w:qFormat/>
    <w:rPr>
      <w:rFonts w:ascii="Arial" w:hAnsi="Arial" w:eastAsia="Arial" w:cs="Arial"/>
      <w:i/>
      <w:iCs/>
      <w:sz w:val="21"/>
      <w:szCs w:val="21"/>
    </w:rPr>
  </w:style>
  <w:style w:type="character" w:styleId="1125" w:customStyle="1">
    <w:name w:val="Title Char"/>
    <w:basedOn w:val="1026"/>
    <w:uiPriority w:val="10"/>
    <w:qFormat/>
    <w:rPr>
      <w:sz w:val="48"/>
      <w:szCs w:val="48"/>
    </w:rPr>
  </w:style>
  <w:style w:type="character" w:styleId="1126" w:customStyle="1">
    <w:name w:val="Subtitle Char"/>
    <w:basedOn w:val="1026"/>
    <w:uiPriority w:val="11"/>
    <w:qFormat/>
    <w:rPr>
      <w:sz w:val="24"/>
      <w:szCs w:val="24"/>
    </w:rPr>
  </w:style>
  <w:style w:type="character" w:styleId="1127" w:customStyle="1">
    <w:name w:val="Quote Char"/>
    <w:uiPriority w:val="29"/>
    <w:qFormat/>
    <w:rPr>
      <w:i/>
    </w:rPr>
  </w:style>
  <w:style w:type="character" w:styleId="1128" w:customStyle="1">
    <w:name w:val="Intense Quote Char"/>
    <w:uiPriority w:val="30"/>
    <w:qFormat/>
    <w:rPr>
      <w:i/>
    </w:rPr>
  </w:style>
  <w:style w:type="character" w:styleId="1129" w:customStyle="1">
    <w:name w:val="Header Char"/>
    <w:basedOn w:val="1026"/>
    <w:uiPriority w:val="99"/>
    <w:qFormat/>
  </w:style>
  <w:style w:type="character" w:styleId="1130" w:customStyle="1">
    <w:name w:val="Caption Char"/>
    <w:uiPriority w:val="99"/>
    <w:qFormat/>
  </w:style>
  <w:style w:type="character" w:styleId="1131" w:customStyle="1">
    <w:name w:val="Footnote Text Char"/>
    <w:uiPriority w:val="99"/>
    <w:qFormat/>
    <w:rPr>
      <w:sz w:val="18"/>
    </w:rPr>
  </w:style>
  <w:style w:type="character" w:styleId="1132" w:customStyle="1">
    <w:name w:val="Endnote Text Char"/>
    <w:uiPriority w:val="99"/>
    <w:qFormat/>
    <w:rPr>
      <w:sz w:val="20"/>
    </w:rPr>
  </w:style>
  <w:style w:type="paragraph" w:styleId="1133" w:customStyle="1">
    <w:name w:val="TOC 标题111"/>
    <w:uiPriority w:val="39"/>
    <w:unhideWhenUsed/>
    <w:qFormat/>
    <w:rPr>
      <w:rFonts w:hint="default" w:ascii="Calibri" w:hAnsi="Calibri" w:eastAsia="宋体" w:cs="Times New Roman"/>
      <w:lang w:val="en-US" w:eastAsia="zh-CN" w:bidi="ar-SA"/>
    </w:rPr>
  </w:style>
  <w:style w:type="character" w:styleId="1134" w:customStyle="1">
    <w:name w:val="标题 4 字符"/>
    <w:basedOn w:val="1026"/>
    <w:link w:val="1020"/>
    <w:uiPriority w:val="9"/>
    <w:qFormat/>
    <w:rPr>
      <w:rFonts w:ascii="Arial" w:hAnsi="Arial" w:eastAsia="Arial" w:cs="Arial"/>
      <w:b/>
      <w:bCs/>
      <w:sz w:val="26"/>
      <w:szCs w:val="26"/>
    </w:rPr>
  </w:style>
  <w:style w:type="character" w:styleId="1135" w:customStyle="1">
    <w:name w:val="标题 5 字符"/>
    <w:basedOn w:val="1026"/>
    <w:link w:val="1021"/>
    <w:uiPriority w:val="9"/>
    <w:qFormat/>
    <w:rPr>
      <w:rFonts w:ascii="Arial" w:hAnsi="Arial" w:eastAsia="Arial" w:cs="Arial"/>
      <w:b/>
      <w:bCs/>
      <w:sz w:val="24"/>
      <w:szCs w:val="24"/>
    </w:rPr>
  </w:style>
  <w:style w:type="character" w:styleId="1136" w:customStyle="1">
    <w:name w:val="标题 6 字符"/>
    <w:basedOn w:val="1026"/>
    <w:link w:val="1022"/>
    <w:uiPriority w:val="9"/>
    <w:qFormat/>
    <w:rPr>
      <w:rFonts w:ascii="Arial" w:hAnsi="Arial" w:eastAsia="Arial" w:cs="Arial"/>
      <w:b/>
      <w:bCs/>
      <w:sz w:val="22"/>
      <w:szCs w:val="22"/>
    </w:rPr>
  </w:style>
  <w:style w:type="character" w:styleId="1137" w:customStyle="1">
    <w:name w:val="标题 7 字符"/>
    <w:basedOn w:val="1026"/>
    <w:link w:val="1023"/>
    <w:uiPriority w:val="9"/>
    <w:qFormat/>
    <w:rPr>
      <w:rFonts w:ascii="Arial" w:hAnsi="Arial" w:eastAsia="Arial" w:cs="Arial"/>
      <w:b/>
      <w:bCs/>
      <w:i/>
      <w:iCs/>
      <w:sz w:val="22"/>
      <w:szCs w:val="22"/>
    </w:rPr>
  </w:style>
  <w:style w:type="character" w:styleId="1138" w:customStyle="1">
    <w:name w:val="标题 8 字符"/>
    <w:basedOn w:val="1026"/>
    <w:link w:val="1024"/>
    <w:uiPriority w:val="9"/>
    <w:qFormat/>
    <w:rPr>
      <w:rFonts w:ascii="Arial" w:hAnsi="Arial" w:eastAsia="Arial" w:cs="Arial"/>
      <w:i/>
      <w:iCs/>
      <w:sz w:val="22"/>
      <w:szCs w:val="22"/>
    </w:rPr>
  </w:style>
  <w:style w:type="character" w:styleId="1139" w:customStyle="1">
    <w:name w:val="标题 9 字符"/>
    <w:basedOn w:val="1026"/>
    <w:link w:val="1025"/>
    <w:uiPriority w:val="9"/>
    <w:qFormat/>
    <w:rPr>
      <w:rFonts w:ascii="Arial" w:hAnsi="Arial" w:eastAsia="Arial" w:cs="Arial"/>
      <w:i/>
      <w:iCs/>
      <w:sz w:val="21"/>
      <w:szCs w:val="21"/>
    </w:rPr>
  </w:style>
  <w:style w:type="paragraph" w:styleId="1140">
    <w:name w:val="List Paragraph"/>
    <w:basedOn w:val="1016"/>
    <w:uiPriority w:val="34"/>
    <w:qFormat/>
    <w:pPr>
      <w:contextualSpacing/>
      <w:ind w:left="720"/>
    </w:pPr>
  </w:style>
  <w:style w:type="paragraph" w:styleId="1141">
    <w:name w:val="No Spacing"/>
    <w:uiPriority w:val="1"/>
    <w:qFormat/>
    <w:rPr>
      <w:rFonts w:hint="default" w:asciiTheme="minorHAnsi" w:hAnsiTheme="minorHAnsi" w:eastAsiaTheme="minorEastAsia" w:cstheme="minorBidi"/>
      <w:lang w:val="en-US" w:eastAsia="zh-CN" w:bidi="ar-SA"/>
    </w:rPr>
  </w:style>
  <w:style w:type="character" w:styleId="1142" w:customStyle="1">
    <w:name w:val="标题 字符"/>
    <w:basedOn w:val="1026"/>
    <w:link w:val="1052"/>
    <w:uiPriority w:val="10"/>
    <w:qFormat/>
    <w:rPr>
      <w:sz w:val="48"/>
      <w:szCs w:val="48"/>
    </w:rPr>
  </w:style>
  <w:style w:type="character" w:styleId="1143" w:customStyle="1">
    <w:name w:val="副标题 字符"/>
    <w:basedOn w:val="1026"/>
    <w:link w:val="1045"/>
    <w:uiPriority w:val="11"/>
    <w:qFormat/>
    <w:rPr>
      <w:sz w:val="24"/>
      <w:szCs w:val="24"/>
    </w:rPr>
  </w:style>
  <w:style w:type="paragraph" w:styleId="1144">
    <w:name w:val="Quote"/>
    <w:basedOn w:val="1016"/>
    <w:next w:val="1016"/>
    <w:link w:val="1145"/>
    <w:uiPriority w:val="29"/>
    <w:qFormat/>
    <w:pPr>
      <w:ind w:left="720" w:right="720"/>
    </w:pPr>
    <w:rPr>
      <w:i/>
    </w:rPr>
  </w:style>
  <w:style w:type="character" w:styleId="1145" w:customStyle="1">
    <w:name w:val="引用 字符"/>
    <w:link w:val="1144"/>
    <w:uiPriority w:val="29"/>
    <w:qFormat/>
    <w:rPr>
      <w:i/>
    </w:rPr>
  </w:style>
  <w:style w:type="paragraph" w:styleId="1146">
    <w:name w:val="Intense Quote"/>
    <w:basedOn w:val="1016"/>
    <w:next w:val="1016"/>
    <w:link w:val="11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7" w:customStyle="1">
    <w:name w:val="明显引用 字符"/>
    <w:link w:val="1146"/>
    <w:uiPriority w:val="30"/>
    <w:qFormat/>
    <w:rPr>
      <w:i/>
    </w:rPr>
  </w:style>
  <w:style w:type="character" w:styleId="1148" w:customStyle="1">
    <w:name w:val="页眉 字符"/>
    <w:basedOn w:val="1026"/>
    <w:link w:val="1042"/>
    <w:uiPriority w:val="99"/>
    <w:qFormat/>
  </w:style>
  <w:style w:type="character" w:styleId="1149" w:customStyle="1">
    <w:name w:val="Footer Char"/>
    <w:basedOn w:val="1026"/>
    <w:uiPriority w:val="99"/>
    <w:qFormat/>
  </w:style>
  <w:style w:type="character" w:styleId="1150" w:customStyle="1">
    <w:name w:val="页脚 字符"/>
    <w:link w:val="1041"/>
    <w:uiPriority w:val="99"/>
    <w:qFormat/>
  </w:style>
  <w:style w:type="table" w:styleId="1151" w:customStyle="1">
    <w:name w:val="Table Grid Light"/>
    <w:basedOn w:val="10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52" w:customStyle="1">
    <w:name w:val="Grid Table 1 Light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4"/>
    <w:basedOn w:val="10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5"/>
    <w:basedOn w:val="10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58" w:customStyle="1">
    <w:name w:val="Grid Table 2 - Accent 1"/>
    <w:basedOn w:val="10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59" w:customStyle="1">
    <w:name w:val="Grid Table 2 - Accent 2"/>
    <w:basedOn w:val="10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60" w:customStyle="1">
    <w:name w:val="Grid Table 2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61" w:customStyle="1">
    <w:name w:val="Grid Table 2 - Accent 4"/>
    <w:basedOn w:val="10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62" w:customStyle="1">
    <w:name w:val="Grid Table 2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63" w:customStyle="1">
    <w:name w:val="Grid Table 2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64" w:customStyle="1">
    <w:name w:val="Grid Table 3 - Accent 1"/>
    <w:basedOn w:val="10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2"/>
    <w:basedOn w:val="10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4"/>
    <w:basedOn w:val="10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4 - Accent 1"/>
    <w:basedOn w:val="10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71" w:customStyle="1">
    <w:name w:val="Grid Table 4 - Accent 2"/>
    <w:basedOn w:val="10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72" w:customStyle="1">
    <w:name w:val="Grid Table 4 - Accent 3"/>
    <w:basedOn w:val="10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3" w:customStyle="1">
    <w:name w:val="Grid Table 4 - Accent 4"/>
    <w:basedOn w:val="10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74" w:customStyle="1">
    <w:name w:val="Grid Table 4 - Accent 5"/>
    <w:basedOn w:val="10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75" w:customStyle="1">
    <w:name w:val="Grid Table 4 - Accent 6"/>
    <w:basedOn w:val="10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76" w:customStyle="1">
    <w:name w:val="Grid Table 5 Dark- Accent 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77" w:customStyle="1">
    <w:name w:val="Grid Table 5 Dark - Accent 2"/>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8" w:customStyle="1">
    <w:name w:val="Grid Table 5 Dark - Accent 3"/>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9" w:customStyle="1">
    <w:name w:val="Grid Table 5 Dark- Accent 4"/>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80" w:customStyle="1">
    <w:name w:val="Grid Table 5 Dark - Accent 5"/>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81" w:customStyle="1">
    <w:name w:val="Grid Table 5 Dark - Accent 6"/>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82" w:customStyle="1">
    <w:name w:val="Grid Table 6 Colorful - Accent 1"/>
    <w:basedOn w:val="10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83" w:customStyle="1">
    <w:name w:val="Grid Table 6 Colorful - Accent 2"/>
    <w:basedOn w:val="10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84" w:customStyle="1">
    <w:name w:val="Grid Table 6 Colorful - Accent 3"/>
    <w:basedOn w:val="10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85" w:customStyle="1">
    <w:name w:val="Grid Table 6 Colorful - Accent 4"/>
    <w:basedOn w:val="10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86" w:customStyle="1">
    <w:name w:val="Grid Table 6 Colorful - Accent 5"/>
    <w:basedOn w:val="10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7" w:customStyle="1">
    <w:name w:val="Grid Table 6 Colorful - Accent 6"/>
    <w:basedOn w:val="10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8" w:customStyle="1">
    <w:name w:val="Grid Table 7 Colorful - Accent 1"/>
    <w:basedOn w:val="10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89" w:customStyle="1">
    <w:name w:val="Grid Table 7 Colorful - Accent 2"/>
    <w:basedOn w:val="10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0" w:customStyle="1">
    <w:name w:val="Grid Table 7 Colorful - Accent 3"/>
    <w:basedOn w:val="10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91" w:customStyle="1">
    <w:name w:val="Grid Table 7 Colorful - Accent 4"/>
    <w:basedOn w:val="10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2" w:customStyle="1">
    <w:name w:val="Grid Table 7 Colorful - Accent 5"/>
    <w:basedOn w:val="10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93" w:customStyle="1">
    <w:name w:val="Grid Table 7 Colorful - Accent 6"/>
    <w:basedOn w:val="10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94" w:customStyle="1">
    <w:name w:val="List Table 1 Light - Accent 1"/>
    <w:basedOn w:val="10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95" w:customStyle="1">
    <w:name w:val="List Table 1 Light - Accent 2"/>
    <w:basedOn w:val="10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6" w:customStyle="1">
    <w:name w:val="List Table 1 Light - Accent 3"/>
    <w:basedOn w:val="10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7" w:customStyle="1">
    <w:name w:val="List Table 1 Light - Accent 4"/>
    <w:basedOn w:val="10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98" w:customStyle="1">
    <w:name w:val="List Table 1 Light - Accent 5"/>
    <w:basedOn w:val="10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99" w:customStyle="1">
    <w:name w:val="List Table 1 Light - Accent 6"/>
    <w:basedOn w:val="10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00" w:customStyle="1">
    <w:name w:val="List Table 2 - Accent 1"/>
    <w:basedOn w:val="10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01" w:customStyle="1">
    <w:name w:val="List Table 2 - Accent 2"/>
    <w:basedOn w:val="10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02" w:customStyle="1">
    <w:name w:val="List Table 2 - Accent 3"/>
    <w:basedOn w:val="10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03" w:customStyle="1">
    <w:name w:val="List Table 2 - Accent 4"/>
    <w:basedOn w:val="10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4" w:customStyle="1">
    <w:name w:val="List Table 2 - Accent 5"/>
    <w:basedOn w:val="10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05" w:customStyle="1">
    <w:name w:val="List Table 2 - Accent 6"/>
    <w:basedOn w:val="10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6" w:customStyle="1">
    <w:name w:val="List Table 3 - Accent 1"/>
    <w:basedOn w:val="10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07" w:customStyle="1">
    <w:name w:val="List Table 3 - Accent 2"/>
    <w:basedOn w:val="10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08" w:customStyle="1">
    <w:name w:val="List Table 3 - Accent 3"/>
    <w:basedOn w:val="10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09" w:customStyle="1">
    <w:name w:val="List Table 3 - Accent 4"/>
    <w:basedOn w:val="10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10" w:customStyle="1">
    <w:name w:val="List Table 3 - Accent 5"/>
    <w:basedOn w:val="10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11" w:customStyle="1">
    <w:name w:val="List Table 3 - Accent 6"/>
    <w:basedOn w:val="10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12" w:customStyle="1">
    <w:name w:val="List Table 4 - Accent 1"/>
    <w:basedOn w:val="10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3" w:customStyle="1">
    <w:name w:val="List Table 4 - Accent 2"/>
    <w:basedOn w:val="10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4" w:customStyle="1">
    <w:name w:val="List Table 4 - Accent 3"/>
    <w:basedOn w:val="10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15" w:customStyle="1">
    <w:name w:val="List Table 4 - Accent 4"/>
    <w:basedOn w:val="10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16" w:customStyle="1">
    <w:name w:val="List Table 4 - Accent 5"/>
    <w:basedOn w:val="10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17" w:customStyle="1">
    <w:name w:val="List Table 4 - Accent 6"/>
    <w:basedOn w:val="10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18" w:customStyle="1">
    <w:name w:val="List Table 5 Dark - Accent 1"/>
    <w:basedOn w:val="10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2"/>
    <w:basedOn w:val="10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3"/>
    <w:basedOn w:val="10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4"/>
    <w:basedOn w:val="10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5"/>
    <w:basedOn w:val="10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5 Dark - Accent 6"/>
    <w:basedOn w:val="10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6 Colorful - Accent 1"/>
    <w:basedOn w:val="10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25" w:customStyle="1">
    <w:name w:val="List Table 6 Colorful - Accent 2"/>
    <w:basedOn w:val="10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26" w:customStyle="1">
    <w:name w:val="List Table 6 Colorful - Accent 3"/>
    <w:basedOn w:val="10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27" w:customStyle="1">
    <w:name w:val="List Table 6 Colorful - Accent 4"/>
    <w:basedOn w:val="10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28" w:customStyle="1">
    <w:name w:val="List Table 6 Colorful - Accent 5"/>
    <w:basedOn w:val="10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29" w:customStyle="1">
    <w:name w:val="List Table 6 Colorful - Accent 6"/>
    <w:basedOn w:val="10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0" w:customStyle="1">
    <w:name w:val="List Table 7 Colorful - Accent 1"/>
    <w:basedOn w:val="10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31" w:customStyle="1">
    <w:name w:val="List Table 7 Colorful - Accent 2"/>
    <w:basedOn w:val="10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32" w:customStyle="1">
    <w:name w:val="List Table 7 Colorful - Accent 3"/>
    <w:basedOn w:val="10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33" w:customStyle="1">
    <w:name w:val="List Table 7 Colorful - Accent 4"/>
    <w:basedOn w:val="10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34" w:customStyle="1">
    <w:name w:val="List Table 7 Colorful - Accent 5"/>
    <w:basedOn w:val="10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35" w:customStyle="1">
    <w:name w:val="List Table 7 Colorful - Accent 6"/>
    <w:basedOn w:val="10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36" w:customStyle="1">
    <w:name w:val="Lined - Accent"/>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7" w:customStyle="1">
    <w:name w:val="Lined - Accent 1"/>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38" w:customStyle="1">
    <w:name w:val="Lined - Accent 2"/>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9" w:customStyle="1">
    <w:name w:val="Lined - Accent 3"/>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0" w:customStyle="1">
    <w:name w:val="Lined - Accent 4"/>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1" w:customStyle="1">
    <w:name w:val="Lined - Accent 5"/>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2" w:customStyle="1">
    <w:name w:val="Lined - Accent 6"/>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3" w:customStyle="1">
    <w:name w:val="Bordered &amp; Lined - Accent"/>
    <w:basedOn w:val="10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4" w:customStyle="1">
    <w:name w:val="Bordered &amp; Lined - Accent 1"/>
    <w:basedOn w:val="10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5" w:customStyle="1">
    <w:name w:val="Bordered &amp; Lined - Accent 2"/>
    <w:basedOn w:val="10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6" w:customStyle="1">
    <w:name w:val="Bordered &amp; Lined - Accent 3"/>
    <w:basedOn w:val="10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7" w:customStyle="1">
    <w:name w:val="Bordered &amp; Lined - Accent 4"/>
    <w:basedOn w:val="10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8" w:customStyle="1">
    <w:name w:val="Bordered &amp; Lined - Accent 5"/>
    <w:basedOn w:val="10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49" w:customStyle="1">
    <w:name w:val="Bordered &amp; Lined - Accent 6"/>
    <w:basedOn w:val="10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0" w:customStyle="1">
    <w:name w:val="Bordered"/>
    <w:basedOn w:val="10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1" w:customStyle="1">
    <w:name w:val="Bordered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52" w:customStyle="1">
    <w:name w:val="Bordered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53" w:customStyle="1">
    <w:name w:val="Bordered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54" w:customStyle="1">
    <w:name w:val="Bordered - Accent 4"/>
    <w:basedOn w:val="10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55" w:customStyle="1">
    <w:name w:val="Bordered - Accent 5"/>
    <w:basedOn w:val="10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56" w:customStyle="1">
    <w:name w:val="Bordered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57" w:customStyle="1">
    <w:name w:val="脚注文本 字符"/>
    <w:link w:val="1046"/>
    <w:uiPriority w:val="99"/>
    <w:qFormat/>
    <w:rPr>
      <w:sz w:val="18"/>
    </w:rPr>
  </w:style>
  <w:style w:type="character" w:styleId="1258" w:customStyle="1">
    <w:name w:val="尾注文本 字符"/>
    <w:link w:val="1039"/>
    <w:uiPriority w:val="99"/>
    <w:qFormat/>
    <w:rPr>
      <w:sz w:val="20"/>
    </w:rPr>
  </w:style>
  <w:style w:type="paragraph" w:styleId="125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60" w:customStyle="1">
    <w:name w:val="正文文本缩进1"/>
    <w:basedOn w:val="1085"/>
    <w:next w:val="1261"/>
    <w:uiPriority w:val="0"/>
    <w:qFormat/>
    <w:pPr>
      <w:ind w:left="420"/>
      <w:spacing w:after="120"/>
    </w:pPr>
  </w:style>
  <w:style w:type="paragraph" w:styleId="1261" w:customStyle="1">
    <w:name w:val="寄信人地址1"/>
    <w:basedOn w:val="1016"/>
    <w:uiPriority w:val="0"/>
    <w:qFormat/>
    <w:rPr>
      <w:rFonts w:ascii="Arial" w:hAnsi="Arial"/>
    </w:rPr>
  </w:style>
  <w:style w:type="paragraph" w:styleId="1262" w:customStyle="1">
    <w:name w:val="标题 21"/>
    <w:basedOn w:val="1016"/>
    <w:next w:val="101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63" w:customStyle="1">
    <w:name w:val="彩色列表 - 着色 11"/>
    <w:basedOn w:val="1016"/>
    <w:uiPriority w:val="0"/>
    <w:qFormat/>
    <w:pPr>
      <w:ind w:firstLine="420"/>
    </w:pPr>
    <w:rPr>
      <w:rFonts w:ascii="Times New Roman" w:hAnsi="Times New Roman"/>
      <w:sz w:val="20"/>
    </w:rPr>
  </w:style>
  <w:style w:type="paragraph" w:styleId="1264" w:customStyle="1">
    <w:name w:val="普通(网站)1"/>
    <w:basedOn w:val="1016"/>
    <w:uiPriority w:val="99"/>
    <w:qFormat/>
    <w:pPr>
      <w:jc w:val="left"/>
      <w:spacing w:before="100" w:beforeAutospacing="1" w:after="100" w:afterAutospacing="1"/>
      <w:widowControl/>
    </w:pPr>
    <w:rPr>
      <w:rFonts w:ascii="宋体" w:hAnsi="宋体" w:cs="宋体"/>
      <w:sz w:val="24"/>
    </w:rPr>
  </w:style>
  <w:style w:type="paragraph" w:styleId="1265" w:customStyle="1">
    <w:name w:val="纯文本1"/>
    <w:basedOn w:val="1016"/>
    <w:uiPriority w:val="0"/>
    <w:qFormat/>
    <w:rPr>
      <w:rFonts w:ascii="宋体" w:hAnsi="Courier New"/>
      <w:szCs w:val="21"/>
    </w:rPr>
  </w:style>
  <w:style w:type="paragraph" w:styleId="126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_Style 2"/>
    <w:basedOn w:val="1268"/>
    <w:next w:val="1016"/>
    <w:uiPriority w:val="0"/>
    <w:qFormat/>
    <w:pPr>
      <w:jc w:val="both"/>
      <w:spacing w:line="576" w:lineRule="auto"/>
      <w:outlineLvl w:val="9"/>
    </w:pPr>
    <w:rPr>
      <w:rFonts w:ascii="Times New Roman" w:hAnsi="Times New Roman"/>
    </w:rPr>
  </w:style>
  <w:style w:type="paragraph" w:styleId="1268" w:customStyle="1">
    <w:name w:val="标题 11"/>
    <w:basedOn w:val="1016"/>
    <w:next w:val="1016"/>
    <w:uiPriority w:val="0"/>
    <w:qFormat/>
    <w:pPr>
      <w:jc w:val="center"/>
      <w:keepLines/>
      <w:keepNext/>
      <w:spacing w:before="340" w:after="330" w:line="578" w:lineRule="auto"/>
      <w:outlineLvl w:val="0"/>
    </w:pPr>
    <w:rPr>
      <w:b/>
      <w:bCs/>
      <w:sz w:val="44"/>
      <w:szCs w:val="44"/>
    </w:rPr>
  </w:style>
  <w:style w:type="paragraph" w:styleId="1269" w:customStyle="1">
    <w:name w:val="标题 31"/>
    <w:basedOn w:val="1016"/>
    <w:next w:val="1016"/>
    <w:uiPriority w:val="0"/>
    <w:qFormat/>
    <w:pPr>
      <w:keepLines/>
      <w:keepNext/>
      <w:spacing w:before="260" w:after="260" w:line="416" w:lineRule="auto"/>
      <w:outlineLvl w:val="2"/>
    </w:pPr>
    <w:rPr>
      <w:b/>
      <w:bCs/>
      <w:sz w:val="32"/>
      <w:szCs w:val="32"/>
    </w:rPr>
  </w:style>
  <w:style w:type="paragraph" w:styleId="1270" w:customStyle="1">
    <w:name w:val="标题 41"/>
    <w:basedOn w:val="1016"/>
    <w:next w:val="1016"/>
    <w:uiPriority w:val="0"/>
    <w:qFormat/>
    <w:pPr>
      <w:keepLines/>
      <w:keepNext/>
      <w:spacing w:before="280" w:after="290" w:line="372" w:lineRule="auto"/>
      <w:outlineLvl w:val="3"/>
    </w:pPr>
    <w:rPr>
      <w:rFonts w:ascii="Cambria" w:hAnsi="Cambria"/>
      <w:b/>
      <w:bCs/>
      <w:sz w:val="28"/>
      <w:szCs w:val="28"/>
    </w:rPr>
  </w:style>
  <w:style w:type="paragraph" w:styleId="1271" w:customStyle="1">
    <w:name w:val="文本块1"/>
    <w:basedOn w:val="1272"/>
    <w:uiPriority w:val="6"/>
    <w:qFormat/>
    <w:pPr>
      <w:ind w:left="256" w:right="6" w:firstLine="624"/>
    </w:pPr>
    <w:rPr>
      <w:rFonts w:eastAsia="仿宋"/>
      <w:sz w:val="28"/>
      <w:szCs w:val="20"/>
    </w:rPr>
  </w:style>
  <w:style w:type="paragraph" w:styleId="1272" w:customStyle="1">
    <w:name w:val="正文111"/>
    <w:next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页脚1"/>
    <w:basedOn w:val="1016"/>
    <w:uiPriority w:val="0"/>
    <w:qFormat/>
    <w:pPr>
      <w:jc w:val="left"/>
      <w:tabs>
        <w:tab w:val="center" w:pos="4153" w:leader="none"/>
        <w:tab w:val="right" w:pos="8306" w:leader="none"/>
      </w:tabs>
    </w:pPr>
    <w:rPr>
      <w:sz w:val="18"/>
      <w:szCs w:val="18"/>
    </w:rPr>
  </w:style>
  <w:style w:type="paragraph" w:styleId="1274" w:customStyle="1">
    <w:name w:val="页眉1"/>
    <w:basedOn w:val="1016"/>
    <w:uiPriority w:val="0"/>
    <w:qFormat/>
    <w:pPr>
      <w:jc w:val="center"/>
      <w:tabs>
        <w:tab w:val="center" w:pos="4153" w:leader="none"/>
        <w:tab w:val="right" w:pos="8306" w:leader="none"/>
      </w:tabs>
      <w:pBdr>
        <w:bottom w:val="single" w:color="000000" w:sz="6" w:space="1"/>
      </w:pBdr>
    </w:pPr>
    <w:rPr>
      <w:sz w:val="18"/>
      <w:szCs w:val="18"/>
    </w:rPr>
  </w:style>
  <w:style w:type="character" w:styleId="1275" w:customStyle="1">
    <w:name w:val="页码1"/>
    <w:basedOn w:val="1276"/>
    <w:uiPriority w:val="0"/>
    <w:qFormat/>
    <w:rPr>
      <w:rFonts w:hint="default" w:ascii="Calibri" w:hAnsi="Calibri" w:eastAsia="宋体" w:cs="Times New Roman"/>
      <w:sz w:val="21"/>
      <w:szCs w:val="24"/>
      <w:lang w:val="en-US" w:eastAsia="zh-CN" w:bidi="ar-SA"/>
    </w:rPr>
  </w:style>
  <w:style w:type="character" w:styleId="1276" w:customStyle="1">
    <w:name w:val="默认段落字体1"/>
    <w:uiPriority w:val="0"/>
    <w:semiHidden/>
    <w:qFormat/>
  </w:style>
  <w:style w:type="character" w:styleId="1277" w:customStyle="1">
    <w:name w:val="NormalCharacter1"/>
    <w:uiPriority w:val="0"/>
    <w:semiHidden/>
    <w:qFormat/>
    <w:rPr>
      <w:sz w:val="21"/>
      <w:szCs w:val="24"/>
      <w:lang w:val="en-US" w:eastAsia="zh-CN" w:bidi="ar-SA"/>
    </w:rPr>
  </w:style>
  <w:style w:type="paragraph" w:styleId="1278" w:customStyle="1">
    <w:name w:val="Blockquote"/>
    <w:basedOn w:val="1016"/>
    <w:uiPriority w:val="0"/>
    <w:qFormat/>
    <w:pPr>
      <w:ind w:left="764" w:right="567"/>
      <w:jc w:val="left"/>
      <w:spacing w:before="100" w:after="100"/>
    </w:pPr>
    <w:rPr>
      <w:rFonts w:ascii="Times New Roman" w:hAnsi="Times New Roman"/>
      <w:sz w:val="24"/>
      <w:szCs w:val="20"/>
    </w:rPr>
  </w:style>
  <w:style w:type="character" w:styleId="1279" w:customStyle="1">
    <w:name w:val="正文文本 字符"/>
    <w:link w:val="1032"/>
    <w:uiPriority w:val="0"/>
    <w:qFormat/>
  </w:style>
  <w:style w:type="character" w:styleId="1280" w:customStyle="1">
    <w:name w:val="正文文本 字符1"/>
    <w:basedOn w:val="1026"/>
    <w:uiPriority w:val="99"/>
    <w:semiHidden/>
    <w:qFormat/>
    <w:rPr>
      <w:rFonts w:ascii="Calibri" w:hAnsi="Calibri"/>
      <w:sz w:val="21"/>
      <w:szCs w:val="24"/>
    </w:rPr>
  </w:style>
  <w:style w:type="character" w:styleId="1281" w:customStyle="1">
    <w:name w:val="批注框文本 字符"/>
    <w:basedOn w:val="1026"/>
    <w:link w:val="1040"/>
    <w:uiPriority w:val="99"/>
    <w:semiHidden/>
    <w:qFormat/>
    <w:rPr>
      <w:rFonts w:ascii="Calibri" w:hAnsi="Calibri"/>
      <w:sz w:val="18"/>
      <w:szCs w:val="18"/>
    </w:rPr>
  </w:style>
  <w:style w:type="character" w:styleId="1282" w:customStyle="1">
    <w:name w:val="批注文字 字符"/>
    <w:basedOn w:val="1026"/>
    <w:link w:val="1031"/>
    <w:uiPriority w:val="99"/>
    <w:semiHidden/>
    <w:qFormat/>
    <w:rPr>
      <w:sz w:val="21"/>
      <w:szCs w:val="24"/>
    </w:rPr>
  </w:style>
  <w:style w:type="character" w:styleId="1283" w:customStyle="1">
    <w:name w:val="批注主题 字符"/>
    <w:basedOn w:val="1282"/>
    <w:link w:val="1053"/>
    <w:uiPriority w:val="99"/>
    <w:semiHidden/>
    <w:qFormat/>
    <w:rPr>
      <w:b/>
      <w:bCs/>
      <w:sz w:val="21"/>
      <w:szCs w:val="24"/>
    </w:rPr>
  </w:style>
  <w:style w:type="paragraph" w:styleId="1284" w:customStyle="1">
    <w:name w:val="正文首行缩进1"/>
    <w:basedOn w:val="1079"/>
    <w:next w:val="1285"/>
    <w:uiPriority w:val="0"/>
    <w:qFormat/>
    <w:pPr>
      <w:ind w:firstLine="420"/>
    </w:pPr>
    <w:rPr>
      <w:szCs w:val="22"/>
    </w:rPr>
  </w:style>
  <w:style w:type="paragraph" w:styleId="1285" w:customStyle="1">
    <w:name w:val="正文首行缩进 211"/>
    <w:basedOn w:val="1286"/>
    <w:next w:val="1080"/>
    <w:uiPriority w:val="0"/>
    <w:qFormat/>
    <w:pPr>
      <w:ind w:firstLine="420"/>
    </w:pPr>
    <w:rPr>
      <w:sz w:val="24"/>
    </w:rPr>
  </w:style>
  <w:style w:type="paragraph" w:styleId="1286" w:customStyle="1">
    <w:name w:val="正文文本缩进11"/>
    <w:basedOn w:val="1080"/>
    <w:next w:val="1287"/>
    <w:uiPriority w:val="0"/>
    <w:qFormat/>
    <w:pPr>
      <w:ind w:firstLine="538"/>
    </w:pPr>
    <w:rPr>
      <w:sz w:val="28"/>
    </w:rPr>
  </w:style>
  <w:style w:type="paragraph" w:styleId="1287" w:customStyle="1">
    <w:name w:val="寄信人地址11"/>
    <w:basedOn w:val="1016"/>
    <w:uiPriority w:val="0"/>
    <w:qFormat/>
    <w:rPr>
      <w:rFonts w:ascii="Arial" w:hAnsi="Arial"/>
    </w:rPr>
  </w:style>
  <w:style w:type="numbering" w:styleId="13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20</cp:revision>
  <dcterms:created xsi:type="dcterms:W3CDTF">2025-06-18T00:51:00Z</dcterms:created>
  <dcterms:modified xsi:type="dcterms:W3CDTF">2026-10-13T09:49:59Z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A860804B042A4A45B3C650E228246609_13</vt:lpwstr>
  </property>
  <property fmtid="{D5CDD505-2E9C-101B-9397-08002B2CF9AE}" pid="4" name="KSOTemplateDocerSaveRecord">
    <vt:lpwstr>eyJoZGlkIjoiMzQ5OTM5MjhmMWMyNjRlZTUzNjBkYTkwNjE3ODIxNDQiLCJ1c2VySWQiOiI2MjAyNjAwNDcifQ==</vt:lpwstr>
  </property>
</Properties>
</file>