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苏州市吴中区</w:t>
      </w:r>
      <w:r/>
    </w:p>
    <w:p>
      <w:pPr>
        <w:ind w:left="0" w:right="0" w:firstLine="723"/>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竞争性磋商采购文件</w:t>
      </w:r>
      <w:r>
        <w:rPr>
          <w:rFonts w:ascii="SimSun" w:hAnsi="SimSun" w:eastAsia="SimSun" w:cs="SimSun"/>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jc w:val="both"/>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采购编号：</w:t>
      </w:r>
      <w:r>
        <w:rPr>
          <w:rFonts w:ascii="SimSun" w:hAnsi="SimSun" w:eastAsia="SimSun" w:cs="SimSun"/>
          <w:b/>
          <w:color w:val="000000"/>
          <w:sz w:val="30"/>
          <w:u w:val="single"/>
        </w:rPr>
        <w:t xml:space="preserve">JSZC-320506-SXYZ-C2026-0003</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吴中区木渎镇村级财务第三方代理记账项目</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 购 人：</w:t>
      </w:r>
      <w:r>
        <w:rPr>
          <w:rFonts w:ascii="SimSun" w:hAnsi="SimSun" w:eastAsia="SimSun" w:cs="SimSun"/>
          <w:b/>
          <w:color w:val="000000"/>
          <w:sz w:val="30"/>
          <w:u w:val="single"/>
        </w:rPr>
        <w:t xml:space="preserve">苏州市吴中区木渎镇人民政府</w:t>
      </w:r>
      <w:r/>
    </w:p>
    <w:p>
      <w:pPr>
        <w:ind w:left="0" w:right="0" w:firstLine="1759"/>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（苏州市吴中区木渎镇农村工作办公室）</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w:t>
      </w:r>
      <w:r>
        <w:rPr>
          <w:rFonts w:ascii="SimSun" w:hAnsi="SimSun" w:eastAsia="SimSun" w:cs="SimSun"/>
          <w:b/>
          <w:color w:val="000000"/>
          <w:sz w:val="30"/>
          <w:u w:val="single"/>
        </w:rPr>
        <w:t xml:space="preserve">苏州顺心源招投标咨询服务有限公司</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w:t>
      </w:r>
      <w:r>
        <w:rPr>
          <w:rFonts w:ascii="SimSun" w:hAnsi="SimSun" w:eastAsia="SimSun" w:cs="SimSun"/>
          <w:b/>
          <w:color w:val="000000"/>
          <w:sz w:val="30"/>
          <w:u w:val="single"/>
        </w:rPr>
        <w:t xml:space="preserve">     服务类</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2026年10月</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前附表</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565"/>
        <w:gridCol w:w="6615"/>
      </w:tblGrid>
      <w:tr>
        <w:trPr>
          <w:trHeight w:val="1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JSZC-320506-SXYZ-C2026-0003</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吴中区木渎镇村级财务第三方代理记账项目</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名称：苏州顺心源招投标咨询服务有限公司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地址：苏州市吴中区木渎镇翠坊南街蓝湾文旅街区13号楼102室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联系人：赵晓燕、林玉琼、周雨泽轩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联系电话：0512-65980060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63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名称：苏州市吴中区木渎镇人民政府（苏州市吴中区木渎镇农村工作办公室）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地址：苏州市吴中区金山南路209号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联系人：朱碧天</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联系电话：0512-66170397</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详见采购文件第二章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响应文件提交截止之日起90天（日历日）</w:t>
            </w:r>
            <w:r/>
          </w:p>
        </w:tc>
      </w:tr>
      <w:tr>
        <w:trPr>
          <w:trHeight w:val="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获取采购文件</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自公告发布之日起5个工作日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响应文件网上</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2026年10月21日13点30分（北京时间）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响应文件必须在截止时间前完成提交（上传），逾期提交（上传）的响应文件恕不接受。</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2026年10月21日13点30分（北京时间）</w:t>
            </w:r>
            <w:r/>
          </w:p>
          <w:p>
            <w:pPr>
              <w:ind w:left="0" w:right="0" w:firstLine="0"/>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w:t>
            </w:r>
            <w:r>
              <w:rPr>
                <w:rFonts w:ascii="SimSun" w:hAnsi="SimSun" w:eastAsia="SimSun" w:cs="SimSun"/>
                <w:color w:val="000000" w:themeColor="text1"/>
                <w:sz w:val="24"/>
              </w:rPr>
              <w:t xml:space="preserve">：</w:t>
            </w:r>
            <w:hyperlink r:id="rId11" w:tooltip="http://jszfcg.jsczt.cn/" w:history="1">
              <w:r>
                <w:rPr>
                  <w:rStyle w:val="746"/>
                  <w:rFonts w:ascii="SimSun" w:hAnsi="SimSun" w:eastAsia="SimSun" w:cs="SimSun"/>
                  <w:color w:val="000000" w:themeColor="text1"/>
                  <w:sz w:val="24"/>
                  <w:u w:val="none"/>
                </w:rPr>
                <w:t xml:space="preserve">http://jszfcg.jsczt.cn/</w:t>
              </w:r>
            </w:hyperlink>
            <w:r>
              <w:rPr>
                <w:rFonts w:ascii="SimSun" w:hAnsi="SimSun" w:eastAsia="SimSun" w:cs="SimSun"/>
                <w:color w:val="000000" w:themeColor="text1"/>
                <w:sz w:val="24"/>
              </w:rPr>
              <w:t xml:space="preserve">）</w:t>
            </w:r>
            <w:r>
              <w:rPr>
                <w:color w:val="000000" w:themeColor="text1"/>
              </w:rPr>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w:t>
            </w:r>
            <w:r>
              <w:rPr>
                <w:rFonts w:ascii="SimSun" w:hAnsi="SimSun" w:eastAsia="SimSun" w:cs="SimSun"/>
                <w:color w:val="000000"/>
                <w:sz w:val="24"/>
                <w:u w:val="single"/>
              </w:rPr>
              <w:t xml:space="preserve">10</w:t>
            </w:r>
            <w:r>
              <w:rPr>
                <w:rFonts w:ascii="SimSun" w:hAnsi="SimSun" w:eastAsia="SimSun" w:cs="SimSun"/>
                <w:color w:val="000000"/>
                <w:sz w:val="24"/>
              </w:rPr>
              <w:t xml:space="preserve">月</w:t>
            </w:r>
            <w:r>
              <w:rPr>
                <w:rFonts w:ascii="SimSun" w:hAnsi="SimSun" w:eastAsia="SimSun" w:cs="SimSun"/>
                <w:color w:val="000000"/>
                <w:sz w:val="24"/>
                <w:u w:val="single"/>
              </w:rPr>
              <w:t xml:space="preserve">21</w:t>
            </w:r>
            <w:r>
              <w:rPr>
                <w:rFonts w:ascii="SimSun" w:hAnsi="SimSun" w:eastAsia="SimSun" w:cs="SimSun"/>
                <w:color w:val="000000"/>
                <w:sz w:val="24"/>
              </w:rPr>
              <w:t xml:space="preserve">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[狮山科技馆]政府采购817</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本项目采用电子响应文件，供应商按照采购文件要求制作上传电子响应文件，投标时供应商无需提供纸质响应文件。</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成交后5个工作日内，成交单位向招标代理机构提供与电子响应文件内容一致的纸质响应文件两份。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按合同约定，未作说明的则为无。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确定成交单位后，采购代理机构在法定时间内向成交单位发出成交通知书。成交通知书将成为合同的组成部分。</w:t>
            </w:r>
            <w:r/>
          </w:p>
          <w:p>
            <w:pPr>
              <w:ind w:left="0" w:right="0" w:firstLine="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请成交单位在成交结果公告届满之日起30日内，使用CA证书登录“苏采云”系统及时下载成交通知书。</w:t>
            </w:r>
            <w:r/>
          </w:p>
        </w:tc>
      </w:tr>
    </w:tbl>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一、磋商公告</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二、磋商须知</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三、评审方法及评分标准</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四、合同主要条款及格式</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五、磋商响应文件格式</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0" w:after="0"/>
        <w:tabs>
          <w:tab w:val="left" w:pos="315" w:leader="none"/>
          <w:tab w:val="left" w:pos="4153"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w:t>
      </w:r>
      <w:r>
        <w:rPr>
          <w:rFonts w:ascii="SimSun" w:hAnsi="SimSun" w:eastAsia="SimSun" w:cs="SimSun"/>
          <w:b/>
          <w:color w:val="000000"/>
          <w:sz w:val="32"/>
          <w:u w:val="none"/>
        </w:rPr>
        <w:t xml:space="preserve">磋商公告</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8"/>
      </w:tblGrid>
      <w:tr>
        <w:trPr>
          <w:trHeight w:val="1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8"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吴中区木渎镇村级财务第三方代理记账项目的潜在供应商应在苏采云平台免费下载、获取采购文件，并于2026年10月21日13点30分（北京时间）前提交响应文件。</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项目编号：JSZC-320506-SXYZ-C2026-0003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项目名称：吴中区木渎镇村级财务第三方代理记账项目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预算金额：人民币壹佰玖拾陆万元整（￥1960000.00）</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2"/>
        <w:gridCol w:w="2449"/>
        <w:gridCol w:w="1266"/>
        <w:gridCol w:w="2379"/>
        <w:gridCol w:w="1889"/>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单价最高限价（元）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备注</w:t>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灵岩村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224636.00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尧峰村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175288.00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西跨塘村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208956.00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天平村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506916.00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金山村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181310.00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香溪社区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227462.00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121974.00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善人桥村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74390.00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天池村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73730.00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穹窿社区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27906.00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接驾社区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24012.00</w:t>
            </w:r>
            <w:r/>
          </w:p>
        </w:tc>
        <w:tc>
          <w:tcPr>
            <w:vMerge w:val="continue"/>
            <w:textDirection w:val="lrTb"/>
            <w:noWrap w:val="false"/>
          </w:tcPr>
          <w:p>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注：1.投标时每一类别内容均不得超过其相应的单价最高限价，否则作无效标处理。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采购需求：服务于木渎辖下9个村，3个涉农社区的代理记账等服务项目。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项目合同履行期限：2年（具体起止时间以采购方实际需求为准）。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专门面向中小企业，所属行业为租赁和商务服务业，供应商应为中小微企业、监狱企业、残疾人福利性单位。供应商为中小微企业、监狱企业、残疾人福利性单位应提供《中小企业声明函》或《残疾人福利性单位声明函》或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3.本项目的特定资格要求：响应单位须持有有效的会计师事务所执业证书或有效的代理记账许可证书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（1）单位负责人为同一人或者存在直接控股、管理关系的不同供应商（包含法定代表人为同一个人的两个及两个以上法人，母公司、全资子公司及其控股公司），不得参加同一合同项下的政府采购活动。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（2）未被“信用中国”网站或“中国政府采购网”网站列入失信被执行人、重大税收违法案件当事人名单、政府采购严重失信行为记录名单。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时间：自招标文件公告发布之日起5个工作日，每天上午00:00-12:00，下午12:00-23:59（北京时间，法定节假日除外）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地点：线上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方式：自行下载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1.截止时间：2026年10月21日13点30分（北京时间）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2.地点：“苏采云”系统（网址：http://jszfcg.jsczt.cn/）。响应文件网上递交，不需要现场参加采购活动。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1.时间：2026年10月21日13点30分（北京时间）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w:t>
      </w:r>
      <w:hyperlink r:id="rId12" w:tooltip="http://jszfcg.jsczt.cn/%EF%BC%89" w:history="1">
        <w:r>
          <w:rPr>
            <w:rStyle w:val="746"/>
            <w:rFonts w:ascii="SimSun" w:hAnsi="SimSun" w:eastAsia="SimSun" w:cs="SimSun"/>
            <w:color w:val="000000"/>
            <w:sz w:val="24"/>
            <w:u w:val="single"/>
          </w:rPr>
          <w:t xml:space="preserve">http://jszfcg.jsczt.cn/）</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线上参加开标（开启）会方式：供应商登录“苏采云”系统在平台首页点击“开标大厅”，进入江苏省政府采购一体化不见面开标（采购）大厅，在今日项目列表，点击项目，进入不见面开标系统。</w:t>
      </w:r>
      <w:r>
        <w:rPr>
          <w:rFonts w:ascii="Arial" w:hAnsi="Arial" w:eastAsia="Arial" w:cs="Arial"/>
          <w:b/>
          <w:color w:val="000000"/>
          <w:sz w:val="24"/>
        </w:rPr>
        <w:t xml:space="preserve">本项目为不见面磋商项目，开启阶段供应商在【供应商解密】环节必须使用 </w:t>
      </w:r>
      <w:r>
        <w:rPr>
          <w:rFonts w:ascii="SimSun" w:hAnsi="SimSun" w:eastAsia="SimSun" w:cs="SimSun"/>
          <w:b/>
          <w:color w:val="000000"/>
          <w:sz w:val="24"/>
        </w:rPr>
        <w:t xml:space="preserve">CA</w:t>
      </w:r>
      <w:r>
        <w:rPr>
          <w:rFonts w:ascii="Arial" w:hAnsi="Arial" w:eastAsia="Arial" w:cs="Arial"/>
          <w:b/>
          <w:color w:val="000000"/>
          <w:sz w:val="24"/>
        </w:rPr>
        <w:t xml:space="preserve">证书解密电子响应文件，如在系统规定的解密时间</w:t>
      </w:r>
      <w:r>
        <w:rPr>
          <w:rFonts w:ascii="SimSun" w:hAnsi="SimSun" w:eastAsia="SimSun" w:cs="SimSun"/>
          <w:b/>
          <w:color w:val="000000"/>
          <w:sz w:val="24"/>
        </w:rPr>
        <w:t xml:space="preserve">（</w:t>
      </w:r>
      <w:r>
        <w:rPr>
          <w:rFonts w:ascii="Arial" w:hAnsi="Arial" w:eastAsia="Arial" w:cs="Arial"/>
          <w:b/>
          <w:color w:val="000000"/>
          <w:sz w:val="24"/>
        </w:rPr>
        <w:t xml:space="preserve">响应文件提交截止时间后 </w:t>
      </w:r>
      <w:r>
        <w:rPr>
          <w:rFonts w:ascii="SimSun" w:hAnsi="SimSun" w:eastAsia="SimSun" w:cs="SimSun"/>
          <w:b/>
          <w:color w:val="000000"/>
          <w:sz w:val="24"/>
        </w:rPr>
        <w:t xml:space="preserve">30 </w:t>
      </w:r>
      <w:r>
        <w:rPr>
          <w:rFonts w:ascii="Arial" w:hAnsi="Arial" w:eastAsia="Arial" w:cs="Arial"/>
          <w:b/>
          <w:color w:val="000000"/>
          <w:sz w:val="24"/>
        </w:rPr>
        <w:t xml:space="preserve">分钟</w:t>
      </w:r>
      <w:r>
        <w:rPr>
          <w:rFonts w:ascii="SimSun" w:hAnsi="SimSun" w:eastAsia="SimSun" w:cs="SimSun"/>
          <w:b/>
          <w:color w:val="000000"/>
          <w:sz w:val="24"/>
        </w:rPr>
        <w:t xml:space="preserve">）</w:t>
      </w:r>
      <w:r>
        <w:rPr>
          <w:rFonts w:ascii="Arial" w:hAnsi="Arial" w:eastAsia="Arial" w:cs="Arial"/>
          <w:b/>
          <w:color w:val="000000"/>
          <w:sz w:val="24"/>
        </w:rPr>
        <w:t xml:space="preserve">内未能完成解密的视为放弃参与本项目。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请供应商确保电脑、系统及其他设备（视频输入输出设备等）无误，且开启直至项目结束始终保持系统在线状态。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自本公告发布之日起三个工作日。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1.本次采购的相关信息刊登在苏州市政府采购网、江苏政府采购网，成交公告亦刊登在此媒体，敬请各供应商注意。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2.获取采购文件方式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供应商参与政府采购活动需办理江苏省电子政务证书认证中心</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证书和方正国际软件（北京）有限公司电子签章。</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证书及电子签章的办理方法详见苏州市政府采购网—法规政策</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《转发省财政厅关于更换全省政府采购交易系统</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数字证书和电子签章的通知》或者“苏采云”系统登录界面中的“新</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办理指南”。</w:t>
      </w:r>
      <w:r>
        <w:rPr>
          <w:rFonts w:ascii="Arial" w:hAnsi="Arial" w:eastAsia="Arial" w:cs="Arial"/>
          <w:b/>
          <w:color w:val="000000"/>
          <w:sz w:val="24"/>
          <w:highlight w:val="white"/>
        </w:rPr>
        <w:t xml:space="preserve">“苏采云”系统目前仅支持“苏采云”系统下的政务</w:t>
      </w:r>
      <w:r>
        <w:rPr>
          <w:rFonts w:ascii="SimSun" w:hAnsi="SimSun" w:eastAsia="SimSun" w:cs="SimSun"/>
          <w:b/>
          <w:color w:val="000000"/>
          <w:sz w:val="24"/>
          <w:highlight w:val="white"/>
        </w:rPr>
        <w:t xml:space="preserve">CA</w:t>
      </w:r>
      <w:r>
        <w:rPr>
          <w:rFonts w:ascii="Arial" w:hAnsi="Arial" w:eastAsia="Arial" w:cs="Arial"/>
          <w:b/>
          <w:color w:val="000000"/>
          <w:sz w:val="24"/>
          <w:highlight w:val="white"/>
        </w:rPr>
        <w:t xml:space="preserve">证书，江苏省内各地区办理的“苏采云”系统下的政务</w:t>
      </w:r>
      <w:r>
        <w:rPr>
          <w:rFonts w:ascii="SimSun" w:hAnsi="SimSun" w:eastAsia="SimSun" w:cs="SimSun"/>
          <w:b/>
          <w:color w:val="000000"/>
          <w:sz w:val="24"/>
          <w:highlight w:val="white"/>
        </w:rPr>
        <w:t xml:space="preserve">CA</w:t>
      </w:r>
      <w:r>
        <w:rPr>
          <w:rFonts w:ascii="Arial" w:hAnsi="Arial" w:eastAsia="Arial" w:cs="Arial"/>
          <w:b/>
          <w:color w:val="000000"/>
          <w:sz w:val="24"/>
          <w:highlight w:val="white"/>
        </w:rPr>
        <w:t xml:space="preserve">证书全省通用。</w:t>
      </w:r>
      <w:r>
        <w:rPr>
          <w:rFonts w:ascii="Arial" w:hAnsi="Arial" w:eastAsia="Arial" w:cs="Arial"/>
          <w:color w:val="000000"/>
          <w:sz w:val="24"/>
          <w:highlight w:val="white"/>
        </w:rPr>
        <w:t xml:space="preserve">苏州现场办理地址：苏州高新区邓尉路</w:t>
      </w:r>
      <w:r>
        <w:rPr>
          <w:rFonts w:ascii="SimSun" w:hAnsi="SimSun" w:eastAsia="SimSun" w:cs="SimSun"/>
          <w:color w:val="000000"/>
          <w:sz w:val="24"/>
          <w:highlight w:val="white"/>
        </w:rPr>
        <w:t xml:space="preserve">105</w:t>
      </w:r>
      <w:r>
        <w:rPr>
          <w:rFonts w:ascii="Arial" w:hAnsi="Arial" w:eastAsia="Arial" w:cs="Arial"/>
          <w:color w:val="000000"/>
          <w:sz w:val="24"/>
          <w:highlight w:val="white"/>
        </w:rPr>
        <w:t xml:space="preserve">号狮山科技馆</w:t>
      </w: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楼服务大厅，咨询电话：</w:t>
      </w:r>
      <w:r>
        <w:rPr>
          <w:rFonts w:ascii="SimSun" w:hAnsi="SimSun" w:eastAsia="SimSun" w:cs="SimSun"/>
          <w:color w:val="000000"/>
          <w:sz w:val="24"/>
          <w:highlight w:val="white"/>
        </w:rPr>
        <w:t xml:space="preserve">0512-69820834</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2</w:t>
      </w:r>
      <w:r>
        <w:rPr>
          <w:rFonts w:ascii="Arial" w:hAnsi="Arial" w:eastAsia="Arial" w:cs="Arial"/>
          <w:color w:val="000000"/>
          <w:sz w:val="24"/>
          <w:highlight w:val="white"/>
        </w:rPr>
        <w:t xml:space="preserve">）参与采购活动</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供应商插入</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3</w:t>
      </w:r>
      <w:r>
        <w:rPr>
          <w:rFonts w:ascii="Arial" w:hAnsi="Arial" w:eastAsia="Arial" w:cs="Arial"/>
          <w:color w:val="000000"/>
          <w:sz w:val="24"/>
          <w:highlight w:val="white"/>
        </w:rPr>
        <w:t xml:space="preserve">）电子投标准备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供应商在“苏采云”系统中操作参与项目后，必须在“已参与项目”界面中下载电子采购文件（后缀名为</w:t>
      </w:r>
      <w:r>
        <w:rPr>
          <w:rFonts w:ascii="SimSun" w:hAnsi="SimSun" w:eastAsia="SimSun" w:cs="SimSun"/>
          <w:color w:val="000000"/>
          <w:sz w:val="24"/>
          <w:highlight w:val="white"/>
        </w:rPr>
        <w:t xml:space="preserve">“kedt</w:t>
      </w:r>
      <w:r>
        <w:rPr>
          <w:rFonts w:ascii="Arial" w:hAnsi="Arial" w:eastAsia="Arial" w:cs="Arial"/>
          <w:color w:val="000000"/>
          <w:sz w:val="24"/>
          <w:highlight w:val="white"/>
        </w:rPr>
        <w:t xml:space="preserve">”）并导入政府采购客户端工具后方可进行响应文件制作和提交</w:t>
      </w:r>
      <w:r>
        <w:rPr>
          <w:rFonts w:ascii="Arial" w:hAnsi="Arial" w:eastAsia="Arial" w:cs="Arial"/>
          <w:b/>
          <w:color w:val="000000"/>
          <w:sz w:val="24"/>
          <w:highlight w:val="white"/>
        </w:rPr>
        <w:t xml:space="preserve">（具体详见《苏采云系统供应商操作手册》，网址链接</w:t>
      </w:r>
      <w:r>
        <w:rPr>
          <w:rFonts w:ascii="SimSun" w:hAnsi="SimSun" w:eastAsia="SimSun" w:cs="SimSun"/>
          <w:b/>
          <w:color w:val="000000"/>
          <w:sz w:val="24"/>
          <w:highlight w:val="white"/>
        </w:rPr>
        <w:t xml:space="preserve">https://czju.suzhou.gov.cn/zfcg/html/content/20231220161910031.shtml</w:t>
      </w:r>
      <w:r>
        <w:rPr>
          <w:rFonts w:ascii="Arial" w:hAnsi="Arial" w:eastAsia="Arial" w:cs="Arial"/>
          <w:b/>
          <w:color w:val="000000"/>
          <w:sz w:val="24"/>
          <w:highlight w:val="white"/>
        </w:rPr>
        <w:t xml:space="preserve">）</w:t>
      </w:r>
      <w:r>
        <w:rPr>
          <w:rFonts w:ascii="Arial" w:hAnsi="Arial" w:eastAsia="Arial" w:cs="Arial"/>
          <w:color w:val="000000"/>
          <w:sz w:val="24"/>
          <w:highlight w:val="white"/>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注册咨询：</w:t>
      </w:r>
      <w:r>
        <w:rPr>
          <w:rFonts w:ascii="SimSun" w:hAnsi="SimSun" w:eastAsia="SimSun" w:cs="SimSun"/>
          <w:color w:val="000000"/>
          <w:sz w:val="24"/>
          <w:highlight w:val="white"/>
        </w:rPr>
        <w:t xml:space="preserve">18261002950</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技术咨询电话：</w:t>
      </w:r>
      <w:r>
        <w:rPr>
          <w:rFonts w:ascii="SimSun" w:hAnsi="SimSun" w:eastAsia="SimSun" w:cs="SimSun"/>
          <w:color w:val="000000"/>
          <w:sz w:val="24"/>
          <w:highlight w:val="white"/>
        </w:rPr>
        <w:t xml:space="preserve">400-608-6099</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签章使用问题：</w:t>
      </w:r>
      <w:r>
        <w:rPr>
          <w:rFonts w:ascii="SimSun" w:hAnsi="SimSun" w:eastAsia="SimSun" w:cs="SimSun"/>
          <w:color w:val="000000"/>
          <w:sz w:val="24"/>
          <w:highlight w:val="white"/>
        </w:rPr>
        <w:t xml:space="preserve">025-83633811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025-83633812</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15380932027</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15371015030</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系统使用指导与咨询：联系电话：</w:t>
      </w:r>
      <w:r>
        <w:rPr>
          <w:rFonts w:ascii="SimSun" w:hAnsi="SimSun" w:eastAsia="SimSun" w:cs="SimSun"/>
          <w:color w:val="000000"/>
          <w:sz w:val="24"/>
          <w:highlight w:val="white"/>
        </w:rPr>
        <w:t xml:space="preserve">18261002950</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QQ</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3048755361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1315179389</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895706745</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rFonts w:ascii="Arial" w:hAnsi="Arial" w:eastAsia="Arial" w:cs="Arial"/>
          <w:color w:val="000000"/>
          <w:sz w:val="24"/>
          <w:highlight w:val="white"/>
        </w:rPr>
        <w:t xml:space="preserve">售价：免费。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名称：苏州市吴中区木渎镇人民政府（苏州市吴中区木渎镇农村工作办公室）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地址：苏州市吴中区金山南路209号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人：朱碧天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电话：0512-66170397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名称：苏州顺心源招投标咨询服务有限公司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地址：苏州市吴中区木渎镇翠坊南街蓝湾文旅街区13号楼102室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人：赵晓燕、林玉琼、周雨泽轩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电话：0512-65980060</w:t>
      </w:r>
      <w:r/>
    </w:p>
    <w:p>
      <w:pPr>
        <w:ind w:left="0" w:right="0" w:firstLine="0"/>
        <w:jc w:val="center"/>
        <w:spacing w:before="75" w:after="75"/>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二、磋商须知</w:t>
      </w:r>
      <w:r/>
    </w:p>
    <w:p>
      <w:pPr>
        <w:ind w:left="21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p>
      <w:pPr>
        <w:ind w:left="21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背景：根据市委办〔2017〕39号文件精神，为进一步提升苏州吴中区的木渎辖下村级资金、资产、资源管理水平，规范村级财务管理，现就村集体单位会计代理项目进行竞争性磋商采购，择优选定中介服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2.1服务于木渎辖下9个村，3个涉农社区；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服务内容：代理服务农村集体的财务会计账目、收支、票据、资产、合同管理、资料档案、信息、财务公开、各类统计、调查表等财务核算业务和财务管理业务。具体内容包括：财政转移支付资金、“一事一议”筹集资金、集体资产发包收入、集体统一经营收入、投资收益、国家征地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w:t>
      </w:r>
      <w:r>
        <w:rPr>
          <w:rFonts w:ascii="SimSun" w:hAnsi="SimSun" w:eastAsia="SimSun" w:cs="SimSun"/>
          <w:color w:val="000000"/>
          <w:sz w:val="24"/>
        </w:rPr>
        <w:t xml:space="preserve">的会计核算，均由中介代理机构统一代理。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3.受聘条件和职责：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3.1本服务项目成交的第三方代理机构负责代理有关农村集体经济组织的各项会计核算和财务管理业务，向村委会负责，接受苏州市吴中区木渎镇人民政府（苏州市吴中区木渎镇农村工作办公室）的指导和监督。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第三方代理机构办公场所由苏州市吴中区木渎镇人民政府（苏州市吴中区木渎镇农村工作办公室）提供（含：办公设备、低值易耗品等），要有健全的业务操作规范和管理制度。主管代理业务的负责人要具有中级会计师以上专业技术职务资格，具有农村财务审计或财务管理的经验，设有不少于5人（不含项目负责人）的第三方代理记账会计，负责全镇农村财务核算和财务管理工作，按照镇的作息时间上下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3.3第三方代理记账会计必须具有会计从业资格或初级以上专业技术资格，第三方会计主管负责对代理记账会计进行监督管理。代理记账会计由成交单位聘用。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第三方代理机构对在执行业务过程中知悉的经济业务秘密负有保密责任。除法律另有规定外，未经委托单位同意，不得将委托单位提供的资料外泄。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3.5在代理过程中，成交单位如有违反有关规定或违约行为的，根据委托协议约定的条款进行处罚，违反法律法规的移交司法部门处理。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3.6统一使用财务管理系统平台进行会计核算、资金管理、固定资产管理和合同管理等。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第三方机构代理项目前，要将代理的财务管理、会计核算等工作制定详尽的业务操作规范和内部管理制度，并报苏州市吴中区木渎镇人民政府（苏州市吴中区木渎镇农村工作办公室）备案，代理事项后，按照规定的业务范围完成各项工作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4.2负责做好委托代理的农村集体经济组织各项经济业务的会计核算、财务管理工作及其他委托事项。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并进行会计核算，及时编制财务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4.4每年年初，按照农村集体经济组织全年的工作计划和资金使用的有关规定，编制年度资金收支预算方案。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4.5履行会计职责，配合村开展日常的财务管理活动，并对村财务管理活动的合法合规性进行监督。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4.6每月结账前与出纳会计核对《银行对账单》，对存在未达账项的单位或组织，监督出纳编制《银行存款余额调节表》，并审核账表和账实是否相符。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4.7账前审核。第三方机构记账前，要对所取得的原始凭证进行逐笔审核其合理性、合法性和真实性，对不符合规定的予以退回并提出处理意见。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编制财务报告。每月账务处理完毕，应按时编制财务报告并将财务会计资料装订成册，归档管理。每月10日前（遇节假日顺延）向村委会和苏州市吴中区木渎镇人民政府（苏州市吴中区木渎镇农村工作办公室）反馈各类财务报表、会计数据和财务公开资料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及时反映会计信息。根据有关会计制度，每月为委托代理的农村集体经济组织提供会计报表，指导有关村委会按规定进行财务公开，接受群众监督；每季度为代理单位提供财务分析报告，并根据苏州市吴中区木渎镇人民政府（苏州市吴中区木渎镇农村工作办公室）的要求，及时上报有关报表，提供各类会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4.10对财务管理中存在的不合理情况、问题等，提出建设性意见和合理性建议。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4.11每月定期、不定期盘点出纳会计的库存现金，并填制《库存现金盘点表》。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4.12配合采购方做好村各种财务数据等的统计汇总工作。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4.13为委托代理的农村集体经济组织的经济业务往来、对外投资、工程建设、税务业务等经济活动提供咨询服务，并对国家有关法律法规政策、财经制度等做好宣传、指导、培训工作。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4.14第三方代理机构必须实行会计电算化，并统一使用财务管理系统平台，会计电算化软件和硬件设施由镇统一提供。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4.15统一设置固定资产台账进行管理资产，认真做好资产的分类，每年年终要对代理单位的固定资产进行一次全面清查，以确保资产的不流失。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上交的通知收缴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4.17负责票据的核销和监票工作，对不符合开票要求的要做好把关工作。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4.18负责对资金进行监管，对开出的每笔支票或汇票等，均要加盖中介机构人员印鉴方可取款或办理转账业务。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4.19年终，编制农村集体经济组织财务决算报告，并按照财政部《会计档案管理办法》的有关规定，整理各类财务会计资料并装订成册，会计档案的交接按相关文件规定执行。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监督代理单位是否有发生违反财经制度、相关规定，或妨碍财务管理的行为，要及时向代理单位的主管领导、民主理财小组或村务监督委员会及苏州市吴中区木渎镇人民政府（苏州市吴中区木渎镇农村工作办公室）反映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4.21接受群众监督，对群众提出的疑问和反映的问题，要耐心、细致解答和认真予以解决。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4.23成交的第三方机构不得以任何理由转委托第三方代为从事上述业务。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二、服务团队配备要求：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1.主管代理业务负责人不少于一人并具有中级及以上职称；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2.不少于5人记账会计（不包括负责人），具有会计从业资格或初级及以上职称；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3.所派驻人员不可随意更换，如需更换须获得采购方同意，否则采购方有权单方面取消采购合同。</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1.验收标准：经采购单位确认后即视为验收通过。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2.伴随服务要求（包括售后服务）：接到采购人通知后2小时内到现场确认采购人提出的要求，6小时内解决。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知识产权：成交单位应保证采购方免除且成交单位承担由于采购方在其本国使用时而引起第三方提出的侵犯专利权、商标权或工业设计权的起诉、行动、行政程序索赔、请求等以及采购方为此而产生的损失和损害、费用和支出（包括律师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4.保密要求：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4.1成交单位负责对采购单位所提供资料及最终成果的保密，成交单位（包含工作人员）需遵守采购单位的保密规定，不以任何形式将收集的所有资料、数据等进行泄漏、传播；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4.2项目服务人员需签署相关保密协议，承担工作中接触相关内容的保密义务；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4.3项目成果最终所有权属采购单位，在项目完成时成交单位必须全部移交；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4.4成交单位须维护项目服务成果，不得转让给第三方重复使用。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4.5以上保密规定如有违反，采购单位有权追究成交单位相关法律责任。</w:t>
      </w:r>
      <w:r/>
    </w:p>
    <w:p>
      <w:pPr>
        <w:ind w:left="0" w:right="0" w:firstLine="42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四、综合说明及其它：</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1.响应单位须说明其是否响应采购文件中提出的全部内容与要求，如果其中某些条款不响应时，应在文件中逐条列出，未列出的视同响应。</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2.响应单位按照采购文件的要求提交响应文件，并对所提供的全部资料的真实性承担法律责任。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3.合同期内如遇特殊情况暂停服务，其暂停期间的费用将按实际天数扣除。</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4.此次响应报价应综合考量完成本项目服务内容所需的各类应有费用。</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5.成交单位将根据采购文件、响应文件的相关约定，承担合同责任，履行合同义务。</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6.磋商说明：</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（1）不符合供应商资格要求的响应文件视为无效响应；</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（2）参加磋商的供应商必须提供磋商代表的身份证明原件；</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（3）最终报价超过采购预算的，不能成交；</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（4）不实质性响应磋商文件的不能成交；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7.采购文件最终解释权归采购单位及招标代理机构所有。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五、响应文件的组成及要求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（一）文件组成（部分格式见附件）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1.封面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3.法定代表人授权委托书（如有授权，详见投标文件格式）；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4.响应单位法定代表人身份证扫描件、授权委托人身份证扫描件；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5.响应单位基本情况表（详见投标文件格式）；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7.《项目负责人情况一览表》《项目组人员配备一览表》；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8.招标文件技术部分规定提交的其他相关材料；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9.1关于资格文件的声明函（详见投标文件格式）；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9.2具有独立承担民事责任的能力。提供包括法人或者其他组织的营业执照等证明文件，自然人的身份证明；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9.3具有良好的商业信誉和健全的财务会计制度证明。提供最近一期经审计的财务报告；其他组织、自然人及成立未满一年的法人提供基本开户银行出具的资信证明；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具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9.5具备履行合同所必需的设备和专业技术能力的证明材料；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9.6投标人参加政府采购活动前3年内在经营活动中没有重大违法记录的书面声明函；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9.7中小企业声明函、残疾人福利性单位声明函、其他享受政府采购政策的证明材料；（详见投标文件格式）。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10.符合条件：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10.1投标函（详见投标文件格式）；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10.2《服务要求偏离表》《商务条款偏离表》；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10.3投标单位对招标文件其他符合性条款的响应情况；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11.综合评审评分项：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11.1招标文件评分标准中规定提交的其他相关材料；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价格折扣文件：（本项目专门面向中小企业采购，不涉及价格折扣，无需提供）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注：（1）以上9.1-9.7为资格审查要求提供的材料，是作为对供应商资格审查、质疑身份认定的依据，响应供应商必须提供并加盖电子公章。否则，磋商响应文件将被认定为不符合资格审查要求。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（2）以上10.1-10.3为符合性审查须提供的资料，响应供应商必须提供并加盖电子公章。否则，磋商响应文件将被认定为未实质性响应。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w:t>
      </w:r>
      <w:r>
        <w:rPr>
          <w:rFonts w:ascii="SimSun" w:hAnsi="SimSun" w:eastAsia="SimSun" w:cs="SimSun"/>
          <w:b/>
          <w:color w:val="000000"/>
          <w:sz w:val="24"/>
        </w:rPr>
        <w:t xml:space="preserve">3</w:t>
      </w:r>
      <w:r>
        <w:rPr>
          <w:rFonts w:ascii="Arial" w:hAnsi="Arial" w:eastAsia="Arial" w:cs="Arial"/>
          <w:b/>
          <w:color w:val="000000"/>
          <w:sz w:val="24"/>
        </w:rPr>
        <w:t xml:space="preserve">）制作电子响应文件时必须与投标文件制作软件目录</w:t>
      </w:r>
      <w:r>
        <w:rPr>
          <w:rFonts w:ascii="SimSun" w:hAnsi="SimSun" w:eastAsia="SimSun" w:cs="SimSun"/>
          <w:b/>
          <w:color w:val="000000"/>
          <w:sz w:val="24"/>
        </w:rPr>
        <w:t xml:space="preserve">一</w:t>
      </w:r>
      <w:r>
        <w:rPr>
          <w:rFonts w:ascii="Arial" w:hAnsi="Arial" w:eastAsia="Arial" w:cs="Arial"/>
          <w:b/>
          <w:color w:val="000000"/>
          <w:sz w:val="24"/>
        </w:rPr>
        <w:t xml:space="preserve">一对应，将相关资料上传至相应模块。</w:t>
      </w:r>
      <w:r>
        <w:rPr>
          <w:rFonts w:ascii="Arial" w:hAnsi="Arial" w:eastAsia="Arial" w:cs="Arial"/>
          <w:color w:val="000000"/>
          <w:sz w:val="24"/>
        </w:rPr>
        <w:t xml:space="preserve">注意不要漏项。如有不确定上传的位置的，可以上传至其他资料或上传至符合性审查资料</w:t>
      </w:r>
      <w:r>
        <w:rPr>
          <w:rFonts w:ascii="Arial" w:hAnsi="Arial" w:eastAsia="Arial" w:cs="Arial"/>
          <w:b/>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（4）磋商响应文件编制要求：</w:t>
      </w:r>
      <w:r>
        <w:rPr>
          <w:rFonts w:ascii="SimSun" w:hAnsi="SimSun" w:eastAsia="SimSun" w:cs="SimSun"/>
          <w:color w:val="000000"/>
          <w:sz w:val="24"/>
        </w:rPr>
        <w:t xml:space="preserve">本项目采用电子招投标形式，请供应商按照《苏采云系统供应商操作手册》进行制作、上传电子响应文件。</w:t>
      </w:r>
      <w:r>
        <w:rPr>
          <w:rFonts w:ascii="SimSun" w:hAnsi="SimSun" w:eastAsia="SimSun" w:cs="SimSun"/>
          <w:b/>
          <w:color w:val="000000"/>
          <w:sz w:val="24"/>
        </w:rPr>
        <w:t xml:space="preserve">电子响应文件制作完成后请于响应文件递交截止时间前成功上传至“苏采云”系统，否则视为放弃参加该采购项目。</w:t>
      </w: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（5）磋商过程中如有问题采购代理机构工作人员会及时通过《投标供应商确认函》留存的手机号与供应商联系。请供应商确保该手机号磋商当日通信畅通，否则导致对供应商不利的后果由供应商自行承担。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文件的组成，包括本文件及招标代理机构发出的所有书面补充通知，本磋商采购文件涉及资料的知识产权属于采购单位及招标代理机构；投标（响应）期间及实施期间的有关文档资料，由采购单位保存和使用，其知识产权属于采购方所有，双方均不得透露给第三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应认真检查磋商文件的内容是否齐全，如有遗漏，请及时向招标代理机构索取，否则责任自负。同时应阅读磋商文件所有的内容，未按磋商文件要求编制的响应文件将被视为未能对磋商文件作出实质性响应而作为废标处理。响应单位明确提供所投项目的说明及服务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供应商应对所投项目的全部内容进行报价，只投其中部分内容或者出现选择性报价的，其响应文件将被拒绝。响应总报价包含在服务期内完成服务内容所需要的一切费用，包括所有采购内容以及本项目所需的服务管理内容、相关劳务支出、保险、配套费用、税费及服务相关等所发生的全部费用以及供应商企业利润、代理服务费、税金和政策性文件规定及合同包含的所有风险、责任等各项应有费用等。除非因特殊原因并经甲乙双方协商同意，乙方不得再要求追加任何费用。同时，除非合同条款中另有规定，否则，乙方所报价格在合同实施期间不因市场变化因素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4.成交供应商所需的全部工作装备和耗材应自行承担。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5.成交供应商工作人员在岗履行职责期间（包括上下班途中），发生自身的人身伤害、伤亡，均由成交供应商负责处理并承担经济和道义上的责任，采购单位不承担任何责任。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6.本项目采用线上二次报价：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进入项目评审流程后，建议各供应商法定代表人或授权委托人始终保持通讯顺畅，时刻关注不见面开标大厅，不离开不见面开标大厅。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总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8.一项内容只允许一个报价，采购单位不接受任何有选择性的报价。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9.磋商响应文件报价中的单价和总价全部采用人民币表示，除非合同的特殊条款另有规定。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1.采购代理机构按规定的时间、地点主持磋商采购活动开启响应文件。供应商应当按照《操作手册》规定，参加响应文件开启和在“苏采云”系统规定的时间内对电子响应文件进行解密。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2.“苏采云”系统将自动开启各供应商的响应文件，并公布各供应商的报价。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3.供应商在响应文件开启过程中涉及的响应文件解密、结果确认等工作，应按照《操作手册》规定执行。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4.供应商如果对响应文件开启过程和开启记录有疑义，应当根据《操作手册》规定提出，未提出的，视同认可开启结果。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6.磋商小组要求磋商供应商澄清、说明或者更正响应文件，供应商在响应文件开启及项目评审全过程中应保持通信畅通，及时登录“苏采云”系统查阅、答复相关信息。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7.磋商小组所有成员集中与单一供应商分别进行磋商，并给予所有参加磋商的供应商平等的磋商机会。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9.磋商供应商应当按照磋商文件的变动情况和磋商小组的要求重新提交响应文件，并由其法定代表人或授权代表签字或者加盖公章。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10.最后报价截止时间前，供应商可以删除文件重新上传，截止时间后以最新上传的报价文件为准；如超过截止时间未上传，或文件损坏，或报价超过预算，或遗漏签章，均作无效报价处理。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11.经磋商确定最终采购需求和提交最后报价的磋商供应商后，由磋商小组采用综合评分法对提交最后报价的磋商供应商的响应文件和最后报价进行综合评分。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12.磋商小组根据磋商成交原则确定成交供应商，并将结果通知所有参加磋商的供应商。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14.如磋商过程中出现本采购文件未尽事宜，由磋商小组根据政府采购有关法律法规讨论决定。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磋商响应单位必须说明其是否响应采购文件中提出的全部服务内容与要求，</w:t>
      </w:r>
      <w:r>
        <w:rPr>
          <w:rFonts w:ascii="SimSun" w:hAnsi="SimSun" w:eastAsia="SimSun" w:cs="SimSun"/>
          <w:color w:val="000000"/>
          <w:sz w:val="24"/>
        </w:rPr>
        <w:t xml:space="preserve">如果</w:t>
      </w:r>
      <w:r>
        <w:rPr>
          <w:rFonts w:ascii="Arial" w:hAnsi="Arial" w:eastAsia="Arial" w:cs="Arial"/>
          <w:color w:val="000000"/>
          <w:sz w:val="24"/>
        </w:rPr>
        <w:t xml:space="preserve">其中某些条款不响应时，应在文件中逐条列出，未列出的视同响应。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磋商保证金：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b/>
          <w:color w:val="000000"/>
          <w:sz w:val="24"/>
        </w:rPr>
        <w:t xml:space="preserve">þ</w:t>
      </w:r>
      <w:r>
        <w:rPr>
          <w:rFonts w:ascii="Arial" w:hAnsi="Arial" w:eastAsia="Arial" w:cs="Arial"/>
          <w:b/>
          <w:color w:val="000000"/>
          <w:sz w:val="24"/>
        </w:rPr>
        <w:t xml:space="preserve">不需提交，采购文件中有关磋商保证金的规定均不适用。投标（响应）人应在投标（响应）文件中提交《投标（响应）保证承诺书》（详见附件），否则为无效投标。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成交服务费：由成交单位按照预算金额计算并支付，具体为</w:t>
      </w:r>
      <w:r>
        <w:rPr>
          <w:rFonts w:ascii="SimSun" w:hAnsi="SimSun" w:eastAsia="SimSun" w:cs="SimSun"/>
          <w:color w:val="000000"/>
          <w:sz w:val="24"/>
        </w:rPr>
        <w:t xml:space="preserve">100</w:t>
      </w:r>
      <w:r>
        <w:rPr>
          <w:rFonts w:ascii="Arial" w:hAnsi="Arial" w:eastAsia="Arial" w:cs="Arial"/>
          <w:color w:val="000000"/>
          <w:sz w:val="24"/>
        </w:rPr>
        <w:t xml:space="preserve">万元以内</w:t>
      </w:r>
      <w:r>
        <w:rPr>
          <w:rFonts w:ascii="SimSun" w:hAnsi="SimSun" w:eastAsia="SimSun" w:cs="SimSun"/>
          <w:color w:val="000000"/>
          <w:sz w:val="24"/>
        </w:rPr>
        <w:t xml:space="preserve">1.5%</w:t>
      </w:r>
      <w:r>
        <w:rPr>
          <w:rFonts w:ascii="Arial" w:hAnsi="Arial" w:eastAsia="Arial" w:cs="Arial"/>
          <w:color w:val="000000"/>
          <w:sz w:val="24"/>
        </w:rPr>
        <w:t xml:space="preserve">、</w:t>
      </w:r>
      <w:r>
        <w:rPr>
          <w:rFonts w:ascii="SimSun" w:hAnsi="SimSun" w:eastAsia="SimSun" w:cs="SimSun"/>
          <w:color w:val="000000"/>
          <w:sz w:val="24"/>
        </w:rPr>
        <w:t xml:space="preserve">100</w:t>
      </w:r>
      <w:r>
        <w:rPr>
          <w:rFonts w:ascii="Arial" w:hAnsi="Arial" w:eastAsia="Arial" w:cs="Arial"/>
          <w:color w:val="000000"/>
          <w:sz w:val="24"/>
        </w:rPr>
        <w:t xml:space="preserve">万元～</w:t>
      </w:r>
      <w:r>
        <w:rPr>
          <w:rFonts w:ascii="SimSun" w:hAnsi="SimSun" w:eastAsia="SimSun" w:cs="SimSun"/>
          <w:color w:val="000000"/>
          <w:sz w:val="24"/>
        </w:rPr>
        <w:t xml:space="preserve">500</w:t>
      </w:r>
      <w:r>
        <w:rPr>
          <w:rFonts w:ascii="Arial" w:hAnsi="Arial" w:eastAsia="Arial" w:cs="Arial"/>
          <w:color w:val="000000"/>
          <w:sz w:val="24"/>
        </w:rPr>
        <w:t xml:space="preserve">万元以内</w:t>
      </w:r>
      <w:r>
        <w:rPr>
          <w:rFonts w:ascii="SimSun" w:hAnsi="SimSun" w:eastAsia="SimSun" w:cs="SimSun"/>
          <w:color w:val="000000"/>
          <w:sz w:val="24"/>
        </w:rPr>
        <w:t xml:space="preserve">1.1%</w:t>
      </w:r>
      <w:r>
        <w:rPr>
          <w:rFonts w:ascii="Arial" w:hAnsi="Arial" w:eastAsia="Arial" w:cs="Arial"/>
          <w:color w:val="000000"/>
          <w:sz w:val="24"/>
        </w:rPr>
        <w:t xml:space="preserve">差额定率累进法计算并支付成交服务费，该费用应在领取成交通知书时付清。本项目服务费金额为人民币</w:t>
      </w:r>
      <w:r>
        <w:rPr>
          <w:rFonts w:ascii="SimSun" w:hAnsi="SimSun" w:eastAsia="SimSun" w:cs="SimSun"/>
          <w:color w:val="000000"/>
          <w:sz w:val="24"/>
        </w:rPr>
        <w:t xml:space="preserve">25560.00</w:t>
      </w:r>
      <w:r>
        <w:rPr>
          <w:rFonts w:ascii="Arial" w:hAnsi="Arial" w:eastAsia="Arial" w:cs="Arial"/>
          <w:color w:val="000000"/>
          <w:sz w:val="24"/>
        </w:rPr>
        <w:t xml:space="preserve">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服务费交纳账户：苏州顺心源招投标咨询服务有限公司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开户银行：中国建设银行苏州胥口支行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号：3225  0199 7548  0000  0790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注：本项目服务费采购人已考虑在采购预算范围内，由成交单位支付。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磋商说明：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）不符合供应商资格要求的响应文件将被拒绝；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w:t>
      </w:r>
      <w:r>
        <w:rPr>
          <w:rFonts w:ascii="Arial" w:hAnsi="Arial" w:eastAsia="Arial" w:cs="Arial"/>
          <w:b/>
          <w:color w:val="000000"/>
          <w:sz w:val="24"/>
        </w:rPr>
        <w:t xml:space="preserve">机器码检查中，不同供应商使用同一台电脑编制响应文件的，响应文件将被认定为无效响应；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）最终报价超过采购预算或最高限价的，不能成交；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）不实质性响应磋商文件的不能成交；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）参加磋商</w:t>
      </w:r>
      <w:r>
        <w:rPr>
          <w:rFonts w:ascii="SimSun" w:hAnsi="SimSun" w:eastAsia="SimSun" w:cs="SimSun"/>
          <w:color w:val="000000"/>
          <w:sz w:val="24"/>
        </w:rPr>
        <w:t xml:space="preserve">响应</w:t>
      </w:r>
      <w:r>
        <w:rPr>
          <w:rFonts w:ascii="Arial" w:hAnsi="Arial" w:eastAsia="Arial" w:cs="Arial"/>
          <w:color w:val="000000"/>
          <w:sz w:val="24"/>
        </w:rPr>
        <w:t xml:space="preserve">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w:t>
      </w:r>
      <w:r>
        <w:rPr>
          <w:rFonts w:ascii="SimSun" w:hAnsi="SimSun" w:eastAsia="SimSun" w:cs="SimSun"/>
          <w:color w:val="000000"/>
          <w:sz w:val="24"/>
        </w:rPr>
        <w:t xml:space="preserve">，</w:t>
      </w:r>
      <w:r>
        <w:rPr>
          <w:rFonts w:ascii="Arial" w:hAnsi="Arial" w:eastAsia="Arial" w:cs="Arial"/>
          <w:color w:val="000000"/>
          <w:sz w:val="24"/>
        </w:rPr>
        <w:t xml:space="preserve">不得少于</w:t>
      </w:r>
      <w:r>
        <w:rPr>
          <w:rFonts w:ascii="SimSun" w:hAnsi="SimSun" w:eastAsia="SimSun" w:cs="SimSun"/>
          <w:color w:val="000000"/>
          <w:sz w:val="24"/>
        </w:rPr>
        <w:t xml:space="preserve">两家</w:t>
      </w:r>
      <w:r>
        <w:rPr>
          <w:rFonts w:ascii="Arial" w:hAnsi="Arial" w:eastAsia="Arial" w:cs="Arial"/>
          <w:color w:val="000000"/>
          <w:sz w:val="24"/>
        </w:rPr>
        <w:t xml:space="preserve">），磋商采购失败。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）最终合同单价按最终总报价同比例下浮。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b/>
          <w:color w:val="000000"/>
          <w:sz w:val="24"/>
        </w:rPr>
        <w:t xml:space="preserve">联合投标：本项目不接受联合投标。</w:t>
      </w:r>
      <w:r/>
    </w:p>
    <w:p>
      <w:pPr>
        <w:numPr>
          <w:ilvl w:val="0"/>
          <w:numId w:val="11"/>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numPr>
          <w:ilvl w:val="0"/>
          <w:numId w:val="11"/>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numPr>
          <w:ilvl w:val="0"/>
          <w:numId w:val="11"/>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联合体各方共同与采购人签订合同，就采购合同约定的事项对采购人承担连带责任。</w:t>
      </w:r>
      <w:r/>
    </w:p>
    <w:p>
      <w:pPr>
        <w:numPr>
          <w:ilvl w:val="0"/>
          <w:numId w:val="11"/>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除非另有规定或说明，本文中“响应单位”一词亦指联合体各成员。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凡涉及磋商采购文件的补充说明和修改，均以苏州政府采购网上发布的通知为准。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b/>
          <w:color w:val="000000"/>
          <w:sz w:val="24"/>
        </w:rPr>
        <w:t xml:space="preserve">关于对参与供应商信用记录的政府采购要求</w:t>
      </w:r>
      <w:r>
        <w:rPr>
          <w:rFonts w:ascii="Arial" w:hAnsi="Arial" w:eastAsia="Arial" w:cs="Arial"/>
          <w:color w:val="000000"/>
          <w:sz w:val="24"/>
        </w:rPr>
        <w:t xml:space="preserve">：</w:t>
      </w:r>
      <w:r/>
    </w:p>
    <w:p>
      <w:pPr>
        <w:ind w:left="0" w:right="0" w:firstLine="420"/>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）采购代理机构会在接收响应文件截止时间后，登录信用中国网站（</w:t>
      </w:r>
      <w:r>
        <w:rPr>
          <w:rFonts w:ascii="SimSun" w:hAnsi="SimSun" w:eastAsia="SimSun" w:cs="SimSun"/>
          <w:color w:val="000000"/>
          <w:sz w:val="24"/>
        </w:rPr>
        <w:t xml:space="preserve">www.creditchina.gov.cn/</w:t>
      </w:r>
      <w:r>
        <w:rPr>
          <w:rFonts w:ascii="Arial" w:hAnsi="Arial" w:eastAsia="Arial" w:cs="Arial"/>
          <w:color w:val="000000"/>
          <w:sz w:val="24"/>
        </w:rPr>
        <w:t xml:space="preserve">）查询供应商的信用记录，并将查询结果递交评审小组。</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）供应商若在经营活动中受到罚款的，请携带相关地方、部门对较大数额认定标准的证明材料，与响应文件一并提交。若无法提供，则可能承担响应无效等相应不利后果。</w:t>
      </w:r>
      <w:r/>
    </w:p>
    <w:p>
      <w:pPr>
        <w:ind w:left="0" w:right="0" w:firstLine="42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）对存在失信信息的供应商，由失信供应商进行确认。同时，采购代理机构工作人员应根据评审小组确认的失信信息，登录到相关来源网站页面进行复核并打印，作为证据留存。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）按照《中华人民共和国政府采购法》第二十二条规定，下列信用记录属于应依法拒绝供应商参加政府采购的失信信息：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（二）财政部门与法院、工商、税务等部门联合惩戒的失信信息，包括：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）被列入重大税收违法案件当事人名单；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）企业经营异常名录中被责令停产停业、暂扣或者吊销许可证或者执照，或者对经营活动中的违法行为处以较大数额罚款（“较大数额罚款”认定为</w:t>
      </w:r>
      <w:r>
        <w:rPr>
          <w:rFonts w:ascii="SimSun" w:hAnsi="SimSun" w:eastAsia="SimSun" w:cs="SimSun"/>
          <w:color w:val="000000"/>
          <w:sz w:val="24"/>
        </w:rPr>
        <w:t xml:space="preserve">200</w:t>
      </w:r>
      <w:r>
        <w:rPr>
          <w:rFonts w:ascii="Arial" w:hAnsi="Arial" w:eastAsia="Arial" w:cs="Arial"/>
          <w:color w:val="000000"/>
          <w:sz w:val="24"/>
        </w:rPr>
        <w:t xml:space="preserve">万元以上的罚款，法律、行政法规以及国务院有关部门明确规定相关领域“较大数额罚款”标准高于</w:t>
      </w:r>
      <w:r>
        <w:rPr>
          <w:rFonts w:ascii="SimSun" w:hAnsi="SimSun" w:eastAsia="SimSun" w:cs="SimSun"/>
          <w:color w:val="000000"/>
          <w:sz w:val="24"/>
        </w:rPr>
        <w:t xml:space="preserve">200</w:t>
      </w:r>
      <w:r>
        <w:rPr>
          <w:rFonts w:ascii="Arial" w:hAnsi="Arial" w:eastAsia="Arial" w:cs="Arial"/>
          <w:color w:val="000000"/>
          <w:sz w:val="24"/>
        </w:rPr>
        <w:t xml:space="preserve">万元的，从其规定）的信用记录。处罚生效日至递交（响应）文件日未满三年的。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告知成交结果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采购单位或其委托的代理机构根据相关规定发布成交公告</w:t>
      </w:r>
      <w:r>
        <w:rPr>
          <w:rFonts w:ascii="SimSun" w:hAnsi="SimSun" w:eastAsia="SimSun" w:cs="SimSun"/>
          <w:color w:val="000000"/>
          <w:sz w:val="24"/>
        </w:rPr>
        <w:t xml:space="preserve">，在</w:t>
      </w:r>
      <w:r>
        <w:rPr>
          <w:rFonts w:ascii="Arial" w:hAnsi="Arial" w:eastAsia="Arial" w:cs="Arial"/>
          <w:color w:val="000000"/>
          <w:sz w:val="24"/>
        </w:rPr>
        <w:t xml:space="preserve">成交公告发出的同时应当向成交供应商发出《成交通知书》</w:t>
      </w:r>
      <w:r>
        <w:rPr>
          <w:rFonts w:ascii="Arial" w:hAnsi="Arial" w:eastAsia="Arial" w:cs="Arial"/>
          <w:color w:val="000000"/>
          <w:sz w:val="24"/>
          <w:u w:val="none"/>
        </w:rPr>
        <w:t xml:space="preserve">。请成交供应商在成交结果公告届满之日起</w:t>
      </w:r>
      <w:r>
        <w:rPr>
          <w:rFonts w:ascii="SimSun" w:hAnsi="SimSun" w:eastAsia="SimSun" w:cs="SimSun"/>
          <w:color w:val="000000"/>
          <w:sz w:val="24"/>
          <w:u w:val="none"/>
        </w:rPr>
        <w:t xml:space="preserve">30</w:t>
      </w:r>
      <w:r>
        <w:rPr>
          <w:rFonts w:ascii="Arial" w:hAnsi="Arial" w:eastAsia="Arial" w:cs="Arial"/>
          <w:color w:val="000000"/>
          <w:sz w:val="24"/>
          <w:u w:val="none"/>
        </w:rPr>
        <w:t xml:space="preserve">日内</w:t>
      </w:r>
      <w:r>
        <w:rPr>
          <w:rFonts w:ascii="SimSun" w:hAnsi="SimSun" w:eastAsia="SimSun" w:cs="SimSun"/>
          <w:color w:val="000000"/>
          <w:sz w:val="24"/>
        </w:rPr>
        <w:t xml:space="preserve">，</w:t>
      </w:r>
      <w:r>
        <w:rPr>
          <w:rFonts w:ascii="Arial" w:hAnsi="Arial" w:eastAsia="Arial" w:cs="Arial"/>
          <w:color w:val="000000"/>
          <w:sz w:val="24"/>
        </w:rPr>
        <w:t xml:space="preserve">使用</w:t>
      </w:r>
      <w:r>
        <w:rPr>
          <w:rFonts w:ascii="SimSun" w:hAnsi="SimSun" w:eastAsia="SimSun" w:cs="SimSun"/>
          <w:color w:val="000000"/>
          <w:sz w:val="24"/>
        </w:rPr>
        <w:t xml:space="preserve">CA</w:t>
      </w:r>
      <w:r>
        <w:rPr>
          <w:rFonts w:ascii="Arial" w:hAnsi="Arial" w:eastAsia="Arial" w:cs="Arial"/>
          <w:color w:val="000000"/>
          <w:sz w:val="24"/>
        </w:rPr>
        <w:t xml:space="preserve">数字证书登录“苏采云”系统及时下载成交通知书。因系统存储空间有限，自成交结果公告届满之日起</w:t>
      </w:r>
      <w:r>
        <w:rPr>
          <w:rFonts w:ascii="SimSun" w:hAnsi="SimSun" w:eastAsia="SimSun" w:cs="SimSun"/>
          <w:color w:val="000000"/>
          <w:sz w:val="24"/>
        </w:rPr>
        <w:t xml:space="preserve">30</w:t>
      </w:r>
      <w:r>
        <w:rPr>
          <w:rFonts w:ascii="Arial" w:hAnsi="Arial" w:eastAsia="Arial" w:cs="Arial"/>
          <w:color w:val="000000"/>
          <w:sz w:val="24"/>
        </w:rPr>
        <w:t xml:space="preserve">日后，“苏采云”系统不再保证提供下载成交通知书服务</w:t>
      </w:r>
      <w:r>
        <w:rPr>
          <w:rFonts w:ascii="SimSun" w:hAnsi="SimSun" w:eastAsia="SimSun" w:cs="SimSun"/>
          <w:color w:val="000000"/>
          <w:sz w:val="24"/>
        </w:rPr>
        <w:t xml:space="preserve">，</w:t>
      </w:r>
      <w:r>
        <w:rPr>
          <w:rFonts w:ascii="Arial" w:hAnsi="Arial" w:eastAsia="Arial" w:cs="Arial"/>
          <w:color w:val="000000"/>
          <w:sz w:val="24"/>
        </w:rPr>
        <w:t xml:space="preserve">因未及时下载而造成的不利后果由成交供应商自行承担）；对未通过资格审查的供应商，应当告知其未通过的原因；未成交供应商须在成交公告发出之日起</w:t>
      </w:r>
      <w:r>
        <w:rPr>
          <w:rFonts w:ascii="SimSun" w:hAnsi="SimSun" w:eastAsia="SimSun" w:cs="SimSun"/>
          <w:color w:val="000000"/>
          <w:sz w:val="24"/>
        </w:rPr>
        <w:t xml:space="preserve">2</w:t>
      </w:r>
      <w:r>
        <w:rPr>
          <w:rFonts w:ascii="Arial" w:hAnsi="Arial" w:eastAsia="Arial" w:cs="Arial"/>
          <w:color w:val="000000"/>
          <w:sz w:val="24"/>
        </w:rPr>
        <w:t xml:space="preserve">个工作日内向采购代理机构另行提供用以接收《未成交通知书》的电子邮件地址，未按时提供电子邮件地址或提供信息有误的，视为自动放弃并自行承担相应后果。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成交供应商除发生法律规定的不能预见、不能避免并不能克服的客观情况外不得放弃或拒绝签订合同的。放弃或拒绝签订合同的，采购人视情将其通报给财政部门。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Arial" w:hAnsi="Arial" w:eastAsia="Arial" w:cs="Arial"/>
          <w:color w:val="000000"/>
          <w:sz w:val="24"/>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Arial" w:hAnsi="Arial" w:eastAsia="Arial" w:cs="Arial"/>
          <w:color w:val="000000"/>
          <w:sz w:val="24"/>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Arial" w:hAnsi="Arial" w:eastAsia="Arial" w:cs="Arial"/>
          <w:color w:val="000000"/>
          <w:sz w:val="24"/>
        </w:rPr>
        <w:t xml:space="preserve">质疑处理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12.2本次采购文件要求供应商在法定质疑期内一次性提出针对同一采购程序环节的质疑。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12.3供应商提出质疑应当提交质疑函和必要的证明材料，质疑函应当包括下列内容：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（1）供应商的姓名或者名称（以提供的营业执照副本复印件为准）、地址、邮编、联系人及联系电话；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sz w:val="24"/>
        </w:rPr>
        <w:t xml:space="preserve">授权委托书</w:t>
      </w:r>
      <w:r>
        <w:rPr>
          <w:rFonts w:ascii="SimSun" w:hAnsi="SimSun" w:eastAsia="SimSun" w:cs="SimSun"/>
          <w:color w:val="000000"/>
          <w:sz w:val="24"/>
        </w:rPr>
        <w:t xml:space="preserve">上应当载明代理人的姓名或者名称、代理事项、具体权限、期限和相关事项。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根据《政府采购质疑和投诉办法》（财政部第94号令）第十一条规定，提出质疑的供应商应当是参与所质疑项目采购活动的供应商。因此凡是对采购文件提出质疑的供应商，必须依法获取采购文件，请将合法获取采购文件的证明材料（即</w:t>
      </w:r>
      <w:r>
        <w:rPr>
          <w:rFonts w:ascii="SimSun" w:hAnsi="SimSun" w:eastAsia="SimSun" w:cs="SimSun"/>
          <w:b/>
          <w:color w:val="000000"/>
          <w:sz w:val="24"/>
        </w:rPr>
        <w:t xml:space="preserve">《投标供应商确认函》</w:t>
      </w:r>
      <w:r>
        <w:rPr>
          <w:rFonts w:ascii="SimSun" w:hAnsi="SimSun" w:eastAsia="SimSun" w:cs="SimSun"/>
          <w:color w:val="000000"/>
          <w:sz w:val="24"/>
        </w:rPr>
        <w:t xml:space="preserve">）与质疑函一起递交，否则不予受理。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12.5接收质疑函的方式：书面形式（当场送达或邮寄方式）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质疑联系人：赵晓燕、林玉琼、周雨泽轩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联系电话：0512-65980060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现场递交地址：苏州市吴中区木渎镇翠坊南街蓝湾文旅街区13号楼102室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邮寄收取地址：苏州市吴中区木渎镇翠坊南街蓝湾文旅街区13号楼102室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Arial" w:hAnsi="Arial" w:eastAsia="Arial" w:cs="Arial"/>
          <w:color w:val="000000"/>
          <w:sz w:val="24"/>
        </w:rPr>
        <w:t xml:space="preserve">相关政策（如涉及）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）本次招标不接受进口设备的投标，进口产品的定义为：指通过中国海关报关验收进入中国境内且产自境外的产品，具体按照苏财购〔</w:t>
      </w:r>
      <w:r>
        <w:rPr>
          <w:rFonts w:ascii="SimSun" w:hAnsi="SimSun" w:eastAsia="SimSun" w:cs="SimSun"/>
          <w:color w:val="000000"/>
          <w:sz w:val="24"/>
        </w:rPr>
        <w:t xml:space="preserve">2008</w:t>
      </w:r>
      <w:r>
        <w:rPr>
          <w:rFonts w:ascii="Arial" w:hAnsi="Arial" w:eastAsia="Arial" w:cs="Arial"/>
          <w:color w:val="000000"/>
          <w:sz w:val="24"/>
        </w:rPr>
        <w:t xml:space="preserve">〕</w:t>
      </w:r>
      <w:r>
        <w:rPr>
          <w:rFonts w:ascii="SimSun" w:hAnsi="SimSun" w:eastAsia="SimSun" w:cs="SimSun"/>
          <w:color w:val="000000"/>
          <w:sz w:val="24"/>
        </w:rPr>
        <w:t xml:space="preserve">14</w:t>
      </w:r>
      <w:r>
        <w:rPr>
          <w:rFonts w:ascii="Arial" w:hAnsi="Arial" w:eastAsia="Arial" w:cs="Arial"/>
          <w:color w:val="000000"/>
          <w:sz w:val="24"/>
        </w:rPr>
        <w:t xml:space="preserve">号江苏省财政厅转发财政部办公厅关于政府采购进口产品管理有关问题的通知的规定。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）小、微企业</w:t>
      </w:r>
      <w:r>
        <w:rPr>
          <w:rFonts w:ascii="Arial" w:hAnsi="Arial" w:eastAsia="Arial" w:cs="Arial"/>
          <w:b/>
          <w:color w:val="000000"/>
          <w:sz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根据《政府采购促进中小企业发展管理办法》（财库〔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46</w:t>
      </w:r>
      <w:r>
        <w:rPr>
          <w:rFonts w:ascii="Arial" w:hAnsi="Arial" w:eastAsia="Arial" w:cs="Arial"/>
          <w:color w:val="000000"/>
          <w:sz w:val="24"/>
        </w:rPr>
        <w:t xml:space="preserve">号）、《关于做好政府采购支持企业发展有关事项的通知》（苏财购〔</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52</w:t>
      </w:r>
      <w:r>
        <w:rPr>
          <w:rFonts w:ascii="Arial" w:hAnsi="Arial" w:eastAsia="Arial" w:cs="Arial"/>
          <w:color w:val="000000"/>
          <w:sz w:val="24"/>
        </w:rPr>
        <w:t xml:space="preserve">号）及《关于印发</w:t>
      </w:r>
      <w:r>
        <w:rPr>
          <w:rFonts w:ascii="SimSun" w:hAnsi="SimSun" w:eastAsia="SimSun" w:cs="SimSun"/>
          <w:color w:val="000000"/>
          <w:sz w:val="24"/>
        </w:rPr>
        <w:t xml:space="preserve">〈</w:t>
      </w:r>
      <w:r>
        <w:rPr>
          <w:rFonts w:ascii="Arial" w:hAnsi="Arial" w:eastAsia="Arial" w:cs="Arial"/>
          <w:color w:val="000000"/>
          <w:sz w:val="24"/>
        </w:rPr>
        <w:t xml:space="preserve">苏州市政府采购促进中小企业发展实施意见</w:t>
      </w:r>
      <w:r>
        <w:rPr>
          <w:rFonts w:ascii="SimSun" w:hAnsi="SimSun" w:eastAsia="SimSun" w:cs="SimSun"/>
          <w:color w:val="000000"/>
          <w:sz w:val="24"/>
        </w:rPr>
        <w:t xml:space="preserve">〉的通知》</w:t>
      </w:r>
      <w:r>
        <w:rPr>
          <w:rFonts w:ascii="Arial" w:hAnsi="Arial" w:eastAsia="Arial" w:cs="Arial"/>
          <w:color w:val="000000"/>
          <w:sz w:val="24"/>
        </w:rPr>
        <w:t xml:space="preserve">（苏财购〔</w:t>
      </w:r>
      <w:r>
        <w:rPr>
          <w:rFonts w:ascii="SimSun" w:hAnsi="SimSun" w:eastAsia="SimSun" w:cs="SimSun"/>
          <w:color w:val="000000"/>
          <w:sz w:val="24"/>
        </w:rPr>
        <w:t xml:space="preserve">2022</w:t>
      </w:r>
      <w:r>
        <w:rPr>
          <w:rFonts w:ascii="Arial" w:hAnsi="Arial" w:eastAsia="Arial" w:cs="Arial"/>
          <w:color w:val="000000"/>
          <w:sz w:val="24"/>
        </w:rPr>
        <w:t xml:space="preserve">〕</w:t>
      </w:r>
      <w:r>
        <w:rPr>
          <w:rFonts w:ascii="SimSun" w:hAnsi="SimSun" w:eastAsia="SimSun" w:cs="SimSun"/>
          <w:color w:val="000000"/>
          <w:sz w:val="24"/>
        </w:rPr>
        <w:t xml:space="preserve">16</w:t>
      </w:r>
      <w:r>
        <w:rPr>
          <w:rFonts w:ascii="Arial" w:hAnsi="Arial" w:eastAsia="Arial" w:cs="Arial"/>
          <w:color w:val="000000"/>
          <w:sz w:val="24"/>
        </w:rPr>
        <w:t xml:space="preserve">号）的相关规定，如供应商认定本企业提供的货物、工程或服务符合上述文件规定情形，可以享受中小企业扶持政策的，则需根据《中小企业划型标准规定》（工信部联企业〔</w:t>
      </w:r>
      <w:r>
        <w:rPr>
          <w:rFonts w:ascii="SimSun" w:hAnsi="SimSun" w:eastAsia="SimSun" w:cs="SimSun"/>
          <w:color w:val="000000"/>
          <w:sz w:val="24"/>
        </w:rPr>
        <w:t xml:space="preserve">2011</w:t>
      </w:r>
      <w:r>
        <w:rPr>
          <w:rFonts w:ascii="Arial" w:hAnsi="Arial" w:eastAsia="Arial" w:cs="Arial"/>
          <w:color w:val="000000"/>
          <w:sz w:val="24"/>
        </w:rPr>
        <w:t xml:space="preserve">〕</w:t>
      </w:r>
      <w:r>
        <w:rPr>
          <w:rFonts w:ascii="SimSun" w:hAnsi="SimSun" w:eastAsia="SimSun" w:cs="SimSun"/>
          <w:color w:val="000000"/>
          <w:sz w:val="24"/>
        </w:rPr>
        <w:t xml:space="preserve">300</w:t>
      </w:r>
      <w:r>
        <w:rPr>
          <w:rFonts w:ascii="Arial" w:hAnsi="Arial" w:eastAsia="Arial" w:cs="Arial"/>
          <w:color w:val="000000"/>
          <w:sz w:val="24"/>
        </w:rPr>
        <w:t xml:space="preserve">号）提交《中小企业声明函》并加盖公章，其投标报价扣除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w:t>
      </w:r>
      <w:r>
        <w:rPr>
          <w:rFonts w:ascii="Arial" w:hAnsi="Arial" w:eastAsia="Arial" w:cs="Arial"/>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Arial" w:hAnsi="Arial" w:eastAsia="Arial" w:cs="Arial"/>
          <w:b/>
          <w:color w:val="000000"/>
          <w:sz w:val="24"/>
        </w:rPr>
        <w:t xml:space="preserve">服务类项目中供应商若使用退休人员，将不享受相关扶持政策。</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根据《政府采购促进中小企业发展管理办法》（财库〔</w:t>
      </w:r>
      <w:r>
        <w:rPr>
          <w:rFonts w:ascii="SimSun" w:hAnsi="SimSun" w:eastAsia="SimSun" w:cs="SimSun"/>
          <w:b/>
          <w:color w:val="000000"/>
          <w:sz w:val="24"/>
        </w:rPr>
        <w:t xml:space="preserve">2020</w:t>
      </w:r>
      <w:r>
        <w:rPr>
          <w:rFonts w:ascii="Arial" w:hAnsi="Arial" w:eastAsia="Arial" w:cs="Arial"/>
          <w:b/>
          <w:color w:val="000000"/>
          <w:sz w:val="24"/>
        </w:rPr>
        <w:t xml:space="preserve">〕</w:t>
      </w:r>
      <w:r>
        <w:rPr>
          <w:rFonts w:ascii="SimSun" w:hAnsi="SimSun" w:eastAsia="SimSun" w:cs="SimSun"/>
          <w:b/>
          <w:color w:val="000000"/>
          <w:sz w:val="24"/>
        </w:rPr>
        <w:t xml:space="preserve">46</w:t>
      </w:r>
      <w:r>
        <w:rPr>
          <w:rFonts w:ascii="Arial" w:hAnsi="Arial" w:eastAsia="Arial" w:cs="Arial"/>
          <w:b/>
          <w:color w:val="000000"/>
          <w:sz w:val="24"/>
        </w:rPr>
        <w:t xml:space="preserve">号）及《中小企业划型标准规定》（工信部联企业〔</w:t>
      </w:r>
      <w:r>
        <w:rPr>
          <w:rFonts w:ascii="SimSun" w:hAnsi="SimSun" w:eastAsia="SimSun" w:cs="SimSun"/>
          <w:b/>
          <w:color w:val="000000"/>
          <w:sz w:val="24"/>
        </w:rPr>
        <w:t xml:space="preserve">2011</w:t>
      </w:r>
      <w:r>
        <w:rPr>
          <w:rFonts w:ascii="Arial" w:hAnsi="Arial" w:eastAsia="Arial" w:cs="Arial"/>
          <w:b/>
          <w:color w:val="000000"/>
          <w:sz w:val="24"/>
        </w:rPr>
        <w:t xml:space="preserve">〕</w:t>
      </w:r>
      <w:r>
        <w:rPr>
          <w:rFonts w:ascii="SimSun" w:hAnsi="SimSun" w:eastAsia="SimSun" w:cs="SimSun"/>
          <w:b/>
          <w:color w:val="000000"/>
          <w:sz w:val="24"/>
        </w:rPr>
        <w:t xml:space="preserve">300</w:t>
      </w:r>
      <w:r>
        <w:rPr>
          <w:rFonts w:ascii="Arial" w:hAnsi="Arial" w:eastAsia="Arial" w:cs="Arial"/>
          <w:b/>
          <w:color w:val="000000"/>
          <w:sz w:val="24"/>
        </w:rPr>
        <w:t xml:space="preserve">号），本采购项目对应的中小企业划分标准所属行业为：</w:t>
      </w:r>
      <w:r>
        <w:rPr>
          <w:rFonts w:ascii="SimSun" w:hAnsi="SimSun" w:eastAsia="SimSun" w:cs="SimSun"/>
          <w:color w:val="000000"/>
          <w:sz w:val="24"/>
        </w:rPr>
        <w:t xml:space="preserve">租赁和商务服务业</w:t>
      </w:r>
      <w:r>
        <w:rPr>
          <w:rFonts w:ascii="Arial" w:hAnsi="Arial" w:eastAsia="Arial" w:cs="Arial"/>
          <w:b/>
          <w:color w:val="000000"/>
          <w:sz w:val="24"/>
        </w:rPr>
        <w:t xml:space="preserve">。</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）残疾人福利性单位</w:t>
      </w:r>
      <w:r>
        <w:rPr>
          <w:rFonts w:ascii="Arial" w:hAnsi="Arial" w:eastAsia="Arial" w:cs="Arial"/>
          <w:b/>
          <w:color w:val="000000"/>
          <w:sz w:val="24"/>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根据《关于促进残疾人就业政府采购政策的通知》（财库〔</w:t>
      </w:r>
      <w:r>
        <w:rPr>
          <w:rFonts w:ascii="SimSun" w:hAnsi="SimSun" w:eastAsia="SimSun" w:cs="SimSun"/>
          <w:color w:val="000000"/>
          <w:sz w:val="24"/>
        </w:rPr>
        <w:t xml:space="preserve">2017</w:t>
      </w:r>
      <w:r>
        <w:rPr>
          <w:rFonts w:ascii="Arial" w:hAnsi="Arial" w:eastAsia="Arial" w:cs="Arial"/>
          <w:color w:val="000000"/>
          <w:sz w:val="24"/>
        </w:rPr>
        <w:t xml:space="preserve">〕</w:t>
      </w:r>
      <w:r>
        <w:rPr>
          <w:rFonts w:ascii="SimSun" w:hAnsi="SimSun" w:eastAsia="SimSun" w:cs="SimSun"/>
          <w:color w:val="000000"/>
          <w:sz w:val="24"/>
        </w:rPr>
        <w:t xml:space="preserve">141</w:t>
      </w:r>
      <w:r>
        <w:rPr>
          <w:rFonts w:ascii="Arial" w:hAnsi="Arial" w:eastAsia="Arial" w:cs="Arial"/>
          <w:color w:val="000000"/>
          <w:sz w:val="24"/>
        </w:rPr>
        <w:t xml:space="preserve">号）的相关规定，在政府采购活动中残疾人福利性单位视同小型、微型企业，享受预留份额、评审中价格扣除（其投标报价扣除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）监狱企业</w:t>
      </w:r>
      <w:r>
        <w:rPr>
          <w:rFonts w:ascii="Arial" w:hAnsi="Arial" w:eastAsia="Arial" w:cs="Arial"/>
          <w:b/>
          <w:color w:val="000000"/>
          <w:sz w:val="24"/>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根据《关于政府采购支持监狱企业发展有关问题的通知》（财库〔</w:t>
      </w:r>
      <w:r>
        <w:rPr>
          <w:rFonts w:ascii="SimSun" w:hAnsi="SimSun" w:eastAsia="SimSun" w:cs="SimSun"/>
          <w:color w:val="000000"/>
          <w:sz w:val="24"/>
        </w:rPr>
        <w:t xml:space="preserve">2014</w:t>
      </w:r>
      <w:r>
        <w:rPr>
          <w:rFonts w:ascii="Arial" w:hAnsi="Arial" w:eastAsia="Arial" w:cs="Arial"/>
          <w:color w:val="000000"/>
          <w:sz w:val="24"/>
        </w:rPr>
        <w:t xml:space="preserve">〕</w:t>
      </w:r>
      <w:r>
        <w:rPr>
          <w:rFonts w:ascii="SimSun" w:hAnsi="SimSun" w:eastAsia="SimSun" w:cs="SimSun"/>
          <w:color w:val="000000"/>
          <w:sz w:val="24"/>
        </w:rPr>
        <w:t xml:space="preserve">68</w:t>
      </w:r>
      <w:r>
        <w:rPr>
          <w:rFonts w:ascii="Arial" w:hAnsi="Arial" w:eastAsia="Arial" w:cs="Arial"/>
          <w:color w:val="000000"/>
          <w:sz w:val="24"/>
        </w:rPr>
        <w:t xml:space="preserve">号）的相关规定，在政府采购活动中，监狱企业视同小型、微型企业，享受预留份额、评审中价格扣除（其投标报价扣除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）绿色采购</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）根据《关于调整优化节能产品、环境标志产品政府采购执行机制的通知》（财库〔</w:t>
      </w:r>
      <w:r>
        <w:rPr>
          <w:rFonts w:ascii="SimSun" w:hAnsi="SimSun" w:eastAsia="SimSun" w:cs="SimSun"/>
          <w:color w:val="000000"/>
          <w:sz w:val="24"/>
        </w:rPr>
        <w:t xml:space="preserve">2019</w:t>
      </w:r>
      <w:r>
        <w:rPr>
          <w:rFonts w:ascii="Arial" w:hAnsi="Arial" w:eastAsia="Arial" w:cs="Arial"/>
          <w:color w:val="000000"/>
          <w:sz w:val="24"/>
        </w:rPr>
        <w:t xml:space="preserve">〕</w:t>
      </w:r>
      <w:r>
        <w:rPr>
          <w:rFonts w:ascii="SimSun" w:hAnsi="SimSun" w:eastAsia="SimSun" w:cs="SimSun"/>
          <w:color w:val="000000"/>
          <w:sz w:val="24"/>
        </w:rPr>
        <w:t xml:space="preserve">9</w:t>
      </w:r>
      <w:r>
        <w:rPr>
          <w:rFonts w:ascii="Arial" w:hAnsi="Arial" w:eastAsia="Arial" w:cs="Arial"/>
          <w:color w:val="000000"/>
          <w:sz w:val="24"/>
        </w:rPr>
        <w:t xml:space="preserve">号）等相关文件的规定，</w:t>
      </w:r>
      <w:r>
        <w:rPr>
          <w:rFonts w:ascii="Arial" w:hAnsi="Arial" w:eastAsia="Arial" w:cs="Arial"/>
          <w:b/>
          <w:color w:val="000000"/>
          <w:sz w:val="24"/>
        </w:rPr>
        <w:t xml:space="preserve">对属于《节能产品政府采购品目清单》中强制采购范围内产品的，供应商须提供由国家确定的认证机构出具的、处于有效期之内的节能产品认证证书，上述品目清单可通过“中国政府采购网”（</w:t>
      </w:r>
      <w:r>
        <w:rPr>
          <w:rFonts w:ascii="SimSun" w:hAnsi="SimSun" w:eastAsia="SimSun" w:cs="SimSun"/>
          <w:b/>
          <w:color w:val="000000"/>
          <w:sz w:val="24"/>
        </w:rPr>
        <w:t xml:space="preserve">http://www.ccgp.gov.cn</w:t>
      </w:r>
      <w:r>
        <w:rPr>
          <w:rFonts w:ascii="Arial" w:hAnsi="Arial" w:eastAsia="Arial" w:cs="Arial"/>
          <w:b/>
          <w:color w:val="000000"/>
          <w:sz w:val="24"/>
        </w:rPr>
        <w:t xml:space="preserve">）查询</w:t>
      </w:r>
      <w:r>
        <w:rPr>
          <w:rFonts w:ascii="SimSun" w:hAnsi="SimSun" w:eastAsia="SimSun" w:cs="SimSun"/>
          <w:b/>
          <w:color w:val="000000"/>
          <w:sz w:val="24"/>
        </w:rPr>
        <w:t xml:space="preserve">，</w:t>
      </w:r>
      <w:r>
        <w:rPr>
          <w:rFonts w:ascii="Arial" w:hAnsi="Arial" w:eastAsia="Arial" w:cs="Arial"/>
          <w:b/>
          <w:color w:val="000000"/>
          <w:sz w:val="24"/>
        </w:rPr>
        <w:t xml:space="preserve">并在响应文件中提供由国家确定的认证机构出具的、处于有效期之内的节能产品认证证书复印件，否则视为未实质性响应。</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）为加快数据中心绿色转型，根据财政部、生态环境部、工业和信息化部关于印发《绿色数据中心政府采购需求标准（试行）》的通知（财库〔</w:t>
      </w:r>
      <w:r>
        <w:rPr>
          <w:rFonts w:ascii="SimSun" w:hAnsi="SimSun" w:eastAsia="SimSun" w:cs="SimSun"/>
          <w:color w:val="000000"/>
          <w:sz w:val="24"/>
        </w:rPr>
        <w:t xml:space="preserve">2023</w:t>
      </w:r>
      <w:r>
        <w:rPr>
          <w:rFonts w:ascii="Arial" w:hAnsi="Arial" w:eastAsia="Arial" w:cs="Arial"/>
          <w:color w:val="000000"/>
          <w:sz w:val="24"/>
        </w:rPr>
        <w:t xml:space="preserve">〕</w:t>
      </w:r>
      <w:r>
        <w:rPr>
          <w:rFonts w:ascii="SimSun" w:hAnsi="SimSun" w:eastAsia="SimSun" w:cs="SimSun"/>
          <w:color w:val="000000"/>
          <w:sz w:val="24"/>
        </w:rPr>
        <w:t xml:space="preserve">7</w:t>
      </w:r>
      <w:r>
        <w:rPr>
          <w:rFonts w:ascii="Arial" w:hAnsi="Arial" w:eastAsia="Arial" w:cs="Arial"/>
          <w:color w:val="000000"/>
          <w:sz w:val="24"/>
        </w:rPr>
        <w:t xml:space="preserve">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）为助力打好污染防治攻坚战，推广使用绿色包装，根据财政部办公厅、生态环境部办公厅、国家邮政局办公室关于印发《商品包装政府采购需求标准（试行）</w:t>
      </w:r>
      <w:r>
        <w:rPr>
          <w:rFonts w:ascii="SimSun" w:hAnsi="SimSun" w:eastAsia="SimSun" w:cs="SimSun"/>
          <w:color w:val="000000"/>
          <w:sz w:val="24"/>
        </w:rPr>
        <w:t xml:space="preserve">》《</w:t>
      </w:r>
      <w:r>
        <w:rPr>
          <w:rFonts w:ascii="Arial" w:hAnsi="Arial" w:eastAsia="Arial" w:cs="Arial"/>
          <w:color w:val="000000"/>
          <w:sz w:val="24"/>
        </w:rPr>
        <w:t xml:space="preserve">快递包装政府采购需求标准（试行）》的通知（财办库〔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123 </w:t>
      </w:r>
      <w:r>
        <w:rPr>
          <w:rFonts w:ascii="Arial" w:hAnsi="Arial" w:eastAsia="Arial" w:cs="Arial"/>
          <w:color w:val="000000"/>
          <w:sz w:val="24"/>
        </w:rPr>
        <w:t xml:space="preserve">号文）文件规定，供应商提供产品及相关快递服务的包装应符合标准要求。</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）政府采购中实施本国产品标准及相关政策（如涉及）</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rPr>
          <w:rFonts w:ascii="Arial" w:hAnsi="Arial" w:eastAsia="Arial" w:cs="Arial"/>
          <w:color w:val="000000"/>
          <w:sz w:val="24"/>
        </w:rPr>
        <w:t xml:space="preserve">本项目对采购本国产品给予政策支持：</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）本项目政府采购活动中既有本国产品又有非本国产品参与竞争的，依法对本国产品给予价格评审优惠，对本国产品的报价给予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rPr>
        <w:t xml:space="preserve">80%</w:t>
      </w:r>
      <w:r>
        <w:rPr>
          <w:rFonts w:ascii="Arial" w:hAnsi="Arial" w:eastAsia="Arial" w:cs="Arial"/>
          <w:color w:val="000000"/>
          <w:sz w:val="24"/>
        </w:rPr>
        <w:t xml:space="preserve">以上时（供应商需在“投标文件格式”的“附件：投标分项报价表”中填写比例数值），依法对该供应商提供的全部产品给予价格评审优惠，即对该供应商提供的全部产品的总报价给予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的价格扣除，用扣除后的价格参与评审。供应商未填写比例数值，或比例数值未达到</w:t>
      </w:r>
      <w:r>
        <w:rPr>
          <w:rFonts w:ascii="SimSun" w:hAnsi="SimSun" w:eastAsia="SimSun" w:cs="SimSun"/>
          <w:color w:val="000000"/>
          <w:sz w:val="24"/>
        </w:rPr>
        <w:t xml:space="preserve">80%</w:t>
      </w:r>
      <w:r>
        <w:rPr>
          <w:rFonts w:ascii="Arial" w:hAnsi="Arial" w:eastAsia="Arial" w:cs="Arial"/>
          <w:color w:val="000000"/>
          <w:sz w:val="24"/>
        </w:rPr>
        <w:t xml:space="preserve">的，将不享受本国产品价格评审优惠。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SimSun" w:hAnsi="SimSun" w:eastAsia="SimSun" w:cs="SimSun"/>
          <w:color w:val="000000"/>
          <w:sz w:val="24"/>
        </w:rPr>
        <w:t xml:space="preserve">2025</w:t>
      </w:r>
      <w:r>
        <w:rPr>
          <w:rFonts w:ascii="Arial" w:hAnsi="Arial" w:eastAsia="Arial" w:cs="Arial"/>
          <w:color w:val="000000"/>
          <w:sz w:val="24"/>
        </w:rPr>
        <w:t xml:space="preserve">〕</w:t>
      </w:r>
      <w:r>
        <w:rPr>
          <w:rFonts w:ascii="SimSun" w:hAnsi="SimSun" w:eastAsia="SimSun" w:cs="SimSun"/>
          <w:color w:val="000000"/>
          <w:sz w:val="24"/>
        </w:rPr>
        <w:t xml:space="preserve">34</w:t>
      </w:r>
      <w:r>
        <w:rPr>
          <w:rFonts w:ascii="Arial" w:hAnsi="Arial" w:eastAsia="Arial" w:cs="Arial"/>
          <w:color w:val="000000"/>
          <w:sz w:val="24"/>
        </w:rPr>
        <w:t xml:space="preserve">号）和招标文件规定的，供应商提供的相关产品视为不符合本国产品标准。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Arial" w:hAnsi="Arial" w:eastAsia="Arial" w:cs="Arial"/>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rPr>
          <w:rFonts w:ascii="Arial" w:hAnsi="Arial" w:eastAsia="Arial" w:cs="Arial"/>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14.项目的终止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出现下列情形之一的，将终止竞争性磋商采购活动：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（3）在采购活动中因重大变故，采购任务取消的。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w:t>
      </w:r>
      <w:r>
        <w:rPr>
          <w:rFonts w:ascii="Arial" w:hAnsi="Arial" w:eastAsia="Arial" w:cs="Arial"/>
          <w:b/>
          <w:color w:val="000000"/>
          <w:sz w:val="24"/>
        </w:rPr>
        <w:t xml:space="preserve">导致无效投标因素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投标人（响应单位）存在下列情况之一的，投标无效：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）投标（响应）文件未按招标（采购）文件要求签署、盖章的；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）不具备招标（采购）文件中规定的资格要求的；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）报价超过招标（采购）文件中规定的预算金额（总预算和单项预算）或者最高限价的；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）投标（响应）文件含有采购单位不能接受的附加条件的；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）不同投标（响应）文件制作机器码一致的；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w:t>
      </w:r>
      <w:r>
        <w:rPr>
          <w:rFonts w:ascii="SimSun" w:hAnsi="SimSun" w:eastAsia="SimSun" w:cs="SimSun"/>
          <w:color w:val="000000"/>
          <w:sz w:val="24"/>
        </w:rPr>
        <w:t xml:space="preserve">法律法规</w:t>
      </w:r>
      <w:r>
        <w:rPr>
          <w:rFonts w:ascii="Arial" w:hAnsi="Arial" w:eastAsia="Arial" w:cs="Arial"/>
          <w:color w:val="000000"/>
          <w:sz w:val="24"/>
        </w:rPr>
        <w:t xml:space="preserve">和招标（采购）文件规定的其他无效情形。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964"/>
        <w:jc w:val="center"/>
        <w:spacing w:before="75" w:after="75"/>
        <w:tabs>
          <w:tab w:val="left" w:pos="14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三、评审方法及评分标准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本次招标评标方法为综合评分法，即在</w:t>
      </w:r>
      <w:r>
        <w:rPr>
          <w:rFonts w:ascii="Arial" w:hAnsi="Arial" w:eastAsia="Arial" w:cs="Arial"/>
          <w:color w:val="000000"/>
          <w:sz w:val="24"/>
        </w:rPr>
        <w:t xml:space="preserve">最大限度地</w:t>
      </w:r>
      <w:r>
        <w:rPr>
          <w:rFonts w:ascii="Arial" w:hAnsi="Arial" w:eastAsia="Arial" w:cs="Arial"/>
          <w:color w:val="000000"/>
          <w:sz w:val="24"/>
          <w:highlight w:val="white"/>
        </w:rPr>
        <w:t xml:space="preserve">满足采购文件实质性要求前提下，按照采购文件中规定的评分标准和各项因素进行综合评审后，</w:t>
      </w:r>
      <w:r>
        <w:rPr>
          <w:rFonts w:ascii="Arial" w:hAnsi="Arial" w:eastAsia="Arial" w:cs="Arial"/>
          <w:color w:val="000000"/>
          <w:sz w:val="24"/>
        </w:rPr>
        <w:t xml:space="preserve">由综合评分得分最高的磋商响应单位为成交候选单位。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rFonts w:ascii="Arial" w:hAnsi="Arial" w:eastAsia="Arial" w:cs="Arial"/>
          <w:color w:val="000000"/>
          <w:sz w:val="24"/>
          <w:highlight w:val="white"/>
        </w:rPr>
        <w:t xml:space="preserve">评标委员会认为投标单位的报价明显低于其他通过符合性审查投标单位的报价，有可能影响产品质量或者不能诚信履约的，应当要求其在</w:t>
      </w:r>
      <w:r>
        <w:rPr>
          <w:rFonts w:ascii="Arial" w:hAnsi="Arial" w:eastAsia="Arial" w:cs="Arial"/>
          <w:color w:val="000000"/>
          <w:sz w:val="24"/>
        </w:rPr>
        <w:t xml:space="preserve">苏采云系统</w:t>
      </w:r>
      <w:r>
        <w:rPr>
          <w:rFonts w:ascii="Arial" w:hAnsi="Arial" w:eastAsia="Arial" w:cs="Arial"/>
          <w:color w:val="000000"/>
          <w:sz w:val="24"/>
          <w:highlight w:val="white"/>
        </w:rPr>
        <w:t xml:space="preserve">内提供书面说明，必要时提交相关证明材料；投标单位不能证明其报价合理性的，评标委员会应当将其作为无效投标处理。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注：强化政府采购异常低价审查：政府采购评审中出现下列情形之一的，评审委员会应当启动异常低价投标（响应）审查程序：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（3）投标（响应）报价低于采购项目最高限价45%的，即投标（响应）报价〈采购项目最高限价*45%；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有出现以上情形之一的，依照（财库〔2026〕2号）文件相关规定执行。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、评分标准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（一）价格基准分：10分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1、第一步：磋商报价低于或等于各分项最高限价的，为有效磋商报价。报价超过最高限价为无效磋商报价。无效磋商报价的磋商响应文件不进行评审，也不得成交。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2、第二步：在所有有效磋商报价中满足采购文件要求，且经磋商后最终总评审价格最低的磋商报价为评标基准价，其价格分为10分，其他磋商供应商的价格分按照下列公式计算（计算结果四舍五入保留两位小数）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3、磋商总报价得分＝（评标基准价/磋商总报价）×10%×100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（二）综合管理服务方案：（70分）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1.针对本项目的实际情况进行分析，形成分析报告：7分。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分析报告完整、精准、科学、合理、全面的，得7分。分析报告较完整、准确、科学、合理的，得4分。分析报告完整性、科学性、合理性一般的，得1分。无此项内容，则不得分。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2.项目实施方案：7分。</w:t>
      </w:r>
      <w:r/>
    </w:p>
    <w:p>
      <w:pPr>
        <w:ind w:left="0" w:right="0" w:firstLine="480"/>
        <w:jc w:val="both"/>
        <w:spacing w:before="0" w:after="0" w:line="85" w:lineRule="atLeast"/>
        <w:tabs>
          <w:tab w:val="left" w:pos="567" w:leader="none"/>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方案完整、精准、科学、合理、全面的，得7分。方案较完整、准确、科学、合理的，得4分。方案完整性、科学性、合理性一般的，得1分。无此项内容，则不得分。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3.项目组人员配备及岗位职责方案：7分。</w:t>
      </w:r>
      <w:r/>
    </w:p>
    <w:p>
      <w:pPr>
        <w:ind w:left="0" w:right="0" w:firstLine="480"/>
        <w:jc w:val="both"/>
        <w:spacing w:before="0" w:after="0" w:line="85" w:lineRule="atLeast"/>
        <w:tabs>
          <w:tab w:val="left" w:pos="567" w:leader="none"/>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方案完整、精准、科学、合理、全面的，得7分。方案较完整、准确、科学、合理的，得4分。方案完整性、科学性、合理性一般的，得1分。无此项内容，则不得分。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4.服务质量保证措施：7分。</w:t>
      </w:r>
      <w:r/>
    </w:p>
    <w:p>
      <w:pPr>
        <w:ind w:left="0" w:right="0" w:firstLine="480"/>
        <w:jc w:val="both"/>
        <w:spacing w:before="0" w:after="0" w:line="85" w:lineRule="atLeast"/>
        <w:tabs>
          <w:tab w:val="left" w:pos="567" w:leader="none"/>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措施完整、精准、科学、合理、全面的，得7分。措施较完整、准确、科学、合理的，得4分。方案完整性、科学性、合理性一般的，得1分。无此项内容，则不得分。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5.与相关部门机构协调配合方案：7分。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方案完整、精准、科学、合理、全面的，得7分。方案较完整、准确、科学、合理的，得4分。方案完整性、科学性、合理性一般的，得1分。无此项内容，则不得分。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6.工作计划方案：7分。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方案完整、精准、科学、合理、全面的，得7分。方案较完整、准确、科学、合理的，得4分。方案完整性、科学性、合理性一般的，得1分。无此项内容，则不得分。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7.财务管理服务项目思路：7分。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思路条理清晰的，得7分，服务思路较清晰的，得4分，服务思路有轻微不足的，得1分，无此项内容，则不得分。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8.服务推进时间安排方案：7分。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方案完整、精准、科学、合理、全面的，得7分。方案较完整、准确、科学、合理的，得4分。方案完整性、科学性、合理性一般的，得1分。无此项内容，则不得分。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9.响应单位内部人员管理制度、质量控制制度、档案管理制度全面、完整、规范，最高7分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架构清晰、职责划分明确，分工科学、合理的，得7分；内部架构清晰、职责划分明确，分工缺乏合理性的，得4分；内部架构简单，职责划分含糊，分工不够科学，缺乏合理性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10.制定内部考核制度：7分。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考核制度保证措施、组织方案科学合理的，得7分；考核制度保证措施、组织方案一般的，得4分；考核制度保证措施、组织方案简单的，得1分；无此项内容，则不得分。</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磋商响应单位的履约能力（20分）</w:t>
        <w:br/>
        <w:t xml:space="preserve">   </w:t>
      </w:r>
      <w:r>
        <w:rPr>
          <w:rFonts w:ascii="SimSun" w:hAnsi="SimSun" w:eastAsia="SimSun" w:cs="SimSun"/>
          <w:color w:val="000000"/>
          <w:sz w:val="24"/>
        </w:rPr>
        <w:t xml:space="preserve">1、项目负责人具备注册会计师或税务师证书的得5分。（须提供相应职业资格证书扫描件以及响应单位为其缴纳的最近一期社保证明材料。）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2.响应单位内可调配的具备中级及以上会计师职称或注册会计师人员，每有1人得1分，最高得6分。（须提供相应职业资格证书扫描件以及响应单位为其缴纳的最近一期社保证明材料。）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3.响应单位自2023年10月1日以来（以合同签订日期为准）具有与本项目相关类似业绩的，有一个得 3分，最高得9分。（需提供合同扫描件）</w:t>
      </w:r>
      <w:r/>
    </w:p>
    <w:p>
      <w:pPr>
        <w:ind w:left="0" w:right="0" w:firstLine="0"/>
        <w:jc w:val="center"/>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四、合同主要条款及格式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甲方（采购人）：</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乙方（成交供应商）：</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根据《中华人民共和国政府采购法》《中华人民共和国民法典》等相关法律法规的规定，苏州顺心源招投标咨询服务有限公司采购编号</w:t>
      </w:r>
      <w:r>
        <w:rPr>
          <w:rFonts w:ascii="SimSun" w:hAnsi="SimSun" w:eastAsia="SimSun" w:cs="SimSun"/>
          <w:b/>
          <w:color w:val="000000"/>
          <w:sz w:val="24"/>
          <w:u w:val="single"/>
        </w:rPr>
        <w:t xml:space="preserve">JSZC-320506-SXYZ-C2026-0003</w:t>
      </w:r>
      <w:r>
        <w:rPr>
          <w:rFonts w:ascii="SimSun" w:hAnsi="SimSun" w:eastAsia="SimSun" w:cs="SimSun"/>
          <w:color w:val="000000"/>
          <w:sz w:val="24"/>
        </w:rPr>
        <w:t xml:space="preserve">号竞争性磋商文件及该文件的响应文件和成交通知书，甲乙双方就此次成交的</w:t>
      </w:r>
      <w:r>
        <w:rPr>
          <w:rFonts w:ascii="SimSun" w:hAnsi="SimSun" w:eastAsia="SimSun" w:cs="SimSun"/>
          <w:b/>
          <w:color w:val="000000"/>
          <w:sz w:val="24"/>
          <w:u w:val="single"/>
        </w:rPr>
        <w:t xml:space="preserve">吴中区木渎镇村级财务第三方代理记账项目</w:t>
      </w:r>
      <w:r>
        <w:rPr>
          <w:rFonts w:ascii="SimSun" w:hAnsi="SimSun" w:eastAsia="SimSun" w:cs="SimSun"/>
          <w:color w:val="000000"/>
          <w:sz w:val="24"/>
        </w:rPr>
        <w:t xml:space="preserve">（以下简称“本项目”）相关事宜，签订本合同书，以资共同遵守。</w:t>
      </w:r>
      <w:r/>
    </w:p>
    <w:p>
      <w:p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b/>
          <w:color w:val="000000"/>
          <w:sz w:val="24"/>
        </w:rPr>
        <w:t xml:space="preserve">、</w:t>
      </w:r>
      <w:r>
        <w:rPr>
          <w:rFonts w:ascii="SimSun" w:hAnsi="SimSun" w:eastAsia="SimSun" w:cs="SimSun"/>
          <w:b/>
          <w:color w:val="000000"/>
          <w:sz w:val="24"/>
        </w:rPr>
        <w:t xml:space="preserve">合同内容</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2917"/>
        <w:gridCol w:w="1311"/>
        <w:gridCol w:w="1781"/>
        <w:gridCol w:w="1431"/>
      </w:tblGrid>
      <w:tr>
        <w:trPr>
          <w:trHeight w:val="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吴中区木渎镇村级财务第三方代理记账项目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二、服务需求：详见采购文件。</w:t>
      </w:r>
      <w:r>
        <w:rPr>
          <w:sz w:val="24"/>
        </w:rPr>
      </w:r>
      <w:r/>
    </w:p>
    <w:p>
      <w:pPr>
        <w:ind w:left="0" w:right="0" w:firstLine="0"/>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三、项目合同履行期限、地点</w:t>
      </w:r>
      <w:r/>
    </w:p>
    <w:p>
      <w:pPr>
        <w:ind w:left="0" w:right="0" w:firstLine="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1、项目合同履行期限：2年（具体起止时间以采购方实际需求为准）。</w:t>
      </w:r>
      <w:r>
        <w:rPr>
          <w:rFonts w:ascii="SimSun" w:hAnsi="SimSun" w:eastAsia="SimSun" w:cs="SimSun"/>
          <w:color w:val="000000"/>
          <w:sz w:val="24"/>
          <w:szCs w:val="24"/>
        </w:rPr>
      </w:r>
      <w:r/>
    </w:p>
    <w:p>
      <w:pPr>
        <w:ind w:left="0" w:right="0" w:firstLine="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2、服务地点：甲方指定地点。</w:t>
      </w:r>
      <w:r>
        <w:rPr>
          <w:rFonts w:ascii="SimSun" w:hAnsi="SimSun" w:eastAsia="SimSun" w:cs="SimSun"/>
          <w:color w:val="000000"/>
          <w:sz w:val="24"/>
          <w:szCs w:val="24"/>
          <w:highlight w:val="none"/>
        </w:rPr>
      </w:r>
      <w:r/>
    </w:p>
    <w:p>
      <w:pPr>
        <w:ind w:left="0" w:right="0" w:firstLine="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四、价格与支付</w:t>
      </w:r>
      <w:r>
        <w:rPr>
          <w:rFonts w:ascii="SimSun" w:hAnsi="SimSun" w:eastAsia="SimSun" w:cs="SimSun"/>
          <w:color w:val="000000"/>
          <w:sz w:val="24"/>
          <w:szCs w:val="24"/>
          <w:highlight w:val="none"/>
        </w:rPr>
      </w:r>
      <w:r/>
    </w:p>
    <w:p>
      <w:pPr>
        <w:ind w:left="0" w:right="0" w:firstLine="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1、合同价格按此次成交价格执行，本合同总金额（含税）为人民币（大写）</w:t>
      </w:r>
      <w:r>
        <w:rPr>
          <w:rFonts w:ascii="SimSun" w:hAnsi="SimSun" w:eastAsia="SimSun" w:cs="SimSun"/>
          <w:color w:val="000000"/>
          <w:sz w:val="24"/>
          <w:u w:val="single"/>
        </w:rPr>
        <w:t xml:space="preserve">      圆整（¥      .00）</w:t>
      </w:r>
      <w:r>
        <w:rPr>
          <w:rFonts w:ascii="SimSun" w:hAnsi="SimSun" w:eastAsia="SimSun" w:cs="SimSun"/>
          <w:color w:val="000000"/>
          <w:sz w:val="24"/>
        </w:rPr>
        <w:t xml:space="preserve">。本合同价格包含在服务期内完成服务内容所需要的一切费用，包括所有采购内容以及本项目所需的服务管理内容、相关劳务支出、保险、配套费用、税费及服务相关等所发生的全部费用以及供应商企业利润、代理服务费、税金和政策性文件规定及合同包含的所有风险、责任等各项应有费用。除非因特殊原因并经甲乙双方协商同意，乙方不得再要求追加任何费用。同时，除非合同条款中另有规定，否则，乙方所报价格在合同实施期间不因市场变化因素而变动。</w:t>
        <w:br/>
        <w:t xml:space="preserve"> 2、付款方式：甲方按每半年支付一次，每次支付合同总金额的25%（半年度考核结束后支付，如有考核扣款相</w:t>
      </w:r>
      <w:r>
        <w:rPr>
          <w:rFonts w:ascii="SimSun" w:hAnsi="SimSun" w:eastAsia="SimSun" w:cs="SimSun"/>
          <w:color w:val="000000"/>
          <w:sz w:val="24"/>
        </w:rPr>
        <w:t xml:space="preserve">应扣除）。合同签订后5个工作日内，甲方向乙方支付合同金额的10%作为项目预付款（第一次服务费用付款时扣除预付款金额），甲方凭合法有效票据通过银行转账支付。在签订合同时，乙方明确表示无需预付款或者主动要求降低预付款比例的，甲方可不适用上述关于预付款的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组建考核小组，对乙方所承接的服务范围内工作完成情况及进度进行考核，每半年考核一次，考核得分95分及以上，支付服务费全款，考核得分85-95之间，服务费*0.8予以计算服务费。考核得分在84分以下为不合格，服务费*0.5予以计算服务费。每次考核不合格，甲方要求乙方在五个工作日内对服务缺陷予以修正和完善，连续两次考核不合格，甲方将停止支付服务费，并有权终止合同。</w:t>
        <w:br/>
        <w:t xml:space="preserve">4、乙方要求付款时应提供以下资料：（1）合格的发票；（2）其他（若有）。</w:t>
        <w:br/>
      </w:r>
      <w:r>
        <w:rPr>
          <w:rFonts w:ascii="SimSun" w:hAnsi="SimSun" w:eastAsia="SimSun" w:cs="SimSun"/>
          <w:color w:val="000000"/>
          <w:sz w:val="24"/>
        </w:rPr>
        <w:t xml:space="preserve">5、支付方式：银行汇票或转账支票或数字人民币。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6、乙方账户信息如下：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开户行：</w:t>
      </w:r>
      <w:r/>
    </w:p>
    <w:p>
      <w:pPr>
        <w:ind w:left="0" w:right="0" w:firstLine="0"/>
        <w:spacing w:before="0" w:after="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账户名：</w:t>
      </w:r>
      <w:r>
        <w:rPr>
          <w:rFonts w:ascii="SimSun" w:hAnsi="SimSun" w:eastAsia="SimSun" w:cs="SimSun"/>
          <w:sz w:val="24"/>
        </w:rPr>
      </w:r>
      <w:r/>
    </w:p>
    <w:p>
      <w:pPr>
        <w:ind w:left="0" w:right="0" w:firstLine="0"/>
        <w:spacing w:before="0" w:after="0"/>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账号：</w:t>
      </w:r>
      <w:r/>
    </w:p>
    <w:p>
      <w:pPr>
        <w:ind w:left="0" w:right="0" w:firstLine="0"/>
        <w:spacing w:before="0" w:after="0"/>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br/>
        <w:t xml:space="preserve"> 8、如本合同项目需经过审计的，则本合同最终结算</w:t>
      </w:r>
      <w:r>
        <w:rPr>
          <w:rFonts w:ascii="SimSun" w:hAnsi="SimSun" w:eastAsia="SimSun" w:cs="SimSun"/>
          <w:color w:val="000000"/>
          <w:sz w:val="24"/>
        </w:rPr>
        <w:t xml:space="preserve">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w:t>
      </w:r>
      <w:r>
        <w:rPr>
          <w:rFonts w:ascii="SimSun" w:hAnsi="SimSun" w:eastAsia="SimSun" w:cs="SimSun"/>
          <w:color w:val="000000"/>
          <w:sz w:val="24"/>
        </w:rPr>
        <w:t xml:space="preserve">合同目的的特定标准履行。</w:t>
      </w:r>
      <w:r>
        <w:rPr>
          <w:rFonts w:ascii="SimSun" w:hAnsi="SimSun" w:eastAsia="SimSun" w:cs="SimSun"/>
          <w:b/>
          <w:color w:val="000000"/>
          <w:sz w:val="24"/>
        </w:rPr>
      </w:r>
      <w:r>
        <w:rPr>
          <w:sz w:val="24"/>
        </w:rPr>
      </w:r>
    </w:p>
    <w:p>
      <w:pPr>
        <w:ind w:left="0" w:right="0" w:firstLine="0"/>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五、质量要求、考核：</w:t>
      </w: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1、乙方根据本合同所提供服务均应当符合国家法律法规、相关规范以及本项目采购招标文件和双方约定的要求。</w:t>
      </w:r>
      <w:r/>
    </w:p>
    <w:p>
      <w:pPr>
        <w:ind w:left="0" w:right="0" w:firstLine="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2、甲方对乙方提供的吴中区木渎镇村级财务第三方代理记账项目每半年进行考核，乙方应接受并配合甲方组织的考核工作。</w:t>
      </w:r>
      <w:r/>
      <w:r>
        <w:rPr>
          <w:rFonts w:ascii="SimSun" w:hAnsi="SimSun" w:eastAsia="SimSun" w:cs="SimSun"/>
          <w:color w:val="000000"/>
          <w:sz w:val="24"/>
        </w:rPr>
      </w:r>
      <w:r>
        <w:rPr>
          <w:rFonts w:ascii="Calibri" w:hAnsi="Calibri" w:eastAsia="Calibri" w:cs="Calibri"/>
          <w:sz w:val="21"/>
          <w:szCs w:val="21"/>
        </w:rPr>
      </w:r>
    </w:p>
    <w:p>
      <w:pPr>
        <w:ind w:left="0" w:right="0" w:firstLine="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六、验收标准：</w:t>
      </w: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1.递交的成果内容必须符合采购文件的有关要求和国家有关标准。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2.技术依据：为保证本项目实施的科学性、规范性和准确性，技术操作、服务需要严格遵照国家有关法律法规、规章制度以及国家和行业颁布的相关技术标准和规范。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3.每年1月31日前，提供本年度资金收支预算方案。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4.每月提供《银行存款余额调节表》。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5.每月15日前（遇节假日顺延），提供财务报告、会计数据和财务公开资料等，进行归档。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6.每月提供会计报表，每季度提供财务分析报告、资产负债明细资料。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7.每月定期、不定期盘点库存现金，提供《库存现金盘点表》。</w:t>
      </w:r>
      <w:r/>
    </w:p>
    <w:p>
      <w:pPr>
        <w:ind w:left="479" w:right="0" w:firstLine="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8.每年年终对固定资产进行一次清查，确保资产不流失。</w:t>
        <w:br/>
        <w:t xml:space="preserve">9、每年年终提供财务决算报告，整理各类财务会计资料，会计档案的交接工作。</w:t>
      </w:r>
      <w:r/>
    </w:p>
    <w:p>
      <w:pPr>
        <w:pStyle w:val="750"/>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合同一方不履行合同义务或者履行合同义务不符合约定的，应当承担继续履行、采取补救措施或者赔偿损失等违约责任。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2.1在合同生效后，甲方无理由要求终止服务的，应向乙方偿付合同总价款的5%，作为违约金，违约金不足以补偿损失的，乙方有权要求甲方补足。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2.2甲方逾期付款的应按照逾期付款金额的每天万分之四支付逾期付款违约金。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2.3甲方违反合同规定，拒绝接受乙方提供服务，应当承担乙方由此造成的损失。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3.1乙方不能提供服务的，或服务不合格从而影响甲方工作正常开展，应向甲方偿付合同总价款5%的违约金，违约金不足以补偿损失的，甲方有权要求乙方补足。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3.2乙方逾期提供服务的，应与甲方协商，甲方仍有需求的，乙方应立即提供服务按照逾期服务的每天万分之四支付逾期违约金，同时承担甲方因此遭致的损失费用。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3.3出具的财务报告、会计数据等有失客观性、真实性、合法性，根据其情节轻重。应向甲方偿付合同总价款的5%违约金。若情节严重，涉及刑事责任的，甲方将按照法律规定追究事务所及事务所相关人员的责任。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五、不可抗力</w:t>
      </w:r>
      <w:r/>
    </w:p>
    <w:p>
      <w:pPr>
        <w:ind w:left="42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42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pStyle w:val="750"/>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1.合同一方因不可抗力不能履行本合同的，根据不可抗力的影响，部分或者全部免除责任。但合同一方迟延履行后发生不可抗力的，不能免除责任。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2.合同一方因不可抗力不能履行合同的，应当自不可抗力发生之日起3日内通知对方，以减轻可能给对方造成的损失，并应当在发出不可抗力通知后的15日内提供书面证明材料。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3.不可抗力事由消除后，合同继续履行等相关事宜，由甲乙双方协商确定。</w:t>
      </w:r>
      <w:r/>
    </w:p>
    <w:p>
      <w:pPr>
        <w:pStyle w:val="750"/>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1.除《中华人民共和国政府采购法》第四十九条、第50条规定的情形及本合同约定的情形外，本合同签订后，甲乙双方不得变更、中止或终止本合同。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（1）因不可抗力或上级主管部门相关规定致使不能实现本合同目的的，未受不可抗力影响的一方有权解除本合同；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（2）因合同一方严重违约导致本合同不能履行的，另一方有权解除本合同；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（3）在本合同有效期内，乙方擅自变更、转让其应履行的本合同项下的义务的；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（4）乙方未按本合同约定、乙方承诺的内容提供服务，给甲方造成较大损失或合同目的不能实现的。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3.有权解除合同的一方，应当在违约事实或不可抗力发生之后三个月内书面通知对方解除合同，合同在书面通知到达对方时解除。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4.未经甲方书面同意，乙方不得将本合同的部分或全部义务转让给任何第三方。</w:t>
      </w:r>
      <w:r/>
    </w:p>
    <w:p>
      <w:pPr>
        <w:pStyle w:val="750"/>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履行本合同发生争议的，应在甲方的主持下进行调解协商，协商不成的，任何一方均有权向甲方所在地人民法院起诉。因乙方违反本合同的约定或乙方追究甲方违约但不成立，导致甲方为处理此纠纷支出的费用由乙方承担，该费用包括但不限于诉讼费、保全费、鉴定费、执行费、差旅费等。</w:t>
      </w:r>
      <w:r/>
    </w:p>
    <w:p>
      <w:pPr>
        <w:pStyle w:val="750"/>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十一、重大事项变更的通知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合同履行过程中，甲乙双方一切关于本合同事项上的对接应以书面通知为准。双方所确认的联系人、联系方式及法律文书送达地址（本合同首部所载明地址），如发生变更的，应当于变更之日起3日内书面通知另一方，未通知的自行承担由此引起的法院送达不能等一切不利后果。</w:t>
      </w:r>
      <w:r/>
    </w:p>
    <w:p>
      <w:pPr>
        <w:pStyle w:val="750"/>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十二、保密条款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对在本合同签订、履行过程中知悉的对方资料和信息，除该方做出相反的书面说明外，未经该方书面同意不得向任何第三方披露。任何一方因违反保密义务而给另一方造成损失的，应承担相应的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2.无论本合同是否变更、解除或终止，本合同的保密条款不受其限制而继续有效，双方都应继续承担保密条款约定的保密义务。双方承担保密义务的期限为永久。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3.若乙方未能遵守本合同约定的保密义务的，甲方可要求乙方支付本合同总金额10%的违约金，并有权视情节轻重单方解除本合同。</w:t>
      </w:r>
      <w:r/>
    </w:p>
    <w:p>
      <w:pPr>
        <w:pStyle w:val="750"/>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因履行本合同所产生的全部项目成果的所有权、知识产权均归甲方享有。未经甲方书面同意，乙方不得擅自使用或者授权他人使用，其他任何人不得将成果的全部或部分披露或提供给第三方。乙方违反前述约定的，应向甲方支付本合同总金额10%的违约金，违约金不足以弥补甲方损失的，乙方应赔偿甲方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2.乙方应保证在提供本项目服务过程中不侵害任何第三人的知识产权等合法权益，因知识产权纠纷第三人向甲方请求赔偿的，乙方应承担由此产生的一切费用，给甲方造成损失的，由乙方应赔偿甲方一切损失。</w:t>
      </w:r>
      <w:r/>
    </w:p>
    <w:p>
      <w:pPr>
        <w:pStyle w:val="750"/>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本合同未尽事宜应按照《中华人民共和国民法典》《中华人民共和国政府采购法》等相关法律法规规定解释。</w:t>
      </w:r>
      <w:r/>
    </w:p>
    <w:p>
      <w:pPr>
        <w:pStyle w:val="750"/>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甲乙双方通过“苏采云”系统线上签订电子合同的，则本合同自双方在“苏采云”系统中加盖电子印章之日起生效。如甲乙双方签订纸质合同的，则本合同自甲乙双方签章之日起生效。签订后2个工作日内须在苏州政府采购网上公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招标文件及该文件的响应文件是本合同不可分割的组成部分，与本合同具有同等法律效力。如上述文件与本合同内容不一致，双方认可按照本合同约定内容执行。本合同在履行过程中出现的未尽事宜，由双方在不违背本合同和招标文件的原则下协商解决，协商结果以书面形式盖章记录在案，作为本合同的附件，与本合同具有同等法律效力，但需向甲方提交贰份备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3.本合同壹式陆份，甲乙双方各执贰份，招标代理机构执壹份，政府采购监督管理部门备案壹份，陆份合同具有同等法律效力。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成交单位</w:t>
      </w:r>
      <w:r>
        <w:rPr>
          <w:rFonts w:ascii="SimSun" w:hAnsi="SimSun" w:eastAsia="SimSun" w:cs="SimSun"/>
          <w:color w:val="000000"/>
          <w:sz w:val="24"/>
        </w:rPr>
        <w:t xml:space="preserve">须</w:t>
      </w:r>
      <w:r>
        <w:rPr>
          <w:rFonts w:ascii="Arial" w:hAnsi="Arial" w:eastAsia="Arial" w:cs="Arial"/>
          <w:color w:val="000000"/>
          <w:sz w:val="24"/>
        </w:rPr>
        <w:t xml:space="preserve">与</w:t>
      </w:r>
      <w:r>
        <w:rPr>
          <w:rFonts w:ascii="SimSun" w:hAnsi="SimSun" w:eastAsia="SimSun" w:cs="SimSun"/>
          <w:color w:val="000000"/>
          <w:sz w:val="24"/>
        </w:rPr>
        <w:t xml:space="preserve">采购单位、</w:t>
      </w:r>
      <w:r>
        <w:rPr>
          <w:rFonts w:ascii="Arial" w:hAnsi="Arial" w:eastAsia="Arial" w:cs="Arial"/>
          <w:color w:val="000000"/>
          <w:sz w:val="24"/>
        </w:rPr>
        <w:t xml:space="preserve">对应</w:t>
      </w:r>
      <w:r>
        <w:rPr>
          <w:rFonts w:ascii="SimSun" w:hAnsi="SimSun" w:eastAsia="SimSun" w:cs="SimSun"/>
          <w:color w:val="000000"/>
          <w:sz w:val="24"/>
        </w:rPr>
        <w:t xml:space="preserve">分项内容中的使用单位</w:t>
      </w:r>
      <w:r>
        <w:rPr>
          <w:rFonts w:ascii="Arial" w:hAnsi="Arial" w:eastAsia="Arial" w:cs="Arial"/>
          <w:color w:val="000000"/>
          <w:sz w:val="24"/>
        </w:rPr>
        <w:t xml:space="preserve">按照</w:t>
      </w:r>
      <w:r>
        <w:rPr>
          <w:rFonts w:ascii="SimSun" w:hAnsi="SimSun" w:eastAsia="SimSun" w:cs="SimSun"/>
          <w:color w:val="000000"/>
          <w:sz w:val="24"/>
        </w:rPr>
        <w:t xml:space="preserve">分项</w:t>
      </w:r>
      <w:r>
        <w:rPr>
          <w:rFonts w:ascii="Arial" w:hAnsi="Arial" w:eastAsia="Arial" w:cs="Arial"/>
          <w:color w:val="000000"/>
          <w:sz w:val="24"/>
        </w:rPr>
        <w:t xml:space="preserve">成交金额分别签订</w:t>
      </w:r>
      <w:r>
        <w:rPr>
          <w:rFonts w:ascii="SimSun" w:hAnsi="SimSun" w:eastAsia="SimSun" w:cs="SimSun"/>
          <w:color w:val="000000"/>
          <w:sz w:val="24"/>
        </w:rPr>
        <w:t xml:space="preserve">三方协议</w:t>
      </w:r>
      <w:r>
        <w:rPr>
          <w:rFonts w:ascii="Arial" w:hAnsi="Arial" w:eastAsia="Arial" w:cs="Arial"/>
          <w:color w:val="000000"/>
          <w:sz w:val="24"/>
        </w:rPr>
        <w:t xml:space="preserve">。</w:t>
      </w:r>
      <w:r/>
    </w:p>
    <w:p>
      <w:pPr>
        <w:ind w:left="0" w:right="0" w:firstLine="48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5.本合同附件是合同组成部分，与本合同具有同等法律效力。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 本合同书及本合同书签署后各方以书面形式确认的补充协议等；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 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③ 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④ </w:t>
      </w:r>
      <w:r>
        <w:rPr>
          <w:rFonts w:ascii="SimSun" w:hAnsi="SimSun" w:eastAsia="SimSun" w:cs="SimSun"/>
          <w:color w:val="000000"/>
          <w:sz w:val="24"/>
        </w:rPr>
        <w:t xml:space="preserve">响应</w:t>
      </w:r>
      <w:r>
        <w:rPr>
          <w:rFonts w:ascii="Arial" w:hAnsi="Arial" w:eastAsia="Arial" w:cs="Arial"/>
          <w:color w:val="000000"/>
          <w:sz w:val="24"/>
        </w:rPr>
        <w:t xml:space="preserve">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⑤ 乙方在招标过程中所作的</w:t>
      </w:r>
      <w:r>
        <w:rPr>
          <w:rFonts w:ascii="SimSun" w:hAnsi="SimSun" w:eastAsia="SimSun" w:cs="SimSun"/>
          <w:color w:val="000000"/>
          <w:sz w:val="24"/>
        </w:rPr>
        <w:t xml:space="preserve">其他</w:t>
      </w:r>
      <w:r>
        <w:rPr>
          <w:rFonts w:ascii="Arial" w:hAnsi="Arial" w:eastAsia="Arial" w:cs="Arial"/>
          <w:color w:val="000000"/>
          <w:sz w:val="24"/>
        </w:rPr>
        <w:t xml:space="preserve">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以上文件视为是能互相说明的，如上述文件之间存在冲突或不一致的，以排列序位在前的文件为准，同一序位的文件以形成时间在后的为准。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签约日期：</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562"/>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五、磋商响应文件格式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注：本附件所有格式为响应文件的组成部分，供应商可根据自身情况进行补充和修改，但补充和修改不得造成与本格式内容有实质性的违背。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磋 商 响 应 文 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 购 人：</w:t>
      </w:r>
      <w:r/>
    </w:p>
    <w:p>
      <w:pPr>
        <w:ind w:left="2400" w:right="0" w:hanging="2409"/>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w:t>
      </w:r>
      <w:r/>
    </w:p>
    <w:p>
      <w:pPr>
        <w:ind w:left="2400" w:right="0" w:hanging="2409"/>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磋商单位（章）： </w:t>
      </w:r>
      <w:r/>
    </w:p>
    <w:p>
      <w:pPr>
        <w:ind w:left="0" w:right="0" w:firstLine="79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单位地址：</w:t>
      </w:r>
      <w:r/>
    </w:p>
    <w:p>
      <w:pPr>
        <w:ind w:left="0" w:right="0" w:firstLine="79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联系人</w:t>
      </w:r>
      <w:r>
        <w:rPr>
          <w:rFonts w:ascii="SimSun" w:hAnsi="SimSun" w:eastAsia="SimSun" w:cs="SimSun"/>
          <w:b/>
          <w:color w:val="000000"/>
          <w:sz w:val="32"/>
          <w:u w:val="single"/>
        </w:rPr>
        <w:t xml:space="preserve">：</w:t>
      </w:r>
      <w:r>
        <w:rPr>
          <w:rFonts w:ascii="SimSun" w:hAnsi="SimSun" w:eastAsia="SimSun" w:cs="SimSun"/>
          <w:b/>
          <w:color w:val="000000"/>
          <w:sz w:val="32"/>
        </w:rPr>
        <w:t xml:space="preserve">电话：</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法定代表人或授权代理人（签字或盖章）：</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SimSun" w:hAnsi="SimSun" w:eastAsia="SimSun" w:cs="SimSun"/>
          <w:b/>
          <w:color w:val="000000"/>
          <w:sz w:val="32"/>
          <w:u w:val="single"/>
        </w:rPr>
        <w:t xml:space="preserve"> 2026年</w:t>
      </w:r>
      <w:r>
        <w:rPr>
          <w:rFonts w:ascii="SimSun" w:hAnsi="SimSun" w:eastAsia="SimSun" w:cs="SimSun"/>
          <w:b/>
          <w:color w:val="000000"/>
          <w:sz w:val="32"/>
        </w:rPr>
        <w:t xml:space="preserve">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附件1：磋商响应函</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附件2：开标一览表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附件3：报价明细表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附件4：磋商响应声明</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附件5：法人授权委托书</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附件6：磋商供应商情况表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附件7：资格证明文件</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附件8：要求作为响应文件组成部分的其他内容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附件1：磋商响应函</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我方收到贵公司 采购文件，经仔细阅读和研究，我方决定参加谈判，并向贵公司作出如下承诺：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1.我方愿意按照采购文件的一切要求，提供本项目的所有内容，我方响应的货物报价包括完成本项工作所需的一切应有费用。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2.如果我方的响应文件被接受，我方将严格履行采购文件中规定的每一项要求，严格履行合同的责任和义务，保证按期、按质履行合同，完成合同所规定的全部内容。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3.我方同意采购文件及更正文件中的规定。本响应文件的有效期限为响应文件递交截止时间之日起</w:t>
      </w:r>
      <w:r>
        <w:rPr>
          <w:rFonts w:ascii="SimSun" w:hAnsi="SimSun" w:eastAsia="SimSun" w:cs="SimSun"/>
          <w:color w:val="000000"/>
          <w:sz w:val="24"/>
          <w:u w:val="single"/>
        </w:rPr>
        <w:t xml:space="preserve"> 90   </w:t>
      </w:r>
      <w:r>
        <w:rPr>
          <w:rFonts w:ascii="SimSun" w:hAnsi="SimSun" w:eastAsia="SimSun" w:cs="SimSun"/>
          <w:color w:val="000000"/>
          <w:sz w:val="24"/>
        </w:rPr>
        <w:t xml:space="preserve">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4.我方保证所提交的响应文件中所有资料均是真实的、准确的。若与真实情况不符，我方愿意承担由此而产生的一切后果。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5.我方愿意遵守采购公告及采购文件中所列的收费标准。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6.我方承诺该项响应在谈判后的全过程中保持有效，不作任何更改和变动。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7.我方承诺在参加政府采购活动前三年内，在经营活动中没有重大违法记录。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8.如果我方成交，我方愿意按采购文件规定支付成交服务费，如未按规定缴纳成交服务费，采购代理机构有权保留诉讼的权力；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9.与本谈判有关的通讯地址：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 系 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附件2：开标一览表（以电子投标制作工具中格式为准）</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3450"/>
        <w:gridCol w:w="1418"/>
        <w:gridCol w:w="2693"/>
      </w:tblGrid>
      <w:tr>
        <w:trPr>
          <w:trHeight w:val="702"/>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3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102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4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吴中区木渎镇村级财务第三方代理记账项目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12" w:right="0" w:hanging="1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401" w:right="0" w:firstLine="19"/>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1" w:right="0" w:firstLine="19"/>
        <w:jc w:val="both"/>
        <w:spacing w:before="0" w:after="0"/>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附件3：报价明细表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报价明细表</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单位：人民币元</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4"/>
        <w:gridCol w:w="1686"/>
        <w:gridCol w:w="1395"/>
        <w:gridCol w:w="1843"/>
        <w:gridCol w:w="1694"/>
        <w:gridCol w:w="169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单价最高限价（元）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备注</w:t>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灵岩村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224636.00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尧峰村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175288.00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西跨塘村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208956.00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天平村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506916.00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金山村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181310.00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香溪社区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227462.00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121974.00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善人桥村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74390.00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天池村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73730.00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穹窿社区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27906.00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接驾社区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注：1.投标时每一类别内容均不得超过其相应的单价最高限价，否则作无效标处理。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成交单位最终与对应</w:t>
      </w:r>
      <w:r>
        <w:rPr>
          <w:rFonts w:ascii="SimSun" w:hAnsi="SimSun" w:eastAsia="SimSun" w:cs="SimSun"/>
          <w:color w:val="000000"/>
          <w:sz w:val="24"/>
        </w:rPr>
        <w:t xml:space="preserve">分项内容中的使用单位</w:t>
      </w:r>
      <w:r>
        <w:rPr>
          <w:rFonts w:ascii="Arial" w:hAnsi="Arial" w:eastAsia="Arial" w:cs="Arial"/>
          <w:color w:val="000000"/>
          <w:sz w:val="24"/>
        </w:rPr>
        <w:t xml:space="preserve">按照</w:t>
      </w:r>
      <w:r>
        <w:rPr>
          <w:rFonts w:ascii="SimSun" w:hAnsi="SimSun" w:eastAsia="SimSun" w:cs="SimSun"/>
          <w:color w:val="000000"/>
          <w:sz w:val="24"/>
        </w:rPr>
        <w:t xml:space="preserve">分项</w:t>
      </w:r>
      <w:r>
        <w:rPr>
          <w:rFonts w:ascii="Arial" w:hAnsi="Arial" w:eastAsia="Arial" w:cs="Arial"/>
          <w:color w:val="000000"/>
          <w:sz w:val="24"/>
        </w:rPr>
        <w:t xml:space="preserve">成交金额分别签订项目采购合同。</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附件4：磋商响应声明</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1.根据贵方为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）的采购公告，我方签字代表</w:t>
      </w:r>
      <w:r>
        <w:rPr>
          <w:rFonts w:ascii="SimSun" w:hAnsi="SimSun" w:eastAsia="SimSun" w:cs="SimSun"/>
          <w:color w:val="000000"/>
          <w:sz w:val="24"/>
          <w:u w:val="single"/>
        </w:rPr>
        <w:t xml:space="preserve">      （全名、职务）   </w:t>
      </w:r>
      <w:r>
        <w:rPr>
          <w:rFonts w:ascii="SimSun" w:hAnsi="SimSun" w:eastAsia="SimSun" w:cs="SimSun"/>
          <w:color w:val="000000"/>
          <w:sz w:val="24"/>
        </w:rPr>
        <w:t xml:space="preserve">经正式授权并代表供应商</w:t>
      </w:r>
      <w:r>
        <w:rPr>
          <w:rFonts w:ascii="SimSun" w:hAnsi="SimSun" w:eastAsia="SimSun" w:cs="SimSun"/>
          <w:color w:val="000000"/>
          <w:sz w:val="24"/>
          <w:u w:val="single"/>
        </w:rPr>
        <w:t xml:space="preserve">      （供应商名称、地址） </w:t>
      </w:r>
      <w:r>
        <w:rPr>
          <w:rFonts w:ascii="SimSun" w:hAnsi="SimSun" w:eastAsia="SimSun" w:cs="SimSun"/>
          <w:color w:val="000000"/>
          <w:sz w:val="24"/>
        </w:rPr>
        <w:t xml:space="preserve">提交包含下列响应文件电子文档。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（1）符合性审查证明资料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（2）实质性响应证明资料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（3）非实质性响应证明资料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2.据此函，我方宣布响应承诺如下：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露给第三方或另作他用，如有违反，采购人可依法追究我方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2.4我方愿意向贵方提供任何与本项目磋商采购有关的数据或资料。若贵方需要，我方愿意提供我方作出的一切承诺的证明材料。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2.5我方同意若存在无法按约定条款履行义务等行为，贵方有权取消我方的成交资格。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2.6我方愿意遵守采购文件中所列的收费标准。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2.7如果我方被确定成交，我方愿意按采购文件要求支付成交服务费，逾期按中国人民银行公布的同期人民币贷款最高利率计付利息。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rPr>
          <w:rFonts w:ascii="SimSun" w:hAnsi="SimSun" w:eastAsia="SimSun" w:cs="SimSun"/>
          <w:color w:val="000000"/>
          <w:sz w:val="24"/>
        </w:rPr>
        <w:t xml:space="preserve">传真号：</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联系电话（固定电话和移动电话）：</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供应商电子信箱：</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供应商签章：</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b/>
          <w:color w:val="000000"/>
          <w:sz w:val="24"/>
        </w:rPr>
        <w:t xml:space="preserve">附件5：法人授权委托书</w:t>
      </w:r>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法人代表授权书</w:t>
      </w:r>
      <w:r/>
    </w:p>
    <w:p>
      <w:pPr>
        <w:ind w:left="0" w:right="0" w:firstLine="0"/>
        <w:spacing w:before="75" w:after="7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我方的法人代表</w:t>
      </w:r>
      <w:r>
        <w:rPr>
          <w:rFonts w:ascii="SimSun" w:hAnsi="SimSun" w:eastAsia="SimSun" w:cs="SimSun"/>
          <w:color w:val="000000"/>
          <w:sz w:val="24"/>
          <w:u w:val="single"/>
        </w:rPr>
        <w:t xml:space="preserve">（填写“法人代表全名”）</w:t>
      </w:r>
      <w:r>
        <w:rPr>
          <w:rFonts w:ascii="SimSun" w:hAnsi="SimSun" w:eastAsia="SimSun" w:cs="SimSun"/>
          <w:color w:val="000000"/>
          <w:sz w:val="24"/>
        </w:rPr>
        <w:t xml:space="preserve">授权</w:t>
      </w:r>
      <w:r>
        <w:rPr>
          <w:rFonts w:ascii="SimSun" w:hAnsi="SimSun" w:eastAsia="SimSun" w:cs="SimSun"/>
          <w:color w:val="000000"/>
          <w:sz w:val="24"/>
          <w:u w:val="single"/>
        </w:rPr>
        <w:t xml:space="preserve">（填写“授权代表全名”）</w:t>
      </w:r>
      <w:r>
        <w:rPr>
          <w:rFonts w:ascii="SimSun" w:hAnsi="SimSun" w:eastAsia="SimSun" w:cs="SimSun"/>
          <w:color w:val="000000"/>
          <w:sz w:val="24"/>
        </w:rPr>
        <w:t xml:space="preserve">为我方的授权代表，代表我方参加</w:t>
      </w:r>
      <w:r>
        <w:rPr>
          <w:rFonts w:ascii="SimSun" w:hAnsi="SimSun" w:eastAsia="SimSun" w:cs="SimSun"/>
          <w:color w:val="000000"/>
          <w:sz w:val="24"/>
          <w:u w:val="single"/>
        </w:rPr>
        <w:t xml:space="preserve">   （填写“项目名称”）     </w:t>
      </w:r>
      <w:r>
        <w:rPr>
          <w:rFonts w:ascii="SimSun" w:hAnsi="SimSun" w:eastAsia="SimSun" w:cs="SimSun"/>
          <w:color w:val="000000"/>
          <w:sz w:val="24"/>
        </w:rPr>
        <w:t xml:space="preserve">项目（采购编号）的响应磋商，全权代表我方处理响应磋商过程中的一切事宜。授权代表在响应磋商过程中所签署的一切文件和处理与之有关的一切事务，我方均予以认可并对此承担责任。授权期限自______至____。</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授权代表无转委权。特此授权。</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授权方</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（全称并加盖单位公章）</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法人代表签字或盖章：</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接受授权方</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75" w:after="7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附：法人代表、授权代表的身份证正反面复印件</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87"/>
      </w:tblGrid>
      <w:tr>
        <w:trPr>
          <w:trHeight w:val="64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8087" w:type="dxa"/>
            <w:vAlign w:val="center"/>
            <w:textDirection w:val="lrTb"/>
            <w:noWrap w:val="false"/>
          </w:tcPr>
          <w:p>
            <w:pPr>
              <w:ind w:left="0" w:right="0" w:firstLine="0"/>
              <w:jc w:val="center"/>
              <w:spacing w:before="240" w:after="240"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要求：真实、有效、清晰</w:t>
            </w:r>
            <w:r/>
          </w:p>
          <w:p>
            <w:pPr>
              <w:ind w:left="0" w:right="0" w:firstLine="0"/>
              <w:jc w:val="center"/>
              <w:spacing w:before="240" w:after="240"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附件6：响应供应商基本情况表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响应供应商基本情况表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磋商供应商名称（盖公章）</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46"/>
        <w:gridCol w:w="2034"/>
        <w:gridCol w:w="72"/>
        <w:gridCol w:w="1250"/>
        <w:gridCol w:w="1307"/>
        <w:gridCol w:w="484"/>
      </w:tblGrid>
      <w:tr>
        <w:trPr>
          <w:trHeight w:val="3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2025 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最近2年内在经营过程中受到何种奖励或处分（包括情况和结果）</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附件7：资格证明文件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附件7-1：关于资格证明文件的声明函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关于资格证明文件的声明函</w:t>
      </w:r>
      <w:r/>
    </w:p>
    <w:p>
      <w:pPr>
        <w:ind w:left="0" w:right="0" w:firstLine="0"/>
        <w:jc w:val="both"/>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1.我方已知晓竞争性磋商文件要求并认真审核自身情况，在此郑重声明，我方具备并满足下列各项条款的规定。本声明如有虚假或不实之处，我方将失去合格供应商资格。</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99"/>
        <w:gridCol w:w="2766"/>
      </w:tblGrid>
      <w:tr>
        <w:trPr>
          <w:trHeight w:val="598"/>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供应商资格条件证明材料</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供应商对是否遵守一般规定作如实声明（是/否）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供应商应当遵守中国的有关法律法规和规章的规定，在参加政府采购活动时已经自觉检查并按照政府采购相关法律规定，主动回避相应利害关系。</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6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53"/>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2.我方对上述声明的真实性、合法性、准确性、有效性负责，并愿意根据磋商文件和磋商过程中贵方要求提供全部现有资料、数据、文件等予以证实。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备注：对于接受联合体形式的磋商且供应商是联合体的，则联合体各成员都应当提交本资格证明文件。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附件7-2：营业执照等证明文件</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营业执照等证明文件</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）供应商为法人（包括企业、事业单位和社会团体）的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签发的我方统一社会信用代码</w:t>
      </w:r>
      <w:r>
        <w:rPr>
          <w:rFonts w:ascii="SimSun" w:hAnsi="SimSun" w:eastAsia="SimSun" w:cs="SimSun"/>
          <w:color w:val="000000"/>
          <w:sz w:val="24"/>
          <w:u w:val="single"/>
        </w:rPr>
        <w:t xml:space="preserve">（请填写法人的具体证照名称）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）供应商为非法人（包括其他组织、自然人）的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（请填写非自然人的非法人的具体证照名称）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（请填写自然人的身份证件名称）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1.请供应商根据实际情况填写，在相应的（）中打“√”并选择相应的“□”（若有）后，再按照本格式的要求提供相应证明材料的复印件。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附件7-3：财务状况报告</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财务状况报告</w:t>
      </w:r>
      <w:r/>
    </w:p>
    <w:p>
      <w:pPr>
        <w:ind w:left="0" w:right="0" w:firstLine="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）供应商提供财务报告的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财务报告复印件，包括资产负债表、利润表、现金流量表、所有者权益变动表及其附注（若有），上述证明材料真实有效，否则我方负全部责任。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□事业单位适用：现附上我方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财务报告复印件，包括资产负债表、收入支出表或收入费用表、财政补助收入支出表（若有），上述证明材料真实有效，否则我方负全部责任。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□社会团体适用：现附上我方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财务报告复印件，包括资产负债表、业务活动表、现金流量表，上述证明材料真实有效，否则我方负全部责任。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）供应商提供资信证明的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□非自然人适用：现附上我方开户（基本户）许可证复印件及我方银行：</w:t>
      </w:r>
      <w:r>
        <w:rPr>
          <w:rFonts w:ascii="SimSun" w:hAnsi="SimSun" w:eastAsia="SimSun" w:cs="SimSun"/>
          <w:color w:val="000000"/>
          <w:sz w:val="24"/>
          <w:u w:val="single"/>
        </w:rPr>
        <w:t xml:space="preserve">（填写“基本户的开户银行全称”）</w:t>
      </w:r>
      <w:r>
        <w:rPr>
          <w:rFonts w:ascii="SimSun" w:hAnsi="SimSun" w:eastAsia="SimSun" w:cs="SimSun"/>
          <w:color w:val="000000"/>
          <w:sz w:val="24"/>
        </w:rPr>
        <w:t xml:space="preserve">出具的资信证明复印件，上述证明材料真实有效，否则我方负全部责任。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□自然人适用：现附上我方银行：</w:t>
      </w:r>
      <w:r>
        <w:rPr>
          <w:rFonts w:ascii="SimSun" w:hAnsi="SimSun" w:eastAsia="SimSun" w:cs="SimSun"/>
          <w:color w:val="000000"/>
          <w:sz w:val="24"/>
          <w:u w:val="single"/>
        </w:rPr>
        <w:t xml:space="preserve">（填写自然人的“个人账户的开户银行全称”）</w:t>
      </w:r>
      <w:r>
        <w:rPr>
          <w:rFonts w:ascii="SimSun" w:hAnsi="SimSun" w:eastAsia="SimSun" w:cs="SimSun"/>
          <w:color w:val="000000"/>
          <w:sz w:val="24"/>
        </w:rPr>
        <w:t xml:space="preserve">出具的资信证明复印件，上述证明材料真实有效，否则我方负全部责任。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2.供应商提供的财务报告或资信证明复印件（成立年限按照响应文件递交截止时间推算）应符合下列规定：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2.1成立年限满1年及以上的供应商，提供经审计的上一年度的年度财务报告。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2.2成立年限不足1年的供应商，提供资信证明复印件。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附件7-4：依法缴纳税收证明材料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依法缴纳税收证明材料</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1.依法缴纳税收的供应商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）法人（包括企业、事业单位和社会团体）的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（按照供应商实际缴纳的税种名称填写，如：增值税、所得税等）</w:t>
      </w:r>
      <w:r>
        <w:rPr>
          <w:rFonts w:ascii="SimSun" w:hAnsi="SimSun" w:eastAsia="SimSun" w:cs="SimSun"/>
          <w:color w:val="000000"/>
          <w:sz w:val="24"/>
        </w:rPr>
        <w:t xml:space="preserve">税收凭据复印件，上述证明材料真实有效，否则我方负全部责任。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w:t>
      </w:r>
      <w:r>
        <w:rPr>
          <w:rFonts w:ascii="SimSun" w:hAnsi="SimSun" w:eastAsia="SimSun" w:cs="SimSun"/>
          <w:color w:val="000000"/>
          <w:sz w:val="24"/>
        </w:rPr>
        <w:t xml:space="preserve">税收凭据复印件，上述证明材料真实有效，否则我方负全部责任。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2.依法免税的供应商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）现附上我方依法免税证明材料复印件，上述证明材料真实有效，否则我方负全部责任。</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2.供应商提供的税收凭据复印件应符合下列规定：</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2.1响应文件递交截止时间前（不含截止时间的当月）已依法缴纳税收的供应商，提供响应文件递交截止时间前（不含截止时间的当月）中任一月份的税收凭据复印件。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2.2响应文件递交截止时间的当月成立且已依法缴纳税收的供应商，提供截止时间当月的税收凭据复印件。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2.3响应文件递交截止时间的当月成立但因税务机关原因而尚未依法缴纳税收的供应商，提供依法缴纳税收承诺书原件扫描件（格式自拟），该承诺书视同税收凭据。</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“依法缴纳税收证明材料”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未依法缴纳税收</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附件7-5：依法缴纳社会保障资金证明材料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依法缴纳社会保障资金证明材料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1.依法缴纳社会保障资金的供应商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）法人（包括企业、事业单位和社会团体）的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2.依法不需要缴纳社会保障资金的供应商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）现附上我方依法不需要缴纳社会保障资金证明材料复印件，上述证明材料真实有效，否则我方负全部责任。</w:t>
      </w:r>
      <w:r/>
    </w:p>
    <w:p>
      <w:pPr>
        <w:ind w:left="0" w:right="0" w:firstLine="0"/>
        <w:spacing w:before="240" w:after="240" w:line="2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2.供应商提供的社会保险凭据复印件应符合下列规定：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2.1响应文件递交截止时间前（不含截止时间的当月）已依法缴纳社会保障资金的供应商，提供响应文件递交截止时间前（不含截止时间的当月）中任一月份的社会保险凭据复印件。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2.2响应文件递交截止时间的当月成立且已依法缴纳社会保障资金的供应商，提供响应文件递交截止时间当月的社会保险凭据复印件。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依法缴纳社会保障资金证明材料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未依法缴纳社会保障资金</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附件7-6：具备履行合同所必需设备和专业技术能力证明材料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具备履行合同所必需设备和专业技术能力证明材料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声明函</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我方具备履行合同所必需的设备和专业技术能力，并对本声明承诺的真实性负责，否则产生不利后果由我方承担责任。</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1.磋商文件“供应商的资格”中资格条件如果没有特别规定，则由供应商在响应文件中按上述格式提供其具备履行合同所必需的设备和专业技术能力的声明即可，声明函应加盖供应商签章。</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果根据项目的特点和需要，对履行合同所必需的设备和专业技术能力的证明材料有特别专项要求的，则采购人或采购代理机构应当在磋商文件“供应商的资格”中对特定资格条件进行明确约定，供应商可以不用提供上述格式要求的声明函，但必须按特定资格条件的规定提供相应专项证明材料，并对相应证明材料的真实性负责。</w:t>
      </w:r>
      <w:r/>
    </w:p>
    <w:p>
      <w:pPr>
        <w:ind w:left="0" w:right="0" w:firstLine="156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附件7-7：参加采购活动前三年内在经营活动中没有重大违法记录书面声明</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参加采购活动前三年内在经营活动中</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没有重大违法记录书面声明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2"/>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参加采购活动前三年内，我方在经营活动中没有重大违法记录。</w:t>
      </w:r>
      <w:r/>
    </w:p>
    <w:p>
      <w:pPr>
        <w:ind w:left="0" w:right="0" w:firstLine="482"/>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1.“重大违法记录”指供应商因违法经营受到刑事处罚或责令停产停业、吊销许可证或执照、较大数额罚款等行政处罚。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2.请供应商根据实际情况进行声明，</w:t>
      </w:r>
      <w:r>
        <w:rPr>
          <w:rFonts w:ascii="SimSun" w:hAnsi="SimSun" w:eastAsia="SimSun" w:cs="SimSun"/>
          <w:b/>
          <w:color w:val="000000"/>
          <w:sz w:val="24"/>
        </w:rPr>
        <w:t xml:space="preserve">若声明不真实，视为提供虚假材料。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附件7-8：供应商与其他单位存在控股、管理关系情况表</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供应商与其他单位存在控股、管理关系情况表</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31"/>
        <w:gridCol w:w="3113"/>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附件7-9：偏离表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（1）服务偏离表</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2"/>
        <w:gridCol w:w="1322"/>
        <w:gridCol w:w="1322"/>
        <w:gridCol w:w="1322"/>
        <w:gridCol w:w="1322"/>
        <w:gridCol w:w="1322"/>
      </w:tblGrid>
      <w:tr>
        <w:trPr>
          <w:trHeight w:val="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1.对照磋商文件要求，所提供的服务与磋商文件的规定有偏离的，应在此表中申明与招标要求的偏差和例外。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2.未在上表中说明的，如在响应文件其他内容中已有文字说明的，则以已有文字说明为准，否则，将被认为完全响应磋商文件的规定。但该表不作为投标人对所投服务要求详细描述和说明的替代。</w:t>
      </w:r>
      <w:r/>
    </w:p>
    <w:p>
      <w:pPr>
        <w:ind w:left="0" w:right="0" w:firstLine="4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（2）商务条款偏离表</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3"/>
        <w:gridCol w:w="1948"/>
        <w:gridCol w:w="2331"/>
        <w:gridCol w:w="2349"/>
        <w:gridCol w:w="662"/>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文件（除服务要求部分）与磋商文件规定的有偏离的，应在此表中说明。未在上表中说明的，如在响应文件其他内容中已有文字说明的，则以已有文字说明为准，否则，将被认为完全响应磋商文件的规定。但该表不作为投标人对所投标的物关于商务条款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附件8：要求作为响应文件组成部分的其他内容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附件8-1：投入人员情况表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（1）项目负责人情况一览表</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8"/>
        <w:gridCol w:w="1851"/>
        <w:gridCol w:w="1527"/>
        <w:gridCol w:w="398"/>
        <w:gridCol w:w="1083"/>
        <w:gridCol w:w="1325"/>
        <w:gridCol w:w="1818"/>
      </w:tblGrid>
      <w:tr>
        <w:trPr>
          <w:trHeight w:val="594"/>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8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92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   别</w:t>
            </w:r>
            <w:r/>
          </w:p>
        </w:tc>
        <w:tc>
          <w:tcPr>
            <w:gridSpan w:val="2"/>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142"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gridSpan w:val="3"/>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81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37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8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142"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从事专业工作时间：</w:t>
            </w:r>
            <w:r/>
          </w:p>
        </w:tc>
      </w:tr>
      <w:tr>
        <w:trPr>
          <w:trHeight w:val="62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拥有的职称：</w:t>
            </w:r>
            <w:r/>
          </w:p>
        </w:tc>
      </w:tr>
      <w:tr>
        <w:trPr>
          <w:trHeight w:val="18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曾获得的奖励情况：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2、__________________________________________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3、__________________________________________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1133"/>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该项目负责人在我单位任职且在从业经历中没有任何违法、违规而被查处的不良记录。（提供公司为其缴纳的社保证明）</w:t>
            </w:r>
            <w:r/>
          </w:p>
        </w:tc>
      </w:tr>
      <w:tr>
        <w:trPr>
          <w:trHeight w:val="978"/>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6"/>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r>
    </w:tbl>
    <w:p>
      <w:pPr>
        <w:ind w:left="540" w:right="0" w:hanging="12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注：需随此表附上项目负责人的证书等相关资料的复印件并加盖公章。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附件8-2：投入项目人员情况表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投入项目人员情况表</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8"/>
        <w:gridCol w:w="1193"/>
        <w:gridCol w:w="1192"/>
        <w:gridCol w:w="1192"/>
        <w:gridCol w:w="1459"/>
        <w:gridCol w:w="928"/>
      </w:tblGrid>
      <w:tr>
        <w:trPr>
          <w:trHeight w:val="6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48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承担工作内容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附件8-3：企业类似项目一览表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企业类似项目一览表</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
        <w:gridCol w:w="1352"/>
        <w:gridCol w:w="1292"/>
        <w:gridCol w:w="1896"/>
        <w:gridCol w:w="1689"/>
      </w:tblGrid>
      <w:tr>
        <w:trPr>
          <w:trHeight w:val="8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附：提供证明材料详见评分标准。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35"/>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附件8-4：中小企业声明函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w:t>
      </w:r>
      <w:r>
        <w:rPr>
          <w:rFonts w:ascii="SimSun" w:hAnsi="SimSun" w:eastAsia="SimSun" w:cs="SimSun"/>
          <w:color w:val="000000"/>
          <w:sz w:val="24"/>
          <w:u w:val="single"/>
        </w:rPr>
        <w:t xml:space="preserve">（承接）</w:t>
      </w:r>
      <w:r>
        <w:rPr>
          <w:rFonts w:ascii="SimSun" w:hAnsi="SimSun" w:eastAsia="SimSun" w:cs="SimSun"/>
          <w:color w:val="000000"/>
          <w:sz w:val="24"/>
        </w:rPr>
        <w:t xml:space="preserve">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3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附件8-5：残疾人福利性单位声明函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本单位郑重声明，根据《财政部民政部中国残疾人联合会关于促进残疾人就业政府采购政策的通知》（财库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单位名称（盖章）：</w:t>
      </w:r>
      <w:r/>
    </w:p>
    <w:p>
      <w:pPr>
        <w:ind w:left="0" w:right="1560" w:firstLine="504"/>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notePr/>
      <w:endnotePr/>
      <w:type w:val="nextPage"/>
      <w:pgSz w:w="11906" w:h="16838" w:orient="portrait"/>
      <w:pgMar w:top="1440" w:right="1417" w:bottom="1440" w:left="1417" w:header="851" w:footer="992" w:gutter="0"/>
      <w:pgNumType w:start="1"/>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赵晓燕" w:date="2026-10-10T07:58:32Z">
    <w:p w14:paraId="00000001" w14:textId="00000001">
      <w:pPr>
        <w:spacing w:line="240" w:after="0" w:lineRule="auto" w:before="0"/>
        <w:ind w:firstLine="0" w:left="0" w:right="0"/>
        <w:jc w:val="left"/>
      </w:pPr>
      <w:r>
        <w:rPr>
          <w:rFonts w:eastAsia="Arial" w:ascii="Arial" w:hAnsi="Arial" w:cs="Arial"/>
          <w:sz w:val="22"/>
        </w:rPr>
        <w:t xml:space="preserve">履行期限请确认</w:t>
      </w:r>
    </w:p>
  </w:comment>
  <w:comment w:id="1" w:author="赵晓燕" w:date="2026-10-10T07:58:32Z">
    <w:p w14:paraId="00000002" w14:textId="00000002">
      <w:pPr>
        <w:spacing w:line="240" w:after="0" w:lineRule="auto" w:before="0"/>
        <w:ind w:firstLine="0" w:left="0" w:right="0"/>
        <w:jc w:val="left"/>
      </w:pPr>
      <w:r>
        <w:rPr>
          <w:rFonts w:eastAsia="Arial" w:ascii="Arial" w:hAnsi="Arial" w:cs="Arial"/>
          <w:sz w:val="22"/>
        </w:rPr>
        <w:t xml:space="preserve">待确认</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2561BDE4"/>
  <w16cid:commentId w16cid:paraId="00000002" w16cid:durableId="39C65AC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方正仿宋简体">
    <w:panose1 w:val="020B0503020202020204"/>
  </w:font>
  <w:font w:name="Calibri Light">
    <w:panose1 w:val="020F0302020204030204"/>
  </w:font>
  <w:font w:name="Courier New">
    <w:panose1 w:val="02070309020205020404"/>
  </w:font>
  <w:font w:name="仿宋_GB2312">
    <w:panose1 w:val="02010609060101010101"/>
  </w:font>
  <w:font w:name="楷体_GB2312">
    <w:panose1 w:val="02010609060101010101"/>
  </w:font>
  <w:font w:name="Cambria">
    <w:panose1 w:val="02040503050406030204"/>
  </w:font>
  <w:font w:name="创艺简仿宋">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center"/>
    </w:pPr>
    <w:fldSimple w:instr="PAGE \* MERGEFORMAT">
      <w:r>
        <w:t xml:space="preserve">1</w:t>
      </w:r>
    </w:fldSimple>
    <w:r/>
    <w:r/>
  </w:p>
  <w:p>
    <w:pPr>
      <w:pStyle w:val="677"/>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both"/>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18"/>
        <w:u w:val="single"/>
      </w:rPr>
      <w:t xml:space="preserve">苏州顺心源招投标咨询服务有限公司</w:t>
    </w:r>
    <w:r>
      <w:rPr>
        <w:rFonts w:ascii="SimSun" w:hAnsi="SimSun" w:eastAsia="SimSun" w:cs="SimSun"/>
        <w:color w:val="000000"/>
        <w:sz w:val="18"/>
        <w:u w:val="single"/>
      </w:rPr>
      <w:t xml:space="preserve">     </w:t>
    </w:r>
    <w:r>
      <w:rPr>
        <w:rFonts w:ascii="Arial" w:hAnsi="Arial" w:eastAsia="Arial" w:cs="Arial"/>
        <w:color w:val="000000"/>
        <w:sz w:val="18"/>
        <w:u w:val="single"/>
      </w:rPr>
      <w:t xml:space="preserve">                          采购编号：</w:t>
    </w:r>
    <w:r>
      <w:rPr>
        <w:rFonts w:ascii="Calibri" w:hAnsi="Calibri" w:eastAsia="Calibri" w:cs="Calibri"/>
        <w:color w:val="000000"/>
        <w:sz w:val="18"/>
        <w:u w:val="single"/>
      </w:rPr>
      <w:t xml:space="preserve">JSZC-320506-SXYZ-C2026-0003</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23"/>
      <w:isLgl w:val="false"/>
      <w:suff w:val="tab"/>
      <w:lvlText w:val=""/>
      <w:lvlJc w:val="left"/>
      <w:pPr>
        <w:pStyle w:val="695"/>
        <w:ind w:left="360" w:hanging="360"/>
        <w:tabs>
          <w:tab w:val="num" w:pos="360" w:leader="none"/>
        </w:tabs>
      </w:pPr>
      <w:rPr>
        <w:rFonts w:ascii="Wingdings" w:hAnsi="Wingdings" w:cs="Wingdings"/>
      </w:rPr>
    </w:lvl>
    <w:lvl w:ilvl="1">
      <w:start w:val="1"/>
      <w:numFmt w:val="bullet"/>
      <w:isLgl w:val="false"/>
      <w:suff w:val="tab"/>
      <w:lvlText w:val="o"/>
      <w:lvlJc w:val="left"/>
      <w:pPr>
        <w:pStyle w:val="695"/>
        <w:ind w:left="1440" w:hanging="360"/>
      </w:pPr>
      <w:rPr>
        <w:rFonts w:ascii="Courier New" w:hAnsi="Courier New" w:eastAsia="Courier New" w:cs="Courier New"/>
      </w:rPr>
    </w:lvl>
    <w:lvl w:ilvl="2">
      <w:start w:val="1"/>
      <w:numFmt w:val="bullet"/>
      <w:isLgl w:val="false"/>
      <w:suff w:val="tab"/>
      <w:lvlText w:val="§"/>
      <w:lvlJc w:val="left"/>
      <w:pPr>
        <w:pStyle w:val="695"/>
        <w:ind w:left="2160" w:hanging="360"/>
      </w:pPr>
      <w:rPr>
        <w:rFonts w:ascii="Wingdings" w:hAnsi="Wingdings" w:eastAsia="Wingdings" w:cs="Wingdings"/>
      </w:rPr>
    </w:lvl>
    <w:lvl w:ilvl="3">
      <w:start w:val="1"/>
      <w:numFmt w:val="bullet"/>
      <w:isLgl w:val="false"/>
      <w:suff w:val="tab"/>
      <w:lvlText w:val="·"/>
      <w:lvlJc w:val="left"/>
      <w:pPr>
        <w:pStyle w:val="695"/>
        <w:ind w:left="2880" w:hanging="360"/>
      </w:pPr>
      <w:rPr>
        <w:rFonts w:ascii="Symbol" w:hAnsi="Symbol" w:eastAsia="Symbol" w:cs="Symbol"/>
      </w:rPr>
    </w:lvl>
    <w:lvl w:ilvl="4">
      <w:start w:val="1"/>
      <w:numFmt w:val="bullet"/>
      <w:isLgl w:val="false"/>
      <w:suff w:val="tab"/>
      <w:lvlText w:val="o"/>
      <w:lvlJc w:val="left"/>
      <w:pPr>
        <w:pStyle w:val="695"/>
        <w:ind w:left="3600" w:hanging="360"/>
      </w:pPr>
      <w:rPr>
        <w:rFonts w:ascii="Courier New" w:hAnsi="Courier New" w:eastAsia="Courier New" w:cs="Courier New"/>
      </w:rPr>
    </w:lvl>
    <w:lvl w:ilvl="5">
      <w:start w:val="1"/>
      <w:numFmt w:val="bullet"/>
      <w:isLgl w:val="false"/>
      <w:suff w:val="tab"/>
      <w:lvlText w:val="§"/>
      <w:lvlJc w:val="left"/>
      <w:pPr>
        <w:pStyle w:val="695"/>
        <w:ind w:left="4320" w:hanging="360"/>
      </w:pPr>
      <w:rPr>
        <w:rFonts w:ascii="Wingdings" w:hAnsi="Wingdings" w:eastAsia="Wingdings" w:cs="Wingdings"/>
      </w:rPr>
    </w:lvl>
    <w:lvl w:ilvl="6">
      <w:start w:val="1"/>
      <w:numFmt w:val="bullet"/>
      <w:isLgl w:val="false"/>
      <w:suff w:val="tab"/>
      <w:lvlText w:val="·"/>
      <w:lvlJc w:val="left"/>
      <w:pPr>
        <w:pStyle w:val="695"/>
        <w:ind w:left="5040" w:hanging="360"/>
      </w:pPr>
      <w:rPr>
        <w:rFonts w:ascii="Symbol" w:hAnsi="Symbol" w:eastAsia="Symbol" w:cs="Symbol"/>
      </w:rPr>
    </w:lvl>
    <w:lvl w:ilvl="7">
      <w:start w:val="1"/>
      <w:numFmt w:val="bullet"/>
      <w:isLgl w:val="false"/>
      <w:suff w:val="tab"/>
      <w:lvlText w:val="o"/>
      <w:lvlJc w:val="left"/>
      <w:pPr>
        <w:pStyle w:val="695"/>
        <w:ind w:left="5760" w:hanging="360"/>
      </w:pPr>
      <w:rPr>
        <w:rFonts w:ascii="Courier New" w:hAnsi="Courier New" w:eastAsia="Courier New" w:cs="Courier New"/>
      </w:rPr>
    </w:lvl>
    <w:lvl w:ilvl="8">
      <w:start w:val="1"/>
      <w:numFmt w:val="bullet"/>
      <w:isLgl w:val="false"/>
      <w:suff w:val="tab"/>
      <w:lvlText w:val="§"/>
      <w:lvlJc w:val="left"/>
      <w:pPr>
        <w:pStyle w:val="695"/>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695"/>
        <w:ind w:left="945" w:hanging="525"/>
      </w:pPr>
    </w:lvl>
    <w:lvl w:ilvl="1">
      <w:start w:val="1"/>
      <w:numFmt w:val="lowerLetter"/>
      <w:isLgl w:val="false"/>
      <w:suff w:val="tab"/>
      <w:lvlText w:val="%2)"/>
      <w:lvlJc w:val="left"/>
      <w:pPr>
        <w:pStyle w:val="695"/>
        <w:ind w:left="1264" w:hanging="420"/>
      </w:pPr>
    </w:lvl>
    <w:lvl w:ilvl="2">
      <w:start w:val="1"/>
      <w:numFmt w:val="lowerRoman"/>
      <w:isLgl w:val="false"/>
      <w:suff w:val="tab"/>
      <w:lvlText w:val="%3."/>
      <w:lvlJc w:val="right"/>
      <w:pPr>
        <w:pStyle w:val="695"/>
        <w:ind w:left="1684" w:hanging="420"/>
      </w:pPr>
    </w:lvl>
    <w:lvl w:ilvl="3">
      <w:start w:val="1"/>
      <w:numFmt w:val="decimal"/>
      <w:isLgl w:val="false"/>
      <w:suff w:val="tab"/>
      <w:lvlText w:val="%4."/>
      <w:lvlJc w:val="left"/>
      <w:pPr>
        <w:pStyle w:val="695"/>
        <w:ind w:left="2104" w:hanging="420"/>
      </w:pPr>
    </w:lvl>
    <w:lvl w:ilvl="4">
      <w:start w:val="1"/>
      <w:numFmt w:val="lowerLetter"/>
      <w:isLgl w:val="false"/>
      <w:suff w:val="tab"/>
      <w:lvlText w:val="%5)"/>
      <w:lvlJc w:val="left"/>
      <w:pPr>
        <w:pStyle w:val="695"/>
        <w:ind w:left="2524" w:hanging="420"/>
      </w:pPr>
    </w:lvl>
    <w:lvl w:ilvl="5">
      <w:start w:val="1"/>
      <w:numFmt w:val="lowerRoman"/>
      <w:isLgl w:val="false"/>
      <w:suff w:val="tab"/>
      <w:lvlText w:val="%6."/>
      <w:lvlJc w:val="right"/>
      <w:pPr>
        <w:pStyle w:val="695"/>
        <w:ind w:left="2944" w:hanging="420"/>
      </w:pPr>
    </w:lvl>
    <w:lvl w:ilvl="6">
      <w:start w:val="1"/>
      <w:numFmt w:val="decimal"/>
      <w:isLgl w:val="false"/>
      <w:suff w:val="tab"/>
      <w:lvlText w:val="%7."/>
      <w:lvlJc w:val="left"/>
      <w:pPr>
        <w:pStyle w:val="695"/>
        <w:ind w:left="3364" w:hanging="420"/>
      </w:pPr>
    </w:lvl>
    <w:lvl w:ilvl="7">
      <w:start w:val="1"/>
      <w:numFmt w:val="lowerLetter"/>
      <w:isLgl w:val="false"/>
      <w:suff w:val="tab"/>
      <w:lvlText w:val="%8)"/>
      <w:lvlJc w:val="left"/>
      <w:pPr>
        <w:pStyle w:val="695"/>
        <w:ind w:left="3784" w:hanging="420"/>
      </w:pPr>
    </w:lvl>
    <w:lvl w:ilvl="8">
      <w:start w:val="1"/>
      <w:numFmt w:val="lowerRoman"/>
      <w:isLgl w:val="false"/>
      <w:suff w:val="tab"/>
      <w:lvlText w:val="%9."/>
      <w:lvlJc w:val="right"/>
      <w:pPr>
        <w:pStyle w:val="695"/>
        <w:ind w:left="4204" w:hanging="420"/>
      </w:pPr>
    </w:lvl>
  </w:abstractNum>
  <w:abstractNum w:abstractNumId="3">
    <w:multiLevelType w:val="hybridMultilevel"/>
    <w:lvl w:ilvl="0">
      <w:start w:val="1"/>
      <w:numFmt w:val="decimal"/>
      <w:isLgl w:val="false"/>
      <w:suff w:val="space"/>
      <w:lvlText w:val="%1."/>
      <w:lvlJc w:val="left"/>
      <w:pPr>
        <w:pStyle w:val="695"/>
      </w:pPr>
    </w:lvl>
    <w:lvl w:ilvl="1">
      <w:start w:val="1"/>
      <w:numFmt w:val="bullet"/>
      <w:isLgl w:val="false"/>
      <w:suff w:val="tab"/>
      <w:lvlText w:val="o"/>
      <w:lvlJc w:val="left"/>
      <w:pPr>
        <w:pStyle w:val="695"/>
        <w:ind w:left="1440" w:hanging="360"/>
      </w:pPr>
      <w:rPr>
        <w:rFonts w:ascii="Courier New" w:hAnsi="Courier New" w:eastAsia="Courier New" w:cs="Courier New"/>
      </w:rPr>
    </w:lvl>
    <w:lvl w:ilvl="2">
      <w:start w:val="1"/>
      <w:numFmt w:val="bullet"/>
      <w:isLgl w:val="false"/>
      <w:suff w:val="tab"/>
      <w:lvlText w:val="§"/>
      <w:lvlJc w:val="left"/>
      <w:pPr>
        <w:pStyle w:val="695"/>
        <w:ind w:left="2160" w:hanging="360"/>
      </w:pPr>
      <w:rPr>
        <w:rFonts w:ascii="Wingdings" w:hAnsi="Wingdings" w:eastAsia="Wingdings" w:cs="Wingdings"/>
      </w:rPr>
    </w:lvl>
    <w:lvl w:ilvl="3">
      <w:start w:val="1"/>
      <w:numFmt w:val="bullet"/>
      <w:isLgl w:val="false"/>
      <w:suff w:val="tab"/>
      <w:lvlText w:val="·"/>
      <w:lvlJc w:val="left"/>
      <w:pPr>
        <w:pStyle w:val="695"/>
        <w:ind w:left="2880" w:hanging="360"/>
      </w:pPr>
      <w:rPr>
        <w:rFonts w:ascii="Symbol" w:hAnsi="Symbol" w:eastAsia="Symbol" w:cs="Symbol"/>
      </w:rPr>
    </w:lvl>
    <w:lvl w:ilvl="4">
      <w:start w:val="1"/>
      <w:numFmt w:val="bullet"/>
      <w:isLgl w:val="false"/>
      <w:suff w:val="tab"/>
      <w:lvlText w:val="o"/>
      <w:lvlJc w:val="left"/>
      <w:pPr>
        <w:pStyle w:val="695"/>
        <w:ind w:left="3600" w:hanging="360"/>
      </w:pPr>
      <w:rPr>
        <w:rFonts w:ascii="Courier New" w:hAnsi="Courier New" w:eastAsia="Courier New" w:cs="Courier New"/>
      </w:rPr>
    </w:lvl>
    <w:lvl w:ilvl="5">
      <w:start w:val="1"/>
      <w:numFmt w:val="bullet"/>
      <w:isLgl w:val="false"/>
      <w:suff w:val="tab"/>
      <w:lvlText w:val="§"/>
      <w:lvlJc w:val="left"/>
      <w:pPr>
        <w:pStyle w:val="695"/>
        <w:ind w:left="4320" w:hanging="360"/>
      </w:pPr>
      <w:rPr>
        <w:rFonts w:ascii="Wingdings" w:hAnsi="Wingdings" w:eastAsia="Wingdings" w:cs="Wingdings"/>
      </w:rPr>
    </w:lvl>
    <w:lvl w:ilvl="6">
      <w:start w:val="1"/>
      <w:numFmt w:val="bullet"/>
      <w:isLgl w:val="false"/>
      <w:suff w:val="tab"/>
      <w:lvlText w:val="·"/>
      <w:lvlJc w:val="left"/>
      <w:pPr>
        <w:pStyle w:val="695"/>
        <w:ind w:left="5040" w:hanging="360"/>
      </w:pPr>
      <w:rPr>
        <w:rFonts w:ascii="Symbol" w:hAnsi="Symbol" w:eastAsia="Symbol" w:cs="Symbol"/>
      </w:rPr>
    </w:lvl>
    <w:lvl w:ilvl="7">
      <w:start w:val="1"/>
      <w:numFmt w:val="bullet"/>
      <w:isLgl w:val="false"/>
      <w:suff w:val="tab"/>
      <w:lvlText w:val="o"/>
      <w:lvlJc w:val="left"/>
      <w:pPr>
        <w:pStyle w:val="695"/>
        <w:ind w:left="5760" w:hanging="360"/>
      </w:pPr>
      <w:rPr>
        <w:rFonts w:ascii="Courier New" w:hAnsi="Courier New" w:eastAsia="Courier New" w:cs="Courier New"/>
      </w:rPr>
    </w:lvl>
    <w:lvl w:ilvl="8">
      <w:start w:val="1"/>
      <w:numFmt w:val="bullet"/>
      <w:isLgl w:val="false"/>
      <w:suff w:val="tab"/>
      <w:lvlText w:val="§"/>
      <w:lvlJc w:val="left"/>
      <w:pPr>
        <w:pStyle w:val="695"/>
        <w:ind w:left="6480" w:hanging="360"/>
      </w:pPr>
      <w:rPr>
        <w:rFonts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6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decimal"/>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decimal"/>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decimal"/>
      <w:isLgl w:val="false"/>
      <w:suff w:val="tab"/>
      <w:lvlText w:val="%9."/>
      <w:lvlJc w:val="right"/>
      <w:pPr>
        <w:ind w:left="4204" w:hanging="420"/>
      </w:pPr>
    </w:lvl>
  </w:abstractNum>
  <w:abstractNum w:abstractNumId="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quot;&quot;"/>
      <w:lvlJc w:val="left"/>
      <w:pPr>
        <w:ind w:left="360" w:hanging="360"/>
      </w:pPr>
      <w:rPr>
        <w:rFonts w:hint="default" w:ascii="Wingdings" w:hAnsi="Wingdings" w:eastAsia="Wingdings" w:cs="Wingdings"/>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decimal"/>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decimal"/>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decimal"/>
      <w:isLgl w:val="false"/>
      <w:suff w:val="tab"/>
      <w:lvlText w:val="%9."/>
      <w:lvlJc w:val="right"/>
      <w:pPr>
        <w:ind w:left="4204" w:hanging="420"/>
      </w:p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quot;&quot;"/>
      <w:lvlJc w:val="left"/>
      <w:pPr>
        <w:ind w:left="360" w:hanging="360"/>
      </w:pPr>
      <w:rPr>
        <w:rFonts w:hint="default" w:ascii="Wingdings" w:hAnsi="Wingdings" w:eastAsia="Wingdings" w:cs="Wingdings"/>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Title"/>
    <w:basedOn w:val="695"/>
    <w:next w:val="695"/>
    <w:link w:val="736"/>
    <w:uiPriority w:val="10"/>
    <w:qFormat/>
    <w:pPr>
      <w:contextualSpacing/>
      <w:spacing w:before="300" w:after="200"/>
    </w:pPr>
    <w:rPr>
      <w:sz w:val="48"/>
      <w:szCs w:val="48"/>
    </w:rPr>
  </w:style>
  <w:style w:type="paragraph" w:styleId="675">
    <w:name w:val="Subtitle"/>
    <w:basedOn w:val="695"/>
    <w:next w:val="695"/>
    <w:link w:val="725"/>
    <w:uiPriority w:val="11"/>
    <w:qFormat/>
    <w:pPr>
      <w:spacing w:before="200" w:after="200"/>
    </w:pPr>
    <w:rPr>
      <w:sz w:val="24"/>
      <w:szCs w:val="24"/>
    </w:rPr>
  </w:style>
  <w:style w:type="paragraph" w:styleId="676">
    <w:name w:val="Header"/>
    <w:basedOn w:val="695"/>
    <w:link w:val="780"/>
    <w:uiPriority w:val="99"/>
    <w:unhideWhenUsed/>
    <w:pPr>
      <w:spacing w:after="0" w:line="240" w:lineRule="auto"/>
      <w:tabs>
        <w:tab w:val="center" w:pos="7143" w:leader="none"/>
        <w:tab w:val="right" w:pos="14287" w:leader="none"/>
      </w:tabs>
    </w:pPr>
  </w:style>
  <w:style w:type="paragraph" w:styleId="677">
    <w:name w:val="Footer"/>
    <w:basedOn w:val="695"/>
    <w:link w:val="782"/>
    <w:uiPriority w:val="99"/>
    <w:unhideWhenUsed/>
    <w:pPr>
      <w:spacing w:after="0" w:line="240" w:lineRule="auto"/>
      <w:tabs>
        <w:tab w:val="center" w:pos="7143" w:leader="none"/>
        <w:tab w:val="right" w:pos="14287" w:leader="none"/>
      </w:tabs>
    </w:pPr>
  </w:style>
  <w:style w:type="paragraph" w:styleId="678">
    <w:name w:val="Caption"/>
    <w:basedOn w:val="695"/>
    <w:next w:val="695"/>
    <w:uiPriority w:val="35"/>
    <w:semiHidden/>
    <w:unhideWhenUsed/>
    <w:qFormat/>
    <w:pPr>
      <w:spacing w:line="276" w:lineRule="auto"/>
    </w:pPr>
    <w:rPr>
      <w:b/>
      <w:bCs/>
      <w:color w:val="4f81bd" w:themeColor="accent1"/>
      <w:sz w:val="18"/>
      <w:szCs w:val="18"/>
    </w:rPr>
  </w:style>
  <w:style w:type="table" w:styleId="6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Hyperlink"/>
    <w:uiPriority w:val="99"/>
    <w:unhideWhenUsed/>
    <w:rPr>
      <w:color w:val="0000ff" w:themeColor="hyperlink"/>
      <w:u w:val="single"/>
    </w:rPr>
  </w:style>
  <w:style w:type="paragraph" w:styleId="681">
    <w:name w:val="footnote text"/>
    <w:basedOn w:val="695"/>
    <w:link w:val="727"/>
    <w:uiPriority w:val="99"/>
    <w:semiHidden/>
    <w:unhideWhenUsed/>
    <w:pPr>
      <w:spacing w:after="40" w:line="240" w:lineRule="auto"/>
    </w:pPr>
    <w:rPr>
      <w:sz w:val="18"/>
    </w:rPr>
  </w:style>
  <w:style w:type="character" w:styleId="682">
    <w:name w:val="footnote reference"/>
    <w:uiPriority w:val="99"/>
    <w:unhideWhenUsed/>
    <w:rPr>
      <w:vertAlign w:val="superscript"/>
    </w:rPr>
  </w:style>
  <w:style w:type="paragraph" w:styleId="683">
    <w:name w:val="endnote text"/>
    <w:basedOn w:val="695"/>
    <w:link w:val="717"/>
    <w:uiPriority w:val="99"/>
    <w:semiHidden/>
    <w:unhideWhenUsed/>
    <w:pPr>
      <w:spacing w:after="0" w:line="240" w:lineRule="auto"/>
    </w:pPr>
    <w:rPr>
      <w:sz w:val="20"/>
    </w:rPr>
  </w:style>
  <w:style w:type="character" w:styleId="684">
    <w:name w:val="endnote reference"/>
    <w:uiPriority w:val="99"/>
    <w:semiHidden/>
    <w:unhideWhenUsed/>
    <w:rPr>
      <w:vertAlign w:val="superscript"/>
    </w:rPr>
  </w:style>
  <w:style w:type="paragraph" w:styleId="685">
    <w:name w:val="toc 1"/>
    <w:basedOn w:val="695"/>
    <w:next w:val="695"/>
    <w:uiPriority w:val="39"/>
    <w:unhideWhenUsed/>
    <w:pPr>
      <w:ind w:left="0" w:right="0" w:firstLine="0"/>
      <w:spacing w:after="57"/>
    </w:pPr>
  </w:style>
  <w:style w:type="paragraph" w:styleId="686">
    <w:name w:val="toc 2"/>
    <w:basedOn w:val="695"/>
    <w:next w:val="695"/>
    <w:uiPriority w:val="39"/>
    <w:unhideWhenUsed/>
    <w:pPr>
      <w:ind w:left="283" w:right="0" w:firstLine="0"/>
      <w:spacing w:after="57"/>
    </w:pPr>
  </w:style>
  <w:style w:type="paragraph" w:styleId="687">
    <w:name w:val="toc 3"/>
    <w:basedOn w:val="695"/>
    <w:next w:val="695"/>
    <w:uiPriority w:val="39"/>
    <w:unhideWhenUsed/>
    <w:pPr>
      <w:ind w:left="567" w:right="0" w:firstLine="0"/>
      <w:spacing w:after="57"/>
    </w:pPr>
  </w:style>
  <w:style w:type="paragraph" w:styleId="688">
    <w:name w:val="toc 4"/>
    <w:basedOn w:val="695"/>
    <w:next w:val="695"/>
    <w:uiPriority w:val="39"/>
    <w:unhideWhenUsed/>
    <w:pPr>
      <w:ind w:left="850" w:right="0" w:firstLine="0"/>
      <w:spacing w:after="57"/>
    </w:pPr>
  </w:style>
  <w:style w:type="paragraph" w:styleId="689">
    <w:name w:val="toc 5"/>
    <w:basedOn w:val="695"/>
    <w:next w:val="695"/>
    <w:uiPriority w:val="39"/>
    <w:unhideWhenUsed/>
    <w:pPr>
      <w:ind w:left="1134" w:right="0" w:firstLine="0"/>
      <w:spacing w:after="57"/>
    </w:pPr>
  </w:style>
  <w:style w:type="paragraph" w:styleId="690">
    <w:name w:val="toc 6"/>
    <w:basedOn w:val="695"/>
    <w:next w:val="695"/>
    <w:uiPriority w:val="39"/>
    <w:unhideWhenUsed/>
    <w:pPr>
      <w:ind w:left="1417" w:right="0" w:firstLine="0"/>
      <w:spacing w:after="57"/>
    </w:pPr>
  </w:style>
  <w:style w:type="paragraph" w:styleId="691">
    <w:name w:val="toc 7"/>
    <w:basedOn w:val="695"/>
    <w:next w:val="695"/>
    <w:uiPriority w:val="39"/>
    <w:unhideWhenUsed/>
    <w:pPr>
      <w:ind w:left="1701" w:right="0" w:firstLine="0"/>
      <w:spacing w:after="57"/>
    </w:pPr>
  </w:style>
  <w:style w:type="paragraph" w:styleId="692">
    <w:name w:val="toc 8"/>
    <w:basedOn w:val="695"/>
    <w:next w:val="695"/>
    <w:uiPriority w:val="39"/>
    <w:unhideWhenUsed/>
    <w:pPr>
      <w:ind w:left="1984" w:right="0" w:firstLine="0"/>
      <w:spacing w:after="57"/>
    </w:pPr>
  </w:style>
  <w:style w:type="paragraph" w:styleId="693">
    <w:name w:val="toc 9"/>
    <w:basedOn w:val="695"/>
    <w:next w:val="695"/>
    <w:uiPriority w:val="39"/>
    <w:unhideWhenUsed/>
    <w:pPr>
      <w:ind w:left="2268" w:right="0" w:firstLine="0"/>
      <w:spacing w:after="57"/>
    </w:pPr>
  </w:style>
  <w:style w:type="paragraph" w:styleId="694">
    <w:name w:val="table of figures"/>
    <w:basedOn w:val="695"/>
    <w:next w:val="695"/>
    <w:uiPriority w:val="99"/>
    <w:unhideWhenUsed/>
    <w:pPr>
      <w:spacing w:after="0" w:afterAutospacing="0"/>
    </w:pPr>
  </w:style>
  <w:style w:type="paragraph" w:styleId="695" w:default="1">
    <w:name w:val="Normal"/>
    <w:next w:val="695"/>
    <w:link w:val="695"/>
    <w:qFormat/>
    <w:pPr>
      <w:jc w:val="both"/>
      <w:widowControl w:val="off"/>
    </w:pPr>
    <w:rPr>
      <w:rFonts w:ascii="Calibri" w:hAnsi="Calibri" w:eastAsia="Arial" w:cs="Arial"/>
      <w:sz w:val="21"/>
      <w:szCs w:val="24"/>
      <w:lang w:eastAsia="zh-CN"/>
    </w:rPr>
  </w:style>
  <w:style w:type="paragraph" w:styleId="696">
    <w:name w:val="标题 2"/>
    <w:basedOn w:val="695"/>
    <w:next w:val="695"/>
    <w:link w:val="699"/>
    <w:unhideWhenUsed/>
    <w:qFormat/>
    <w:pPr>
      <w:keepLines/>
      <w:keepNext/>
      <w:spacing w:before="260" w:after="260" w:line="416" w:lineRule="auto"/>
      <w:outlineLvl w:val="1"/>
    </w:pPr>
    <w:rPr>
      <w:rFonts w:ascii="Cambria" w:hAnsi="Cambria" w:eastAsia="宋体" w:cs="Times New Roman"/>
      <w:b/>
      <w:bCs/>
      <w:sz w:val="32"/>
      <w:szCs w:val="32"/>
    </w:rPr>
  </w:style>
  <w:style w:type="character" w:styleId="697">
    <w:name w:val="默认段落字体"/>
    <w:next w:val="697"/>
    <w:link w:val="695"/>
    <w:uiPriority w:val="1"/>
    <w:unhideWhenUsed/>
    <w:qFormat/>
  </w:style>
  <w:style w:type="table" w:styleId="698">
    <w:name w:val="普通表格"/>
    <w:next w:val="698"/>
    <w:link w:val="695"/>
    <w:uiPriority w:val="99"/>
    <w:unhideWhenUsed/>
    <w:qFormat/>
    <w:tblPr/>
  </w:style>
  <w:style w:type="character" w:styleId="699">
    <w:name w:val="标题 2 Char"/>
    <w:basedOn w:val="697"/>
    <w:next w:val="699"/>
    <w:link w:val="696"/>
    <w:semiHidden/>
    <w:qFormat/>
    <w:rPr>
      <w:rFonts w:ascii="Cambria" w:hAnsi="Cambria" w:eastAsia="宋体" w:cs="Times New Roman"/>
      <w:b/>
      <w:bCs/>
      <w:sz w:val="32"/>
      <w:szCs w:val="32"/>
    </w:rPr>
  </w:style>
  <w:style w:type="paragraph" w:styleId="700">
    <w:name w:val="目录 7"/>
    <w:basedOn w:val="695"/>
    <w:next w:val="695"/>
    <w:link w:val="695"/>
    <w:uiPriority w:val="39"/>
    <w:unhideWhenUsed/>
    <w:qFormat/>
    <w:pPr>
      <w:ind w:left="1701" w:right="0" w:firstLine="0"/>
      <w:spacing w:after="57"/>
    </w:pPr>
  </w:style>
  <w:style w:type="paragraph" w:styleId="701">
    <w:name w:val="正文缩进"/>
    <w:basedOn w:val="695"/>
    <w:next w:val="695"/>
    <w:link w:val="702"/>
    <w:qFormat/>
    <w:pPr>
      <w:ind w:firstLine="420"/>
      <w:jc w:val="left"/>
    </w:pPr>
    <w:rPr>
      <w:rFonts w:ascii="Times New Roman" w:hAnsi="Times New Roman" w:eastAsia="楷体_GB2312" w:cs="Times New Roman"/>
      <w:sz w:val="24"/>
      <w:szCs w:val="20"/>
    </w:rPr>
  </w:style>
  <w:style w:type="character" w:styleId="702">
    <w:name w:val="正文缩进 字符"/>
    <w:next w:val="702"/>
    <w:link w:val="701"/>
    <w:qFormat/>
    <w:rPr>
      <w:rFonts w:eastAsia="楷体_GB2312"/>
      <w:sz w:val="24"/>
    </w:rPr>
  </w:style>
  <w:style w:type="paragraph" w:styleId="703">
    <w:name w:val="批注文字"/>
    <w:basedOn w:val="695"/>
    <w:next w:val="703"/>
    <w:link w:val="704"/>
    <w:qFormat/>
    <w:pPr>
      <w:jc w:val="left"/>
    </w:pPr>
  </w:style>
  <w:style w:type="character" w:styleId="704">
    <w:name w:val="批注文字 字符1"/>
    <w:basedOn w:val="697"/>
    <w:next w:val="704"/>
    <w:link w:val="703"/>
    <w:qFormat/>
    <w:rPr>
      <w:rFonts w:ascii="Calibri" w:hAnsi="Calibri" w:eastAsia="Arial" w:cs="Arial"/>
      <w:sz w:val="21"/>
      <w:szCs w:val="24"/>
    </w:rPr>
  </w:style>
  <w:style w:type="paragraph" w:styleId="705">
    <w:name w:val="正文文本"/>
    <w:basedOn w:val="695"/>
    <w:next w:val="695"/>
    <w:link w:val="706"/>
    <w:uiPriority w:val="99"/>
    <w:unhideWhenUsed/>
    <w:qFormat/>
    <w:pPr>
      <w:spacing w:after="120"/>
    </w:pPr>
    <w:rPr>
      <w:rFonts w:ascii="Times New Roman" w:hAnsi="Times New Roman" w:eastAsia="宋体" w:cs="Times New Roman"/>
    </w:rPr>
  </w:style>
  <w:style w:type="character" w:styleId="706">
    <w:name w:val="正文文本 字符"/>
    <w:basedOn w:val="697"/>
    <w:next w:val="706"/>
    <w:link w:val="705"/>
    <w:qFormat/>
    <w:rPr>
      <w:rFonts w:ascii="Calibri" w:hAnsi="Calibri" w:eastAsia="Arial" w:cs="Arial"/>
      <w:sz w:val="21"/>
      <w:szCs w:val="24"/>
    </w:rPr>
  </w:style>
  <w:style w:type="paragraph" w:styleId="707">
    <w:name w:val="正文文本缩进"/>
    <w:basedOn w:val="695"/>
    <w:next w:val="709"/>
    <w:link w:val="708"/>
    <w:qFormat/>
    <w:pPr>
      <w:ind w:left="420"/>
      <w:spacing w:after="120"/>
    </w:pPr>
  </w:style>
  <w:style w:type="character" w:styleId="708">
    <w:name w:val="正文文本缩进 字符"/>
    <w:basedOn w:val="697"/>
    <w:next w:val="708"/>
    <w:link w:val="707"/>
    <w:qFormat/>
    <w:rPr>
      <w:rFonts w:ascii="Calibri" w:hAnsi="Calibri" w:eastAsia="Arial" w:cs="Arial"/>
      <w:sz w:val="21"/>
      <w:szCs w:val="24"/>
    </w:rPr>
  </w:style>
  <w:style w:type="paragraph" w:styleId="709">
    <w:name w:val="寄信人地址"/>
    <w:basedOn w:val="695"/>
    <w:next w:val="709"/>
    <w:link w:val="695"/>
    <w:qFormat/>
    <w:rPr>
      <w:rFonts w:ascii="Arial" w:hAnsi="Arial" w:eastAsia="KaiTi_GB2312" w:cs="Times New Roman"/>
      <w:sz w:val="26"/>
      <w:szCs w:val="20"/>
    </w:rPr>
  </w:style>
  <w:style w:type="paragraph" w:styleId="710">
    <w:name w:val="文本块"/>
    <w:basedOn w:val="695"/>
    <w:next w:val="710"/>
    <w:link w:val="695"/>
    <w:qFormat/>
    <w:pPr>
      <w:ind w:left="630" w:right="-609" w:firstLine="420"/>
      <w:spacing w:line="360" w:lineRule="auto"/>
    </w:pPr>
    <w:rPr>
      <w:rFonts w:hint="eastAsia" w:ascii="仿宋_GB2312" w:hAnsi="Times New Roman" w:eastAsia="仿宋_GB2312" w:cs="Times New Roman"/>
      <w:szCs w:val="20"/>
    </w:rPr>
  </w:style>
  <w:style w:type="paragraph" w:styleId="711">
    <w:name w:val="目录 5"/>
    <w:basedOn w:val="695"/>
    <w:next w:val="695"/>
    <w:link w:val="695"/>
    <w:uiPriority w:val="39"/>
    <w:unhideWhenUsed/>
    <w:qFormat/>
    <w:pPr>
      <w:ind w:left="1134" w:right="0" w:firstLine="0"/>
      <w:spacing w:after="57"/>
    </w:pPr>
  </w:style>
  <w:style w:type="paragraph" w:styleId="712">
    <w:name w:val="目录 3"/>
    <w:basedOn w:val="695"/>
    <w:next w:val="695"/>
    <w:link w:val="695"/>
    <w:uiPriority w:val="39"/>
    <w:unhideWhenUsed/>
    <w:qFormat/>
    <w:pPr>
      <w:ind w:left="567" w:right="0" w:firstLine="0"/>
      <w:spacing w:after="57"/>
    </w:pPr>
  </w:style>
  <w:style w:type="paragraph" w:styleId="713">
    <w:name w:val="纯文本"/>
    <w:basedOn w:val="695"/>
    <w:next w:val="713"/>
    <w:link w:val="714"/>
    <w:qFormat/>
    <w:pPr>
      <w:jc w:val="left"/>
      <w:widowControl/>
    </w:pPr>
    <w:rPr>
      <w:rFonts w:ascii="宋体" w:hAnsi="Courier New" w:eastAsia="楷体_GB2312" w:cs="Times New Roman"/>
      <w:sz w:val="26"/>
    </w:rPr>
  </w:style>
  <w:style w:type="character" w:styleId="714">
    <w:name w:val="纯文本 字符"/>
    <w:basedOn w:val="697"/>
    <w:next w:val="714"/>
    <w:link w:val="713"/>
    <w:qFormat/>
    <w:rPr>
      <w:rFonts w:ascii="宋体" w:hAnsi="Courier New" w:cs="Courier New"/>
      <w:sz w:val="21"/>
      <w:szCs w:val="21"/>
    </w:rPr>
  </w:style>
  <w:style w:type="paragraph" w:styleId="715">
    <w:name w:val="目录 8"/>
    <w:basedOn w:val="695"/>
    <w:next w:val="695"/>
    <w:link w:val="695"/>
    <w:uiPriority w:val="39"/>
    <w:unhideWhenUsed/>
    <w:qFormat/>
    <w:pPr>
      <w:ind w:left="1984" w:right="0" w:firstLine="0"/>
      <w:spacing w:after="57"/>
    </w:pPr>
  </w:style>
  <w:style w:type="paragraph" w:styleId="716">
    <w:name w:val="尾注文本"/>
    <w:basedOn w:val="695"/>
    <w:next w:val="716"/>
    <w:link w:val="717"/>
    <w:uiPriority w:val="99"/>
    <w:unhideWhenUsed/>
    <w:qFormat/>
    <w:pPr>
      <w:spacing w:after="0" w:line="240" w:lineRule="auto"/>
    </w:pPr>
    <w:rPr>
      <w:sz w:val="20"/>
    </w:rPr>
  </w:style>
  <w:style w:type="character" w:styleId="717">
    <w:name w:val="Endnote Text Char"/>
    <w:next w:val="717"/>
    <w:link w:val="716"/>
    <w:uiPriority w:val="99"/>
    <w:qFormat/>
    <w:rPr>
      <w:sz w:val="20"/>
    </w:rPr>
  </w:style>
  <w:style w:type="paragraph" w:styleId="718">
    <w:name w:val="批注框文本"/>
    <w:basedOn w:val="695"/>
    <w:next w:val="718"/>
    <w:link w:val="719"/>
    <w:qFormat/>
    <w:rPr>
      <w:sz w:val="18"/>
      <w:szCs w:val="18"/>
    </w:rPr>
  </w:style>
  <w:style w:type="character" w:styleId="719">
    <w:name w:val="批注框文本 字符"/>
    <w:basedOn w:val="697"/>
    <w:next w:val="719"/>
    <w:link w:val="718"/>
    <w:qFormat/>
    <w:rPr>
      <w:rFonts w:ascii="Calibri" w:hAnsi="Calibri" w:eastAsia="Arial" w:cs="Arial"/>
      <w:sz w:val="18"/>
      <w:szCs w:val="18"/>
    </w:rPr>
  </w:style>
  <w:style w:type="paragraph" w:styleId="720">
    <w:name w:val="页脚"/>
    <w:basedOn w:val="695"/>
    <w:next w:val="720"/>
    <w:link w:val="695"/>
    <w:uiPriority w:val="99"/>
    <w:unhideWhenUsed/>
    <w:pPr>
      <w:jc w:val="left"/>
      <w:tabs>
        <w:tab w:val="center" w:pos="4153" w:leader="none"/>
        <w:tab w:val="right" w:pos="8306" w:leader="none"/>
      </w:tabs>
    </w:pPr>
    <w:rPr>
      <w:sz w:val="18"/>
    </w:rPr>
  </w:style>
  <w:style w:type="paragraph" w:styleId="721">
    <w:name w:val="页眉"/>
    <w:basedOn w:val="695"/>
    <w:next w:val="721"/>
    <w:link w:val="695"/>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722">
    <w:name w:val="目录 1"/>
    <w:basedOn w:val="695"/>
    <w:next w:val="695"/>
    <w:link w:val="695"/>
    <w:qFormat/>
    <w:pPr>
      <w:jc w:val="left"/>
    </w:pPr>
    <w:rPr>
      <w:rFonts w:ascii="Times New Roman" w:hAnsi="Times New Roman" w:eastAsia="楷体_GB2312" w:cs="Times New Roman"/>
      <w:sz w:val="24"/>
      <w:szCs w:val="20"/>
    </w:rPr>
  </w:style>
  <w:style w:type="paragraph" w:styleId="723">
    <w:name w:val="目录 4"/>
    <w:basedOn w:val="695"/>
    <w:next w:val="695"/>
    <w:link w:val="695"/>
    <w:uiPriority w:val="39"/>
    <w:unhideWhenUsed/>
    <w:qFormat/>
    <w:pPr>
      <w:ind w:left="850" w:right="0" w:firstLine="0"/>
      <w:spacing w:after="57"/>
    </w:pPr>
  </w:style>
  <w:style w:type="paragraph" w:styleId="724">
    <w:name w:val="副标题"/>
    <w:basedOn w:val="695"/>
    <w:next w:val="695"/>
    <w:link w:val="725"/>
    <w:uiPriority w:val="11"/>
    <w:qFormat/>
    <w:pPr>
      <w:spacing w:before="200" w:after="200"/>
    </w:pPr>
    <w:rPr>
      <w:sz w:val="24"/>
      <w:szCs w:val="24"/>
    </w:rPr>
  </w:style>
  <w:style w:type="character" w:styleId="725">
    <w:name w:val="Subtitle Char"/>
    <w:basedOn w:val="697"/>
    <w:next w:val="725"/>
    <w:link w:val="724"/>
    <w:uiPriority w:val="11"/>
    <w:qFormat/>
    <w:rPr>
      <w:sz w:val="24"/>
      <w:szCs w:val="24"/>
    </w:rPr>
  </w:style>
  <w:style w:type="paragraph" w:styleId="726">
    <w:name w:val="脚注文本"/>
    <w:basedOn w:val="695"/>
    <w:next w:val="726"/>
    <w:link w:val="727"/>
    <w:uiPriority w:val="99"/>
    <w:unhideWhenUsed/>
    <w:qFormat/>
    <w:pPr>
      <w:spacing w:after="40" w:line="240" w:lineRule="auto"/>
    </w:pPr>
    <w:rPr>
      <w:sz w:val="18"/>
    </w:rPr>
  </w:style>
  <w:style w:type="character" w:styleId="727">
    <w:name w:val="Footnote Text Char"/>
    <w:next w:val="727"/>
    <w:link w:val="726"/>
    <w:uiPriority w:val="99"/>
    <w:qFormat/>
    <w:rPr>
      <w:sz w:val="18"/>
    </w:rPr>
  </w:style>
  <w:style w:type="paragraph" w:styleId="728">
    <w:name w:val="目录 6"/>
    <w:basedOn w:val="695"/>
    <w:next w:val="695"/>
    <w:link w:val="695"/>
    <w:uiPriority w:val="39"/>
    <w:unhideWhenUsed/>
    <w:qFormat/>
    <w:pPr>
      <w:ind w:left="1417" w:right="0" w:firstLine="0"/>
      <w:spacing w:after="57"/>
    </w:pPr>
  </w:style>
  <w:style w:type="paragraph" w:styleId="729">
    <w:name w:val="正文文本缩进 3"/>
    <w:basedOn w:val="695"/>
    <w:next w:val="729"/>
    <w:link w:val="730"/>
    <w:qFormat/>
    <w:pPr>
      <w:ind w:firstLine="480"/>
      <w:jc w:val="left"/>
      <w:spacing w:line="440" w:lineRule="atLeast"/>
    </w:pPr>
    <w:rPr>
      <w:rFonts w:ascii="Times New Roman" w:hAnsi="Times New Roman" w:eastAsia="宋体" w:cs="Times New Roman"/>
      <w:sz w:val="24"/>
    </w:rPr>
  </w:style>
  <w:style w:type="character" w:styleId="730">
    <w:name w:val="正文文本缩进 3 字符"/>
    <w:basedOn w:val="697"/>
    <w:next w:val="730"/>
    <w:link w:val="729"/>
    <w:qFormat/>
    <w:rPr>
      <w:rFonts w:ascii="Calibri" w:hAnsi="Calibri" w:eastAsia="Arial" w:cs="Arial"/>
      <w:sz w:val="16"/>
      <w:szCs w:val="16"/>
    </w:rPr>
  </w:style>
  <w:style w:type="paragraph" w:styleId="731">
    <w:name w:val="图表目录"/>
    <w:basedOn w:val="695"/>
    <w:next w:val="695"/>
    <w:link w:val="695"/>
    <w:uiPriority w:val="99"/>
    <w:unhideWhenUsed/>
    <w:qFormat/>
    <w:pPr>
      <w:spacing w:after="0" w:afterAutospacing="0"/>
    </w:pPr>
  </w:style>
  <w:style w:type="paragraph" w:styleId="732">
    <w:name w:val="目录 2"/>
    <w:basedOn w:val="695"/>
    <w:next w:val="695"/>
    <w:link w:val="695"/>
    <w:uiPriority w:val="39"/>
    <w:unhideWhenUsed/>
    <w:qFormat/>
    <w:pPr>
      <w:ind w:left="283" w:right="0" w:firstLine="0"/>
      <w:spacing w:after="57"/>
    </w:pPr>
  </w:style>
  <w:style w:type="paragraph" w:styleId="733">
    <w:name w:val="目录 9"/>
    <w:basedOn w:val="695"/>
    <w:next w:val="695"/>
    <w:link w:val="695"/>
    <w:uiPriority w:val="39"/>
    <w:unhideWhenUsed/>
    <w:qFormat/>
    <w:pPr>
      <w:ind w:left="2268" w:right="0" w:firstLine="0"/>
      <w:spacing w:after="57"/>
    </w:pPr>
  </w:style>
  <w:style w:type="paragraph" w:styleId="734">
    <w:name w:val="普通(网站)"/>
    <w:basedOn w:val="695"/>
    <w:next w:val="734"/>
    <w:link w:val="695"/>
    <w:uiPriority w:val="99"/>
    <w:qFormat/>
    <w:pPr>
      <w:jc w:val="left"/>
      <w:spacing w:beforeAutospacing="1" w:afterAutospacing="1"/>
    </w:pPr>
    <w:rPr>
      <w:rFonts w:cs="Times New Roman"/>
      <w:sz w:val="24"/>
    </w:rPr>
  </w:style>
  <w:style w:type="paragraph" w:styleId="735">
    <w:name w:val="标题"/>
    <w:basedOn w:val="695"/>
    <w:next w:val="695"/>
    <w:link w:val="736"/>
    <w:uiPriority w:val="10"/>
    <w:qFormat/>
    <w:pPr>
      <w:contextualSpacing/>
      <w:spacing w:before="300" w:after="200"/>
    </w:pPr>
    <w:rPr>
      <w:sz w:val="48"/>
      <w:szCs w:val="48"/>
    </w:rPr>
  </w:style>
  <w:style w:type="character" w:styleId="736">
    <w:name w:val="Title Char"/>
    <w:basedOn w:val="697"/>
    <w:next w:val="736"/>
    <w:link w:val="735"/>
    <w:uiPriority w:val="10"/>
    <w:qFormat/>
    <w:rPr>
      <w:sz w:val="48"/>
      <w:szCs w:val="48"/>
    </w:rPr>
  </w:style>
  <w:style w:type="paragraph" w:styleId="737">
    <w:name w:val="批注主题"/>
    <w:basedOn w:val="703"/>
    <w:next w:val="703"/>
    <w:link w:val="738"/>
    <w:qFormat/>
    <w:rPr>
      <w:b/>
      <w:bCs/>
    </w:rPr>
  </w:style>
  <w:style w:type="character" w:styleId="738">
    <w:name w:val="批注主题 字符1"/>
    <w:basedOn w:val="704"/>
    <w:next w:val="738"/>
    <w:link w:val="737"/>
    <w:qFormat/>
    <w:rPr>
      <w:rFonts w:ascii="Calibri" w:hAnsi="Calibri" w:eastAsia="Arial" w:cs="Arial"/>
      <w:b/>
      <w:bCs/>
      <w:sz w:val="21"/>
      <w:szCs w:val="24"/>
    </w:rPr>
  </w:style>
  <w:style w:type="paragraph" w:styleId="739">
    <w:name w:val="正文首行缩进 2"/>
    <w:basedOn w:val="707"/>
    <w:next w:val="739"/>
    <w:link w:val="695"/>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40">
    <w:name w:val="网格型"/>
    <w:basedOn w:val="698"/>
    <w:next w:val="740"/>
    <w:link w:val="695"/>
    <w:uiPriority w:val="59"/>
    <w:qFormat/>
    <w:tblPr/>
  </w:style>
  <w:style w:type="character" w:styleId="741">
    <w:name w:val="要点"/>
    <w:basedOn w:val="697"/>
    <w:next w:val="741"/>
    <w:link w:val="695"/>
    <w:qFormat/>
    <w:rPr>
      <w:b/>
    </w:rPr>
  </w:style>
  <w:style w:type="character" w:styleId="742">
    <w:name w:val="尾注引用"/>
    <w:basedOn w:val="697"/>
    <w:next w:val="742"/>
    <w:link w:val="695"/>
    <w:uiPriority w:val="99"/>
    <w:unhideWhenUsed/>
    <w:qFormat/>
    <w:rPr>
      <w:vertAlign w:val="superscript"/>
    </w:rPr>
  </w:style>
  <w:style w:type="character" w:styleId="743">
    <w:name w:val="页码"/>
    <w:basedOn w:val="697"/>
    <w:next w:val="743"/>
    <w:link w:val="695"/>
    <w:qFormat/>
  </w:style>
  <w:style w:type="character" w:styleId="744">
    <w:name w:val="已访问的超链接"/>
    <w:basedOn w:val="697"/>
    <w:next w:val="744"/>
    <w:link w:val="695"/>
    <w:unhideWhenUsed/>
    <w:qFormat/>
    <w:rPr>
      <w:color w:val="333333"/>
      <w:u w:val="none"/>
    </w:rPr>
  </w:style>
  <w:style w:type="character" w:styleId="745">
    <w:name w:val="强调"/>
    <w:basedOn w:val="697"/>
    <w:next w:val="745"/>
    <w:link w:val="695"/>
    <w:qFormat/>
  </w:style>
  <w:style w:type="character" w:styleId="746">
    <w:name w:val="超链接"/>
    <w:basedOn w:val="697"/>
    <w:next w:val="746"/>
    <w:link w:val="695"/>
    <w:uiPriority w:val="99"/>
    <w:qFormat/>
    <w:rPr>
      <w:color w:val="333333"/>
      <w:u w:val="none"/>
    </w:rPr>
  </w:style>
  <w:style w:type="character" w:styleId="747">
    <w:name w:val="批注引用"/>
    <w:basedOn w:val="697"/>
    <w:next w:val="747"/>
    <w:link w:val="695"/>
    <w:qFormat/>
    <w:rPr>
      <w:sz w:val="21"/>
      <w:szCs w:val="21"/>
    </w:rPr>
  </w:style>
  <w:style w:type="character" w:styleId="748">
    <w:name w:val="脚注引用"/>
    <w:basedOn w:val="697"/>
    <w:next w:val="748"/>
    <w:link w:val="695"/>
    <w:uiPriority w:val="99"/>
    <w:unhideWhenUsed/>
    <w:qFormat/>
    <w:rPr>
      <w:vertAlign w:val="superscript"/>
    </w:rPr>
  </w:style>
  <w:style w:type="character" w:styleId="749">
    <w:name w:val="标题 2 字符"/>
    <w:basedOn w:val="697"/>
    <w:next w:val="749"/>
    <w:link w:val="750"/>
    <w:semiHidden/>
    <w:qFormat/>
    <w:rPr>
      <w:rFonts w:ascii="Calibri Light" w:hAnsi="Calibri Light" w:eastAsia="Arial" w:cs="Arial"/>
      <w:b/>
      <w:bCs/>
      <w:sz w:val="32"/>
      <w:szCs w:val="32"/>
    </w:rPr>
  </w:style>
  <w:style w:type="paragraph" w:styleId="750">
    <w:name w:val="Heading 2"/>
    <w:basedOn w:val="695"/>
    <w:next w:val="695"/>
    <w:link w:val="749"/>
    <w:unhideWhenUsed/>
    <w:qFormat/>
    <w:pPr>
      <w:keepLines/>
      <w:keepNext/>
      <w:spacing w:before="260" w:after="260" w:line="416" w:lineRule="auto"/>
      <w:outlineLvl w:val="1"/>
    </w:pPr>
    <w:rPr>
      <w:rFonts w:ascii="Calibri Light" w:hAnsi="Calibri Light" w:eastAsia="Arial" w:cs="Arial"/>
      <w:b/>
      <w:bCs/>
      <w:sz w:val="32"/>
      <w:szCs w:val="32"/>
    </w:rPr>
  </w:style>
  <w:style w:type="paragraph" w:styleId="751">
    <w:name w:val="Heading 1"/>
    <w:basedOn w:val="695"/>
    <w:next w:val="695"/>
    <w:link w:val="752"/>
    <w:qFormat/>
    <w:pPr>
      <w:keepLines/>
      <w:keepNext/>
      <w:spacing w:before="340" w:after="330" w:line="578" w:lineRule="auto"/>
      <w:outlineLvl w:val="0"/>
    </w:pPr>
    <w:rPr>
      <w:b/>
      <w:bCs/>
      <w:sz w:val="44"/>
      <w:szCs w:val="44"/>
    </w:rPr>
  </w:style>
  <w:style w:type="character" w:styleId="752">
    <w:name w:val="标题 1 字符"/>
    <w:basedOn w:val="697"/>
    <w:next w:val="752"/>
    <w:link w:val="751"/>
    <w:qFormat/>
    <w:rPr>
      <w:rFonts w:ascii="Calibri" w:hAnsi="Calibri" w:eastAsia="Arial" w:cs="Arial"/>
      <w:b/>
      <w:bCs/>
      <w:sz w:val="44"/>
      <w:szCs w:val="44"/>
    </w:rPr>
  </w:style>
  <w:style w:type="paragraph" w:styleId="753">
    <w:name w:val="Heading 3"/>
    <w:basedOn w:val="695"/>
    <w:next w:val="695"/>
    <w:link w:val="754"/>
    <w:qFormat/>
    <w:pPr>
      <w:keepLines/>
      <w:keepNext/>
      <w:spacing w:before="260" w:after="260" w:line="416" w:lineRule="auto"/>
      <w:outlineLvl w:val="2"/>
    </w:pPr>
    <w:rPr>
      <w:rFonts w:ascii="Times New Roman" w:hAnsi="Times New Roman" w:eastAsia="宋体" w:cs="Times New Roman"/>
      <w:b/>
      <w:sz w:val="32"/>
      <w:szCs w:val="20"/>
    </w:rPr>
  </w:style>
  <w:style w:type="character" w:styleId="754">
    <w:name w:val="标题 3 字符"/>
    <w:basedOn w:val="697"/>
    <w:next w:val="754"/>
    <w:link w:val="753"/>
    <w:qFormat/>
    <w:rPr>
      <w:b/>
      <w:sz w:val="32"/>
    </w:rPr>
  </w:style>
  <w:style w:type="paragraph" w:styleId="755">
    <w:name w:val="Heading 4"/>
    <w:basedOn w:val="695"/>
    <w:next w:val="695"/>
    <w:link w:val="695"/>
    <w:qFormat/>
    <w:pPr>
      <w:keepNext/>
      <w:outlineLvl w:val="3"/>
    </w:pPr>
    <w:rPr>
      <w:sz w:val="28"/>
      <w:szCs w:val="20"/>
    </w:rPr>
  </w:style>
  <w:style w:type="paragraph" w:styleId="756">
    <w:name w:val="Heading 5"/>
    <w:basedOn w:val="695"/>
    <w:next w:val="695"/>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basedOn w:val="697"/>
    <w:next w:val="757"/>
    <w:link w:val="756"/>
    <w:uiPriority w:val="9"/>
    <w:qFormat/>
    <w:rPr>
      <w:rFonts w:ascii="Arial" w:hAnsi="Arial" w:eastAsia="Arial" w:cs="Arial"/>
      <w:b/>
      <w:bCs/>
      <w:sz w:val="24"/>
      <w:szCs w:val="24"/>
    </w:rPr>
  </w:style>
  <w:style w:type="paragraph" w:styleId="758">
    <w:name w:val="Heading 6"/>
    <w:basedOn w:val="695"/>
    <w:next w:val="695"/>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basedOn w:val="697"/>
    <w:next w:val="759"/>
    <w:link w:val="758"/>
    <w:uiPriority w:val="9"/>
    <w:qFormat/>
    <w:rPr>
      <w:rFonts w:ascii="Arial" w:hAnsi="Arial" w:eastAsia="Arial" w:cs="Arial"/>
      <w:b/>
      <w:bCs/>
      <w:sz w:val="22"/>
      <w:szCs w:val="22"/>
    </w:rPr>
  </w:style>
  <w:style w:type="paragraph" w:styleId="760">
    <w:name w:val="Heading 7"/>
    <w:basedOn w:val="695"/>
    <w:next w:val="695"/>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basedOn w:val="697"/>
    <w:next w:val="761"/>
    <w:link w:val="760"/>
    <w:uiPriority w:val="9"/>
    <w:qFormat/>
    <w:rPr>
      <w:rFonts w:ascii="Arial" w:hAnsi="Arial" w:eastAsia="Arial" w:cs="Arial"/>
      <w:b/>
      <w:bCs/>
      <w:i/>
      <w:iCs/>
      <w:sz w:val="22"/>
      <w:szCs w:val="22"/>
    </w:rPr>
  </w:style>
  <w:style w:type="paragraph" w:styleId="762">
    <w:name w:val="Heading 8"/>
    <w:basedOn w:val="695"/>
    <w:next w:val="695"/>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basedOn w:val="697"/>
    <w:next w:val="763"/>
    <w:link w:val="762"/>
    <w:uiPriority w:val="9"/>
    <w:qFormat/>
    <w:rPr>
      <w:rFonts w:ascii="Arial" w:hAnsi="Arial" w:eastAsia="Arial" w:cs="Arial"/>
      <w:i/>
      <w:iCs/>
      <w:sz w:val="22"/>
      <w:szCs w:val="22"/>
    </w:rPr>
  </w:style>
  <w:style w:type="paragraph" w:styleId="764">
    <w:name w:val="Heading 9"/>
    <w:basedOn w:val="695"/>
    <w:next w:val="695"/>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basedOn w:val="697"/>
    <w:next w:val="765"/>
    <w:link w:val="764"/>
    <w:uiPriority w:val="9"/>
    <w:qFormat/>
    <w:rPr>
      <w:rFonts w:ascii="Arial" w:hAnsi="Arial" w:eastAsia="Arial" w:cs="Arial"/>
      <w:i/>
      <w:iCs/>
      <w:sz w:val="21"/>
      <w:szCs w:val="21"/>
    </w:rPr>
  </w:style>
  <w:style w:type="paragraph" w:styleId="766">
    <w:name w:val="Caption1"/>
    <w:basedOn w:val="695"/>
    <w:next w:val="695"/>
    <w:link w:val="695"/>
    <w:uiPriority w:val="35"/>
    <w:unhideWhenUsed/>
    <w:qFormat/>
    <w:pPr>
      <w:spacing w:line="276" w:lineRule="auto"/>
    </w:pPr>
    <w:rPr>
      <w:b/>
      <w:bCs/>
      <w:color w:val="5b9bd5"/>
      <w:sz w:val="18"/>
      <w:szCs w:val="18"/>
    </w:rPr>
  </w:style>
  <w:style w:type="paragraph" w:styleId="767">
    <w:name w:val="Footer1"/>
    <w:basedOn w:val="695"/>
    <w:next w:val="767"/>
    <w:link w:val="768"/>
    <w:qFormat/>
    <w:pPr>
      <w:jc w:val="left"/>
      <w:tabs>
        <w:tab w:val="center" w:pos="4153" w:leader="none"/>
        <w:tab w:val="right" w:pos="8306" w:leader="none"/>
      </w:tabs>
    </w:pPr>
    <w:rPr>
      <w:sz w:val="18"/>
      <w:szCs w:val="18"/>
    </w:rPr>
  </w:style>
  <w:style w:type="character" w:styleId="768">
    <w:name w:val="页脚 字符"/>
    <w:basedOn w:val="697"/>
    <w:next w:val="768"/>
    <w:link w:val="767"/>
    <w:qFormat/>
    <w:rPr>
      <w:rFonts w:ascii="Calibri" w:hAnsi="Calibri" w:eastAsia="Arial" w:cs="Arial"/>
      <w:sz w:val="18"/>
      <w:szCs w:val="18"/>
    </w:rPr>
  </w:style>
  <w:style w:type="paragraph" w:styleId="769">
    <w:name w:val="Header1"/>
    <w:basedOn w:val="695"/>
    <w:next w:val="769"/>
    <w:link w:val="770"/>
    <w:qFormat/>
    <w:pPr>
      <w:jc w:val="center"/>
      <w:tabs>
        <w:tab w:val="center" w:pos="4153" w:leader="none"/>
        <w:tab w:val="right" w:pos="8306" w:leader="none"/>
      </w:tabs>
      <w:pBdr>
        <w:bottom w:val="single" w:color="000000" w:sz="6" w:space="1"/>
      </w:pBdr>
    </w:pPr>
    <w:rPr>
      <w:sz w:val="18"/>
      <w:szCs w:val="18"/>
    </w:rPr>
  </w:style>
  <w:style w:type="character" w:styleId="770">
    <w:name w:val="页眉 字符"/>
    <w:basedOn w:val="697"/>
    <w:next w:val="770"/>
    <w:link w:val="769"/>
    <w:qFormat/>
    <w:rPr>
      <w:rFonts w:ascii="Calibri" w:hAnsi="Calibri" w:eastAsia="Arial" w:cs="Arial"/>
      <w:sz w:val="18"/>
      <w:szCs w:val="18"/>
    </w:rPr>
  </w:style>
  <w:style w:type="character" w:styleId="771">
    <w:name w:val="Heading 1 Char"/>
    <w:basedOn w:val="697"/>
    <w:next w:val="771"/>
    <w:link w:val="695"/>
    <w:uiPriority w:val="9"/>
    <w:qFormat/>
    <w:rPr>
      <w:rFonts w:ascii="Arial" w:hAnsi="Arial" w:eastAsia="Arial" w:cs="Arial"/>
      <w:sz w:val="40"/>
      <w:szCs w:val="40"/>
    </w:rPr>
  </w:style>
  <w:style w:type="character" w:styleId="772">
    <w:name w:val="Heading 2 Char"/>
    <w:basedOn w:val="697"/>
    <w:next w:val="772"/>
    <w:link w:val="695"/>
    <w:uiPriority w:val="9"/>
    <w:qFormat/>
    <w:rPr>
      <w:rFonts w:ascii="Arial" w:hAnsi="Arial" w:eastAsia="Arial" w:cs="Arial"/>
      <w:sz w:val="34"/>
    </w:rPr>
  </w:style>
  <w:style w:type="character" w:styleId="773">
    <w:name w:val="Heading 3 Char"/>
    <w:basedOn w:val="697"/>
    <w:next w:val="773"/>
    <w:link w:val="695"/>
    <w:uiPriority w:val="9"/>
    <w:qFormat/>
    <w:rPr>
      <w:rFonts w:ascii="Arial" w:hAnsi="Arial" w:eastAsia="Arial" w:cs="Arial"/>
      <w:sz w:val="30"/>
      <w:szCs w:val="30"/>
    </w:rPr>
  </w:style>
  <w:style w:type="character" w:styleId="774">
    <w:name w:val="Heading 4 Char"/>
    <w:basedOn w:val="697"/>
    <w:next w:val="774"/>
    <w:link w:val="695"/>
    <w:uiPriority w:val="9"/>
    <w:qFormat/>
    <w:rPr>
      <w:rFonts w:ascii="Arial" w:hAnsi="Arial" w:eastAsia="Arial" w:cs="Arial"/>
      <w:b/>
      <w:bCs/>
      <w:sz w:val="26"/>
      <w:szCs w:val="26"/>
    </w:rPr>
  </w:style>
  <w:style w:type="paragraph" w:styleId="775">
    <w:name w:val="No Spacing"/>
    <w:next w:val="775"/>
    <w:link w:val="695"/>
    <w:uiPriority w:val="1"/>
    <w:qFormat/>
    <w:pPr>
      <w:spacing w:before="0" w:after="0" w:line="240" w:lineRule="auto"/>
    </w:pPr>
  </w:style>
  <w:style w:type="paragraph" w:styleId="776">
    <w:name w:val="Quote"/>
    <w:basedOn w:val="695"/>
    <w:next w:val="695"/>
    <w:link w:val="777"/>
    <w:uiPriority w:val="29"/>
    <w:qFormat/>
    <w:pPr>
      <w:ind w:left="720" w:right="720"/>
    </w:pPr>
    <w:rPr>
      <w:i/>
    </w:rPr>
  </w:style>
  <w:style w:type="character" w:styleId="777">
    <w:name w:val="Quote Char"/>
    <w:next w:val="777"/>
    <w:link w:val="776"/>
    <w:uiPriority w:val="29"/>
    <w:qFormat/>
    <w:rPr>
      <w:i/>
    </w:rPr>
  </w:style>
  <w:style w:type="paragraph" w:styleId="778">
    <w:name w:val="Intense Quote"/>
    <w:basedOn w:val="695"/>
    <w:next w:val="695"/>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next w:val="779"/>
    <w:link w:val="778"/>
    <w:uiPriority w:val="30"/>
    <w:qFormat/>
    <w:rPr>
      <w:i/>
    </w:rPr>
  </w:style>
  <w:style w:type="character" w:styleId="780">
    <w:name w:val="Header Char"/>
    <w:basedOn w:val="697"/>
    <w:next w:val="780"/>
    <w:link w:val="695"/>
    <w:uiPriority w:val="99"/>
    <w:qFormat/>
  </w:style>
  <w:style w:type="character" w:styleId="781">
    <w:name w:val="Footer Char"/>
    <w:basedOn w:val="697"/>
    <w:next w:val="781"/>
    <w:link w:val="695"/>
    <w:uiPriority w:val="99"/>
    <w:qFormat/>
  </w:style>
  <w:style w:type="character" w:styleId="782">
    <w:name w:val="Caption Char"/>
    <w:next w:val="782"/>
    <w:link w:val="695"/>
    <w:uiPriority w:val="99"/>
    <w:qFormat/>
  </w:style>
  <w:style w:type="table" w:styleId="783">
    <w:name w:val="Table Grid Light"/>
    <w:basedOn w:val="698"/>
    <w:next w:val="783"/>
    <w:link w:val="695"/>
    <w:uiPriority w:val="59"/>
    <w:qFormat/>
    <w:pPr>
      <w:spacing w:after="0" w:line="240" w:lineRule="auto"/>
    </w:pPr>
    <w:tblPr/>
  </w:style>
  <w:style w:type="table" w:styleId="784">
    <w:name w:val="Plain Table 1"/>
    <w:basedOn w:val="698"/>
    <w:next w:val="784"/>
    <w:link w:val="695"/>
    <w:uiPriority w:val="59"/>
    <w:qFormat/>
    <w:pPr>
      <w:spacing w:after="0" w:line="240" w:lineRule="auto"/>
    </w:pPr>
    <w:tblPr/>
  </w:style>
  <w:style w:type="table" w:styleId="785">
    <w:name w:val="Plain Table 2"/>
    <w:basedOn w:val="698"/>
    <w:next w:val="785"/>
    <w:link w:val="695"/>
    <w:uiPriority w:val="59"/>
    <w:qFormat/>
    <w:pPr>
      <w:spacing w:after="0" w:line="240" w:lineRule="auto"/>
    </w:pPr>
    <w:tblPr/>
  </w:style>
  <w:style w:type="table" w:styleId="786">
    <w:name w:val="Plain Table 3"/>
    <w:basedOn w:val="698"/>
    <w:next w:val="786"/>
    <w:link w:val="695"/>
    <w:uiPriority w:val="99"/>
    <w:qFormat/>
    <w:pPr>
      <w:spacing w:after="0" w:line="240" w:lineRule="auto"/>
    </w:pPr>
    <w:tblPr/>
  </w:style>
  <w:style w:type="table" w:styleId="787">
    <w:name w:val="Plain Table 4"/>
    <w:basedOn w:val="698"/>
    <w:next w:val="787"/>
    <w:link w:val="695"/>
    <w:uiPriority w:val="99"/>
    <w:qFormat/>
    <w:pPr>
      <w:spacing w:after="0" w:line="240" w:lineRule="auto"/>
    </w:pPr>
    <w:tblPr/>
  </w:style>
  <w:style w:type="table" w:styleId="788">
    <w:name w:val="Plain Table 5"/>
    <w:basedOn w:val="698"/>
    <w:next w:val="788"/>
    <w:link w:val="695"/>
    <w:uiPriority w:val="99"/>
    <w:qFormat/>
    <w:pPr>
      <w:spacing w:after="0" w:line="240" w:lineRule="auto"/>
    </w:pPr>
    <w:tblPr/>
  </w:style>
  <w:style w:type="table" w:styleId="789">
    <w:name w:val="Grid Table 1 Light"/>
    <w:basedOn w:val="698"/>
    <w:next w:val="789"/>
    <w:link w:val="695"/>
    <w:uiPriority w:val="99"/>
    <w:qFormat/>
    <w:pPr>
      <w:spacing w:after="0" w:line="240" w:lineRule="auto"/>
    </w:pPr>
    <w:tblPr/>
  </w:style>
  <w:style w:type="table" w:styleId="790">
    <w:name w:val="Grid Table 1 Light - Accent 1"/>
    <w:basedOn w:val="698"/>
    <w:next w:val="790"/>
    <w:link w:val="695"/>
    <w:uiPriority w:val="99"/>
    <w:qFormat/>
    <w:pPr>
      <w:spacing w:after="0" w:line="240" w:lineRule="auto"/>
    </w:pPr>
    <w:tblPr/>
  </w:style>
  <w:style w:type="table" w:styleId="791">
    <w:name w:val="Grid Table 1 Light - Accent 2"/>
    <w:basedOn w:val="698"/>
    <w:next w:val="791"/>
    <w:link w:val="695"/>
    <w:uiPriority w:val="99"/>
    <w:qFormat/>
    <w:pPr>
      <w:spacing w:after="0" w:line="240" w:lineRule="auto"/>
    </w:pPr>
    <w:tblPr/>
  </w:style>
  <w:style w:type="table" w:styleId="792">
    <w:name w:val="Grid Table 1 Light - Accent 3"/>
    <w:basedOn w:val="698"/>
    <w:next w:val="792"/>
    <w:link w:val="695"/>
    <w:uiPriority w:val="99"/>
    <w:qFormat/>
    <w:pPr>
      <w:spacing w:after="0" w:line="240" w:lineRule="auto"/>
    </w:pPr>
    <w:tblPr/>
  </w:style>
  <w:style w:type="table" w:styleId="793">
    <w:name w:val="Grid Table 1 Light - Accent 4"/>
    <w:basedOn w:val="698"/>
    <w:next w:val="793"/>
    <w:link w:val="695"/>
    <w:uiPriority w:val="99"/>
    <w:qFormat/>
    <w:pPr>
      <w:spacing w:after="0" w:line="240" w:lineRule="auto"/>
    </w:pPr>
    <w:tblPr/>
  </w:style>
  <w:style w:type="table" w:styleId="794">
    <w:name w:val="Grid Table 1 Light - Accent 5"/>
    <w:basedOn w:val="698"/>
    <w:next w:val="794"/>
    <w:link w:val="695"/>
    <w:uiPriority w:val="99"/>
    <w:qFormat/>
    <w:pPr>
      <w:spacing w:after="0" w:line="240" w:lineRule="auto"/>
    </w:pPr>
    <w:tblPr/>
  </w:style>
  <w:style w:type="table" w:styleId="795">
    <w:name w:val="Grid Table 1 Light - Accent 6"/>
    <w:basedOn w:val="698"/>
    <w:next w:val="795"/>
    <w:link w:val="695"/>
    <w:uiPriority w:val="99"/>
    <w:qFormat/>
    <w:pPr>
      <w:spacing w:after="0" w:line="240" w:lineRule="auto"/>
    </w:pPr>
    <w:tblPr/>
  </w:style>
  <w:style w:type="table" w:styleId="796">
    <w:name w:val="Grid Table 2"/>
    <w:basedOn w:val="698"/>
    <w:next w:val="796"/>
    <w:link w:val="695"/>
    <w:uiPriority w:val="99"/>
    <w:qFormat/>
    <w:pPr>
      <w:spacing w:after="0" w:line="240" w:lineRule="auto"/>
    </w:pPr>
    <w:tblPr/>
  </w:style>
  <w:style w:type="table" w:styleId="797">
    <w:name w:val="Grid Table 2 - Accent 1"/>
    <w:basedOn w:val="698"/>
    <w:next w:val="797"/>
    <w:link w:val="695"/>
    <w:uiPriority w:val="99"/>
    <w:qFormat/>
    <w:pPr>
      <w:spacing w:after="0" w:line="240" w:lineRule="auto"/>
    </w:pPr>
    <w:tblPr/>
  </w:style>
  <w:style w:type="table" w:styleId="798">
    <w:name w:val="Grid Table 2 - Accent 2"/>
    <w:basedOn w:val="698"/>
    <w:next w:val="798"/>
    <w:link w:val="695"/>
    <w:uiPriority w:val="99"/>
    <w:qFormat/>
    <w:pPr>
      <w:spacing w:after="0" w:line="240" w:lineRule="auto"/>
    </w:pPr>
    <w:tblPr/>
  </w:style>
  <w:style w:type="table" w:styleId="799">
    <w:name w:val="Grid Table 2 - Accent 3"/>
    <w:basedOn w:val="698"/>
    <w:next w:val="799"/>
    <w:link w:val="695"/>
    <w:uiPriority w:val="99"/>
    <w:qFormat/>
    <w:pPr>
      <w:spacing w:after="0" w:line="240" w:lineRule="auto"/>
    </w:pPr>
    <w:tblPr/>
  </w:style>
  <w:style w:type="table" w:styleId="800">
    <w:name w:val="Grid Table 2 - Accent 4"/>
    <w:basedOn w:val="698"/>
    <w:next w:val="800"/>
    <w:link w:val="695"/>
    <w:uiPriority w:val="99"/>
    <w:qFormat/>
    <w:pPr>
      <w:spacing w:after="0" w:line="240" w:lineRule="auto"/>
    </w:pPr>
    <w:tblPr/>
  </w:style>
  <w:style w:type="table" w:styleId="801">
    <w:name w:val="Grid Table 2 - Accent 5"/>
    <w:basedOn w:val="698"/>
    <w:next w:val="801"/>
    <w:link w:val="695"/>
    <w:uiPriority w:val="99"/>
    <w:qFormat/>
    <w:pPr>
      <w:spacing w:after="0" w:line="240" w:lineRule="auto"/>
    </w:pPr>
    <w:tblPr/>
  </w:style>
  <w:style w:type="table" w:styleId="802">
    <w:name w:val="Grid Table 2 - Accent 6"/>
    <w:basedOn w:val="698"/>
    <w:next w:val="802"/>
    <w:link w:val="695"/>
    <w:uiPriority w:val="99"/>
    <w:qFormat/>
    <w:pPr>
      <w:spacing w:after="0" w:line="240" w:lineRule="auto"/>
    </w:pPr>
    <w:tblPr/>
  </w:style>
  <w:style w:type="table" w:styleId="803">
    <w:name w:val="Grid Table 3"/>
    <w:basedOn w:val="698"/>
    <w:next w:val="803"/>
    <w:link w:val="695"/>
    <w:uiPriority w:val="99"/>
    <w:qFormat/>
    <w:pPr>
      <w:spacing w:after="0" w:line="240" w:lineRule="auto"/>
    </w:pPr>
    <w:tblPr/>
  </w:style>
  <w:style w:type="table" w:styleId="804">
    <w:name w:val="Grid Table 3 - Accent 1"/>
    <w:basedOn w:val="698"/>
    <w:next w:val="804"/>
    <w:link w:val="695"/>
    <w:uiPriority w:val="99"/>
    <w:qFormat/>
    <w:pPr>
      <w:spacing w:after="0" w:line="240" w:lineRule="auto"/>
    </w:pPr>
    <w:tblPr/>
  </w:style>
  <w:style w:type="table" w:styleId="805">
    <w:name w:val="Grid Table 3 - Accent 2"/>
    <w:basedOn w:val="698"/>
    <w:next w:val="805"/>
    <w:link w:val="695"/>
    <w:uiPriority w:val="99"/>
    <w:qFormat/>
    <w:pPr>
      <w:spacing w:after="0" w:line="240" w:lineRule="auto"/>
    </w:pPr>
    <w:tblPr/>
  </w:style>
  <w:style w:type="table" w:styleId="806">
    <w:name w:val="Grid Table 3 - Accent 3"/>
    <w:basedOn w:val="698"/>
    <w:next w:val="806"/>
    <w:link w:val="695"/>
    <w:uiPriority w:val="99"/>
    <w:qFormat/>
    <w:pPr>
      <w:spacing w:after="0" w:line="240" w:lineRule="auto"/>
    </w:pPr>
    <w:tblPr/>
  </w:style>
  <w:style w:type="table" w:styleId="807">
    <w:name w:val="Grid Table 3 - Accent 4"/>
    <w:basedOn w:val="698"/>
    <w:next w:val="807"/>
    <w:link w:val="695"/>
    <w:uiPriority w:val="99"/>
    <w:qFormat/>
    <w:pPr>
      <w:spacing w:after="0" w:line="240" w:lineRule="auto"/>
    </w:pPr>
    <w:tblPr/>
  </w:style>
  <w:style w:type="table" w:styleId="808">
    <w:name w:val="Grid Table 3 - Accent 5"/>
    <w:basedOn w:val="698"/>
    <w:next w:val="808"/>
    <w:link w:val="695"/>
    <w:uiPriority w:val="99"/>
    <w:qFormat/>
    <w:pPr>
      <w:spacing w:after="0" w:line="240" w:lineRule="auto"/>
    </w:pPr>
    <w:tblPr/>
  </w:style>
  <w:style w:type="table" w:styleId="809">
    <w:name w:val="Grid Table 3 - Accent 6"/>
    <w:basedOn w:val="698"/>
    <w:next w:val="809"/>
    <w:link w:val="695"/>
    <w:uiPriority w:val="99"/>
    <w:qFormat/>
    <w:pPr>
      <w:spacing w:after="0" w:line="240" w:lineRule="auto"/>
    </w:pPr>
    <w:tblPr/>
  </w:style>
  <w:style w:type="table" w:styleId="810">
    <w:name w:val="Grid Table 4"/>
    <w:basedOn w:val="698"/>
    <w:next w:val="810"/>
    <w:link w:val="695"/>
    <w:uiPriority w:val="59"/>
    <w:qFormat/>
    <w:pPr>
      <w:spacing w:after="0" w:line="240" w:lineRule="auto"/>
    </w:pPr>
    <w:tblPr/>
  </w:style>
  <w:style w:type="table" w:styleId="811">
    <w:name w:val="Grid Table 4 - Accent 1"/>
    <w:basedOn w:val="698"/>
    <w:next w:val="811"/>
    <w:link w:val="695"/>
    <w:uiPriority w:val="59"/>
    <w:qFormat/>
    <w:pPr>
      <w:spacing w:after="0" w:line="240" w:lineRule="auto"/>
    </w:pPr>
    <w:tblPr/>
  </w:style>
  <w:style w:type="table" w:styleId="812">
    <w:name w:val="Grid Table 4 - Accent 2"/>
    <w:basedOn w:val="698"/>
    <w:next w:val="812"/>
    <w:link w:val="695"/>
    <w:uiPriority w:val="59"/>
    <w:qFormat/>
    <w:pPr>
      <w:spacing w:after="0" w:line="240" w:lineRule="auto"/>
    </w:pPr>
    <w:tblPr/>
  </w:style>
  <w:style w:type="table" w:styleId="813">
    <w:name w:val="Grid Table 4 - Accent 3"/>
    <w:basedOn w:val="698"/>
    <w:next w:val="813"/>
    <w:link w:val="695"/>
    <w:uiPriority w:val="59"/>
    <w:qFormat/>
    <w:pPr>
      <w:spacing w:after="0" w:line="240" w:lineRule="auto"/>
    </w:pPr>
    <w:tblPr/>
  </w:style>
  <w:style w:type="table" w:styleId="814">
    <w:name w:val="Grid Table 4 - Accent 4"/>
    <w:basedOn w:val="698"/>
    <w:next w:val="814"/>
    <w:link w:val="695"/>
    <w:uiPriority w:val="59"/>
    <w:qFormat/>
    <w:pPr>
      <w:spacing w:after="0" w:line="240" w:lineRule="auto"/>
    </w:pPr>
    <w:tblPr/>
  </w:style>
  <w:style w:type="table" w:styleId="815">
    <w:name w:val="Grid Table 4 - Accent 5"/>
    <w:basedOn w:val="698"/>
    <w:next w:val="815"/>
    <w:link w:val="695"/>
    <w:uiPriority w:val="59"/>
    <w:qFormat/>
    <w:pPr>
      <w:spacing w:after="0" w:line="240" w:lineRule="auto"/>
    </w:pPr>
    <w:tblPr/>
  </w:style>
  <w:style w:type="table" w:styleId="816">
    <w:name w:val="Grid Table 4 - Accent 6"/>
    <w:basedOn w:val="698"/>
    <w:next w:val="816"/>
    <w:link w:val="695"/>
    <w:uiPriority w:val="59"/>
    <w:qFormat/>
    <w:pPr>
      <w:spacing w:after="0" w:line="240" w:lineRule="auto"/>
    </w:pPr>
    <w:tblPr/>
  </w:style>
  <w:style w:type="table" w:styleId="817">
    <w:name w:val="Grid Table 5 Dark"/>
    <w:basedOn w:val="698"/>
    <w:next w:val="817"/>
    <w:link w:val="695"/>
    <w:uiPriority w:val="99"/>
    <w:qFormat/>
    <w:pPr>
      <w:spacing w:after="0" w:line="240" w:lineRule="auto"/>
    </w:pPr>
    <w:tblPr/>
  </w:style>
  <w:style w:type="table" w:styleId="818">
    <w:name w:val="Grid Table 5 Dark- Accent 1"/>
    <w:basedOn w:val="698"/>
    <w:next w:val="818"/>
    <w:link w:val="695"/>
    <w:uiPriority w:val="99"/>
    <w:qFormat/>
    <w:pPr>
      <w:spacing w:after="0" w:line="240" w:lineRule="auto"/>
    </w:pPr>
    <w:tblPr/>
  </w:style>
  <w:style w:type="table" w:styleId="819">
    <w:name w:val="Grid Table 5 Dark - Accent 2"/>
    <w:basedOn w:val="698"/>
    <w:next w:val="819"/>
    <w:link w:val="695"/>
    <w:uiPriority w:val="99"/>
    <w:qFormat/>
    <w:pPr>
      <w:spacing w:after="0" w:line="240" w:lineRule="auto"/>
    </w:pPr>
    <w:tblPr/>
  </w:style>
  <w:style w:type="table" w:styleId="820">
    <w:name w:val="Grid Table 5 Dark - Accent 3"/>
    <w:basedOn w:val="698"/>
    <w:next w:val="820"/>
    <w:link w:val="695"/>
    <w:uiPriority w:val="99"/>
    <w:qFormat/>
    <w:pPr>
      <w:spacing w:after="0" w:line="240" w:lineRule="auto"/>
    </w:pPr>
    <w:tblPr/>
  </w:style>
  <w:style w:type="table" w:styleId="821">
    <w:name w:val="Grid Table 5 Dark- Accent 4"/>
    <w:basedOn w:val="698"/>
    <w:next w:val="821"/>
    <w:link w:val="695"/>
    <w:uiPriority w:val="99"/>
    <w:qFormat/>
    <w:pPr>
      <w:spacing w:after="0" w:line="240" w:lineRule="auto"/>
    </w:pPr>
    <w:tblPr/>
  </w:style>
  <w:style w:type="table" w:styleId="822">
    <w:name w:val="Grid Table 5 Dark - Accent 5"/>
    <w:basedOn w:val="698"/>
    <w:next w:val="822"/>
    <w:link w:val="695"/>
    <w:uiPriority w:val="99"/>
    <w:qFormat/>
    <w:pPr>
      <w:spacing w:after="0" w:line="240" w:lineRule="auto"/>
    </w:pPr>
    <w:tblPr/>
  </w:style>
  <w:style w:type="table" w:styleId="823">
    <w:name w:val="Grid Table 5 Dark - Accent 6"/>
    <w:basedOn w:val="698"/>
    <w:next w:val="823"/>
    <w:link w:val="695"/>
    <w:uiPriority w:val="99"/>
    <w:qFormat/>
    <w:pPr>
      <w:spacing w:after="0" w:line="240" w:lineRule="auto"/>
    </w:pPr>
    <w:tblPr/>
  </w:style>
  <w:style w:type="table" w:styleId="824">
    <w:name w:val="Grid Table 6 Colorful"/>
    <w:basedOn w:val="698"/>
    <w:next w:val="824"/>
    <w:link w:val="695"/>
    <w:uiPriority w:val="99"/>
    <w:qFormat/>
    <w:pPr>
      <w:spacing w:after="0" w:line="240" w:lineRule="auto"/>
    </w:pPr>
    <w:tblPr/>
  </w:style>
  <w:style w:type="table" w:styleId="825">
    <w:name w:val="Grid Table 6 Colorful - Accent 1"/>
    <w:basedOn w:val="698"/>
    <w:next w:val="825"/>
    <w:link w:val="695"/>
    <w:uiPriority w:val="99"/>
    <w:qFormat/>
    <w:pPr>
      <w:spacing w:after="0" w:line="240" w:lineRule="auto"/>
    </w:pPr>
    <w:tblPr/>
  </w:style>
  <w:style w:type="table" w:styleId="826">
    <w:name w:val="Grid Table 6 Colorful - Accent 2"/>
    <w:basedOn w:val="698"/>
    <w:next w:val="826"/>
    <w:link w:val="695"/>
    <w:uiPriority w:val="99"/>
    <w:qFormat/>
    <w:pPr>
      <w:spacing w:after="0" w:line="240" w:lineRule="auto"/>
    </w:pPr>
    <w:tblPr/>
  </w:style>
  <w:style w:type="table" w:styleId="827">
    <w:name w:val="Grid Table 6 Colorful - Accent 3"/>
    <w:basedOn w:val="698"/>
    <w:next w:val="827"/>
    <w:link w:val="695"/>
    <w:uiPriority w:val="99"/>
    <w:qFormat/>
    <w:pPr>
      <w:spacing w:after="0" w:line="240" w:lineRule="auto"/>
    </w:pPr>
    <w:tblPr/>
  </w:style>
  <w:style w:type="table" w:styleId="828">
    <w:name w:val="Grid Table 6 Colorful - Accent 4"/>
    <w:basedOn w:val="698"/>
    <w:next w:val="828"/>
    <w:link w:val="695"/>
    <w:uiPriority w:val="99"/>
    <w:qFormat/>
    <w:pPr>
      <w:spacing w:after="0" w:line="240" w:lineRule="auto"/>
    </w:pPr>
    <w:tblPr/>
  </w:style>
  <w:style w:type="table" w:styleId="829">
    <w:name w:val="Grid Table 6 Colorful - Accent 5"/>
    <w:basedOn w:val="698"/>
    <w:next w:val="829"/>
    <w:link w:val="695"/>
    <w:uiPriority w:val="99"/>
    <w:qFormat/>
    <w:pPr>
      <w:spacing w:after="0" w:line="240" w:lineRule="auto"/>
    </w:pPr>
    <w:tblPr/>
  </w:style>
  <w:style w:type="table" w:styleId="830">
    <w:name w:val="Grid Table 6 Colorful - Accent 6"/>
    <w:basedOn w:val="698"/>
    <w:next w:val="830"/>
    <w:link w:val="695"/>
    <w:uiPriority w:val="99"/>
    <w:qFormat/>
    <w:pPr>
      <w:spacing w:after="0" w:line="240" w:lineRule="auto"/>
    </w:pPr>
    <w:tblPr/>
  </w:style>
  <w:style w:type="table" w:styleId="831">
    <w:name w:val="Grid Table 7 Colorful"/>
    <w:basedOn w:val="698"/>
    <w:next w:val="831"/>
    <w:link w:val="695"/>
    <w:uiPriority w:val="99"/>
    <w:qFormat/>
    <w:pPr>
      <w:spacing w:after="0" w:line="240" w:lineRule="auto"/>
    </w:pPr>
    <w:tblPr/>
  </w:style>
  <w:style w:type="table" w:styleId="832">
    <w:name w:val="Grid Table 7 Colorful - Accent 1"/>
    <w:basedOn w:val="698"/>
    <w:next w:val="832"/>
    <w:link w:val="695"/>
    <w:uiPriority w:val="99"/>
    <w:qFormat/>
    <w:pPr>
      <w:spacing w:after="0" w:line="240" w:lineRule="auto"/>
    </w:pPr>
    <w:tblPr/>
  </w:style>
  <w:style w:type="table" w:styleId="833">
    <w:name w:val="Grid Table 7 Colorful - Accent 2"/>
    <w:basedOn w:val="698"/>
    <w:next w:val="833"/>
    <w:link w:val="695"/>
    <w:uiPriority w:val="99"/>
    <w:qFormat/>
    <w:pPr>
      <w:spacing w:after="0" w:line="240" w:lineRule="auto"/>
    </w:pPr>
    <w:tblPr/>
  </w:style>
  <w:style w:type="table" w:styleId="834">
    <w:name w:val="Grid Table 7 Colorful - Accent 3"/>
    <w:basedOn w:val="698"/>
    <w:next w:val="834"/>
    <w:link w:val="695"/>
    <w:uiPriority w:val="99"/>
    <w:qFormat/>
    <w:pPr>
      <w:spacing w:after="0" w:line="240" w:lineRule="auto"/>
    </w:pPr>
    <w:tblPr/>
  </w:style>
  <w:style w:type="table" w:styleId="835">
    <w:name w:val="Grid Table 7 Colorful - Accent 4"/>
    <w:basedOn w:val="698"/>
    <w:next w:val="835"/>
    <w:link w:val="695"/>
    <w:uiPriority w:val="99"/>
    <w:qFormat/>
    <w:pPr>
      <w:spacing w:after="0" w:line="240" w:lineRule="auto"/>
    </w:pPr>
    <w:tblPr/>
  </w:style>
  <w:style w:type="table" w:styleId="836">
    <w:name w:val="Grid Table 7 Colorful - Accent 5"/>
    <w:basedOn w:val="698"/>
    <w:next w:val="836"/>
    <w:link w:val="695"/>
    <w:uiPriority w:val="99"/>
    <w:qFormat/>
    <w:pPr>
      <w:spacing w:after="0" w:line="240" w:lineRule="auto"/>
    </w:pPr>
    <w:tblPr/>
  </w:style>
  <w:style w:type="table" w:styleId="837">
    <w:name w:val="Grid Table 7 Colorful - Accent 6"/>
    <w:basedOn w:val="698"/>
    <w:next w:val="837"/>
    <w:link w:val="695"/>
    <w:uiPriority w:val="99"/>
    <w:qFormat/>
    <w:pPr>
      <w:spacing w:after="0" w:line="240" w:lineRule="auto"/>
    </w:pPr>
    <w:tblPr/>
  </w:style>
  <w:style w:type="table" w:styleId="838">
    <w:name w:val="List Table 1 Light"/>
    <w:basedOn w:val="698"/>
    <w:next w:val="838"/>
    <w:link w:val="695"/>
    <w:uiPriority w:val="99"/>
    <w:qFormat/>
    <w:pPr>
      <w:spacing w:after="0" w:line="240" w:lineRule="auto"/>
    </w:pPr>
    <w:tblPr/>
  </w:style>
  <w:style w:type="table" w:styleId="839">
    <w:name w:val="List Table 1 Light - Accent 1"/>
    <w:basedOn w:val="698"/>
    <w:next w:val="839"/>
    <w:link w:val="695"/>
    <w:uiPriority w:val="99"/>
    <w:qFormat/>
    <w:pPr>
      <w:spacing w:after="0" w:line="240" w:lineRule="auto"/>
    </w:pPr>
    <w:tblPr/>
  </w:style>
  <w:style w:type="table" w:styleId="840">
    <w:name w:val="List Table 1 Light - Accent 2"/>
    <w:basedOn w:val="698"/>
    <w:next w:val="840"/>
    <w:link w:val="695"/>
    <w:uiPriority w:val="99"/>
    <w:qFormat/>
    <w:pPr>
      <w:spacing w:after="0" w:line="240" w:lineRule="auto"/>
    </w:pPr>
    <w:tblPr/>
  </w:style>
  <w:style w:type="table" w:styleId="841">
    <w:name w:val="List Table 1 Light - Accent 3"/>
    <w:basedOn w:val="698"/>
    <w:next w:val="841"/>
    <w:link w:val="695"/>
    <w:uiPriority w:val="99"/>
    <w:qFormat/>
    <w:pPr>
      <w:spacing w:after="0" w:line="240" w:lineRule="auto"/>
    </w:pPr>
    <w:tblPr/>
  </w:style>
  <w:style w:type="table" w:styleId="842">
    <w:name w:val="List Table 1 Light - Accent 4"/>
    <w:basedOn w:val="698"/>
    <w:next w:val="842"/>
    <w:link w:val="695"/>
    <w:uiPriority w:val="99"/>
    <w:qFormat/>
    <w:pPr>
      <w:spacing w:after="0" w:line="240" w:lineRule="auto"/>
    </w:pPr>
    <w:tblPr/>
  </w:style>
  <w:style w:type="table" w:styleId="843">
    <w:name w:val="List Table 1 Light - Accent 5"/>
    <w:basedOn w:val="698"/>
    <w:next w:val="843"/>
    <w:link w:val="695"/>
    <w:uiPriority w:val="99"/>
    <w:qFormat/>
    <w:pPr>
      <w:spacing w:after="0" w:line="240" w:lineRule="auto"/>
    </w:pPr>
    <w:tblPr/>
  </w:style>
  <w:style w:type="table" w:styleId="844">
    <w:name w:val="List Table 1 Light - Accent 6"/>
    <w:basedOn w:val="698"/>
    <w:next w:val="844"/>
    <w:link w:val="695"/>
    <w:uiPriority w:val="99"/>
    <w:qFormat/>
    <w:pPr>
      <w:spacing w:after="0" w:line="240" w:lineRule="auto"/>
    </w:pPr>
    <w:tblPr/>
  </w:style>
  <w:style w:type="table" w:styleId="845">
    <w:name w:val="List Table 2"/>
    <w:basedOn w:val="698"/>
    <w:next w:val="845"/>
    <w:link w:val="695"/>
    <w:uiPriority w:val="99"/>
    <w:qFormat/>
    <w:pPr>
      <w:spacing w:after="0" w:line="240" w:lineRule="auto"/>
    </w:pPr>
    <w:tblPr/>
  </w:style>
  <w:style w:type="table" w:styleId="846">
    <w:name w:val="List Table 2 - Accent 1"/>
    <w:basedOn w:val="698"/>
    <w:next w:val="846"/>
    <w:link w:val="695"/>
    <w:uiPriority w:val="99"/>
    <w:qFormat/>
    <w:pPr>
      <w:spacing w:after="0" w:line="240" w:lineRule="auto"/>
    </w:pPr>
    <w:tblPr/>
  </w:style>
  <w:style w:type="table" w:styleId="847">
    <w:name w:val="List Table 2 - Accent 2"/>
    <w:basedOn w:val="698"/>
    <w:next w:val="847"/>
    <w:link w:val="695"/>
    <w:uiPriority w:val="99"/>
    <w:qFormat/>
    <w:pPr>
      <w:spacing w:after="0" w:line="240" w:lineRule="auto"/>
    </w:pPr>
    <w:tblPr/>
  </w:style>
  <w:style w:type="table" w:styleId="848">
    <w:name w:val="List Table 2 - Accent 3"/>
    <w:basedOn w:val="698"/>
    <w:next w:val="848"/>
    <w:link w:val="695"/>
    <w:uiPriority w:val="99"/>
    <w:qFormat/>
    <w:pPr>
      <w:spacing w:after="0" w:line="240" w:lineRule="auto"/>
    </w:pPr>
    <w:tblPr/>
  </w:style>
  <w:style w:type="table" w:styleId="849">
    <w:name w:val="List Table 2 - Accent 4"/>
    <w:basedOn w:val="698"/>
    <w:next w:val="849"/>
    <w:link w:val="695"/>
    <w:uiPriority w:val="99"/>
    <w:qFormat/>
    <w:pPr>
      <w:spacing w:after="0" w:line="240" w:lineRule="auto"/>
    </w:pPr>
    <w:tblPr/>
  </w:style>
  <w:style w:type="table" w:styleId="850">
    <w:name w:val="List Table 2 - Accent 5"/>
    <w:basedOn w:val="698"/>
    <w:next w:val="850"/>
    <w:link w:val="695"/>
    <w:uiPriority w:val="99"/>
    <w:qFormat/>
    <w:pPr>
      <w:spacing w:after="0" w:line="240" w:lineRule="auto"/>
    </w:pPr>
    <w:tblPr/>
  </w:style>
  <w:style w:type="table" w:styleId="851">
    <w:name w:val="List Table 2 - Accent 6"/>
    <w:basedOn w:val="698"/>
    <w:next w:val="851"/>
    <w:link w:val="695"/>
    <w:uiPriority w:val="99"/>
    <w:qFormat/>
    <w:pPr>
      <w:spacing w:after="0" w:line="240" w:lineRule="auto"/>
    </w:pPr>
    <w:tblPr/>
  </w:style>
  <w:style w:type="table" w:styleId="852">
    <w:name w:val="List Table 3"/>
    <w:basedOn w:val="698"/>
    <w:next w:val="852"/>
    <w:link w:val="695"/>
    <w:uiPriority w:val="99"/>
    <w:qFormat/>
    <w:pPr>
      <w:spacing w:after="0" w:line="240" w:lineRule="auto"/>
    </w:pPr>
    <w:tblPr/>
  </w:style>
  <w:style w:type="table" w:styleId="853">
    <w:name w:val="List Table 3 - Accent 1"/>
    <w:basedOn w:val="698"/>
    <w:next w:val="853"/>
    <w:link w:val="695"/>
    <w:uiPriority w:val="99"/>
    <w:qFormat/>
    <w:pPr>
      <w:spacing w:after="0" w:line="240" w:lineRule="auto"/>
    </w:pPr>
    <w:tblPr/>
  </w:style>
  <w:style w:type="table" w:styleId="854">
    <w:name w:val="List Table 3 - Accent 2"/>
    <w:basedOn w:val="698"/>
    <w:next w:val="854"/>
    <w:link w:val="695"/>
    <w:uiPriority w:val="99"/>
    <w:qFormat/>
    <w:pPr>
      <w:spacing w:after="0" w:line="240" w:lineRule="auto"/>
    </w:pPr>
    <w:tblPr/>
  </w:style>
  <w:style w:type="table" w:styleId="855">
    <w:name w:val="List Table 3 - Accent 3"/>
    <w:basedOn w:val="698"/>
    <w:next w:val="855"/>
    <w:link w:val="695"/>
    <w:uiPriority w:val="99"/>
    <w:qFormat/>
    <w:pPr>
      <w:spacing w:after="0" w:line="240" w:lineRule="auto"/>
    </w:pPr>
    <w:tblPr/>
  </w:style>
  <w:style w:type="table" w:styleId="856">
    <w:name w:val="List Table 3 - Accent 4"/>
    <w:basedOn w:val="698"/>
    <w:next w:val="856"/>
    <w:link w:val="695"/>
    <w:uiPriority w:val="99"/>
    <w:qFormat/>
    <w:pPr>
      <w:spacing w:after="0" w:line="240" w:lineRule="auto"/>
    </w:pPr>
    <w:tblPr/>
  </w:style>
  <w:style w:type="table" w:styleId="857">
    <w:name w:val="List Table 3 - Accent 5"/>
    <w:basedOn w:val="698"/>
    <w:next w:val="857"/>
    <w:link w:val="695"/>
    <w:uiPriority w:val="99"/>
    <w:qFormat/>
    <w:pPr>
      <w:spacing w:after="0" w:line="240" w:lineRule="auto"/>
    </w:pPr>
    <w:tblPr/>
  </w:style>
  <w:style w:type="table" w:styleId="858">
    <w:name w:val="List Table 3 - Accent 6"/>
    <w:basedOn w:val="698"/>
    <w:next w:val="858"/>
    <w:link w:val="695"/>
    <w:uiPriority w:val="99"/>
    <w:qFormat/>
    <w:pPr>
      <w:spacing w:after="0" w:line="240" w:lineRule="auto"/>
    </w:pPr>
    <w:tblPr/>
  </w:style>
  <w:style w:type="table" w:styleId="859">
    <w:name w:val="List Table 4"/>
    <w:basedOn w:val="698"/>
    <w:next w:val="859"/>
    <w:link w:val="695"/>
    <w:uiPriority w:val="99"/>
    <w:qFormat/>
    <w:pPr>
      <w:spacing w:after="0" w:line="240" w:lineRule="auto"/>
    </w:pPr>
    <w:tblPr/>
  </w:style>
  <w:style w:type="table" w:styleId="860">
    <w:name w:val="List Table 4 - Accent 1"/>
    <w:basedOn w:val="698"/>
    <w:next w:val="860"/>
    <w:link w:val="695"/>
    <w:uiPriority w:val="99"/>
    <w:qFormat/>
    <w:pPr>
      <w:spacing w:after="0" w:line="240" w:lineRule="auto"/>
    </w:pPr>
    <w:tblPr/>
  </w:style>
  <w:style w:type="table" w:styleId="861">
    <w:name w:val="List Table 4 - Accent 2"/>
    <w:basedOn w:val="698"/>
    <w:next w:val="861"/>
    <w:link w:val="695"/>
    <w:uiPriority w:val="99"/>
    <w:qFormat/>
    <w:pPr>
      <w:spacing w:after="0" w:line="240" w:lineRule="auto"/>
    </w:pPr>
    <w:tblPr/>
  </w:style>
  <w:style w:type="table" w:styleId="862">
    <w:name w:val="List Table 4 - Accent 3"/>
    <w:basedOn w:val="698"/>
    <w:next w:val="862"/>
    <w:link w:val="695"/>
    <w:uiPriority w:val="99"/>
    <w:qFormat/>
    <w:pPr>
      <w:spacing w:after="0" w:line="240" w:lineRule="auto"/>
    </w:pPr>
    <w:tblPr/>
  </w:style>
  <w:style w:type="table" w:styleId="863">
    <w:name w:val="List Table 4 - Accent 4"/>
    <w:basedOn w:val="698"/>
    <w:next w:val="863"/>
    <w:link w:val="695"/>
    <w:uiPriority w:val="99"/>
    <w:qFormat/>
    <w:pPr>
      <w:spacing w:after="0" w:line="240" w:lineRule="auto"/>
    </w:pPr>
    <w:tblPr/>
  </w:style>
  <w:style w:type="table" w:styleId="864">
    <w:name w:val="List Table 4 - Accent 5"/>
    <w:basedOn w:val="698"/>
    <w:next w:val="864"/>
    <w:link w:val="695"/>
    <w:uiPriority w:val="99"/>
    <w:qFormat/>
    <w:pPr>
      <w:spacing w:after="0" w:line="240" w:lineRule="auto"/>
    </w:pPr>
    <w:tblPr/>
  </w:style>
  <w:style w:type="table" w:styleId="865">
    <w:name w:val="List Table 4 - Accent 6"/>
    <w:basedOn w:val="698"/>
    <w:next w:val="865"/>
    <w:link w:val="695"/>
    <w:uiPriority w:val="99"/>
    <w:qFormat/>
    <w:pPr>
      <w:spacing w:after="0" w:line="240" w:lineRule="auto"/>
    </w:pPr>
    <w:tblPr/>
  </w:style>
  <w:style w:type="table" w:styleId="866">
    <w:name w:val="List Table 5 Dark"/>
    <w:basedOn w:val="698"/>
    <w:next w:val="866"/>
    <w:link w:val="695"/>
    <w:uiPriority w:val="99"/>
    <w:qFormat/>
    <w:pPr>
      <w:spacing w:after="0" w:line="240" w:lineRule="auto"/>
    </w:pPr>
    <w:tblPr/>
  </w:style>
  <w:style w:type="table" w:styleId="867">
    <w:name w:val="List Table 5 Dark - Accent 1"/>
    <w:basedOn w:val="698"/>
    <w:next w:val="867"/>
    <w:link w:val="695"/>
    <w:uiPriority w:val="99"/>
    <w:qFormat/>
    <w:pPr>
      <w:spacing w:after="0" w:line="240" w:lineRule="auto"/>
    </w:pPr>
    <w:tblPr/>
  </w:style>
  <w:style w:type="table" w:styleId="868">
    <w:name w:val="List Table 5 Dark - Accent 2"/>
    <w:basedOn w:val="698"/>
    <w:next w:val="868"/>
    <w:link w:val="695"/>
    <w:uiPriority w:val="99"/>
    <w:qFormat/>
    <w:pPr>
      <w:spacing w:after="0" w:line="240" w:lineRule="auto"/>
    </w:pPr>
    <w:tblPr/>
  </w:style>
  <w:style w:type="table" w:styleId="869">
    <w:name w:val="List Table 5 Dark - Accent 3"/>
    <w:basedOn w:val="698"/>
    <w:next w:val="869"/>
    <w:link w:val="695"/>
    <w:uiPriority w:val="99"/>
    <w:qFormat/>
    <w:pPr>
      <w:spacing w:after="0" w:line="240" w:lineRule="auto"/>
    </w:pPr>
    <w:tblPr/>
  </w:style>
  <w:style w:type="table" w:styleId="870">
    <w:name w:val="List Table 5 Dark - Accent 4"/>
    <w:basedOn w:val="698"/>
    <w:next w:val="870"/>
    <w:link w:val="695"/>
    <w:uiPriority w:val="99"/>
    <w:qFormat/>
    <w:pPr>
      <w:spacing w:after="0" w:line="240" w:lineRule="auto"/>
    </w:pPr>
    <w:tblPr/>
  </w:style>
  <w:style w:type="table" w:styleId="871">
    <w:name w:val="List Table 5 Dark - Accent 5"/>
    <w:basedOn w:val="698"/>
    <w:next w:val="871"/>
    <w:link w:val="695"/>
    <w:uiPriority w:val="99"/>
    <w:qFormat/>
    <w:pPr>
      <w:spacing w:after="0" w:line="240" w:lineRule="auto"/>
    </w:pPr>
    <w:tblPr/>
  </w:style>
  <w:style w:type="table" w:styleId="872">
    <w:name w:val="List Table 5 Dark - Accent 6"/>
    <w:basedOn w:val="698"/>
    <w:next w:val="872"/>
    <w:link w:val="695"/>
    <w:uiPriority w:val="99"/>
    <w:qFormat/>
    <w:pPr>
      <w:spacing w:after="0" w:line="240" w:lineRule="auto"/>
    </w:pPr>
    <w:tblPr/>
  </w:style>
  <w:style w:type="table" w:styleId="873">
    <w:name w:val="List Table 6 Colorful"/>
    <w:basedOn w:val="698"/>
    <w:next w:val="873"/>
    <w:link w:val="695"/>
    <w:uiPriority w:val="99"/>
    <w:qFormat/>
    <w:pPr>
      <w:spacing w:after="0" w:line="240" w:lineRule="auto"/>
    </w:pPr>
    <w:tblPr/>
  </w:style>
  <w:style w:type="table" w:styleId="874">
    <w:name w:val="List Table 6 Colorful - Accent 1"/>
    <w:basedOn w:val="698"/>
    <w:next w:val="874"/>
    <w:link w:val="695"/>
    <w:uiPriority w:val="99"/>
    <w:qFormat/>
    <w:pPr>
      <w:spacing w:after="0" w:line="240" w:lineRule="auto"/>
    </w:pPr>
    <w:tblPr/>
  </w:style>
  <w:style w:type="table" w:styleId="875">
    <w:name w:val="List Table 6 Colorful - Accent 2"/>
    <w:basedOn w:val="698"/>
    <w:next w:val="875"/>
    <w:link w:val="695"/>
    <w:uiPriority w:val="99"/>
    <w:qFormat/>
    <w:pPr>
      <w:spacing w:after="0" w:line="240" w:lineRule="auto"/>
    </w:pPr>
    <w:tblPr/>
  </w:style>
  <w:style w:type="table" w:styleId="876">
    <w:name w:val="List Table 6 Colorful - Accent 3"/>
    <w:basedOn w:val="698"/>
    <w:next w:val="876"/>
    <w:link w:val="695"/>
    <w:uiPriority w:val="99"/>
    <w:qFormat/>
    <w:pPr>
      <w:spacing w:after="0" w:line="240" w:lineRule="auto"/>
    </w:pPr>
    <w:tblPr/>
  </w:style>
  <w:style w:type="table" w:styleId="877">
    <w:name w:val="List Table 6 Colorful - Accent 4"/>
    <w:basedOn w:val="698"/>
    <w:next w:val="877"/>
    <w:link w:val="695"/>
    <w:uiPriority w:val="99"/>
    <w:qFormat/>
    <w:pPr>
      <w:spacing w:after="0" w:line="240" w:lineRule="auto"/>
    </w:pPr>
    <w:tblPr/>
  </w:style>
  <w:style w:type="table" w:styleId="878">
    <w:name w:val="List Table 6 Colorful - Accent 5"/>
    <w:basedOn w:val="698"/>
    <w:next w:val="878"/>
    <w:link w:val="695"/>
    <w:uiPriority w:val="99"/>
    <w:qFormat/>
    <w:pPr>
      <w:spacing w:after="0" w:line="240" w:lineRule="auto"/>
    </w:pPr>
    <w:tblPr/>
  </w:style>
  <w:style w:type="table" w:styleId="879">
    <w:name w:val="List Table 6 Colorful - Accent 6"/>
    <w:basedOn w:val="698"/>
    <w:next w:val="879"/>
    <w:link w:val="695"/>
    <w:uiPriority w:val="99"/>
    <w:qFormat/>
    <w:pPr>
      <w:spacing w:after="0" w:line="240" w:lineRule="auto"/>
    </w:pPr>
    <w:tblPr/>
  </w:style>
  <w:style w:type="table" w:styleId="880">
    <w:name w:val="List Table 7 Colorful"/>
    <w:basedOn w:val="698"/>
    <w:next w:val="880"/>
    <w:link w:val="695"/>
    <w:uiPriority w:val="99"/>
    <w:qFormat/>
    <w:pPr>
      <w:spacing w:after="0" w:line="240" w:lineRule="auto"/>
    </w:pPr>
    <w:tblPr/>
  </w:style>
  <w:style w:type="table" w:styleId="881">
    <w:name w:val="List Table 7 Colorful - Accent 1"/>
    <w:basedOn w:val="698"/>
    <w:next w:val="881"/>
    <w:link w:val="695"/>
    <w:uiPriority w:val="99"/>
    <w:qFormat/>
    <w:pPr>
      <w:spacing w:after="0" w:line="240" w:lineRule="auto"/>
    </w:pPr>
    <w:tblPr/>
  </w:style>
  <w:style w:type="table" w:styleId="882">
    <w:name w:val="List Table 7 Colorful - Accent 2"/>
    <w:basedOn w:val="698"/>
    <w:next w:val="882"/>
    <w:link w:val="695"/>
    <w:uiPriority w:val="99"/>
    <w:qFormat/>
    <w:pPr>
      <w:spacing w:after="0" w:line="240" w:lineRule="auto"/>
    </w:pPr>
    <w:tblPr/>
  </w:style>
  <w:style w:type="table" w:styleId="883">
    <w:name w:val="List Table 7 Colorful - Accent 3"/>
    <w:basedOn w:val="698"/>
    <w:next w:val="883"/>
    <w:link w:val="695"/>
    <w:uiPriority w:val="99"/>
    <w:qFormat/>
    <w:pPr>
      <w:spacing w:after="0" w:line="240" w:lineRule="auto"/>
    </w:pPr>
    <w:tblPr/>
  </w:style>
  <w:style w:type="table" w:styleId="884">
    <w:name w:val="List Table 7 Colorful - Accent 4"/>
    <w:basedOn w:val="698"/>
    <w:next w:val="884"/>
    <w:link w:val="695"/>
    <w:uiPriority w:val="99"/>
    <w:qFormat/>
    <w:pPr>
      <w:spacing w:after="0" w:line="240" w:lineRule="auto"/>
    </w:pPr>
    <w:tblPr/>
  </w:style>
  <w:style w:type="table" w:styleId="885">
    <w:name w:val="List Table 7 Colorful - Accent 5"/>
    <w:basedOn w:val="698"/>
    <w:next w:val="885"/>
    <w:link w:val="695"/>
    <w:uiPriority w:val="99"/>
    <w:qFormat/>
    <w:pPr>
      <w:spacing w:after="0" w:line="240" w:lineRule="auto"/>
    </w:pPr>
    <w:tblPr/>
  </w:style>
  <w:style w:type="table" w:styleId="886">
    <w:name w:val="List Table 7 Colorful - Accent 6"/>
    <w:basedOn w:val="698"/>
    <w:next w:val="886"/>
    <w:link w:val="695"/>
    <w:uiPriority w:val="99"/>
    <w:qFormat/>
    <w:pPr>
      <w:spacing w:after="0" w:line="240" w:lineRule="auto"/>
    </w:pPr>
    <w:tblPr/>
  </w:style>
  <w:style w:type="table" w:styleId="887">
    <w:name w:val="Lined - Accent"/>
    <w:basedOn w:val="698"/>
    <w:next w:val="887"/>
    <w:link w:val="695"/>
    <w:uiPriority w:val="99"/>
    <w:qFormat/>
    <w:pPr>
      <w:spacing w:after="0" w:line="240" w:lineRule="auto"/>
    </w:pPr>
    <w:rPr>
      <w:color w:val="404040"/>
    </w:rPr>
    <w:tblPr/>
  </w:style>
  <w:style w:type="table" w:styleId="888">
    <w:name w:val="Lined - Accent 1"/>
    <w:basedOn w:val="698"/>
    <w:next w:val="888"/>
    <w:link w:val="695"/>
    <w:uiPriority w:val="99"/>
    <w:qFormat/>
    <w:pPr>
      <w:spacing w:after="0" w:line="240" w:lineRule="auto"/>
    </w:pPr>
    <w:rPr>
      <w:color w:val="404040"/>
    </w:rPr>
    <w:tblPr/>
  </w:style>
  <w:style w:type="table" w:styleId="889">
    <w:name w:val="Lined - Accent 2"/>
    <w:basedOn w:val="698"/>
    <w:next w:val="889"/>
    <w:link w:val="695"/>
    <w:uiPriority w:val="99"/>
    <w:qFormat/>
    <w:pPr>
      <w:spacing w:after="0" w:line="240" w:lineRule="auto"/>
    </w:pPr>
    <w:rPr>
      <w:color w:val="404040"/>
    </w:rPr>
    <w:tblPr/>
  </w:style>
  <w:style w:type="table" w:styleId="890">
    <w:name w:val="Lined - Accent 3"/>
    <w:basedOn w:val="698"/>
    <w:next w:val="890"/>
    <w:link w:val="695"/>
    <w:uiPriority w:val="99"/>
    <w:qFormat/>
    <w:pPr>
      <w:spacing w:after="0" w:line="240" w:lineRule="auto"/>
    </w:pPr>
    <w:rPr>
      <w:color w:val="404040"/>
    </w:rPr>
    <w:tblPr/>
  </w:style>
  <w:style w:type="table" w:styleId="891">
    <w:name w:val="Lined - Accent 4"/>
    <w:basedOn w:val="698"/>
    <w:next w:val="891"/>
    <w:link w:val="695"/>
    <w:uiPriority w:val="99"/>
    <w:qFormat/>
    <w:pPr>
      <w:spacing w:after="0" w:line="240" w:lineRule="auto"/>
    </w:pPr>
    <w:rPr>
      <w:color w:val="404040"/>
    </w:rPr>
    <w:tblPr/>
  </w:style>
  <w:style w:type="table" w:styleId="892">
    <w:name w:val="Lined - Accent 5"/>
    <w:basedOn w:val="698"/>
    <w:next w:val="892"/>
    <w:link w:val="695"/>
    <w:uiPriority w:val="99"/>
    <w:qFormat/>
    <w:pPr>
      <w:spacing w:after="0" w:line="240" w:lineRule="auto"/>
    </w:pPr>
    <w:rPr>
      <w:color w:val="404040"/>
    </w:rPr>
    <w:tblPr/>
  </w:style>
  <w:style w:type="table" w:styleId="893">
    <w:name w:val="Lined - Accent 6"/>
    <w:basedOn w:val="698"/>
    <w:next w:val="893"/>
    <w:link w:val="695"/>
    <w:uiPriority w:val="99"/>
    <w:qFormat/>
    <w:pPr>
      <w:spacing w:after="0" w:line="240" w:lineRule="auto"/>
    </w:pPr>
    <w:rPr>
      <w:color w:val="404040"/>
    </w:rPr>
    <w:tblPr/>
  </w:style>
  <w:style w:type="table" w:styleId="894">
    <w:name w:val="Bordered &amp; Lined - Accent"/>
    <w:basedOn w:val="698"/>
    <w:next w:val="894"/>
    <w:link w:val="695"/>
    <w:uiPriority w:val="99"/>
    <w:qFormat/>
    <w:pPr>
      <w:spacing w:after="0" w:line="240" w:lineRule="auto"/>
    </w:pPr>
    <w:rPr>
      <w:color w:val="404040"/>
    </w:rPr>
    <w:tblPr/>
  </w:style>
  <w:style w:type="table" w:styleId="895">
    <w:name w:val="Bordered &amp; Lined - Accent 1"/>
    <w:basedOn w:val="698"/>
    <w:next w:val="895"/>
    <w:link w:val="695"/>
    <w:uiPriority w:val="99"/>
    <w:qFormat/>
    <w:pPr>
      <w:spacing w:after="0" w:line="240" w:lineRule="auto"/>
    </w:pPr>
    <w:rPr>
      <w:color w:val="404040"/>
    </w:rPr>
    <w:tblPr/>
  </w:style>
  <w:style w:type="table" w:styleId="896">
    <w:name w:val="Bordered &amp; Lined - Accent 2"/>
    <w:basedOn w:val="698"/>
    <w:next w:val="896"/>
    <w:link w:val="695"/>
    <w:uiPriority w:val="99"/>
    <w:qFormat/>
    <w:pPr>
      <w:spacing w:after="0" w:line="240" w:lineRule="auto"/>
    </w:pPr>
    <w:rPr>
      <w:color w:val="404040"/>
    </w:rPr>
    <w:tblPr/>
  </w:style>
  <w:style w:type="table" w:styleId="897">
    <w:name w:val="Bordered &amp; Lined - Accent 3"/>
    <w:basedOn w:val="698"/>
    <w:next w:val="897"/>
    <w:link w:val="695"/>
    <w:uiPriority w:val="99"/>
    <w:qFormat/>
    <w:pPr>
      <w:spacing w:after="0" w:line="240" w:lineRule="auto"/>
    </w:pPr>
    <w:rPr>
      <w:color w:val="404040"/>
    </w:rPr>
    <w:tblPr/>
  </w:style>
  <w:style w:type="table" w:styleId="898">
    <w:name w:val="Bordered &amp; Lined - Accent 4"/>
    <w:basedOn w:val="698"/>
    <w:next w:val="898"/>
    <w:link w:val="695"/>
    <w:uiPriority w:val="99"/>
    <w:qFormat/>
    <w:pPr>
      <w:spacing w:after="0" w:line="240" w:lineRule="auto"/>
    </w:pPr>
    <w:rPr>
      <w:color w:val="404040"/>
    </w:rPr>
    <w:tblPr/>
  </w:style>
  <w:style w:type="table" w:styleId="899">
    <w:name w:val="Bordered &amp; Lined - Accent 5"/>
    <w:basedOn w:val="698"/>
    <w:next w:val="899"/>
    <w:link w:val="695"/>
    <w:uiPriority w:val="99"/>
    <w:qFormat/>
    <w:pPr>
      <w:spacing w:after="0" w:line="240" w:lineRule="auto"/>
    </w:pPr>
    <w:rPr>
      <w:color w:val="404040"/>
    </w:rPr>
    <w:tblPr/>
  </w:style>
  <w:style w:type="table" w:styleId="900">
    <w:name w:val="Bordered &amp; Lined - Accent 6"/>
    <w:basedOn w:val="698"/>
    <w:next w:val="900"/>
    <w:link w:val="695"/>
    <w:uiPriority w:val="99"/>
    <w:qFormat/>
    <w:pPr>
      <w:spacing w:after="0" w:line="240" w:lineRule="auto"/>
    </w:pPr>
    <w:rPr>
      <w:color w:val="404040"/>
    </w:rPr>
    <w:tblPr/>
  </w:style>
  <w:style w:type="table" w:styleId="901">
    <w:name w:val="Bordered"/>
    <w:basedOn w:val="698"/>
    <w:next w:val="901"/>
    <w:link w:val="695"/>
    <w:uiPriority w:val="99"/>
    <w:qFormat/>
    <w:pPr>
      <w:spacing w:after="0" w:line="240" w:lineRule="auto"/>
    </w:pPr>
    <w:tblPr/>
  </w:style>
  <w:style w:type="table" w:styleId="902">
    <w:name w:val="Bordered - Accent 1"/>
    <w:basedOn w:val="698"/>
    <w:next w:val="902"/>
    <w:link w:val="695"/>
    <w:uiPriority w:val="99"/>
    <w:qFormat/>
    <w:pPr>
      <w:spacing w:after="0" w:line="240" w:lineRule="auto"/>
    </w:pPr>
    <w:tblPr/>
  </w:style>
  <w:style w:type="table" w:styleId="903">
    <w:name w:val="Bordered - Accent 2"/>
    <w:basedOn w:val="698"/>
    <w:next w:val="903"/>
    <w:link w:val="695"/>
    <w:uiPriority w:val="99"/>
    <w:qFormat/>
    <w:pPr>
      <w:spacing w:after="0" w:line="240" w:lineRule="auto"/>
    </w:pPr>
    <w:tblPr/>
  </w:style>
  <w:style w:type="table" w:styleId="904">
    <w:name w:val="Bordered - Accent 3"/>
    <w:basedOn w:val="698"/>
    <w:next w:val="904"/>
    <w:link w:val="695"/>
    <w:uiPriority w:val="99"/>
    <w:qFormat/>
    <w:pPr>
      <w:spacing w:after="0" w:line="240" w:lineRule="auto"/>
    </w:pPr>
    <w:tblPr/>
  </w:style>
  <w:style w:type="table" w:styleId="905">
    <w:name w:val="Bordered - Accent 4"/>
    <w:basedOn w:val="698"/>
    <w:next w:val="905"/>
    <w:link w:val="695"/>
    <w:uiPriority w:val="99"/>
    <w:qFormat/>
    <w:pPr>
      <w:spacing w:after="0" w:line="240" w:lineRule="auto"/>
    </w:pPr>
    <w:tblPr/>
  </w:style>
  <w:style w:type="table" w:styleId="906">
    <w:name w:val="Bordered - Accent 5"/>
    <w:basedOn w:val="698"/>
    <w:next w:val="906"/>
    <w:link w:val="695"/>
    <w:uiPriority w:val="99"/>
    <w:qFormat/>
    <w:pPr>
      <w:spacing w:after="0" w:line="240" w:lineRule="auto"/>
    </w:pPr>
    <w:tblPr/>
  </w:style>
  <w:style w:type="table" w:styleId="907">
    <w:name w:val="Bordered - Accent 6"/>
    <w:basedOn w:val="698"/>
    <w:next w:val="907"/>
    <w:link w:val="695"/>
    <w:uiPriority w:val="99"/>
    <w:qFormat/>
    <w:pPr>
      <w:spacing w:after="0" w:line="240" w:lineRule="auto"/>
    </w:pPr>
    <w:tblPr/>
  </w:style>
  <w:style w:type="paragraph" w:styleId="908">
    <w:name w:val="TOC Heading"/>
    <w:next w:val="908"/>
    <w:link w:val="695"/>
    <w:uiPriority w:val="39"/>
    <w:unhideWhenUsed/>
    <w:qFormat/>
  </w:style>
  <w:style w:type="paragraph" w:styleId="909">
    <w:name w:val="正文首行缩进 21"/>
    <w:basedOn w:val="910"/>
    <w:next w:val="909"/>
    <w:link w:val="695"/>
    <w:qFormat/>
    <w:pPr>
      <w:ind w:firstLine="420"/>
    </w:pPr>
    <w:rPr>
      <w:rFonts w:eastAsia="楷体_GB2312"/>
      <w:sz w:val="28"/>
    </w:rPr>
  </w:style>
  <w:style w:type="paragraph" w:styleId="910">
    <w:name w:val="正文文本缩进1"/>
    <w:basedOn w:val="695"/>
    <w:next w:val="695"/>
    <w:link w:val="695"/>
    <w:qFormat/>
    <w:pPr>
      <w:ind w:left="570"/>
      <w:spacing w:line="520" w:lineRule="exact"/>
    </w:pPr>
    <w:rPr>
      <w:rFonts w:ascii="方正仿宋简体" w:hAnsi="创艺简仿宋" w:eastAsia="方正仿宋简体" w:cs="Times New Roman"/>
      <w:sz w:val="24"/>
      <w:szCs w:val="20"/>
    </w:rPr>
  </w:style>
  <w:style w:type="character" w:styleId="911">
    <w:name w:val="正文文本缩进 3 Char"/>
    <w:next w:val="911"/>
    <w:link w:val="695"/>
    <w:qFormat/>
    <w:rPr>
      <w:sz w:val="24"/>
      <w:szCs w:val="24"/>
    </w:rPr>
  </w:style>
  <w:style w:type="character" w:styleId="912">
    <w:name w:val="正文文本 Char"/>
    <w:next w:val="912"/>
    <w:link w:val="695"/>
    <w:uiPriority w:val="99"/>
    <w:qFormat/>
    <w:rPr>
      <w:sz w:val="21"/>
      <w:szCs w:val="24"/>
    </w:rPr>
  </w:style>
  <w:style w:type="paragraph" w:styleId="913">
    <w:name w:val="首行缩进"/>
    <w:basedOn w:val="695"/>
    <w:next w:val="913"/>
    <w:link w:val="695"/>
    <w:uiPriority w:val="99"/>
    <w:qFormat/>
    <w:pPr>
      <w:ind w:firstLine="480"/>
    </w:pPr>
    <w:rPr>
      <w:rFonts w:ascii="Times New Roman" w:hAnsi="Times New Roman" w:eastAsia="宋体" w:cs="Times New Roman"/>
      <w:szCs w:val="20"/>
      <w:lang w:val="zh-CN"/>
    </w:rPr>
  </w:style>
  <w:style w:type="character" w:styleId="914">
    <w:name w:val="纯文本 Char"/>
    <w:next w:val="914"/>
    <w:link w:val="695"/>
    <w:qFormat/>
    <w:rPr>
      <w:rFonts w:ascii="宋体" w:hAnsi="Courier New" w:eastAsia="楷体_GB2312"/>
      <w:sz w:val="26"/>
      <w:szCs w:val="24"/>
    </w:rPr>
  </w:style>
  <w:style w:type="paragraph" w:styleId="915">
    <w:name w:val="纯文本1"/>
    <w:basedOn w:val="695"/>
    <w:next w:val="915"/>
    <w:link w:val="695"/>
    <w:qFormat/>
    <w:rPr>
      <w:rFonts w:ascii="宋体" w:hAnsi="Courier New" w:eastAsia="楷体_GB2312" w:cs="Times New Roman"/>
      <w:sz w:val="28"/>
      <w:szCs w:val="20"/>
    </w:rPr>
  </w:style>
  <w:style w:type="paragraph" w:styleId="916">
    <w:name w:val="纯文本2"/>
    <w:basedOn w:val="695"/>
    <w:next w:val="916"/>
    <w:link w:val="695"/>
    <w:qFormat/>
    <w:rPr>
      <w:rFonts w:ascii="宋体" w:hAnsi="Courier New" w:eastAsia="宋体" w:cs="Times New Roman"/>
    </w:rPr>
  </w:style>
  <w:style w:type="paragraph" w:styleId="917">
    <w:name w:val="纯文本4"/>
    <w:basedOn w:val="695"/>
    <w:next w:val="917"/>
    <w:link w:val="695"/>
    <w:qFormat/>
    <w:rPr>
      <w:rFonts w:ascii="宋体" w:hAnsi="Courier New" w:eastAsia="楷体_GB2312" w:cs="Times New Roman"/>
      <w:sz w:val="26"/>
      <w:szCs w:val="20"/>
    </w:rPr>
  </w:style>
  <w:style w:type="paragraph" w:styleId="918">
    <w:name w:val="列出段落1"/>
    <w:basedOn w:val="695"/>
    <w:next w:val="918"/>
    <w:link w:val="695"/>
    <w:qFormat/>
    <w:pPr>
      <w:ind w:firstLine="420"/>
    </w:pPr>
    <w:rPr>
      <w:rFonts w:ascii="Times New Roman" w:hAnsi="Times New Roman" w:eastAsia="宋体" w:cs="Times New Roman"/>
    </w:rPr>
  </w:style>
  <w:style w:type="paragraph" w:styleId="919">
    <w:name w:val="List Paragraph"/>
    <w:basedOn w:val="695"/>
    <w:next w:val="920"/>
    <w:link w:val="695"/>
    <w:uiPriority w:val="34"/>
    <w:qFormat/>
    <w:pPr>
      <w:ind w:firstLine="420"/>
    </w:pPr>
  </w:style>
  <w:style w:type="paragraph" w:styleId="920">
    <w:name w:val="xl91"/>
    <w:next w:val="921"/>
    <w:link w:val="695"/>
    <w:uiPriority w:val="99"/>
    <w:qFormat/>
    <w:pPr>
      <w:ind w:firstLine="3584"/>
      <w:spacing w:before="280" w:after="280"/>
      <w:outlineLvl w:val="0"/>
    </w:pPr>
    <w:rPr>
      <w:rFonts w:ascii="Calibri" w:hAnsi="Calibri" w:eastAsia="宋体" w:cs="Calibri"/>
      <w:lang w:val="en-US" w:eastAsia="zh-CN" w:bidi="ar-SA"/>
    </w:rPr>
  </w:style>
  <w:style w:type="paragraph" w:styleId="921">
    <w:name w:val="xl76"/>
    <w:next w:val="922"/>
    <w:link w:val="695"/>
    <w:uiPriority w:val="99"/>
    <w:qFormat/>
    <w:pPr>
      <w:ind w:firstLine="3584"/>
      <w:jc w:val="center"/>
      <w:spacing w:before="280" w:after="280"/>
      <w:outlineLvl w:val="0"/>
    </w:pPr>
    <w:rPr>
      <w:rFonts w:ascii="Calibri" w:hAnsi="Calibri" w:eastAsia="宋体" w:cs="Calibri"/>
      <w:lang w:val="en-US" w:eastAsia="zh-CN" w:bidi="ar-SA"/>
    </w:rPr>
  </w:style>
  <w:style w:type="paragraph" w:styleId="922">
    <w:name w:val="正文文本 21"/>
    <w:basedOn w:val="695"/>
    <w:next w:val="923"/>
    <w:link w:val="695"/>
    <w:uiPriority w:val="99"/>
    <w:qFormat/>
    <w:pPr>
      <w:ind w:firstLine="1024"/>
      <w:jc w:val="left"/>
      <w:spacing w:after="120" w:line="480" w:lineRule="auto"/>
      <w:widowControl/>
      <w:outlineLvl w:val="0"/>
    </w:pPr>
    <w:rPr>
      <w:sz w:val="20"/>
      <w:szCs w:val="20"/>
    </w:rPr>
  </w:style>
  <w:style w:type="paragraph" w:styleId="923">
    <w:name w:val="列表项目符号1"/>
    <w:basedOn w:val="695"/>
    <w:next w:val="695"/>
    <w:link w:val="695"/>
    <w:uiPriority w:val="99"/>
    <w:qFormat/>
    <w:pPr>
      <w:numPr>
        <w:ilvl w:val="0"/>
        <w:numId w:val="1"/>
      </w:numPr>
      <w:tabs>
        <w:tab w:val="left" w:pos="360" w:leader="none"/>
      </w:tabs>
    </w:pPr>
  </w:style>
  <w:style w:type="character" w:styleId="924">
    <w:name w:val="批注文字 字符"/>
    <w:next w:val="924"/>
    <w:link w:val="695"/>
    <w:qFormat/>
    <w:rPr>
      <w:rFonts w:eastAsia="宋体"/>
      <w:sz w:val="21"/>
      <w:lang w:val="en-US" w:eastAsia="zh-CN" w:bidi="ar-SA"/>
    </w:rPr>
  </w:style>
  <w:style w:type="character" w:styleId="925">
    <w:name w:val="批注主题 字符"/>
    <w:next w:val="925"/>
    <w:link w:val="695"/>
    <w:qFormat/>
    <w:rPr>
      <w:rFonts w:eastAsia="宋体"/>
      <w:b/>
      <w:bCs/>
      <w:sz w:val="21"/>
      <w:lang w:val="en-US" w:eastAsia="zh-CN" w:bidi="ar-SA"/>
    </w:rPr>
  </w:style>
  <w:style w:type="paragraph" w:styleId="926">
    <w:name w:val="p1"/>
    <w:basedOn w:val="695"/>
    <w:next w:val="926"/>
    <w:link w:val="695"/>
    <w:qFormat/>
    <w:pPr>
      <w:jc w:val="left"/>
      <w:spacing w:before="100" w:beforeAutospacing="1" w:after="100" w:afterAutospacing="1"/>
      <w:widowControl/>
    </w:pPr>
    <w:rPr>
      <w:rFonts w:ascii="宋体" w:hAnsi="宋体" w:eastAsia="宋体" w:cs="宋体"/>
      <w:sz w:val="24"/>
    </w:rPr>
  </w:style>
  <w:style w:type="paragraph" w:styleId="927">
    <w:name w:val="标题3"/>
    <w:basedOn w:val="695"/>
    <w:next w:val="695"/>
    <w:link w:val="695"/>
    <w:qFormat/>
    <w:pPr>
      <w:keepLines/>
      <w:keepNext/>
      <w:spacing w:line="360" w:lineRule="auto"/>
      <w:outlineLvl w:val="2"/>
    </w:pPr>
    <w:rPr>
      <w:rFonts w:eastAsia="宋体"/>
      <w:b/>
      <w:sz w:val="28"/>
      <w:szCs w:val="28"/>
    </w:rPr>
  </w:style>
  <w:style w:type="paragraph" w:styleId="928">
    <w:name w:val="纯文本3"/>
    <w:basedOn w:val="695"/>
    <w:next w:val="928"/>
    <w:link w:val="695"/>
    <w:qFormat/>
    <w:rPr>
      <w:rFonts w:ascii="宋体" w:hAnsi="Courier New" w:eastAsia="楷体_GB2312" w:cs="Times New Roman"/>
      <w:sz w:val="28"/>
      <w:szCs w:val="20"/>
    </w:rPr>
  </w:style>
  <w:style w:type="paragraph" w:styleId="929">
    <w:name w:val="修订1"/>
    <w:next w:val="929"/>
    <w:link w:val="695"/>
    <w:uiPriority w:val="99"/>
    <w:semiHidden/>
    <w:qFormat/>
    <w:rPr>
      <w:rFonts w:ascii="Calibri" w:hAnsi="Calibri" w:eastAsia="Arial" w:cs="Arial"/>
      <w:sz w:val="21"/>
      <w:szCs w:val="24"/>
      <w:lang w:eastAsia="zh-CN"/>
    </w:rPr>
  </w:style>
  <w:style w:type="paragraph" w:styleId="930">
    <w:name w:val="Revision"/>
    <w:next w:val="930"/>
    <w:link w:val="695"/>
    <w:uiPriority w:val="99"/>
    <w:semiHidden/>
    <w:qFormat/>
    <w:rPr>
      <w:rFonts w:ascii="Calibri" w:hAnsi="Calibri" w:eastAsia="Arial" w:cs="Arial"/>
      <w:sz w:val="21"/>
      <w:szCs w:val="24"/>
      <w:lang w:eastAsia="zh-CN"/>
    </w:rPr>
  </w:style>
  <w:style w:type="paragraph" w:styleId="931">
    <w:name w:val="Plain Text1"/>
    <w:basedOn w:val="695"/>
    <w:next w:val="931"/>
    <w:link w:val="695"/>
    <w:qFormat/>
    <w:rPr>
      <w:rFonts w:ascii="宋体" w:hAnsi="Courier New" w:eastAsia="宋体" w:cs="Times New Roman"/>
      <w:sz w:val="26"/>
      <w:szCs w:val="20"/>
    </w:rPr>
  </w:style>
  <w:style w:type="paragraph" w:styleId="932">
    <w:name w:val="纯文本111"/>
    <w:basedOn w:val="695"/>
    <w:next w:val="932"/>
    <w:link w:val="695"/>
    <w:qFormat/>
    <w:rPr>
      <w:rFonts w:ascii="宋体" w:hAnsi="Courier New" w:eastAsia="KaiTi_GB2312" w:cs="Times New Roman"/>
      <w:sz w:val="28"/>
      <w:szCs w:val="20"/>
    </w:rPr>
  </w:style>
  <w:style w:type="paragraph" w:styleId="933">
    <w:name w:val="段"/>
    <w:next w:val="695"/>
    <w:link w:val="695"/>
    <w:qFormat/>
    <w:pPr>
      <w:ind w:firstLine="200"/>
      <w:jc w:val="both"/>
      <w:spacing w:line="360" w:lineRule="auto"/>
    </w:pPr>
    <w:rPr>
      <w:rFonts w:ascii="宋体" w:hAnsi="宋体" w:eastAsia="等线" w:cs="宋体"/>
      <w:sz w:val="24"/>
      <w:szCs w:val="22"/>
      <w:lang w:eastAsia="zh-CN"/>
    </w:rPr>
  </w:style>
  <w:style w:type="paragraph" w:styleId="934">
    <w:name w:val="Andy_正文"/>
    <w:basedOn w:val="695"/>
    <w:next w:val="934"/>
    <w:link w:val="695"/>
    <w:qFormat/>
    <w:pPr>
      <w:ind w:firstLine="480"/>
      <w:spacing w:line="360" w:lineRule="auto"/>
    </w:pPr>
    <w:rPr>
      <w:rFonts w:ascii="Calibri" w:hAnsi="Calibri" w:cs="Times New Roman"/>
      <w:sz w:val="24"/>
    </w:rPr>
  </w:style>
  <w:style w:type="character" w:styleId="935">
    <w:name w:val="NormalCharacter1"/>
    <w:next w:val="935"/>
    <w:link w:val="695"/>
    <w:semiHidden/>
    <w:qFormat/>
  </w:style>
  <w:style w:type="character" w:styleId="936">
    <w:name w:val="font11"/>
    <w:basedOn w:val="697"/>
    <w:next w:val="936"/>
    <w:link w:val="695"/>
    <w:qFormat/>
    <w:rPr>
      <w:rFonts w:ascii="宋体" w:hAnsi="宋体" w:eastAsia="宋体" w:cs="宋体"/>
      <w:color w:val="000000"/>
      <w:sz w:val="26"/>
      <w:szCs w:val="26"/>
      <w:u w:val="none"/>
    </w:rPr>
  </w:style>
  <w:style w:type="character" w:styleId="937">
    <w:name w:val="font21"/>
    <w:basedOn w:val="697"/>
    <w:next w:val="937"/>
    <w:link w:val="695"/>
    <w:rPr>
      <w:rFonts w:ascii="Calibri" w:hAnsi="Calibri" w:cs="Calibri"/>
      <w:color w:val="000000"/>
      <w:sz w:val="26"/>
      <w:szCs w:val="26"/>
      <w:u w:val="none"/>
    </w:rPr>
  </w:style>
  <w:style w:type="character" w:styleId="938" w:default="1">
    <w:name w:val="Default Paragraph Font"/>
    <w:uiPriority w:val="1"/>
    <w:semiHidden/>
    <w:unhideWhenUsed/>
  </w:style>
  <w:style w:type="numbering" w:styleId="939" w:default="1">
    <w:name w:val="No List"/>
    <w:uiPriority w:val="99"/>
    <w:semiHidden/>
    <w:unhideWhenUsed/>
  </w:style>
  <w:style w:type="table" w:styleId="9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zfcg.jsczt.cn/" TargetMode="External"/><Relationship Id="rId12" Type="http://schemas.openxmlformats.org/officeDocument/2006/relationships/hyperlink" Target="http://jszfcg.jsczt.cn/%EF%BC%89" TargetMode="External"/><Relationship Id="rId13" Type="http://schemas.onlyoffice.com/commentsDocument" Target="commentsDocument.xml" /><Relationship Id="rId14" Type="http://schemas.onlyoffice.com/commentsExtendedDocument" Target="commentsExtendedDocument.xml" /><Relationship Id="rId15"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赵晓燕</cp:lastModifiedBy>
  <cp:revision>11</cp:revision>
  <dcterms:created xsi:type="dcterms:W3CDTF">2021-11-13T08:24:00Z</dcterms:created>
  <dcterms:modified xsi:type="dcterms:W3CDTF">2026-10-10T08:16:56Z</dcterms:modified>
</cp:coreProperties>
</file>