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spacing w:before="120" w:beforeAutospacing="0" w:after="120" w:afterAutospacing="0" w:line="360" w:lineRule="auto"/>
        <w:rPr>
          <w:color w:val="auto"/>
          <w:highlight w:val="none"/>
        </w:rPr>
      </w:pPr>
      <w:r>
        <w:rPr>
          <w:color w:val="auto"/>
          <w:highlight w:val="none"/>
        </w:rPr>
        <w:t xml:space="preserve"> </w:t>
      </w:r>
      <w:r/>
    </w:p>
    <w:p>
      <w:pPr>
        <w:pStyle w:val="994"/>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9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994"/>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94"/>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994"/>
        <w:ind w:left="2566" w:hanging="1928"/>
        <w:jc w:val="left"/>
        <w:keepLines w:val="0"/>
        <w:keepNext w:val="0"/>
        <w:pageBreakBefore w:val="0"/>
        <w:spacing w:before="120" w:beforeAutospacing="0" w:after="120" w:afterAutospacing="0" w:line="360" w:lineRule="auto"/>
        <w:widowControl w:val="off"/>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  </w:t>
      </w:r>
      <w:r/>
    </w:p>
    <w:p>
      <w:pPr>
        <w:pStyle w:val="994"/>
        <w:ind w:left="4172" w:hanging="3534"/>
        <w:jc w:val="left"/>
        <w:keepLines w:val="0"/>
        <w:keepNext w:val="0"/>
        <w:pageBreakBefore w:val="0"/>
        <w:spacing w:before="120" w:beforeAutospacing="0" w:after="120" w:afterAutospacing="0" w:line="360" w:lineRule="auto"/>
        <w:widowControl w:val="off"/>
        <w:rPr>
          <w:rFonts w:hint="eastAsia" w:ascii="Arial" w:hAnsi="Arial" w:cs="Arial"/>
          <w:b/>
          <w:bCs/>
          <w:color w:val="auto"/>
          <w:sz w:val="32"/>
          <w:szCs w:val="32"/>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盐城市第三人民医院南院</w:t>
      </w:r>
      <w:r>
        <w:rPr>
          <w:rFonts w:hint="eastAsia" w:ascii="Arial" w:hAnsi="Arial" w:cs="Arial"/>
          <w:b/>
          <w:color w:val="auto"/>
          <w:sz w:val="32"/>
          <w:szCs w:val="32"/>
          <w:highlight w:val="none"/>
          <w:lang w:val="en-US" w:eastAsia="zh-CN"/>
        </w:rPr>
        <w:t xml:space="preserve">一期</w:t>
      </w:r>
      <w:r>
        <w:rPr>
          <w:rFonts w:hint="eastAsia" w:ascii="Arial" w:hAnsi="Arial" w:cs="Arial"/>
          <w:b/>
          <w:color w:val="auto"/>
          <w:sz w:val="32"/>
          <w:szCs w:val="32"/>
          <w:highlight w:val="none"/>
        </w:rPr>
        <w:t xml:space="preserve">病房</w:t>
      </w:r>
      <w:r>
        <w:rPr>
          <w:rFonts w:hint="eastAsia" w:ascii="Arial" w:hAnsi="Arial" w:cs="Arial"/>
          <w:b/>
          <w:color w:val="auto"/>
          <w:sz w:val="32"/>
          <w:szCs w:val="32"/>
          <w:highlight w:val="none"/>
          <w:lang w:val="en-US" w:eastAsia="zh-CN"/>
        </w:rPr>
        <w:t xml:space="preserve">改造提</w:t>
      </w:r>
      <w:r>
        <w:rPr>
          <w:rFonts w:hint="eastAsia" w:ascii="Arial" w:hAnsi="Arial" w:cs="Arial"/>
          <w:b/>
          <w:color w:val="auto"/>
          <w:sz w:val="32"/>
          <w:szCs w:val="32"/>
          <w:highlight w:val="none"/>
          <w:lang w:val="en-US" w:eastAsia="zh-CN"/>
        </w:rPr>
      </w:r>
      <w:r/>
    </w:p>
    <w:p>
      <w:pPr>
        <w:pStyle w:val="994"/>
        <w:ind w:left="4172" w:hanging="3534"/>
        <w:jc w:val="left"/>
        <w:keepLines w:val="0"/>
        <w:keepNext w:val="0"/>
        <w:pageBreakBefore w:val="0"/>
        <w:spacing w:before="120" w:beforeAutospacing="0" w:after="120" w:afterAutospacing="0" w:line="360" w:lineRule="auto"/>
        <w:widowControl w:val="off"/>
        <w:rPr>
          <w:rFonts w:hint="eastAsia" w:ascii="Arial" w:hAnsi="Arial" w:cs="Arial"/>
          <w:b/>
          <w:bCs/>
          <w:color w:val="auto"/>
          <w:sz w:val="32"/>
          <w:szCs w:val="32"/>
          <w:highlight w:val="none"/>
          <w:lang w:val="en-US" w:eastAsia="zh-CN"/>
        </w:rPr>
      </w:pPr>
      <w:r>
        <w:rPr>
          <w:rFonts w:hint="eastAsia" w:ascii="Arial" w:hAnsi="Arial" w:cs="Arial"/>
          <w:b/>
          <w:color w:val="auto"/>
          <w:sz w:val="32"/>
          <w:szCs w:val="32"/>
          <w:highlight w:val="none"/>
          <w:lang w:val="en-US" w:eastAsia="zh-CN"/>
        </w:rPr>
        <w:t xml:space="preserve">                 升</w:t>
      </w:r>
      <w:r>
        <w:rPr>
          <w:rFonts w:hint="eastAsia" w:ascii="Arial" w:hAnsi="Arial" w:cs="Arial"/>
          <w:b/>
          <w:color w:val="auto"/>
          <w:sz w:val="32"/>
          <w:szCs w:val="32"/>
          <w:highlight w:val="none"/>
        </w:rPr>
        <w:t xml:space="preserve">手术室医疗专项采购</w:t>
      </w:r>
      <w:r>
        <w:rPr>
          <w:rFonts w:hint="eastAsia" w:ascii="Arial" w:hAnsi="Arial" w:cs="Arial"/>
          <w:b/>
          <w:color w:val="auto"/>
          <w:sz w:val="32"/>
          <w:szCs w:val="32"/>
          <w:highlight w:val="none"/>
          <w:lang w:val="en-US" w:eastAsia="zh-CN"/>
        </w:rPr>
      </w:r>
      <w:r/>
    </w:p>
    <w:p>
      <w:pPr>
        <w:pStyle w:val="994"/>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JSZC-320903-RHHH-G2026-0078</w:t>
      </w:r>
      <w:r/>
    </w:p>
    <w:p>
      <w:pPr>
        <w:pStyle w:val="994"/>
        <w:spacing w:beforeAutospacing="0" w:afterAutospacing="0" w:line="360" w:lineRule="auto"/>
        <w:rPr>
          <w:color w:val="auto"/>
          <w:highlight w:val="none"/>
        </w:rPr>
      </w:pPr>
      <w:r>
        <w:rPr>
          <w:color w:val="auto"/>
          <w:highlight w:val="none"/>
        </w:rPr>
        <w:t xml:space="preserve">  </w:t>
      </w:r>
      <w:r/>
    </w:p>
    <w:p>
      <w:pPr>
        <w:pStyle w:val="994"/>
        <w:spacing w:beforeAutospacing="0" w:afterAutospacing="0" w:line="360" w:lineRule="auto"/>
        <w:rPr>
          <w:color w:val="auto"/>
          <w:highlight w:val="none"/>
        </w:rPr>
      </w:pPr>
      <w:r>
        <w:rPr>
          <w:color w:val="auto"/>
          <w:highlight w:val="none"/>
        </w:rPr>
        <w:t xml:space="preserve"> </w:t>
      </w:r>
      <w:r/>
    </w:p>
    <w:p>
      <w:pPr>
        <w:pStyle w:val="994"/>
        <w:spacing w:beforeAutospacing="0" w:afterAutospacing="0" w:line="360" w:lineRule="auto"/>
        <w:rPr>
          <w:color w:val="auto"/>
          <w:highlight w:val="none"/>
        </w:rPr>
      </w:pPr>
      <w:r>
        <w:rPr>
          <w:color w:val="auto"/>
          <w:highlight w:val="none"/>
        </w:rPr>
        <w:t xml:space="preserve"> </w:t>
      </w:r>
      <w:r/>
    </w:p>
    <w:p>
      <w:pPr>
        <w:pStyle w:val="994"/>
        <w:spacing w:beforeAutospacing="0" w:afterAutospacing="0" w:line="360" w:lineRule="auto"/>
        <w:rPr>
          <w:color w:val="auto"/>
          <w:highlight w:val="none"/>
        </w:rPr>
      </w:pPr>
      <w:r>
        <w:rPr>
          <w:color w:val="auto"/>
          <w:highlight w:val="none"/>
        </w:rPr>
        <w:t xml:space="preserve"> </w:t>
      </w:r>
      <w:r/>
    </w:p>
    <w:p>
      <w:pPr>
        <w:pStyle w:val="994"/>
        <w:spacing w:beforeAutospacing="0" w:afterAutospacing="0" w:line="360" w:lineRule="auto"/>
        <w:rPr>
          <w:color w:val="auto"/>
          <w:highlight w:val="none"/>
        </w:rPr>
      </w:pPr>
      <w:r>
        <w:rPr>
          <w:color w:val="auto"/>
          <w:highlight w:val="none"/>
        </w:rPr>
        <w:t xml:space="preserve"> </w:t>
      </w:r>
      <w:r/>
    </w:p>
    <w:p>
      <w:pPr>
        <w:pStyle w:val="994"/>
        <w:spacing w:beforeAutospacing="0" w:afterAutospacing="0" w:line="360" w:lineRule="auto"/>
        <w:rPr>
          <w:color w:val="auto"/>
          <w:highlight w:val="none"/>
        </w:rPr>
      </w:pPr>
      <w:r>
        <w:rPr>
          <w:color w:val="auto"/>
          <w:highlight w:val="none"/>
        </w:rPr>
        <w:t xml:space="preserve"> </w:t>
      </w:r>
      <w:r/>
    </w:p>
    <w:p>
      <w:pPr>
        <w:pStyle w:val="994"/>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99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994"/>
        <w:jc w:val="center"/>
        <w:spacing w:before="120" w:beforeAutospacing="0" w:after="120" w:afterAutospacing="0" w:line="360" w:lineRule="auto"/>
        <w:rPr>
          <w:color w:val="auto"/>
          <w:highlight w:val="none"/>
        </w:rPr>
      </w:pPr>
      <w:r>
        <w:rPr>
          <w:color w:val="auto"/>
          <w:highlight w:val="none"/>
        </w:rPr>
        <w:t xml:space="preserve"> </w:t>
      </w:r>
      <w:r/>
    </w:p>
    <w:p>
      <w:pPr>
        <w:pStyle w:val="994"/>
        <w:jc w:val="center"/>
        <w:spacing w:beforeAutospacing="0" w:afterAutospacing="0" w:line="480" w:lineRule="auto"/>
        <w:rPr>
          <w:rFonts w:ascii="Times New Roman" w:hAnsi="Times New Roman"/>
          <w:color w:val="auto"/>
          <w:sz w:val="21"/>
          <w:szCs w:val="21"/>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994"/>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479757206"/>
      <w:r/>
      <w:bookmarkStart w:id="1" w:name="_Toc120614210"/>
      <w:r/>
      <w:bookmarkStart w:id="2" w:name="_Toc513029200"/>
      <w:r/>
      <w:bookmarkStart w:id="3" w:name="_Toc20823272"/>
      <w:r/>
      <w:bookmarkStart w:id="4" w:name="_Toc16938516"/>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94"/>
        <w:jc w:val="both"/>
        <w:spacing w:beforeAutospacing="0" w:afterAutospacing="0" w:line="480" w:lineRule="auto"/>
        <w:rPr>
          <w:color w:val="auto"/>
          <w:highlight w:val="none"/>
        </w:rPr>
      </w:pPr>
      <w:r>
        <w:rPr>
          <w:color w:val="auto"/>
          <w:highlight w:val="none"/>
        </w:rPr>
        <w:t xml:space="preserve"> </w:t>
      </w:r>
      <w:r/>
    </w:p>
    <w:p>
      <w:pPr>
        <w:pStyle w:val="994"/>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一、招标公告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99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99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99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50</w:t>
      </w:r>
      <w:r/>
    </w:p>
    <w:p>
      <w:pPr>
        <w:pStyle w:val="99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167</w:t>
      </w:r>
      <w:r/>
    </w:p>
    <w:p>
      <w:pPr>
        <w:pStyle w:val="99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投标文件格式……………………………1</w:t>
      </w:r>
      <w:r>
        <w:rPr>
          <w:rFonts w:hint="eastAsia" w:ascii="黑体" w:hAnsi="宋体" w:eastAsia="黑体" w:cs="黑体"/>
          <w:color w:val="auto"/>
          <w:sz w:val="36"/>
          <w:szCs w:val="36"/>
          <w:highlight w:val="none"/>
          <w:lang w:val="en-US" w:eastAsia="zh-CN"/>
        </w:rPr>
        <w:t xml:space="preserve">78</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center"/>
        <w:keepNext/>
        <w:spacing w:beforeAutospacing="0" w:afterAutospacing="0"/>
        <w:rPr>
          <w:rFonts w:hint="eastAsia" w:ascii="黑体" w:hAnsi="宋体" w:eastAsia="黑体" w:cs="黑体"/>
          <w:color w:val="auto"/>
          <w:sz w:val="44"/>
          <w:szCs w:val="44"/>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994"/>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994"/>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盐城市第三人民医院南院一期病房改造提升手术室医疗专项采购JSZC-320903-RHHH-G2026-0078</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94"/>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Toc28359002"/>
      <w:r/>
      <w:bookmarkStart w:id="8" w:name="_Toc35393790"/>
      <w:r/>
      <w:bookmarkStart w:id="9" w:name="_Toc28359079"/>
      <w:r/>
      <w:bookmarkStart w:id="10" w:name="_Toc38985263"/>
      <w:r/>
      <w:bookmarkStart w:id="11" w:name="_Hlk24379207"/>
      <w:r/>
      <w:bookmarkStart w:id="12" w:name="_Toc35393621"/>
      <w:r/>
      <w:r/>
    </w:p>
    <w:p>
      <w:pPr>
        <w:pStyle w:val="994"/>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1.项目编号：JSZC-320903-RHHH-G2026-0078</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目名称：盐城市第三人民医院南院一期病房改造提升手术室医疗专项采购</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1676.635807万元</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1676.635807万元</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.采购需求（简介）：盐城市第三人民医院南院一期病房改造提升手术室医疗专项采购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主要包含：</w:t>
      </w:r>
      <w:r/>
    </w:p>
    <w:tbl>
      <w:tblPr>
        <w:tblStyle w:val="995"/>
        <w:tblpPr w:horzAnchor="text" w:tblpX="599" w:vertAnchor="text" w:tblpY="19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2502"/>
        <w:gridCol w:w="835"/>
        <w:gridCol w:w="1245"/>
        <w:gridCol w:w="2149"/>
      </w:tblGrid>
      <w:tr>
        <w:trPr>
          <w:trHeight w:val="488"/>
        </w:trPr>
        <w:tc>
          <w:tcPr>
            <w:tcW w:w="892"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2502" w:type="dxa"/>
            <w:textDirection w:val="lrTb"/>
            <w:noWrap w:val="false"/>
          </w:tcPr>
          <w:p>
            <w:pPr>
              <w:pStyle w:val="994"/>
              <w:jc w:val="center"/>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专项名称</w:t>
            </w:r>
            <w:r/>
          </w:p>
        </w:tc>
        <w:tc>
          <w:tcPr>
            <w:tcW w:w="835"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c>
          <w:tcPr>
            <w:tcW w:w="1245"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2149" w:type="dxa"/>
            <w:textDirection w:val="lrTb"/>
            <w:noWrap w:val="false"/>
          </w:tcPr>
          <w:p>
            <w:pPr>
              <w:pStyle w:val="994"/>
              <w:jc w:val="both"/>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是否接收进口产品</w:t>
            </w:r>
            <w:r/>
          </w:p>
        </w:tc>
      </w:tr>
      <w:tr>
        <w:trPr>
          <w:trHeight w:val="510"/>
        </w:trPr>
        <w:tc>
          <w:tcPr>
            <w:tcW w:w="892" w:type="dxa"/>
            <w:vAlign w:val="center"/>
            <w:textDirection w:val="lrTb"/>
            <w:noWrap w:val="false"/>
          </w:tcPr>
          <w:p>
            <w:pPr>
              <w:pStyle w:val="994"/>
              <w:jc w:val="center"/>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502" w:type="dxa"/>
            <w:vAlign w:val="center"/>
            <w:textDirection w:val="lrTb"/>
            <w:noWrap w:val="false"/>
          </w:tcPr>
          <w:p>
            <w:pPr>
              <w:pStyle w:val="994"/>
              <w:jc w:val="left"/>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手术室设备</w:t>
            </w:r>
            <w:r/>
          </w:p>
        </w:tc>
        <w:tc>
          <w:tcPr>
            <w:tcW w:w="835"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502"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 xml:space="preserve">医护专用</w:t>
            </w:r>
            <w:r>
              <w:rPr>
                <w:rFonts w:hint="eastAsia" w:ascii="宋体" w:hAnsi="宋体" w:eastAsia="宋体" w:cs="宋体"/>
                <w:color w:val="auto"/>
                <w:sz w:val="24"/>
                <w:szCs w:val="24"/>
                <w:highlight w:val="none"/>
                <w:vertAlign w:val="baseline"/>
                <w:lang w:val="en-US" w:eastAsia="zh-CN"/>
              </w:rPr>
              <w:t xml:space="preserve">电</w:t>
            </w:r>
            <w:r>
              <w:rPr>
                <w:rFonts w:hint="eastAsia" w:ascii="宋体" w:hAnsi="宋体" w:eastAsia="宋体" w:cs="宋体"/>
                <w:color w:val="auto"/>
                <w:sz w:val="24"/>
                <w:szCs w:val="24"/>
                <w:highlight w:val="none"/>
                <w:vertAlign w:val="baseline"/>
              </w:rPr>
              <w:t xml:space="preserve">梯</w:t>
            </w:r>
            <w:r/>
          </w:p>
        </w:tc>
        <w:tc>
          <w:tcPr>
            <w:shd w:val="clear" w:color="auto" w:fill="auto"/>
            <w:tcW w:w="835"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部</w:t>
            </w:r>
            <w:r/>
          </w:p>
        </w:tc>
        <w:tc>
          <w:tcPr>
            <w:shd w:val="clear" w:color="auto" w:fill="auto"/>
            <w:tcW w:w="1245"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2149" w:type="dxa"/>
            <w:vAlign w:val="center"/>
            <w:textDirection w:val="lrTb"/>
            <w:noWrap w:val="false"/>
          </w:tcPr>
          <w:p>
            <w:pPr>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502"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 xml:space="preserve">医疗气体</w:t>
            </w:r>
            <w:r>
              <w:rPr>
                <w:rFonts w:hint="eastAsia" w:ascii="宋体" w:hAnsi="宋体" w:eastAsia="宋体" w:cs="宋体"/>
                <w:color w:val="auto"/>
                <w:sz w:val="24"/>
                <w:szCs w:val="24"/>
                <w:highlight w:val="none"/>
                <w:vertAlign w:val="baseline"/>
                <w:lang w:val="en-US" w:eastAsia="zh-CN"/>
              </w:rPr>
              <w:t xml:space="preserve">配套设施</w:t>
            </w:r>
            <w:r/>
          </w:p>
        </w:tc>
        <w:tc>
          <w:tcPr>
            <w:tcW w:w="83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502"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智能化系统</w:t>
            </w:r>
            <w:r/>
          </w:p>
        </w:tc>
        <w:tc>
          <w:tcPr>
            <w:tcW w:w="83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502" w:type="dxa"/>
            <w:vAlign w:val="center"/>
            <w:textDirection w:val="lrTb"/>
            <w:noWrap w:val="false"/>
          </w:tcPr>
          <w:p>
            <w:pPr>
              <w:pStyle w:val="994"/>
              <w:jc w:val="left"/>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暖通设备</w:t>
            </w:r>
            <w:r/>
          </w:p>
        </w:tc>
        <w:tc>
          <w:tcPr>
            <w:shd w:val="clear" w:color="auto" w:fill="auto"/>
            <w:tcW w:w="83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项</w:t>
            </w:r>
            <w:r/>
          </w:p>
        </w:tc>
        <w:tc>
          <w:tcPr>
            <w:shd w:val="clear" w:color="auto" w:fill="auto"/>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282"/>
        </w:trPr>
        <w:tc>
          <w:tcPr>
            <w:tcW w:w="892"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502"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手术室配套基础设施</w:t>
            </w:r>
            <w:r/>
          </w:p>
        </w:tc>
        <w:tc>
          <w:tcPr>
            <w:shd w:val="clear" w:color="auto" w:fill="auto"/>
            <w:tcW w:w="83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项</w:t>
            </w:r>
            <w:r/>
          </w:p>
        </w:tc>
        <w:tc>
          <w:tcPr>
            <w:shd w:val="clear" w:color="auto" w:fill="auto"/>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否</w:t>
            </w:r>
            <w:r/>
          </w:p>
        </w:tc>
      </w:tr>
    </w:tbl>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合同签订后，自采购人书面通知后120天内交付。</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投标。</w:t>
      </w:r>
      <w:r/>
    </w:p>
    <w:p>
      <w:pPr>
        <w:pStyle w:val="994"/>
        <w:ind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 w:name="_Toc28359003"/>
      <w:r/>
      <w:bookmarkStart w:id="14" w:name="_Toc28359080"/>
      <w:r/>
      <w:bookmarkStart w:id="15" w:name="_Toc35393622"/>
      <w:r/>
      <w:bookmarkStart w:id="16" w:name="_Toc35393791"/>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1.2上一年度（2025年度）的财务状况报表（至少提供资产负债表、利润表、现金流量表，投标人成立不满一年无需提供）</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3.本项目的特定资格要求：投标人具有建设行政主管部门核发的建筑机电安装专业承包二级及以上资质，并具有有效的安全生产许可证。</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拟派项目负责人须具有机电安装工程二级及以上注册建造师资质，并具有有效的安全生产考核合格证（B类）。</w:t>
      </w:r>
      <w:r/>
    </w:p>
    <w:p>
      <w:pPr>
        <w:pStyle w:val="99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35393793"/>
      <w:r/>
      <w:bookmarkStart w:id="19" w:name="_Toc35393624"/>
      <w:r/>
      <w:bookmarkStart w:id="20" w:name="_Toc28359082"/>
      <w:r/>
      <w:bookmarkStart w:id="21" w:name="_Toc38985266"/>
      <w:r/>
      <w:bookmarkStart w:id="22" w:name="_Toc2835900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8"/>
      <w:r/>
      <w:bookmarkEnd w:id="19"/>
      <w:r/>
      <w:bookmarkEnd w:id="20"/>
      <w:r/>
      <w:bookmarkEnd w:id="21"/>
      <w:r/>
      <w:bookmarkEnd w:id="2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99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9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w:t>
      </w:r>
      <w:r>
        <w:rPr>
          <w:rFonts w:hint="eastAsia" w:ascii="宋体" w:hAnsi="宋体" w:eastAsia="宋体" w:cs="宋体"/>
          <w:i w:val="0"/>
          <w:iCs w:val="0"/>
          <w:caps w:val="0"/>
          <w:color w:val="auto"/>
          <w:spacing w:val="0"/>
          <w:sz w:val="24"/>
          <w:szCs w:val="24"/>
          <w:highlight w:val="none"/>
          <w:u w:val="none"/>
          <w:shd w:val="clear" w:color="auto" w:fill="auto"/>
        </w:rPr>
        <w:t xml:space="preserve">日</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9：30</w:t>
      </w:r>
      <w:r>
        <w:rPr>
          <w:rFonts w:hint="eastAsia" w:ascii="宋体" w:hAnsi="宋体" w:eastAsia="宋体" w:cs="宋体"/>
          <w:color w:val="auto"/>
          <w:sz w:val="24"/>
          <w:szCs w:val="24"/>
          <w:highlight w:val="none"/>
          <w:shd w:val="clear" w:color="auto" w:fill="auto"/>
        </w:rPr>
        <w:t xml:space="preserve">（北京时间）。</w:t>
      </w:r>
      <w:r/>
    </w:p>
    <w:p>
      <w:pPr>
        <w:pStyle w:val="994"/>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9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3" w:name="_Toc38985267"/>
      <w:r/>
      <w:bookmarkStart w:id="24" w:name="_Toc28359084"/>
      <w:r/>
      <w:bookmarkStart w:id="25" w:name="_Toc35393625"/>
      <w:r/>
      <w:bookmarkStart w:id="26" w:name="_Toc35393794"/>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9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9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1"/>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94"/>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9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20823277"/>
      <w:r/>
      <w:bookmarkStart w:id="50" w:name="_Toc513029205"/>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2" w:name="_Toc16938522"/>
      <w:r/>
      <w:bookmarkStart w:id="53" w:name="_Toc20823278"/>
      <w:r/>
      <w:bookmarkStart w:id="54" w:name="_Toc513029206"/>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513029209"/>
      <w:r/>
      <w:bookmarkStart w:id="60" w:name="_Toc120614215"/>
      <w:r/>
      <w:bookmarkStart w:id="61" w:name="_Toc20823281"/>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20823282"/>
      <w:r/>
      <w:bookmarkStart w:id="64" w:name="_Toc513029210"/>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16938527"/>
      <w:r/>
      <w:bookmarkStart w:id="67" w:name="_Toc20823283"/>
      <w:r/>
      <w:bookmarkStart w:id="68" w:name="_Toc462564070"/>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462564071"/>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20823285"/>
      <w:r/>
      <w:bookmarkStart w:id="76" w:name="_Toc462564072"/>
      <w:r/>
      <w:bookmarkStart w:id="77" w:name="_Toc120614216"/>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462564073"/>
      <w:r/>
      <w:bookmarkStart w:id="80" w:name="_Toc16938530"/>
      <w:r/>
      <w:bookmarkStart w:id="81" w:name="_Toc20823286"/>
      <w:r/>
      <w:bookmarkStart w:id="82" w:name="_Toc513029214"/>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16938531"/>
      <w:r/>
      <w:bookmarkStart w:id="84" w:name="_Toc513029215"/>
      <w:r/>
      <w:bookmarkStart w:id="85" w:name="_Toc462564074"/>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49090509"/>
      <w:r/>
      <w:bookmarkStart w:id="88" w:name="_Toc14577355"/>
      <w:r/>
      <w:bookmarkStart w:id="89" w:name="_Toc513029216"/>
      <w:r/>
      <w:bookmarkStart w:id="90" w:name="_Toc14577357"/>
      <w:r/>
      <w:bookmarkStart w:id="91" w:name="_Toc14577354"/>
      <w:r/>
      <w:bookmarkStart w:id="92" w:name="_Toc49090508"/>
      <w:r/>
      <w:bookmarkStart w:id="93" w:name="_Toc513029219"/>
      <w:r/>
      <w:bookmarkStart w:id="94" w:name="_Toc49090507"/>
      <w:r/>
      <w:bookmarkStart w:id="95" w:name="_Hlt26954838"/>
      <w:r/>
      <w:bookmarkStart w:id="96" w:name="_Hlt26668975"/>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94"/>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12.3为不影响医院诊疗，本项目需分段实施、各专业穿插实施，中标人须根据经采购人确认的分段方案后实施，请投标人自行踏勘现场，充分考虑上述因素，并将相关费用综合考虑到投标报价中，结算时采购人不另行增加此项费用。</w:t>
      </w:r>
      <w:r/>
    </w:p>
    <w:p>
      <w:pPr>
        <w:pStyle w:val="994"/>
        <w:ind w:left="0" w:firstLine="482"/>
        <w:jc w:val="both"/>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12.4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8" w:name="_Hlt26954731"/>
      <w:r/>
      <w:bookmarkStart w:id="99" w:name="_Hlt26954846"/>
      <w:r/>
      <w:bookmarkStart w:id="100" w:name="_Hlt26670486"/>
      <w:r/>
      <w:bookmarkStart w:id="101" w:name="_Hlt26954848"/>
      <w:r/>
      <w:bookmarkStart w:id="102" w:name="_Hlt26670482"/>
      <w:r>
        <w:rPr>
          <w:rFonts w:hint="eastAsia" w:ascii="宋体" w:hAnsi="宋体" w:eastAsia="宋体" w:cs="宋体"/>
          <w:color w:val="auto"/>
          <w:sz w:val="24"/>
          <w:szCs w:val="24"/>
          <w:highlight w:val="none"/>
        </w:rPr>
        <w:t xml:space="preserve">13、技术要求响应及偏离表、商务要求响应及偏离表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15、投标函和开标一览表</w:t>
      </w:r>
      <w:bookmarkEnd w:id="103"/>
      <w:r/>
      <w:bookmarkEnd w:id="104"/>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7" w:name="_Toc20823296"/>
      <w:r/>
      <w:bookmarkStart w:id="108" w:name="_Toc120614217"/>
      <w:r/>
      <w:bookmarkStart w:id="109" w:name="_Toc16938540"/>
      <w:r/>
      <w:bookmarkStart w:id="110" w:name="_Toc513029224"/>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16938541"/>
      <w:r/>
      <w:bookmarkStart w:id="114" w:name="_Toc20823297"/>
      <w:r/>
      <w:bookmarkStart w:id="115" w:name="_Toc513029225"/>
      <w:r/>
      <w:bookmarkStart w:id="116" w:name="_Toc462564084"/>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20823300"/>
      <w:r/>
      <w:bookmarkStart w:id="124" w:name="_Toc513029228"/>
      <w:r/>
      <w:bookmarkStart w:id="125" w:name="_Toc16938544"/>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9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120614218"/>
      <w:r/>
      <w:bookmarkStart w:id="127" w:name="_Toc16938545"/>
      <w:r/>
      <w:bookmarkStart w:id="128" w:name="_Toc513029229"/>
      <w:r/>
      <w:bookmarkStart w:id="129" w:name="_Toc20823301"/>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0" w:name="_Toc16938546"/>
      <w:r/>
      <w:bookmarkStart w:id="131" w:name="_Toc513029230"/>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3" w:name="_Toc513029231"/>
      <w:r/>
      <w:bookmarkStart w:id="134" w:name="_Toc16938547"/>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20823304"/>
      <w:r/>
      <w:bookmarkStart w:id="137" w:name="_Toc513029232"/>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20823305"/>
      <w:r/>
      <w:bookmarkStart w:id="140" w:name="_Toc16938549"/>
      <w:r/>
      <w:bookmarkStart w:id="141"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16938550"/>
      <w:r/>
      <w:bookmarkStart w:id="143" w:name="_Toc513029234"/>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94"/>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4"/>
        <w:ind w:left="0" w:right="0" w:firstLine="482"/>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823310"/>
      <w:r/>
      <w:bookmarkStart w:id="150" w:name="_Toc513029238"/>
      <w:r/>
      <w:bookmarkStart w:id="151" w:name="_Toc16938554"/>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9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2"/>
      <w:r/>
      <w:bookmarkStart w:id="154" w:name="_Toc120614220"/>
      <w:r/>
      <w:bookmarkStart w:id="155" w:name="_Toc20823308"/>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513029237"/>
      <w:r/>
      <w:bookmarkStart w:id="158" w:name="_Toc16938553"/>
      <w:r/>
      <w:bookmarkStart w:id="159" w:name="_Toc20823309"/>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94"/>
        <w:numPr>
          <w:ilvl w:val="0"/>
          <w:numId w:val="0"/>
        </w:numPr>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9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9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8"/>
          <w:szCs w:val="28"/>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1014"/>
        <w:ind w:left="0" w:firstLine="48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1014"/>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line="0" w:lineRule="atLeast"/>
        <w:rPr>
          <w:color w:val="auto"/>
          <w:highlight w:val="none"/>
        </w:rPr>
      </w:pPr>
      <w:r>
        <w:rPr>
          <w:color w:val="auto"/>
          <w:highlight w:val="none"/>
        </w:rPr>
        <w:t xml:space="preserve"> </w:t>
      </w:r>
      <w:r/>
    </w:p>
    <w:p>
      <w:pPr>
        <w:pStyle w:val="994"/>
        <w:jc w:val="both"/>
        <w:spacing w:beforeAutospacing="0" w:afterAutospacing="0" w:line="0" w:lineRule="atLeast"/>
        <w:rPr>
          <w:color w:val="auto"/>
          <w:highlight w:val="none"/>
        </w:rPr>
      </w:pPr>
      <w:r>
        <w:rPr>
          <w:color w:val="auto"/>
          <w:highlight w:val="none"/>
        </w:rPr>
        <w:t xml:space="preserve"> </w:t>
      </w:r>
      <w:r/>
    </w:p>
    <w:p>
      <w:pPr>
        <w:pStyle w:val="994"/>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120614244"/>
      <w:r/>
      <w:bookmarkStart w:id="162" w:name="_Toc16938590"/>
      <w:r/>
      <w:bookmarkStart w:id="163" w:name="_Hlt16619350"/>
      <w:r/>
      <w:bookmarkStart w:id="164" w:name="_Toc462564139"/>
      <w:r/>
      <w:bookmarkStart w:id="165" w:name="_Toc20823346"/>
      <w:r/>
      <w:bookmarkStart w:id="166"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r/>
    </w:p>
    <w:p>
      <w:pPr>
        <w:jc w:val="center"/>
        <w:rPr>
          <w:rFonts w:ascii="宋体" w:hAnsi="宋体" w:cs="宋体"/>
          <w:color w:val="auto"/>
          <w:sz w:val="30"/>
          <w:highlight w:val="none"/>
        </w:rPr>
      </w:pPr>
      <w:r/>
      <w:bookmarkStart w:id="168" w:name="_Toc3995"/>
      <w:r/>
      <w:r/>
    </w:p>
    <w:p>
      <w:pPr>
        <w:jc w:val="center"/>
        <w:rPr>
          <w:rFonts w:ascii="宋体" w:hAnsi="宋体" w:cs="宋体"/>
          <w:color w:val="auto"/>
          <w:sz w:val="52"/>
          <w:szCs w:val="48"/>
          <w:highlight w:val="none"/>
        </w:rPr>
      </w:pPr>
      <w:r>
        <w:rPr>
          <w:rFonts w:hint="eastAsia" w:ascii="宋体" w:hAnsi="宋体" w:cs="宋体"/>
          <w:color w:val="auto"/>
          <w:sz w:val="52"/>
          <w:szCs w:val="48"/>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pStyle w:val="997"/>
        <w:rPr>
          <w:rFonts w:ascii="宋体" w:hAnsi="宋体" w:cs="宋体"/>
          <w:color w:val="auto"/>
          <w:sz w:val="30"/>
          <w:highlight w:val="none"/>
        </w:rPr>
      </w:pPr>
      <w:r>
        <w:rPr>
          <w:rFonts w:ascii="宋体" w:hAnsi="宋体" w:cs="宋体"/>
          <w:color w:val="auto"/>
          <w:sz w:val="30"/>
          <w:highlight w:val="none"/>
        </w:rPr>
      </w:r>
      <w:r/>
    </w:p>
    <w:p>
      <w:pPr>
        <w:pStyle w:val="997"/>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3420" w:hanging="300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项目名称：盐城市第三人民医院南院一期病房改造提升       手术室医疗专项采购</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方：盐城市第三人民医院</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签订时间：</w:t>
      </w:r>
      <w:r>
        <w:rPr>
          <w:rFonts w:hint="eastAsia" w:ascii="宋体" w:hAnsi="宋体" w:cs="宋体"/>
          <w:color w:val="auto"/>
          <w:sz w:val="30"/>
          <w:highlight w:val="none"/>
          <w:lang w:val="en-US" w:eastAsia="zh-CN"/>
        </w:rPr>
        <w:t xml:space="preserve">2026年   月   日</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color w:val="auto"/>
          <w:sz w:val="44"/>
          <w:szCs w:val="44"/>
          <w:highlight w:val="none"/>
        </w:rPr>
      </w:r>
      <w:bookmarkEnd w:id="168"/>
      <w:r/>
      <w:r/>
    </w:p>
    <w:p>
      <w:pPr>
        <w:jc w:val="center"/>
        <w:keepLines/>
        <w:keepNext/>
        <w:spacing w:line="400" w:lineRule="exact"/>
        <w:rPr>
          <w:rFonts w:hint="eastAsia" w:ascii="宋体" w:hAnsi="宋体" w:eastAsia="宋体" w:cs="宋体"/>
          <w:b/>
          <w:bCs/>
          <w:color w:val="auto"/>
          <w:sz w:val="28"/>
          <w:szCs w:val="28"/>
          <w:highlight w:val="none"/>
        </w:rPr>
        <w:outlineLvl w:val="1"/>
      </w:pPr>
      <w:r/>
      <w:bookmarkStart w:id="169" w:name="_Toc22209"/>
      <w:r/>
      <w:r/>
    </w:p>
    <w:p>
      <w:pPr>
        <w:jc w:val="center"/>
        <w:keepLines/>
        <w:keepNext/>
        <w:spacing w:line="4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第一节 政府采购合同协议书</w:t>
      </w:r>
      <w:bookmarkEnd w:id="169"/>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盐城市第三人民医院</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中华人民共和国政府采购法》等有关的法律法规，以及本采购项目的招标文件、乙方的投标文件及中标通知书，甲乙双方同意签订本合同。具体情况及要求如下：     </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2"/>
        </w:num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采购项目名称：盐城市第三人民医院南院一期病房改造提升手术室医疗专项采购</w:t>
      </w:r>
      <w:r/>
    </w:p>
    <w:p>
      <w:pPr>
        <w:numPr>
          <w:ilvl w:val="255"/>
          <w:numId w:val="0"/>
        </w:numPr>
        <w:spacing w:line="360" w:lineRule="auto"/>
        <w:tabs>
          <w:tab w:val="left" w:pos="999" w:leader="none"/>
        </w:tabs>
        <w:rPr>
          <w:rFonts w:ascii="宋体" w:hAnsi="宋体"/>
          <w:color w:val="auto"/>
          <w:sz w:val="24"/>
          <w:highlight w:val="none"/>
        </w:rPr>
      </w:pPr>
      <w:r>
        <w:rPr>
          <w:rFonts w:hint="eastAsia" w:ascii="宋体" w:hAnsi="宋体"/>
          <w:color w:val="auto"/>
          <w:sz w:val="24"/>
          <w:highlight w:val="none"/>
        </w:rPr>
        <w:t xml:space="preserve">     采购项目编号：</w:t>
      </w:r>
      <w:r/>
    </w:p>
    <w:p>
      <w:pPr>
        <w:ind w:firstLine="48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（2）采购计划编号：</w:t>
      </w:r>
      <w:r>
        <w:rPr>
          <w:rFonts w:hint="eastAsia" w:ascii="宋体" w:hAnsi="宋体"/>
          <w:color w:val="auto"/>
          <w:sz w:val="24"/>
          <w:highlight w:val="none"/>
          <w:lang w:val="en-US"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p>
    <w:p>
      <w:pPr>
        <w:ind w:firstLine="480"/>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采购标的及数量（台/套</w:t>
      </w:r>
      <w:r>
        <w:rPr>
          <w:rFonts w:ascii="宋体" w:hAnsi="宋体"/>
          <w:color w:val="auto"/>
          <w:sz w:val="24"/>
          <w:highlight w:val="none"/>
        </w:rPr>
        <w:t xml:space="preserve">/</w:t>
      </w:r>
      <w:r>
        <w:rPr>
          <w:rFonts w:hint="eastAsia" w:ascii="宋体" w:hAnsi="宋体"/>
          <w:color w:val="auto"/>
          <w:sz w:val="24"/>
          <w:highlight w:val="none"/>
        </w:rPr>
        <w:t xml:space="preserve">个</w:t>
      </w:r>
      <w:r>
        <w:rPr>
          <w:rFonts w:ascii="宋体" w:hAnsi="宋体"/>
          <w:color w:val="auto"/>
          <w:sz w:val="24"/>
          <w:highlight w:val="none"/>
        </w:rPr>
        <w:t xml:space="preserve">/</w:t>
      </w:r>
      <w:r>
        <w:rPr>
          <w:rFonts w:hint="eastAsia" w:ascii="宋体" w:hAnsi="宋体"/>
          <w:color w:val="auto"/>
          <w:sz w:val="24"/>
          <w:highlight w:val="none"/>
        </w:rPr>
        <w:t xml:space="preserve">架</w:t>
      </w:r>
      <w:r>
        <w:rPr>
          <w:rFonts w:ascii="宋体" w:hAnsi="宋体"/>
          <w:color w:val="auto"/>
          <w:sz w:val="24"/>
          <w:highlight w:val="none"/>
        </w:rPr>
        <w:t xml:space="preserve">/</w:t>
      </w:r>
      <w:r>
        <w:rPr>
          <w:rFonts w:hint="eastAsia" w:ascii="宋体" w:hAnsi="宋体"/>
          <w:color w:val="auto"/>
          <w:sz w:val="24"/>
          <w:highlight w:val="none"/>
        </w:rPr>
        <w:t xml:space="preserve">组等）：</w:t>
      </w:r>
      <w:r>
        <w:rPr>
          <w:rFonts w:hint="eastAsia" w:ascii="宋体" w:hAnsi="宋体"/>
          <w:color w:val="auto"/>
          <w:sz w:val="24"/>
          <w:highlight w:val="none"/>
          <w:lang w:val="en-US" w:eastAsia="zh-CN"/>
        </w:rPr>
        <w:t xml:space="preserve">具体详见甲方提供的采购清单和图纸。</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品牌：规格型号：</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w:t>
      </w:r>
      <w:r>
        <w:rPr>
          <w:rFonts w:hint="eastAsia" w:ascii="宋体" w:hAnsi="宋体"/>
          <w:color w:val="auto"/>
          <w:sz w:val="24"/>
          <w:highlight w:val="none"/>
          <w:lang w:val="en-US" w:eastAsia="zh-CN"/>
        </w:rPr>
        <w:t xml:space="preserve">甲方提供的采购需求、采购清单和图纸</w:t>
      </w:r>
      <w:r>
        <w:rPr>
          <w:rFonts w:hint="eastAsia" w:ascii="宋体" w:hAnsi="宋体"/>
          <w:color w:val="auto"/>
          <w:sz w:val="24"/>
          <w:highlight w:val="none"/>
        </w:rPr>
        <w:t xml:space="preserve">。</w:t>
      </w:r>
      <w:r/>
    </w:p>
    <w:p>
      <w:pPr>
        <w:numPr>
          <w:ilvl w:val="255"/>
          <w:numId w:val="0"/>
        </w:num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keepLines w:val="0"/>
        <w:keepNext w:val="0"/>
        <w:pageBreakBefore w:val="0"/>
        <w:spacing w:line="360" w:lineRule="auto"/>
        <w:rPr>
          <w:rFonts w:hint="eastAsia" w:ascii="宋体" w:hAnsi="宋体" w:cs="宋体" w:eastAsiaTheme="minorEastAsia"/>
          <w:color w:val="auto"/>
          <w:sz w:val="24"/>
          <w:highlight w:val="none"/>
          <w:u w:val="single"/>
          <w:lang w:val="en-US" w:eastAsia="zh-CN"/>
        </w:rPr>
      </w:pPr>
      <w:r>
        <w:rPr>
          <w:rFonts w:hint="eastAsia" w:ascii="宋体" w:hAnsi="宋体" w:cs="宋体"/>
          <w:color w:val="auto"/>
          <w:sz w:val="24"/>
          <w:highlight w:val="none"/>
        </w:rPr>
        <w:t xml:space="preserve">标的名称：</w:t>
      </w:r>
      <w:r>
        <w:rPr>
          <w:rFonts w:hint="eastAsia" w:ascii="宋体" w:hAnsi="宋体" w:cs="宋体"/>
          <w:color w:val="auto"/>
          <w:sz w:val="24"/>
          <w:highlight w:val="none"/>
          <w:lang w:val="en-US" w:eastAsia="zh-CN"/>
        </w:rPr>
        <w:t xml:space="preserve">/</w:t>
      </w:r>
      <w:r/>
    </w:p>
    <w:p>
      <w:pPr>
        <w:ind w:firstLine="420"/>
        <w:keepLines w:val="0"/>
        <w:keepNext w:val="0"/>
        <w:pageBreakBefore w:val="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numPr>
          <w:ilvl w:val="255"/>
          <w:numId w:val="0"/>
        </w:num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②涉及车辆采购，请填写是否属于新能源汽车：</w:t>
      </w:r>
      <w:r/>
    </w:p>
    <w:p>
      <w:pPr>
        <w:numPr>
          <w:ilvl w:val="255"/>
          <w:numId w:val="0"/>
        </w:numPr>
        <w:ind w:firstLine="480"/>
        <w:jc w:val="left"/>
        <w:keepLines w:val="0"/>
        <w:keepNext w:val="0"/>
        <w:pageBreakBefore w:val="0"/>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 数量： 金额：</w:t>
      </w:r>
      <w:r/>
    </w:p>
    <w:p>
      <w:pPr>
        <w:numPr>
          <w:ilvl w:val="255"/>
          <w:numId w:val="0"/>
        </w:numPr>
        <w:ind w:firstLine="480"/>
        <w:jc w:val="left"/>
        <w:keepLines w:val="0"/>
        <w:keepNext w:val="0"/>
        <w:pageBreakBefore w:val="0"/>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否</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hint="eastAsia" w:ascii="宋体" w:hAnsi="宋体" w:cs="宋体" w:eastAsiaTheme="minorEastAsia"/>
          <w:color w:val="auto"/>
          <w:sz w:val="24"/>
          <w:highlight w:val="none"/>
          <w:u w:val="single"/>
          <w:lang w:val="en-US" w:eastAsia="zh-CN"/>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rPr>
          <w:rFonts w:hint="eastAsia" w:ascii="宋体" w:hAnsi="宋体" w:cs="宋体"/>
          <w:color w:val="auto"/>
          <w:sz w:val="24"/>
          <w:highlight w:val="none"/>
          <w:lang w:val="en-US" w:eastAsia="zh-CN"/>
        </w:rPr>
        <w:t xml:space="preserve">/</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firstLine="480"/>
        <w:keepLines w:val="0"/>
        <w:keepNext w:val="0"/>
        <w:pageBreakBefore w:val="0"/>
        <w:spacing w:line="360" w:lineRule="auto"/>
        <w:widowControl w:val="off"/>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firstLine="960"/>
        <w:spacing w:line="360" w:lineRule="auto"/>
        <w:rPr>
          <w:rFonts w:hint="eastAsia" w:ascii="宋体" w:hAnsi="宋体" w:eastAsiaTheme="minorEastAsia"/>
          <w:color w:val="auto"/>
          <w:sz w:val="24"/>
          <w:highlight w:val="none"/>
          <w:u w:val="single"/>
          <w:lang w:val="en-US" w:eastAsia="zh-CN"/>
        </w:rPr>
      </w:pPr>
      <w:r>
        <w:rPr>
          <w:rFonts w:hint="eastAsia" w:ascii="宋体" w:hAnsi="宋体"/>
          <w:color w:val="auto"/>
          <w:sz w:val="24"/>
          <w:highlight w:val="none"/>
        </w:rPr>
        <w:t xml:space="preserve">分包主要内容：</w:t>
      </w:r>
      <w:r>
        <w:rPr>
          <w:rFonts w:hint="eastAsia" w:ascii="宋体" w:hAnsi="宋体"/>
          <w:color w:val="auto"/>
          <w:sz w:val="24"/>
          <w:highlight w:val="none"/>
          <w:lang w:val="en-US" w:eastAsia="zh-CN"/>
        </w:rPr>
        <w:t xml:space="preserve">/</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96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96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96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96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ind w:firstLine="84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90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90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hint="eastAsia" w:ascii="宋体" w:hAnsi="宋体"/>
          <w:color w:val="auto"/>
          <w:sz w:val="24"/>
          <w:highlight w:val="none"/>
          <w:lang w:val="en-US" w:eastAsia="zh-CN"/>
        </w:rPr>
        <w:t xml:space="preserve">      </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不涉及</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（1）合同金额小写：</w:t>
      </w:r>
      <w:r/>
    </w:p>
    <w:p>
      <w:pPr>
        <w:ind w:firstLine="60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ind w:firstLine="48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分包金额（如有）小写：</w:t>
      </w:r>
      <w:r>
        <w:rPr>
          <w:rFonts w:hint="eastAsia" w:ascii="宋体" w:hAnsi="宋体"/>
          <w:color w:val="auto"/>
          <w:sz w:val="24"/>
          <w:highlight w:val="none"/>
          <w:lang w:val="en-US" w:eastAsia="zh-CN"/>
        </w:rPr>
        <w:t xml:space="preserve">/</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大写：</w:t>
      </w:r>
      <w:r>
        <w:rPr>
          <w:rFonts w:hint="eastAsia" w:ascii="宋体" w:hAnsi="宋体"/>
          <w:color w:val="auto"/>
          <w:sz w:val="24"/>
          <w:highlight w:val="none"/>
          <w:lang w:val="en-US"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（2）付款方式（按项目实际勾选填写，具体详见专用条款第二节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第12.2款）：</w:t>
      </w:r>
      <w:r/>
    </w:p>
    <w:p>
      <w:pPr>
        <w:ind w:firstLine="840"/>
        <w:spacing w:line="360" w:lineRule="auto"/>
        <w:rPr>
          <w:rFonts w:hint="eastAsia" w:ascii="宋体" w:hAnsi="宋体"/>
          <w:color w:val="auto"/>
          <w:sz w:val="24"/>
          <w:szCs w:val="24"/>
          <w:highlight w:val="none"/>
          <w:u w:val="single"/>
        </w:rPr>
      </w:pPr>
      <w:r>
        <w:rPr>
          <w:rFonts w:ascii="Wingdings" w:hAnsi="Wingdings" w:eastAsia="Wingdings" w:cs="Wingdings"/>
          <w:color w:val="auto"/>
          <w:szCs w:val="21"/>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left="0" w:firstLine="720"/>
        <w:keepLines w:val="0"/>
        <w:keepNext w:val="0"/>
        <w:pageBreakBefore w:val="0"/>
        <w:spacing w:line="360" w:lineRule="auto"/>
        <w:rPr>
          <w:rFonts w:hint="eastAsia"/>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分期付款：</w:t>
      </w:r>
      <w:r>
        <w:rPr>
          <w:rFonts w:hint="eastAsia" w:ascii="宋体" w:hAnsi="宋体"/>
          <w:color w:val="auto"/>
          <w:sz w:val="28"/>
          <w:szCs w:val="28"/>
          <w:highlight w:val="none"/>
          <w:u w:val="single"/>
        </w:rPr>
        <w:t xml:space="preserve">签订合同</w:t>
      </w:r>
      <w:r>
        <w:rPr>
          <w:rFonts w:hint="eastAsia" w:ascii="宋体" w:hAnsi="宋体"/>
          <w:color w:val="auto"/>
          <w:sz w:val="28"/>
          <w:szCs w:val="28"/>
          <w:highlight w:val="none"/>
          <w:u w:val="single"/>
          <w:lang w:val="en-US" w:eastAsia="zh-CN"/>
        </w:rPr>
        <w:t xml:space="preserve">后</w:t>
      </w:r>
      <w:r>
        <w:rPr>
          <w:rFonts w:hint="eastAsia" w:ascii="宋体" w:hAnsi="宋体"/>
          <w:color w:val="auto"/>
          <w:sz w:val="28"/>
          <w:szCs w:val="28"/>
          <w:highlight w:val="none"/>
          <w:u w:val="single"/>
        </w:rPr>
        <w:t xml:space="preserve">，</w:t>
      </w:r>
      <w:r>
        <w:rPr>
          <w:rFonts w:hint="eastAsia" w:ascii="宋体" w:hAnsi="宋体"/>
          <w:color w:val="auto"/>
          <w:sz w:val="28"/>
          <w:szCs w:val="28"/>
          <w:highlight w:val="none"/>
          <w:u w:val="single"/>
          <w:lang w:val="en-US" w:eastAsia="zh-CN"/>
        </w:rPr>
        <w:t xml:space="preserve">甲方</w:t>
      </w:r>
      <w:r>
        <w:rPr>
          <w:rFonts w:hint="eastAsia" w:ascii="宋体" w:hAnsi="宋体"/>
          <w:color w:val="auto"/>
          <w:sz w:val="28"/>
          <w:szCs w:val="28"/>
          <w:highlight w:val="none"/>
          <w:u w:val="single"/>
        </w:rPr>
        <w:t xml:space="preserve">有权要求</w:t>
      </w:r>
      <w:r>
        <w:rPr>
          <w:rFonts w:hint="eastAsia" w:ascii="宋体" w:hAnsi="宋体"/>
          <w:color w:val="auto"/>
          <w:sz w:val="28"/>
          <w:szCs w:val="28"/>
          <w:highlight w:val="none"/>
          <w:u w:val="single"/>
          <w:lang w:val="en-US" w:eastAsia="zh-CN"/>
        </w:rPr>
        <w:t xml:space="preserve">分项货物</w:t>
      </w:r>
      <w:r>
        <w:rPr>
          <w:rFonts w:hint="eastAsia" w:ascii="宋体" w:hAnsi="宋体"/>
          <w:color w:val="auto"/>
          <w:sz w:val="28"/>
          <w:szCs w:val="28"/>
          <w:highlight w:val="none"/>
          <w:u w:val="single"/>
        </w:rPr>
        <w:t xml:space="preserve">提前进场，设备进场未安装但经</w:t>
      </w:r>
      <w:r>
        <w:rPr>
          <w:rFonts w:hint="eastAsia" w:ascii="宋体" w:hAnsi="宋体"/>
          <w:color w:val="auto"/>
          <w:sz w:val="28"/>
          <w:szCs w:val="28"/>
          <w:highlight w:val="none"/>
          <w:u w:val="single"/>
          <w:lang w:val="en-US" w:eastAsia="zh-CN"/>
        </w:rPr>
        <w:t xml:space="preserve">甲方</w:t>
      </w:r>
      <w:r>
        <w:rPr>
          <w:rFonts w:hint="eastAsia" w:ascii="宋体" w:hAnsi="宋体"/>
          <w:color w:val="auto"/>
          <w:sz w:val="28"/>
          <w:szCs w:val="28"/>
          <w:highlight w:val="none"/>
          <w:u w:val="single"/>
        </w:rPr>
        <w:t xml:space="preserve">和</w:t>
      </w:r>
      <w:r>
        <w:rPr>
          <w:rFonts w:hint="eastAsia" w:ascii="宋体" w:hAnsi="宋体"/>
          <w:color w:val="auto"/>
          <w:sz w:val="28"/>
          <w:szCs w:val="28"/>
          <w:highlight w:val="none"/>
          <w:u w:val="single"/>
          <w:lang w:val="en-US" w:eastAsia="zh-CN"/>
        </w:rPr>
        <w:t xml:space="preserve">全过程咨询单位</w:t>
      </w:r>
      <w:r>
        <w:rPr>
          <w:rFonts w:hint="eastAsia" w:ascii="宋体" w:hAnsi="宋体"/>
          <w:color w:val="auto"/>
          <w:sz w:val="28"/>
          <w:szCs w:val="28"/>
          <w:highlight w:val="none"/>
          <w:u w:val="single"/>
        </w:rPr>
        <w:t xml:space="preserve">验收</w:t>
      </w:r>
      <w:r>
        <w:rPr>
          <w:rFonts w:hint="eastAsia" w:ascii="宋体" w:hAnsi="宋体"/>
          <w:color w:val="auto"/>
          <w:sz w:val="28"/>
          <w:szCs w:val="28"/>
          <w:highlight w:val="none"/>
          <w:u w:val="single"/>
          <w:lang w:val="en-US" w:eastAsia="zh-CN"/>
        </w:rPr>
        <w:t xml:space="preserve">合格的，</w:t>
      </w:r>
      <w:r>
        <w:rPr>
          <w:rFonts w:hint="eastAsia" w:ascii="宋体" w:hAnsi="宋体"/>
          <w:color w:val="auto"/>
          <w:sz w:val="28"/>
          <w:szCs w:val="28"/>
          <w:highlight w:val="none"/>
          <w:u w:val="single"/>
        </w:rPr>
        <w:t xml:space="preserve">可支付该进场</w:t>
      </w:r>
      <w:r>
        <w:rPr>
          <w:rFonts w:hint="eastAsia" w:ascii="宋体" w:hAnsi="宋体"/>
          <w:color w:val="auto"/>
          <w:sz w:val="28"/>
          <w:szCs w:val="28"/>
          <w:highlight w:val="none"/>
          <w:u w:val="single"/>
          <w:lang w:val="en-US" w:eastAsia="zh-CN"/>
        </w:rPr>
        <w:t xml:space="preserve">货物对应合同</w:t>
      </w:r>
      <w:r>
        <w:rPr>
          <w:rFonts w:hint="eastAsia" w:ascii="宋体" w:hAnsi="宋体"/>
          <w:color w:val="auto"/>
          <w:sz w:val="28"/>
          <w:szCs w:val="28"/>
          <w:highlight w:val="none"/>
          <w:u w:val="single"/>
        </w:rPr>
        <w:t xml:space="preserve">价的</w:t>
      </w:r>
      <w:r>
        <w:rPr>
          <w:rFonts w:hint="eastAsia" w:ascii="宋体" w:hAnsi="宋体"/>
          <w:color w:val="auto"/>
          <w:sz w:val="28"/>
          <w:szCs w:val="28"/>
          <w:highlight w:val="none"/>
          <w:u w:val="single"/>
          <w:lang w:val="en-US" w:eastAsia="zh-CN"/>
        </w:rPr>
        <w:t xml:space="preserve">40%</w:t>
      </w:r>
      <w:r>
        <w:rPr>
          <w:rFonts w:hint="eastAsia" w:ascii="宋体" w:hAnsi="宋体"/>
          <w:color w:val="auto"/>
          <w:sz w:val="28"/>
          <w:szCs w:val="28"/>
          <w:highlight w:val="none"/>
        </w:rPr>
        <w:t xml:space="preserve">，</w:t>
      </w:r>
      <w:r>
        <w:rPr>
          <w:rFonts w:hint="eastAsia" w:ascii="宋体" w:hAnsi="宋体"/>
          <w:color w:val="auto"/>
          <w:sz w:val="24"/>
          <w:szCs w:val="24"/>
          <w:highlight w:val="none"/>
        </w:rPr>
        <w:t xml:space="preserve">其中涉及预付款的：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合同价的30%。  </w:t>
      </w:r>
      <w:r>
        <w:rPr>
          <w:rFonts w:hint="eastAsia" w:ascii="宋体" w:hAnsi="宋体"/>
          <w:color w:val="auto"/>
          <w:sz w:val="24"/>
          <w:szCs w:val="24"/>
          <w:highlight w:val="none"/>
          <w:u w:val="single"/>
        </w:rPr>
        <w:t xml:space="preserve"> </w:t>
      </w:r>
      <w:r/>
    </w:p>
    <w:p>
      <w:pPr>
        <w:ind w:left="0" w:firstLine="720"/>
        <w:keepLines w:val="0"/>
        <w:keepNext w:val="0"/>
        <w:pageBreakBefore w:val="0"/>
        <w:spacing w:line="360" w:lineRule="auto"/>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left="0" w:firstLine="72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p>
    <w:p>
      <w:pPr>
        <w:numPr>
          <w:ilvl w:val="0"/>
          <w:numId w:val="1"/>
        </w:numPr>
        <w:ind w:left="0" w:firstLine="482"/>
        <w:keepLines w:val="0"/>
        <w:keepNext w:val="0"/>
        <w:pageBreakBefore w:val="0"/>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left="0" w:firstLine="48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盐城市第三人民医院南院</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收取履约保证金形式：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     履约担保期限：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w:t>
      </w:r>
      <w:r>
        <w:rPr>
          <w:rFonts w:hint="eastAsia" w:ascii="宋体" w:hAnsi="宋体" w:cs="宋体"/>
          <w:bCs/>
          <w:color w:val="auto"/>
          <w:sz w:val="24"/>
          <w:highlight w:val="none"/>
          <w:u w:val="single"/>
        </w:rPr>
        <w:t xml:space="preserve">                    </w:t>
      </w:r>
      <w:r/>
    </w:p>
    <w:p>
      <w:pPr>
        <w:numPr>
          <w:ilvl w:val="0"/>
          <w:numId w:val="3"/>
        </w:numPr>
        <w:ind w:lef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left="0"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应当以支票、汇票、本票或者金融机构、担保机构出具的保函等非现金形式提交履约保证金。履约保证金</w:t>
      </w:r>
      <w:r>
        <w:rPr>
          <w:rFonts w:hint="eastAsia" w:ascii="宋体" w:hAnsi="宋体" w:cs="宋体"/>
          <w:bCs/>
          <w:color w:val="auto"/>
          <w:sz w:val="24"/>
          <w:highlight w:val="none"/>
          <w:lang w:val="en-US" w:eastAsia="zh-CN"/>
        </w:rPr>
        <w:t xml:space="preserve">为合同价的10%。</w:t>
      </w:r>
      <w:r>
        <w:rPr>
          <w:rFonts w:hint="eastAsia" w:ascii="宋体" w:hAnsi="宋体" w:cs="宋体"/>
          <w:bCs/>
          <w:color w:val="auto"/>
          <w:sz w:val="24"/>
          <w:highlight w:val="none"/>
        </w:rPr>
        <w:t xml:space="preserve">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994"/>
        <w:ind w:left="0" w:firstLine="480"/>
        <w:jc w:val="both"/>
        <w:keepLines w:val="0"/>
        <w:keepNext w:val="0"/>
        <w:pageBreakBefore w:val="0"/>
        <w:spacing w:beforeAutospacing="0" w:afterAutospacing="0" w:line="360" w:lineRule="auto"/>
        <w:widowControl w:val="off"/>
        <w:rPr>
          <w:rFonts w:ascii="宋体" w:hAnsi="宋体" w:cs="宋体"/>
          <w:color w:val="auto"/>
          <w:highlight w:val="none"/>
        </w:rPr>
      </w:pPr>
      <w:r>
        <w:rPr>
          <w:rFonts w:hint="eastAsia" w:ascii="宋体" w:hAnsi="宋体" w:cs="宋体"/>
          <w:color w:val="auto"/>
          <w:highlight w:val="none"/>
        </w:rPr>
        <w:t xml:space="preserve">（备注：履约保证金金额</w:t>
      </w:r>
      <w:r>
        <w:rPr>
          <w:rFonts w:hint="eastAsia" w:ascii="宋体" w:hAnsi="宋体" w:cs="宋体"/>
          <w:color w:val="auto"/>
          <w:highlight w:val="none"/>
          <w:lang w:val="en-US" w:eastAsia="zh-CN"/>
        </w:rPr>
        <w:t xml:space="preserve">为</w:t>
      </w:r>
      <w:r>
        <w:rPr>
          <w:rFonts w:hint="eastAsia" w:ascii="宋体" w:hAnsi="宋体" w:cs="宋体"/>
          <w:color w:val="auto"/>
          <w:highlight w:val="none"/>
        </w:rPr>
        <w:t xml:space="preserve">合同金额的10%，</w:t>
      </w:r>
      <w:r>
        <w:rPr>
          <w:rFonts w:hint="eastAsia" w:ascii="宋体" w:hAnsi="宋体" w:cs="宋体"/>
          <w:color w:val="auto"/>
          <w:highlight w:val="none"/>
          <w:lang w:val="en-US" w:eastAsia="zh-CN"/>
        </w:rPr>
        <w:t xml:space="preserve">甲方</w:t>
      </w:r>
      <w:r>
        <w:rPr>
          <w:rFonts w:hint="eastAsia" w:ascii="宋体" w:hAnsi="宋体" w:cs="宋体"/>
          <w:color w:val="auto"/>
          <w:highlight w:val="none"/>
        </w:rPr>
        <w:t xml:space="preserve">应当对AA评级及以上政府采购供应商（需提供信用管理部门备案的第三方信用报告）免收履约保证金。）</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p>
    <w:p>
      <w:pPr>
        <w:ind w:left="0" w:firstLine="480"/>
        <w:keepLines w:val="0"/>
        <w:keepNext w:val="0"/>
        <w:pageBreakBefore w:val="0"/>
        <w:spacing w:line="360" w:lineRule="auto"/>
        <w:widowControl w:val="off"/>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 xml:space="preserve">（5）分期履行要求：</w:t>
      </w:r>
      <w:r>
        <w:rPr>
          <w:rFonts w:hint="eastAsia" w:ascii="宋体" w:hAnsi="宋体" w:cs="宋体"/>
          <w:bCs/>
          <w:color w:val="auto"/>
          <w:sz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 xml:space="preserve">（6）风险处置措施和替代方案：</w:t>
      </w:r>
      <w:r>
        <w:rPr>
          <w:rFonts w:hint="eastAsia" w:ascii="宋体" w:hAnsi="宋体" w:cs="宋体"/>
          <w:bCs/>
          <w:color w:val="auto"/>
          <w:sz w:val="24"/>
          <w:highlight w:val="none"/>
          <w:lang w:val="en-US" w:eastAsia="zh-CN"/>
        </w:rPr>
        <w:t xml:space="preserve">/</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left="0" w:firstLine="960"/>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甲方</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left="0" w:firstLine="96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96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96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96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96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960"/>
        <w:keepLines w:val="0"/>
        <w:keepNext w:val="0"/>
        <w:pageBreakBefore w:val="0"/>
        <w:spacing w:line="360" w:lineRule="auto"/>
        <w:rPr>
          <w:rFonts w:ascii="宋体" w:hAnsi="宋体"/>
          <w:bCs/>
          <w:color w:val="auto"/>
          <w:sz w:val="24"/>
          <w:highlight w:val="none"/>
          <w:u w:val="non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none"/>
        </w:rPr>
        <w:t xml:space="preserve">（应明确对被破坏的检测产品的处理方式）</w:t>
      </w:r>
      <w:r/>
    </w:p>
    <w:p>
      <w:pPr>
        <w:ind w:left="0" w:firstLine="960"/>
        <w:keepLines w:val="0"/>
        <w:keepNext w:val="0"/>
        <w:pageBreakBefore w:val="0"/>
        <w:spacing w:line="360" w:lineRule="auto"/>
        <w:rPr>
          <w:rFonts w:ascii="宋体" w:hAnsi="宋体"/>
          <w:bCs/>
          <w:color w:val="auto"/>
          <w:sz w:val="24"/>
          <w:highlight w:val="none"/>
          <w:u w:val="none"/>
        </w:rPr>
      </w:pP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否</w:t>
      </w:r>
      <w:r/>
    </w:p>
    <w:p>
      <w:pPr>
        <w:ind w:left="0" w:firstLine="960"/>
        <w:keepLines w:val="0"/>
        <w:keepNext w:val="0"/>
        <w:pageBreakBefore w:val="0"/>
        <w:spacing w:line="360" w:lineRule="auto"/>
        <w:rPr>
          <w:rFonts w:ascii="宋体" w:hAnsi="宋体"/>
          <w:bCs/>
          <w:color w:val="auto"/>
          <w:sz w:val="24"/>
          <w:highlight w:val="none"/>
          <w:u w:val="none"/>
        </w:rPr>
      </w:pPr>
      <w:r>
        <w:rPr>
          <w:rFonts w:hint="eastAsia" w:ascii="宋体" w:hAnsi="宋体"/>
          <w:bCs/>
          <w:color w:val="auto"/>
          <w:sz w:val="24"/>
          <w:highlight w:val="none"/>
          <w:u w:val="none"/>
        </w:rPr>
        <w:t xml:space="preserve">验收组织的其他事项：</w:t>
      </w:r>
      <w:r/>
    </w:p>
    <w:p>
      <w:pPr>
        <w:ind w:left="0" w:firstLine="480"/>
        <w:keepLines w:val="0"/>
        <w:keepNext w:val="0"/>
        <w:pageBreakBefore w:val="0"/>
        <w:spacing w:line="360" w:lineRule="auto"/>
        <w:rPr>
          <w:rFonts w:ascii="宋体" w:hAnsi="宋体"/>
          <w:bCs/>
          <w:color w:val="auto"/>
          <w:sz w:val="24"/>
          <w:highlight w:val="none"/>
          <w:u w:val="none"/>
        </w:rPr>
      </w:pPr>
      <w:r>
        <w:rPr>
          <w:rFonts w:hint="eastAsia" w:ascii="宋体" w:hAnsi="宋体"/>
          <w:bCs/>
          <w:color w:val="auto"/>
          <w:sz w:val="24"/>
          <w:highlight w:val="none"/>
          <w:u w:val="none"/>
        </w:rPr>
        <w:t xml:space="preserve">（2）履约验收时间：计划于何时验收提出验收申请之日起</w:t>
      </w:r>
      <w:r>
        <w:rPr>
          <w:rFonts w:hint="eastAsia" w:ascii="宋体" w:hAnsi="宋体"/>
          <w:bCs/>
          <w:color w:val="auto"/>
          <w:sz w:val="24"/>
          <w:highlight w:val="none"/>
          <w:u w:val="none"/>
          <w:lang w:val="en-US" w:eastAsia="zh-CN"/>
        </w:rPr>
        <w:t xml:space="preserve">7</w:t>
      </w:r>
      <w:r>
        <w:rPr>
          <w:rFonts w:hint="eastAsia" w:ascii="宋体" w:hAnsi="宋体"/>
          <w:bCs/>
          <w:color w:val="auto"/>
          <w:sz w:val="24"/>
          <w:highlight w:val="none"/>
          <w:u w:val="none"/>
        </w:rPr>
        <w:t xml:space="preserve">日内组织验收）</w:t>
      </w:r>
      <w:r/>
    </w:p>
    <w:p>
      <w:pPr>
        <w:ind w:left="0" w:firstLine="480"/>
        <w:keepLines w:val="0"/>
        <w:keepNext w:val="0"/>
        <w:pageBreakBefore w:val="0"/>
        <w:spacing w:line="360" w:lineRule="auto"/>
        <w:rPr>
          <w:rFonts w:ascii="宋体" w:hAnsi="宋体"/>
          <w:bCs/>
          <w:color w:val="auto"/>
          <w:sz w:val="24"/>
          <w:highlight w:val="none"/>
          <w:u w:val="none"/>
        </w:rPr>
      </w:pPr>
      <w:r>
        <w:rPr>
          <w:rFonts w:hint="eastAsia" w:ascii="宋体" w:hAnsi="宋体"/>
          <w:bCs/>
          <w:color w:val="auto"/>
          <w:sz w:val="24"/>
          <w:highlight w:val="none"/>
          <w:u w:val="none"/>
        </w:rPr>
        <w:t xml:space="preserve">（3）履约验收方式：</w:t>
      </w:r>
      <w:r>
        <w:rPr>
          <w:rFonts w:ascii="Wingdings" w:hAnsi="Wingdings" w:eastAsia="Wingdings" w:cs="Wingdings"/>
          <w:color w:val="auto"/>
          <w:sz w:val="24"/>
          <w:highlight w:val="none"/>
          <w:u w:val="none"/>
        </w:rPr>
        <w:t xml:space="preserve"></w:t>
      </w:r>
      <w:r>
        <w:rPr>
          <w:rFonts w:hint="eastAsia" w:ascii="宋体" w:hAnsi="宋体"/>
          <w:bCs/>
          <w:color w:val="auto"/>
          <w:sz w:val="24"/>
          <w:highlight w:val="none"/>
          <w:u w:val="none"/>
        </w:rPr>
        <w:t xml:space="preserve">一次性验收         </w:t>
      </w:r>
      <w:r/>
    </w:p>
    <w:p>
      <w:pPr>
        <w:ind w:left="0" w:firstLine="480"/>
        <w:keepLines w:val="0"/>
        <w:keepNext w:val="0"/>
        <w:pageBreakBefore w:val="0"/>
        <w:spacing w:line="360" w:lineRule="auto"/>
        <w:widowControl w:val="off"/>
        <w:rPr>
          <w:rFonts w:ascii="宋体" w:hAnsi="宋体"/>
          <w:bCs/>
          <w:color w:val="auto"/>
          <w:sz w:val="24"/>
          <w:highlight w:val="none"/>
          <w:u w:val="none"/>
        </w:rPr>
      </w:pPr>
      <w:r>
        <w:rPr>
          <w:rFonts w:ascii="Wingdings" w:hAnsi="Wingdings" w:eastAsia="Wingdings" w:cs="Wingdings"/>
          <w:color w:val="auto"/>
          <w:sz w:val="24"/>
          <w:highlight w:val="none"/>
          <w:u w:val="none"/>
        </w:rPr>
        <w:t xml:space="preserve">þ</w:t>
      </w:r>
      <w:r>
        <w:rPr>
          <w:rFonts w:hint="eastAsia" w:ascii="宋体" w:hAnsi="宋体"/>
          <w:bCs/>
          <w:color w:val="auto"/>
          <w:sz w:val="24"/>
          <w:highlight w:val="none"/>
          <w:u w:val="none"/>
        </w:rPr>
        <w:t xml:space="preserve">分期/分项验收：（应明确分期</w:t>
      </w:r>
      <w:r>
        <w:rPr>
          <w:rFonts w:ascii="宋体" w:hAnsi="宋体"/>
          <w:bCs/>
          <w:color w:val="auto"/>
          <w:sz w:val="24"/>
          <w:highlight w:val="none"/>
          <w:u w:val="none"/>
        </w:rPr>
        <w:t xml:space="preserve">/</w:t>
      </w:r>
      <w:r>
        <w:rPr>
          <w:rFonts w:hint="eastAsia" w:ascii="宋体" w:hAnsi="宋体"/>
          <w:bCs/>
          <w:color w:val="auto"/>
          <w:sz w:val="24"/>
          <w:highlight w:val="none"/>
          <w:u w:val="none"/>
        </w:rPr>
        <w:t xml:space="preserve">分项验收的工作安排）</w:t>
      </w:r>
      <w:r/>
    </w:p>
    <w:p>
      <w:pPr>
        <w:ind w:left="0" w:firstLine="480"/>
        <w:keepLines w:val="0"/>
        <w:keepNext w:val="0"/>
        <w:pageBreakBefore w:val="0"/>
        <w:spacing w:line="360" w:lineRule="auto"/>
        <w:rPr>
          <w:rFonts w:ascii="宋体" w:hAnsi="宋体"/>
          <w:bCs/>
          <w:color w:val="auto"/>
          <w:sz w:val="24"/>
          <w:highlight w:val="none"/>
          <w:u w:val="none"/>
        </w:rPr>
      </w:pPr>
      <w:r>
        <w:rPr>
          <w:rFonts w:hint="eastAsia" w:ascii="宋体" w:hAnsi="宋体"/>
          <w:bCs/>
          <w:color w:val="auto"/>
          <w:sz w:val="24"/>
          <w:highlight w:val="none"/>
          <w:u w:val="none"/>
        </w:rPr>
        <w:t xml:space="preserve">（4）履约验收程序：</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u w:val="none"/>
        </w:rPr>
        <w:t xml:space="preserve">（5）履约验收的内容：（应当包括每一项技术和商务要求的履约情况，特别是落实政府采购扶持中小企业，支持绿色发展和乡村振兴等政策情况）</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cs="宋体"/>
          <w:bCs/>
          <w:color w:val="auto"/>
          <w:sz w:val="24"/>
          <w:highlight w:val="none"/>
        </w:rPr>
        <w:t xml:space="preserve">否</w:t>
      </w:r>
      <w:r/>
    </w:p>
    <w:p>
      <w:pPr>
        <w:ind w:left="0" w:firstLine="480"/>
        <w:keepLines w:val="0"/>
        <w:keepNext w:val="0"/>
        <w:pageBreakBefore w:val="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left="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0"/>
        <w:keepLines w:val="0"/>
        <w:keepNext w:val="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lef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捌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lef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盐城市第三人民医院</w:t>
      </w:r>
      <w:r>
        <w:rPr>
          <w:rFonts w:hint="eastAsia" w:ascii="宋体" w:hAnsi="宋体"/>
          <w:color w:val="auto"/>
          <w:sz w:val="24"/>
          <w:szCs w:val="24"/>
          <w:highlight w:val="none"/>
          <w:u w:val="single"/>
        </w:rPr>
        <w:t xml:space="preserve"> </w:t>
      </w:r>
      <w:r/>
    </w:p>
    <w:p>
      <w:pPr>
        <w:ind w:left="0" w:firstLine="480"/>
        <w:keepLines w:val="0"/>
        <w:keepNext w:val="0"/>
        <w:pageBreakBefore w:val="0"/>
        <w:spacing w:line="360" w:lineRule="auto"/>
        <w:rPr>
          <w:color w:val="auto"/>
          <w:sz w:val="24"/>
          <w:szCs w:val="24"/>
          <w:highlight w:val="none"/>
        </w:rPr>
      </w:pPr>
      <w:r>
        <w:rPr>
          <w:rFonts w:hint="eastAsia" w:ascii="宋体" w:hAnsi="宋体"/>
          <w:color w:val="auto"/>
          <w:sz w:val="24"/>
          <w:szCs w:val="24"/>
          <w:highlight w:val="none"/>
        </w:rPr>
        <w:t xml:space="preserve">附件：具体标的及其技术要求和商务要求等。</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98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986"/>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70" w:name="_Toc27624"/>
      <w:r/>
      <w:bookmarkStart w:id="171" w:name="_Toc20313"/>
      <w:r>
        <w:rPr>
          <w:rFonts w:hint="eastAsia" w:ascii="宋体" w:hAnsi="宋体" w:eastAsia="宋体" w:cs="宋体"/>
          <w:b/>
          <w:bCs/>
          <w:color w:val="auto"/>
          <w:sz w:val="32"/>
          <w:szCs w:val="32"/>
          <w:highlight w:val="none"/>
          <w:lang w:val="en-US" w:eastAsia="zh-CN" w:bidi="ar-SA"/>
        </w:rPr>
        <w:t xml:space="preserve">第二节政府采购合同通用条款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5"/>
        </w:num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0"/>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990"/>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6"/>
        </w:num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1011"/>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991"/>
        <w:ind w:firstLine="480"/>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1"/>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172"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pStyle w:val="986"/>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rPr>
        <w:t xml:space="preserve">】中约定。</w:t>
      </w:r>
      <w:r/>
    </w:p>
    <w:p>
      <w:pPr>
        <w:pStyle w:val="99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乙方应当以支票、汇票、本票或者金融机构、担保机构出具的保函等非现金形式提交。</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1011"/>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firstLine="48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7"/>
        </w:num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10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sz w:val="24"/>
          <w:szCs w:val="24"/>
          <w:highlight w:val="none"/>
        </w:rPr>
        <w:t xml:space="preserve">涉及国家利益、社会公共利益的情形</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990"/>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1011"/>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011"/>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pStyle w:val="986"/>
        <w:jc w:val="center"/>
        <w:spacing w:before="156"/>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第三节政府采购合同专用条款</w:t>
      </w:r>
      <w:bookmarkEnd w:id="171"/>
      <w:r/>
      <w:r/>
    </w:p>
    <w:p>
      <w:pPr>
        <w:numPr>
          <w:ilvl w:val="0"/>
          <w:numId w:val="0"/>
        </w:numPr>
        <w:jc w:val="both"/>
        <w:keepLines/>
        <w:keepNext/>
        <w:spacing w:line="360" w:lineRule="auto"/>
        <w:rPr>
          <w:rFonts w:hint="eastAsia" w:ascii="黑体" w:hAnsi="华文中宋" w:eastAsia="黑体"/>
          <w:color w:val="auto"/>
          <w:sz w:val="32"/>
          <w:szCs w:val="32"/>
          <w:highlight w:val="none"/>
        </w:rPr>
        <w:outlineLvl w:val="1"/>
      </w:pPr>
      <w:r>
        <w:rPr>
          <w:rFonts w:hint="eastAsia" w:ascii="黑体" w:hAnsi="华文中宋" w:eastAsia="黑体"/>
          <w:color w:val="auto"/>
          <w:sz w:val="32"/>
          <w:szCs w:val="32"/>
          <w:highlight w:val="none"/>
        </w:rPr>
      </w:r>
      <w:r/>
    </w:p>
    <w:tbl>
      <w:tblPr>
        <w:tblStyle w:val="98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2004"/>
        <w:gridCol w:w="4955"/>
      </w:tblGrid>
      <w:tr>
        <w:trPr>
          <w:trHeight w:val="736"/>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第1.2（6）项</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联合体具体要求</w:t>
            </w:r>
            <w:r/>
          </w:p>
        </w:tc>
        <w:tc>
          <w:tcPr>
            <w:tcW w:w="4955" w:type="dxa"/>
            <w:vAlign w:val="center"/>
            <w:textDirection w:val="lrTb"/>
            <w:noWrap w:val="false"/>
          </w:tcPr>
          <w:p>
            <w:pPr>
              <w:jc w:val="center"/>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604"/>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第1.2（7）项</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其他术语解释</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第4.4款</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第4.6款</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90"/>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color w:val="auto"/>
                <w:sz w:val="24"/>
                <w:highlight w:val="none"/>
              </w:rPr>
            </w:pPr>
            <w:r>
              <w:rPr>
                <w:rFonts w:hint="eastAsia" w:ascii="宋体" w:hAnsi="宋体"/>
                <w:color w:val="auto"/>
                <w:sz w:val="24"/>
                <w:highlight w:val="none"/>
              </w:rPr>
              <w:t xml:space="preserve">第5.4款</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第二节</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第6.1款</w:t>
            </w:r>
            <w:r/>
          </w:p>
        </w:tc>
        <w:tc>
          <w:tcPr>
            <w:tcW w:w="2004"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12258"/>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4955"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1.商品包装层数不得超过3 层，空隙率不大于40%；</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3.商品包装中铅、汞、镉、六价铬的总含量应不大于100mg/kg；</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4.商品包装印刷使用的油墨中挥发性有机化合物(VOCs)含量应不大于 5%（以重量计）；</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5.塑料材质商品包装上呈现的印刷颜色不得超过6色；</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6.纸质商品包装应使用75%以上的可再生纤维原料生产；</w:t>
            </w:r>
            <w:r/>
          </w:p>
          <w:p>
            <w:pPr>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7.木质商品包装的原料应来源于可持续性森林。</w:t>
            </w:r>
            <w:r/>
          </w:p>
          <w:p>
            <w:pPr>
              <w:ind w:firstLine="480"/>
              <w:keepLines w:val="0"/>
              <w:keepNext w:val="0"/>
              <w:pageBreakBefore w:val="0"/>
              <w:spacing w:line="240" w:lineRule="auto"/>
              <w:widowControl w:val="off"/>
              <w:rPr>
                <w:color w:val="auto"/>
                <w:sz w:val="24"/>
                <w:highlight w:val="none"/>
              </w:rPr>
            </w:pPr>
            <w:r>
              <w:rPr>
                <w:rFonts w:hint="eastAsia" w:ascii="宋体" w:hAnsi="宋体" w:eastAsia="宋体" w:cs="宋体"/>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w:t>
            </w:r>
            <w:r>
              <w:rPr>
                <w:rFonts w:hint="eastAsia"/>
                <w:color w:val="auto"/>
                <w:sz w:val="24"/>
                <w:highlight w:val="none"/>
              </w:rPr>
              <w:t xml:space="preserve">于包装不善所引起的货物锈蚀、损坏和损失均由乙方承担。</w:t>
            </w:r>
            <w:r/>
          </w:p>
          <w:p>
            <w:pPr>
              <w:ind w:firstLine="480"/>
              <w:keepLines w:val="0"/>
              <w:keepNext w:val="0"/>
              <w:pageBreakBefore w:val="0"/>
              <w:spacing w:line="240" w:lineRule="auto"/>
              <w:widowControl w:val="off"/>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4955"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4955" w:type="dxa"/>
            <w:vAlign w:val="center"/>
            <w:textDirection w:val="lrTb"/>
            <w:noWrap w:val="false"/>
          </w:tcPr>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1.货物验收合格、交付使用并提供所需单据的日期视为交货日期。</w:t>
            </w:r>
            <w:r/>
          </w:p>
          <w:p>
            <w:pPr>
              <w:pStyle w:val="1011"/>
              <w:ind w:left="0"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1011"/>
              <w:ind w:left="0" w:firstLine="480"/>
              <w:keepLines w:val="0"/>
              <w:keepNext w:val="0"/>
              <w:pageBreakBefore w:val="0"/>
              <w:spacing w:line="360" w:lineRule="auto"/>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4955" w:type="dxa"/>
            <w:vAlign w:val="center"/>
            <w:textDirection w:val="lrTb"/>
            <w:noWrap w:val="false"/>
          </w:tcPr>
          <w:p>
            <w:pPr>
              <w:ind w:left="0" w:firstLine="480"/>
              <w:keepLines w:val="0"/>
              <w:keepNext w:val="0"/>
              <w:pageBreakBefore w:val="0"/>
              <w:spacing w:line="360" w:lineRule="auto"/>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4955" w:type="dxa"/>
            <w:vAlign w:val="center"/>
            <w:textDirection w:val="lrTb"/>
            <w:noWrap w:val="false"/>
          </w:tcPr>
          <w:p>
            <w:pPr>
              <w:pStyle w:val="994"/>
              <w:numPr>
                <w:ilvl w:val="0"/>
                <w:numId w:val="9"/>
              </w:numPr>
              <w:ind w:left="0" w:firstLine="480"/>
              <w:jc w:val="both"/>
              <w:keepLines w:val="0"/>
              <w:keepNext w:val="0"/>
              <w:pageBreakBefore w:val="0"/>
              <w:spacing w:beforeAutospacing="0" w:afterAutospacing="0" w:line="360" w:lineRule="auto"/>
              <w:rPr>
                <w:rFonts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4955" w:type="dxa"/>
            <w:vAlign w:val="center"/>
            <w:textDirection w:val="lrTb"/>
            <w:noWrap w:val="false"/>
          </w:tcPr>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2004"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4955" w:type="dxa"/>
            <w:vAlign w:val="center"/>
            <w:textDirection w:val="lrTb"/>
            <w:noWrap w:val="false"/>
          </w:tcPr>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firstLine="480"/>
              <w:jc w:val="left"/>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94"/>
              <w:ind w:left="0" w:firstLine="48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00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4955" w:type="dxa"/>
            <w:vAlign w:val="center"/>
            <w:textDirection w:val="lrTb"/>
            <w:noWrap w:val="false"/>
          </w:tcPr>
          <w:p>
            <w:pPr>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1.合同款项的支付方式及进度安排：</w:t>
            </w:r>
            <w:r/>
          </w:p>
          <w:p>
            <w:pPr>
              <w:pStyle w:val="994"/>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自合同签订之日起，收到</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发票10个工作日内，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支付合同总价的30%款项作为预付款；</w:t>
            </w:r>
            <w:r/>
          </w:p>
          <w:p>
            <w:pPr>
              <w:pStyle w:val="994"/>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进场，经甲方确认后，收到乙方发票10个工作日内甲方向乙方支付</w:t>
            </w:r>
            <w:r>
              <w:rPr>
                <w:rFonts w:hint="eastAsia" w:ascii="宋体" w:hAnsi="宋体" w:eastAsia="宋体" w:cs="宋体"/>
                <w:color w:val="auto"/>
                <w:sz w:val="24"/>
                <w:szCs w:val="24"/>
                <w:highlight w:val="none"/>
                <w:lang w:val="en-US" w:eastAsia="zh-CN"/>
              </w:rPr>
              <w:t xml:space="preserve">进场货物</w:t>
            </w:r>
            <w:r>
              <w:rPr>
                <w:rFonts w:hint="eastAsia" w:ascii="宋体" w:hAnsi="宋体" w:eastAsia="宋体" w:cs="宋体"/>
                <w:color w:val="auto"/>
                <w:sz w:val="24"/>
                <w:szCs w:val="24"/>
                <w:highlight w:val="none"/>
              </w:rPr>
              <w:t xml:space="preserve">对应合同价的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配套设施设备提升改造专项</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lang w:eastAsia="zh-CN"/>
              </w:rPr>
              <w:t xml:space="preserve">按月支付已完合格价款的50%。</w:t>
            </w:r>
            <w:r/>
          </w:p>
          <w:p>
            <w:pPr>
              <w:pStyle w:val="994"/>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（3）项目验收合格后，甲方支付至已完合格价款的90%。（扣除已支付预付款）已完合格价款须经甲方及其委托的全过程咨询单位审核确认。</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（4）其余10%尾款，在项目验收合格满12个月后一次性付清。</w:t>
            </w:r>
            <w:r/>
          </w:p>
          <w:p>
            <w:pPr>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 发票；</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 装箱单；</w:t>
            </w:r>
            <w:r/>
          </w:p>
          <w:p>
            <w:pPr>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 甲方加盖公章证明交付使用合格的验收单。</w:t>
            </w:r>
            <w:r/>
          </w:p>
          <w:p>
            <w:pPr>
              <w:pStyle w:val="997"/>
              <w:keepLines w:val="0"/>
              <w:keepNext w:val="0"/>
              <w:pageBreakBefore w:val="0"/>
              <w:spacing w:line="360" w:lineRule="auto"/>
              <w:widowControl w:val="off"/>
              <w:rPr>
                <w:rFonts w:hint="default" w:eastAsiaTheme="minorEastAsia"/>
                <w:color w:val="auto"/>
                <w:highlight w:val="none"/>
                <w:lang w:val="en-US" w:eastAsia="zh-CN"/>
              </w:rPr>
            </w:pPr>
            <w:r>
              <w:rPr>
                <w:rFonts w:hint="eastAsia" w:hAnsi="宋体"/>
                <w:color w:val="auto"/>
                <w:sz w:val="24"/>
                <w:highlight w:val="none"/>
                <w:lang w:val="en-US" w:eastAsia="zh-CN"/>
              </w:rPr>
              <w:t xml:space="preserve">3.本合同为固定单价合同，合同履约过程中中标综合单价不作调整，数量按实际完成的合格数量计算。</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495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2004"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495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495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4955" w:type="dxa"/>
            <w:vAlign w:val="center"/>
            <w:textDirection w:val="lrTb"/>
            <w:noWrap w:val="false"/>
          </w:tcPr>
          <w:p>
            <w:pPr>
              <w:numPr>
                <w:ilvl w:val="0"/>
                <w:numId w:val="10"/>
              </w:num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10"/>
              </w:num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lang w:val="en-US" w:eastAsia="zh-CN"/>
              </w:rPr>
              <w:t xml:space="preserve">1000元</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lang w:val="en-US" w:eastAsia="zh-CN"/>
              </w:rPr>
              <w:t xml:space="preserve">0.5%</w:t>
            </w:r>
            <w:r>
              <w:rPr>
                <w:rFonts w:hint="eastAsia" w:ascii="宋体" w:hAnsi="宋体"/>
                <w:color w:val="auto"/>
                <w:sz w:val="24"/>
                <w:highlight w:val="none"/>
              </w:rPr>
              <w:t xml:space="preserve">的违约金，如造成甲方损失超过违约金的，超出部分由乙方继续承担赔偿责任。 </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lang w:val="en-US" w:eastAsia="zh-CN"/>
              </w:rPr>
              <w:t xml:space="preserve">0.5%</w:t>
            </w:r>
            <w:r>
              <w:rPr>
                <w:rFonts w:hint="eastAsia" w:ascii="宋体" w:hAnsi="宋体"/>
                <w:color w:val="auto"/>
                <w:sz w:val="24"/>
                <w:highlight w:val="none"/>
              </w:rPr>
              <w:t xml:space="preserve">的滞纳金。</w:t>
            </w:r>
            <w:r/>
          </w:p>
          <w:p>
            <w:pPr>
              <w:jc w:val="left"/>
              <w:keepLines w:val="0"/>
              <w:keepNext w:val="0"/>
              <w:pageBreakBefore w:val="0"/>
              <w:spacing w:line="360" w:lineRule="auto"/>
              <w:widowControl w:val="off"/>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4955" w:type="dxa"/>
            <w:vAlign w:val="center"/>
            <w:textDirection w:val="lrTb"/>
            <w:noWrap w:val="false"/>
          </w:tcPr>
          <w:p>
            <w:pPr>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甲方无正当理由拒收货物的，甲方向乙方偿付拒收货款总值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w:t>
            </w:r>
            <w:r/>
          </w:p>
          <w:p>
            <w:pPr>
              <w:jc w:val="left"/>
              <w:keepLines w:val="0"/>
              <w:keepNext w:val="0"/>
              <w:pageBreakBefore w:val="0"/>
              <w:spacing w:line="360" w:lineRule="auto"/>
              <w:widowControl w:val="off"/>
              <w:rPr>
                <w:rFonts w:ascii="宋体" w:hAnsi="宋体"/>
                <w:color w:val="auto"/>
                <w:highlight w:val="none"/>
                <w:u w:val="singl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甲方无故逾期验收和办理货款支付手续的,甲方应按逾期付款总额每日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4955"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 纠纷解决办法</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4.货物验收要求</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4"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4"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4955" w:type="dxa"/>
            <w:vAlign w:val="center"/>
            <w:textDirection w:val="lrTb"/>
            <w:noWrap w:val="false"/>
          </w:tcPr>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994"/>
        <w:jc w:val="both"/>
        <w:spacing w:beforeAutospacing="0" w:afterAutospacing="0" w:line="0" w:lineRule="atLeast"/>
        <w:rPr>
          <w:rFonts w:hint="eastAsia" w:ascii="宋体" w:hAnsi="宋体" w:eastAsia="宋体" w:cs="宋体"/>
          <w:color w:val="auto"/>
          <w:sz w:val="24"/>
          <w:szCs w:val="24"/>
          <w:highlight w:val="none"/>
        </w:rPr>
      </w:pPr>
      <w:r/>
      <w:bookmarkStart w:id="173" w:name="_Toc49090575"/>
      <w:r/>
      <w:bookmarkStart w:id="174" w:name="_Toc26554093"/>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3"/>
      <w:r/>
      <w:bookmarkEnd w:id="174"/>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rPr>
        <w:t xml:space="preserve">盐城市第三人民医院南院一期病房改造提升手术室医疗专项采购</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u w:val="single"/>
          <w:lang w:val="en-US" w:eastAsia="zh-CN"/>
        </w:rPr>
        <w:t xml:space="preserve">1676.63</w:t>
      </w:r>
      <w:r>
        <w:rPr>
          <w:rFonts w:hint="eastAsia" w:ascii="宋体" w:hAnsi="宋体" w:eastAsia="宋体" w:cs="宋体"/>
          <w:color w:val="auto"/>
          <w:sz w:val="24"/>
          <w:szCs w:val="24"/>
          <w:highlight w:val="none"/>
          <w:lang w:val="en-US" w:eastAsia="zh-CN"/>
        </w:rPr>
        <w:t xml:space="preserve">万元</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采购清单：</w:t>
      </w:r>
      <w:r/>
    </w:p>
    <w:tbl>
      <w:tblPr>
        <w:tblStyle w:val="995"/>
        <w:tblpPr w:horzAnchor="text" w:tblpX="599" w:vertAnchor="text" w:tblpY="19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2308"/>
        <w:gridCol w:w="1029"/>
        <w:gridCol w:w="1245"/>
        <w:gridCol w:w="2149"/>
      </w:tblGrid>
      <w:tr>
        <w:trPr>
          <w:trHeight w:val="510"/>
        </w:trPr>
        <w:tc>
          <w:tcPr>
            <w:tcW w:w="892"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2308" w:type="dxa"/>
            <w:textDirection w:val="lrTb"/>
            <w:noWrap w:val="false"/>
          </w:tcPr>
          <w:p>
            <w:pPr>
              <w:pStyle w:val="994"/>
              <w:jc w:val="center"/>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专项名称</w:t>
            </w:r>
            <w:r/>
          </w:p>
        </w:tc>
        <w:tc>
          <w:tcPr>
            <w:tcW w:w="1029"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c>
          <w:tcPr>
            <w:tcW w:w="1245" w:type="dxa"/>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2149" w:type="dxa"/>
            <w:textDirection w:val="lrTb"/>
            <w:noWrap w:val="false"/>
          </w:tcPr>
          <w:p>
            <w:pPr>
              <w:pStyle w:val="994"/>
              <w:jc w:val="both"/>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是否接收进口产品</w:t>
            </w:r>
            <w:r/>
          </w:p>
        </w:tc>
      </w:tr>
      <w:tr>
        <w:trPr>
          <w:trHeight w:val="510"/>
        </w:trPr>
        <w:tc>
          <w:tcPr>
            <w:tcW w:w="892" w:type="dxa"/>
            <w:vAlign w:val="center"/>
            <w:textDirection w:val="lrTb"/>
            <w:noWrap w:val="false"/>
          </w:tcPr>
          <w:p>
            <w:pPr>
              <w:pStyle w:val="994"/>
              <w:jc w:val="center"/>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308" w:type="dxa"/>
            <w:vAlign w:val="center"/>
            <w:textDirection w:val="lrTb"/>
            <w:noWrap w:val="false"/>
          </w:tcPr>
          <w:p>
            <w:pPr>
              <w:pStyle w:val="994"/>
              <w:jc w:val="left"/>
              <w:spacing w:beforeAutospacing="0" w:afterAutospacing="0"/>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手术室设备</w:t>
            </w:r>
            <w:r/>
          </w:p>
        </w:tc>
        <w:tc>
          <w:tcPr>
            <w:tcW w:w="1029"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pStyle w:val="994"/>
              <w:jc w:val="center"/>
              <w:spacing w:beforeAutospacing="0" w:afterAutospacing="0"/>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308"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 xml:space="preserve">医护专用</w:t>
            </w:r>
            <w:r>
              <w:rPr>
                <w:rFonts w:hint="eastAsia" w:ascii="宋体" w:hAnsi="宋体" w:eastAsia="宋体" w:cs="宋体"/>
                <w:color w:val="auto"/>
                <w:sz w:val="24"/>
                <w:szCs w:val="24"/>
                <w:highlight w:val="none"/>
                <w:vertAlign w:val="baseline"/>
                <w:lang w:val="en-US" w:eastAsia="zh-CN"/>
              </w:rPr>
              <w:t xml:space="preserve">电</w:t>
            </w:r>
            <w:r>
              <w:rPr>
                <w:rFonts w:hint="eastAsia" w:ascii="宋体" w:hAnsi="宋体" w:eastAsia="宋体" w:cs="宋体"/>
                <w:color w:val="auto"/>
                <w:sz w:val="24"/>
                <w:szCs w:val="24"/>
                <w:highlight w:val="none"/>
                <w:vertAlign w:val="baseline"/>
              </w:rPr>
              <w:t xml:space="preserve">梯</w:t>
            </w:r>
            <w:r/>
          </w:p>
        </w:tc>
        <w:tc>
          <w:tcPr>
            <w:shd w:val="clear" w:color="auto" w:fill="auto"/>
            <w:tcW w:w="1029"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部</w:t>
            </w:r>
            <w:r/>
          </w:p>
        </w:tc>
        <w:tc>
          <w:tcPr>
            <w:shd w:val="clear" w:color="auto" w:fill="auto"/>
            <w:tcW w:w="1245"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2149" w:type="dxa"/>
            <w:vAlign w:val="center"/>
            <w:textDirection w:val="lrTb"/>
            <w:noWrap w:val="false"/>
          </w:tcPr>
          <w:p>
            <w:pPr>
              <w:jc w:val="center"/>
              <w:spacing w:beforeAutospacing="0" w:afterAutospacing="0"/>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308"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rPr>
              <w:t xml:space="preserve">医疗气体</w:t>
            </w:r>
            <w:r>
              <w:rPr>
                <w:rFonts w:hint="eastAsia" w:ascii="宋体" w:hAnsi="宋体" w:eastAsia="宋体" w:cs="宋体"/>
                <w:color w:val="auto"/>
                <w:sz w:val="24"/>
                <w:szCs w:val="24"/>
                <w:highlight w:val="none"/>
                <w:vertAlign w:val="baseline"/>
                <w:lang w:val="en-US" w:eastAsia="zh-CN"/>
              </w:rPr>
              <w:t xml:space="preserve">配套设施</w:t>
            </w:r>
            <w:r/>
          </w:p>
        </w:tc>
        <w:tc>
          <w:tcPr>
            <w:tcW w:w="1029"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308"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智能化系统</w:t>
            </w:r>
            <w:r/>
          </w:p>
        </w:tc>
        <w:tc>
          <w:tcPr>
            <w:tcW w:w="1029"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w:t>
            </w:r>
            <w:r/>
          </w:p>
        </w:tc>
        <w:tc>
          <w:tcPr>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338"/>
        </w:trPr>
        <w:tc>
          <w:tcPr>
            <w:tcW w:w="892"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308" w:type="dxa"/>
            <w:vAlign w:val="center"/>
            <w:textDirection w:val="lrTb"/>
            <w:noWrap w:val="false"/>
          </w:tcPr>
          <w:p>
            <w:pPr>
              <w:pStyle w:val="994"/>
              <w:jc w:val="left"/>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暖通设备</w:t>
            </w:r>
            <w:r/>
          </w:p>
        </w:tc>
        <w:tc>
          <w:tcPr>
            <w:shd w:val="clear" w:color="auto" w:fill="auto"/>
            <w:tcW w:w="1029"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项</w:t>
            </w:r>
            <w:r/>
          </w:p>
        </w:tc>
        <w:tc>
          <w:tcPr>
            <w:shd w:val="clear" w:color="auto" w:fill="auto"/>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否</w:t>
            </w:r>
            <w:r/>
          </w:p>
        </w:tc>
      </w:tr>
      <w:tr>
        <w:trPr>
          <w:trHeight w:val="282"/>
        </w:trPr>
        <w:tc>
          <w:tcPr>
            <w:tcW w:w="892" w:type="dxa"/>
            <w:vAlign w:val="center"/>
            <w:textDirection w:val="lrTb"/>
            <w:noWrap w:val="false"/>
          </w:tcPr>
          <w:p>
            <w:pPr>
              <w:pStyle w:val="994"/>
              <w:jc w:val="center"/>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308" w:type="dxa"/>
            <w:vAlign w:val="center"/>
            <w:textDirection w:val="lrTb"/>
            <w:noWrap w:val="false"/>
          </w:tcPr>
          <w:p>
            <w:pPr>
              <w:pStyle w:val="994"/>
              <w:jc w:val="left"/>
              <w:spacing w:beforeAutospacing="0" w:afterAutospacing="0"/>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手术室配套基础设</w:t>
            </w:r>
            <w:r/>
          </w:p>
        </w:tc>
        <w:tc>
          <w:tcPr>
            <w:shd w:val="clear" w:color="auto" w:fill="auto"/>
            <w:tcW w:w="1029"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项</w:t>
            </w:r>
            <w:r/>
          </w:p>
        </w:tc>
        <w:tc>
          <w:tcPr>
            <w:shd w:val="clear" w:color="auto" w:fill="auto"/>
            <w:tcW w:w="1245" w:type="dxa"/>
            <w:vAlign w:val="center"/>
            <w:textDirection w:val="lrTb"/>
            <w:noWrap w:val="false"/>
          </w:tcPr>
          <w:p>
            <w:pPr>
              <w:pStyle w:val="994"/>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2149" w:type="dxa"/>
            <w:vAlign w:val="center"/>
            <w:textDirection w:val="lrTb"/>
            <w:noWrap w:val="false"/>
          </w:tcPr>
          <w:p>
            <w:pPr>
              <w:jc w:val="center"/>
              <w:spacing w:beforeAutospacing="0" w:afterAutospacing="0"/>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否</w:t>
            </w:r>
            <w:r/>
          </w:p>
        </w:tc>
      </w:tr>
    </w:tbl>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二、技术参数和性能指标要求</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（一）中心手术室医用吊塔参数配置要求（4套双塔）</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1、吊塔主体材料要求为6005-T6高强度铝合金，方形全封闭式设计，吊塔所采用的材料必须防腐蚀，便于清洗。</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2、吊塔表面喷塑采用环保抗菌粉末，具有表面抑制细菌再生作用，符合JIS Z 2801:2010或同等标准大肠杆菌及金黄色葡萄球菌抗菌率≥99.9%要求。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3、吊塔外壳涂膜附着力参照ISO2409-2013或同等测试方法，附着力达到最高等级0，吊塔外壳在中性盐雾试验中，测试方法参照ISO9227:2017或同等标准，外观评价参照ISO10289-1999或同等标准，评价等级最高为10。</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▲4、吊塔最大宣称承重≥650Kg，同时安全承重应为宣称承重的4倍。</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5、悬臂、终端箱转动范围≥340°，且具有良好的限位系统。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6、托盘必须为铝合金材质，一体成型，纯平设计，表面无螺钉。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7、吊塔承载部件经承受2倍额定安全载荷后，应无永久性的损坏，且相对负载表面的偏移应≤10º。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8、基础架平缓施加荷载至10000N.m的试验扭矩，持续10min，法兰盘水平偏角≤0.4°。</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9、吊塔关节轴承可在额定载荷下，运行次数≥12万次。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10、医用气体正压管内部直径应≥5mm；负压的管吸引管道内部直径应≥6mm。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11、吊塔的医用气体管道系统（刹车除外）应能承受1.2MPa的气压试验，不得出现明显漏气或破裂现象。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12、依据ISO 11197 201.11.2.2.101要求，底板具有开孔，在模拟氧气泄露流量为1L/min时，腔体内部的氧气浓度不超过25%。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13、吊塔的外壳防护等级应符合GB/T 4208-2017中IP20的规定。</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▲14、吊塔所有气体终端和接头为德标制式，金属外壳，与吊塔同品牌，终端表面激光打印同品牌logo，非标贴黏贴。（投标时提供实物图片证明）</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15、气源终端具有原位待接通状态功能，支持带气维修，符合GB/T42062-2022风险管理程序要求，中标后提供10万次插拔测试证明。</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16、吊塔在正常工作过程中噪声应≤ 35dB（A）。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17、吊塔可承受400 kg 物体撞击30 次，不发生断裂坍塌，依据ISTA 3E标准中的水平冲击试验要求进行测试，终端 箱、横臂、托盘、抽屉及附件木箱和产品应完好无破损。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18、吊塔外观件可耐受以下消毒剂：戊二醛 2%、乙醇 70%、双氧水 3%，不发生变色开裂等外观破损现象，吊塔外观件具有耐黄变性能，可耐受紫外线照射，色差小于7。</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19、医用吊塔系统满足GB/T 43952-2024《医用供应装置》标准。（中标后提供检验/检测报告证明）</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bookmarkStart w:id="175" w:name="_Hlk147841986"/>
      <w:r>
        <w:rPr>
          <w:rFonts w:hint="eastAsia" w:ascii="宋体" w:hAnsi="宋体" w:eastAsia="宋体" w:cs="宋体"/>
          <w:b/>
          <w:bCs/>
          <w:color w:val="auto"/>
          <w:sz w:val="24"/>
          <w:szCs w:val="24"/>
          <w:highlight w:val="none"/>
          <w:lang w:val="en-US" w:eastAsia="zh-CN"/>
        </w:rPr>
        <w:t xml:space="preserve">20、配置要求如下：</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20.1双臂麻醉塔</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（1）双臂结构，悬臂长度≥1500mm。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（2）气电功能箱采用≥六面体吊柱式设计，长度≥800mm。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（3）气体终端：空气2个，负压吸引2个，氧气2个，麻醉废气1个。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（4）国标10A电源插座12个。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（5）六类网口2个，等电位2个。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（6）仪器承载托盘2层，1层带自吸合抽屉。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（7）延伸臂+输液架1套。</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20.2双臂外科塔</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（1）双臂结构，悬臂长度≥1500mm。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（2）气电功能箱采用≥六面体吊柱式设计，长度≥800mm。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（3）气体终端：空气2个，负压吸引2个，氧气2个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（4）国标10A电源插座 11个，16A电源插座1个。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（5）六类网口2个，等电位2个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（6）仪器承载托盘2层，1层带自吸合抽屉。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（7）延伸臂+输液架1套。</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（二）复苏室医用墙式吊塔参数配置要求（3套）</w:t>
      </w:r>
      <w:bookmarkEnd w:id="175"/>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1、吊塔主体材料要求为6005-T6高强度铝合金，吊塔所采用的材料必须防腐蚀，便于清洗，设备表面喷塑采用优质环保抗菌粉末，其具有表面抑制细菌再生作用，符合JIS Z 2801:2010或同等标准大肠杆菌及金黄色葡萄球菌抗菌率≥99.9%要求。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2、吊塔外壳涂膜附着力参照ISO2409-2013测试方法，附着力达到最高等级0，吊塔外壳在中性盐雾试验中，测试方法参照ISO9227:2017标准，外观评价参照ISO10289-1999，评价等级最高为10。</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76" w:name="_Hlk147842125"/>
      <w:r>
        <w:rPr>
          <w:rFonts w:hint="eastAsia" w:ascii="宋体" w:hAnsi="宋体" w:eastAsia="宋体" w:cs="宋体"/>
          <w:color w:val="auto"/>
          <w:sz w:val="24"/>
          <w:szCs w:val="24"/>
          <w:highlight w:val="none"/>
          <w:lang w:val="en-US" w:eastAsia="zh-CN"/>
        </w:rPr>
        <w:t xml:space="preserve">▲3、吊塔为贴墙安装，节省空间。最大宣称承重≥120kg，托盘的最大宣称承重≥60kg。</w:t>
      </w:r>
      <w:bookmarkEnd w:id="176"/>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77" w:name="_Hlk147843968"/>
      <w:r>
        <w:rPr>
          <w:rFonts w:hint="eastAsia" w:ascii="宋体" w:hAnsi="宋体" w:eastAsia="宋体" w:cs="宋体"/>
          <w:color w:val="auto"/>
          <w:sz w:val="24"/>
          <w:szCs w:val="24"/>
          <w:highlight w:val="none"/>
          <w:lang w:val="en-US" w:eastAsia="zh-CN"/>
        </w:rPr>
        <w:t xml:space="preserve">4、所有吊塔上承载的设备的电源线路及气源管路和塔体之间没有相对移动，所有电源线路及气源管路必须在塔体内不能外露，保证吊塔在移动过程中，不会因位置的改变导致线路脱落的意外发生。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5、托盘边轨必须为铝合金材质，一体成型，纯平设计，托盘表面无螺钉，抽屉采用抽拉式，且自带吸合功能。</w:t>
      </w:r>
      <w:bookmarkEnd w:id="177"/>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78" w:name="_Hlk147845835"/>
      <w:r>
        <w:rPr>
          <w:rFonts w:hint="eastAsia" w:ascii="宋体" w:hAnsi="宋体" w:eastAsia="宋体" w:cs="宋体"/>
          <w:color w:val="auto"/>
          <w:sz w:val="24"/>
          <w:szCs w:val="24"/>
          <w:highlight w:val="none"/>
          <w:lang w:val="en-US" w:eastAsia="zh-CN"/>
        </w:rPr>
        <w:t xml:space="preserve">6、吊塔承载部件经承受2倍额定安全载荷后，应无永久性的损坏，且相对负载表面的偏移应≤10º。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7、基础架平缓施加荷载至10000N.m的试验扭矩，持续10min，法兰盘水平偏角≤0.4°。</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8、吊塔经200N冲击试验后，带电部件应不可触及，各类终端仍符合要求，存在的保护装置应保持完整。</w:t>
      </w:r>
      <w:bookmarkEnd w:id="178"/>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79" w:name="_Hlk147845854"/>
      <w:r>
        <w:rPr>
          <w:rFonts w:hint="eastAsia" w:ascii="宋体" w:hAnsi="宋体" w:eastAsia="宋体" w:cs="宋体"/>
          <w:color w:val="auto"/>
          <w:sz w:val="24"/>
          <w:szCs w:val="24"/>
          <w:highlight w:val="none"/>
          <w:lang w:val="en-US" w:eastAsia="zh-CN"/>
        </w:rPr>
        <w:t xml:space="preserve">▲</w:t>
      </w:r>
      <w:bookmarkStart w:id="180" w:name="_Hlk169502396"/>
      <w:r>
        <w:rPr>
          <w:rFonts w:hint="eastAsia" w:ascii="宋体" w:hAnsi="宋体" w:eastAsia="宋体" w:cs="宋体"/>
          <w:color w:val="auto"/>
          <w:sz w:val="24"/>
          <w:szCs w:val="24"/>
          <w:highlight w:val="none"/>
          <w:lang w:val="en-US" w:eastAsia="zh-CN"/>
        </w:rPr>
        <w:t xml:space="preserve">9、吊塔所有气体终端和接头为德标制式，金属外壳，与吊塔同品牌，终端表面激光打印同品牌logo，非标贴黏贴。（投标时提供实物图片证明）</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10、气源终端具有原位待接通状态功能，支持带气维修，符合GB/T42062-2022风险管理程序要求。</w:t>
      </w:r>
      <w:bookmarkEnd w:id="180"/>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11、吊塔的医用气体管道系统（刹车除外）应能承受1.2MPa的气压试验，不得出现明显漏气或破裂现象。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12.依据ISO 11197 201.11.2.2.101要求，底板具有开孔，在模拟氧气泄露流量为1L/min时，腔体内部的氧气浓度不超过25%。</w:t>
      </w:r>
      <w:bookmarkEnd w:id="179"/>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13、吊塔的外壳防护等级应符合GB/T 4208-2017中IP20的规定。</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14、吊塔的外壳防火等级为UL94-V0级。</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15、墙式吊塔配置要求如下：</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（1）贴墙安装，无横臂，气电功能箱体长度≥1800mm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（2）气体终端：空气2个，负压吸引2个，氧气2个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（3）国标10A电源插座9个，16A电源插座1个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（4）六类网口2个，等电位2个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（5）仪器承载托盘1个，带自吸合抽屉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（6）转动托盘1个，延伸臂+输液架1套</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（三）智慧物联管理平台</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管理平台</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1、支持实时监测实验室所有在线数据管理，包括环境质控数据、暖通机电设备数据、实验专用设备数据及其他传感器通讯数据。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▲2、支持本地局域网及无线MES组网，高速、稳定地采集实验室各专业分类传感器数据，并实现数据的规范化管理，支持后台数据库将数据实时传输至云服务器，支持物联运维及移动环境质控APP对接。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▲3、支持本地化管理，软件可实现实验室暖通控制、房间压差控制、净化设备控制、废气外排处理设备控制、实验室内常规环境及净化参数等数据监测、查看故障记录等交互控制性能；</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lang w:val="en-US" w:eastAsia="zh-CN"/>
        </w:rPr>
        <w:t xml:space="preserve">提供符合本项技术要求的检测报告，报告中的软件性能测试通过。）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运维平台基于巡检维护管理服务，可接收报修，可协助相关人员追踪维修完成情况，实现对设备设施维修的全生命流程监控，对系统以及设备进行版本升级，帮助用户完成现场设备故障简易处理与故障分析；</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B/S端及手机显示空气质量数据、净化速率（百分比）、污染物浓度、环境温度和环境湿度等，支持现场人机界面远程投影功能，方便用户快速了解实验室环境状态，并可对相关设备进行操作及管理设置，支持与实验室各级终端、网关、中枢的质控系统同步控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6、支持菜单分段浏览，结合数字化、图形化、立体化多种模式显示实验室区域相关房间环境参数、污染气体参数、通风系统参数、空调水暖参数，支持与智慧实验室三维可视化平台智联；</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7、支持用户通过设有触摸控制单元的物联网设备，对实验室环境质控设备（包括净化消杀设备、空调水暖设备、通风变风量设备，末端专业设备等）进行控制，支持实验室环境质控系统工作场景自定义切换；</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系统支持本地化及云端部署，可对实验室历史环境数据进行长期记录、存储、调阅以及数据管理，可对各类数据进行数字化和图形化的展现，数据可与智慧实验室三维可视化平台、智慧实验室信息管理平台、本地化可视可控终端等软件实现对接；</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lang w:val="en-US" w:eastAsia="zh-CN"/>
        </w:rPr>
        <w:t xml:space="preserve">提供可实现无缝对接的承诺书，格式自拟）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9、支持平台登录授权设备及用户的身份验证、数据加密、电子签名、访问控制等措施，以确保通信的安全性和隐私保护，可在设备和云平台之间建立安全的通信通道，并防止未经授权的访问和攻击；</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▲10、系统支持可查询用户连续三个月的上下线记录、历史数据，可根据不同纬度筛选数据，形成文字报告或者历史曲线图，可查阅现场设备运行记录；</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lang w:val="en-US" w:eastAsia="zh-CN"/>
        </w:rPr>
        <w:t xml:space="preserve">提供符合本项要求的系统界面截图）</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11、内置废气处理系统软件，软件提供废气外排处理、废气排放器设置及提交、废气排放分析等功能；</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▲12、内置多模块传感集成控制系统软件，软件提供实验设备管理、大屏看板数据展示、大屏数据分析等功能；</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lang w:val="en-US" w:eastAsia="zh-CN"/>
        </w:rPr>
        <w:t xml:space="preserve">提供与“智能传感控制系统”功能相关的软件测试报告，报告内容须符合本项要求）</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PC端服务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1、支持B/S架构的客户端登录，可在线实时查看系统运行工况及实验室环境参数，可在授权状态下，远程控制实验室环境质控设备、阀门、送排风、照明、消毒等设备；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2、提供系统PC端管理，支持环境监测，设备设施管理，告警系统；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3、针对电脑使用场景,实现平台数据和PC端、移动端三方数据互联、互通、互控；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4、支持B/S端管理软件的报警信息推送，异常状态列表的提醒；</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移动端服务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▲1、支持安卓系统，移动端自适应界面，实时查看系统运行界面及状态参数查看,具备远程控制功能；</w:t>
      </w:r>
      <w:r>
        <w:rPr>
          <w:rFonts w:hint="eastAsia" w:ascii="宋体" w:hAnsi="宋体" w:eastAsia="宋体" w:cs="宋体"/>
          <w:strike w:val="0"/>
          <w:color w:val="auto"/>
          <w:sz w:val="24"/>
          <w:szCs w:val="24"/>
          <w:highlight w:val="none"/>
          <w:u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u w:val="none"/>
          <w:lang w:val="en-US" w:eastAsia="zh-CN"/>
        </w:rPr>
        <w:t xml:space="preserve">提供所投产品符合本项要求的实物照片，需清晰展示系统运行状态、实验室相关设备参数查看的功能）</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2、提供系统移动端管理，支持环境监测，设备操控，告警通知，运维管理；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3、针对便携使用场景,实现平台数据和管理应用的便携易用特性,数据管理功能与桌面客户端统一；</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4、支持手机端访问与报警推送、实时数据移动查询；</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移动终端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1、产品采用一体模压工艺，面框材料采用特殊涂层，整机支持IP65，支持多点触控操作，支持移动便捷操作；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2、内置IoT智能多核芯片，支持网络协议通讯，支持Wifi/BT/ModbusTCP</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/MQTT，支持云端网络组建，支持加密远程访问数据服务器；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▲3、屏幕尺寸≥10英寸，支持实时监测温度、湿度、VOC、甲醛、二甲苯、氨气、硫化氢、气溶胶、压差等实验室环境关联数据；</w:t>
      </w:r>
      <w:r>
        <w:rPr>
          <w:rFonts w:hint="eastAsia" w:ascii="宋体" w:hAnsi="宋体" w:eastAsia="宋体" w:cs="宋体"/>
          <w:strike w:val="0"/>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投标时</w:t>
      </w:r>
      <w:r>
        <w:rPr>
          <w:rFonts w:hint="eastAsia" w:ascii="宋体" w:hAnsi="宋体" w:eastAsia="宋体" w:cs="宋体"/>
          <w:strike w:val="0"/>
          <w:color w:val="auto"/>
          <w:sz w:val="24"/>
          <w:szCs w:val="24"/>
          <w:highlight w:val="none"/>
          <w:u w:val="none"/>
          <w:lang w:val="en-US" w:eastAsia="zh-CN"/>
        </w:rPr>
        <w:t xml:space="preserve">中提供所投产品符合本项要求的实物照片，需清晰展示实验室环境关联数据的数据值）</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4、环境参数偏离标准设定范围时，能及时通知网络管理模块，下发预警/报警资讯；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5、可配合实验室环境质控平台，与实验室各级终端、网关、中枢的质控系统同步数据，用于实验室环境质控系统根据各区域环境监测机的数据调节净化系统及风量自适应系统；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6、工作电压DC5V/3A，工作温度-20~65℃，配置防水接头；</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云服务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提供本地数据云端交互，用于支撑物联网及运维平台交互服务；</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智慧物联智算舱</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硬件配置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1、搭载Intel酷睿高性能处理器，具备≥4GB 内存，提供≥128GB SSD 固态硬盘，支持双电源冗余设计，确保供电稳定；</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2、配备≥2个千兆以太网口，配备≥2个USB 3.0接口，配备≥2个RS485/RS232 串口，用于连接特定设备；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3、工作温度范围-10℃~60℃，存储温度范围-20℃~70℃，湿度适应范围5%~95%RH（无冷凝），支持100~240V AC宽电压输入；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4、产品主体内嵌圆形高清触摸屏，屏幕尺寸≥7寸，产品配置灯光引导装置，可提供运行、报警警示灯光；</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内置软件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多节点实时数据处理，毫秒级响应环境调控指令，配置时序数据库，可存储≥10亿条数据记录，支持历史数据查询，响应时间≤3秒，内置场景化策略引擎（Python/Node.js模块化编程），动态负载均衡，自动分配计算任务至边缘节点；</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2、原生支持HTTP/HTTPS、MQTT、AMQP、CoAP等通信协议，提供ModbusTCP/RS485协议转换中间件（无需硬件适配），提供 RESTful API 接口，便于系统集成，具备数据采集适配器框架，支持自定义协议扩展，支持断点续传，确保数据完整性，采集通道数量≥1024个；</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3、预装 Linux Ubuntu LTS操作系统，采用Docker容器化技术部署应用，集成Kubernetes容器编排系统，实现自动化部署，支持热更新与滚动升级，双活数据库集群（PostgreSQL TimescaleDB + Redis缓存），进程级监控自动重启（&lt;5s服务恢复）；</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4、边缘节点处理能力12,000+ msg/s（1KB/msg），持久化吞吐量≥8GB/h时序数据写入，分布式消息队列（Kafka协议兼容），百万级消息积压缓冲，支持数据聚合计算，如平均值、最大值、最小值、标准差等，支持数据标准化处理，统一量纲；</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7×24小时不间断运行，平均无故障时间（MTBF）≥50,000小时，具备自动故障检测与恢复机制，提供数据备份与恢复功能，支持定时备份，支持系统日志记录与分析，支持数据分级存储策略，支持数据生命周期管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▲6、提供基于Web的可视化界面，支持主流浏览器访问，支持实时数据监控与展示，提供历史数据趋势分析图表，支持加密通信，提供用户认证与授权机制，支持防火墙规则设置，支持数据传输与存储加密；</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u w:val="none"/>
          <w:lang w:val="en-US" w:eastAsia="zh-CN"/>
        </w:rPr>
        <w:t xml:space="preserve">提供与“数据访问及加密”功能相关的软件著作权登记证书，证书须为国家版权局出具。）</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7、系统支持自定义算法与模型开发，支持实验室动态资源分配，支持实验室运行数据处理，可协调实验室房间层、设备层终端节点的协作运行与协同处理，持续优化实验室环境质量达标；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▲8、系统可显示智算舱运行状态，支持对实验室环境质控系统的数据进行统计并显示，包括但不限于净化介入次数、风阀调整次数、新风运行次数、排风运行次数等。</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投标时</w:t>
      </w:r>
      <w:r>
        <w:rPr>
          <w:rFonts w:hint="eastAsia" w:ascii="宋体" w:hAnsi="宋体" w:eastAsia="宋体" w:cs="宋体"/>
          <w:strike w:val="0"/>
          <w:color w:val="auto"/>
          <w:sz w:val="24"/>
          <w:szCs w:val="24"/>
          <w:highlight w:val="none"/>
          <w:lang w:val="en-US" w:eastAsia="zh-CN"/>
        </w:rPr>
        <w:t xml:space="preserve">须提供实物照片，可清晰展示净化介入、风阀调整、新风运行、排风运行及故障提示的次数）</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智慧控显微方</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主机配置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1、采用ARM Cortex-A系列或更高性能处理器，配备≥2GB DDR4 RAM内存，内置≥32GB eMMC存储；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2、IPS全视角触控屏，电容式触摸技术；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3、双频Wi-Fi 支持MESH组网，支持MQTT，支持BT，支持千兆网口，支持RS485/RS232串口；</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4、支持第三方系统扩展，可提供DI/DO/AI/AO等模块对接第三方传统自控系统；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主体采用航空洁净铝材质，表面耐候处理，阳极氧化与氟碳处理工艺有机组合，采用一体模压制造工艺，整体造型圆润简约，圆形屏幕支持触摸，信息窗与简约几何形体动静融合，弧形曲面对接，接缝严密且光滑，曲面沿边可避免生物污染物沉淀；</w:t>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软件应用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1、产品安装</w:t>
      </w:r>
      <w:r>
        <w:rPr>
          <w:rFonts w:hint="eastAsia" w:ascii="宋体" w:hAnsi="宋体" w:eastAsia="宋体" w:cs="宋体"/>
          <w:strike w:val="0"/>
          <w:color w:val="auto"/>
          <w:sz w:val="24"/>
          <w:szCs w:val="24"/>
          <w:highlight w:val="none"/>
          <w:u w:val="none"/>
          <w:lang w:val="en-US" w:eastAsia="zh-CN"/>
        </w:rPr>
        <w:t xml:space="preserve">国内主流</w:t>
      </w:r>
      <w:r>
        <w:rPr>
          <w:rFonts w:hint="eastAsia" w:ascii="宋体" w:hAnsi="宋体" w:eastAsia="宋体" w:cs="宋体"/>
          <w:color w:val="auto"/>
          <w:sz w:val="24"/>
          <w:szCs w:val="24"/>
          <w:highlight w:val="none"/>
          <w:lang w:val="en-US" w:eastAsia="zh-CN"/>
        </w:rPr>
        <w:t xml:space="preserve">操作系统，支持Docker轻量级容器化部署；</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2、配置多协议数据采集（MQTT、Modbus、HTTP等），本地数据缓存容量≥1GB，数据采样频率：1Hz-10Hz可配置，支持边缘计算，本地处理延迟≤50ms；</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3、配置多设备协同控制逻辑编程，内置PID控制算法库，支持定时任务、条件触发、场景模式切换，支持设备状态同步与冲突解决机制；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4、系统可7×24小时不间断运行，平均无故障时间（MTBF）≥30,000小时，支持看门狗定时器自动复位，断电数据保护（RTC 实时时钟+超级电容）；</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5、支持同一层级之间并行通讯，具有同级数据请求上级协调算法支持，确保本机与上一层级的数据同步，网络分区时本产品仍可独立操作运行；</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▲6、动态生成图形化界面，支持本机对单元房间及区域的数据阅览及命令发送，可支持变风量系统设定、环境监测、压差监测与设定、空间多维消毒、温湿度控制与设定、报警界面、设备状态等场景定义。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7、动态链接语音控制模块，语音控制模块可提供：</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7.1、可语音控制实验室场景工况；</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7.2、可语音控制实验室通风设备；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7.3、可语音控制调节实验室内的温、湿度；</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7.4、可语音控制实验室内光源启停；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7.5、可语音控制实验室消毒系统的启停；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7.6、可语音控制实验室净化装置的启停。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8.物联数据接入模块</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8.1、产品支持ModbusTCP/RS485/MQTT等通讯，支持Wifi组网连接；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8.3、产品支持与第三方设备或扩展模块对接，重构数据标准，统一高效传输；</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9.智联型污染物降解组件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产品额定可处理有害气体风量（Q）为(重污染区可处理风量≥4000m³/H,中或轻污染区可处理风量≥6400m³/H),主机使用寿命≥30000小时，压损＜10Pa，接地电阻≤0.05Ω，在65℃环境中持续工作168h后，产品外观无明显变化且能正常工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▲9.2、产品在65℃环境中持续工作168h后，产品外观无明显变化且能正常工作；（投标时提供第三方检测机构出具的带有CMA标识的检测报告）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主机配备有专用净化模组，可实现受控区域环境的空气净化，甲醛（1小时）净化效率≥98%，TVOC（1小时）净化效率≥98%，白色葡萄球菌（1小时）净化效率≥99%，自然菌（1小时）净化效率≥94%，臭氧单位时间内臭氧浓度增加量低于0.1mg/m³；</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9.4、产品支持多维数据传输，支持控制板算力输出，支持模块化接插，支持自适应运行，配备冗余电源，产品状态可支持上传至数据处理终端，支持实验室可视化联动显示与操作；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9.5、主机配置RJ45端口，工作状态采用智能化控制，可持续运行或脉冲式运行，可采用模块组合式、嵌入式结构，组合性强，可以串联、并联混合应用；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采用独特的对插入式结构，空气阻力小，阻力&lt;10Pa，固态构架，无震动部件，可靠性高，使用寿命长；原子团的活性氧直接覆盖在污染源表面与污染物充分融合降解，因此间接减少房间换气次数，降低通风系统能耗；</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9.7、产品对甲醛、二甲苯等气体具有优异的去除效果，甲醛去除率（24h）≥92%，二甲苯去除率（24h）≥95%；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9.8、质子初态分解的等离子体数量2.18x10^18m³~5.36x10^18m³；</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▲9.9、产品对微生物具有很好的除菌率，金黄色葡萄球菌、枯草芽孢杆菌60min灭菌率≥99.99%；（投标时提供第三方检测机构出具的带有CMA标识的检测报告）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9.10、产品对颗粒物洁净空气量Q≥1200m³/h，甲醛洁净空气量Q≥850m³/h，颗粒物累计净化量M≥17500mg，颗粒物净化能效η≥12m³/（W.h）,甲醛净化能效η≥8.5m³/（W.h），工作噪音≤36dB(A)；（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10.石墨烯空气处理机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机体采用航空洁净铝材质，外壳着色阳极氧化，产品耐腐蚀性、抗氧化性强，操作维护简单，零配件更换方便，无需专人值守，特色叠层式壳体设计，接近零风阻，使循环风量最大化，无需定期维护，更经济；</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▲10.2、产品符合GB/T7999-2015《铝及铝合金光电直读发射光谱分析方法》标准要求，“铁、锰、铬、镁、锌、铜、硅”的化学成分检测结果合格；（投标时提供第三方检测机构出具的带有CMA标识的检测报告）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10.3、整机尺寸≥840×260×190mm，机体重量12kg，额定频率50Hz，功率48w，输入电压：220v/50hz；变压器30w；</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产品采用石墨烯高能离子管技术，可支持远程智能控制（PC端/移动端）和全自动工作模式，能根据室内环境参数自我工作，具有集成性和实用性。产品可集成臭氧浓度检测单元，可动态监控离子反应产生的臭氧量，一旦超出安全阈值即自动降低离子输出，确保使用安全；同时配备空气质量检测单元，可根据待处理房间的室内环境自定义工作强度；（投标时提供第三方机构出具的符合本项要求的技术功能性证明文件或测试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10.5、内置的引流装置具有长期工作的稳定特性，平均无故障时间≥10000小时；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10.6、适用面积㎡≦55，循环风量150~600m³/h，处理风量 200~650m³/h，噪声（声压级）≥33dB（A）；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10.7、产品支持有线/无线连接，状态可支持上传至数据处理终端，支持实验室可视化联动显示与操作；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10.8、产品具有优秀的微生物灭菌性，消毒作用60min后，甲型流感病毒（HINI）消除率≥99.9%，冠状病毒消除率≥99.9%，臭氧浓度≤0.02mg/m³，白色葡萄球菌杀灭率≥99.9%，空气自然菌消亡率≥94.5%；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11、多通道中枢传感装置A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11.1、产品支持wifi6信号输出及MESH组网，支持100M网口通讯，支持RS485协议兼容其他第三方工控设备；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内置多维感知模块，具有高性能数字式环境温湿度监测模块、室内压差监测模块、实验室洁净度检测，温度量程0~50℃，精度≤0.3℃（@5~60℃），相对湿度量程0~100%RH，精度≤3%RH（@25℃），压差量程±50Pa，精度＜±1%F.S，0.3~1.0μm颗粒，感知模块可联动室内风量控制装置，协同环境质控系统调节实验室压差、温度、湿度；</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11.4、产品采集的环境数据基于发布高级消息队列协议，消息由数据域、应答域以队列组成，以特殊加密编码方式通过无线中继或路由传输，可无缝对接实验室环境质控系统；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11.6、工作电压DC24V，工作湿度15%~90%RH，工作温度-20~50℃；</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12.多通道中枢传感装置B</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12.1、产品支持wifi6信号输出及MESH组网，支持100M网口通讯，支持RS485协议兼容其他第三方工控设备；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内置多维感知模块，具有高性能数字式环境温湿度监测模块，温度量程0~50℃，精度≤0.3℃（@5~60℃），相对湿度量程0~100%RH，精度≤3%RH（@25℃）；具有风压监测模块，量程0~2000Pa，精度＜±1%F.S，为实验室通风变风量系统调节提供数据支持；具有臭氧气体监测模快，量程范围10~1000ppb，为污染物降解组件的动态调节提供运行数据支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12.4、产品采集的环境数据基于发布高级消息队列协议，消息由数据域、应答域以队列组成，以特殊加密编码方式通过无线中继或路由传输，可无缝对接实验室环境质控系统；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12.6、工作电压DC24V，工作湿度15%~90%RH，工作温度-20~50℃；</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13.多通道中枢传感装置C</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13.1、产品支持wifi6信号输出及MESH组网，支持100M网口通讯，支持RS485协议兼容其他第三方工控设备；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内置多维感知模块，具有高性能数字式环境温湿度监测模块，温度量程0~50℃，精度≤0.3℃（@5~60℃），相对湿度量程0~100%RH，精度≤3%RH（@25℃）；具有管道压差监测模块，量程0~2000Pa，精度＜±1%F.S，为实验室通风变风量系统调节提供数据支持；具有实验室空气的综合品质监测模快，0~100%污染等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13.4、产品采集的环境数据基于发布高级消息队列协议，消息由数据域、应答域以队列组成，以特殊加密编码方式通过无线中继或路由传输，可无缝对接实验室环境质控系统；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13.6、工作电压DC24V，工作湿度15%~90%RH，工作温度-20~50℃；</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14.移动式三维智联巡检站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14.1、主体采用耐候不锈钢304，表面耐酸碱腐蚀，厚度1.0mm，产品尺寸（长×宽×高）≥130×70×100mm,便携式可移动监测，配置标准TapeC电源适配器，支持wifi6信号输出及MESH组网；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内置气体采集模块，集成多通道污染气体监测模块，全场景污染物覆盖，包括受控区域环境参数及受控区域单种主污染气体指标监测与查看，支持本机超标报警及联动实验室环境质控系统同步报警提示，并通过wifi实时反馈，支持Wifi信号及电量显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14.3、采用高性能数字式传感器及电路，核心敏感元件，一致性好具有良好的长期稳定性与可靠性，温度量程0~50℃，精度≤0.3℃（@5~60℃），相对湿度量程0~100%RH，精度≤3%RH（@25℃）；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产品配置6.0寸Display护眼显示装置，表面抗眩光硬涂层处理，可减少环境光反射，具有高对比度、拥有超宽视角、待机功耗＜2w，支持空气质量及温湿度的查看，支持Wifi信号及电量显示，配置6000mAh，支持间断性气体监测工况，非外接电源连接状态下，工作时间续航可达48小时，外接电源连接状态，支持产品7×24h在线监测；</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14.6、气体无线监测仪环境数据基于发布高级消息队列协议，消息由数据域、应答域以队列组成，以特殊加密编码方式通过无线中继传输，内置授权码，验证码通过后可经无线通讯支持与我司实验室环境质控系统、实验室数字孪生、实验室质控设备无缝连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14.7、气体监测数据支持实时同步多通道采集数据，采样间隔＜1s，通过 WIFI 直连数据网关（支持 Modbus/TCP、RS485、MQTT等协议），实现监测数据与实验室通风系统、安全联锁装置的自动化联动；产品状态可支持上传至数据处理终端，支持实验室可视化联动显示与操作，用于实验室环境质控系统根据各区域气体监视数据调节净化系统及风量自适应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14.8、工作电压DC5V，工作湿度15%~90%RH，工作温度-15~60℃，前面板IP65；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14.9、产品符合国家关于电气安全、电磁兼容性的标准；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15.移动式四维智联巡检站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15.1、主体采用耐候不锈钢304，表面耐酸碱腐蚀，厚度1.0mm，产品尺寸（长×宽×高）≈140×80×100mm,便携式可移动监测，配置标准TapeC电源适配器，支持wifi6信号输出及MESH组网；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内置气体采集模块，集成多通道污染气体监测模块，全场景污染物覆盖，包括受控区域环境参数及受控区域两种主污染气体指标监测与查看，测量量程0-5mg/m³（最大到10mg/m³），分辨率0.01mg/m³，精度±3%FS，支持本机超标报警及联动实验室环境质控系统同步报警提示，并通过wifi实时反馈，支持Wifi信号及电量显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15.3、采用高性能数字式传感器及电路，核心敏感元件，一致性好具有良好的长期稳定性与可靠性，温度量程0~50℃，精度≤0.3℃（@5~60℃），相对湿度量程0~100%RH，精度≤3%RH（@25℃）；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15.5、产品配置6.0寸Display护眼显示装置，表面抗眩光硬涂层处理，可减少环境光反射，具有高对比度、拥有超宽视角、待机功耗＜2w，支持空气质量及温湿度的查看，支持Wifi信号及电量显示，配置6000mAh，支持间断性气体监测工况，非外接电源连接状态下，工作时间内监测续航时间可达48小时，外接电源连接状态，支持产品7×24h在线监测；</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15.6、气体无线监测仪环境数据基于发布高级消息队列协议，消息由数据域、应答域以队列组成，以特殊加密编码方式通过无线中继传输，内置授权码，验证码通过后可经无线通讯支持与我司实验室环境质控系统、实验室数字孪生、实验室质控设备无缝连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15.7、气体监测数据支持实时同步多通道采集数据，采样间隔＜1s，通过 WIFI 直连数据网关（支持 Modbus/TCP、RS485、MQTT等协议），实现监测数据与实验室通风系统、安全联锁装置的自动化联动；产品状态可支持上传至数据处理终端，支持实验室可视化联动显示与操作，用于实验室环境质控系统根据各区域气体监视数据调节净化系统及风量自适应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15.8、工作电压DC5V，工作湿度15%~90%RH，工作温度-15~60℃，前面板IP65；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15.9、产品符合国家关于电气安全、电磁兼容性的标准；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16.移动式多维智联巡检站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16.1、主体采用耐候不锈钢304，表面耐酸碱腐蚀，厚度1.0mm，产品尺寸（长×宽×高）≈140×80×100mm,便携式可移动监测，配置标准TapeC电源适配器，支持wifi6信号输出及MESH组网；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内置气体采集模块，集成多通道污染气体监测模块，全场景污染物覆盖，包括受控区域环境参数及受控区域三种主污染气体指标监测与查看，测量量程0-5mg/m³（最大到10mg/m³），分辨率0.01mg/m³，精度±3%FS，支持本机超标报警及联动实验室环境质控系统同步报警提示，并通过wifi实时反馈，支持Wifi信号及电量显示；（投标文件中提供所投产品符合本项要求的实物照片，须清晰展示出气体指标的监测与查看、wifi信号及电量的显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16.3、采用高性能数字式传感器及电路，核心敏感元件，一致性好具有良好的长期稳定性与可靠性，温度量程0~50℃，精度≤0.3℃（@5~60℃），相对湿度量程0~100%RH，精度≤3%RH（@25℃）；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16.4、内置气流引导装置，微负压并联设计，保证各类传感器采样气体浓度均匀，装置具有长期待机、长期工作的特性，通过平均无故障时间测试，测试时长10000小时；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产品配置6.0寸Display护眼显示装置，表面抗眩光硬涂层处理，可减少环境光反射，具有高对比度、拥有超宽视角、待机功耗＜2w，支持空气质量及温湿度的查看，支持Wifi信号及电量显示，配置6000mAh，支持间断性气体监测工况，非外接电源连接状态下，工作时间内监测续航时间可达48小时，外接电源连接状态，支持产品7×24h在线监测；</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气体无线监测仪环境数据基于发布高级消息队列协议，消息由数据域、应答域以队列组成，以特殊加密编码方式通过无线中继传输，内置授权码，验证码通过后可经无线通讯支持与我司实验室环境质控系统、实验室数字孪生、实验室质控设备无缝连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16.7、气体监测数据支持实时同步多通道采集数据，采样间隔＜1s，通过 WIFI 直连数据网关（支持 Modbus/TCP、RS485、MQTT等协议），实现监测数据与实验室通风系统、安全联锁装置的自动化联动；产品状态可支持上传至数据处理终端，支持实验室可视化联动显示与操作，用于实验室环境质控系统根据各区域气体监视数据调节净化系统及风量自适应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16.8、工作电压DC5V，工作湿度15%~90%RH，工作温度-15~60℃，前面板IP65；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16.9、产品符合国家关于电气安全、电磁兼容性的标准；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17.受控环境监测站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主体采用≥1.2mm不锈钢304制作，表面耐候处理，具有优秀的耐酸碱特性，产品尺寸（长×宽×高）≥260×180×170mm，吊顶安装，支持wifi6信号输出及MESH组网，整机包含污染气体及温湿度采集传感器，不接受产品外部连接多个传感器与屏幕做数据通讯方式；</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17.2、内置受控区域多种污染气体采集模块，集成多通道污染气体监测模块，可兼容传感器监测通道数量≥4，测量量程0-5mg/m³，分辨率0.01mg/m³，超标报警，并实时反馈环境质控系统，智能化调整净化系统工作强度；</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17.3、内置受控区域环境采集模块，集成多元环境监测模块，采用高性能数字式传感器及电路，核心敏感元件，一致性好具有良好的长期稳定性与可靠性，温度量程0~50℃，精度≤0.3℃（@5~60℃），相对湿度量程0~100%RH，精度≤3%RH（@25℃），实时反馈环境质控系统，智能化调节房间环境工况；</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17.4、内置气流引导装置，装置具有长期待机、长期工作的特性，通过平均无故障时间测试，测试时长≥10000小时；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17.5、产品配置两组10.1寸Display护眼显示装置，全方向视角，具有表面防眩光设计，核心屏采用RGB垂直条纹排列，WXGA分辨率1280×800，16.7M色彩显示，屏幕及外壳整体厚度仅2.6mm，超薄屏幕有利于产品内部气流引导与采集，支持房间空气质量、污染气体浓度及温湿度的双向查看，一体式外壳贴附设计，工业触摸屏显示方案不予以接受；（投标文件中提供实物照片，可清晰展示出空气质量、污染气体浓度及温湿度的双向查看界面）</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17.6、环境监测机采集的环境数据基于发布高级消息队列协议，消息由数据域、应答域以队列组成，以特殊加密编码方式通过无线中继或路由传输，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17.7、环境监测机数据通过有线/无线通讯，与实验室各级终端、网关、中枢的质控系统同步数据，用于实验室环境质控系统根据各区域环境监测机的数据调节净化系统及风量自适应系统，环境监测机支持与其他第三方协议对接；</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17.8、支持7×24小时动态监测，产品具有可长期待机、长期工作的特性，通过平均无故障时间，测试时长≥20000小时；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17.9、工作电压DC24V，工作湿度15%~90%RH，工作温度-10~50℃；</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18.数字低阻层压匀流装置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18.1、布气装置主体材料采用轻型高分子新型材料，保温、防水、耐腐蚀性能强，可避免金属材料带来的能量损耗及冷凝水积聚问题；</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18.2、产品支持气流评估，匀流状态通过产品面板灯光智能化动态显示，支持有线/无线通讯，支持风量阀的模块化连接与控制，产品状态可支持上传至数据处理终端，支持实验室可视化联动显示与操作；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18.3、产品在测试温度为25℃，式样密度为52kg/m³的情况下，导热系数≤0.45W/(m·K)。产品符合B1级防火等级；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18.4、设备材料环保无公害，重金属及有机有害物质符合国家标准，材料老化360h实验无异常，材料中性盐雾360h无异常，保护等级10级；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18.5、模块化结构设计，空气动力学面板,导流孔矩阵式排列，导流孔数量≥450个，孔径≥4mm，层流区均速误差&lt;5%,尺寸≈615×615mm，高度≈210mm，输入端φ200mm，标准1m层流质速0.5m/s，产品额定风量内静压损失＜23Pa与全压损失＜37P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19.数智层压匀流装置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19.1、布气装置主体材料采用轻型高分子新型材料，保温、防水、耐腐蚀性能强，可避免金属材料带来的能量损耗及冷凝水积聚问题；</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19.2、产品支持气流评估，匀流状态通过产品面板灯光智能化动态显示，支持有线/无线通讯，支持风量阀的模块化连接与控制，产品状态可支持上传至数据处理终端，支持实验室可视化联动显示与操作；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19.3、产品在测试温度为25℃，式样密度为52kg/m³的情况下，导热系数≤0.45W/(m·K)；</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19.4、设备材料环保无公害，重金属及有机有害物质符合国家标准；</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▲19.5、设备材料老化（360h）试验无异常，材料中性盐雾（360h）试验无异常，保护等级≥9.5级；（投标文件中提供第三方检测机构出具的带有CMA标识的检测报告）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19.6、模块化结构设计，空气动力学面板,导流孔矩阵式排列，导流孔数量≥450个，孔径≥4mm，层流区均速误差&lt;5%,尺寸≥600×600mm，高度≥210mm，输入端φ200mm，标准1m层流质速0.5m/s；</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▲19.7、产品额定风量内静压损失＜23Pa，全压损失＜37Pa；（投标时提供第三方检测机构出具的带有CMA标识的检测报告）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19.8、内置可拆卸式高效PM2.5过滤器，能有效避免过敏源及颗粒污染物进入室内，颗粒物过滤效率≥99.9%；</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20.数智型空间污气导流柱</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20.1、设1、设备立式落地安装，材质采用航空铝合金，屏幕尺寸≥2.8寸，支持有线/无线通讯；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20.2、设备表面可通过耐腐蚀性和耐盐酸性试验，耐腐蚀试验的保护等级可达10级，耐盐酸试验后，复合膜表面无气泡或其他明显变化；</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▲20.3、产品自带温湿度监测模块、空气质量监测模块及显示屏，可实时显示温湿度数据与区域空气质量数据；（投标时提供实物照片，可清晰展示温度、湿度、空气质量数据）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20.4、产品支持风量阀的模块化连接与控制，产品状态可支持上传至数据处理终端，支持实验室可视化联动显示与操作；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▲20.5、产品额定风量内静压损失＜23Pa，全压损失＜40Pa；（投标时提供第三方检测机构出具的带有CMA标识的检测报告）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21.数智型定点污气导流柱</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21.1、设1、设备台面卧式安装，材质采用航空铝合金，屏幕尺寸≥2.8寸，支持有线/无线通讯；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▲21.2、设备表面可通过耐腐蚀性和耐盐酸性试验，耐腐蚀试验的保护等级可达10级，耐盐酸试验后，复合膜表面无气泡或其他明显变化；（投标时提供第三方检测机构出具的带有CMA标识的检测报告）</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21.3、产品自带温湿度监测模块、空气质量监测模块及显示屏，屏幕尺寸≥2.8寸，可实时显示温湿度数据与区域空气质量数据；</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21.4、产品支持风量阀的模块化连接与控制，产品状态可支持上传至数据处理终端，支持实验室可视化联动显示与操作；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21.5、产品额定风量内静压损失＜23Pa，全压损失＜40Pa；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22.模块化智能废排净化系统</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22.1、设1、设备采用箱式结构，稳定性强，低功耗设计，箱体及检修门应具有良好的气密性，防水防尘，可针对外排废气连续开机运行处理，具备与排风机组联动功能，设备可处理风量≤25000m³/h；</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22.2、设备采用优质不锈钢材质，特殊功能段采用了耐酸碱腐蚀材料，设备采用组合式多模处理工艺，各模块段之间可单独运输现场组装，各模块可根据污染气体处理对象进行针对性调整；</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22.3、设备内置多组光催化模块，每组模块可单独取出检修或更换，设备内置氧化分解模块，达到气体分子净化分解的目的；</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设备电气部分与废气处理通道设有物理隔离装置，设备配备有核心控制板，配备废气前后级污染气体的监测装置，支持多维数据传输，支持多模块算力输出，支持模块化接插，支持动态调节各模块处理强度，达到后级出风端空气质量分析数据符合国家标准中对大气排放的限制要求；（中标后提供产品结构设计图及技术原理说明书）</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22.5、设备具有智能控制系统，实现设备运行的全自动化监控，完全无需人员操作；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22.6、设备配置有人机交互功能，屏幕尺寸≥4.3英寸，可通过屏幕，查看设备功能段处理强度，查看设备前后进出风侧的污染气体浓度及去除率；</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22.7、设备配置RJ45端口，可经路由进行组网通讯，并与实验室环境控制系统集成联动控制和状态同步，产品状态可支持上传至数据处理终端，支持实验室可视化联动显示与操作；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23.管道温湿感知模块</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23.1、温湿感知模块，采用的核心敏感元件，一致性好、性能稳定的进口湿敏电容元件和铂电阻温度元件确保了整体产品的品质，具有良好的长期稳定性；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23.2、温度量程-20~80℃，精度≤0.3℃（@25℃），Modbus485通讯信号反馈；</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23.3、相对湿度量程0~100%RH，绝对湿度0~100g/m³，露点温度-20~80℃，精度≤3%RH（@25℃）；</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23.4、模块尺寸255mm×80mm×80mm，工作电压24VDC±20%，管道贴附式安装；</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23.5、由ABS工业塑料外壳内的集成支架带来的简单和快速的安装。</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24.环控智联数聚站</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24.1、产品尺寸≈350*350*90mm，面框材料采用特殊涂层，耐酸耐碱；</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24.2、内置IoT智能多核芯片，高速传集控，支持网络协议通讯，支持RJ45/Wifi，支持云端网络组建；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24.3、数据网管支持手机、电脑等授权设备远程访问，可与数据服务器、工控机连接,支持ModbusTCP/RS485/MQTT/OPC UA；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24.4、环境参数偏离标准设定范围时，能及时通知网络管理模块，下发预警/报警资讯；</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24.5、工作电压AC220V/50Hz，输出电压DC24V，工作温度-25~70℃，配置防水接头；</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25.环控物联矩阵盒</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25.1、产品尺寸≈300*200*90mm，面框材料采用特殊涂层，耐酸耐碱；</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25.2、物联数据通道≥6，1Gbps数据接口；</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25.3、工业级防护设计，自然散热，具备反接、短路、浪涌保护，支持冗余供电；</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25.4、工作电压AC220V/50Hz，输出电压DC24V，工作温度-40~75℃，配置防水接头；</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26.环控能源矩阵盒</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26.1、产品尺寸≈300*200*65mm，面框材料采用特殊涂层，耐酸耐碱；内置多核能源管理芯片，矩阵通道≥10，单通道≤8A；</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26.2、工作电压AC220V/50Hz，输出电压DC24V，工作温度-25~70℃，配置防水接头；具有低能耗场景管理逻辑，可根据实际场景需求动态调整能源方案</w:t>
      </w:r>
      <w:r/>
    </w:p>
    <w:p>
      <w:pPr>
        <w:ind w:firstLine="482"/>
        <w:keepLines w:val="0"/>
        <w:keepNext w:val="0"/>
        <w:pageBreakBefore w:val="0"/>
        <w:spacing w:line="400" w:lineRule="exact"/>
        <w:widowControl w:val="off"/>
        <w:rPr>
          <w:rFonts w:hint="eastAsia"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备注：以上第（一）、（二）、（三）项技术参数中，标注“▲”为重要参数（27项），每负偏离一项扣1分；其余技术参数为一般参数（175项），每负偏离一项扣0.02分；投标人需按照本采购文件技术要求等，在“技术参数响应及偏离表”中如实逐条详细填列所投产品的参数响应。如采购文件要求提供相应材料的，须按要求提供材料加盖投标人公章。</w:t>
      </w:r>
      <w:r/>
    </w:p>
    <w:p>
      <w:pPr>
        <w:jc w:val="left"/>
        <w:spacing w:before="120" w:line="360" w:lineRule="auto"/>
        <w:rPr>
          <w:rFonts w:ascii="宋体" w:hAnsi="宋体" w:cs="宋体"/>
          <w:b/>
          <w:color w:val="auto"/>
          <w:szCs w:val="21"/>
          <w:highlight w:val="none"/>
        </w:rPr>
      </w:pPr>
      <w:r>
        <w:rPr>
          <w:rFonts w:hint="eastAsia" w:ascii="宋体" w:hAnsi="宋体" w:eastAsia="宋体" w:cs="宋体"/>
          <w:b/>
          <w:bCs/>
          <w:color w:val="auto"/>
          <w:sz w:val="24"/>
          <w:szCs w:val="24"/>
          <w:highlight w:val="none"/>
          <w:lang w:val="en-US" w:eastAsia="zh-CN" w:bidi="ar-SA"/>
        </w:rPr>
        <w:t xml:space="preserve">（四）医用钢制平移气密自动门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1、产品符合国家标准GB/T41659-2022《建筑用医用门通用技术要求》。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▲2、医用自动门气密性能检测应符合（GB/T7106-2019）七级标准（提供具有CMA或CNAS资质的第三方检测机构出具的检测报告扫描件）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▲3、医用自动门气密性在关闭状态下，气密性能符合GB/T31433-2015 中 8级的技术指标要求，且符合使用要求（提供具有CMA或CNAS资质的第三方检测机构出具的检测报告扫描件）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▲4、气密自动门应符合国际门窗标准：手动开启力≤120N（提供具有CMA或CNAS资质的第三方检测机构出具的检测报告扫描件）</w:t>
      </w:r>
      <w:r/>
    </w:p>
    <w:p>
      <w:pPr>
        <w:pStyle w:val="994"/>
        <w:ind w:firstLine="480"/>
        <w:jc w:val="both"/>
        <w:keepLines w:val="0"/>
        <w:keepNext w:val="0"/>
        <w:pageBreakBefore w:val="0"/>
        <w:spacing w:beforeAutospacing="0" w:afterAutospacing="0" w:line="360" w:lineRule="auto"/>
        <w:widowControl w:val="off"/>
        <w:rPr>
          <w:rFonts w:ascii="宋体" w:hAnsi="宋体" w:cs="宋体"/>
          <w:color w:val="auto"/>
          <w:szCs w:val="21"/>
          <w:highlight w:val="none"/>
        </w:rPr>
      </w:pPr>
      <w:r>
        <w:rPr>
          <w:rFonts w:hint="eastAsia" w:ascii="宋体" w:hAnsi="宋体" w:eastAsia="宋体" w:cs="宋体"/>
          <w:color w:val="auto"/>
          <w:sz w:val="24"/>
          <w:szCs w:val="24"/>
          <w:highlight w:val="none"/>
          <w:lang w:val="en-US" w:eastAsia="zh-CN"/>
        </w:rPr>
        <w:t xml:space="preserve">5、控制装置在带电情况下能承受1000V50HZ/60</w:t>
      </w:r>
      <w:r>
        <w:rPr>
          <w:rFonts w:hint="eastAsia" w:ascii="宋体" w:hAnsi="宋体" w:cs="宋体"/>
          <w:color w:val="auto"/>
          <w:szCs w:val="21"/>
          <w:highlight w:val="none"/>
        </w:rPr>
        <w:t xml:space="preserve">HZ电压，在1mim内无击穿或闪络现象。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6、门体在运行过程中，遇阻反弹力小于160N。</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7、开闭门速度：250-550MM/S（可调）,门体开放时间：2-20S(可调)。</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8、导轨具有气密动作，关闭时具有向下向内动作。</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9、电机采用自主品牌，无刷直流电机，高寿命，免维护。</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10、运用PID闭环控制技术，侦测运行轨迹，自动计算缓行距离和运行速度。</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11、门体和门套方面技术参数要求：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11.1门扇表面材质：0.8mm镀锌钢板静电喷塑；</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11.2门扇内部填充：纸蜂窝芯填充；</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11.3门扇骨架：铝合金龙骨；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11.4防撞带：0.7mm不锈钢（嵌入式）；</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11.5观察视窗：双层钢化玻璃，常规尺寸600*400mm，多种尺寸选择，可定制。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11.6门扇厚度：40mm；门体备选方案：门体无包边无防撞带，一体化门扇门，门体厚度40mm；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 门扇把手：不锈钢圆管拉手、暗拉手；</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 包边材质：铝合金包边、不锈钢包边或者无包边；</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11.10 动力梁材质：轨道、检修盖板。</w:t>
      </w:r>
      <w:r/>
    </w:p>
    <w:p>
      <w:pPr>
        <w:ind w:firstLine="482"/>
        <w:jc w:val="left"/>
        <w:keepLines w:val="0"/>
        <w:keepNext w:val="0"/>
        <w:pageBreakBefore w:val="0"/>
        <w:spacing w:before="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（五）医用钢制防辐射平开气密门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材质要求：钢板采用优质电镀锌板，门扇钢板厚度≥0.8mm，门框钢板厚度≥2.0mm，门扇内填充物采用聚氨酯发泡材料，铅板，与钢板充分粘结，保证门扇强度在手指压力下坚挺无凹陷，具有防护性能、防护等级合格证明文件。</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2、喷涂要求：门扇及门框表面采用静电粉末喷涂工艺</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3、结构外观要求：门框、门扇表面平整光滑，无明显凹凸、擦痕等缺陷，无色差，连接处无任何焊点及铆钉。门体表面平整，门框三侧有优质橡胶密封条，门框底部设有防漏铅档条，具有防护性能。</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4、五金要求：锁体采用防漏铅，把手采用高档不锈钢U型把手（或尼龙抗菌把手）。合页采用重型不锈钢标准合页，且安装时合页与门框门体表面齐平，无突起现象。</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5、视窗要求：可选圆形、方形玻璃视窗。</w:t>
      </w:r>
      <w:r/>
    </w:p>
    <w:p>
      <w:pPr>
        <w:ind w:firstLine="482"/>
        <w:jc w:val="left"/>
        <w:keepLines w:val="0"/>
        <w:keepNext w:val="0"/>
        <w:pageBreakBefore w:val="0"/>
        <w:spacing w:before="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（六）医用钢制防辐射平移气密门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用纯铅板、防护粘合剂、抗氧化剂同门体的内部材料结合，具有防护性能、防护等级合格证明文件。配置满足国家标准及规范要求，配有“当心电离辐射”警示牌、联动工作指示灯（射线有害，灯亮勿入）等。</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2、控制系统完全按照医用电气系统安全要求设计，并可根据医院方的要求采用多种控制方式，不对同一环境中的其他设备形成电磁干扰。</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门体技术要求：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门框钢板厚度：1.5mm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门扇钢板厚度：0.8mm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门扇厚度：50mm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门扇骨架厚度：≥1.0mm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电动移门轨道开闭门运行速度：250-500mm/s</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供电要求：220±20%XAC,50-60Hz</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控制器：可选配驱动感应器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轨道承重性能：单开门200公斤，双开门400公斤</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防撞性能：符合GB/T20909-2007</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10、保温性能：传热系数K=2.7W/(m2·K)五级</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11、内部填充：聚氨酯发泡材料，铅板</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12、可选视窗：圆形、方形玻璃视窗</w:t>
      </w:r>
      <w:r/>
    </w:p>
    <w:p>
      <w:pPr>
        <w:pStyle w:val="994"/>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13、表面处理：采用喷涂设备进行静电喷涂，涂料厚度≥65um，要求具有防尘、抑菌，喷塑面平整， 无裂纹、无起泡现象。</w:t>
      </w:r>
      <w:r/>
    </w:p>
    <w:p>
      <w:pPr>
        <w:ind w:firstLine="482"/>
        <w:jc w:val="left"/>
        <w:keepLines w:val="0"/>
        <w:keepNext w:val="0"/>
        <w:pageBreakBefore w:val="0"/>
        <w:spacing w:before="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（七）钢制防火门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1.执行标准：符合GB12955-2024《防火门》；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2.门扇钢板厚度≥0.8mm,门芯材料填充工艺:内部填充发泡水泥,门扇厚度≥60mm；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3.门扇防火玻璃尺寸250mm*650mm，防火玻璃厚度为30mm；</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4.为保证安装强度，门框需采用焊接安装；门框表面没有安装孔。</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门框钢板厚度甲级和乙级1.5㎜，丙级1.2mm，门框为整板折弯制作工艺（一体式门框），横竖框90度角拼接。门框三边设置R型减震密封条，密封条必须采用三元乙丙橡胶材料，无胶物理镶嵌，并易更换，不得为粘结。</w:t>
      </w:r>
      <w:r/>
    </w:p>
    <w:p>
      <w:pPr>
        <w:pStyle w:val="994"/>
        <w:ind w:firstLine="480"/>
        <w:jc w:val="both"/>
        <w:keepLines w:val="0"/>
        <w:keepNext w:val="0"/>
        <w:pageBreakBefore w:val="0"/>
        <w:spacing w:beforeAutospacing="0" w:afterAutospacing="0" w:line="360" w:lineRule="auto"/>
        <w:widowControl w:val="off"/>
        <w:rPr>
          <w:rFonts w:ascii="宋体" w:hAnsi="宋体" w:cs="宋体"/>
          <w:color w:val="auto"/>
          <w:szCs w:val="21"/>
          <w:highlight w:val="none"/>
        </w:rPr>
      </w:pPr>
      <w:r>
        <w:rPr>
          <w:rFonts w:hint="eastAsia" w:ascii="宋体" w:hAnsi="宋体" w:eastAsia="宋体" w:cs="宋体"/>
          <w:color w:val="auto"/>
          <w:sz w:val="24"/>
          <w:szCs w:val="24"/>
          <w:highlight w:val="none"/>
          <w:lang w:val="en-US" w:eastAsia="zh-CN"/>
        </w:rPr>
        <w:t xml:space="preserve">6.五金：防火锁、防火铰链、双开门配防火插销、防火闭门器等必须选择欧标。</w:t>
      </w:r>
      <w:r/>
    </w:p>
    <w:p>
      <w:pPr>
        <w:ind w:firstLine="482"/>
        <w:jc w:val="left"/>
        <w:keepLines w:val="0"/>
        <w:keepNext w:val="0"/>
        <w:pageBreakBefore w:val="0"/>
        <w:spacing w:before="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（八）医用钢制平开气密门\电动医用钢制平开气密门</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体材料采用≥0.8mm镀锌钢板喷颜色，门体内部采用高强度骨架，门扇内填充物采用高密度纸蜂窝，保证门扇强度在手指压力下坚挺无凹陷。门扇上制作圆角平面视窗，视窗玻璃要求采用双层钢化玻璃≥5mm，丝印宽度≥15mm黑边，整个门扇无钉头、焊点外露，门体四周铝合金黑色镶边，可配不锈钢防撞带，铝合金镶边、玻璃窗、防撞带跟门体齐平。  </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气密性能符合国家标准（GB/T 7106-2019）6级。</w:t>
      </w:r>
      <w:r/>
    </w:p>
    <w:p>
      <w:pPr>
        <w:pStyle w:val="994"/>
        <w:numPr>
          <w:ilvl w:val="0"/>
          <w:numId w:val="11"/>
        </w:numPr>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其余技术要求详见清单和附件图纸。</w:t>
      </w:r>
      <w:r/>
    </w:p>
    <w:p>
      <w:pPr>
        <w:pStyle w:val="994"/>
        <w:ind w:firstLine="482"/>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（1）手术室设备清单</w:t>
      </w:r>
      <w:r/>
    </w:p>
    <w:tbl>
      <w:tblPr>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7"/>
        <w:gridCol w:w="5577"/>
        <w:gridCol w:w="915"/>
        <w:gridCol w:w="1111"/>
      </w:tblGrid>
      <w:tr>
        <w:trPr>
          <w:trHeight w:val="720"/>
        </w:trPr>
        <w:tc>
          <w:tcPr>
            <w:shd w:val="clear" w:color="auto" w:fill="ffffff"/>
            <w:tcBorders>
              <w:top w:val="single" w:color="000000" w:sz="8"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58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手术室设备</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其他电器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1、名称:32寸液晶全触摸中央控制面板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2、参数：规格1000×600×200，32寸液晶触摸屏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1、显示手术室各种参数数据；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2、照明开关、无影灯开关；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3、具有群呼、电话、背景音乐等多重功能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4、控制空调机组启停、温湿度控制等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5、手术室环境监测功能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6、含书写台（内配8w照明灯,柜门采用翻开式，打开后可作为记录台使用，门柜打开后照明灯自动打开）</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1、名称:嵌入式三联观片灯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2、技术参数：1、LED液晶观片灯1200×500×25</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1、名称:治疗电源插座箱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2、参数：1、不锈钢面框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3、尺寸:900mm×250mm×100mm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4、4个220V 10A插座                      4、2个接地端子</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1、名称:动力电源插座箱（带380v）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2、参数：1、不锈钢面框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2、尺寸:900mm×250mm×100mm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3、1个三相380V 20A插座，3个220V 10A插座 4、2个接地端子</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1、名称：嵌入式麻醉柜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2、参数：1、内嵌式不锈钢麻醉柜                                   2、尺寸:1200mm×1700mm×400mm，分四门开启，上下两层内置高强度玻璃托架，可放置足量手术器械                            3、柜体采用1.2mm磨砂不锈钢板，带锁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4、内嵌式扣手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1、名称：嵌入式器械柜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2、参数：1、内嵌式不锈钢器械柜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2、尺寸:1200mm×1700mm×400mm，分四门开启，上下两层内置高强度玻璃托架，可放置足量手术器械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3、柜体采用1.2mm磨砂不锈钢板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4、内嵌式扣手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1、名称：嵌入式药品柜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2、参数：1、内嵌式不锈钢药品柜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2、尺寸:1200mm×1700mm×400mm，分四门开启，上下两层内置高强度玻璃托架，可放置足量手术器械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3、柜体采用1.2mm磨砂不锈钢板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4、内嵌式扣手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直线型输液导轨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1、参数：1、输液吊轨直线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2、平行式、每套含导轨2根吊勾4个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3、每根长2.6m</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无影灯安装锚栓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1、参数：1、5号角钢焊接，防锈底漆面漆处理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2、M16膨胀螺丝现场固定</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1、类型:不锈钢感应双人洗手池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2、参数：1、尺寸：1500mm×660mm×610mm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2、壁挂式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3、材质：1.2mm厚优质不锈钢磨砂板制作，采用红外线或膝控感应供水龙头，设置挡水板</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1、类型:不锈钢感应三人洗手池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2、参数：1、尺寸：1850mm×660mm×610mm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2、壁挂式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3、材质：1.2mm厚优质不锈钢磨砂板制作，采用红外线或膝控感应供水龙头，设置挡水板</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吊塔锚栓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1、参数：1、5号角钢焊接，防锈底漆面漆处理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2、M16膨胀螺丝现场固定</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1、名称：中心手术室医用吊塔（双塔）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2、含双臂麻醉塔、双臂外科塔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1、名称：医用墙式吊塔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手术室行为管理系统</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1、名称:手术室准入控制套件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1、名称:人脸指纹一体机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1、名称:全协议读写器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1、名称:信息展示终端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1、名称：智能发鞋机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1、名称：智能发衣机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1、名称：智能收鞋机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1、名称：智能收衣机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1、名称:智能衣鞋柜控制柜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1、名称：智能鞋柜八层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1、名称：智能鞋柜十层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1、名称：智能衣柜单层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1、名称：智能衣柜双层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换鞋凳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1、名称：换鞋凳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1、名称:柔性RFID芯片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1、名称:登记台工作站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1、名称:手术室医疗行为管理系统软件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整个系统配套管线、附件配件等全套，满足系统使用功能及要求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系统调试及试运行</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numPr>
          <w:ilvl w:val="0"/>
          <w:numId w:val="4"/>
        </w:numPr>
        <w:ind w:left="0" w:firstLine="480"/>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医护专用电梯清单</w:t>
      </w:r>
      <w:r/>
    </w:p>
    <w:tbl>
      <w:tblPr>
        <w:tblW w:w="82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6"/>
        <w:gridCol w:w="5518"/>
        <w:gridCol w:w="960"/>
        <w:gridCol w:w="1028"/>
      </w:tblGrid>
      <w:tr>
        <w:trPr>
          <w:trHeight w:val="1000"/>
        </w:trPr>
        <w:tc>
          <w:tcPr>
            <w:shd w:val="clear" w:color="auto" w:fill="ffffff"/>
            <w:tcBorders>
              <w:top w:val="single" w:color="000000" w:sz="8" w:space="0"/>
              <w:left w:val="single" w:color="000000" w:sz="8"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51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1060"/>
        </w:trPr>
        <w:tc>
          <w:tcPr>
            <w:shd w:val="clear" w:color="auto"/>
            <w:tcBorders>
              <w:top w:val="single" w:color="000000" w:sz="4" w:space="0"/>
              <w:left w:val="single" w:color="000000" w:sz="8"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电梯(施工超高增加费由投标人自行考虑到综合单价中）</w:t>
            </w:r>
            <w:r/>
          </w:p>
        </w:tc>
        <w:tc>
          <w:tcPr>
            <w:shd w:val="clear" w:color="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260"/>
        </w:trPr>
        <w:tc>
          <w:tcPr>
            <w:shd w:val="clear" w:color="auto"/>
            <w:tcBorders>
              <w:top w:val="single" w:color="000000" w:sz="4" w:space="0"/>
              <w:left w:val="single" w:color="000000" w:sz="8"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交流电梯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1、名称:客货梯(医护专用梯)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2、参数：速度1.0m/s，载重量1000kg，停站层数(1F~3F)，井道尺寸2300*2200，门洞尺寸1100*2400，无机房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电梯、电梯轿厢内装修、五方通话、电梯刷卡系统及其配套部件、附件、管线等一切满足使用功能要求的材料设备的安装、调试、试运行等，具体参数及要求详见设计图纸、参数统计表以及招标文件要求，满足建设单位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4、具体式样、要求等必须按照建设单位要求执行，待建设单位认可后方可采购安装</w:t>
            </w:r>
            <w:r/>
          </w:p>
        </w:tc>
        <w:tc>
          <w:tcPr>
            <w:shd w:val="clear" w:color="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部</w:t>
            </w:r>
            <w:r/>
          </w:p>
        </w:tc>
        <w:tc>
          <w:tcPr>
            <w:shd w:val="clear" w:color="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numPr>
          <w:ilvl w:val="0"/>
          <w:numId w:val="4"/>
        </w:numPr>
        <w:ind w:left="0" w:firstLine="480"/>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医疗气体配套设施清单</w:t>
      </w:r>
      <w:r/>
    </w:p>
    <w:tbl>
      <w:tblPr>
        <w:tblW w:w="83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30"/>
        <w:gridCol w:w="5658"/>
        <w:gridCol w:w="983"/>
        <w:gridCol w:w="1051"/>
      </w:tblGrid>
      <w:tr>
        <w:trPr>
          <w:trHeight w:val="625"/>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65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工程量</w:t>
            </w:r>
            <w:r/>
          </w:p>
        </w:tc>
      </w:tr>
      <w:tr>
        <w:trPr>
          <w:trHeight w:val="2496"/>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1、材质：紫铜管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2、规格：Φ42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4、包含紫铜管道管件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5、压力试验、吹扫与清洗、气密性试验设计要求：氧气、吸引管道系统的试验介质为氮气或无油压缩空气，其他要求详见设计图纸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6、脱脂设计要求：进行脱脂处理，并用无油压缩空气或氮气吹洗干净</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109.53</w:t>
            </w:r>
            <w:r/>
          </w:p>
        </w:tc>
      </w:tr>
      <w:tr>
        <w:trPr>
          <w:trHeight w:val="2496"/>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1、材质：紫铜管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4、包含紫铜管道管件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5、压力试验、吹扫与清洗、气密性试验设计要求：氧气、吸引管道系统的试验介质为氮气或无油压缩空气，其他要求详见设计图纸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6、脱脂设计要求：进行脱脂处理，并用无油压缩空气或氮气吹洗干净</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218.7</w:t>
            </w:r>
            <w:r/>
          </w:p>
        </w:tc>
      </w:tr>
      <w:tr>
        <w:trPr>
          <w:trHeight w:val="2496"/>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1、材质：紫铜管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4、包含紫铜管道管件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5、压力试验、吹扫与清洗、气密性试验设计要求：氧气、吸引管道系统的试验介质为氮气或无油压缩空气，其他要求详见设计图纸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6、脱脂设计要求：进行脱脂处理，并用无油压缩空气或氮气吹洗干净</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203.22</w:t>
            </w:r>
            <w:r/>
          </w:p>
        </w:tc>
      </w:tr>
      <w:tr>
        <w:trPr>
          <w:trHeight w:val="2496"/>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1、材质：紫铜管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4、包含紫铜管道管件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5、压力试验、吹扫与清洗、气密性试验设计要求：氧气、吸引管道系统的试验介质为氮气或无油压缩空气，其他要求详见设计图纸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6、脱脂设计要求：进行脱脂处理，并用无油压缩空气或氮气吹洗干净</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18.87</w:t>
            </w:r>
            <w:r/>
          </w:p>
        </w:tc>
      </w:tr>
      <w:tr>
        <w:trPr>
          <w:trHeight w:val="2496"/>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1、材质：紫铜管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4、包含紫铜管道管件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5、压力试验、吹扫与清洗、气密性试验设计要求：氧气、吸引管道系统的试验介质为氮气或无油压缩空气，其他要求详见设计图纸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6、脱脂设计要求：进行脱脂处理，并用无油压缩空气或氮气吹洗干净</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63.95</w:t>
            </w:r>
            <w:r/>
          </w:p>
        </w:tc>
      </w:tr>
      <w:tr>
        <w:trPr>
          <w:trHeight w:val="1564"/>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1、名称：专用球形接头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2、材质：紫铜管管件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4、焊接方法：氧乙炔焊</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低压螺纹阀门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2、型号、规格:Φ42</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低压螺纹阀门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2、型号、规格:Φ22</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低压螺纹阀门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2、型号、规格:Φ15</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1、材质:高强度PVC管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2、规格:De40</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81.86</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1、材质:高强度PVC管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2、规格:De20</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24.86</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二级稳压箱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1、名称：氧气二级稳压箱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二级稳压箱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1、名称：空气二级稳压箱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气体汇流排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1、类型:二氧化碳自动汇流排 带电加热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2、规格:2+2全自动切换二氧化碳汇流排</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气体汇流排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1、类型:笑气自动汇流排 带电加热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2、规格:2+2全自动切换笑气汇流排</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医用设备带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1、名称:气体设备带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1、名称:气体终端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气体报警装置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1、名称：气体报警装置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氧气流量计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1、名称：氧气流量计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气体面盘终端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1、名称：气体面盘终端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楼层阀门控制箱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1、名称：楼层阀门控制箱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2、具体要求详见图纸设计、技术规格书及规范</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1、名称:通讯线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2、规格:WDZ-RYY18*1.5</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1、名称:接地导线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2、规格:BV-6</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1、名称:PVC管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2、规格：86型10A</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1、名称：五孔插座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2、规格：86型10A</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94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1、名称：三孔插座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2、规格：86型16A</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63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1、名称：LED床头灯及灯罩</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253"/>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2、规格：BVVB-3*2.5mm2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3、材质：铜芯</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1253"/>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3、规格：Φ16</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632"/>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1、名称:接线端子盒</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63"/>
        </w:trPr>
        <w:tc>
          <w:tcPr>
            <w:shd w:val="clear" w:color="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3、刷漆要求：除锈，刷两遍防腐漆、两遍面漆</w:t>
            </w:r>
            <w:r/>
          </w:p>
        </w:tc>
        <w:tc>
          <w:tcPr>
            <w:shd w:val="clear" w:color="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bl>
    <w:p>
      <w:pPr>
        <w:pStyle w:val="994"/>
        <w:numPr>
          <w:numId w:val="0"/>
        </w:numPr>
        <w:ind w:left="480"/>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（4）智能化系统清单</w:t>
      </w:r>
      <w:r/>
    </w:p>
    <w:tbl>
      <w:tblPr>
        <w:tblW w:w="8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40"/>
        <w:gridCol w:w="5136"/>
        <w:gridCol w:w="948"/>
        <w:gridCol w:w="1476"/>
      </w:tblGrid>
      <w:tr>
        <w:trPr>
          <w:trHeight w:val="573"/>
        </w:trPr>
        <w:tc>
          <w:tcPr>
            <w:shd w:val="clear" w:color="auto" w:fill="ffffff"/>
            <w:tcBorders>
              <w:top w:val="single" w:color="000000" w:sz="8"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13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单口网络墙壁插座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面板与模块采用90度安装方式； RJ45\RJ11端口带弹簧式自动回弹防尘门设计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面板尺寸：高度:86×宽度:86mm；颜色：白色；材料：ABS；</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双口网络墙壁插座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面板与模块采用90度安装方式； RJ45\RJ11端口带弹簧式自动回弹防尘门设计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面板尺寸：高度:86×宽度:86mm；颜色：白色；材料：ABS；</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四口网络墙壁插座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面板与模块采用90度安装方式； RJ45\RJ11端口带弹簧式自动回弹防尘门设计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面板尺寸:高度:86×宽度:86mm;颜色:白色;材料:ABS;</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197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标准：YD/T 926.3; 阻燃级别：V-0;IDC: 磷青铜；金针采用磷青铜镀金 50u〃,PCB 性能补偿设计，插头与插座插合次数:≥1000 次；导线端接次数:≥20 次；打线方式：T568A/T568B；模块自带防尘盖，支持POE供电。</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RJ45网络跳线(2米)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护套：LSZH低烟无卤，并满足GB31247-2014的B1级阻燃要求，产烟毒性等级不低于t0级，燃烧滴落物/微粒等级不低于d0级，腐蚀性等级不低于a1级；采用多股绞合线缆，跳线柔韧性好 渐变型受力原理的加长护套，防滑抗拉，保证一定的弯曲半径</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RJ45/RJ11跳线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RJ45/RJ11跳线(2米)，护套：LSZH低烟无卤，并满足GB31247-2014的B1级阻燃要求，产烟毒性等级不低于t0级，燃烧滴落物/微粒等级不低于d0级，腐蚀性等级不低于a1级；采用多股绞合线缆，跳线柔韧性好 渐变型受力原理的加长护套，防滑抗拉，保证一定的弯曲半径</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r>
      <w:tr>
        <w:trPr>
          <w:trHeight w:val="2207"/>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六类非屏蔽双绞线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21215</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六类48位非屏蔽RJ45配线架（含模块）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1U 48口RJ45模块式配线架，优质冷轧钢板，后置理线板；RJ45模块可单独安装/拆卸且不影响其他模块使用，模块自带同色端口防尘盖具有端口防尘防腐蚀功能；</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100对机架式110跳线架（含连接块）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100对机架式110跳线架（含连接块）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6芯光纤配线架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国标，配线架含法兰模块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4芯光纤配线架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国标，配线架含法兰模块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滑槽封闭式结构金属材质；最多可安装管理数据 (五十条跳线), 语音 (一百条跳线); 更深设计的理线环，可确保线缆弯曲半径</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110理线器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国标</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单芯单模LC-LC光纤跳纤（3米）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 TIA/EIA-568B.3、ISO/IEC 11801 标准； 提供多种规格和长度的跳线； 端口需依据设备要求定制，LSZH-B1护套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LC-LC单芯单模光纤耦合器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插入损耗：﹤0.2dB；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反射损耗：﹥55dB；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耐久性：﹥1000次；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变化： ﹤0.2dB；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温度范围：-40℃~+85℃</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单芯单模光纤尾纤（1.5米）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单芯单模光纤尾纤（1.5米）</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室内42U机柜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机柜：前门：透明钢化玻璃；后门：全冲六角孔钢质门；600mm*600mm，42U</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机架式PDU电源插座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8口AC220V，10A，防浪涌</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嵌墙式弱电箱（8口交换机用）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300×400×120mm，冷轧钢板，喷塑，带散热孔、门锁、接地端子，含光纤终端盒、SC/UPC耦合器、220V插座、理线器</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嵌墙式弱电箱（16口交换机用）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400×500×150mm，冷轧钢板，喷塑，带散热孔、门锁、接地端子，含光纤终端盒、SC/UPC耦合器、220V插座、理线器</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嵌墙式弱电箱（24口交换机用）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600×600×180mm，冷轧钢板，喷塑，带散热孔、门锁、接地端子，含光纤终端盒、SC/UPC耦合器、220V插座、理线器</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室内50对大对数电缆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WDZ-50x2x0.4，国标</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6芯室内单模光缆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室内用单模万兆紧套光纤，支持 10GBase-L 万兆以太网达 10000 米以上距离，静态弯曲半径 10*Dcm，护套：LSZH低烟无卤，并满足GB31247-2014的B1级阻燃要求，产烟毒性等级不低于t0级，燃烧滴落物/微粒等级不低于d0级，腐蚀性等级不低于a1级。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2芯室内单模光缆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室内用单模万兆紧套光纤，支持 10GBase-L 万兆以太网达 10000 米以上距离，静态弯曲半径 10*Dcm，护套：LSZH低烟无卤，并满足GB31247-2014的B1级阻燃要求，产烟毒性等级不低于t0级，燃烧滴落物/微粒等级不低于d0级，腐蚀性等级不低于a1级。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2芯单模，LSZH，SC/UPC皮线光缆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WDZ型</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2900</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计算机网络系统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24*GE；10/100/1000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48口接入交换机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48*GE；10/100/1000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设备网1:8分光设备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上架式分光器，含微型封装光分路器-1:8-均分-SC/UPC</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91"/>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8*GE；10/100/1000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16*GE；10/100/1000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24*GE；10/100/1000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432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24口POE接入交换机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24*GE；GE接口支持PoE+；10/100/1000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32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48口POE++接入交换机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48*GE；GE接口支持PoE++；10/100/1000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48口全千兆交换机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48*GE；10/100/1000 Mbit/s接口速率自适应  2. 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9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零漫游基站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 Wi-Fi 7 标准，四射频，8 条空间流，速率可达 7.14Gbp，满足内网、外网同时用网需求； 2.整机支持2.5G电口≥2,2.5G光口≥1，10G光口≥1，前兆电口≥2，Wi-Fi 射频信号接口≥8，物联基站射频信号接口≥2； 3.自主可控，使用国产化Wi-Fi芯片，4.支持独立双 CPU 和物理基站设计，内网、外网、物联网三网融合且物理隔离，安全可靠； 5.为保障使用体验，单用户接入AP时吞吐量可达2Gbps； 6.支持在零漫游wifi架构下实现房间级定位；</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天线单元（内网+外网）：1.全向天线，天线增益2.4GHz：3 dBi，5GHz：5 dBi； 2.频率范围 ：2.4GHz：2400～2500 MHz，5GHz：5150～5850 MHz； 3.支持SMA-K接口； 4.水平面波瓣宽度,360度，垂直面波瓣宽度110度；</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馈线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零漫游主机到天线专用射频馈线，长度5米，连接基站端为QMA接口，连接天线端为SMA接口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馈线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零漫游主机到天线专用射频馈线，长度10米，连接基站端为QMA接口，连接天线端为SMA接口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馈线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零漫游主机到天线专用射频馈线，长度15米，连接基站端为QMA接口，连接天线端为SMA接口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馈线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零漫游主机到天线专用射频馈线，长度28米，连接基站端为QMA接口，连接天线端为SMA接口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内网1:8分光设备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上架式分光器，含微型封装光分路器-1:8-均分-SC/UPC</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外网1:8分光设备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上架式分光器，含微型封装光分路器-1:8-均分-SC/UPC</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红外半球摄像机+拾音器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400万 CMOS 半球型网络摄像机 低照度 宽动态,带拾音器  网络: 1个RJ45 10 M/100 M自适应以太网口 电流及功耗: DC：12V</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DC12V10A</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457"/>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NVR32路网络存储设备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2U机架式8盘位网络存储设备，搭载64位多核处理器，1+1冗余电源、冗余风扇，存储接口：8个SATA接口，支持硬盘热插拔，设备标配：≥2个2.5Gb网口，支持2个前置 USB2.0接口、2个后置USB3.0接口，支持1个前置VGA接口、1个后置HDMI接口，支持1个RS-232串口，支持4个PCI-E3.0 具有8个硬盘热插拔插槽</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10TB硬盘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监控专业企业级硬盘,10TB</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综合管理平台授权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接入院内现有安防管理平台统一管理，含本项目监控系统所有所有授权及对接费用</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六类非屏蔽RJ45跳线(3米）</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WDZ-RVV2*1.0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门禁管理系统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可视门禁门口机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屏幕：≥8英寸LCD显示屏，分辨率不低于800×1280，屏幕比例16:10。 摄像头：200万像素 认证方式：人脸识别、IC卡刷卡、密码，支持组合认证 通讯方式：TCP/IP； 电源：DC12V±10％；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人脸识别机（含刷卡）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屏幕：≥8英寸LCD显示屏 摄像头：200万像素 认证方式：人脸、卡片 通讯方式：TCP/IP； 电源：DC12V±10％；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单门磁力锁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静态吸附拉力≥280kg，断电开锁，满足消防要求；锁体采用铝合金阳极氧化外壳；支持 DC12V/24V 供电，内置反向电压保护电路；配套 L/Z 型安装支架，</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1501"/>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双门磁力锁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静态吸附拉力≥280kg*2，断电开锁，满足消防要求；锁体采用铝合金阳极氧化外壳；支持 DC12V/24V 供电，内置反向电压保护电路；配套 L/Z 型安装支架，</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多种触发方式 常开/常闭功能,可灵活应用 五十万次抗疲劳测试</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智能门禁控制器（单门）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单门，含门禁电源</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智能门禁控制器（双门）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双门，含门禁电源</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可视门禁室内机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含室内机专用电源</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综合管理平台授权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接入院内现有一卡通管理平台统一管理。含门禁系统所有前端数量的接入</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8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1、规格：六类非屏蔽低烟无卤双绞线；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2、标准：UL 444, EIA/TIA 568-B.2和ISO/IEC 11801, IEC61156-5；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3、传输：100米范围内≥250MHz条件下的传输要求；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4、材料：填充物聚乙烯提供出色的十字隔离防串扰隔离技术从而保障良好的传输性能,外护套阻燃低烟无卤；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5、电气特性：1-250MHZ输入阻抗100±6Ω，1-250MHZ时延偏离≦45ns/100M,20℃条件下的导线最大直流电阻73.2Ω/KM不平衡直流电阻≦5%；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6、结构：导线直径0.565，外直径6.5±0.2mm，绝缘层聚乙烯平均厚度0.28，护套PVC平均厚度0.5±0.05mm；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7、性能：最大张力为10KG，工作温度为-20~60℃；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WDZ-RVV2*1.0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WDZ-RVV3*1.0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WDZ-RVV4*1.0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WDZ-RVV6*1.0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病房呼叫系统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管理服务器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I5/16G/500G，配套显示器、键鼠</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系统第三方对接费用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现基于HIS、LIS、PACS系统和客户要求进行二次开发数据对接，读取缴费数据、就诊信息、患者信息、护理信息、医生信息、医嘱信息等内容，与院内业务系统数据互联互通。本次提供标准化视图、由HIS、LIS、PACS提供数据接入</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19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基础管理平台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整个系统的服务管理，包含资料管理、分级管理、分级控制转移或设置，与HIS系统的数据交换对接处理等，是终端管理、系统运行、病床病房信息管理、医护对讲信息管理等综合服务平台：采用B/S模式构建，Web浏览无需安装控件。B/S客户端通过医院内网远程访问，凭科室账户权限登录系统管理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2、可对系统内所有呼叫设备统一进行管理；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3、可通过系统对医院的各科室、护士站、医生护士、病人的相关信息进行记录并管理；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4、系统在联网的情况下，将各个病区的呼叫记录汇总至网络服务器，随时查看，有助于医院管理层对临床护理的一些基本管理；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病人电子一览表功能：自动完成患者基本信息展示（科室、床位、姓名、诊断、医保类型、性别、年龄、入院日期、实时时间、护理级别、诊断信息、注意事项等）；每位病人信息修改操作方便、实时；可根据需要进行不同组合方式打印呼叫记录信息；软件界面直观、数据记录清楚，利于服务的管理和监督；统计信息全面，按软件数据库格式生成报表；在PC平台的基础上实现海量存储，随时翻查以往记录呼叫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6、自动发布信息：与医院HIS系统联网状态下，网络服务器接收医院HIS系统数据服务器更新的信息，接收后自动将信息发送到医护主机、病床分机、病房分机、医护信息看板等设备上；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呼叫记录存储及统计分析功能：各病区的护士站医护主机实时记录本站的呼叫历史，并定时汇总到智慧护理服务管理系统。智慧护理服务管理系统的管理界面提供统计，数据报表，生成不同图标方式来分析的功能，便于管理人员查询考核；数据统计功能：占比统计、呼叫量日线图、呼叫响应时长统计、呼叫通话时长统计、每床日统计按可按要求进行某病区或全院的不同维度的数据统计，提供图表展示，并支持导出数据文件，为医院管理决策提供参考依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病区规划基础数据管理功能：病区规划数据是指，设备信息表、设备属性信息表、病房信息表等基础信息。智慧护理服务管理系统提供病区规划数据录入和查询功能，这些数据在编辑后保存在管理中心数据库中。护士站根据各自的病区编号，把病区</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7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规划数据从管理中心同步到本地数据库中。支持手动操作同步指定护士站的病区规划数据；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9、支持服务器联机和服务器脱机两种工作模式，不管终端是否与服务器联通，均不影响病床分机与医护主机、病床分机与病房门口机进行双向呼叫通话对讲。</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9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病区医护对讲管理系统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1、病人电子一览表功能：显示每位住院病人的信息(姓名、性别、年龄、入院时间、护理级别、诊断信息、注意事项等)实时显示，每位病人信息修改操作方便、实时；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2、可根据需要进行不同组合方式打印呼叫记录信息；软件界面直观、数据记录清楚，利于服务的管理和监督；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3、统计信息全面，按软件数据库格式生成报表；在PC平台的基础上实现海量存储，随时翻查以往记录呼叫信息；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4、自动发布信息：与医院HIS系统联网状态下，网络服务器接收医院HIS系统数据服务器更新的信息，接收后自动将信息发送到医护主机、病床分机、病房分机、医护信息看板等设备上；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5、病区规划基础数据管理功能：病区规划数据是指，设备信息表、设备属性信息表、病房信息表等基础信息；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6、系统提供病区规划数据录入和查询功能，这些数据在编辑后保存在管理中心数据库中；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7、护士站根据各自的病区编号，把病区规划数据从管理中心同步到本地数据库中；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数据统计功能：对本病区的呼叫相关数据进行统计分析，如占比统计、呼叫量日线图、呼叫响应时长统计、呼叫通话时长统计、每床日统计，提供图表展示，并支持导出数据文件，为医院管理决策提供参考依据。</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19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1、尺寸：≥13英寸IPS液晶屏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3、操作方式：电容触摸屏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4、系统：≥Android 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5、CPU：八核ARM 架构，主频≥1.5GHz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6、内存：≥2GB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7、FLASH：≥16GB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8、音频编解码：支持PCM、ADPCM、AMR、AAC、G.711格式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9、音频采样率：可定制，默认16KHz采样率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10、网卡：10Mb/100Mb自适应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11、传输方式：TCP/IP网络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12、角度调整：台式安装，可根据使用人员的高度与使用习惯，调整角度（0°到35°之间可调）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13、内置WIFI及蓝牙模块，且面板上有指示灯直观显示；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14、呼叫按键：支持一键呼叫与呼叫接听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15、摄像头：内置高清摄像头，≥200万像素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16、供电方式： POE或DC 12V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17、设备功耗：≤10W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18、材质：钢化玻璃面板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19、工作时间：可7×24小时不间断工作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20、工作温度：-10℃~55℃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21、安装方式：台式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1、基于局域网，以TCP/IP协议传输视频、音频和控制信号，实现双向可视对讲。须配合探访分机和病床分机使用；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2、高清可视对讲，配送手柄，可手柄或免提通话，内置高灵敏度麦克风、高保真立体声喇叭，并具有16K以上的声音采样率，使声音更加逼真、宏亮；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3、可接20台探访分机，同时探视的可支持10路；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4、有呼叫转接功能，可为探访分机转接相应的病床分机进行可视对讲；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5、有监听监视功能，当病人家属与病人之间进行通话时，可对其监听监视；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6、可设定分机的通话时间（10分钟、30分钟、60分钟可选），默认30分钟；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7、有通话计时功能：可显示探访分机与病床分机的通话时间，以便护士查看；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8、有强行切断通话功能，根据病人的情况控制通话时间；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9、可呼叫病床及视频对讲。</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值班室分机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1、尺寸：≥7英寸液晶屏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2、分辨率：≥1024*600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3、触摸：触摸设计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4、系统：Android 7.1及以上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5、CPU：四核ARM架构，主频≥1.2GHz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6、内存：DDR3L  ≥1GB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7、FLASH： ≥8GB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8、摄像头：选配，200W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9、传输方式：TCP/IP网络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10、输入电源：POE或12VDC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11、设备功耗：待机2.5W，最大4W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12、材质：亚克力面板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13、工作温度：-10℃~55℃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14、环境湿度：≤95%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15、安装方式：壁挂式</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819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病床分机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1、尺寸：≥10英寸液晶屏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2、分辨率：≥1024*600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3、触摸：触摸设计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4、系统：Android 7.1及以上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5、CPU：四核ARM架构，主频≥1.2GHz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6、内存：≥1GB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7、FLASH：≥8GB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8、音频编解码：支持PCM、ADPCM、AMR、AAC、G.711格式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9、音频采样率：可定制，默认16KHz采样率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10、网卡：10Mb/100Mb自适应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11、通讯接口：RJ45 TCP/IP协议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12、供电方式： DC12V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13、满载功率：≦6W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14、摄像头：≥200万像素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15、工作时间：可7×24小时不间断工作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16、工作温度：-10℃~55℃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17、环境湿度：≤95%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18、安装：桌面台式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1、在摇臂式或壁挂式安装（需配合安装支架使用，一般安装在重症病区的病床上方或移动推车上），供ICU的病人与病人家属可视对讲时使用；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2、基于局域网，以TCP/IP协议传输视频、音频和控制信号，系统内最大可支持10000张病床可视对讲；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3、高清可视对讲，配送手持呼叫器，可使用手柄通话，内置高灵敏度麦克风、高保真立体声喇叭，并具有16K以上的声音采样率，使声音更加逼真、宏亮；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4、当病人家属探视时，由护士站主机转接，重症患者可通过该ICU病床分机与探视的病人家属进行双向可视对讲；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5、可呼叫护士站主机及对讲；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6、显示患者的基本信息、护理级别、饮食类别、安全防范项、温馨提示、费用清单和医嘱等信息，可通过HIS自动同步或手动从病区管理软件录入信息。</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338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摇臂支架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1、负载：0.8KG or 1~2KG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2、主体材质：铝合金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3、臂长 1480mm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4、延长臂：左右摆动180度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5、升降臂：左右旋转270度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6、升降幅度：上0mm，下400mm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7、连接杆：360度转动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8、平板倾仰角：上15度，下90度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9、平板安装孔位：75*75mm、100*100mm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10、布线槽：有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11、安装方式：壁挂式/吊顶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12、用于ICU病床分机的安装</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03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1、屏幕像素：128*32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2、工作电压： 220V 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3、工作温度： -10℃～+55℃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 悬挂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1、双面双行16中文显示窗口，32数字显示；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2、显示病区的呼叫信息、日期、时间、标语提示；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3、当患者通过床头呼叫终端发起呼叫时，走廊显示屏显示，例如：“101床呼叫”，同时语音播报；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4、当医护人员进入病房护理时，走廊显示屏显示，例如：“101病房进入护理中”或“101床进入护理中”；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5、当护士通过床头呼叫终端发出增援时，走廊信息屏显示，例如：“101床请求增援”，同时语音播报。</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407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24口POE接入交换机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1.网络侧端口: 2*XGSPON ，用户侧接口: 24*GE；10/100/1000 Mbit/s接口速率自适应 2.运行环境：-5°C ～ +55°</w:t>
            </w:r>
            <w:r>
              <w:rPr>
                <w:rFonts w:hint="eastAsia" w:ascii="宋体" w:hAnsi="宋体" w:eastAsia="宋体" w:cs="宋体"/>
                <w:i w:val="0"/>
                <w:iCs w:val="0"/>
                <w:color w:val="000000"/>
                <w:sz w:val="21"/>
                <w:szCs w:val="21"/>
                <w:u w:val="none"/>
                <w:lang w:val="en-US" w:eastAsia="zh-CN" w:bidi="ar"/>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信息发布系统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19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信息发布子系统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"1.采用B/S架构设计，经过授权的内网电脑均可登录进行管理；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模板生成器，所有终端显示模板均支持通过任意拖拉拽的形式完成页面布局、样式、动画、组件属性、字段取值的灵活调整，可将页面任意分割，将排队叫号信息和多媒体素材组合显示，满足特殊场景的显示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3.支持发布医生排班信息，方便患者查询；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4.支持素材管理，可上传主流格式的图片、音频、视频等素材，并进行分组管理；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5.支持定时宣教功能，包含紧急插播、滚动字幕、视频轮播等功能；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6.所有的播放、控制、维护通过管理软件实现，支持分区、分组、分级管理的灵活管理模式；支持循环播放、插播播放、后台切换，支持按自定义时长播放；支持以星期、日期来播放指定的内容；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7.同一组的播放终端，支持图片和视频的同步播放，避免出现多个终端播出同样的内容时，各终端播放进度不一致的问题；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8.支持终端同一显示区域的图片和视频轮播功能，图像明亮清晰，视频播放连续，无动画和马赛克，画面流畅；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9.引流宣教码：各终端设备、小票中支持集成引流宣教二维码，各楼层、科室、区域可独立配置。患者扫描二维码进入智能健康宣教平台；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10.系统支持敏感词检测功能，至少带有一套敏感词库，并支持用户自行维护；对所有发布内容，系统进行敏感词自检；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11.支持审核管理，所有发布至终端显示的内容皆由管理员审核通过方能下发；"</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网络液晶一体机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1.安卓9.0；采用43英寸液晶屏，分辨率 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2.运行内存 2G，机身存储32G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3.支持显示分诊叫号系统队列患者信息、信息发布系统音视频、文字信息，专家排班系统医生信息与排班信息等。"</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207"/>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外接报警显示和测试系统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6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外接报警显示和测试仪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执行标准：设备本体符合 GB 9706 / IEC 60601 医用电气设备安全通用要求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绝缘报警值范围： 可在 50 kΩ ~ 999 kΩ 范围内远程设置报警阈值；出厂默认绝缘报警值 50 kΩ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安装方式：嵌入式墙体安装（86盒）或壁挂式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通讯方式：1路 RS485，支持 MODBUS-RTU 协议；波特率 9600 bit/s，传输速率 ≥ 1.2 KB/s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电源：DC24V±10％；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直流电源模块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HDR-60-24，DC24V</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通讯调试、报警测试</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WDZ-RYSP2*1.5</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WDZ-RVV2*1.5</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窗口对讲系统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对讲主机+分机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对讲主机+分机，含电源、连接线</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电子时钟系统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单面数码子钟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显示：数码管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网络：TCP/IP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输入电源：220VAC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安装方式：吊顶/壁挂安装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1、时间显示(时分秒)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2、自动NTP网络校时</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751"/>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双面日期数码子钟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显示：数码管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网络：TCP/IP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输入电源：220VAC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安装方式：吊顶/壁挂安装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1、年月日/星期/时间显示(时分秒)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2、自动NTP网络校时</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时钟管理平台授权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接入院内现有安防管理平台统一管理，含本项目系统所有所有授权及对接费用</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50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1、规格：六类非屏蔽低烟无卤双绞线；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2、标准：UL 444, EIA/TIA 568-B.2和ISO/IEC 11801, IEC61156-5；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3、传输：100米范围内≥250MHz条件下的传输要求；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4、材料：填充物聚乙烯提供出色的十字隔离防串扰隔离技术从而保障良好的传输性能,外护套阻燃低烟无卤；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5、电气特性：1-250MHZ输入阻抗100±6Ω，1-250MHZ时延偏离≦45ns/100M,20℃条件下的导线最大直流电阻73.2Ω/KM不平衡直流电阻≦5%；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6、结构：导线直径0.565，外直径6.5±0.2mm，绝缘层聚乙烯平均厚度0.28，护套PVC平均厚度0.5±0.05mm；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7、性能：最大张力为10KG，工作温度为-20~60℃；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环境质控系统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智慧物联管理平台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智慧物联智算舱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智联型污染物降解组件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1、重污染区可处理风量≥4000m³/H,中或轻污染区可处理风量≥6400m³/H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SN多通道中枢传感装置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SF多通道中枢传感装置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PF多通道中枢传感装置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物联数据接入模块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智慧控显微方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无线中继器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管道温湿感知模块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环控智联数聚站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环控能源矩阵盒NY</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环控能源矩阵盒WL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生物安全型环境质显装置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受控环境监测站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智联型污染物降解组件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1、(重污染区可处理风量&lt;2000m³/H,中或轻污染区可处理风量&lt;3200m³/H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智联型污染物降解组件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1、重污染区可处理风量3000≤Q&lt;4000m³/H,中或轻污染区可处理风量4800≤Q&lt;6400m³/H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2、具体参数及要求详见图纸设计、技术规格书、招标文件及规范</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91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1、名称：风量控制系统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2、参数：1、内置应用宏与连接宏，异常不停机模式可以实现无间断运行，较宽的电压范围、先进的冷却设计以及涂层 PCB 板大大提升了模组的稳定性；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2、内置IoT智能感控模组，高速传输、高速控制，高量吞吐，通过嵌入式电器集中控制软件，配合实验室环境控制系统对实验室气流压力进行合理的控制；</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8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防冻开关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接触方式：单刀双掷（SPDT）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电气规格：AC15:10A,240V；DC12W,220V；接触电阻≤500mΩ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工作温度范围：-30℃/+15℃；温差范围：2/10℃, 出厂设定压力 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触点材质：静触点：全银；动触点：覆银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耐电压：2000V2 下钟无击穿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防护等级：IP30 (IP44 带支架护盖)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气密性：开关在 2MPA 保压一分钟无泄漏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环境温度：-25℃/+65℃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介质温度：-40℃/+120℃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寿命：机械寿命：10 万次，电寿命：3 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最大安装扭矩：2 牛米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感温包：Ø2.5 毛细管，长度 2M, 毛细管与受控环境的最小长度 0.25M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电缆接口：直径 6-14mm 电缆密封入口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50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过热开关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接触方式：单刀双掷（SPDT）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电气规格：AC15:10A,240V；DC12W,220V；接触电阻≤500mΩ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工作温度范围：-30℃/+15℃；温差范围：2/10℃, 出厂设定压力 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触点材质：静触点：全银；动触点：覆银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耐电压：2000V2 下钟无击穿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防护等级：IP30 (IP44 带支架护盖)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气密性：开关在 2MPA 保压一分钟无泄漏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环境温度：-25℃/+65℃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介质温度：-40℃/+120℃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寿命：机械寿命：10 万次，电寿命：3 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最大安装扭矩：2 牛米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感温包：Ø2.5 毛细管，长度 2M, 毛细管与受控环境的最小长度 0.25M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电缆接口：直径 6-14mm 电缆密封入口</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数字量执行器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1、电动数字量执行机构；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2、镀锌钢板阀体；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3、规格尺寸：周长3600mm以内。</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模拟量执行器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1、电动模拟量执行机构；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2、镀锌钢板阀体；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3、规格尺寸：周长3600mm以内。</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压差开关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1、测量范围50~500pa；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2、垂直安装，IP54；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3、电流1.5A/AC250V。</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液位开关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工作温度：－10℃～70℃，工作寿命：≥50000次，引线长度：3M</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水流开关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工作压力:10bar；耐压力:17.5bar；触点寿命:1000K周期；液体温度:最高100摄氏度</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风机压差开关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配套风管风量选定</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测量范围:-25~130摄氏度；防护等级:IP54</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水管温度传感器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测量范围:-25~130摄氏度；防护等级:IP54</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水管压力传感器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信号输出：0~10VDC 4～20mA；测量范围：0～16bar；测量精度：0.25%</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水流量传感器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测量口径≥DN50(2")管道；4-20mA电流输出</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自控柜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定制，根据图纸配置，含电源、变压器、继电器、PLC、I/O模块、拓展模块等。7~10英寸彩色工业触摸控制屏，支持中文界面、参数设置、状态监控、故障报警等功能。可显示实时数据、历史曲线、报警记录，并支持远程参数调整。</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WDZ-RYSP2*1.0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WDZ-RYSP4*1.0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WDZ-RYYP2*1.0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WDZ-RYYP4*1.0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WDZ-RYYP6*1.0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WDZ-RYY2*1.0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WDZ-RYY3*1.0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WDZ-RYY4*1.0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WDZ-RYY6*1.0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559"/>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WDZ-RYY8*1.0</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综合管路系统</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镀锌金属桥架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150*100，国标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镀锌金属桥架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200*100，国标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1、名称:桥架支架制作、安装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3、除锈、刷油，具体做法详见图纸</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168.41</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trHeight w:val="1751"/>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调试</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智能化系统、自控系统、质控系统调试、运行</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tcBorders>
              <w:top w:val="single" w:color="000000" w:sz="4" w:space="0"/>
              <w:left w:val="single" w:color="000000" w:sz="4" w:space="0"/>
              <w:bottom w:val="single" w:color="000000" w:sz="4" w:space="0"/>
              <w:right w:val="single" w:color="000000" w:sz="4" w:space="0"/>
            </w:tcBorders>
            <w:tcW w:w="5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开洞补洞、套管及封堵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1、名称:桥架、电管等过墙、过梁、过楼板、过防火分区开洞补洞、套管（钢套管、刚性防水套管）及防火封堵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2、封堵标准必须满足消防验收要求</w:t>
            </w:r>
            <w:r/>
          </w:p>
        </w:tc>
        <w:tc>
          <w:tcPr>
            <w:shd w:val="clear" w:color="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ind w:firstLine="482"/>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（5）暖通设备清单</w:t>
      </w:r>
      <w:r/>
    </w:p>
    <w:tbl>
      <w:tblPr>
        <w:tblW w:w="85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7"/>
        <w:gridCol w:w="5088"/>
        <w:gridCol w:w="1644"/>
        <w:gridCol w:w="1111"/>
      </w:tblGrid>
      <w:tr>
        <w:trPr>
          <w:trHeight w:val="288"/>
        </w:trPr>
        <w:tc>
          <w:tcPr>
            <w:shd w:val="clear" w:color="auto" w:fill="ffffff"/>
            <w:tcBorders>
              <w:top w:val="single" w:color="000000" w:sz="8"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08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空调设备</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模块化风冷热泵机组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1、名称:模块化风冷热泵机组（单冷型）FLRB-01~03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2、制冷剂：R410A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3、规格：制冷量135KW，制冷输入功率43.1KW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4、参考尺寸：2100*1100*2300mm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5、安装形式：落地式，含弹簧减震器、水流开关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模块化风冷热泵机组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1、名称:模块化风冷热泵机组（同时制冷制热型）FLRB-04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2、制冷剂：R410A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3、规格：制冷量133KW，制热量169KW，输入功率36.8KW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4、参考尺寸：2100*1100*2300mm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5、安装形式：落地式，含弹簧减震器、水流开关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稳压给水设备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1、名称：成套定压补水装置（热水）PT-1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2、规格：容积：300L，补水泵流量：1m3/h，扬程32m，补水泵数量：2台，功率：2.2KW，带真空排气功能，双电源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稳压给水设备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1、名称：成套定压补水装置（冷水）PT-2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2、规格：容积：300L，补水泵流量：1m3/h，扬程32m，补水泵数量：2台，功率：2.2KW，带真空排气功能，双电源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1、名称：全自动软水器RSQ-1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2、规格：最大处理量：1~2m3/h 功率0.2KW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3、进出水尺寸：DN25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1、名称:循环水泵LSB-01~02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2、形式:卧式冷水水泵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3、规格:流量：67m3/h 扬程：32m 功率：11KW，转速1480r/min，室外型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1、名称:循环水泵LSB-03~04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2、形式:卧式冷水水泵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3、规格:流量：22m3/h 扬程：32m 功率：5.5KW，转速2960r/min，室外型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1、名称:循环水泵RSB-01~02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2、形式:卧式热水水水泵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3、规格:流量：29m3/h 扬程：32m 功率：5.5KW，转速2960r/min，室外型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1、类型:软化水箱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2、规格:体积：3m3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1、类型:冷凝水箱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1、类型:电子除垢仪WTU-01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2、规格:处理水量：90m3/h，管径：DN250，功率：0.7KW</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1、类型:电子除垢仪WTU-02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2、规格:处理水量：30m3/h，管径：DN200，功率：0.5KW</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1、名称:超声波能量计EM-1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2、规格:口径：DN250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1、名称:超声波能量计EM-2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2、规格:口径：DN150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1、名称:空调机组AHU-101（机械循环四管制）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2、规格:送风量：5000m3/h，新风量：2200m3/h，回风量：2800m3/h，机外余压：650Pa，变频电机，功率4.0KW，制冷量：13KW，制热量：8KW，电热式加湿，室外型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3、安装形式:卧式落地式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1、名称:空调机组AHU-102（机械循环四管制）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2、规格:送风量：3450m3/h，新风量：1837m3/h，回风量：1613m3/h，机外余压：650Pa，变频电机，功率4.0KW，制冷量：9KW，制热量：6KW，电热式加湿，室外型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3、安装形式:卧式落地式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1、名称:空调机组AHU-103（机械循环四管制）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2、规格:送风量：13750m3/h，新风量：4685m3/h，回风量：9065m3/h，机外余压：650Pa，变频电机，功率11KW，制冷量：37KW，制热量：22KW，电热式加湿，室外型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3、安装形式:卧式落地式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1、名称:空调机组PAU-101（机械循环四管制）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2、规格:送风量：13000m3/h，新风量：13000m3/h，机外余压：700Pa，变频电机，功率11KW，制冷量：373KW，制热量：72KW，深度除湿量35KW，深度除湿功率18KW，室外型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3、安装形式:卧式落地式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1、名称:空调机组FAU-101（机械循环二管制）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2、规格:送风量：2000m3/h，新风量：2000m3/h，机外余压：450Pa，变频电机，功率1.5KW，制冷量：33KW，制热量：11KW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3、安装形式:卧式吊装式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1、名称:风机盘管 FP-34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2、型号:风量：340m3/h，静压：30Pa，功率49W，制冷量：1.8KW，制热量：2.7KW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3、报价含配套温控器及控制线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4、安装形式：吊装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1、名称:风机盘管 FP-51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2、型号:风量：510m3/h，静压：30Pa，功率66W，制冷量：2.7KW，制热量：4.05KW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3、报价含配套温控器及控制线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4、安装形式：吊装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0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1、名称:风机盘管 FP-68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2、型号:风量：680m3/h，静压：30Pa，功率84W，制冷量：3.6KW，制热量：5.4KW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3、报价含配套温控器及控制线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4、安装形式：吊装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1、名称:风机盘管 FP（Y）-117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2、型号:制冷量：6.68KW，制热量：10.83KW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3、报价含配套温控器及控制线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4、安装形式：吊装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1、名称:常年制冷分体空调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2、型号:5HP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3、规格:风量：27/23/19m3/min，功率4.52KW，制冷量：12.5KW ，带冷凝水提升泵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4、安装形式:含室内外机、铜管，保温、冷凝水管、型钢支架制作安装等成套费用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空调水系统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3、连接形式、焊接方法:焊接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57.89</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2、规格:DN125*4mm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3、连接形式、焊接方法:焊接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72.48</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3、连接形式、焊接方法:焊接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2、规格:DN80*4mm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3、连接形式、焊接方法:焊接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61.39</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3、连接形式、焊接方法:焊接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217.64</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92.65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104.11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131.37</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126.38</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4、压力试验、吹扫与清洗:符合图纸设计、规范及验收要求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5、含管道、管件制作安装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1、除锈级别:管道除轻锈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139.36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1、绝热材料品种:难燃B1级发泡橡塑保温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2、绝热厚度:20~30mm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3、管道外径:DN50以内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1、绝热材料品种:难燃B1级发泡橡塑保温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3、管道外径:DN150以内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1334.89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1、材料:铝板保护层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2、厚度:0.5mm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276.77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2、规格:DN125</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2、规格:DN80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1、材质:PVC软管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1、类型:铜质电动两通开关阀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1、类型:动态平衡电动二通调节阀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1、类型:动态平衡电动二通调节阀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1、类型:动态平衡电动二通调节阀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1、类型:动态平衡电动二通调节阀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1、类型:压差旁通阀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1、类型:压差旁通阀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1、类型:铜质球阀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1、类型:排污阀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1、类型:自动排气阀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1、绝热材料:难燃B1级发泡橡塑保温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2、阀门规格:DN50以内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1、绝热材料:难燃B1级发泡橡塑保温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2、阀门规格:DN125以内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1、绝热材料:难燃B1级发泡橡塑保温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2、阀门规格:DN200以内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1、名称:压力表</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温度仪表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1、名称:温度计</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1、名称:流量开关</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空调新风系统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3、规格:长边长≤320mm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97.27</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176.44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一般钢结构防腐蚀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1、除锈级别:手工除轻锈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2、油漆品种:防锈漆、调和漆各两道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1057.5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1、绝热材料品种:,采用防火橡塑复合绝热材料,将A级防火阻隔材料作为外绝热层,通过柔性融合技术与機塑绝热材料复合而成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2、绝热厚度:30mm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1、材料:铝板保护层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2、厚度:0.5mm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131.78</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1、名称:保温软接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13.57</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弯头导流叶片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1、名称:弯头导流叶片</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2、规格:200*100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2、规格:320*120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2、规格:250*120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2、规格:200*120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2、规格:200*100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2、类型:DF-5，756-3024m3/h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2、类型:DF-9，1080-4320m3/h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3、规格:500*250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1、名称:定风量阀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2、类型:DF-13，1512-6048m3/h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3、规格:600*300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2、规格:1000*800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1、名称:电动密闭阀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1、名称:电动密闭阀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2、规格:1000*800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1、名称:方形散流器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1、名称:方形散流器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1、名称:方形散流器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2、规格:500*500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1、名称:单层百叶风口（带尼龙滤网）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1、名称:单层百叶风口（带尼龙滤网）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1、名称:单层百叶风口（带尼龙滤网）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1、材料:防虫网</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空调回风系统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3、规格:长边长≤320mm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233.72</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47.75</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146.08</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一般钢结构防腐蚀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1、除锈级别:手工除轻锈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2、油漆品种:防锈漆、调和漆各两道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2114.13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1、绝热材料品种:,采用防火橡塑复合绝热材料,将A级防火阻隔材料作为外绝热层,通过柔性融合技术与機塑绝热材料复合而成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2、绝热厚度:30mm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1、材料:铝板保护层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2、厚度:0.5mm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72.28</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1、名称:保温软接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弯头导流叶片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1、名称:弯头导流叶片</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1、名称:送风静压箱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2、规格:1650*300*250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1、名称:电动密闭阀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1、名称:单层百叶下回风（带中效）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1、名称:单层百叶下回风（带中效）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2、规格:900*400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1、名称:单层百叶顶回风（带中效）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空调送风系统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3、规格:长边长≤320mm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147.04</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225.71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一般钢结构防腐蚀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1、除锈级别:手工除轻锈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2、油漆品种:防锈漆、调和漆各两道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2105.04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1、绝热材料品种:,采用防火橡塑复合绝热材料,将A级防火阻隔材料作为外绝热层,通过柔性融合技术与機塑绝热材料复合而成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2、绝热厚度:30mm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1、材料:铝板保护层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2、厚度:0.5mm</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1、名称:保温软接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弯头导流叶片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1、名称:弯头导流叶片</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2、规格:500*500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2、规格:500*500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2、规格:500*500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1、名称:送风天花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2、规格:1400*2600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1、名称:高效送风口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2、规格:500m3/h</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1、名称:高效送风口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2、规格:1000m3/h</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1、名称:高效送风口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2、规格:1500m3/h</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空调排风系统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PF-A101-1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2、规格：风量660m3/h，机外余压450Pa，功率1.0kw，启动方式：直接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2、规格：风量660m3/h，机外余压450Pa，功率1.0kw，启动方式：直接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PF-A102-1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2、规格：风量500m3/h，机外余压650Pa，功率1.0kw，启动方式：直接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2、规格：风量1950m3/h，机外余压650Pa，功率1.0kw，启动方式：变频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PF-A102-3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2、规格：风量750m3/h，机外余压650Pa，功率1.0kw，启动方式：变频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PF-A102-4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2、规格：风量950m3/h，机外余压650Pa，功率1.0kw，启动方式：变频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PF-A103-1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2、规格：风量1700m3/h，机外余压450Pa，功率1.0kw，启动方式：直接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2、规格：风量250m3/h，机外余压450Pa，功率1.0kw，启动方式：直接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PF-A103-3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2、规格：风量1800m3/h，机外余压450Pa，功率1.0kw，启动方式：直接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1、名称:低噪音离心式排风机 PF-F101-1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2、规格：风量100m3/h，机外余压250Pa，功率0.5kw，电源220v，启动方式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3、含减震吊钩、型钢吊托支架制作安装、防锈刷油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4、具体参数及要求详见设计图纸</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2、规格:自带止回阀，风量250m3/h，机外余压100Pa，功率0.5kw，电源220V</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3、规格:长边长≤320mm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310.07</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1、名称:净化风管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一般钢结构防腐蚀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1、除锈级别:手工除轻锈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2、油漆品种:防锈漆、调和漆各两道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1224.07</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1、名称:保温软接</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1、名称:70℃防火阀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1、名称:对开多叶调节阀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1、名称:电动密闭阀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1、名称:电动密闭阀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1、名称:单层百叶顶排风口（不带过滤器）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1、名称:单层百叶下排风口（带中效）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1、名称:单层百叶下排风口（带中效）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2、规格:900*400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1、名称:单层百叶顶排风口（带中效）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1、名称:单层百叶顶排风口（带中效）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1、名称:单层百叶顶排风口（带高效）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1、名称:单层百叶顶排风口（带高效）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2、规格:900*400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2、规格:2200*400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2、规格:2750*400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1、名称:防雨百叶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2、规格:2950*400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2、规格:160*160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2、规格:200*200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2、规格:320*320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1、名称:通风器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2、规格:GPQS-420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1、名称:通风器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2、规格:GPQS-300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1、名称:通风器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2、规格:GPQS-270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1、名称:通风器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2、规格:GPQS-140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防排烟系统</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1、名称:镀锌铁皮风管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163.47</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1、名称:镀锌铁皮风管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2、形状:矩形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3、规格:长边长≤2000mm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4、板材厚度:1.2mm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5、包含吊托支架制作安装</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一般钢结构防腐蚀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1、除锈级别:手工除轻锈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2、油漆品种:防锈漆、调和漆各两道</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405.75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1、绝热材料品种:防排烟专用离心玻璃棉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2、绝热厚度:详见设计图纸，满足设计及验收要求</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1、名称:绿色维纶防火帆布</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弯头导流叶片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1、名称:弯头导流叶片</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2、规格:900*250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2、规格:900*250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2、规格:1000*320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2、规格:1100*400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2、规格:1250*350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1、名称:排烟防火阀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2、规格:1400*700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2、规格:PFK-800*800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1、名称:排风口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2、规格:PFK-1000*630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1、名称:板式排烟口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2、规格:BPYK-1000*630</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1、名称:交流异步电机检查接线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2、容量(kW):3kW及以下</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1、名称:交流异步电机检查接线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2、容量(kW):13kW及以下</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1、名称:交流异步电机检查接线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2、容量(kW):100kW及以下</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1、名称:风机盘管检查接线</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1、名称：抗震支架-空调水系统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2、型号规格类型:综合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3、符合图纸设计与规范、验收要求</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1、名称：抗震支架-空调风系统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2、型号规格类型:综合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3、符合图纸设计与规范、验收要求</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通风工程检测、调试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1、系统名称:本工程通风与空调风系统相关所有调试、测试、联合调试等费用，结算时需提供由建设单位签字认可的调试报告</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空调水系统调试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1、系统名称:本工程空调水系统相关所有调试、测试、联合调试等费用，结算时需提供由建设单位签字认可的调试报告</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tcBorders>
              <w:top w:val="single" w:color="000000" w:sz="4" w:space="0"/>
              <w:left w:val="single" w:color="000000" w:sz="4" w:space="0"/>
              <w:bottom w:val="single" w:color="000000" w:sz="4" w:space="0"/>
              <w:right w:val="single" w:color="000000" w:sz="4" w:space="0"/>
            </w:tcBorders>
            <w:tcW w:w="5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开洞补洞、套管及封堵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1、名称:风管、水管等过墙、过梁、过楼板、过防火分区开洞补洞、风管套管及防火封堵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2、封堵标准必须满足消防验收要求</w:t>
            </w:r>
            <w:r/>
          </w:p>
        </w:tc>
        <w:tc>
          <w:tcPr>
            <w:shd w:val="clear" w:color="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numPr>
          <w:ilvl w:val="0"/>
          <w:numId w:val="3"/>
        </w:numPr>
        <w:ind w:left="0" w:firstLine="480"/>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手术室配套基础设施清单</w:t>
      </w:r>
      <w:r/>
    </w:p>
    <w:p>
      <w:pPr>
        <w:pStyle w:val="994"/>
        <w:numPr>
          <w:numId w:val="0"/>
        </w:numPr>
        <w:ind w:left="480"/>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1）装饰</w:t>
      </w:r>
      <w:r/>
    </w:p>
    <w:tbl>
      <w:tblPr>
        <w:tblW w:w="92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6"/>
        <w:gridCol w:w="5610"/>
        <w:gridCol w:w="915"/>
        <w:gridCol w:w="1955"/>
      </w:tblGrid>
      <w:tr>
        <w:trPr>
          <w:trHeight w:val="1140"/>
        </w:trPr>
        <w:tc>
          <w:tcPr>
            <w:shd w:val="clear" w:color="auto" w:fill="ffffff"/>
            <w:tcBorders>
              <w:top w:val="single" w:color="000000" w:sz="8"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61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4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0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砌块墙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1、砌块品种、规格、强度等级:蒸压加气混凝土砌块(B07,A3.5)实砌,专用砂浆砌筑。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2、所有墙体的选用应能满足《建筑设计防火规范》第5.1.2条耐火极限的要求。蒸压加气混凝土砌块的构造做法详国家建筑标准设计图集《蒸压加气混凝土砌块、板材构造》(13J104)。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6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1、混凝土种类:预拌混凝土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32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圈梁模板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构造柱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1、混凝土种类:预拌混凝土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57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构造柱模板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现浇混凝土二次结构钢筋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1、钢筋种类、规格:综合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2、含植筋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0.915</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钢质门带观察窗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金属门(甲级防火门）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17.82</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金属门(乙级防火门）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43.78</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自动平移门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1、防护等级:2Q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1、防护等级:4Q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电动防护门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1、防护等级:2Q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电动防护门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1、防护等级:4Q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2、含配套门套、门锁及五金等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1、防护等级:4Q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2、含配套窗套及五金等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751"/>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谈话间隔断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1、玻璃品种、厚度:8mm钢化玻璃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2、五金种类、规格:4#角钢、螺钉、30x50x1.5镀锌方管、密封胶嵌缝等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不锈钢门窗套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1、面层材料品种、规格:1.2厚不锈钢窗框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1、20厚大理石窗台板，倒5mm角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2、硅胶粘合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3、白色硅胶填缝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4、具体做法详见设计图纸，满足建设单位及规范要求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17.66</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9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1、涂膜厚度、遍数:1.5mm聚氨酯防水涂料</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985.44</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1、涂膜厚度、遍数:1.5mm聚氨酯防水涂料</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382.82</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地面装饰工程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楼1：橡胶地材（无防辐射要求）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57"/>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楼1：橡胶地材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1、2厚防静电橡胶地材,卷材面层缝隙焊缝密闭处理,打蜡出光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2、专用胶粘剂粘铺,接缝处及四周边用专用滚轮压实(基层与地板背面同时涂胶)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3、3厚自流平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4、吸收性界面处理剂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718.95</w:t>
            </w:r>
            <w:r/>
          </w:p>
        </w:tc>
      </w:tr>
      <w:tr>
        <w:trPr>
          <w:trHeight w:val="197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楼1：平面砂浆找平层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1、20厚1:2.5水泥砂浆,压实抹光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2、25厚C20细石混凝土找坡抹平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3、投标人综合考虑基层拆除、处理等工作，保证装修完成后与本层大楼地面齐平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718.95</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楼2:橡胶地材（防辐射地面）</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4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楼2:橡胶地材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1、2厚防静电橡胶地材,卷材面层缝隙焊缝密闭处理,打蜡出光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2、专用胶粘剂粘铺,接缝处及四周边用专用滚轮压实(基层与地板背面同时涂胶)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3、3厚自流平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4、吸收性界面处理剂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148.6</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楼2:平面砂浆找平层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1、20厚M10水泥砂浆保护层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2、硫酸钡水泥(4:1)防护层(2个防护当量)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3、投标人综合考虑基层拆除、处理等工作，保证装修完成后与本层大楼地面齐平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148.6</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楼3:PVC地材</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4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楼3:PVC地材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1、2厚防静电PVC地材,卷材面层缝隙焊缝密闭处理,打蜡出光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2、专用胶粘剂粘铺,接缝处及四周边用专用滚轮压实(基层与地板背面同时涂胶)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3、3厚自流平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4、吸收性界面处理剂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718.75</w:t>
            </w:r>
            <w:r/>
          </w:p>
        </w:tc>
      </w:tr>
      <w:tr>
        <w:trPr>
          <w:trHeight w:val="269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楼3:PVC地材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1、2.0mm厚,同质透心pvc,防滑Bd级,卷材面层缝隙焊缝密闭处理,打蜡出光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2、专用胶粘剂粘铺,接缝处及四周边用专用滚轮压实(基层与地板背面同时涂胶)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3、3厚自流平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4、吸收性界面处理剂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197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楼3:平面砂浆找平层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1、20厚1:2.5水泥砂浆,压实抹光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2、25厚C20细石混凝土找坡抹平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3、投标人综合考虑基层拆除、处理等工作，保证装修完成后与本层大楼地面齐平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718.95</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楼4：地砖地面</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楼4：块料楼地面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1、10厚300x300/600x600(选型)地砖(背面滚涂背覆胶两遍),同色勾缝,阳角拼45°直角,对角磨边倒角;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2、20厚1:3干硬性水泥砂浆结合层,表面撒水泥粉;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191.41</w:t>
            </w:r>
            <w:r/>
          </w:p>
        </w:tc>
      </w:tr>
      <w:tr>
        <w:trPr>
          <w:trHeight w:val="2207"/>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楼4：细石混凝土楼地面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1、最薄处30厚C20细石混凝土找坡抹平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2、水泥浆一道(内掺建筑胶)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3、投标人综合考虑基层拆除、处理等工作，保证装修完成后与本层大楼地面齐平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178.17</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踢脚线</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踢1：PVC踢脚线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1、2厚抗静电PVC踢脚,胶粘剂粘贴,板面上打蜡上光,100高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2、基层墙体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915.15</w:t>
            </w:r>
            <w:r/>
          </w:p>
        </w:tc>
      </w:tr>
      <w:tr>
        <w:trPr>
          <w:trHeight w:val="31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踢2：瓷抛砖踢脚线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1、10厚300x300/800x800瓷抛砖地砖(背面滚涂背覆胶两遍),同色勾缝,阳角拼45°直角,对角磨边倒角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2、10mm厚水泥基瓷砖专用粘接剂+瓷砖踢脚线H=100mm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4、6厚1:1:6水泥石膏砂浆打底扫毛或划出纹道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3、3厚外加剂专用砂浆抹基层界面剂一道甩毛(抹前将墙体用水湿润)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4、基层墙体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26.84</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1、基层材料种类、规格:50mm高深灰色哑光不锈钢踢脚线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50.22</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门槛石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1、20厚大理石门槛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挡水条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1、20厚大理石挡水条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墙、柱面装饰及隔断工程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隔断墙</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9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内隔墙2：石膏板轻质隔墙（双层双面）轻钢龙骨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1、双层12厚石膏板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2、75型轻钢龙骨(龙骨内填容重100kg/m3岩棉)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3、双层12厚石膏板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4、耐火时间2.1小时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5、当建筑层高大于4.8米时,轻钢龙骨由75型改为100型,龙骨壁厚符合国标要求。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335.79</w:t>
            </w:r>
            <w:r/>
          </w:p>
        </w:tc>
      </w:tr>
      <w:tr>
        <w:trPr>
          <w:trHeight w:val="314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内隔墙2：石膏板轻质隔墙（双层双面）手术室钢龙骨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1、双层12厚石膏板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2、方管50x30x1.2、角钢40x40x3、铁件、锚栓等(龙骨内填容重100kg/m3岩棉)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3、双层12厚石膏板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4、耐火时间2.1小时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5、当建筑层高大于4.8米时,轻钢龙骨由75型改为100型,龙骨壁厚符合国标要求。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143.91</w:t>
            </w:r>
            <w:r/>
          </w:p>
        </w:tc>
      </w:tr>
      <w:tr>
        <w:trPr>
          <w:trHeight w:val="291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内隔墙3：石膏板轻质隔墙（单层双面）轻钢龙骨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1、单层12厚石膏板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2、75型轻钢龙骨(龙骨内填50mm岩棉,容重100kg/m3)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4、耐火时间1.2小时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5、当建筑层高大于4.8米时,轻钢龙骨由75型改为100型,龙骨壁厚符合国标要求。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312.48</w:t>
            </w:r>
            <w:r/>
          </w:p>
        </w:tc>
      </w:tr>
      <w:tr>
        <w:trPr>
          <w:trHeight w:val="31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内隔墙3：石膏板轻质隔墙（单层双面）手术室钢龙骨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1、单层12厚石膏板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2、方管50x30x1.2、角钢40x40x3、铁件、锚栓等(龙骨内填50mm岩棉,容重100kg/m3)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3、单层12厚石膏板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4、耐火时间1.2小时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5、当建筑层高大于4.8米时,轻钢龙骨由75型改为100型,龙骨壁厚符合国标要求。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133.92</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内隔墙4：石膏板隔断基层（单层附墙）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1、12厚石膏板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2、75轻钢龙骨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958.05</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淋浴隔断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1、隔断材料品种、规格:12mm钢化磨砂玻璃(表面贴防爆膜)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2、含深灰色哑光不锈钢、配套五金件等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墙、柱面装饰</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4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内饰墙1：无机预涂板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1、6mm厚洁净板,板缝两侧临时贴美纹纸,3宽环保型密封胶填充板间拼缝.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2、溶剂性胶水无机预涂板背面满涂粘贴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3、基层墙体(土建隔墙或轻钢龙骨隔墙另计)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1427.24</w:t>
            </w:r>
            <w:r/>
          </w:p>
        </w:tc>
      </w:tr>
      <w:tr>
        <w:trPr>
          <w:trHeight w:val="269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内饰墙:2：无机涂料墙面-基层 (土建墙侧)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1、5厚1:0.5:2.5水泥石灰膏砂浆抹平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2、8厚1:1:6水泥石灰膏打底扫毛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3、专用界面剂一道甩毛(甩前喷湿墙面)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4、基层墙体(蒸汽加压混凝土砌块另计,厚度详见设计)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244.89</w:t>
            </w:r>
            <w:r/>
          </w:p>
        </w:tc>
      </w:tr>
      <w:tr>
        <w:trPr>
          <w:trHeight w:val="244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内饰墙:2：无机涂料墙面-面层 (土建墙侧)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1、无机涂料一底二面,施涂于A级基材上,湿涂覆比小于0.5kg/m2,且涂层干膜厚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度不大于0.2mm的合成树脂乳液内墙涂料,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2、2厚面层耐水腻子分3遍刮平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244.89</w:t>
            </w:r>
            <w:r/>
          </w:p>
        </w:tc>
      </w:tr>
      <w:tr>
        <w:trPr>
          <w:trHeight w:val="31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内饰墙3：无机涂料墙面(轻质隔墙侧)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1、无机涂料一底二面;(色另定),耐火等级A级)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2、2厚面层耐水腻子分遍刮平)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3、3厚底基防裂腻子分3遍找平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4、防潮涂料两道(用防水石膏板时无此工序)横纵方向各刷一道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5、板缝处贴50涂塑中碱玻璃纤维网格布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6、轻钢龙骨隔墙(另计)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418.7</w:t>
            </w:r>
            <w:r/>
          </w:p>
        </w:tc>
      </w:tr>
      <w:tr>
        <w:trPr>
          <w:trHeight w:val="222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内饰墙4：瓷抛砖墙面（面层）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1、砖贴面同色水泥浆擦缝(粘贴前先浸水2h以上),规格300x600横铺，含美缝;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2、4厚专用胶粘结层;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3、1.5mm聚氨酯防水涂料表面喷砂(两道)（另计）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69.79</w:t>
            </w:r>
            <w:r/>
          </w:p>
        </w:tc>
      </w:tr>
      <w:tr>
        <w:trPr>
          <w:trHeight w:val="2207"/>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内饰墙4：仿石材墙砖墙面（面层）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1、砖贴面同色水泥浆擦缝(粘贴前先浸水2h以上),规格600*1200仿石材墙砖横铺，含美缝;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2、4厚专用胶粘结层;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3、1.5mm聚氨酯防水涂料表面喷砂(两道)（另计）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422.93</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内饰墙4：瓷抛砖墙面（基层）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1、10厚DPM15预拌砂浆分层抹平;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3、基层墙体,包括混凝土墙柱、砖墙(不同材料交界处加贴300宽耐碱玻璃纤维网格布一层,整体水泥甩浆)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69.79</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电解钢板墙面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1、1.2厚电解钢板,环保型密封胶填充板间拼缝(严禁施工现场喷涂)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2、12mm石膏板、30x50x1.2mm镀锌方管龙骨、保温棉及阴阳角等等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276.8</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复合铝板墙面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1、50*50热镀锌方管、配套龙骨等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2、1.0m铝板面层+10mm蜂窝，背衬+0.7mm背板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238.64</w:t>
            </w:r>
            <w:r/>
          </w:p>
        </w:tc>
      </w:tr>
      <w:tr>
        <w:trPr>
          <w:trHeight w:val="269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墙体铅板防护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1、龙骨材料种类、规格、中距:L3x3角钢(L=50)与方管龙骨满满焊，横向支撑龙骨@60030x50x1.5方钢龙骨，竖向支撑龙骨@80030x50x1.5方钢龙骨，配套螺栓等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2、面板材料品种、规格:铅板(2个当量），转角地面铅板、转角锚固及风管管线口加强。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310.1</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56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棚1：无机预涂板吊顶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1、6厚无机预涂板,颜色由建设单位选样。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2、双面胶水粘贴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3、9.5厚石膏板用自攻螺丝与龙骨固定,中距≤200,螺丝距板边长边≥10,短板≥15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4.与龙骨固定;灯具、烟感、喷淋等开孔,铝合金收边条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5.专用副龙骨安装间距400mm,配套Z型勾搭龙骨;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6.U型轻钢承载龙骨CS60x27X1.2mm,双向中距≤1200,用吊件与钢筋吊杆联接后找平;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7.Φ8全丝吊杆,双向中距≤1200,吊杆上部与楼板固定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8.钢筋混凝土楼板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608.09</w:t>
            </w:r>
            <w:r/>
          </w:p>
        </w:tc>
      </w:tr>
      <w:tr>
        <w:trPr>
          <w:trHeight w:val="291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棚2：铝扣板吊顶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1.0.8厚铝扣板600*600(选型)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2.铝扣板专用副龙骨(间距≤600)+W/L铝合金收边;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3.Φ8全丝吊杆,配套专用上层CS60x27X1.2mm主龙骨,双向中距≤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1200,吊杆上部与吊顶转换层固定(吊顶完成面距结构板底1.5M时做反支撑,当高度大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于2.5M时做转换层)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133.59</w:t>
            </w:r>
            <w:r/>
          </w:p>
        </w:tc>
      </w:tr>
      <w:tr>
        <w:trPr>
          <w:trHeight w:val="339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棚3：电解钢板顶面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1、1.2厚电解钢板,环保型密封胶填充板间拼缝(严禁施工现场喷涂),专用粘接剂粘接于12厚石膏板背衬板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2、12厚石膏板用自攻螺丝固定在金属加强筋上,中距不大于200;金属连接挂件用自攻螺丝固定在金属加强筋上。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3、金属连接挂件与横向4号镀锌角钢卡接;4号镀锌角钢与50X30X1.5镀锌方钢骨架焊牢(镀锌方钢横竖双向龙骨焊牢)、保温棉及阴阳角等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152.49</w:t>
            </w:r>
            <w:r/>
          </w:p>
        </w:tc>
      </w:tr>
      <w:tr>
        <w:trPr>
          <w:trHeight w:val="31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铝扣板吊顶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1.铝扣板600*600(0.7mm铝镁合金抗氧化)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2.铝扣板专用副龙骨(间距≤600)+W/L铝合金收边;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3.Φ8全丝吊杆,配套专用上层CS60x27X1.2mm主龙骨,双向中距≤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1200,吊杆上部与吊顶转换层固定(吊顶完成面距结构板底1.5M时做反支撑,当高度大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于2.5M时做转换层)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170.01</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复合铝板吊顶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1、1.0mm铝板面层+10mm蜂窝背衬+0.7mm背板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2、配套龙骨及零部件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152.49</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天棚铅板防护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1、龙骨材料种类、规格、中距:方管龙骨，配套螺栓等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2、面层材料品种、规格:铅板(2个当量）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3、压条材料种类、规格:具体做法详见设计图纸，满足规范要求。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152.49</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1、钢材品种、规格:综合，含配套螺栓、防锈、防腐等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7.553</w:t>
            </w:r>
            <w:r/>
          </w:p>
        </w:tc>
      </w:tr>
      <w:tr>
        <w:trPr>
          <w:trHeight w:val="140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1、做法详见设计图纸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w:t>
            </w:r>
            <w:r/>
          </w:p>
        </w:tc>
      </w:tr>
      <w:tr>
        <w:trPr>
          <w:trHeight w:val="146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1、顶面成品集成设备带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27.46</w:t>
            </w:r>
            <w:r/>
          </w:p>
        </w:tc>
      </w:tr>
      <w:tr>
        <w:trPr>
          <w:trHeight w:val="353"/>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其他装饰工程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26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1、基层类型:石膏板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2、线条材料品种、规格:不锈钢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1、线条材料品种、规格:不锈钢防撞带，宽度150mm，衬板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121.23</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输液轨道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1、线条材料品种、规格:成品轨道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104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1、配件名称:输液架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03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吊顶伸缩缝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1、嵌缝材料种类:通长岩棉填缝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1515"/>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墙面沉降缝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1、盖缝材料种类:铝合金基座，φ6*60塑料胀锚螺栓@500，φ6*60塑料胀锚螺栓@500等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r>
      <w:tr>
        <w:trPr>
          <w:trHeight w:val="12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地面沉降缝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1、盖缝材料种类:铝合金中心盖板，中心滑杆，抗震弹簧，止火带等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33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通用工程</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98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1、隔断材料品种、规格:18厚抗倍特板，100mm高粘贴1.2mm不锈钢板防潮金属封口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2、配件品种、规格:门锁、门较、衣钩、抽手等配套五金件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97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1、隔断材料品种、规格:12厚抗倍特板，100mm高粘贴1.2mm不锈钢板防潮金属封口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2、配件品种、规格:门锁、门较、衣钩、抽手等配套五金件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r>
      <w:tr>
        <w:trPr>
          <w:trHeight w:val="1751"/>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1、名称:一体台盆柜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2、规格:600mm宽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3、材料种类、规格:20mm厚人造石台面，18mm厚三聚氰胺板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0.78</w:t>
            </w:r>
            <w:r/>
          </w:p>
        </w:tc>
      </w:tr>
      <w:tr>
        <w:trPr>
          <w:trHeight w:val="173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1、名称:三层手术台盆柜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2、规格:600mm宽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3、材料种类、规格:15mm厚人造石台面，木纹柜门及柜体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淋浴不锈钢拉手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09"/>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成品淋浴置物架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1、具体做法详见设计图纸，满足规范要求</w:t>
            </w:r>
            <w:r/>
          </w:p>
        </w:tc>
        <w:tc>
          <w:tcPr>
            <w:shd w:val="clear" w:color="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bl>
    <w:p>
      <w:pPr>
        <w:pStyle w:val="994"/>
        <w:numPr>
          <w:numId w:val="0"/>
        </w:numPr>
        <w:ind w:left="480"/>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default" w:ascii="宋体" w:hAnsi="宋体" w:eastAsia="宋体" w:cs="宋体"/>
          <w:b/>
          <w:bCs w:val="0"/>
          <w:i w:val="0"/>
          <w:iCs w:val="0"/>
          <w:color w:val="auto"/>
          <w:sz w:val="24"/>
          <w:szCs w:val="24"/>
          <w:highlight w:val="none"/>
          <w:u w:val="none"/>
          <w:lang w:val="en-US" w:eastAsia="zh-CN"/>
        </w:rPr>
      </w:r>
      <w:r/>
    </w:p>
    <w:p>
      <w:pPr>
        <w:pStyle w:val="994"/>
        <w:numPr>
          <w:ilvl w:val="0"/>
          <w:numId w:val="12"/>
        </w:numPr>
        <w:ind w:firstLine="482"/>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水电</w:t>
      </w:r>
      <w:r/>
    </w:p>
    <w:tbl>
      <w:tblPr>
        <w:tblW w:w="90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7"/>
        <w:gridCol w:w="5220"/>
        <w:gridCol w:w="1942"/>
        <w:gridCol w:w="1189"/>
      </w:tblGrid>
      <w:tr>
        <w:trPr>
          <w:trHeight w:val="288"/>
        </w:trPr>
        <w:tc>
          <w:tcPr>
            <w:shd w:val="clear" w:color="auto" w:fill="ffffff"/>
            <w:tcBorders>
              <w:top w:val="single" w:color="000000" w:sz="8"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89"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工程量</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电气系统(施工超高增加费由投标人自行考虑到综合单价中）</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1、名称:一层手术室电源总柜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2、型号:1FSSAT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4、落地安装，含型钢基础制作安装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1、名称:一层照明插座配电箱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2、型号:1FSSAL1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4、接线端子材质、规格：压铜端子，规格详见设计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1、名称:一层照明插座配电箱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2、型号:1FSSAL2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4、接线端子材质、规格：压铜端子，规格详见设计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1、名称:一层照明插座配电箱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2、型号:1FSSAL3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4、接线端子材质、规格：压铜端子，规格详见设计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1、名称:室内设备配电箱(办公及辅房)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2、型号:1FAP1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4、落地安装，含型钢基础制作安装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1、名称:室内设备配电箱(手术室)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2、型号:1FAP2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1、名称:室内设备配电箱(手术室)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2、型号:1FAP3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1、名称:室外设备配电箱(手术室)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2、型号:1FWAP1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4、落地安装，含型钢基础制作安装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1、名称:室外设备配电箱(手术室)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2、型号:1FWAP2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4、落地安装，含型钢基础制作安装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1、名称:室外设备配电箱(手术室)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2、型号:1FWAP3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4、落地安装，含型钢基础制作安装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1、名称:一层手术室配电柜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2、型号:1FORa2~1FORa4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1、名称:一层手术室配电柜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2、型号:1FFS1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3、内部配置:箱内具体配置及电器元件详见设计图纸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 注:其他要求详见设计图纸，并符合设计规范及验收要求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干式变压器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1、名称:隔离电源系统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2、型号:含8KVA医用单相隔离变压器、绝缘监视仪、电流互感器、绝缘故障测试仪、绝缘故障评估仪、仪器专用电源、外接报警显示和测试仪、变压器温度监视、负荷监视等全套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3、其他:满足设计及使用要求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4、其他参数或要求详见设计图纸及相关规范</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9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备用电源及电池主机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1、名称:UPS供电系统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2、规格:10KVA UPS主机模块 单进单出  铅酸电池后备30min  带旁路检修功能，含UPS主机、配套蓄电池为 16 只，额定电压12V，26Ah 立式铅酸电池，配置满足 10kVA UPS 满载后备时间≥30min，含电池、电池柜、连接线、承重支架等全套设备材料及附件辅材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3、其他:满足设计及使用要求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4、其他参数或要求详见设计图纸及相关规范</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1、名称:金属防火桥架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2、规格、型号:400*100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3、材质:热镀锌钢桥架，带隔板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4、类型:槽式桥架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1、名称:金属防火桥架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2、规格、型号:200*100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3、材质:热镀锌钢桥架，带隔板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4、类型:槽式桥架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140.5</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1、名称:金属防火桥架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2、规格、型号:100*50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3、材质:热镀锌钢桥架，带隔板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4、类型:槽式桥架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1、名称:桥架支架制作、安装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3、除锈、刷油，具体做法详见图纸</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635.06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1、名称：抗震支架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2、型号规格类型:综合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3、符合图纸设计与规范、验收要求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3、规格:SC20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1615.2</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2、材质:JDG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4、配置形式:明配、暗配、吊顶内敷设综合考虑(含明配支吊架、暗配开槽补槽)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2、型号:WDUZA-YJY-0.6/1.0kV- 4x35+1x16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2、型号:WDUZA-YJY-0.6/1.0kV- 4x25+1x16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2、型号:WDUZA-YJY-0.6/1.0kV- 5x16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566.42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2、型号:WDUZA-YJY-0.6/1.0kV-5x6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123.7</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2、型号:WDUZA-YJY-0.6/1.0kV-5x4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2、型号:WDUZA-YJY-0.6/1.0kV-5x2.5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2、型号:WDUZA-YJY-0.6/1.0kV-4x6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2、型号:WDUZA-YJY-0.6/1.0kV- 3x16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2、型号:WDZA-RYY-3x1.0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3、敷设方式、部位:管道敷设/桥架敷设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2、规格、型号:WDUZA-YJY-0.6/1.0kV- 4x35+1x16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2、规格、型号:WDUZA-YJY-0.6/1.0kV- 4x25+1x16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2、规格、型号:WDUZA-YJY-0.6/1.0kV-5x16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2、规格、型号:WDUZA-YJY-0.6/1.0kV-5x6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2、规格、型号:WDUZA-YJY-0.6/1.0kV-5x4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2、规格、型号:WDUZA-YJY-0.6/1.0kV-5x2.5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2、规格、型号:WDUZA-YJY-0.6/1.0kV-4x6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2、规格、型号:WDUZA-YJY-0.6/1.0kV-3x16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2、规格、型号:WDZA-RYY-3x1.0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4、电压等级（kV）:0.6/1KV</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3、规格:WDUZA-BJY-0.45/0.75kV-4.0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2121.2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3、规格:WDUZA-BYJ-B1-0.45/0.75KV-4</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4049</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3、规格:WDUZA-BJY-0.45/0.75kV-2.5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3、规格:WDUZA-BYJ-B1-0.45/0.75KV-2.5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4871.3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3、规格:WDUZA-BYR10mm2</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3、规格:WDUZA-BYR16mm2</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1、名称:电气配线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2、配线形式:穿管敷设/桥架敷设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3、规格:WDUZA-BYR6mm2</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1、名称:医用LED气密净化灯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2、规格:40-52w,600mmx600mm，吸顶式,光通量≥3300lm,功率因数0.9以上</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1、名称:医用LED气密净化灯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2、规格:40-52w,1200mmx300mm，吸顶式,光通量≥3500lm,功率因数0.9以上</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1、名称:医用LED气密净化灯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2、规格:25-35w,600mmx300mm，吸顶式,光通量≥2200lm,功率因数0.9以上</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1、名称:单联单控开关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1、名称:双联单控开关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1、名称:三联单控开关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1、名称:单联双控开关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1、名称:双联双控开关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1、名称:单相三极加两极安全型插座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1、名称:防水单相三极加两极安全型插座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1、名称:热水器插座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2、规格:250V，16A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1、名称:防水型地面插座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2、规格:250V，10A</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1、名称:接线盒、开关盒、灯头盒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3、安装形式:暗装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4、安装部位:户内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1、名称:分等电位联结端子箱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3、备注:其他符合设计规范及验收要求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1、名称:交流供电送配电装置系统调试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2、电压等级（kV）:0.6/1kV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 注:包括与本工程相关的所有调试,最终结算时需出具相关试验报告</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1、名称:接地网调试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2、备 注:最终结算时需出具相关试验报告</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3、材质、规格:PP-R-DN40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5、压力试验及吹、洗设计要求:需符合设计及验收规范要求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6、包含开槽补槽费用</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3、材质、规格:PP-R-DN32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5、压力试验及吹、洗设计要求:需符合设计及验收规范要求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3、材质、规格:PP-R-DN25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5、压力试验及吹、洗设计要求:需符合设计及验收规范要求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3、材质、规格:PP-R-DN20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5、压力试验及吹、洗设计要求:需符合设计及验收规范要求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3、材质、规格:PP-R-DN15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5、压力试验及吹、洗设计要求:需符合设计及验收规范要求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3、材质、规格:PVC-U-De110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4、连接形式:粘接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3、材质、规格:PVC-U-De75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4、连接形式:粘接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3、材质、规格:PVC-U-De50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4、连接形式:粘接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1、绝热材料品种:难燃B1级像素保温材料保温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2、绝热厚度:详见图纸设计</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2、规格、压力等级:DN20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2、型号、规格：地漏DN50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1、名称：清扫口DN100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1、名称：清扫口DN50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1、规格、类型:洗脸盆（台下盆）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2、附件名称、数量:含自动感应水龙头、下水、冲洗管、排水附件、软管、角阀等全套附件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1、规格、类型:柱式洗脸盆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2、附件名称、数量:含自动感应水龙头、下水、冲洗管、排水附件、软管、角阀等全套附件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1、规格、类型:蹲便器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2、附件名称、数量:含感应式冲洗阀、下水、冲洗管、排水附件、软管、角阀等全套附件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1、规格、类型:淋浴器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2、附件名称、数量:含成套淋浴器、下水、冲洗管、排水附件、软管、角阀等全套附件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1、名称:拖把池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1、名称:成品不锈钢清洗池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2、附件名称、数量:含自动感应水龙头、下水、冲洗管、排水附件、软管、角阀等全套附件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1、土壤类别:综合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2、挖土深度:综合考虑</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1、原土回填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2、压实度满足图纸要求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3、具体要求详图纸</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97"/>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三层淋浴间、更衣室照明</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1、名称：紧定式镀锌电线管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2、规格：JDG20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3、配置形式：明配/暗配/吊顶内敷设</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1、名称：铜芯电线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2、配线形式：暗敷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4、配线部位：管内穿线</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2、型号:600×600；4000k,Ra≥90，36W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3、安装方式:嵌入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1、名称:双灯集成带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2、型号:宽度300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3、规格:36w/m；4000k,Ra≥90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4、安装方式:含驱动电源、安装框架</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1、名称:LED灯带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2、型号:10W/m；4000k,Ra≥90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3、安装方式:灯光槽安装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1、名称:筒灯1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2、型号:9W；4000k,Ra≥90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霓虹灯控制变压器、控制器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1、名称:灯带变压器</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1、名称:接线盒、开关盒、灯头盒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3、安装形式:暗装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三层淋浴间、更衣室</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1、材质:SUS304薄壁不锈钢管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1、材质:SUS304塑覆不锈钢管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5、安装部位:墙体内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6、含开槽补槽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127.4</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1、材质:SUS304塑覆不锈钢管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5、安装部位:墙体内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6、含开槽补槽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1、材质:SUS304塑覆不锈钢管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3、连接形式:卡压式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4、管道消毒、冲洗:冲洗、消毒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5、安装部位:墙体内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6、含开槽补槽</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1、名称：管道支架制作、安装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2、材质：圆钢、角钢、扁钢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3、一般除锈，防锈漆二遍</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1、材质:减压阀组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3、含1个减压阀、1个Y型过滤器、2个闸阀</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3、连接形式:丝接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3、连接形式:丝接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3、连接形式:丝接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3、连接形式:丝接</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1、名称:压力表</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1.绝热材料品种：B1级及以上等级的柔性泡沫橡塑保温，外包双导铝箔胶带缠绕保护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2.绝热厚度：参见设计图纸要求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1、材质:HDPE三层复合静音管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3、连接形式:电熔承插连接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1、材质:HDPE三层复合静音管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3、连接形式:电熔承插连接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1、材质:HDPE三层复合静音管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3、连接形式:电熔承插连接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1.材质：硬聚氯乙烯塑料排水管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3.连接形式：胶粘剂粘接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4.安装部位：室内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2、型号、规格：地漏DN50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1、名称：清扫口DN100</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1、规格、类型:洗脸盆（台下盆）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2、附件名称、数量:含自动感应水龙头、下水、冲洗管、排水附件、软管、角阀等全套附件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1、规格、类型:蹲便器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2、附件名称、数量:含感应式冲洗阀、下水、冲洗管、排水附件、软管、角阀等全套附件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1、规格、类型:小便器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2、附件名称、数量:含感应式冲洗阀、下水、冲洗管、排水附件、软管、角阀等全套附件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1、规格、类型:淋浴器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2、附件名称、数量:含成套淋浴器、下水、冲洗管、排水附件、软管、角阀等全套附件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1、名称:拖把池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1、名称:不锈钢单槽洗涤池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2、附件名称、数量:含感应水龙头、下水、冲洗管、排水附件、软管、角阀等全套附件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3、具体式样必须按照建设单位要求方可采购安装</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57"/>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开洞补洞、套管及封堵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1、名称:桥架、水管、电管等过墙、过梁、过楼板、过防火分区开洞补洞、套管（钢套管、刚性防水套管）及防火封堵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2、封堵标准必须满足消防验收要求</w:t>
            </w:r>
            <w:r/>
          </w:p>
        </w:tc>
        <w:tc>
          <w:tcPr>
            <w:shd w:val="clear" w:color="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numPr>
          <w:numId w:val="0"/>
        </w:numPr>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3）消防清单</w:t>
      </w:r>
      <w:r/>
    </w:p>
    <w:tbl>
      <w:tblPr>
        <w:tblW w:w="90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37"/>
        <w:gridCol w:w="5217"/>
        <w:gridCol w:w="1895"/>
        <w:gridCol w:w="1239"/>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数量</w:t>
            </w:r>
            <w:r/>
          </w:p>
        </w:tc>
      </w:tr>
      <w:tr>
        <w:trPr>
          <w:trHeight w:val="68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消火栓系统</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1、安装部位:消火栓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DN65*4.5mm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182.97</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1、安装部位:消火栓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DN100*5.0mm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1、安装部位:消火栓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DN150*6.0mm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125.43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2、油漆品种:刷大红色漆2道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116.46</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1、类型:对夹蝶阀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1、类型:对夹蝶阀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1、类型:金属软接头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4、含法兰</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1、名称：消火栓箱 1800*700*240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2、规格：含2具MF/ABC5灭火器、卷盘、水枪、水带、栓头等全套配件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3、具体参数详见设计图纸及规范要求</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1、名称：抗震支架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2、型号规格类型:综合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3、符合图纸设计与规范、验收要求</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1、名称:刚性防水套管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1、名称:刚性防水套管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水灭火控制装置调试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1、系统形式:消火栓系统调试</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喷淋系统</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DN25*4.0mm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510.85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DN32*4.0mm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137.03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DN40*4.5mm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DN50*4.5mm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61.85</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DN65*4.5mm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DN80*5.0mm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62.99</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DN100*5.0mm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w:t>
            </w:r>
            <w:r/>
          </w:p>
        </w:tc>
      </w:tr>
      <w:tr>
        <w:trPr>
          <w:trHeight w:val="201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1、安装部位:喷淋管道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2、材质、规格:加厚热镀锌钢管 DN150*6.0mm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3、连接形式:沟槽连接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4、压力试验及冲洗设计要求:试压、消毒冲洗并符合设计规范及验收要求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5、含管件制作安装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1、除锈级别:除轻锈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2、油漆品种:刷大红色漆2道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87.95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758.8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1、名称：抗震支架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2、型号规格类型:综合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3、符合图纸设计与规范、验收要求</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1、类型:信号蝶阀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2、规格、压力等级:DN150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水流指示器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1、规格、型号:水流指示器 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2、连接形式:法兰连接</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减压孔板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1、材质、规格:减压孔板 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2、连接形式:法兰连接</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末端试水装置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1、规格:末端试水装置 DN25</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水喷淋(雾)喷头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1、材质、型号、规格:下垂式喷淋头 DN15</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2、规格:DN50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2、规格:DN65</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2、规格:DN80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2、规格:DN150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1、名称:钢套管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1、名称:刚性防水套管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2、规格:DN200</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水灭火控制装置调试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1、系统形式:喷淋系统调试</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火灾报警系统</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2、配置形式:暗配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800.66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2036.38</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1、名称:金属软管 DN15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1、名称:金属软管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72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1、名称:消防金属防火桥架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2、规格、型号:200*100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3、材质:热镀锌钢桥架，带隔板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4、类型:槽式桥架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5、接地方式:符合图纸设计、规范及验收要求</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97.53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1、名称:桥架支架制作、安装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3、除锈、刷油，具体做法详见图纸</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142.23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凿(压、切割)槽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1、名称:暗配管道开槽堵槽</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786.66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1、名称:明装配管支架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765.71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1、涂刷(喷)品种:明配管道刷防火涂料</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152.25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1941.85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1、名称:WDZN-RYJYP-2x1.5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888.94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1188.39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162.45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1、名称:WDZN-RYJYP-2x1.5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262.77</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2、材质:钢制</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1、名称:手动报警按钮（带电话插孔）</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1、名称:消火栓起泵按钮</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声光报警器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1、名称:声光报警器</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楼层火灾显示器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1、名称:楼层显示器</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1、名称:广播模块</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1、名称:单输入模块</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1、名称:单输入输出模块</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1、名称:总线隔离器</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1、名称:嵌入式广播</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消防广播(扬声器)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1、名称:壁挂式广播</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消防模块箱(端子箱、手报箱)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1、名称:接线端子箱</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1、名称：自动报警系统调试</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防火门监控系统</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2、配置形式:暗配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371.24</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凿(压、切割)槽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1、名称:暗配管道开槽堵槽</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54.23</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1、名称:明装配管支架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139.7</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1、涂刷(喷)品种:明配管道刷防火涂料</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425.46</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851.42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1、名称:WDZN-RYJS-2x1.5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2、配线形式:桥架穿线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262.89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2、材质:钢制</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1、名称:单扇常闭防火门监控模块</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1、名称:双扇常闭防火门监控模块</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防火门监控系统调试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1、名称：防火门监控系统调试</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应急照明系统</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2、配置形式:暗配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145.52</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1、名称:JDG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837.23</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1、名称:SC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2、配置形式:暗配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1、名称:金属软管 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2、配置形式:明配</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92.7</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凿(压、切割)槽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1、名称:暗配管道开槽堵槽</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138.6</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1、涂刷(喷)品种:明配管道刷防火涂料</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支/吊架、基础型钢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1、名称:明装配管支架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3、除轻锈后刷防锈漆两道，面漆两道</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1、名称:WDZN-RYJ-2.5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2181.99</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2、材质:钢制</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1、名称:壁装疏散照明灯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3、安装方式:壁装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1、名称:安全出口标志灯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3、安装方式:壁装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1、名称:方向标志灯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3、安装方式:壁装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1、名称:方向标志灯（双面单向不可调）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3、安装方式:吊装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1、名称:楼层标志灯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3、安装方式:壁装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1、名称:疏散出口标志灯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3、安装方式:壁装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1、名称:疏散照明灯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3、安装方式:顶装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1、名称:疏散照明灯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7W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3、安装方式:顶装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r>
      <w:tr>
        <w:trPr>
          <w:trHeight w:val="1152"/>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1、名称:疏散照明灯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2、规格:LED光源  DC36V  9W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3、安装方式:顶装</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864"/>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备用电源及电池主机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1、名称:消防应急电源箱 A型应急照明集中电源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2、容量:MD-BZ-DC36V</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6"/>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应急照明系统调试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1、名称：应急照明系统调试</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88"/>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440"/>
        </w:trPr>
        <w:tc>
          <w:tcPr>
            <w:shd w:val="clear" w:color="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开洞补洞、套管及封堵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1、名称:桥架、电管等过墙、过梁、过楼板、过防火分区开洞补洞、套管（钢套管、刚性防水套管）及防火封堵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2、封堵标准必须满足消防验收要求</w:t>
            </w:r>
            <w:r/>
          </w:p>
        </w:tc>
        <w:tc>
          <w:tcPr>
            <w:shd w:val="clear" w:color="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94"/>
        <w:numPr>
          <w:numId w:val="0"/>
        </w:numPr>
        <w:jc w:val="both"/>
        <w:keepLines w:val="0"/>
        <w:keepNext w:val="0"/>
        <w:pageBreakBefore w:val="0"/>
        <w:spacing w:beforeAutospacing="0" w:afterAutospacing="0" w:line="360" w:lineRule="auto"/>
        <w:widowControl w:val="off"/>
        <w:rPr>
          <w:rFonts w:hint="default" w:ascii="宋体" w:hAnsi="宋体" w:eastAsia="宋体" w:cs="宋体"/>
          <w:b/>
          <w:bCs w:val="0"/>
          <w:i w:val="0"/>
          <w:iCs w:val="0"/>
          <w:color w:val="auto"/>
          <w:sz w:val="24"/>
          <w:szCs w:val="24"/>
          <w:highlight w:val="none"/>
          <w:u w:val="none"/>
          <w:lang w:val="en-US" w:eastAsia="zh-CN"/>
        </w:rPr>
      </w:pPr>
      <w:r>
        <w:rPr>
          <w:rFonts w:hint="default" w:ascii="宋体" w:hAnsi="宋体" w:eastAsia="宋体" w:cs="宋体"/>
          <w:b/>
          <w:bCs w:val="0"/>
          <w:i w:val="0"/>
          <w:iCs w:val="0"/>
          <w:color w:val="auto"/>
          <w:sz w:val="24"/>
          <w:szCs w:val="24"/>
          <w:highlight w:val="none"/>
          <w:u w:val="none"/>
          <w:lang w:val="en-US" w:eastAsia="zh-CN"/>
        </w:rPr>
      </w:r>
      <w:r/>
    </w:p>
    <w:p>
      <w:pPr>
        <w:pStyle w:val="994"/>
        <w:ind w:firstLine="482"/>
        <w:jc w:val="both"/>
        <w:keepLines w:val="0"/>
        <w:keepNext w:val="0"/>
        <w:pageBreakBefore w:val="0"/>
        <w:spacing w:beforeAutospacing="0" w:afterAutospacing="0" w:line="360" w:lineRule="auto"/>
        <w:widowControl w:val="off"/>
        <w:rPr>
          <w:rFonts w:hint="eastAsia" w:ascii="宋体" w:hAnsi="宋体" w:eastAsia="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备注：（1）以上第（四）-（八）项技术参数中，标注“▲”为重要参数（3项），每负偏离一项扣1分，投标人需按照本采购文件技术要求等，在“技术参数响应及偏离表”中如实逐条详细填列所投产品的参数响应。如采购文件要求提供相应材料的，须按要求提供材料加盖投标人公章。</w:t>
      </w:r>
      <w:r/>
    </w:p>
    <w:p>
      <w:pPr>
        <w:pStyle w:val="994"/>
        <w:ind w:firstLine="482"/>
        <w:jc w:val="both"/>
        <w:keepLines w:val="0"/>
        <w:keepNext w:val="0"/>
        <w:pageBreakBefore w:val="0"/>
        <w:spacing w:beforeAutospacing="0" w:afterAutospacing="0" w:line="360" w:lineRule="auto"/>
        <w:widowControl w:val="off"/>
        <w:rPr>
          <w:rFonts w:hint="default"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iCs/>
          <w:color w:val="auto"/>
          <w:sz w:val="24"/>
          <w:szCs w:val="24"/>
          <w:highlight w:val="none"/>
          <w:u w:val="single"/>
          <w:lang w:val="en-US" w:eastAsia="zh-CN"/>
        </w:rPr>
        <w:t xml:space="preserve">（2）其余技术参数为实质性响应条款</w:t>
      </w:r>
      <w:r>
        <w:rPr>
          <w:rFonts w:hint="eastAsia" w:ascii="宋体" w:hAnsi="宋体" w:eastAsia="宋体" w:cs="宋体"/>
          <w:b/>
          <w:bCs w:val="0"/>
          <w:i/>
          <w:iCs/>
          <w:color w:val="auto"/>
          <w:sz w:val="24"/>
          <w:highlight w:val="none"/>
          <w:u w:val="single"/>
          <w:lang w:val="en-US" w:eastAsia="zh-CN"/>
        </w:rPr>
        <w:t xml:space="preserve">，需满足项目需求，不得有负偏离。供应商需按本招标文件第六章投标文件格式第十八项“完全响应函”进行承诺，并加盖单位公章。否则，视为未实质响应招标文件，由评标委员会作无效标书处理。</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四、商务要求：</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1、交货时间：</w:t>
      </w:r>
      <w:r>
        <w:rPr>
          <w:rFonts w:hint="eastAsia" w:ascii="宋体" w:hAnsi="宋体" w:eastAsia="宋体" w:cs="宋体"/>
          <w:color w:val="auto"/>
          <w:sz w:val="24"/>
          <w:szCs w:val="24"/>
          <w:highlight w:val="none"/>
          <w:lang w:val="en-US" w:eastAsia="zh-CN"/>
        </w:rPr>
        <w:t xml:space="preserve">合同签订后，自采购人书面通知后120天内交付。</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2、交货地点： 根据采购人要求送达指定地点（本项目不集中组织踏勘， 供应商可联系采购人自行前往，中标后，中标供应商不得以现场情况未了解清楚为由向采购人提出提高投标报价或其他任何要求） 。</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（1）自合同签订之日起，收到中标供应商发票10个工作日内，采购人支付合同总价的 30%款项作为预付款；</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（2）货物进场，经甲方确认后，收到乙方发票10个工作日内甲方向乙方支付进场货物对应合同价的 40%；配套设施设备提升改造专项安装按月支付已完合格价款的 50%。</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（3）项目验收合格后，甲方支付至已完合格价款的90%。（扣除已支付预付款）已完合格价款须经甲方及其委托的全过程咨询单位审核确认。</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（4）其余 10%尾款，在项目验收合格满12个月后一次性付清。</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4、免费保修期：提供免费原厂保修期5年。</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5、需提供项目实施方案， 包括但不限于关于供货周期及进度计划、进度保证措施、安装调试方案等：</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（1）产品供货方案：投标人提供的设备供货方案、设备运输方案。</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（2）产品安装、调试方案：投标人提供产品安装、调试方案。</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（3）项目验收方案：投标人应根据招标文件要求提供具体详实的项目验收方案。</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（4）应急预案：至少包含故障响应时间、系统重大故障的应急预案以及措施安排。</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6、需提供售后服务方案， 包括但不限于服务体系、回访巡检方案、突发故障解决措施等：</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（1）服务体系： 服务体系需健全完善， 确保在服务期内， 能够快速有效的响应采购人的报修需求，提供远程处理或现场服务；</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回访巡检方案： 质保期内，供应商每年提供不少于 1 次的常规巡检和保养；</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（3）突发故障解决措施： 供应商需结合项目特点，对于可能出现的突发设备故障进行举例，并且给出对应的解决措施。</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7、需提供人员培训方案， 包括但不限于日常保养和定期保养培训、业务技术功能培训、常见故障处理培训等：</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日常保养和定期保养培训： 需对于设备表面清洁、环境检查、开机自检等进行培训，并且进行日常记录与报告；</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（2）业务技术功能培训： 需对于开关机流程、参数设置、界面导航等基础操作进行培训，并且对于设备的临床应用（如操作技巧等）以及设备的数据管理也需进行培训指导，每年免费技术升级培训不低于1次；</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（3）常见故障处理培训：结合项目特点，对于可能出现的常见设备故障进行举例， 并且进行处理培训。</w:t>
      </w:r>
      <w:r/>
    </w:p>
    <w:p>
      <w:pPr>
        <w:pStyle w:val="99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8、业绩：投标人具有自2023年1月1日（含）以来（以合同签订时间为准）所投核心产品业绩的优先。</w:t>
      </w:r>
      <w:r/>
    </w:p>
    <w:p>
      <w:pPr>
        <w:pStyle w:val="990"/>
        <w:ind w:lef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9、本项目为非单一产品采购项目，采购标的中的核心产品：</w:t>
      </w:r>
      <w:r>
        <w:rPr>
          <w:rFonts w:hint="eastAsia" w:ascii="宋体" w:hAnsi="宋体" w:eastAsia="宋体" w:cs="宋体"/>
          <w:b/>
          <w:bCs/>
          <w:color w:val="auto"/>
          <w:sz w:val="24"/>
          <w:szCs w:val="24"/>
          <w:highlight w:val="none"/>
          <w:lang w:val="en-US" w:eastAsia="zh-CN" w:bidi="ar-SA"/>
        </w:rPr>
        <w:t xml:space="preserve">单臂吊塔、智慧物联管理平台。</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99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、采购标的对应的中小企业划分标准所属行业一览表</w:t>
      </w:r>
      <w:r/>
    </w:p>
    <w:tbl>
      <w:tblPr>
        <w:tblStyle w:val="988"/>
        <w:tblW w:w="698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41"/>
        <w:gridCol w:w="3971"/>
        <w:gridCol w:w="217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盐城市第三人民医院南院一期病房改造提升手术室医疗专项采购标的</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pStyle w:val="994"/>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工业</w:t>
            </w:r>
            <w:r>
              <w:rPr>
                <w:rFonts w:hint="eastAsia" w:ascii="宋体" w:hAnsi="宋体" w:eastAsia="宋体" w:cs="宋体"/>
                <w:color w:val="auto"/>
                <w:sz w:val="24"/>
                <w:szCs w:val="24"/>
                <w:highlight w:val="none"/>
                <w:shd w:val="clear" w:color="auto" w:fill="auto"/>
              </w:rPr>
              <w:t xml:space="preserve"> </w:t>
            </w:r>
            <w:r/>
          </w:p>
        </w:tc>
      </w:tr>
    </w:tbl>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bookmarkStart w:id="181" w:name="_Toc120614281"/>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94"/>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94"/>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3"/>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995"/>
        <w:tblW w:w="9405"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19"/>
        <w:gridCol w:w="1787"/>
        <w:gridCol w:w="4524"/>
        <w:gridCol w:w="1194"/>
      </w:tblGrid>
      <w:tr>
        <w:trPr>
          <w:trHeight w:val="740"/>
        </w:trPr>
        <w:tc>
          <w:tcPr>
            <w:tcW w:w="781" w:type="dxa"/>
            <w:vAlign w:val="center"/>
            <w:textDirection w:val="lrTb"/>
            <w:noWrap w:val="false"/>
          </w:tcPr>
          <w:p>
            <w:pPr>
              <w:jc w:val="center"/>
              <w:rPr>
                <w:rFonts w:ascii="宋体" w:hAnsi="宋体" w:cs="宋体"/>
                <w:b/>
                <w:bCs/>
                <w:color w:val="auto"/>
                <w:sz w:val="22"/>
                <w:szCs w:val="22"/>
                <w:highlight w:val="none"/>
                <w:shd w:val="clear" w:color="auto" w:fill="fafafa"/>
              </w:rPr>
            </w:pPr>
            <w:r>
              <w:rPr>
                <w:rFonts w:hint="eastAsia" w:ascii="宋体" w:hAnsi="宋体" w:cs="宋体"/>
                <w:b/>
                <w:bCs/>
                <w:color w:val="auto"/>
                <w:sz w:val="22"/>
                <w:szCs w:val="22"/>
                <w:highlight w:val="none"/>
                <w:shd w:val="clear" w:color="auto" w:fill="fafafa"/>
              </w:rPr>
              <w:t xml:space="preserve">序号</w:t>
            </w:r>
            <w:r/>
          </w:p>
        </w:tc>
        <w:tc>
          <w:tcPr>
            <w:tcW w:w="1119" w:type="dxa"/>
            <w:vAlign w:val="center"/>
            <w:textDirection w:val="lrTb"/>
            <w:noWrap w:val="false"/>
          </w:tcPr>
          <w:p>
            <w:pPr>
              <w:jc w:val="center"/>
              <w:rPr>
                <w:rFonts w:ascii="宋体" w:hAnsi="宋体" w:cs="宋体"/>
                <w:b/>
                <w:bCs/>
                <w:color w:val="auto"/>
                <w:sz w:val="22"/>
                <w:szCs w:val="22"/>
                <w:highlight w:val="none"/>
                <w:shd w:val="clear" w:color="auto" w:fill="fafafa"/>
              </w:rPr>
            </w:pPr>
            <w:r>
              <w:rPr>
                <w:rFonts w:hint="eastAsia" w:ascii="宋体" w:hAnsi="宋体" w:cs="宋体"/>
                <w:b/>
                <w:bCs/>
                <w:color w:val="auto"/>
                <w:sz w:val="22"/>
                <w:szCs w:val="22"/>
                <w:highlight w:val="none"/>
                <w:shd w:val="clear" w:color="auto" w:fill="fafafa"/>
              </w:rPr>
              <w:t xml:space="preserve">评审项</w:t>
            </w:r>
            <w:r/>
          </w:p>
        </w:tc>
        <w:tc>
          <w:tcPr>
            <w:tcW w:w="1787" w:type="dxa"/>
            <w:vAlign w:val="center"/>
            <w:textDirection w:val="lrTb"/>
            <w:noWrap w:val="false"/>
          </w:tcPr>
          <w:p>
            <w:pPr>
              <w:jc w:val="center"/>
              <w:rPr>
                <w:rFonts w:ascii="宋体" w:hAnsi="宋体" w:cs="宋体"/>
                <w:b/>
                <w:bCs/>
                <w:color w:val="auto"/>
                <w:sz w:val="22"/>
                <w:szCs w:val="22"/>
                <w:highlight w:val="none"/>
                <w:shd w:val="clear" w:color="auto" w:fill="fafafa"/>
              </w:rPr>
            </w:pPr>
            <w:r>
              <w:rPr>
                <w:rFonts w:hint="eastAsia" w:ascii="宋体" w:hAnsi="宋体" w:cs="宋体"/>
                <w:b/>
                <w:bCs/>
                <w:color w:val="auto"/>
                <w:sz w:val="22"/>
                <w:szCs w:val="22"/>
                <w:highlight w:val="none"/>
                <w:shd w:val="clear" w:color="auto" w:fill="fafafa"/>
              </w:rPr>
              <w:t xml:space="preserve">评分项名称</w:t>
            </w:r>
            <w:r/>
          </w:p>
        </w:tc>
        <w:tc>
          <w:tcPr>
            <w:tcW w:w="4524" w:type="dxa"/>
            <w:vAlign w:val="center"/>
            <w:textDirection w:val="lrTb"/>
            <w:noWrap w:val="false"/>
          </w:tcPr>
          <w:p>
            <w:pPr>
              <w:jc w:val="center"/>
              <w:rPr>
                <w:rFonts w:ascii="宋体" w:hAnsi="宋体" w:cs="宋体"/>
                <w:b/>
                <w:bCs/>
                <w:color w:val="auto"/>
                <w:sz w:val="22"/>
                <w:szCs w:val="22"/>
                <w:highlight w:val="none"/>
                <w:shd w:val="clear" w:color="auto" w:fill="fafafa"/>
              </w:rPr>
            </w:pPr>
            <w:r>
              <w:rPr>
                <w:rFonts w:hint="eastAsia" w:ascii="宋体" w:hAnsi="宋体" w:cs="宋体"/>
                <w:b/>
                <w:bCs/>
                <w:color w:val="auto"/>
                <w:sz w:val="22"/>
                <w:szCs w:val="22"/>
                <w:highlight w:val="none"/>
                <w:shd w:val="clear" w:color="auto" w:fill="fafafa"/>
              </w:rPr>
              <w:t xml:space="preserve">评审要求</w:t>
            </w:r>
            <w:r/>
          </w:p>
        </w:tc>
        <w:tc>
          <w:tcPr>
            <w:tcW w:w="1194" w:type="dxa"/>
            <w:vAlign w:val="center"/>
            <w:textDirection w:val="lrTb"/>
            <w:noWrap w:val="false"/>
          </w:tcPr>
          <w:p>
            <w:pPr>
              <w:jc w:val="center"/>
              <w:rPr>
                <w:rFonts w:ascii="宋体" w:hAnsi="宋体" w:cs="宋体"/>
                <w:b/>
                <w:bCs/>
                <w:color w:val="auto"/>
                <w:sz w:val="22"/>
                <w:szCs w:val="22"/>
                <w:highlight w:val="none"/>
                <w:shd w:val="clear" w:color="auto" w:fill="fafafa"/>
              </w:rPr>
            </w:pPr>
            <w:r>
              <w:rPr>
                <w:rFonts w:hint="eastAsia" w:ascii="宋体" w:hAnsi="宋体" w:cs="宋体"/>
                <w:b/>
                <w:bCs/>
                <w:color w:val="auto"/>
                <w:sz w:val="22"/>
                <w:szCs w:val="22"/>
                <w:highlight w:val="none"/>
                <w:shd w:val="clear" w:color="auto" w:fill="fafafa"/>
              </w:rPr>
              <w:t xml:space="preserve">分值</w:t>
            </w:r>
            <w:r/>
          </w:p>
        </w:tc>
      </w:tr>
      <w:tr>
        <w:trPr/>
        <w:tc>
          <w:tcPr>
            <w:tcW w:w="781"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w:t>
            </w:r>
            <w:r/>
          </w:p>
        </w:tc>
        <w:tc>
          <w:tcPr>
            <w:tcW w:w="1119"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价格分</w:t>
            </w:r>
            <w:r/>
          </w:p>
        </w:tc>
        <w:tc>
          <w:tcPr>
            <w:tcW w:w="178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w:t>
            </w:r>
            <w:r/>
          </w:p>
        </w:tc>
        <w:tc>
          <w:tcPr>
            <w:tcW w:w="4524" w:type="dxa"/>
            <w:vAlign w:val="center"/>
            <w:textDirection w:val="lrTb"/>
            <w:noWrap w:val="false"/>
          </w:tcPr>
          <w:p>
            <w:pPr>
              <w:ind w:firstLine="440"/>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满足招标文件要求且投标价格最低的投标报价为评标基准价，其价格分为满分。其他投标人的价格分统一按照下列公式计算：</w:t>
            </w:r>
            <w:r/>
          </w:p>
          <w:p>
            <w:pPr>
              <w:ind w:firstLine="440"/>
              <w:jc w:val="left"/>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投标报价得分=(评标基准价／投标报价)×30（该结果四舍五入，保留两位小数）</w:t>
            </w:r>
            <w:r/>
          </w:p>
        </w:tc>
        <w:tc>
          <w:tcPr>
            <w:tcW w:w="119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p>
        </w:tc>
      </w:tr>
      <w:tr>
        <w:trPr>
          <w:trHeight w:val="2644"/>
        </w:trPr>
        <w:tc>
          <w:tcPr>
            <w:tcW w:w="781" w:type="dxa"/>
            <w:vAlign w:val="center"/>
            <w:textDirection w:val="lrTb"/>
            <w:noWrap w:val="false"/>
          </w:tcPr>
          <w:p>
            <w:pPr>
              <w:jc w:val="center"/>
              <w:rPr>
                <w:rFonts w:hint="eastAsia" w:ascii="宋体" w:hAnsi="宋体" w:cs="宋体" w:eastAsiaTheme="minorEastAsia"/>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w:t>
            </w:r>
            <w:r/>
          </w:p>
        </w:tc>
        <w:tc>
          <w:tcPr>
            <w:tcW w:w="1119" w:type="dxa"/>
            <w:vAlign w:val="center"/>
            <w:textDirection w:val="lrTb"/>
            <w:noWrap w:val="false"/>
          </w:tcPr>
          <w:p>
            <w:pPr>
              <w:jc w:val="center"/>
              <w:rPr>
                <w:rFonts w:hint="default" w:ascii="宋体" w:hAnsi="宋体" w:cs="宋体" w:eastAsiaTheme="minorEastAsia"/>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技术响应</w:t>
            </w:r>
            <w:r/>
          </w:p>
        </w:tc>
        <w:tc>
          <w:tcPr>
            <w:tcW w:w="1787" w:type="dxa"/>
            <w:vAlign w:val="center"/>
            <w:textDirection w:val="lrTb"/>
            <w:noWrap w:val="false"/>
          </w:tcPr>
          <w:p>
            <w:pPr>
              <w:jc w:val="center"/>
              <w:rPr>
                <w:rFonts w:hint="default" w:ascii="宋体" w:hAnsi="宋体" w:cs="宋体" w:eastAsiaTheme="minorEastAsia"/>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技术响应</w:t>
            </w:r>
            <w:r/>
          </w:p>
        </w:tc>
        <w:tc>
          <w:tcPr>
            <w:tcW w:w="4524" w:type="dxa"/>
            <w:vAlign w:val="center"/>
            <w:textDirection w:val="lrTb"/>
            <w:noWrap w:val="false"/>
          </w:tcPr>
          <w:p>
            <w:pPr>
              <w:numPr>
                <w:ilvl w:val="0"/>
                <w:numId w:val="13"/>
              </w:numPr>
              <w:ind w:firstLine="440"/>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rPr>
              <w:t xml:space="preserve">投标</w:t>
            </w:r>
            <w:r>
              <w:rPr>
                <w:rFonts w:hint="eastAsia" w:ascii="宋体" w:hAnsi="宋体" w:cs="宋体"/>
                <w:color w:val="auto"/>
                <w:sz w:val="22"/>
                <w:szCs w:val="22"/>
                <w:highlight w:val="none"/>
                <w:lang w:val="en-US" w:eastAsia="zh-CN"/>
              </w:rPr>
              <w:t xml:space="preserve">人</w:t>
            </w:r>
            <w:r>
              <w:rPr>
                <w:rFonts w:hint="eastAsia" w:ascii="宋体" w:hAnsi="宋体" w:cs="宋体"/>
                <w:color w:val="auto"/>
                <w:sz w:val="22"/>
                <w:szCs w:val="22"/>
                <w:highlight w:val="none"/>
              </w:rPr>
              <w:t xml:space="preserve">对招标文件具体需求的响应程度：</w:t>
            </w:r>
            <w:r>
              <w:rPr>
                <w:rFonts w:hint="eastAsia" w:ascii="宋体" w:hAnsi="宋体" w:cs="宋体"/>
                <w:color w:val="auto"/>
                <w:sz w:val="22"/>
                <w:szCs w:val="22"/>
                <w:highlight w:val="none"/>
                <w:lang w:val="en-US" w:eastAsia="zh-CN"/>
              </w:rPr>
              <w:t xml:space="preserve">招标文件第四章采购需求中第（一）、（二）、（三）项技术参数中，标注“▲”为重要参数（27项），每负偏离一项扣1分；其余技术参数为一般参数（175项），每负偏离一项扣0.02分；投标人需按照本采购文件技术要求等，在“技术参数响应及偏离表”中如实逐条详细填列所投产品的参数响应。如采购文件要求提供相应材料的，须按要求提供材料加盖投标人公章。</w:t>
            </w:r>
            <w:r/>
          </w:p>
          <w:p>
            <w:pPr>
              <w:numPr>
                <w:ilvl w:val="0"/>
                <w:numId w:val="13"/>
              </w:numPr>
              <w:ind w:firstLine="440"/>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招标文件第四章采购需求中第（四）-（八）项技术参数中，标注“▲”为重要参数（3项），每负偏离一项扣1分，投标人需按照本采购文件技术要求等，在“技术参数响应及偏离表”中如实逐条详细填列所投产品的参数响应。如采购文件要求提供相应材料的，须按要求提供材料加盖投标人公章。</w:t>
            </w:r>
            <w:r/>
          </w:p>
        </w:tc>
        <w:tc>
          <w:tcPr>
            <w:tcW w:w="1194" w:type="dxa"/>
            <w:vAlign w:val="center"/>
            <w:textDirection w:val="lrTb"/>
            <w:noWrap w:val="false"/>
          </w:tcPr>
          <w:p>
            <w:pPr>
              <w:jc w:val="center"/>
              <w:rPr>
                <w:rFonts w:hint="default"/>
                <w:color w:val="auto"/>
                <w:highlight w:val="none"/>
                <w:lang w:val="en-US" w:eastAsia="zh-CN"/>
              </w:rPr>
            </w:pPr>
            <w:r>
              <w:rPr>
                <w:rFonts w:hint="eastAsia" w:ascii="宋体" w:hAnsi="宋体" w:cs="宋体"/>
                <w:color w:val="auto"/>
                <w:sz w:val="22"/>
                <w:szCs w:val="22"/>
                <w:highlight w:val="none"/>
                <w:lang w:val="en-US" w:eastAsia="zh-CN"/>
              </w:rPr>
              <w:t xml:space="preserve">33.5分</w:t>
            </w:r>
            <w:r/>
          </w:p>
        </w:tc>
      </w:tr>
      <w:tr>
        <w:trPr>
          <w:trHeight w:val="496"/>
        </w:trPr>
        <w:tc>
          <w:tcPr>
            <w:tcW w:w="781" w:type="dxa"/>
            <w:vAlign w:val="center"/>
            <w:textDirection w:val="lrTb"/>
            <w:noWrap w:val="false"/>
          </w:tcPr>
          <w:p>
            <w:pPr>
              <w:jc w:val="center"/>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w:t>
            </w:r>
            <w:r/>
          </w:p>
        </w:tc>
        <w:tc>
          <w:tcPr>
            <w:tcW w:w="1119" w:type="dxa"/>
            <w:vAlign w:val="center"/>
            <w:textDirection w:val="lrTb"/>
            <w:noWrap w:val="false"/>
          </w:tcPr>
          <w:p>
            <w:pPr>
              <w:jc w:val="center"/>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项目实施方案</w:t>
            </w:r>
            <w:r/>
          </w:p>
        </w:tc>
        <w:tc>
          <w:tcPr>
            <w:tcW w:w="1787" w:type="dxa"/>
            <w:vAlign w:val="center"/>
            <w:textDirection w:val="lrTb"/>
            <w:noWrap w:val="false"/>
          </w:tcPr>
          <w:p>
            <w:pPr>
              <w:jc w:val="center"/>
              <w:rPr>
                <w:rFonts w:hint="default"/>
                <w:color w:val="auto"/>
                <w:highlight w:val="none"/>
                <w:lang w:val="en-US" w:eastAsia="zh-CN"/>
              </w:rPr>
            </w:pPr>
            <w:r>
              <w:rPr>
                <w:rFonts w:hint="eastAsia" w:ascii="宋体" w:hAnsi="宋体" w:cs="宋体"/>
                <w:color w:val="auto"/>
                <w:sz w:val="22"/>
                <w:szCs w:val="22"/>
                <w:highlight w:val="none"/>
                <w:lang w:val="en-US" w:eastAsia="zh-CN"/>
              </w:rPr>
              <w:t xml:space="preserve">项目实施方案</w:t>
            </w:r>
            <w:r/>
          </w:p>
        </w:tc>
        <w:tc>
          <w:tcPr>
            <w:tcW w:w="452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1、产品供货方案（6分）：评委根据投标人提供的设备供货方案、设备运输方案进行评分。方案优于采购需求的得6分；方案满足采购需求的得4分；未提供方案或方案不满足采购需求不得分。</w:t>
            </w:r>
            <w:r/>
          </w:p>
          <w:p>
            <w:p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2、产品安装、调试方案（6分）：评委根据投标人提供的产品安装、调试方案进行评分。方案优于采购需求的得6分；方案满足采购需求的得4分；未提供方案或方案不满足采购需求不得分。</w:t>
            </w:r>
            <w:r/>
          </w:p>
          <w:p>
            <w:p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3、项目验收方案（6分）：投标人应根据招标文件要求提供具体详实的项目验收方案。方案优于采购需求的得6分；方案满足采购需求的得4分；未提供方案或方案不满足采购需求不得分。</w:t>
            </w:r>
            <w:r/>
          </w:p>
          <w:p>
            <w:pPr>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4"/>
                <w:szCs w:val="24"/>
                <w:highlight w:val="none"/>
                <w:lang w:val="en-US" w:eastAsia="zh-CN"/>
              </w:rPr>
              <w:t xml:space="preserve">4、应急预案（6分）；故障响应时间、系统重大故障的应急预案以及措施安排。方案优于采购需求的得6分；方案满足采购需求的得4分；未提供方案或方案不满足采购需求不得分。</w:t>
            </w:r>
            <w:r/>
          </w:p>
        </w:tc>
        <w:tc>
          <w:tcPr>
            <w:tcW w:w="1194" w:type="dxa"/>
            <w:vAlign w:val="center"/>
            <w:textDirection w:val="lrTb"/>
            <w:noWrap w:val="false"/>
          </w:tcPr>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24分</w:t>
            </w:r>
            <w:r/>
          </w:p>
        </w:tc>
      </w:tr>
      <w:tr>
        <w:trPr>
          <w:trHeight w:val="496"/>
        </w:trPr>
        <w:tc>
          <w:tcPr>
            <w:tcW w:w="781" w:type="dxa"/>
            <w:vAlign w:val="center"/>
            <w:textDirection w:val="lrTb"/>
            <w:noWrap w:val="false"/>
          </w:tcPr>
          <w:p>
            <w:pPr>
              <w:jc w:val="center"/>
              <w:rPr>
                <w:rFonts w:hint="default" w:ascii="宋体" w:hAnsi="宋体" w:cs="宋体"/>
                <w:b/>
                <w:bCs/>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w:t>
            </w:r>
            <w:r/>
          </w:p>
        </w:tc>
        <w:tc>
          <w:tcPr>
            <w:tcW w:w="1119" w:type="dxa"/>
            <w:vAlign w:val="center"/>
            <w:textDirection w:val="lrTb"/>
            <w:noWrap w:val="false"/>
          </w:tcPr>
          <w:p>
            <w:pPr>
              <w:jc w:val="center"/>
              <w:rPr>
                <w:rFonts w:hint="eastAsia" w:ascii="宋体" w:hAnsi="宋体" w:cs="宋体"/>
                <w:b/>
                <w:bCs/>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售后服务方案</w:t>
            </w:r>
            <w:r/>
          </w:p>
        </w:tc>
        <w:tc>
          <w:tcPr>
            <w:tcW w:w="1787" w:type="dxa"/>
            <w:vAlign w:val="center"/>
            <w:textDirection w:val="lrTb"/>
            <w:noWrap w:val="false"/>
          </w:tcPr>
          <w:p>
            <w:pPr>
              <w:jc w:val="center"/>
              <w:rPr>
                <w:rFonts w:hint="eastAsia" w:ascii="宋体" w:hAnsi="宋体" w:cs="宋体"/>
                <w:color w:val="auto"/>
                <w:sz w:val="22"/>
                <w:szCs w:val="22"/>
                <w:highlight w:val="none"/>
                <w:lang w:val="en-US" w:eastAsia="zh-CN"/>
              </w:rPr>
            </w:pPr>
            <w:r>
              <w:rPr>
                <w:rFonts w:hint="eastAsia" w:ascii="宋体" w:hAnsi="宋体" w:cs="宋体"/>
                <w:color w:val="auto"/>
                <w:sz w:val="24"/>
                <w:szCs w:val="24"/>
                <w:highlight w:val="none"/>
                <w:lang w:val="en-US" w:eastAsia="zh-CN"/>
              </w:rPr>
              <w:t xml:space="preserve">售后服务方案</w:t>
            </w:r>
            <w:r/>
          </w:p>
        </w:tc>
        <w:tc>
          <w:tcPr>
            <w:tcW w:w="452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 xml:space="preserve">投标人根据本项目第四章商务要求中“6.售后服务方案”要求，提供有针对性的、科学高效的售后服务方案，至少包含：①服务体系；②回访巡检方案；③突发故障解决措施。</w:t>
            </w:r>
            <w:r>
              <w:rPr>
                <w:rFonts w:hint="eastAsia" w:ascii="宋体" w:hAnsi="宋体" w:cs="宋体"/>
                <w:color w:val="auto"/>
                <w:sz w:val="24"/>
                <w:szCs w:val="24"/>
                <w:highlight w:val="none"/>
                <w:lang w:val="en-US" w:eastAsia="zh-CN"/>
              </w:rPr>
              <w:t xml:space="preserve">方案优于项目需求的得4分，方案满足需求的得2分；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1194" w:type="dxa"/>
            <w:vAlign w:val="center"/>
            <w:textDirection w:val="lrTb"/>
            <w:noWrap w:val="false"/>
          </w:tcPr>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4分</w:t>
            </w:r>
            <w:r/>
          </w:p>
        </w:tc>
      </w:tr>
      <w:tr>
        <w:trPr>
          <w:trHeight w:val="496"/>
        </w:trPr>
        <w:tc>
          <w:tcPr>
            <w:tcW w:w="781" w:type="dxa"/>
            <w:vAlign w:val="center"/>
            <w:textDirection w:val="lrTb"/>
            <w:noWrap w:val="false"/>
          </w:tcPr>
          <w:p>
            <w:pPr>
              <w:jc w:val="center"/>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5</w:t>
            </w:r>
            <w:r/>
          </w:p>
        </w:tc>
        <w:tc>
          <w:tcPr>
            <w:tcW w:w="1119" w:type="dxa"/>
            <w:vAlign w:val="center"/>
            <w:textDirection w:val="lrTb"/>
            <w:noWrap w:val="false"/>
          </w:tcPr>
          <w:p>
            <w:pPr>
              <w:jc w:val="center"/>
              <w:rPr>
                <w:rFonts w:hint="eastAsia" w:ascii="宋体" w:hAnsi="宋体" w:cs="宋体"/>
                <w:b/>
                <w:bCs/>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人员培训方案</w:t>
            </w:r>
            <w:r/>
          </w:p>
        </w:tc>
        <w:tc>
          <w:tcPr>
            <w:tcW w:w="1787"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人员培训方案</w:t>
            </w:r>
            <w:r/>
          </w:p>
        </w:tc>
        <w:tc>
          <w:tcPr>
            <w:tcW w:w="452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82" w:name="_Hlk193983742"/>
            <w:r>
              <w:rPr>
                <w:rFonts w:hint="eastAsia" w:ascii="宋体" w:hAnsi="宋体" w:eastAsia="宋体" w:cs="宋体"/>
                <w:color w:val="auto"/>
                <w:sz w:val="24"/>
                <w:szCs w:val="24"/>
                <w:highlight w:val="none"/>
                <w:lang w:val="en-US" w:eastAsia="zh-CN"/>
              </w:rPr>
              <w:t xml:space="preserve">投标人根据本项目第四章商务要求中“7.人员培训方案”要求，提供有针对性的、科学高效的人员培训方案，至少包含：①日常保养和定期保养培训；②业务技术功能培训；③常见故障处理培训等</w:t>
            </w:r>
            <w:bookmarkEnd w:id="182"/>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方案优于项目需求的得5分，方案满足需求的得3分；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1194" w:type="dxa"/>
            <w:vAlign w:val="center"/>
            <w:textDirection w:val="lrTb"/>
            <w:noWrap w:val="false"/>
          </w:tcPr>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5分</w:t>
            </w:r>
            <w:r/>
          </w:p>
        </w:tc>
      </w:tr>
      <w:tr>
        <w:trPr>
          <w:trHeight w:val="1396"/>
        </w:trPr>
        <w:tc>
          <w:tcPr>
            <w:tcW w:w="781" w:type="dxa"/>
            <w:vAlign w:val="center"/>
            <w:textDirection w:val="lrTb"/>
            <w:noWrap w:val="false"/>
          </w:tcPr>
          <w:p>
            <w:pPr>
              <w:jc w:val="center"/>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6</w:t>
            </w:r>
            <w:r/>
          </w:p>
        </w:tc>
        <w:tc>
          <w:tcPr>
            <w:tcW w:w="1119" w:type="dxa"/>
            <w:vAlign w:val="center"/>
            <w:textDirection w:val="lrTb"/>
            <w:noWrap w:val="false"/>
          </w:tcPr>
          <w:p>
            <w:pPr>
              <w:jc w:val="center"/>
              <w:rPr>
                <w:rFonts w:hint="default" w:ascii="宋体" w:hAnsi="宋体" w:cs="宋体"/>
                <w:b/>
                <w:bCs/>
                <w:color w:val="auto"/>
                <w:sz w:val="22"/>
                <w:szCs w:val="22"/>
                <w:highlight w:val="none"/>
                <w:lang w:val="en-US" w:eastAsia="zh-CN"/>
              </w:rPr>
            </w:pPr>
            <w:r>
              <w:rPr>
                <w:rFonts w:hint="eastAsia" w:ascii="Times New Roman" w:hAnsi="Times New Roman" w:eastAsia="宋体" w:cs="Times New Roman"/>
                <w:color w:val="auto"/>
                <w:sz w:val="24"/>
                <w:szCs w:val="24"/>
                <w:highlight w:val="none"/>
              </w:rPr>
              <w:t xml:space="preserve">企业综合实力</w:t>
            </w:r>
            <w:r/>
          </w:p>
        </w:tc>
        <w:tc>
          <w:tcPr>
            <w:tcW w:w="1787" w:type="dxa"/>
            <w:vAlign w:val="center"/>
            <w:textDirection w:val="lrTb"/>
            <w:noWrap w:val="false"/>
          </w:tcPr>
          <w:p>
            <w:pPr>
              <w:jc w:val="center"/>
              <w:rPr>
                <w:rFonts w:hint="eastAsia" w:ascii="宋体" w:hAnsi="宋体" w:cs="宋体"/>
                <w:color w:val="auto"/>
                <w:sz w:val="22"/>
                <w:szCs w:val="22"/>
                <w:highlight w:val="none"/>
                <w:lang w:val="en-US" w:eastAsia="zh-CN"/>
              </w:rPr>
            </w:pPr>
            <w:r>
              <w:rPr>
                <w:rFonts w:hint="eastAsia" w:ascii="Times New Roman" w:hAnsi="Times New Roman" w:eastAsia="宋体" w:cs="Times New Roman"/>
                <w:color w:val="auto"/>
                <w:sz w:val="24"/>
                <w:szCs w:val="24"/>
                <w:highlight w:val="none"/>
              </w:rPr>
              <w:t xml:space="preserve">企业综合实力</w:t>
            </w:r>
            <w:r/>
          </w:p>
        </w:tc>
        <w:tc>
          <w:tcPr>
            <w:tcW w:w="4524"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投标人具备</w:t>
            </w:r>
            <w:r>
              <w:rPr>
                <w:rFonts w:hint="eastAsia" w:ascii="宋体" w:hAnsi="宋体" w:eastAsia="宋体" w:cs="宋体"/>
                <w:color w:val="auto"/>
                <w:sz w:val="24"/>
                <w:szCs w:val="24"/>
                <w:highlight w:val="none"/>
                <w:lang w:val="en-US" w:eastAsia="zh-CN"/>
              </w:rPr>
              <w:t xml:space="preserve">有效的</w:t>
            </w:r>
            <w:r>
              <w:rPr>
                <w:rFonts w:hint="default" w:ascii="宋体" w:hAnsi="宋体" w:eastAsia="宋体" w:cs="宋体"/>
                <w:color w:val="auto"/>
                <w:sz w:val="24"/>
                <w:szCs w:val="24"/>
                <w:highlight w:val="none"/>
                <w:lang w:val="en-US" w:eastAsia="zh-CN"/>
              </w:rPr>
              <w:t xml:space="preserve">质量管理体系认证证书、</w:t>
            </w:r>
            <w:r>
              <w:rPr>
                <w:rFonts w:hint="eastAsia" w:ascii="宋体" w:hAnsi="宋体" w:eastAsia="宋体" w:cs="宋体"/>
                <w:color w:val="auto"/>
                <w:sz w:val="24"/>
                <w:szCs w:val="24"/>
                <w:highlight w:val="none"/>
                <w:lang w:val="en-US" w:eastAsia="zh-CN"/>
              </w:rPr>
              <w:t xml:space="preserve">环境</w:t>
            </w:r>
            <w:r>
              <w:rPr>
                <w:rFonts w:hint="default" w:ascii="宋体" w:hAnsi="宋体" w:eastAsia="宋体" w:cs="宋体"/>
                <w:color w:val="auto"/>
                <w:sz w:val="24"/>
                <w:szCs w:val="24"/>
                <w:highlight w:val="none"/>
                <w:lang w:val="en-US" w:eastAsia="zh-CN"/>
              </w:rPr>
              <w:t xml:space="preserve">管理体系认证证书、</w:t>
            </w:r>
            <w:r>
              <w:rPr>
                <w:rFonts w:hint="eastAsia" w:ascii="宋体" w:hAnsi="宋体" w:eastAsia="宋体" w:cs="宋体"/>
                <w:color w:val="auto"/>
                <w:sz w:val="24"/>
                <w:szCs w:val="24"/>
                <w:highlight w:val="none"/>
                <w:lang w:val="en-US" w:eastAsia="zh-CN"/>
              </w:rPr>
              <w:t xml:space="preserve">职业健康</w:t>
            </w:r>
            <w:r>
              <w:rPr>
                <w:rFonts w:hint="default" w:ascii="宋体" w:hAnsi="宋体" w:eastAsia="宋体" w:cs="宋体"/>
                <w:color w:val="auto"/>
                <w:sz w:val="24"/>
                <w:szCs w:val="24"/>
                <w:highlight w:val="none"/>
                <w:lang w:val="en-US" w:eastAsia="zh-CN"/>
              </w:rPr>
              <w:t xml:space="preserve">管理体系认证证书，每有一个得</w:t>
            </w:r>
            <w:r>
              <w:rPr>
                <w:rFonts w:hint="eastAsia" w:ascii="宋体" w:hAnsi="宋体" w:eastAsia="宋体" w:cs="宋体"/>
                <w:color w:val="auto"/>
                <w:sz w:val="24"/>
                <w:szCs w:val="24"/>
                <w:highlight w:val="none"/>
                <w:lang w:val="en-US" w:eastAsia="zh-CN"/>
              </w:rPr>
              <w:t xml:space="preserve">0.5</w:t>
            </w:r>
            <w:r>
              <w:rPr>
                <w:rFonts w:hint="default" w:ascii="宋体" w:hAnsi="宋体" w:eastAsia="宋体" w:cs="宋体"/>
                <w:color w:val="auto"/>
                <w:sz w:val="24"/>
                <w:szCs w:val="24"/>
                <w:highlight w:val="none"/>
                <w:lang w:val="en-US" w:eastAsia="zh-CN"/>
              </w:rPr>
              <w:t xml:space="preserve">分，本项最高得</w:t>
            </w: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lang w:val="en-US" w:eastAsia="zh-CN"/>
              </w:rPr>
              <w:t xml:space="preserve">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注：投标时提供上述证书的彩色扫描件，不提供不得分。</w:t>
            </w:r>
            <w:r/>
          </w:p>
        </w:tc>
        <w:tc>
          <w:tcPr>
            <w:tcW w:w="1194" w:type="dxa"/>
            <w:vAlign w:val="center"/>
            <w:textDirection w:val="lrTb"/>
            <w:noWrap w:val="false"/>
          </w:tcPr>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1.5分</w:t>
            </w:r>
            <w:r/>
          </w:p>
        </w:tc>
      </w:tr>
      <w:tr>
        <w:trPr>
          <w:trHeight w:val="792"/>
        </w:trPr>
        <w:tc>
          <w:tcPr>
            <w:tcW w:w="781" w:type="dxa"/>
            <w:vAlign w:val="center"/>
            <w:textDirection w:val="lrTb"/>
            <w:noWrap w:val="false"/>
          </w:tcPr>
          <w:p>
            <w:pPr>
              <w:jc w:val="center"/>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7</w:t>
            </w:r>
            <w:r/>
          </w:p>
        </w:tc>
        <w:tc>
          <w:tcPr>
            <w:tcW w:w="1119" w:type="dxa"/>
            <w:vAlign w:val="center"/>
            <w:textDirection w:val="lrTb"/>
            <w:noWrap w:val="false"/>
          </w:tcPr>
          <w:p>
            <w:pPr>
              <w:jc w:val="center"/>
              <w:widowControl w:val="off"/>
              <w:rPr>
                <w:rFonts w:hint="eastAsia" w:ascii="宋体" w:hAnsi="宋体" w:cs="宋体" w:eastAsiaTheme="minorEastAsia"/>
                <w:b/>
                <w:bCs/>
                <w:color w:val="auto"/>
                <w:sz w:val="22"/>
                <w:szCs w:val="22"/>
                <w:highlight w:val="none"/>
                <w:lang w:val="en-US" w:eastAsia="zh-CN" w:bidi="ar-SA"/>
              </w:rPr>
            </w:pPr>
            <w:r>
              <w:rPr>
                <w:rFonts w:hint="eastAsia" w:ascii="Times New Roman" w:hAnsi="Times New Roman" w:eastAsia="宋体" w:cs="Times New Roman"/>
                <w:color w:val="auto"/>
                <w:sz w:val="24"/>
                <w:szCs w:val="24"/>
                <w:highlight w:val="none"/>
              </w:rPr>
              <w:t xml:space="preserve">业绩</w:t>
            </w:r>
            <w:r/>
          </w:p>
        </w:tc>
        <w:tc>
          <w:tcPr>
            <w:tcW w:w="178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业绩</w:t>
            </w:r>
            <w:r/>
          </w:p>
        </w:tc>
        <w:tc>
          <w:tcPr>
            <w:tcW w:w="452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提供投标人自2023年1月1日（含）以来（以合同签订时间为准）所投核心产品的业绩，每有一个得2分，本项最高得2分。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注：投标时须提供合同原件扫描件，合同中必须包含服务内容、合同签订时间、合同主体双方盖章等信息，否则业绩不得分。</w:t>
            </w:r>
            <w:r/>
          </w:p>
        </w:tc>
        <w:tc>
          <w:tcPr>
            <w:tcW w:w="1194" w:type="dxa"/>
            <w:vAlign w:val="center"/>
            <w:textDirection w:val="lrTb"/>
            <w:noWrap w:val="false"/>
          </w:tcPr>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2分</w:t>
            </w:r>
            <w:r/>
          </w:p>
        </w:tc>
      </w:tr>
    </w:tbl>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94"/>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99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9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94"/>
        <w:jc w:val="center"/>
        <w:spacing w:beforeAutospacing="0" w:afterAutospacing="0"/>
        <w:rPr>
          <w:rFonts w:hint="eastAsia" w:ascii="宋体" w:hAnsi="宋体" w:eastAsia="宋体" w:cs="宋体"/>
          <w:b/>
          <w:color w:val="auto"/>
          <w:sz w:val="72"/>
          <w:szCs w:val="72"/>
          <w:highlight w:val="none"/>
        </w:rPr>
      </w:pPr>
      <w:r/>
      <w:bookmarkStart w:id="183" w:name="_Toc49090576"/>
      <w:r/>
      <w:bookmarkEnd w:id="183"/>
      <w:r/>
      <w:bookmarkStart w:id="184" w:name="_Toc120614282"/>
      <w:r/>
      <w:bookmarkEnd w:id="184"/>
      <w:r/>
      <w:bookmarkStart w:id="185" w:name="_Hlt26955039"/>
      <w:r/>
      <w:bookmarkStart w:id="186" w:name="_Hlt26671244"/>
      <w:r/>
      <w:bookmarkStart w:id="187" w:name="_Toc26554094"/>
      <w:r/>
      <w:r/>
    </w:p>
    <w:p>
      <w:pPr>
        <w:pStyle w:val="99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9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99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99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9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994"/>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94"/>
        <w:jc w:val="center"/>
        <w:spacing w:beforeAutospacing="0" w:afterAutospacing="0" w:line="0" w:lineRule="atLeast"/>
        <w:rPr>
          <w:color w:val="auto"/>
          <w:highlight w:val="none"/>
        </w:rPr>
      </w:pPr>
      <w:r>
        <w:rPr>
          <w:color w:val="auto"/>
          <w:highlight w:val="none"/>
        </w:rPr>
        <w:t xml:space="preserve"> </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二、上一年度（2025年度）的财务状况报表（至少提供资产负债表、利润表、现金流量表，投标人成立不满一年无需提供）</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94"/>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94"/>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994"/>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94"/>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994"/>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hint="default"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十六、项目实施方案、售后服务方案、人员培训方案及投标人认为需要提供的其他资料</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十八、完全响应承诺函</w:t>
      </w:r>
      <w:r/>
    </w:p>
    <w:p>
      <w:pPr>
        <w:pStyle w:val="994"/>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一、法人或者其他组织的营业执照等证明文件，自然人的身份证明</w:t>
      </w:r>
      <w:r/>
    </w:p>
    <w:p>
      <w:pPr>
        <w:pStyle w:val="994"/>
        <w:ind w:firstLine="480"/>
        <w:jc w:val="both"/>
        <w:spacing w:beforeAutospacing="0" w:afterAutospacing="0" w:line="0" w:lineRule="atLeast"/>
        <w:rPr>
          <w:i w:val="0"/>
          <w:iCs/>
          <w:color w:val="auto"/>
          <w:highlight w:val="none"/>
        </w:rPr>
      </w:pPr>
      <w:r>
        <w:rPr>
          <w:i w:val="0"/>
          <w:iCs/>
          <w:color w:val="auto"/>
          <w:highlight w:val="none"/>
        </w:rPr>
        <w:t xml:space="preserve"> </w:t>
      </w:r>
      <w:r/>
    </w:p>
    <w:p>
      <w:pPr>
        <w:pStyle w:val="994"/>
        <w:jc w:val="both"/>
        <w:spacing w:beforeAutospacing="0" w:afterAutospacing="0"/>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 xml:space="preserve">二、上一年度</w:t>
      </w:r>
      <w:r>
        <w:rPr>
          <w:rFonts w:hint="eastAsia" w:ascii="黑体" w:hAnsi="宋体" w:eastAsia="黑体" w:cs="黑体"/>
          <w:i w:val="0"/>
          <w:iCs/>
          <w:color w:val="auto"/>
          <w:sz w:val="32"/>
          <w:szCs w:val="32"/>
          <w:highlight w:val="none"/>
          <w:u w:val="single"/>
          <w:lang w:eastAsia="zh-CN"/>
        </w:rPr>
        <w:t xml:space="preserve">（</w:t>
      </w:r>
      <w:r>
        <w:rPr>
          <w:rFonts w:hint="eastAsia" w:ascii="黑体" w:hAnsi="宋体" w:eastAsia="黑体" w:cs="黑体"/>
          <w:i w:val="0"/>
          <w:iCs/>
          <w:color w:val="auto"/>
          <w:sz w:val="32"/>
          <w:szCs w:val="32"/>
          <w:highlight w:val="none"/>
          <w:u w:val="single"/>
          <w:lang w:val="en-US" w:eastAsia="zh-CN"/>
        </w:rPr>
        <w:t xml:space="preserve">2025年度</w:t>
      </w:r>
      <w:r>
        <w:rPr>
          <w:rFonts w:hint="eastAsia" w:ascii="黑体" w:hAnsi="宋体" w:eastAsia="黑体" w:cs="黑体"/>
          <w:i w:val="0"/>
          <w:iCs/>
          <w:color w:val="auto"/>
          <w:sz w:val="32"/>
          <w:szCs w:val="32"/>
          <w:highlight w:val="none"/>
          <w:u w:val="single"/>
          <w:lang w:eastAsia="zh-CN"/>
        </w:rPr>
        <w:t xml:space="preserve">）</w:t>
      </w:r>
      <w:r>
        <w:rPr>
          <w:rFonts w:hint="eastAsia" w:ascii="黑体" w:hAnsi="宋体" w:eastAsia="黑体" w:cs="黑体"/>
          <w:i w:val="0"/>
          <w:iCs/>
          <w:color w:val="auto"/>
          <w:sz w:val="32"/>
          <w:szCs w:val="32"/>
          <w:highlight w:val="none"/>
          <w:u w:val="single"/>
        </w:rPr>
        <w:t xml:space="preserve">的财务状况报</w:t>
      </w:r>
      <w:r>
        <w:rPr>
          <w:rFonts w:hint="eastAsia" w:ascii="黑体" w:hAnsi="宋体" w:eastAsia="黑体" w:cs="黑体"/>
          <w:i w:val="0"/>
          <w:iCs/>
          <w:color w:val="auto"/>
          <w:sz w:val="32"/>
          <w:szCs w:val="32"/>
          <w:highlight w:val="none"/>
          <w:u w:val="single"/>
          <w:lang w:val="en-US" w:eastAsia="zh-CN"/>
        </w:rPr>
        <w:t xml:space="preserve">表</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994"/>
        <w:jc w:val="both"/>
        <w:spacing w:beforeAutospacing="0" w:afterAutospacing="0"/>
        <w:rPr>
          <w:i w:val="0"/>
          <w:iCs/>
          <w:color w:val="auto"/>
          <w:highlight w:val="none"/>
        </w:rPr>
      </w:pPr>
      <w:r>
        <w:rPr>
          <w:i w:val="0"/>
          <w:iCs/>
          <w:color w:val="auto"/>
          <w:highlight w:val="none"/>
        </w:rPr>
        <w:t xml:space="preserve"> </w:t>
      </w:r>
      <w:r/>
    </w:p>
    <w:p>
      <w:pPr>
        <w:pStyle w:val="994"/>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三</w:t>
      </w:r>
      <w:r>
        <w:rPr>
          <w:rFonts w:hint="eastAsia" w:ascii="黑体" w:hAnsi="宋体" w:eastAsia="黑体" w:cs="黑体"/>
          <w:i w:val="0"/>
          <w:iCs/>
          <w:color w:val="auto"/>
          <w:sz w:val="32"/>
          <w:szCs w:val="32"/>
          <w:highlight w:val="none"/>
          <w:u w:val="single"/>
        </w:rPr>
        <w:t xml:space="preserve">、具备履行合同所必需的设备和专业技术能力的书面声明</w:t>
      </w:r>
      <w:r/>
    </w:p>
    <w:p>
      <w:pPr>
        <w:pStyle w:val="994"/>
        <w:ind w:firstLine="492"/>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94"/>
        <w:ind w:firstLine="492"/>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994"/>
        <w:jc w:val="both"/>
        <w:spacing w:beforeAutospacing="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both"/>
        <w:spacing w:beforeAutospacing="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994"/>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四</w:t>
      </w:r>
      <w:r>
        <w:rPr>
          <w:rFonts w:hint="eastAsia" w:ascii="黑体" w:hAnsi="宋体" w:eastAsia="黑体" w:cs="黑体"/>
          <w:i w:val="0"/>
          <w:iCs/>
          <w:color w:val="auto"/>
          <w:sz w:val="32"/>
          <w:szCs w:val="32"/>
          <w:highlight w:val="none"/>
          <w:u w:val="single"/>
        </w:rPr>
        <w:t xml:space="preserve">、依法缴纳税收和社会保障资金的相关材料</w:t>
      </w:r>
      <w:r/>
    </w:p>
    <w:p>
      <w:pPr>
        <w:pStyle w:val="994"/>
        <w:ind w:firstLine="480"/>
        <w:jc w:val="both"/>
        <w:spacing w:beforeAutospacing="0" w:afterAutospacing="0"/>
        <w:rPr>
          <w:i w:val="0"/>
          <w:iCs/>
          <w:color w:val="auto"/>
          <w:highlight w:val="none"/>
        </w:rPr>
      </w:pPr>
      <w:r>
        <w:rPr>
          <w:rFonts w:hint="eastAsia" w:ascii="宋体" w:hAnsi="宋体" w:eastAsia="宋体"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94"/>
        <w:jc w:val="both"/>
        <w:spacing w:beforeAutospacing="0" w:afterAutospacing="0"/>
        <w:rPr>
          <w:i w:val="0"/>
          <w:iCs/>
          <w:color w:val="auto"/>
          <w:highlight w:val="none"/>
        </w:rPr>
      </w:pPr>
      <w:r>
        <w:rPr>
          <w:i w:val="0"/>
          <w:iCs/>
          <w:color w:val="auto"/>
          <w:highlight w:val="none"/>
        </w:rPr>
        <w:t xml:space="preserve"> </w:t>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五、参加政府采购活动前 3 年内在经营活动中没有重大违法记录的书面声明</w:t>
      </w:r>
      <w:r/>
    </w:p>
    <w:p>
      <w:pPr>
        <w:pStyle w:val="994"/>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994"/>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994"/>
        <w:jc w:val="both"/>
        <w:spacing w:beforeAutospacing="0" w:afterAutospacing="0" w:line="0" w:lineRule="atLeas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94"/>
        <w:jc w:val="both"/>
        <w:spacing w:beforeAutospacing="0" w:afterAutospacing="0"/>
        <w:rPr>
          <w:i w:val="0"/>
          <w:iCs/>
          <w:color w:val="auto"/>
          <w:highlight w:val="none"/>
        </w:rPr>
      </w:pPr>
      <w:r>
        <w:rPr>
          <w:i w:val="0"/>
          <w:iCs/>
          <w:color w:val="auto"/>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994"/>
        <w:jc w:val="both"/>
        <w:spacing w:beforeAutospacing="0" w:afterAutospacing="0"/>
        <w:rPr>
          <w:i w:val="0"/>
          <w:iCs/>
          <w:color w:val="auto"/>
          <w:highlight w:val="none"/>
        </w:rPr>
      </w:pPr>
      <w:r>
        <w:rPr>
          <w:rFonts w:hint="eastAsia" w:ascii="黑体" w:hAnsi="宋体" w:eastAsia="黑体" w:cs="黑体"/>
          <w:i w:val="0"/>
          <w:iCs/>
          <w:color w:val="auto"/>
          <w:sz w:val="32"/>
          <w:szCs w:val="32"/>
          <w:highlight w:val="none"/>
          <w:u w:val="single"/>
        </w:rPr>
        <w:t xml:space="preserve">六、特定资格要求的证明文件</w:t>
      </w:r>
      <w:r/>
    </w:p>
    <w:p>
      <w:pPr>
        <w:pStyle w:val="994"/>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994"/>
        <w:jc w:val="center"/>
        <w:spacing w:beforeAutospacing="0" w:afterAutospacing="0"/>
        <w:rPr>
          <w:rFonts w:ascii="黑体" w:hAnsi="宋体" w:eastAsia="黑体" w:cs="黑体"/>
          <w:i w:val="0"/>
          <w:iCs/>
          <w:color w:val="auto"/>
          <w:sz w:val="32"/>
          <w:szCs w:val="32"/>
          <w:highlight w:val="none"/>
          <w:u w:val="single"/>
        </w:rPr>
      </w:pPr>
      <w:r/>
      <w:bookmarkStart w:id="188" w:name="_Toc120614284"/>
      <w:r/>
      <w:r/>
    </w:p>
    <w:p>
      <w:pPr>
        <w:pStyle w:val="99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七、法人授权书</w:t>
      </w:r>
      <w:r/>
    </w:p>
    <w:p>
      <w:pPr>
        <w:pStyle w:val="994"/>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94"/>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日期：</w:t>
      </w:r>
      <w:bookmarkStart w:id="189" w:name="_格式3__银行出具的资信证明"/>
      <w:r/>
      <w:bookmarkStart w:id="190" w:name="_Hlt26671380"/>
      <w:r/>
      <w:bookmarkStart w:id="191" w:name="_Hlt26955070"/>
      <w:r>
        <w:rPr>
          <w:rFonts w:ascii="Times New Roman" w:hAnsi="Times New Roman"/>
          <w:color w:val="auto"/>
          <w:highlight w:val="none"/>
          <w:u w:val="single"/>
        </w:rPr>
        <w:t xml:space="preserve">                                         </w:t>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八、投标函</w:t>
      </w:r>
      <w:r/>
    </w:p>
    <w:p>
      <w:pPr>
        <w:pStyle w:val="994"/>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keepLines w:val="0"/>
        <w:keepNext w:val="0"/>
        <w:pageBreakBefore w:val="0"/>
        <w:spacing w:beforeAutospacing="0" w:afterAutospacing="0" w:line="360" w:lineRule="auto"/>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94"/>
        <w:ind w:left="0" w:firstLine="480"/>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9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94"/>
        <w:ind w:firstLine="240"/>
        <w:jc w:val="center"/>
        <w:spacing w:beforeAutospacing="0" w:afterAutospacing="0" w:line="0" w:lineRule="atLeast"/>
        <w:rPr>
          <w:color w:val="auto"/>
          <w:highlight w:val="none"/>
        </w:rPr>
      </w:pPr>
      <w:r>
        <w:rPr>
          <w:color w:val="auto"/>
          <w:highlight w:val="none"/>
        </w:rPr>
        <w:t xml:space="preserve"> </w:t>
      </w:r>
      <w:r/>
    </w:p>
    <w:p>
      <w:pPr>
        <w:pStyle w:val="994"/>
        <w:ind w:firstLine="240"/>
        <w:jc w:val="center"/>
        <w:spacing w:beforeAutospacing="0" w:afterAutospacing="0" w:line="0" w:lineRule="atLeast"/>
        <w:rPr>
          <w:color w:val="auto"/>
          <w:highlight w:val="none"/>
        </w:rPr>
      </w:pPr>
      <w:r>
        <w:rPr>
          <w:color w:val="auto"/>
          <w:highlight w:val="none"/>
        </w:rPr>
        <w:t xml:space="preserve"> </w:t>
      </w:r>
      <w:r/>
    </w:p>
    <w:p>
      <w:pPr>
        <w:pStyle w:val="994"/>
        <w:ind w:firstLine="240"/>
        <w:jc w:val="center"/>
        <w:spacing w:beforeAutospacing="0" w:afterAutospacing="0" w:line="0" w:lineRule="atLeast"/>
        <w:rPr>
          <w:color w:val="auto"/>
          <w:highlight w:val="none"/>
        </w:rPr>
      </w:pPr>
      <w:r>
        <w:rPr>
          <w:color w:val="auto"/>
          <w:highlight w:val="none"/>
        </w:rPr>
        <w:t xml:space="preserve"> </w:t>
      </w:r>
      <w:r/>
    </w:p>
    <w:p>
      <w:pPr>
        <w:pStyle w:val="994"/>
        <w:ind w:firstLine="240"/>
        <w:jc w:val="center"/>
        <w:spacing w:beforeAutospacing="0" w:afterAutospacing="0" w:line="0" w:lineRule="atLeast"/>
        <w:rPr>
          <w:color w:val="auto"/>
          <w:highlight w:val="none"/>
        </w:rPr>
      </w:pPr>
      <w:r>
        <w:rPr>
          <w:color w:val="auto"/>
          <w:highlight w:val="none"/>
        </w:rPr>
        <w:t xml:space="preserve"> </w:t>
      </w:r>
      <w:r/>
    </w:p>
    <w:p>
      <w:pPr>
        <w:pStyle w:val="994"/>
        <w:ind w:firstLine="240"/>
        <w:jc w:val="center"/>
        <w:spacing w:beforeAutospacing="0" w:afterAutospacing="0" w:line="0" w:lineRule="atLeast"/>
        <w:rPr>
          <w:color w:val="auto"/>
          <w:highlight w:val="none"/>
        </w:rPr>
      </w:pPr>
      <w:r>
        <w:rPr>
          <w:color w:val="auto"/>
          <w:highlight w:val="none"/>
        </w:rPr>
      </w:r>
      <w:r/>
    </w:p>
    <w:p>
      <w:pPr>
        <w:pStyle w:val="994"/>
        <w:ind w:firstLine="240"/>
        <w:jc w:val="center"/>
        <w:spacing w:beforeAutospacing="0" w:afterAutospacing="0" w:line="0" w:lineRule="atLeast"/>
        <w:rPr>
          <w:color w:val="auto"/>
          <w:highlight w:val="none"/>
        </w:rPr>
      </w:pPr>
      <w:r>
        <w:rPr>
          <w:color w:val="auto"/>
          <w:highlight w:val="none"/>
        </w:rPr>
      </w:r>
      <w:r/>
    </w:p>
    <w:p>
      <w:pPr>
        <w:pStyle w:val="994"/>
        <w:ind w:firstLine="240"/>
        <w:jc w:val="center"/>
        <w:spacing w:beforeAutospacing="0" w:afterAutospacing="0" w:line="0" w:lineRule="atLeast"/>
        <w:rPr>
          <w:color w:val="auto"/>
          <w:highlight w:val="none"/>
        </w:rPr>
      </w:pPr>
      <w:r>
        <w:rPr>
          <w:color w:val="auto"/>
          <w:highlight w:val="none"/>
        </w:rPr>
      </w:r>
      <w:r/>
    </w:p>
    <w:p>
      <w:pPr>
        <w:pStyle w:val="994"/>
        <w:ind w:firstLine="240"/>
        <w:jc w:val="center"/>
        <w:spacing w:beforeAutospacing="0" w:afterAutospacing="0" w:line="0" w:lineRule="atLeast"/>
        <w:rPr>
          <w:color w:val="auto"/>
          <w:highlight w:val="none"/>
        </w:rPr>
      </w:pPr>
      <w:r>
        <w:rPr>
          <w:color w:val="auto"/>
          <w:highlight w:val="none"/>
        </w:rPr>
      </w:r>
      <w:r/>
    </w:p>
    <w:p>
      <w:pPr>
        <w:pStyle w:val="994"/>
        <w:ind w:firstLine="240"/>
        <w:jc w:val="center"/>
        <w:spacing w:beforeAutospacing="0" w:afterAutospacing="0" w:line="0" w:lineRule="atLeast"/>
        <w:rPr>
          <w:color w:val="auto"/>
          <w:highlight w:val="none"/>
        </w:rPr>
      </w:pPr>
      <w:r>
        <w:rPr>
          <w:color w:val="auto"/>
          <w:highlight w:val="none"/>
        </w:rPr>
      </w:r>
      <w:r/>
    </w:p>
    <w:p>
      <w:pPr>
        <w:pStyle w:val="994"/>
        <w:jc w:val="center"/>
        <w:spacing w:beforeAutospacing="0" w:afterAutospacing="0" w:line="0" w:lineRule="atLeast"/>
        <w:rPr>
          <w:rFonts w:hint="eastAsia" w:eastAsia="黑体"/>
          <w:color w:val="auto"/>
          <w:highlight w:val="none"/>
          <w:lang w:eastAsia="zh-CN"/>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9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9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9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9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9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94"/>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94"/>
        <w:ind w:right="180" w:firstLine="360"/>
        <w:jc w:val="right"/>
        <w:spacing w:before="0" w:beforeAutospacing="0" w:after="0" w:afterAutospacing="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28"/>
          <w:szCs w:val="28"/>
          <w:highlight w:val="none"/>
        </w:rPr>
        <w:t xml:space="preserve">企业名称（加盖CA电子公章）：</w:t>
      </w:r>
      <w:r/>
    </w:p>
    <w:p>
      <w:pPr>
        <w:pStyle w:val="994"/>
        <w:ind w:right="180" w:firstLine="360"/>
        <w:jc w:val="center"/>
        <w:spacing w:before="0" w:beforeAutospacing="0" w:after="0" w:afterAutospacing="0"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法定代表人（签字或盖章）：</w:t>
      </w:r>
      <w:r/>
    </w:p>
    <w:p>
      <w:pPr>
        <w:pStyle w:val="994"/>
        <w:ind w:right="180" w:firstLine="360"/>
        <w:jc w:val="center"/>
        <w:spacing w:before="0" w:beforeAutospacing="0" w:after="0" w:afterAutospacing="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日  期：</w:t>
      </w:r>
      <w:r/>
    </w:p>
    <w:p>
      <w:pPr>
        <w:pStyle w:val="994"/>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99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9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9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94"/>
        <w:numPr>
          <w:ilvl w:val="0"/>
          <w:numId w:val="14"/>
        </w:numPr>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残疾人福利性单位声明函</w:t>
      </w:r>
      <w:r/>
    </w:p>
    <w:p>
      <w:pPr>
        <w:pStyle w:val="994"/>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9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9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94"/>
        <w:ind w:firstLine="480"/>
        <w:jc w:val="both"/>
        <w:spacing w:beforeAutospacing="0" w:afterAutospacing="0" w:line="0" w:lineRule="atLeast"/>
        <w:rPr>
          <w:color w:val="auto"/>
          <w:highlight w:val="none"/>
        </w:rPr>
      </w:pPr>
      <w:r>
        <w:rPr>
          <w:color w:val="auto"/>
          <w:highlight w:val="none"/>
        </w:rPr>
        <w:t xml:space="preserve"> </w:t>
      </w:r>
      <w:r/>
    </w:p>
    <w:p>
      <w:pPr>
        <w:pStyle w:val="99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94"/>
        <w:ind w:firstLine="624"/>
        <w:jc w:val="both"/>
        <w:spacing w:beforeAutospacing="0" w:afterAutospacing="0" w:line="0" w:lineRule="atLeast"/>
        <w:rPr>
          <w:color w:val="auto"/>
          <w:highlight w:val="none"/>
        </w:rPr>
      </w:pPr>
      <w:r>
        <w:rPr>
          <w:color w:val="auto"/>
          <w:highlight w:val="none"/>
        </w:rPr>
        <w:t xml:space="preserve"> </w:t>
      </w:r>
      <w:r/>
    </w:p>
    <w:p>
      <w:pPr>
        <w:pStyle w:val="994"/>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p>
    <w:p>
      <w:pPr>
        <w:pStyle w:val="994"/>
        <w:ind w:right="180" w:firstLine="360"/>
        <w:jc w:val="righ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ind w:right="180" w:firstLine="360"/>
        <w:jc w:val="right"/>
        <w:spacing w:before="0" w:beforeAutospacing="0" w:after="0" w:afterAutospacing="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28"/>
          <w:szCs w:val="28"/>
          <w:highlight w:val="none"/>
        </w:rPr>
        <w:t xml:space="preserve">企业名称（加盖CA电子公章）：</w:t>
      </w:r>
      <w:r/>
    </w:p>
    <w:p>
      <w:pPr>
        <w:pStyle w:val="994"/>
        <w:ind w:right="180" w:firstLine="360"/>
        <w:jc w:val="center"/>
        <w:spacing w:before="0" w:beforeAutospacing="0" w:after="0" w:afterAutospacing="0"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法定代表人（签字或盖章）：</w:t>
      </w:r>
      <w:r/>
    </w:p>
    <w:p>
      <w:pPr>
        <w:pStyle w:val="994"/>
        <w:ind w:right="180" w:firstLine="360"/>
        <w:jc w:val="center"/>
        <w:spacing w:before="0" w:beforeAutospacing="0" w:after="0" w:afterAutospacing="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日  期：</w:t>
      </w:r>
      <w:r/>
    </w:p>
    <w:p>
      <w:pPr>
        <w:pStyle w:val="994"/>
        <w:ind w:right="1560" w:firstLine="2942"/>
        <w:jc w:val="both"/>
        <w:spacing w:beforeAutospacing="0" w:afterAutospacing="0" w:line="0" w:lineRule="atLeast"/>
        <w:tabs>
          <w:tab w:val="left" w:pos="4864" w:leader="none"/>
        </w:tabs>
        <w:rPr>
          <w:color w:val="auto"/>
          <w:highlight w:val="none"/>
        </w:rPr>
      </w:pPr>
      <w:r>
        <w:rPr>
          <w:color w:val="auto"/>
          <w:highlight w:val="none"/>
        </w:rPr>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pStyle w:val="994"/>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994"/>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w:t>
      </w:r>
      <w:r/>
    </w:p>
    <w:p>
      <w:pPr>
        <w:pStyle w:val="994"/>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994"/>
        <w:ind w:left="0" w:firstLine="420"/>
        <w:jc w:val="both"/>
        <w:keepLines w:val="0"/>
        <w:keepNext w:val="0"/>
        <w:spacing w:before="0" w:beforeAutospacing="0" w:after="0" w:afterAutospacing="0"/>
        <w:widowControl w:val="off"/>
        <w:rPr>
          <w:b/>
          <w:bCs/>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4"/>
        <w:ind w:left="0" w:firstLine="420"/>
        <w:jc w:val="both"/>
        <w:keepLines w:val="0"/>
        <w:keepNext w:val="0"/>
        <w:spacing w:before="30" w:beforeAutospacing="0" w:after="30" w:afterAutospacing="0"/>
        <w:widowControl w:val="off"/>
        <w:rPr>
          <w:b/>
          <w:bCs/>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highlight w:val="none"/>
          <w:shd w:val="clear" w:color="auto" w:fill="ffffff"/>
        </w:rPr>
        <w:t xml:space="preserve">1.</w:t>
      </w:r>
      <w:r>
        <w:rPr>
          <w:rFonts w:ascii="宋体" w:hAnsi="宋体" w:eastAsia="宋体" w:cs="宋体"/>
          <w:b/>
          <w:bCs/>
          <w:strike w:val="0"/>
          <w:color w:val="auto"/>
          <w:sz w:val="24"/>
          <w:szCs w:val="24"/>
          <w:highlight w:val="none"/>
          <w:u w:val="single"/>
          <w:shd w:val="clear" w:color="auto" w:fill="ffffff"/>
        </w:rPr>
        <w:t xml:space="preserve">（产品名称1）</w:t>
      </w:r>
      <w:r>
        <w:rPr>
          <w:rFonts w:ascii="宋体" w:hAnsi="宋体" w:eastAsia="宋体" w:cs="宋体"/>
          <w:b/>
          <w:bCs/>
          <w:strike w:val="0"/>
          <w:color w:val="auto"/>
          <w:sz w:val="24"/>
          <w:szCs w:val="24"/>
          <w:highlight w:val="none"/>
          <w:shd w:val="clear" w:color="auto" w:fill="ffffff"/>
          <w:vertAlign w:val="superscript"/>
        </w:rPr>
        <w:t xml:space="preserve">1</w:t>
      </w:r>
      <w:r>
        <w:rPr>
          <w:rFonts w:ascii="宋体" w:hAnsi="宋体" w:eastAsia="宋体" w:cs="宋体"/>
          <w:b/>
          <w:bCs/>
          <w:strike w:val="0"/>
          <w:color w:val="auto"/>
          <w:sz w:val="24"/>
          <w:szCs w:val="24"/>
          <w:highlight w:val="none"/>
          <w:shd w:val="clear" w:color="auto" w:fill="ffffff"/>
        </w:rPr>
        <w:t xml:space="preserve">，生产厂为</w:t>
      </w:r>
      <w:r>
        <w:rPr>
          <w:rFonts w:ascii="宋体" w:hAnsi="宋体" w:eastAsia="宋体" w:cs="宋体"/>
          <w:b/>
          <w:bCs/>
          <w:strike w:val="0"/>
          <w:color w:val="auto"/>
          <w:sz w:val="24"/>
          <w:szCs w:val="24"/>
          <w:highlight w:val="none"/>
          <w:u w:val="single"/>
          <w:shd w:val="clear" w:color="auto" w:fill="ffffff"/>
        </w:rPr>
        <w:t xml:space="preserve">（厂名）</w:t>
      </w:r>
      <w:r>
        <w:rPr>
          <w:rFonts w:ascii="宋体" w:hAnsi="宋体" w:eastAsia="宋体" w:cs="宋体"/>
          <w:b/>
          <w:bCs/>
          <w:strike w:val="0"/>
          <w:color w:val="auto"/>
          <w:sz w:val="24"/>
          <w:szCs w:val="24"/>
          <w:highlight w:val="none"/>
          <w:shd w:val="clear" w:color="auto" w:fill="ffffff"/>
          <w:vertAlign w:val="superscript"/>
        </w:rPr>
        <w:t xml:space="preserve">2</w:t>
      </w:r>
      <w:r>
        <w:rPr>
          <w:rFonts w:ascii="宋体" w:hAnsi="宋体" w:eastAsia="宋体" w:cs="宋体"/>
          <w:b/>
          <w:bCs/>
          <w:strike w:val="0"/>
          <w:color w:val="auto"/>
          <w:sz w:val="24"/>
          <w:szCs w:val="24"/>
          <w:highlight w:val="none"/>
          <w:shd w:val="clear" w:color="auto" w:fill="ffffff"/>
        </w:rPr>
        <w:t xml:space="preserve">，厂址为</w:t>
      </w:r>
      <w:r>
        <w:rPr>
          <w:rFonts w:ascii="宋体" w:hAnsi="宋体" w:eastAsia="宋体" w:cs="宋体"/>
          <w:b/>
          <w:bCs/>
          <w:strike w:val="0"/>
          <w:color w:val="auto"/>
          <w:sz w:val="24"/>
          <w:szCs w:val="24"/>
          <w:highlight w:val="none"/>
          <w:u w:val="single"/>
          <w:shd w:val="clear" w:color="auto" w:fill="ffffff"/>
        </w:rPr>
        <w:t xml:space="preserve">（生产厂址）</w:t>
      </w:r>
      <w:r>
        <w:rPr>
          <w:rFonts w:ascii="宋体" w:hAnsi="宋体" w:eastAsia="宋体" w:cs="宋体"/>
          <w:b/>
          <w:bCs/>
          <w:strike w:val="0"/>
          <w:color w:val="auto"/>
          <w:sz w:val="24"/>
          <w:szCs w:val="24"/>
          <w:highlight w:val="none"/>
          <w:shd w:val="clear" w:color="auto" w:fill="ffffff"/>
        </w:rPr>
        <w:t xml:space="preserve">。</w:t>
      </w:r>
      <w:r>
        <w:rPr>
          <w:rFonts w:ascii="宋体" w:hAnsi="宋体" w:eastAsia="宋体" w:cs="宋体"/>
          <w:b/>
          <w:bCs/>
          <w:strike w:val="0"/>
          <w:color w:val="auto"/>
          <w:sz w:val="24"/>
          <w:szCs w:val="24"/>
          <w:highlight w:val="none"/>
          <w:u w:val="single"/>
          <w:shd w:val="clear" w:color="auto" w:fill="ffffff"/>
        </w:rPr>
        <w:t xml:space="preserve"> （产品名称1） </w:t>
      </w:r>
      <w:r>
        <w:rPr>
          <w:rFonts w:ascii="宋体" w:hAnsi="宋体" w:eastAsia="宋体" w:cs="宋体"/>
          <w:b/>
          <w:bCs/>
          <w:strike w:val="0"/>
          <w:color w:val="auto"/>
          <w:sz w:val="24"/>
          <w:szCs w:val="24"/>
          <w:highlight w:val="none"/>
          <w:shd w:val="clear" w:color="auto" w:fill="ffffff"/>
        </w:rPr>
        <w:t xml:space="preserve">的中国境内生产的组件成本占比≥</w:t>
      </w:r>
      <w:r>
        <w:rPr>
          <w:rFonts w:ascii="宋体" w:hAnsi="宋体" w:eastAsia="宋体" w:cs="宋体"/>
          <w:b/>
          <w:bCs/>
          <w:strike w:val="0"/>
          <w:color w:val="auto"/>
          <w:sz w:val="24"/>
          <w:szCs w:val="24"/>
          <w:highlight w:val="none"/>
          <w:u w:val="single"/>
          <w:shd w:val="clear" w:color="auto" w:fill="ffffff"/>
        </w:rPr>
        <w:t xml:space="preserve">（规定比例）</w:t>
      </w:r>
      <w:r>
        <w:rPr>
          <w:rFonts w:ascii="宋体" w:hAnsi="宋体" w:eastAsia="宋体" w:cs="宋体"/>
          <w:b/>
          <w:bCs/>
          <w:strike w:val="0"/>
          <w:color w:val="auto"/>
          <w:sz w:val="24"/>
          <w:szCs w:val="24"/>
          <w:highlight w:val="none"/>
          <w:shd w:val="clear" w:color="auto" w:fill="ffffff"/>
          <w:vertAlign w:val="superscript"/>
        </w:rPr>
        <w:t xml:space="preserve">3</w:t>
      </w:r>
      <w:r>
        <w:rPr>
          <w:rFonts w:ascii="宋体" w:hAnsi="宋体" w:eastAsia="宋体" w:cs="宋体"/>
          <w:b/>
          <w:bCs/>
          <w:strike w:val="0"/>
          <w:color w:val="auto"/>
          <w:sz w:val="24"/>
          <w:szCs w:val="24"/>
          <w:highlight w:val="none"/>
          <w:shd w:val="clear" w:color="auto" w:fill="ffffff"/>
        </w:rPr>
        <w:t xml:space="preserve">。</w:t>
      </w:r>
      <w:r>
        <w:rPr>
          <w:rFonts w:ascii="宋体" w:hAnsi="宋体" w:eastAsia="宋体" w:cs="宋体"/>
          <w:b/>
          <w:bCs/>
          <w:strike w:val="0"/>
          <w:color w:val="auto"/>
          <w:sz w:val="24"/>
          <w:szCs w:val="24"/>
          <w:highlight w:val="none"/>
          <w:u w:val="single"/>
          <w:shd w:val="clear" w:color="auto" w:fill="ffffff"/>
        </w:rPr>
        <w:t xml:space="preserve">（产品名称1）</w:t>
      </w:r>
      <w:r>
        <w:rPr>
          <w:rFonts w:ascii="宋体" w:hAnsi="宋体" w:eastAsia="宋体" w:cs="宋体"/>
          <w:b/>
          <w:bCs/>
          <w:strike w:val="0"/>
          <w:color w:val="auto"/>
          <w:sz w:val="24"/>
          <w:szCs w:val="24"/>
          <w:highlight w:val="none"/>
          <w:shd w:val="clear" w:color="auto" w:fill="ffffff"/>
        </w:rPr>
        <w:t xml:space="preserve">的</w:t>
      </w:r>
      <w:r>
        <w:rPr>
          <w:rFonts w:ascii="宋体" w:hAnsi="宋体" w:eastAsia="宋体" w:cs="宋体"/>
          <w:b/>
          <w:bCs/>
          <w:strike w:val="0"/>
          <w:color w:val="auto"/>
          <w:sz w:val="24"/>
          <w:szCs w:val="24"/>
          <w:highlight w:val="none"/>
          <w:u w:val="single"/>
          <w:shd w:val="clear" w:color="auto" w:fill="ffffff"/>
        </w:rPr>
        <w:t xml:space="preserve">（关键组件）</w:t>
      </w:r>
      <w:r>
        <w:rPr>
          <w:rFonts w:ascii="宋体" w:hAnsi="宋体" w:eastAsia="宋体" w:cs="宋体"/>
          <w:b/>
          <w:bCs/>
          <w:strike w:val="0"/>
          <w:color w:val="auto"/>
          <w:sz w:val="24"/>
          <w:szCs w:val="24"/>
          <w:highlight w:val="none"/>
          <w:shd w:val="clear" w:color="auto" w:fill="ffffff"/>
          <w:vertAlign w:val="superscript"/>
        </w:rPr>
        <w:t xml:space="preserve">4</w:t>
      </w:r>
      <w:r>
        <w:rPr>
          <w:rFonts w:ascii="宋体" w:hAnsi="宋体" w:eastAsia="宋体" w:cs="宋体"/>
          <w:b/>
          <w:bCs/>
          <w:strike w:val="0"/>
          <w:color w:val="auto"/>
          <w:sz w:val="24"/>
          <w:szCs w:val="24"/>
          <w:highlight w:val="none"/>
          <w:shd w:val="clear" w:color="auto" w:fill="ffffff"/>
        </w:rPr>
        <w:t xml:space="preserve">在中国境内生产。</w:t>
      </w:r>
      <w:r>
        <w:rPr>
          <w:rFonts w:ascii="宋体" w:hAnsi="宋体" w:eastAsia="宋体" w:cs="宋体"/>
          <w:b/>
          <w:bCs/>
          <w:strike w:val="0"/>
          <w:color w:val="auto"/>
          <w:sz w:val="24"/>
          <w:szCs w:val="24"/>
          <w:highlight w:val="none"/>
          <w:u w:val="single"/>
          <w:shd w:val="clear" w:color="auto" w:fill="ffffff"/>
        </w:rPr>
        <w:t xml:space="preserve">（产品名称1）</w:t>
      </w:r>
      <w:r>
        <w:rPr>
          <w:rFonts w:ascii="宋体" w:hAnsi="宋体" w:eastAsia="宋体" w:cs="宋体"/>
          <w:b/>
          <w:bCs/>
          <w:strike w:val="0"/>
          <w:color w:val="auto"/>
          <w:sz w:val="24"/>
          <w:szCs w:val="24"/>
          <w:highlight w:val="none"/>
          <w:shd w:val="clear" w:color="auto" w:fill="ffffff"/>
        </w:rPr>
        <w:t xml:space="preserve">的</w:t>
      </w:r>
      <w:r>
        <w:rPr>
          <w:rFonts w:ascii="宋体" w:hAnsi="宋体" w:eastAsia="宋体" w:cs="宋体"/>
          <w:b/>
          <w:bCs/>
          <w:strike w:val="0"/>
          <w:color w:val="auto"/>
          <w:sz w:val="24"/>
          <w:szCs w:val="24"/>
          <w:highlight w:val="none"/>
          <w:u w:val="single"/>
          <w:shd w:val="clear" w:color="auto" w:fill="ffffff"/>
        </w:rPr>
        <w:t xml:space="preserve">（关键工序）</w:t>
      </w:r>
      <w:r>
        <w:rPr>
          <w:rFonts w:ascii="宋体" w:hAnsi="宋体" w:eastAsia="宋体" w:cs="宋体"/>
          <w:b/>
          <w:bCs/>
          <w:strike w:val="0"/>
          <w:color w:val="auto"/>
          <w:sz w:val="24"/>
          <w:szCs w:val="24"/>
          <w:highlight w:val="none"/>
          <w:shd w:val="clear" w:color="auto" w:fill="ffffff"/>
          <w:vertAlign w:val="superscript"/>
        </w:rPr>
        <w:t xml:space="preserve">5</w:t>
      </w:r>
      <w:r>
        <w:rPr>
          <w:rFonts w:ascii="宋体" w:hAnsi="宋体" w:eastAsia="宋体" w:cs="宋体"/>
          <w:b/>
          <w:bCs/>
          <w:strike w:val="0"/>
          <w:color w:val="auto"/>
          <w:sz w:val="24"/>
          <w:szCs w:val="24"/>
          <w:highlight w:val="none"/>
          <w:shd w:val="clear" w:color="auto" w:fill="ffffff"/>
        </w:rPr>
        <w:t xml:space="preserve">在中国境内完成。</w:t>
      </w:r>
      <w:r/>
    </w:p>
    <w:p>
      <w:pPr>
        <w:pStyle w:val="994"/>
        <w:ind w:left="0" w:firstLine="420"/>
        <w:jc w:val="both"/>
        <w:keepLines w:val="0"/>
        <w:keepNext w:val="0"/>
        <w:spacing w:before="30" w:beforeAutospacing="0" w:after="30" w:afterAutospacing="0"/>
        <w:widowControl w:val="off"/>
        <w:rPr>
          <w:b/>
          <w:bCs/>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highlight w:val="none"/>
          <w:shd w:val="clear" w:color="auto" w:fill="ffffff"/>
        </w:rPr>
        <w:t xml:space="preserve">2.</w:t>
      </w:r>
      <w:r>
        <w:rPr>
          <w:rFonts w:ascii="宋体" w:hAnsi="宋体" w:eastAsia="宋体" w:cs="宋体"/>
          <w:b/>
          <w:bCs/>
          <w:strike w:val="0"/>
          <w:color w:val="auto"/>
          <w:sz w:val="24"/>
          <w:szCs w:val="24"/>
          <w:highlight w:val="none"/>
          <w:u w:val="single"/>
          <w:shd w:val="clear" w:color="auto" w:fill="ffffff"/>
        </w:rPr>
        <w:t xml:space="preserve">（产品名称2）</w:t>
      </w:r>
      <w:r>
        <w:rPr>
          <w:rFonts w:ascii="宋体" w:hAnsi="宋体" w:eastAsia="宋体" w:cs="宋体"/>
          <w:b/>
          <w:bCs/>
          <w:strike w:val="0"/>
          <w:color w:val="auto"/>
          <w:sz w:val="24"/>
          <w:szCs w:val="24"/>
          <w:highlight w:val="none"/>
          <w:shd w:val="clear" w:color="auto" w:fill="ffffff"/>
        </w:rPr>
        <w:t xml:space="preserve">，生产厂为</w:t>
      </w:r>
      <w:r>
        <w:rPr>
          <w:rFonts w:ascii="宋体" w:hAnsi="宋体" w:eastAsia="宋体" w:cs="宋体"/>
          <w:b/>
          <w:bCs/>
          <w:strike w:val="0"/>
          <w:color w:val="auto"/>
          <w:sz w:val="24"/>
          <w:szCs w:val="24"/>
          <w:highlight w:val="none"/>
          <w:u w:val="single"/>
          <w:shd w:val="clear" w:color="auto" w:fill="ffffff"/>
        </w:rPr>
        <w:t xml:space="preserve">（厂名）</w:t>
      </w:r>
      <w:r>
        <w:rPr>
          <w:rFonts w:ascii="宋体" w:hAnsi="宋体" w:eastAsia="宋体" w:cs="宋体"/>
          <w:b/>
          <w:bCs/>
          <w:strike w:val="0"/>
          <w:color w:val="auto"/>
          <w:sz w:val="24"/>
          <w:szCs w:val="24"/>
          <w:highlight w:val="none"/>
          <w:shd w:val="clear" w:color="auto" w:fill="ffffff"/>
        </w:rPr>
        <w:t xml:space="preserve">，厂址为</w:t>
      </w:r>
      <w:r>
        <w:rPr>
          <w:rFonts w:ascii="宋体" w:hAnsi="宋体" w:eastAsia="宋体" w:cs="宋体"/>
          <w:b/>
          <w:bCs/>
          <w:strike w:val="0"/>
          <w:color w:val="auto"/>
          <w:sz w:val="24"/>
          <w:szCs w:val="24"/>
          <w:highlight w:val="none"/>
          <w:u w:val="single"/>
          <w:shd w:val="clear" w:color="auto" w:fill="ffffff"/>
        </w:rPr>
        <w:t xml:space="preserve">（生产厂址）</w:t>
      </w:r>
      <w:r>
        <w:rPr>
          <w:rFonts w:ascii="宋体" w:hAnsi="宋体" w:eastAsia="宋体" w:cs="宋体"/>
          <w:b/>
          <w:bCs/>
          <w:strike w:val="0"/>
          <w:color w:val="auto"/>
          <w:sz w:val="24"/>
          <w:szCs w:val="24"/>
          <w:highlight w:val="none"/>
          <w:shd w:val="clear" w:color="auto" w:fill="ffffff"/>
        </w:rPr>
        <w:t xml:space="preserve">。</w:t>
      </w:r>
      <w:r>
        <w:rPr>
          <w:rFonts w:ascii="宋体" w:hAnsi="宋体" w:eastAsia="宋体" w:cs="宋体"/>
          <w:b/>
          <w:bCs/>
          <w:strike w:val="0"/>
          <w:color w:val="auto"/>
          <w:sz w:val="24"/>
          <w:szCs w:val="24"/>
          <w:highlight w:val="none"/>
          <w:u w:val="single"/>
          <w:shd w:val="clear" w:color="auto" w:fill="ffffff"/>
        </w:rPr>
        <w:t xml:space="preserve">（产品名称2）</w:t>
      </w:r>
      <w:r>
        <w:rPr>
          <w:rFonts w:ascii="宋体" w:hAnsi="宋体" w:eastAsia="宋体" w:cs="宋体"/>
          <w:b/>
          <w:bCs/>
          <w:strike w:val="0"/>
          <w:color w:val="auto"/>
          <w:sz w:val="24"/>
          <w:szCs w:val="24"/>
          <w:highlight w:val="none"/>
          <w:shd w:val="clear" w:color="auto" w:fill="ffffff"/>
        </w:rPr>
        <w:t xml:space="preserve">的中国境内生产的组件成本占比≥</w:t>
      </w:r>
      <w:r>
        <w:rPr>
          <w:rFonts w:ascii="宋体" w:hAnsi="宋体" w:eastAsia="宋体" w:cs="宋体"/>
          <w:b/>
          <w:bCs/>
          <w:strike w:val="0"/>
          <w:color w:val="auto"/>
          <w:sz w:val="24"/>
          <w:szCs w:val="24"/>
          <w:highlight w:val="none"/>
          <w:u w:val="single"/>
          <w:shd w:val="clear" w:color="auto" w:fill="ffffff"/>
        </w:rPr>
        <w:t xml:space="preserve">（规定比例）</w:t>
      </w:r>
      <w:r>
        <w:rPr>
          <w:rFonts w:ascii="宋体" w:hAnsi="宋体" w:eastAsia="宋体" w:cs="宋体"/>
          <w:b/>
          <w:bCs/>
          <w:strike w:val="0"/>
          <w:color w:val="auto"/>
          <w:sz w:val="24"/>
          <w:szCs w:val="24"/>
          <w:highlight w:val="none"/>
          <w:shd w:val="clear" w:color="auto" w:fill="ffffff"/>
        </w:rPr>
        <w:t xml:space="preserve">。</w:t>
      </w:r>
      <w:r>
        <w:rPr>
          <w:rFonts w:ascii="宋体" w:hAnsi="宋体" w:eastAsia="宋体" w:cs="宋体"/>
          <w:b/>
          <w:bCs/>
          <w:strike w:val="0"/>
          <w:color w:val="auto"/>
          <w:sz w:val="24"/>
          <w:szCs w:val="24"/>
          <w:highlight w:val="none"/>
          <w:u w:val="single"/>
          <w:shd w:val="clear" w:color="auto" w:fill="ffffff"/>
        </w:rPr>
        <w:t xml:space="preserve">（产品名称2）</w:t>
      </w:r>
      <w:r>
        <w:rPr>
          <w:rFonts w:ascii="宋体" w:hAnsi="宋体" w:eastAsia="宋体" w:cs="宋体"/>
          <w:b/>
          <w:bCs/>
          <w:strike w:val="0"/>
          <w:color w:val="auto"/>
          <w:sz w:val="24"/>
          <w:szCs w:val="24"/>
          <w:highlight w:val="none"/>
          <w:shd w:val="clear" w:color="auto" w:fill="ffffff"/>
        </w:rPr>
        <w:t xml:space="preserve">的</w:t>
      </w:r>
      <w:r>
        <w:rPr>
          <w:rFonts w:ascii="宋体" w:hAnsi="宋体" w:eastAsia="宋体" w:cs="宋体"/>
          <w:b/>
          <w:bCs/>
          <w:strike w:val="0"/>
          <w:color w:val="auto"/>
          <w:sz w:val="24"/>
          <w:szCs w:val="24"/>
          <w:highlight w:val="none"/>
          <w:u w:val="single"/>
          <w:shd w:val="clear" w:color="auto" w:fill="ffffff"/>
        </w:rPr>
        <w:t xml:space="preserve">（关键组件）</w:t>
      </w:r>
      <w:r>
        <w:rPr>
          <w:rFonts w:ascii="宋体" w:hAnsi="宋体" w:eastAsia="宋体" w:cs="宋体"/>
          <w:b/>
          <w:bCs/>
          <w:strike w:val="0"/>
          <w:color w:val="auto"/>
          <w:sz w:val="24"/>
          <w:szCs w:val="24"/>
          <w:highlight w:val="none"/>
          <w:shd w:val="clear" w:color="auto" w:fill="ffffff"/>
        </w:rPr>
        <w:t xml:space="preserve">在中国境内生产。</w:t>
      </w:r>
      <w:r>
        <w:rPr>
          <w:rFonts w:ascii="宋体" w:hAnsi="宋体" w:eastAsia="宋体" w:cs="宋体"/>
          <w:b/>
          <w:bCs/>
          <w:strike w:val="0"/>
          <w:color w:val="auto"/>
          <w:sz w:val="24"/>
          <w:szCs w:val="24"/>
          <w:highlight w:val="none"/>
          <w:u w:val="single"/>
          <w:shd w:val="clear" w:color="auto" w:fill="ffffff"/>
        </w:rPr>
        <w:t xml:space="preserve">（产品名称1）</w:t>
      </w:r>
      <w:r>
        <w:rPr>
          <w:rFonts w:ascii="宋体" w:hAnsi="宋体" w:eastAsia="宋体" w:cs="宋体"/>
          <w:b/>
          <w:bCs/>
          <w:strike w:val="0"/>
          <w:color w:val="auto"/>
          <w:sz w:val="24"/>
          <w:szCs w:val="24"/>
          <w:highlight w:val="none"/>
          <w:shd w:val="clear" w:color="auto" w:fill="ffffff"/>
        </w:rPr>
        <w:t xml:space="preserve">的</w:t>
      </w:r>
      <w:r>
        <w:rPr>
          <w:rFonts w:ascii="宋体" w:hAnsi="宋体" w:eastAsia="宋体" w:cs="宋体"/>
          <w:b/>
          <w:bCs/>
          <w:strike w:val="0"/>
          <w:color w:val="auto"/>
          <w:sz w:val="24"/>
          <w:szCs w:val="24"/>
          <w:highlight w:val="none"/>
          <w:u w:val="single"/>
          <w:shd w:val="clear" w:color="auto" w:fill="ffffff"/>
        </w:rPr>
        <w:t xml:space="preserve">（关键工序）</w:t>
      </w:r>
      <w:r>
        <w:rPr>
          <w:rFonts w:ascii="宋体" w:hAnsi="宋体" w:eastAsia="宋体" w:cs="宋体"/>
          <w:b/>
          <w:bCs/>
          <w:strike w:val="0"/>
          <w:color w:val="auto"/>
          <w:sz w:val="24"/>
          <w:szCs w:val="24"/>
          <w:highlight w:val="none"/>
          <w:shd w:val="clear" w:color="auto" w:fill="ffffff"/>
        </w:rPr>
        <w:t xml:space="preserve">在中国境内完成。</w:t>
      </w:r>
      <w:r/>
    </w:p>
    <w:p>
      <w:pPr>
        <w:pStyle w:val="994"/>
        <w:ind w:left="0" w:firstLine="420"/>
        <w:jc w:val="both"/>
        <w:keepLines w:val="0"/>
        <w:keepNext w:val="0"/>
        <w:spacing w:before="30" w:beforeAutospacing="0" w:after="30" w:afterAutospacing="0"/>
        <w:widowControl w:val="off"/>
        <w:rPr>
          <w:b/>
          <w:bCs/>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highlight w:val="none"/>
          <w:shd w:val="clear" w:color="auto" w:fill="ffffff"/>
        </w:rPr>
        <w:t xml:space="preserve">……</w:t>
      </w:r>
      <w:r/>
    </w:p>
    <w:p>
      <w:pPr>
        <w:pStyle w:val="994"/>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99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994"/>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94"/>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994"/>
        <w:jc w:val="center"/>
        <w:spacing w:beforeAutospacing="0" w:afterAutospacing="0" w:line="0" w:lineRule="atLeast"/>
        <w:rPr>
          <w:color w:val="auto"/>
          <w:highlight w:val="none"/>
        </w:rPr>
      </w:pPr>
      <w:r>
        <w:rPr>
          <w:color w:val="auto"/>
          <w:highlight w:val="none"/>
        </w:rPr>
        <w:t xml:space="preserve"> </w:t>
      </w:r>
      <w:r/>
    </w:p>
    <w:p>
      <w:pPr>
        <w:pStyle w:val="994"/>
        <w:numPr>
          <w:ilvl w:val="0"/>
          <w:numId w:val="14"/>
        </w:numPr>
        <w:ind w:left="0" w:firstLine="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投标分项报价表</w:t>
      </w:r>
      <w:bookmarkStart w:id="206" w:name="_GoBack"/>
      <w:r/>
      <w:bookmarkEnd w:id="206"/>
      <w:r/>
      <w:r/>
    </w:p>
    <w:p>
      <w:pPr>
        <w:pStyle w:val="994"/>
        <w:numPr>
          <w:numId w:val="0"/>
        </w:numPr>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988"/>
        <w:tblW w:w="8845" w:type="dxa"/>
        <w:tblCellSpacing w:w="0" w:type="dxa"/>
        <w:tblInd w:w="-123" w:type="dxa"/>
        <w:tblLayout w:type="fixed"/>
        <w:tblCellMar>
          <w:left w:w="108" w:type="dxa"/>
          <w:top w:w="0" w:type="dxa"/>
          <w:right w:w="108" w:type="dxa"/>
          <w:bottom w:w="0" w:type="dxa"/>
        </w:tblCellMar>
        <w:tblLook w:val="04A0" w:firstRow="1" w:lastRow="0" w:firstColumn="1" w:lastColumn="0" w:noHBand="0" w:noVBand="1"/>
      </w:tblPr>
      <w:tblGrid>
        <w:gridCol w:w="679"/>
        <w:gridCol w:w="996"/>
        <w:gridCol w:w="905"/>
        <w:gridCol w:w="1298"/>
        <w:gridCol w:w="746"/>
        <w:gridCol w:w="918"/>
        <w:gridCol w:w="696"/>
        <w:gridCol w:w="1261"/>
        <w:gridCol w:w="1346"/>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4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9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892"/>
        </w:trPr>
        <w:tc>
          <w:tcPr>
            <w:gridSpan w:val="8"/>
            <w:shd w:val="clear" w:color="auto" w:fill="auto"/>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994"/>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pStyle w:val="994"/>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9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94"/>
        <w:numPr>
          <w:ilvl w:val="0"/>
          <w:numId w:val="15"/>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94"/>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9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both"/>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9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bl>
    <w:p>
      <w:pPr>
        <w:pStyle w:val="99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bookmarkStart w:id="192"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9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bookmarkStart w:id="193" w:name="_Hlt24879081"/>
            <w:r/>
            <w:bookmarkStart w:id="194" w:name="_Hlt26671343"/>
            <w:r/>
            <w:bookmarkStart w:id="195" w:name="_Hlt26955064"/>
            <w:r/>
            <w:bookmarkStart w:id="196" w:name="_Hlt26955056"/>
            <w:r/>
            <w:bookmarkStart w:id="197" w:name="_Hlt26580838"/>
            <w:r/>
            <w:bookmarkStart w:id="198" w:name="_Hlt26671372"/>
            <w:r/>
            <w:bookmarkStart w:id="199" w:name="_Hlt26609391"/>
            <w:r/>
            <w:bookmarkStart w:id="200" w:name="_Hlt26782999"/>
            <w:r>
              <w:rPr>
                <w:rFonts w:hint="eastAsia" w:ascii="宋体" w:hAnsi="宋体" w:eastAsia="宋体" w:cs="宋体"/>
                <w:color w:val="auto"/>
                <w:highlight w:val="none"/>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94"/>
              <w:jc w:val="center"/>
              <w:spacing w:beforeAutospacing="0" w:afterAutospacing="0"/>
              <w:rPr>
                <w:color w:val="auto"/>
                <w:highlight w:val="none"/>
              </w:rPr>
            </w:pPr>
            <w:r>
              <w:rPr>
                <w:color w:val="auto"/>
                <w:highlight w:val="none"/>
              </w:rPr>
              <w:t xml:space="preserve"> </w:t>
            </w:r>
            <w:r/>
          </w:p>
        </w:tc>
      </w:tr>
    </w:tbl>
    <w:p>
      <w:pPr>
        <w:pStyle w:val="99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94"/>
        <w:jc w:val="both"/>
        <w:spacing w:beforeAutospacing="0" w:afterAutospacing="0" w:line="480" w:lineRule="auto"/>
        <w:rPr>
          <w:color w:val="auto"/>
          <w:highlight w:val="none"/>
        </w:rPr>
      </w:pPr>
      <w:r>
        <w:rPr>
          <w:color w:val="auto"/>
          <w:highlight w:val="none"/>
        </w:rPr>
        <w:t xml:space="preserve"> </w:t>
      </w:r>
      <w:r/>
    </w:p>
    <w:p>
      <w:pPr>
        <w:pStyle w:val="994"/>
        <w:jc w:val="both"/>
        <w:spacing w:beforeAutospacing="0" w:afterAutospacing="0" w:line="480" w:lineRule="auto"/>
        <w:rPr>
          <w:color w:val="auto"/>
          <w:highlight w:val="none"/>
        </w:rPr>
      </w:pPr>
      <w:r>
        <w:rPr>
          <w:color w:val="auto"/>
          <w:highlight w:val="none"/>
        </w:rPr>
        <w:t xml:space="preserve"> </w:t>
      </w:r>
      <w:r/>
    </w:p>
    <w:p>
      <w:pPr>
        <w:pStyle w:val="994"/>
        <w:jc w:val="center"/>
        <w:spacing w:beforeAutospacing="0" w:afterAutospacing="0"/>
        <w:rPr>
          <w:color w:val="auto"/>
          <w:highlight w:val="none"/>
        </w:rPr>
      </w:pPr>
      <w:r/>
      <w:bookmarkStart w:id="201" w:name="_Hlt26609389"/>
      <w:r/>
      <w:bookmarkStart w:id="202" w:name="_Hlt26955066"/>
      <w:r/>
      <w:bookmarkStart w:id="203" w:name="_Toc462564146"/>
      <w:r/>
      <w:bookmarkStart w:id="204" w:name="_格式2__法定代表人授权书"/>
      <w:r/>
      <w:bookmarkStart w:id="205" w:name="_Hlt26671374"/>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r>
      <w:r/>
    </w:p>
    <w:p>
      <w:pPr>
        <w:pStyle w:val="994"/>
        <w:jc w:val="center"/>
        <w:spacing w:beforeAutospacing="0" w:afterAutospacing="0"/>
        <w:rPr>
          <w:color w:val="auto"/>
          <w:highlight w:val="none"/>
        </w:rPr>
      </w:pPr>
      <w:r>
        <w:rPr>
          <w:color w:val="auto"/>
          <w:highlight w:val="none"/>
        </w:rPr>
        <w:t xml:space="preserve"> </w:t>
      </w:r>
      <w:r/>
    </w:p>
    <w:p>
      <w:pPr>
        <w:pStyle w:val="994"/>
        <w:jc w:val="center"/>
        <w:spacing w:beforeAutospacing="0" w:afterAutospacing="0"/>
        <w:rPr>
          <w:b/>
          <w:bCs w:val="0"/>
          <w:i w:val="0"/>
          <w:iCs/>
          <w:color w:val="auto"/>
          <w:highlight w:val="none"/>
          <w:u w:val="none"/>
          <w:shd w:val="clear" w:color="auto" w:fill="auto"/>
        </w:rPr>
      </w:pPr>
      <w:r>
        <w:rPr>
          <w:rFonts w:hint="eastAsia" w:ascii="黑体" w:hAnsi="宋体" w:eastAsia="黑体" w:cs="黑体"/>
          <w:b/>
          <w:bCs w:val="0"/>
          <w:i w:val="0"/>
          <w:iCs/>
          <w:color w:val="auto"/>
          <w:sz w:val="32"/>
          <w:szCs w:val="32"/>
          <w:highlight w:val="none"/>
          <w:u w:val="none"/>
        </w:rPr>
        <w:t xml:space="preserve">十</w:t>
      </w:r>
      <w:r>
        <w:rPr>
          <w:rFonts w:hint="eastAsia" w:ascii="黑体" w:hAnsi="宋体" w:eastAsia="黑体" w:cs="黑体"/>
          <w:b/>
          <w:bCs w:val="0"/>
          <w:i w:val="0"/>
          <w:iCs/>
          <w:color w:val="auto"/>
          <w:sz w:val="32"/>
          <w:szCs w:val="32"/>
          <w:highlight w:val="none"/>
          <w:u w:val="none"/>
          <w:lang w:val="en-US" w:eastAsia="zh-CN"/>
        </w:rPr>
        <w:t xml:space="preserve">五</w:t>
      </w:r>
      <w:r>
        <w:rPr>
          <w:rFonts w:hint="eastAsia" w:ascii="黑体" w:hAnsi="宋体" w:eastAsia="黑体" w:cs="黑体"/>
          <w:b/>
          <w:bCs w:val="0"/>
          <w:i w:val="0"/>
          <w:iCs/>
          <w:color w:val="auto"/>
          <w:sz w:val="32"/>
          <w:szCs w:val="32"/>
          <w:highlight w:val="none"/>
          <w:u w:val="none"/>
        </w:rPr>
        <w:t xml:space="preserve">、开标一览表</w:t>
      </w:r>
      <w:r/>
    </w:p>
    <w:p>
      <w:pPr>
        <w:pStyle w:val="994"/>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994"/>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99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9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98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9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94"/>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9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94"/>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94"/>
              <w:spacing w:beforeAutospacing="0" w:afterAutospacing="0" w:line="0" w:lineRule="atLeast"/>
              <w:rPr>
                <w:color w:val="auto"/>
                <w:highlight w:val="none"/>
              </w:rPr>
            </w:pPr>
            <w:r>
              <w:rPr>
                <w:color w:val="auto"/>
                <w:highlight w:val="none"/>
              </w:rPr>
              <w:t xml:space="preserve"> </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94"/>
              <w:jc w:val="center"/>
              <w:spacing w:beforeAutospacing="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94"/>
              <w:spacing w:beforeAutospacing="0" w:afterAutospacing="0" w:line="0" w:lineRule="atLeast"/>
              <w:rPr>
                <w:color w:val="auto"/>
                <w:highlight w:val="none"/>
              </w:rPr>
            </w:pPr>
            <w:r>
              <w:rPr>
                <w:color w:val="auto"/>
                <w:highlight w:val="none"/>
              </w:rPr>
            </w:r>
            <w:r/>
          </w:p>
        </w:tc>
      </w:tr>
    </w:tbl>
    <w:p>
      <w:pPr>
        <w:pStyle w:val="994"/>
        <w:jc w:val="both"/>
        <w:spacing w:beforeAutospacing="0" w:afterAutospacing="0"/>
        <w:rPr>
          <w:color w:val="auto"/>
          <w:highlight w:val="none"/>
        </w:rPr>
      </w:pPr>
      <w:r>
        <w:rPr>
          <w:color w:val="auto"/>
          <w:highlight w:val="none"/>
        </w:rPr>
        <w:t xml:space="preserve"> </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994"/>
        <w:ind w:firstLine="480"/>
        <w:jc w:val="both"/>
        <w:spacing w:beforeAutospacing="0" w:afterAutospacing="0"/>
        <w:rPr>
          <w:color w:val="auto"/>
          <w:highlight w:val="none"/>
        </w:rPr>
      </w:pPr>
      <w:r>
        <w:rPr>
          <w:color w:val="auto"/>
          <w:highlight w:val="none"/>
        </w:rPr>
      </w:r>
      <w:r/>
    </w:p>
    <w:p>
      <w:pPr>
        <w:pStyle w:val="994"/>
        <w:jc w:val="both"/>
        <w:spacing w:beforeAutospacing="0" w:afterAutospacing="0"/>
        <w:rPr>
          <w:color w:val="auto"/>
          <w:highlight w:val="none"/>
        </w:rPr>
      </w:pPr>
      <w:r>
        <w:rPr>
          <w:color w:val="auto"/>
          <w:highlight w:val="none"/>
        </w:rPr>
        <w:t xml:space="preserve"> </w:t>
      </w:r>
      <w:r/>
    </w:p>
    <w:p>
      <w:pPr>
        <w:pStyle w:val="994"/>
        <w:ind w:firstLine="480"/>
        <w:jc w:val="both"/>
        <w:spacing w:beforeAutospacing="0" w:afterAutospacing="0"/>
        <w:rPr>
          <w:color w:val="auto"/>
          <w:highlight w:val="none"/>
        </w:rPr>
      </w:pPr>
      <w:r>
        <w:rPr>
          <w:color w:val="auto"/>
          <w:highlight w:val="none"/>
        </w:rPr>
        <w:t xml:space="preserve"> </w:t>
      </w:r>
      <w:r/>
    </w:p>
    <w:p>
      <w:pPr>
        <w:pStyle w:val="994"/>
        <w:ind w:firstLine="480"/>
        <w:jc w:val="both"/>
        <w:spacing w:beforeAutospacing="0" w:afterAutospacing="0"/>
        <w:rPr>
          <w:color w:val="auto"/>
          <w:highlight w:val="none"/>
        </w:rPr>
      </w:pPr>
      <w:r>
        <w:rPr>
          <w:color w:val="auto"/>
          <w:highlight w:val="none"/>
        </w:rPr>
        <w:t xml:space="preserve"> </w:t>
      </w:r>
      <w:r/>
    </w:p>
    <w:p>
      <w:pPr>
        <w:pStyle w:val="994"/>
        <w:jc w:val="both"/>
        <w:spacing w:beforeAutospacing="0" w:afterAutospacing="0"/>
        <w:rPr>
          <w:color w:val="auto"/>
          <w:highlight w:val="none"/>
        </w:rPr>
      </w:pPr>
      <w:r>
        <w:rPr>
          <w:color w:val="auto"/>
          <w:highlight w:val="none"/>
        </w:rPr>
        <w:t xml:space="preserve"> </w:t>
      </w:r>
      <w:r/>
    </w:p>
    <w:p>
      <w:pPr>
        <w:pStyle w:val="994"/>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both"/>
        <w:spacing w:beforeAutospacing="0" w:afterAutospacing="0"/>
        <w:rPr>
          <w:color w:val="auto"/>
          <w:highlight w:val="none"/>
          <w:shd w:val="clear" w:color="auto" w:fill="auto"/>
        </w:rPr>
      </w:pPr>
      <w:r>
        <w:rPr>
          <w:color w:val="auto"/>
          <w:highlight w:val="none"/>
          <w:shd w:val="clear" w:color="auto" w:fill="auto"/>
        </w:rPr>
      </w:r>
      <w:r/>
    </w:p>
    <w:p>
      <w:pPr>
        <w:pStyle w:val="994"/>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94"/>
        <w:jc w:val="center"/>
        <w:spacing w:beforeAutospacing="0" w:afterAutospacing="0"/>
        <w:rPr>
          <w:rFonts w:hint="eastAsia" w:ascii="黑体" w:hAnsi="宋体" w:eastAsia="黑体" w:cs="黑体"/>
          <w:b/>
          <w:bCs w:val="0"/>
          <w:i w:val="0"/>
          <w:iCs/>
          <w:color w:val="auto"/>
          <w:sz w:val="32"/>
          <w:szCs w:val="32"/>
          <w:highlight w:val="none"/>
          <w:u w:val="none"/>
        </w:rPr>
      </w:pPr>
      <w:r>
        <w:rPr>
          <w:rFonts w:hint="eastAsia" w:ascii="黑体" w:hAnsi="宋体" w:eastAsia="黑体" w:cs="黑体"/>
          <w:b/>
          <w:bCs w:val="0"/>
          <w:i w:val="0"/>
          <w:iCs/>
          <w:color w:val="auto"/>
          <w:sz w:val="32"/>
          <w:szCs w:val="32"/>
          <w:highlight w:val="none"/>
          <w:u w:val="none"/>
        </w:rPr>
        <w:tab/>
      </w:r>
      <w:r>
        <w:rPr>
          <w:rFonts w:hint="eastAsia" w:ascii="黑体" w:hAnsi="宋体" w:eastAsia="黑体" w:cs="黑体"/>
          <w:b/>
          <w:bCs w:val="0"/>
          <w:i w:val="0"/>
          <w:iCs/>
          <w:color w:val="auto"/>
          <w:sz w:val="32"/>
          <w:szCs w:val="32"/>
          <w:highlight w:val="none"/>
          <w:u w:val="none"/>
        </w:rPr>
        <w:t xml:space="preserve">十</w:t>
      </w:r>
      <w:r>
        <w:rPr>
          <w:rFonts w:hint="eastAsia" w:ascii="黑体" w:hAnsi="宋体" w:eastAsia="黑体" w:cs="黑体"/>
          <w:b/>
          <w:bCs w:val="0"/>
          <w:i w:val="0"/>
          <w:iCs/>
          <w:color w:val="auto"/>
          <w:sz w:val="32"/>
          <w:szCs w:val="32"/>
          <w:highlight w:val="none"/>
          <w:u w:val="none"/>
          <w:lang w:val="en-US" w:eastAsia="zh-CN"/>
        </w:rPr>
        <w:t xml:space="preserve">六</w:t>
      </w:r>
      <w:r>
        <w:rPr>
          <w:rFonts w:hint="eastAsia" w:ascii="黑体" w:hAnsi="宋体" w:eastAsia="黑体" w:cs="黑体"/>
          <w:b/>
          <w:bCs w:val="0"/>
          <w:i w:val="0"/>
          <w:iCs/>
          <w:color w:val="auto"/>
          <w:sz w:val="32"/>
          <w:szCs w:val="32"/>
          <w:highlight w:val="none"/>
          <w:u w:val="none"/>
        </w:rPr>
        <w:t xml:space="preserve">、项目实施方案、售后服务方案、人员培训方案及投标人认为需要提供的其他资料</w:t>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hint="eastAsia" w:ascii="黑体" w:hAnsi="宋体" w:eastAsia="黑体" w:cs="黑体"/>
          <w:b/>
          <w:bCs w:val="0"/>
          <w:i w:val="0"/>
          <w:iCs/>
          <w:color w:val="auto"/>
          <w:sz w:val="32"/>
          <w:szCs w:val="32"/>
          <w:highlight w:val="none"/>
          <w:u w:val="none"/>
          <w:lang w:val="en-US" w:eastAsia="zh-CN" w:bidi="ar-SA"/>
        </w:rPr>
      </w:pPr>
      <w:r>
        <w:rPr>
          <w:rFonts w:hint="eastAsia" w:ascii="黑体" w:hAnsi="宋体" w:eastAsia="黑体" w:cs="黑体"/>
          <w:b/>
          <w:bCs w:val="0"/>
          <w:i w:val="0"/>
          <w:iCs/>
          <w:color w:val="auto"/>
          <w:sz w:val="32"/>
          <w:szCs w:val="32"/>
          <w:highlight w:val="none"/>
          <w:u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94"/>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81"/>
      <w:r/>
      <w:bookmarkEnd w:id="185"/>
      <w:r/>
      <w:bookmarkEnd w:id="186"/>
      <w:r/>
      <w:bookmarkEnd w:id="187"/>
      <w:r/>
      <w:bookmarkEnd w:id="188"/>
      <w:r/>
      <w:bookmarkEnd w:id="189"/>
      <w:r/>
      <w:bookmarkEnd w:id="190"/>
      <w:r/>
      <w:bookmarkEnd w:id="191"/>
      <w:r/>
      <w:bookmarkEnd w:id="192"/>
      <w:r/>
      <w:bookmarkEnd w:id="201"/>
      <w:r/>
      <w:bookmarkEnd w:id="202"/>
      <w:r/>
      <w:bookmarkEnd w:id="203"/>
      <w:r/>
      <w:bookmarkEnd w:id="204"/>
      <w:r/>
      <w:bookmarkEnd w:id="205"/>
      <w:r/>
      <w:r/>
    </w:p>
    <w:p>
      <w:pPr>
        <w:pStyle w:val="994"/>
        <w:jc w:val="center"/>
        <w:spacing w:beforeAutospacing="0" w:afterAutospacing="0"/>
        <w:rPr>
          <w:rFonts w:hint="eastAsia" w:ascii="黑体" w:hAnsi="宋体" w:eastAsia="黑体" w:cs="黑体"/>
          <w:b/>
          <w:bCs w:val="0"/>
          <w:i w:val="0"/>
          <w:iCs/>
          <w:color w:val="auto"/>
          <w:sz w:val="32"/>
          <w:szCs w:val="32"/>
          <w:highlight w:val="none"/>
          <w:u w:val="none"/>
          <w:lang w:val="en-US" w:eastAsia="zh-CN"/>
        </w:rPr>
      </w:pPr>
      <w:r>
        <w:rPr>
          <w:rFonts w:hint="eastAsia" w:ascii="黑体" w:hAnsi="宋体" w:eastAsia="黑体" w:cs="黑体"/>
          <w:b/>
          <w:bCs w:val="0"/>
          <w:i w:val="0"/>
          <w:iCs/>
          <w:color w:val="auto"/>
          <w:sz w:val="32"/>
          <w:szCs w:val="32"/>
          <w:highlight w:val="none"/>
          <w:u w:val="none"/>
          <w:lang w:val="en-US" w:eastAsia="zh-CN"/>
        </w:rPr>
        <w:t xml:space="preserve">十八、完全响应承诺函</w:t>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致：盐城市第三人民医院</w:t>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我方已仔细阅读并全面理解</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招标文件的全部内容，郑重承诺：</w:t>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1、我方</w:t>
      </w:r>
      <w:r>
        <w:rPr>
          <w:rFonts w:hint="eastAsia" w:ascii="宋体" w:hAnsi="宋体" w:eastAsia="宋体" w:cs="宋体"/>
          <w:color w:val="auto"/>
          <w:sz w:val="28"/>
          <w:szCs w:val="28"/>
          <w:highlight w:val="none"/>
          <w:lang w:val="en-US" w:eastAsia="zh-CN"/>
        </w:rPr>
        <w:t xml:space="preserve">完全响应本项目招标文件第四章项目需求中技术参数与性能指标要求，无负偏离</w:t>
      </w:r>
      <w:r>
        <w:rPr>
          <w:rFonts w:hint="eastAsia" w:ascii="宋体" w:hAnsi="宋体" w:eastAsia="宋体" w:cs="宋体"/>
          <w:color w:val="auto"/>
          <w:sz w:val="28"/>
          <w:szCs w:val="28"/>
          <w:highlight w:val="none"/>
          <w:lang w:val="en-US" w:eastAsia="zh-CN"/>
        </w:rPr>
        <w:t xml:space="preserve">。</w:t>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2、若我方中标，将严格按照招标文件及合同约定履行全部义务。</w:t>
      </w:r>
      <w:r/>
    </w:p>
    <w:p>
      <w:pPr>
        <w:pStyle w:val="994"/>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994"/>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994"/>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9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94"/>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94"/>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94"/>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94"/>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94"/>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3407"/>
      <w:spacing w:line="208"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5"/>
  </w:num>
  <w:num w:numId="4">
    <w:abstractNumId w:val="14"/>
  </w:num>
  <w:num w:numId="5">
    <w:abstractNumId w:val="7"/>
    <w:lvlOverride w:ilvl="0">
      <w:startOverride w:val="2"/>
    </w:lvlOverride>
  </w:num>
  <w:num w:numId="6">
    <w:abstractNumId w:val="6"/>
    <w:lvlOverride w:ilvl="0">
      <w:startOverride w:val="6"/>
    </w:lvlOverride>
  </w:num>
  <w:num w:numId="7">
    <w:abstractNumId w:val="2"/>
    <w:lvlOverride w:ilvl="0">
      <w:startOverride w:val="16"/>
    </w:lvlOverride>
  </w:num>
  <w:num w:numId="8">
    <w:abstractNumId w:val="8"/>
    <w:lvlOverride w:ilvl="0">
      <w:startOverride w:val="23"/>
    </w:lvlOverride>
  </w:num>
  <w:num w:numId="9">
    <w:abstractNumId w:val="3"/>
  </w:num>
  <w:num w:numId="10">
    <w:abstractNumId w:val="12"/>
  </w:num>
  <w:num w:numId="11">
    <w:abstractNumId w:val="1"/>
  </w:num>
  <w:num w:numId="12">
    <w:abstractNumId w:val="0"/>
  </w:num>
  <w:num w:numId="13">
    <w:abstractNumId w:val="11"/>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85"/>
    <w:next w:val="985"/>
    <w:link w:val="813"/>
    <w:uiPriority w:val="9"/>
    <w:qFormat/>
    <w:pPr>
      <w:keepLines/>
      <w:keepNext/>
      <w:spacing w:before="480" w:after="200"/>
      <w:outlineLvl w:val="0"/>
    </w:pPr>
    <w:rPr>
      <w:rFonts w:ascii="Arial" w:hAnsi="Arial" w:eastAsia="Arial" w:cs="Arial"/>
      <w:sz w:val="40"/>
      <w:szCs w:val="40"/>
    </w:rPr>
  </w:style>
  <w:style w:type="character" w:styleId="813">
    <w:name w:val="Heading 1 Char"/>
    <w:basedOn w:val="987"/>
    <w:link w:val="812"/>
    <w:uiPriority w:val="9"/>
    <w:rPr>
      <w:rFonts w:ascii="Arial" w:hAnsi="Arial" w:eastAsia="Arial" w:cs="Arial"/>
      <w:sz w:val="40"/>
      <w:szCs w:val="40"/>
    </w:rPr>
  </w:style>
  <w:style w:type="character" w:styleId="814">
    <w:name w:val="Heading 2 Char"/>
    <w:basedOn w:val="987"/>
    <w:link w:val="986"/>
    <w:uiPriority w:val="9"/>
    <w:rPr>
      <w:rFonts w:ascii="Arial" w:hAnsi="Arial" w:eastAsia="Arial" w:cs="Arial"/>
      <w:sz w:val="34"/>
    </w:rPr>
  </w:style>
  <w:style w:type="paragraph" w:styleId="815">
    <w:name w:val="Heading 3"/>
    <w:basedOn w:val="985"/>
    <w:next w:val="985"/>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basedOn w:val="987"/>
    <w:link w:val="815"/>
    <w:uiPriority w:val="9"/>
    <w:rPr>
      <w:rFonts w:ascii="Arial" w:hAnsi="Arial" w:eastAsia="Arial" w:cs="Arial"/>
      <w:sz w:val="30"/>
      <w:szCs w:val="30"/>
    </w:rPr>
  </w:style>
  <w:style w:type="paragraph" w:styleId="817">
    <w:name w:val="Heading 4"/>
    <w:basedOn w:val="985"/>
    <w:next w:val="985"/>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basedOn w:val="987"/>
    <w:link w:val="817"/>
    <w:uiPriority w:val="9"/>
    <w:rPr>
      <w:rFonts w:ascii="Arial" w:hAnsi="Arial" w:eastAsia="Arial" w:cs="Arial"/>
      <w:b/>
      <w:bCs/>
      <w:sz w:val="26"/>
      <w:szCs w:val="26"/>
    </w:rPr>
  </w:style>
  <w:style w:type="paragraph" w:styleId="819">
    <w:name w:val="Heading 5"/>
    <w:basedOn w:val="985"/>
    <w:next w:val="985"/>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basedOn w:val="987"/>
    <w:link w:val="819"/>
    <w:uiPriority w:val="9"/>
    <w:rPr>
      <w:rFonts w:ascii="Arial" w:hAnsi="Arial" w:eastAsia="Arial" w:cs="Arial"/>
      <w:b/>
      <w:bCs/>
      <w:sz w:val="24"/>
      <w:szCs w:val="24"/>
    </w:rPr>
  </w:style>
  <w:style w:type="paragraph" w:styleId="821">
    <w:name w:val="Heading 6"/>
    <w:basedOn w:val="985"/>
    <w:next w:val="985"/>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basedOn w:val="987"/>
    <w:link w:val="821"/>
    <w:uiPriority w:val="9"/>
    <w:rPr>
      <w:rFonts w:ascii="Arial" w:hAnsi="Arial" w:eastAsia="Arial" w:cs="Arial"/>
      <w:b/>
      <w:bCs/>
      <w:sz w:val="22"/>
      <w:szCs w:val="22"/>
    </w:rPr>
  </w:style>
  <w:style w:type="paragraph" w:styleId="823">
    <w:name w:val="Heading 7"/>
    <w:basedOn w:val="985"/>
    <w:next w:val="985"/>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basedOn w:val="987"/>
    <w:link w:val="823"/>
    <w:uiPriority w:val="9"/>
    <w:rPr>
      <w:rFonts w:ascii="Arial" w:hAnsi="Arial" w:eastAsia="Arial" w:cs="Arial"/>
      <w:b/>
      <w:bCs/>
      <w:i/>
      <w:iCs/>
      <w:sz w:val="22"/>
      <w:szCs w:val="22"/>
    </w:rPr>
  </w:style>
  <w:style w:type="paragraph" w:styleId="825">
    <w:name w:val="Heading 8"/>
    <w:basedOn w:val="985"/>
    <w:next w:val="985"/>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basedOn w:val="987"/>
    <w:link w:val="825"/>
    <w:uiPriority w:val="9"/>
    <w:rPr>
      <w:rFonts w:ascii="Arial" w:hAnsi="Arial" w:eastAsia="Arial" w:cs="Arial"/>
      <w:i/>
      <w:iCs/>
      <w:sz w:val="22"/>
      <w:szCs w:val="22"/>
    </w:rPr>
  </w:style>
  <w:style w:type="paragraph" w:styleId="827">
    <w:name w:val="Heading 9"/>
    <w:basedOn w:val="985"/>
    <w:next w:val="985"/>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basedOn w:val="987"/>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5"/>
    <w:next w:val="985"/>
    <w:link w:val="831"/>
    <w:uiPriority w:val="10"/>
    <w:qFormat/>
    <w:pPr>
      <w:contextualSpacing/>
      <w:spacing w:before="300" w:after="200"/>
    </w:pPr>
    <w:rPr>
      <w:sz w:val="48"/>
      <w:szCs w:val="48"/>
    </w:rPr>
  </w:style>
  <w:style w:type="character" w:styleId="831">
    <w:name w:val="Title Char"/>
    <w:basedOn w:val="987"/>
    <w:link w:val="830"/>
    <w:uiPriority w:val="10"/>
    <w:rPr>
      <w:sz w:val="48"/>
      <w:szCs w:val="48"/>
    </w:rPr>
  </w:style>
  <w:style w:type="paragraph" w:styleId="832">
    <w:name w:val="Subtitle"/>
    <w:basedOn w:val="985"/>
    <w:next w:val="985"/>
    <w:link w:val="833"/>
    <w:uiPriority w:val="11"/>
    <w:qFormat/>
    <w:pPr>
      <w:spacing w:before="200" w:after="200"/>
    </w:pPr>
    <w:rPr>
      <w:sz w:val="24"/>
      <w:szCs w:val="24"/>
    </w:rPr>
  </w:style>
  <w:style w:type="character" w:styleId="833">
    <w:name w:val="Subtitle Char"/>
    <w:basedOn w:val="987"/>
    <w:link w:val="832"/>
    <w:uiPriority w:val="11"/>
    <w:rPr>
      <w:sz w:val="24"/>
      <w:szCs w:val="24"/>
    </w:rPr>
  </w:style>
  <w:style w:type="paragraph" w:styleId="834">
    <w:name w:val="Quote"/>
    <w:basedOn w:val="985"/>
    <w:next w:val="985"/>
    <w:link w:val="835"/>
    <w:uiPriority w:val="29"/>
    <w:qFormat/>
    <w:pPr>
      <w:ind w:left="720" w:right="720"/>
    </w:pPr>
    <w:rPr>
      <w:i/>
    </w:rPr>
  </w:style>
  <w:style w:type="character" w:styleId="835">
    <w:name w:val="Quote Char"/>
    <w:link w:val="834"/>
    <w:uiPriority w:val="29"/>
    <w:rPr>
      <w:i/>
    </w:rPr>
  </w:style>
  <w:style w:type="paragraph" w:styleId="836">
    <w:name w:val="Intense Quote"/>
    <w:basedOn w:val="985"/>
    <w:next w:val="985"/>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character" w:styleId="838">
    <w:name w:val="Header Char"/>
    <w:basedOn w:val="987"/>
    <w:link w:val="993"/>
    <w:uiPriority w:val="99"/>
  </w:style>
  <w:style w:type="character" w:styleId="839">
    <w:name w:val="Footer Char"/>
    <w:basedOn w:val="987"/>
    <w:link w:val="992"/>
    <w:uiPriority w:val="99"/>
  </w:style>
  <w:style w:type="paragraph" w:styleId="840">
    <w:name w:val="Caption"/>
    <w:basedOn w:val="985"/>
    <w:next w:val="985"/>
    <w:uiPriority w:val="35"/>
    <w:semiHidden/>
    <w:unhideWhenUsed/>
    <w:qFormat/>
    <w:pPr>
      <w:spacing w:line="276" w:lineRule="auto"/>
    </w:pPr>
    <w:rPr>
      <w:b/>
      <w:bCs/>
      <w:color w:val="4f81bd" w:themeColor="accent1"/>
      <w:sz w:val="18"/>
      <w:szCs w:val="18"/>
    </w:rPr>
  </w:style>
  <w:style w:type="character" w:styleId="841">
    <w:name w:val="Caption Char"/>
    <w:basedOn w:val="840"/>
    <w:link w:val="992"/>
    <w:uiPriority w:val="99"/>
  </w:style>
  <w:style w:type="table" w:styleId="842">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78">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9">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0">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1">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2">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3">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9">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0">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3">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4">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5">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6">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17">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8">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0">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1">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2">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3">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24">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5">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34">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5">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6">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7">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38">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9">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1">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2">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3">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4">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45">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6">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8">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9">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0">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1">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2">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3">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5">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6">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7">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8">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9">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0">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basedOn w:val="987"/>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basedOn w:val="987"/>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86">
    <w:name w:val="Heading 2"/>
    <w:basedOn w:val="985"/>
    <w:next w:val="98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87" w:default="1">
    <w:name w:val="Default Paragraph Font"/>
    <w:uiPriority w:val="1"/>
    <w:semiHidden/>
    <w:unhideWhenUsed/>
    <w:qFormat/>
  </w:style>
  <w:style w:type="table" w:styleId="988" w:default="1">
    <w:name w:val="Normal Table"/>
    <w:uiPriority w:val="99"/>
    <w:semiHidden/>
    <w:unhideWhenUsed/>
    <w:qFormat/>
    <w:tblPr>
      <w:tblCellMar>
        <w:left w:w="108" w:type="dxa"/>
        <w:top w:w="0" w:type="dxa"/>
        <w:right w:w="108" w:type="dxa"/>
        <w:bottom w:w="0" w:type="dxa"/>
      </w:tblCellMar>
    </w:tblPr>
  </w:style>
  <w:style w:type="paragraph" w:styleId="989">
    <w:name w:val="annotation text"/>
    <w:basedOn w:val="985"/>
    <w:uiPriority w:val="0"/>
    <w:qFormat/>
    <w:pPr>
      <w:jc w:val="left"/>
    </w:pPr>
  </w:style>
  <w:style w:type="paragraph" w:styleId="990">
    <w:name w:val="Body Text"/>
    <w:basedOn w:val="985"/>
    <w:uiPriority w:val="0"/>
    <w:unhideWhenUsed/>
    <w:qFormat/>
    <w:pPr>
      <w:spacing w:after="120"/>
    </w:pPr>
    <w:rPr>
      <w:rFonts w:ascii="Calibri" w:hAnsi="Calibri"/>
      <w:szCs w:val="22"/>
    </w:rPr>
  </w:style>
  <w:style w:type="paragraph" w:styleId="991">
    <w:name w:val="Plain Text"/>
    <w:basedOn w:val="985"/>
    <w:uiPriority w:val="0"/>
    <w:unhideWhenUsed/>
    <w:qFormat/>
    <w:rPr>
      <w:rFonts w:ascii="宋体" w:hAnsi="Courier New" w:cs="Courier New"/>
      <w:szCs w:val="21"/>
    </w:rPr>
  </w:style>
  <w:style w:type="paragraph" w:styleId="992">
    <w:name w:val="Footer"/>
    <w:basedOn w:val="985"/>
    <w:link w:val="1010"/>
    <w:uiPriority w:val="0"/>
    <w:qFormat/>
    <w:pPr>
      <w:jc w:val="left"/>
      <w:tabs>
        <w:tab w:val="center" w:pos="4153" w:leader="none"/>
        <w:tab w:val="right" w:pos="8306" w:leader="none"/>
      </w:tabs>
    </w:pPr>
    <w:rPr>
      <w:sz w:val="18"/>
      <w:szCs w:val="18"/>
    </w:rPr>
  </w:style>
  <w:style w:type="paragraph" w:styleId="993">
    <w:name w:val="Header"/>
    <w:basedOn w:val="985"/>
    <w:link w:val="1009"/>
    <w:uiPriority w:val="0"/>
    <w:qFormat/>
    <w:pPr>
      <w:jc w:val="center"/>
      <w:tabs>
        <w:tab w:val="center" w:pos="4153" w:leader="none"/>
        <w:tab w:val="right" w:pos="8306" w:leader="none"/>
      </w:tabs>
      <w:pBdr>
        <w:bottom w:val="single" w:color="auto" w:sz="6" w:space="1"/>
      </w:pBdr>
    </w:pPr>
    <w:rPr>
      <w:sz w:val="18"/>
      <w:szCs w:val="18"/>
    </w:rPr>
  </w:style>
  <w:style w:type="paragraph" w:styleId="994">
    <w:name w:val="Normal (Web)"/>
    <w:basedOn w:val="985"/>
    <w:uiPriority w:val="0"/>
    <w:qFormat/>
    <w:pPr>
      <w:jc w:val="left"/>
      <w:spacing w:beforeAutospacing="1" w:afterAutospacing="1"/>
    </w:pPr>
    <w:rPr>
      <w:rFonts w:cs="Times New Roman"/>
      <w:sz w:val="24"/>
    </w:rPr>
  </w:style>
  <w:style w:type="table" w:styleId="995">
    <w:name w:val="Table Grid"/>
    <w:basedOn w:val="98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6">
    <w:name w:val="Emphasis"/>
    <w:uiPriority w:val="0"/>
    <w:qFormat/>
    <w:rPr>
      <w:i/>
    </w:rPr>
  </w:style>
  <w:style w:type="paragraph" w:styleId="997" w:customStyle="1">
    <w:name w:val="Default"/>
    <w:basedOn w:val="985"/>
    <w:uiPriority w:val="0"/>
    <w:semiHidden/>
    <w:qFormat/>
    <w:pPr>
      <w:jc w:val="left"/>
    </w:pPr>
    <w:rPr>
      <w:rFonts w:ascii="宋体" w:hAnsi="Calibri" w:cs="宋体"/>
      <w:color w:val="000000"/>
      <w:sz w:val="24"/>
    </w:rPr>
  </w:style>
  <w:style w:type="paragraph" w:styleId="998" w:customStyle="1">
    <w:name w:val="列表段落1"/>
    <w:basedOn w:val="999"/>
    <w:next w:val="985"/>
    <w:uiPriority w:val="99"/>
    <w:qFormat/>
    <w:pPr>
      <w:ind w:firstLine="420"/>
    </w:pPr>
  </w:style>
  <w:style w:type="paragraph" w:styleId="999" w:customStyle="1">
    <w:name w:val="正文1"/>
    <w:basedOn w:val="1000"/>
    <w:next w:val="1008"/>
    <w:uiPriority w:val="0"/>
    <w:qFormat/>
    <w:pPr>
      <w:ind w:right="-167"/>
      <w:spacing w:line="440" w:lineRule="exact"/>
      <w:widowControl/>
    </w:pPr>
    <w:rPr>
      <w:b/>
      <w:sz w:val="21"/>
    </w:rPr>
  </w:style>
  <w:style w:type="paragraph" w:styleId="1000" w:customStyle="1">
    <w:name w:val="正文11"/>
    <w:next w:val="1001"/>
    <w:uiPriority w:val="0"/>
    <w:qFormat/>
    <w:pPr>
      <w:jc w:val="both"/>
      <w:widowControl w:val="off"/>
    </w:pPr>
    <w:rPr>
      <w:rFonts w:hint="default" w:ascii="Times New Roman" w:hAnsi="Times New Roman" w:eastAsia="Arial" w:cs="Times New Roman"/>
      <w:lang w:val="en-US" w:eastAsia="zh-CN" w:bidi="ar-SA"/>
    </w:rPr>
  </w:style>
  <w:style w:type="paragraph" w:styleId="1001" w:customStyle="1">
    <w:name w:val="目录 11"/>
    <w:basedOn w:val="1002"/>
    <w:next w:val="1000"/>
    <w:uiPriority w:val="0"/>
    <w:qFormat/>
    <w:pPr>
      <w:jc w:val="left"/>
      <w:spacing w:before="120" w:after="120"/>
      <w:widowControl/>
    </w:pPr>
    <w:rPr>
      <w:rFonts w:cs="Calibri"/>
      <w:b/>
      <w:bCs/>
      <w:caps/>
      <w:sz w:val="20"/>
      <w:szCs w:val="20"/>
    </w:rPr>
  </w:style>
  <w:style w:type="paragraph" w:styleId="1002" w:customStyle="1">
    <w:name w:val="正文12"/>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3" w:customStyle="1">
    <w:name w:val="正文文本11"/>
    <w:basedOn w:val="1004"/>
    <w:next w:val="1005"/>
    <w:uiPriority w:val="0"/>
    <w:qFormat/>
    <w:pPr>
      <w:spacing w:after="120"/>
    </w:pPr>
  </w:style>
  <w:style w:type="paragraph" w:styleId="1004" w:customStyle="1">
    <w:name w:val="正文112"/>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一级条标题"/>
    <w:basedOn w:val="1006"/>
    <w:next w:val="1007"/>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06" w:customStyle="1">
    <w:name w:val="章标题"/>
    <w:next w:val="9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7" w:customStyle="1">
    <w:name w:val="段"/>
    <w:next w:val="98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08" w:customStyle="1">
    <w:name w:val="正文文本1"/>
    <w:basedOn w:val="999"/>
    <w:next w:val="999"/>
    <w:uiPriority w:val="0"/>
    <w:qFormat/>
    <w:pPr>
      <w:spacing w:after="120"/>
    </w:pPr>
    <w:rPr>
      <w:lang w:eastAsia="en-US"/>
    </w:rPr>
  </w:style>
  <w:style w:type="character" w:styleId="1009" w:customStyle="1">
    <w:name w:val="页眉 Char"/>
    <w:basedOn w:val="987"/>
    <w:link w:val="993"/>
    <w:uiPriority w:val="0"/>
    <w:qFormat/>
    <w:rPr>
      <w:rFonts w:asciiTheme="minorHAnsi" w:hAnsiTheme="minorHAnsi" w:eastAsiaTheme="minorEastAsia" w:cstheme="minorBidi"/>
      <w:sz w:val="18"/>
      <w:szCs w:val="18"/>
    </w:rPr>
  </w:style>
  <w:style w:type="character" w:styleId="1010" w:customStyle="1">
    <w:name w:val="页脚 Char"/>
    <w:basedOn w:val="987"/>
    <w:link w:val="992"/>
    <w:uiPriority w:val="0"/>
    <w:qFormat/>
    <w:rPr>
      <w:rFonts w:asciiTheme="minorHAnsi" w:hAnsiTheme="minorHAnsi" w:eastAsiaTheme="minorEastAsia" w:cstheme="minorBidi"/>
      <w:sz w:val="18"/>
      <w:szCs w:val="18"/>
    </w:rPr>
  </w:style>
  <w:style w:type="paragraph" w:styleId="10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2" w:customStyle="1">
    <w:name w:val="页脚1"/>
    <w:basedOn w:val="985"/>
    <w:uiPriority w:val="99"/>
    <w:unhideWhenUsed/>
    <w:qFormat/>
    <w:pPr>
      <w:jc w:val="left"/>
      <w:tabs>
        <w:tab w:val="center" w:pos="4153" w:leader="none"/>
        <w:tab w:val="right" w:pos="8306" w:leader="none"/>
      </w:tabs>
    </w:pPr>
    <w:rPr>
      <w:sz w:val="18"/>
      <w:szCs w:val="18"/>
    </w:rPr>
  </w:style>
  <w:style w:type="paragraph" w:styleId="1013" w:customStyle="1">
    <w:name w:val="普通正文"/>
    <w:basedOn w:val="985"/>
    <w:uiPriority w:val="0"/>
    <w:qFormat/>
    <w:pPr>
      <w:ind w:firstLine="480"/>
      <w:jc w:val="left"/>
      <w:spacing w:before="120" w:after="120" w:line="360" w:lineRule="auto"/>
    </w:pPr>
    <w:rPr>
      <w:rFonts w:ascii="Arial" w:hAnsi="Arial" w:eastAsia="等线" w:cs="Arial"/>
      <w:sz w:val="24"/>
      <w:szCs w:val="24"/>
    </w:rPr>
  </w:style>
  <w:style w:type="paragraph" w:styleId="1014" w:customStyle="1">
    <w:name w:val="正文首行缩进 21"/>
    <w:basedOn w:val="1015"/>
    <w:uiPriority w:val="0"/>
    <w:qFormat/>
    <w:pPr>
      <w:ind w:firstLine="420"/>
    </w:pPr>
  </w:style>
  <w:style w:type="paragraph" w:styleId="1015" w:customStyle="1">
    <w:name w:val="正文文本缩进1"/>
    <w:basedOn w:val="985"/>
    <w:uiPriority w:val="0"/>
    <w:qFormat/>
    <w:pPr>
      <w:ind w:left="420"/>
      <w:spacing w:after="120"/>
    </w:pPr>
  </w:style>
  <w:style w:type="paragraph" w:styleId="1016">
    <w:name w:val="List Paragraph"/>
    <w:basedOn w:val="985"/>
    <w:uiPriority w:val="34"/>
    <w:qFormat/>
    <w:pPr>
      <w:ind w:firstLine="420"/>
    </w:pPr>
    <w:rPr>
      <w:szCs w:val="24"/>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121</cp:revision>
  <dcterms:created xsi:type="dcterms:W3CDTF">2014-10-29T12:08:00Z</dcterms:created>
  <dcterms:modified xsi:type="dcterms:W3CDTF">2026-10-30T08:00:49Z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9F49796BCBA843F9AA872F0FBAE376D2_13</vt:lpwstr>
  </property>
  <property fmtid="{D5CDD505-2E9C-101B-9397-08002B2CF9AE}" pid="4" name="KSOTemplateDocerSaveRecord">
    <vt:lpwstr>eyJoZGlkIjoiMmQxYjczMTdjYWZkNTcxNDAxNGMzM2Y5MmYyNzE4ZGYiLCJ1c2VySWQiOiI5Njk0NjQ5ODIifQ==</vt:lpwstr>
  </property>
</Properties>
</file>