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pStyle w:val="630"/>
        <w:rPr>
          <w:color w:val="auto"/>
          <w:highlight w:val="none"/>
        </w:rPr>
      </w:pPr>
      <w:r>
        <w:rPr>
          <w:color w:val="auto"/>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 w:val="84"/>
          <w:szCs w:val="84"/>
          <w:highlight w:val="none"/>
          <w:lang w:val="zh-CN"/>
        </w:rPr>
      </w:pPr>
      <w:r>
        <w:rPr>
          <w:rFonts w:hint="eastAsia" w:ascii="宋体" w:hAnsi="宋体"/>
          <w:b/>
          <w:bCs/>
          <w:color w:val="auto"/>
          <w:sz w:val="84"/>
          <w:szCs w:val="84"/>
          <w:highlight w:val="none"/>
          <w:lang w:val="zh-CN"/>
        </w:rPr>
        <w:t xml:space="preserve">招</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 xml:space="preserve">标</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 xml:space="preserve">文</w:t>
      </w:r>
      <w:r>
        <w:rPr>
          <w:rFonts w:hint="eastAsia" w:ascii="宋体" w:hAnsi="宋体"/>
          <w:b/>
          <w:bCs/>
          <w:color w:val="auto"/>
          <w:sz w:val="84"/>
          <w:szCs w:val="84"/>
          <w:highlight w:val="none"/>
        </w:rPr>
        <w:t xml:space="preserve"> </w:t>
      </w:r>
      <w:r>
        <w:rPr>
          <w:rFonts w:hint="eastAsia" w:ascii="宋体" w:hAnsi="宋体"/>
          <w:b/>
          <w:bCs/>
          <w:color w:val="auto"/>
          <w:sz w:val="84"/>
          <w:szCs w:val="84"/>
          <w:highlight w:val="none"/>
          <w:lang w:val="zh-CN"/>
        </w:rPr>
        <w:t xml:space="preserve">件</w:t>
      </w:r>
      <w:r/>
    </w:p>
    <w:p>
      <w:pPr>
        <w:jc w:val="center"/>
        <w:rPr>
          <w:rFonts w:ascii="宋体" w:hAnsi="宋体" w:cs="宋体"/>
          <w:color w:val="auto"/>
          <w:sz w:val="36"/>
          <w:szCs w:val="36"/>
          <w:highlight w:val="none"/>
          <w:lang w:val="zh-CN"/>
        </w:rPr>
      </w:pPr>
      <w:r/>
      <w:bookmarkStart w:id="0" w:name="OLE_LINK55"/>
      <w:r>
        <w:rPr>
          <w:rFonts w:hint="eastAsia" w:ascii="宋体" w:hAnsi="宋体" w:cs="宋体"/>
          <w:color w:val="auto"/>
          <w:sz w:val="36"/>
          <w:szCs w:val="36"/>
          <w:highlight w:val="none"/>
          <w:lang w:val="zh-CN"/>
        </w:rPr>
        <w:t xml:space="preserve">（全流程电子化不见面开标）</w:t>
      </w:r>
      <w:bookmarkEnd w:id="0"/>
      <w:r/>
    </w:p>
    <w:p>
      <w:pPr>
        <w:spacing w:line="360" w:lineRule="auto"/>
        <w:rPr>
          <w:rFonts w:ascii="宋体" w:hAnsi="宋体"/>
          <w:color w:val="auto"/>
          <w:sz w:val="52"/>
          <w:szCs w:val="21"/>
          <w:highlight w:val="none"/>
          <w:lang w:val="zh-CN"/>
        </w:rPr>
      </w:pPr>
      <w:r>
        <w:rPr>
          <w:rFonts w:ascii="宋体" w:hAnsi="宋体"/>
          <w:color w:val="auto"/>
          <w:sz w:val="52"/>
          <w:szCs w:val="21"/>
          <w:highlight w:val="none"/>
          <w:lang w:val="zh-CN"/>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color w:val="auto"/>
          <w:sz w:val="36"/>
          <w:szCs w:val="36"/>
          <w:highlight w:val="none"/>
        </w:rPr>
      </w:pPr>
      <w:r>
        <w:rPr>
          <w:rFonts w:hint="eastAsia" w:ascii="宋体" w:hAnsi="宋体"/>
          <w:color w:val="auto"/>
          <w:sz w:val="36"/>
          <w:szCs w:val="36"/>
          <w:highlight w:val="none"/>
          <w:lang w:val="zh-CN"/>
        </w:rPr>
        <w:t xml:space="preserve">    </w:t>
      </w:r>
      <w:r/>
    </w:p>
    <w:p>
      <w:pPr>
        <w:ind w:left="2328" w:hanging="1606"/>
        <w:jc w:val="left"/>
        <w:spacing w:line="360" w:lineRule="auto"/>
        <w:rPr>
          <w:rFonts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项目名称：紫金山科技城爱陵路以东、秦县路以南片区</w:t>
      </w:r>
      <w:r/>
    </w:p>
    <w:p>
      <w:pPr>
        <w:ind w:left="1772" w:firstLine="643"/>
        <w:jc w:val="left"/>
        <w:spacing w:line="360" w:lineRule="auto"/>
        <w:rPr>
          <w:rFonts w:ascii="宋体" w:hAnsi="宋体"/>
          <w:color w:val="auto"/>
          <w:sz w:val="32"/>
          <w:szCs w:val="32"/>
          <w:highlight w:val="none"/>
          <w:lang w:val="zh-CN"/>
        </w:rPr>
      </w:pPr>
      <w:r>
        <w:rPr>
          <w:rFonts w:hint="eastAsia" w:ascii="宋体" w:hAnsi="宋体"/>
          <w:b/>
          <w:bCs/>
          <w:color w:val="auto"/>
          <w:sz w:val="32"/>
          <w:szCs w:val="32"/>
          <w:highlight w:val="none"/>
          <w:lang w:val="zh-CN"/>
        </w:rPr>
        <w:t xml:space="preserve">道路电子警察及监控系统项目</w:t>
      </w:r>
      <w:r/>
    </w:p>
    <w:p>
      <w:pPr>
        <w:ind w:left="2328" w:hanging="1606"/>
        <w:jc w:val="left"/>
        <w:spacing w:line="360" w:lineRule="auto"/>
        <w:rPr>
          <w:rFonts w:hint="default" w:eastAsia="宋体"/>
          <w:color w:val="auto"/>
          <w:sz w:val="20"/>
          <w:szCs w:val="18"/>
          <w:highlight w:val="none"/>
          <w:lang w:val="en-US" w:eastAsia="zh-CN"/>
        </w:rPr>
      </w:pPr>
      <w:r>
        <w:rPr>
          <w:rFonts w:hint="eastAsia" w:ascii="宋体" w:hAnsi="宋体"/>
          <w:b/>
          <w:bCs/>
          <w:color w:val="auto"/>
          <w:sz w:val="32"/>
          <w:szCs w:val="32"/>
          <w:highlight w:val="none"/>
          <w:lang w:val="zh-CN"/>
        </w:rPr>
        <w:t xml:space="preserve">项目</w:t>
      </w:r>
      <w:r>
        <w:rPr>
          <w:rFonts w:hint="eastAsia" w:ascii="宋体" w:hAnsi="宋体"/>
          <w:b/>
          <w:bCs/>
          <w:color w:val="auto"/>
          <w:sz w:val="32"/>
          <w:szCs w:val="32"/>
          <w:highlight w:val="none"/>
          <w:lang w:val="zh-CN"/>
        </w:rPr>
        <w:t xml:space="preserve">编号：</w:t>
      </w:r>
      <w:r>
        <w:rPr>
          <w:rFonts w:ascii="宋体" w:hAnsi="宋体"/>
          <w:b/>
          <w:bCs/>
          <w:color w:val="auto"/>
          <w:sz w:val="32"/>
          <w:szCs w:val="32"/>
          <w:highlight w:val="none"/>
          <w:lang w:val="zh-CN"/>
        </w:rPr>
        <w:t xml:space="preserve">JSZC-320115-JSCC-G2026-</w:t>
      </w:r>
      <w:r>
        <w:rPr>
          <w:rFonts w:hint="eastAsia" w:ascii="宋体" w:hAnsi="宋体"/>
          <w:b/>
          <w:bCs/>
          <w:color w:val="auto"/>
          <w:sz w:val="32"/>
          <w:szCs w:val="32"/>
          <w:highlight w:val="none"/>
          <w:lang w:val="en-US" w:eastAsia="zh-CN"/>
        </w:rPr>
        <w:t xml:space="preserve">0014</w:t>
      </w:r>
      <w:r/>
    </w:p>
    <w:p>
      <w:pPr>
        <w:ind w:left="1260"/>
        <w:jc w:val="left"/>
        <w:spacing w:line="360" w:lineRule="auto"/>
        <w:rPr>
          <w:rFonts w:ascii="宋体" w:hAnsi="宋体"/>
          <w:b/>
          <w:color w:val="auto"/>
          <w:sz w:val="36"/>
          <w:szCs w:val="36"/>
          <w:highlight w:val="none"/>
        </w:rPr>
      </w:pPr>
      <w:r>
        <w:rPr>
          <w:rFonts w:ascii="宋体" w:hAnsi="宋体"/>
          <w:b/>
          <w:color w:val="auto"/>
          <w:sz w:val="36"/>
          <w:szCs w:val="36"/>
          <w:highlight w:val="none"/>
        </w:rPr>
      </w:r>
      <w:r/>
    </w:p>
    <w:p>
      <w:pPr>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spacing w:line="360" w:lineRule="auto"/>
        <w:tabs>
          <w:tab w:val="left" w:pos="6360" w:leader="none"/>
        </w:tabs>
        <w:rPr>
          <w:rFonts w:ascii="宋体" w:hAnsi="宋体"/>
          <w:color w:val="auto"/>
          <w:szCs w:val="21"/>
          <w:highlight w:val="none"/>
        </w:rPr>
      </w:pPr>
      <w:r>
        <w:rPr>
          <w:rFonts w:ascii="宋体" w:hAnsi="宋体"/>
          <w:color w:val="auto"/>
          <w:szCs w:val="21"/>
          <w:highlight w:val="none"/>
        </w:rPr>
        <w:tab/>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pStyle w:val="696"/>
        <w:ind w:firstLine="0"/>
        <w:jc w:val="center"/>
        <w:rPr>
          <w:b/>
          <w:bCs/>
          <w:color w:val="auto"/>
          <w:sz w:val="32"/>
          <w:highlight w:val="none"/>
        </w:rPr>
      </w:pPr>
      <w:r>
        <w:rPr>
          <w:rFonts w:hint="eastAsia"/>
          <w:b/>
          <w:bCs/>
          <w:color w:val="auto"/>
          <w:sz w:val="32"/>
          <w:highlight w:val="none"/>
        </w:rPr>
        <w:t xml:space="preserve">江苏畅采工程咨询有限公司</w:t>
      </w:r>
      <w:r/>
    </w:p>
    <w:p>
      <w:pPr>
        <w:pStyle w:val="696"/>
        <w:ind w:firstLine="0"/>
        <w:jc w:val="center"/>
        <w:rPr>
          <w:b/>
          <w:bCs/>
          <w:color w:val="auto"/>
          <w:sz w:val="32"/>
          <w:highlight w:val="none"/>
        </w:rPr>
      </w:pPr>
      <w:r>
        <w:rPr>
          <w:b/>
          <w:bCs/>
          <w:color w:val="auto"/>
          <w:sz w:val="32"/>
          <w:highlight w:val="none"/>
        </w:rPr>
        <w:t xml:space="preserve">202</w:t>
      </w:r>
      <w:r>
        <w:rPr>
          <w:rFonts w:hint="eastAsia"/>
          <w:b/>
          <w:bCs/>
          <w:color w:val="auto"/>
          <w:sz w:val="32"/>
          <w:highlight w:val="none"/>
        </w:rPr>
        <w:t xml:space="preserve">6年</w:t>
      </w:r>
      <w:r>
        <w:rPr>
          <w:b/>
          <w:bCs/>
          <w:color w:val="auto"/>
          <w:sz w:val="32"/>
          <w:highlight w:val="none"/>
        </w:rPr>
        <w:t xml:space="preserve">9</w:t>
      </w:r>
      <w:r>
        <w:rPr>
          <w:rFonts w:hint="eastAsia"/>
          <w:b/>
          <w:bCs/>
          <w:color w:val="auto"/>
          <w:sz w:val="32"/>
          <w:highlight w:val="none"/>
        </w:rPr>
        <w:t xml:space="preserve">月</w:t>
      </w:r>
      <w:r/>
    </w:p>
    <w:p>
      <w:pPr>
        <w:pStyle w:val="696"/>
        <w:ind w:firstLine="0"/>
        <w:jc w:val="both"/>
        <w:rPr>
          <w:b/>
          <w:bCs/>
          <w:color w:val="auto"/>
          <w:sz w:val="32"/>
          <w:highlight w:val="none"/>
        </w:rPr>
      </w:pPr>
      <w:r>
        <w:rPr>
          <w:b/>
          <w:bCs/>
          <w:color w:val="auto"/>
          <w:sz w:val="32"/>
          <w:highlight w:val="none"/>
        </w:rPr>
      </w:r>
      <w:r/>
    </w:p>
    <w:p>
      <w:pPr>
        <w:pStyle w:val="696"/>
        <w:ind w:firstLine="0"/>
        <w:jc w:val="center"/>
        <w:rPr>
          <w:b/>
          <w:color w:val="auto"/>
          <w:highlight w:val="none"/>
        </w:rPr>
      </w:pPr>
      <w:r>
        <w:rPr>
          <w:rFonts w:hint="eastAsia" w:ascii="微软雅黑" w:hAnsi="微软雅黑" w:eastAsia="微软雅黑"/>
          <w:b/>
          <w:bCs/>
          <w:color w:val="auto"/>
          <w:sz w:val="32"/>
          <w:highlight w:val="none"/>
        </w:rPr>
        <w:t xml:space="preserve">总  目 </w:t>
      </w:r>
      <w:r>
        <w:rPr>
          <w:rFonts w:ascii="微软雅黑" w:hAnsi="微软雅黑" w:eastAsia="微软雅黑"/>
          <w:b/>
          <w:bCs/>
          <w:color w:val="auto"/>
          <w:sz w:val="32"/>
          <w:highlight w:val="none"/>
        </w:rPr>
        <w:t xml:space="preserve"> </w:t>
      </w:r>
      <w:r>
        <w:rPr>
          <w:rFonts w:hint="eastAsia" w:ascii="微软雅黑" w:hAnsi="微软雅黑" w:eastAsia="微软雅黑"/>
          <w:b/>
          <w:bCs/>
          <w:color w:val="auto"/>
          <w:sz w:val="32"/>
          <w:highlight w:val="none"/>
        </w:rPr>
        <w:t xml:space="preserve">录</w:t>
      </w:r>
      <w:r/>
    </w:p>
    <w:p>
      <w:pPr>
        <w:pStyle w:val="649"/>
        <w:tabs>
          <w:tab w:val="left" w:pos="1050" w:leader="none"/>
          <w:tab w:val="right" w:pos="8780" w:leader="dot"/>
        </w:tabs>
        <w:rPr>
          <w:rFonts w:asciiTheme="minorHAnsi" w:hAnsiTheme="minorHAnsi" w:eastAsiaTheme="minorEastAsia" w:cstheme="minorBidi"/>
          <w:color w:val="auto"/>
          <w:sz w:val="28"/>
          <w:szCs w:val="22"/>
          <w:highlight w:val="none"/>
        </w:rPr>
      </w:pPr>
      <w:r>
        <w:rPr>
          <w:rFonts w:hint="eastAsia" w:ascii="微软雅黑" w:hAnsi="微软雅黑" w:eastAsia="微软雅黑" w:cs="微软雅黑"/>
          <w:color w:val="auto"/>
          <w:sz w:val="96"/>
          <w:szCs w:val="28"/>
          <w:highlight w:val="none"/>
        </w:rPr>
        <w:fldChar w:fldCharType="begin"/>
      </w:r>
      <w:r>
        <w:rPr>
          <w:rFonts w:hint="eastAsia" w:ascii="微软雅黑" w:hAnsi="微软雅黑" w:eastAsia="微软雅黑" w:cs="微软雅黑"/>
          <w:color w:val="auto"/>
          <w:sz w:val="96"/>
          <w:szCs w:val="28"/>
          <w:highlight w:val="none"/>
        </w:rPr>
        <w:instrText xml:space="preserve"> TOC \o "1-1" \h \z \u </w:instrText>
      </w:r>
      <w:r>
        <w:rPr>
          <w:rFonts w:hint="eastAsia" w:ascii="微软雅黑" w:hAnsi="微软雅黑" w:eastAsia="微软雅黑" w:cs="微软雅黑"/>
          <w:color w:val="auto"/>
          <w:sz w:val="96"/>
          <w:szCs w:val="28"/>
          <w:highlight w:val="none"/>
        </w:rPr>
        <w:fldChar w:fldCharType="separate"/>
      </w:r>
      <w:r>
        <w:rPr>
          <w:color w:val="auto"/>
          <w:highlight w:val="none"/>
        </w:rPr>
        <w:fldChar w:fldCharType="begin"/>
      </w:r>
      <w:r>
        <w:rPr>
          <w:color w:val="auto"/>
          <w:highlight w:val="none"/>
        </w:rPr>
        <w:instrText xml:space="preserve"> HYPERLINK \l "_Toc236991653" </w:instrText>
      </w:r>
      <w:r>
        <w:rPr>
          <w:color w:val="auto"/>
          <w:highlight w:val="none"/>
        </w:rPr>
        <w:fldChar w:fldCharType="separate"/>
      </w:r>
      <w:r>
        <w:rPr>
          <w:rStyle w:val="662"/>
          <w:rFonts w:hint="eastAsia"/>
          <w:color w:val="auto"/>
          <w:sz w:val="28"/>
          <w:highlight w:val="none"/>
        </w:rPr>
        <w:t xml:space="preserve">第一章</w:t>
      </w:r>
      <w:r>
        <w:rPr>
          <w:rFonts w:asciiTheme="minorHAnsi" w:hAnsiTheme="minorHAnsi" w:eastAsiaTheme="minorEastAsia" w:cstheme="minorBidi"/>
          <w:color w:val="auto"/>
          <w:sz w:val="28"/>
          <w:szCs w:val="22"/>
          <w:highlight w:val="none"/>
        </w:rPr>
        <w:tab/>
      </w:r>
      <w:r>
        <w:rPr>
          <w:rStyle w:val="662"/>
          <w:rFonts w:hint="eastAsia"/>
          <w:color w:val="auto"/>
          <w:sz w:val="28"/>
          <w:highlight w:val="none"/>
        </w:rPr>
        <w:t xml:space="preserve">招标公告</w:t>
      </w:r>
      <w:r>
        <w:rPr>
          <w:color w:val="auto"/>
          <w:sz w:val="28"/>
          <w:highlight w:val="none"/>
        </w:rPr>
        <w:tab/>
      </w:r>
      <w:r>
        <w:rPr>
          <w:color w:val="auto"/>
          <w:sz w:val="28"/>
          <w:highlight w:val="none"/>
        </w:rPr>
        <w:fldChar w:fldCharType="begin"/>
      </w:r>
      <w:r>
        <w:rPr>
          <w:color w:val="auto"/>
          <w:sz w:val="28"/>
          <w:highlight w:val="none"/>
        </w:rPr>
        <w:instrText xml:space="preserve"> PAGEREF _Toc236991653 \h </w:instrText>
      </w:r>
      <w:r>
        <w:rPr>
          <w:color w:val="auto"/>
          <w:sz w:val="28"/>
          <w:highlight w:val="none"/>
        </w:rPr>
        <w:fldChar w:fldCharType="separate"/>
      </w:r>
      <w:r>
        <w:rPr>
          <w:color w:val="auto"/>
          <w:sz w:val="28"/>
          <w:highlight w:val="none"/>
        </w:rPr>
        <w:t xml:space="preserve">3</w:t>
      </w:r>
      <w:r>
        <w:rPr>
          <w:color w:val="auto"/>
          <w:sz w:val="28"/>
          <w:highlight w:val="none"/>
        </w:rPr>
        <w:fldChar w:fldCharType="end"/>
      </w:r>
      <w:r>
        <w:rPr>
          <w:color w:val="auto"/>
          <w:sz w:val="28"/>
          <w:highlight w:val="none"/>
        </w:rPr>
        <w:fldChar w:fldCharType="end"/>
      </w:r>
      <w:r/>
    </w:p>
    <w:p>
      <w:pPr>
        <w:pStyle w:val="649"/>
        <w:tabs>
          <w:tab w:val="right" w:pos="8780" w:leader="dot"/>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"_Toc236991654" </w:instrText>
      </w:r>
      <w:r>
        <w:rPr>
          <w:color w:val="auto"/>
          <w:highlight w:val="none"/>
        </w:rPr>
        <w:fldChar w:fldCharType="separate"/>
      </w:r>
      <w:r>
        <w:rPr>
          <w:rStyle w:val="662"/>
          <w:rFonts w:hint="eastAsia"/>
          <w:color w:val="auto"/>
          <w:sz w:val="28"/>
          <w:highlight w:val="none"/>
        </w:rPr>
        <w:t xml:space="preserve">第二章</w:t>
      </w:r>
      <w:r>
        <w:rPr>
          <w:rStyle w:val="662"/>
          <w:color w:val="auto"/>
          <w:sz w:val="28"/>
          <w:highlight w:val="none"/>
        </w:rPr>
        <w:t xml:space="preserve">  </w:t>
      </w:r>
      <w:r>
        <w:rPr>
          <w:rStyle w:val="662"/>
          <w:rFonts w:hint="eastAsia"/>
          <w:color w:val="auto"/>
          <w:sz w:val="28"/>
          <w:highlight w:val="none"/>
        </w:rPr>
        <w:t xml:space="preserve">投标人须知</w:t>
      </w:r>
      <w:r>
        <w:rPr>
          <w:color w:val="auto"/>
          <w:sz w:val="28"/>
          <w:highlight w:val="none"/>
        </w:rPr>
        <w:tab/>
      </w:r>
      <w:r>
        <w:rPr>
          <w:color w:val="auto"/>
          <w:sz w:val="28"/>
          <w:highlight w:val="none"/>
        </w:rPr>
        <w:fldChar w:fldCharType="begin"/>
      </w:r>
      <w:r>
        <w:rPr>
          <w:color w:val="auto"/>
          <w:sz w:val="28"/>
          <w:highlight w:val="none"/>
        </w:rPr>
        <w:instrText xml:space="preserve"> PAGEREF _Toc236991654 \h </w:instrText>
      </w:r>
      <w:r>
        <w:rPr>
          <w:color w:val="auto"/>
          <w:sz w:val="28"/>
          <w:highlight w:val="none"/>
        </w:rPr>
        <w:fldChar w:fldCharType="separate"/>
      </w:r>
      <w:r>
        <w:rPr>
          <w:color w:val="auto"/>
          <w:sz w:val="28"/>
          <w:highlight w:val="none"/>
        </w:rPr>
        <w:t xml:space="preserve">8</w:t>
      </w:r>
      <w:r>
        <w:rPr>
          <w:color w:val="auto"/>
          <w:sz w:val="28"/>
          <w:highlight w:val="none"/>
        </w:rPr>
        <w:fldChar w:fldCharType="end"/>
      </w:r>
      <w:r>
        <w:rPr>
          <w:color w:val="auto"/>
          <w:sz w:val="28"/>
          <w:highlight w:val="none"/>
        </w:rPr>
        <w:fldChar w:fldCharType="end"/>
      </w:r>
      <w:r/>
    </w:p>
    <w:p>
      <w:pPr>
        <w:pStyle w:val="649"/>
        <w:tabs>
          <w:tab w:val="right" w:pos="8780" w:leader="dot"/>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"_Toc236991655" </w:instrText>
      </w:r>
      <w:r>
        <w:rPr>
          <w:color w:val="auto"/>
          <w:highlight w:val="none"/>
        </w:rPr>
        <w:fldChar w:fldCharType="separate"/>
      </w:r>
      <w:r>
        <w:rPr>
          <w:rStyle w:val="662"/>
          <w:rFonts w:hint="eastAsia"/>
          <w:color w:val="auto"/>
          <w:sz w:val="28"/>
          <w:highlight w:val="none"/>
        </w:rPr>
        <w:t xml:space="preserve">第三章</w:t>
      </w:r>
      <w:r>
        <w:rPr>
          <w:rStyle w:val="662"/>
          <w:color w:val="auto"/>
          <w:sz w:val="28"/>
          <w:highlight w:val="none"/>
        </w:rPr>
        <w:t xml:space="preserve">  </w:t>
      </w:r>
      <w:r>
        <w:rPr>
          <w:rStyle w:val="662"/>
          <w:rFonts w:hint="eastAsia"/>
          <w:color w:val="auto"/>
          <w:sz w:val="28"/>
          <w:highlight w:val="none"/>
        </w:rPr>
        <w:t xml:space="preserve">评分标准</w:t>
      </w:r>
      <w:r>
        <w:rPr>
          <w:color w:val="auto"/>
          <w:sz w:val="28"/>
          <w:highlight w:val="none"/>
        </w:rPr>
        <w:tab/>
      </w:r>
      <w:r>
        <w:rPr>
          <w:color w:val="auto"/>
          <w:sz w:val="28"/>
          <w:highlight w:val="none"/>
        </w:rPr>
        <w:fldChar w:fldCharType="begin"/>
      </w:r>
      <w:r>
        <w:rPr>
          <w:color w:val="auto"/>
          <w:sz w:val="28"/>
          <w:highlight w:val="none"/>
        </w:rPr>
        <w:instrText xml:space="preserve"> PAGEREF _Toc236991655 \h </w:instrText>
      </w:r>
      <w:r>
        <w:rPr>
          <w:color w:val="auto"/>
          <w:sz w:val="28"/>
          <w:highlight w:val="none"/>
        </w:rPr>
        <w:fldChar w:fldCharType="separate"/>
      </w:r>
      <w:r>
        <w:rPr>
          <w:color w:val="auto"/>
          <w:sz w:val="28"/>
          <w:highlight w:val="none"/>
        </w:rPr>
        <w:t xml:space="preserve">21</w:t>
      </w:r>
      <w:r>
        <w:rPr>
          <w:color w:val="auto"/>
          <w:sz w:val="28"/>
          <w:highlight w:val="none"/>
        </w:rPr>
        <w:fldChar w:fldCharType="end"/>
      </w:r>
      <w:r>
        <w:rPr>
          <w:color w:val="auto"/>
          <w:sz w:val="28"/>
          <w:highlight w:val="none"/>
        </w:rPr>
        <w:fldChar w:fldCharType="end"/>
      </w:r>
      <w:r/>
    </w:p>
    <w:p>
      <w:pPr>
        <w:pStyle w:val="649"/>
        <w:tabs>
          <w:tab w:val="right" w:pos="8780" w:leader="dot"/>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"_Toc236991656" </w:instrText>
      </w:r>
      <w:r>
        <w:rPr>
          <w:color w:val="auto"/>
          <w:highlight w:val="none"/>
        </w:rPr>
        <w:fldChar w:fldCharType="separate"/>
      </w:r>
      <w:r>
        <w:rPr>
          <w:rStyle w:val="662"/>
          <w:rFonts w:hint="eastAsia"/>
          <w:color w:val="auto"/>
          <w:sz w:val="28"/>
          <w:highlight w:val="none"/>
        </w:rPr>
        <w:t xml:space="preserve">第四章</w:t>
      </w:r>
      <w:r>
        <w:rPr>
          <w:rStyle w:val="662"/>
          <w:color w:val="auto"/>
          <w:sz w:val="28"/>
          <w:highlight w:val="none"/>
        </w:rPr>
        <w:t xml:space="preserve">  </w:t>
      </w:r>
      <w:r>
        <w:rPr>
          <w:rStyle w:val="662"/>
          <w:rFonts w:hint="eastAsia"/>
          <w:color w:val="auto"/>
          <w:sz w:val="28"/>
          <w:highlight w:val="none"/>
        </w:rPr>
        <w:t xml:space="preserve">项目需求</w:t>
      </w:r>
      <w:r>
        <w:rPr>
          <w:color w:val="auto"/>
          <w:sz w:val="28"/>
          <w:highlight w:val="none"/>
        </w:rPr>
        <w:tab/>
      </w:r>
      <w:r>
        <w:rPr>
          <w:color w:val="auto"/>
          <w:sz w:val="28"/>
          <w:highlight w:val="none"/>
        </w:rPr>
        <w:fldChar w:fldCharType="begin"/>
      </w:r>
      <w:r>
        <w:rPr>
          <w:color w:val="auto"/>
          <w:sz w:val="28"/>
          <w:highlight w:val="none"/>
        </w:rPr>
        <w:instrText xml:space="preserve"> PAGEREF _Toc236991656 \h </w:instrText>
      </w:r>
      <w:r>
        <w:rPr>
          <w:color w:val="auto"/>
          <w:sz w:val="28"/>
          <w:highlight w:val="none"/>
        </w:rPr>
        <w:fldChar w:fldCharType="separate"/>
      </w:r>
      <w:r>
        <w:rPr>
          <w:color w:val="auto"/>
          <w:sz w:val="28"/>
          <w:highlight w:val="none"/>
        </w:rPr>
        <w:t xml:space="preserve">25</w:t>
      </w:r>
      <w:r>
        <w:rPr>
          <w:color w:val="auto"/>
          <w:sz w:val="28"/>
          <w:highlight w:val="none"/>
        </w:rPr>
        <w:fldChar w:fldCharType="end"/>
      </w:r>
      <w:r>
        <w:rPr>
          <w:color w:val="auto"/>
          <w:sz w:val="28"/>
          <w:highlight w:val="none"/>
        </w:rPr>
        <w:fldChar w:fldCharType="end"/>
      </w:r>
      <w:r/>
    </w:p>
    <w:p>
      <w:pPr>
        <w:pStyle w:val="649"/>
        <w:tabs>
          <w:tab w:val="right" w:pos="8780" w:leader="dot"/>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"_Toc236991657" </w:instrText>
      </w:r>
      <w:r>
        <w:rPr>
          <w:color w:val="auto"/>
          <w:highlight w:val="none"/>
        </w:rPr>
        <w:fldChar w:fldCharType="separate"/>
      </w:r>
      <w:r>
        <w:rPr>
          <w:rStyle w:val="662"/>
          <w:rFonts w:hint="eastAsia"/>
          <w:color w:val="auto"/>
          <w:sz w:val="28"/>
          <w:highlight w:val="none"/>
        </w:rPr>
        <w:t xml:space="preserve">第五章</w:t>
      </w:r>
      <w:r>
        <w:rPr>
          <w:rStyle w:val="662"/>
          <w:color w:val="auto"/>
          <w:sz w:val="28"/>
          <w:highlight w:val="none"/>
        </w:rPr>
        <w:t xml:space="preserve">  </w:t>
      </w:r>
      <w:r>
        <w:rPr>
          <w:rStyle w:val="662"/>
          <w:rFonts w:hint="eastAsia"/>
          <w:color w:val="auto"/>
          <w:sz w:val="28"/>
          <w:highlight w:val="none"/>
        </w:rPr>
        <w:t xml:space="preserve">采购合同格式</w:t>
      </w:r>
      <w:r>
        <w:rPr>
          <w:color w:val="auto"/>
          <w:sz w:val="28"/>
          <w:highlight w:val="none"/>
        </w:rPr>
        <w:tab/>
      </w:r>
      <w:r>
        <w:rPr>
          <w:color w:val="auto"/>
          <w:sz w:val="28"/>
          <w:highlight w:val="none"/>
        </w:rPr>
        <w:fldChar w:fldCharType="begin"/>
      </w:r>
      <w:r>
        <w:rPr>
          <w:color w:val="auto"/>
          <w:sz w:val="28"/>
          <w:highlight w:val="none"/>
        </w:rPr>
        <w:instrText xml:space="preserve"> PAGEREF _Toc236991657 \h </w:instrText>
      </w:r>
      <w:r>
        <w:rPr>
          <w:color w:val="auto"/>
          <w:sz w:val="28"/>
          <w:highlight w:val="none"/>
        </w:rPr>
        <w:fldChar w:fldCharType="separate"/>
      </w:r>
      <w:r>
        <w:rPr>
          <w:color w:val="auto"/>
          <w:sz w:val="28"/>
          <w:highlight w:val="none"/>
        </w:rPr>
        <w:t xml:space="preserve">46</w:t>
      </w:r>
      <w:r>
        <w:rPr>
          <w:color w:val="auto"/>
          <w:sz w:val="28"/>
          <w:highlight w:val="none"/>
        </w:rPr>
        <w:fldChar w:fldCharType="end"/>
      </w:r>
      <w:r>
        <w:rPr>
          <w:color w:val="auto"/>
          <w:sz w:val="28"/>
          <w:highlight w:val="none"/>
        </w:rPr>
        <w:fldChar w:fldCharType="end"/>
      </w:r>
      <w:r/>
    </w:p>
    <w:p>
      <w:pPr>
        <w:pStyle w:val="649"/>
        <w:tabs>
          <w:tab w:val="right" w:pos="8780" w:leader="dot"/>
        </w:tabs>
        <w:rPr>
          <w:rFonts w:asciiTheme="minorHAnsi" w:hAnsiTheme="minorHAnsi" w:eastAsiaTheme="minorEastAsia" w:cstheme="minorBidi"/>
          <w:color w:val="auto"/>
          <w:sz w:val="28"/>
          <w:szCs w:val="22"/>
          <w:highlight w:val="none"/>
        </w:rPr>
      </w:pPr>
      <w:r>
        <w:rPr>
          <w:color w:val="auto"/>
          <w:highlight w:val="none"/>
        </w:rPr>
        <w:fldChar w:fldCharType="begin"/>
      </w:r>
      <w:r>
        <w:rPr>
          <w:color w:val="auto"/>
          <w:highlight w:val="none"/>
        </w:rPr>
        <w:instrText xml:space="preserve"> HYPERLINK \l "_Toc236991658" </w:instrText>
      </w:r>
      <w:r>
        <w:rPr>
          <w:color w:val="auto"/>
          <w:highlight w:val="none"/>
        </w:rPr>
        <w:fldChar w:fldCharType="separate"/>
      </w:r>
      <w:r>
        <w:rPr>
          <w:rStyle w:val="662"/>
          <w:rFonts w:hint="eastAsia"/>
          <w:color w:val="auto"/>
          <w:sz w:val="28"/>
          <w:highlight w:val="none"/>
        </w:rPr>
        <w:t xml:space="preserve">第六章</w:t>
      </w:r>
      <w:r>
        <w:rPr>
          <w:rStyle w:val="662"/>
          <w:color w:val="auto"/>
          <w:sz w:val="28"/>
          <w:highlight w:val="none"/>
        </w:rPr>
        <w:t xml:space="preserve">  </w:t>
      </w:r>
      <w:r>
        <w:rPr>
          <w:rStyle w:val="662"/>
          <w:rFonts w:hint="eastAsia"/>
          <w:color w:val="auto"/>
          <w:sz w:val="28"/>
          <w:highlight w:val="none"/>
        </w:rPr>
        <w:t xml:space="preserve">投标文件格式</w:t>
      </w:r>
      <w:r>
        <w:rPr>
          <w:color w:val="auto"/>
          <w:sz w:val="28"/>
          <w:highlight w:val="none"/>
        </w:rPr>
        <w:tab/>
      </w:r>
      <w:r>
        <w:rPr>
          <w:color w:val="auto"/>
          <w:sz w:val="28"/>
          <w:highlight w:val="none"/>
        </w:rPr>
        <w:fldChar w:fldCharType="begin"/>
      </w:r>
      <w:r>
        <w:rPr>
          <w:color w:val="auto"/>
          <w:sz w:val="28"/>
          <w:highlight w:val="none"/>
        </w:rPr>
        <w:instrText xml:space="preserve"> PAGEREF _Toc236991658 \h </w:instrText>
      </w:r>
      <w:r>
        <w:rPr>
          <w:color w:val="auto"/>
          <w:sz w:val="28"/>
          <w:highlight w:val="none"/>
        </w:rPr>
        <w:fldChar w:fldCharType="separate"/>
      </w:r>
      <w:r>
        <w:rPr>
          <w:color w:val="auto"/>
          <w:sz w:val="28"/>
          <w:highlight w:val="none"/>
        </w:rPr>
        <w:t xml:space="preserve">48</w:t>
      </w:r>
      <w:r>
        <w:rPr>
          <w:color w:val="auto"/>
          <w:sz w:val="28"/>
          <w:highlight w:val="none"/>
        </w:rPr>
        <w:fldChar w:fldCharType="end"/>
      </w:r>
      <w:r>
        <w:rPr>
          <w:color w:val="auto"/>
          <w:sz w:val="28"/>
          <w:highlight w:val="none"/>
        </w:rPr>
        <w:fldChar w:fldCharType="end"/>
      </w:r>
      <w:r/>
    </w:p>
    <w:p>
      <w:pPr>
        <w:spacing w:line="360" w:lineRule="auto"/>
        <w:tabs>
          <w:tab w:val="right" w:pos="9355" w:leader="dot"/>
        </w:tabs>
        <w:rPr>
          <w:color w:val="auto"/>
          <w:highlight w:val="none"/>
        </w:rPr>
      </w:pPr>
      <w:r>
        <w:rPr>
          <w:rFonts w:hint="eastAsia" w:ascii="微软雅黑" w:hAnsi="微软雅黑" w:eastAsia="微软雅黑" w:cs="微软雅黑"/>
          <w:color w:val="auto"/>
          <w:sz w:val="28"/>
          <w:szCs w:val="28"/>
          <w:highlight w:val="none"/>
        </w:rPr>
        <w:fldChar w:fldCharType="end"/>
      </w:r>
      <w:r>
        <w:rPr>
          <w:color w:val="auto"/>
          <w:highlight w:val="none"/>
        </w:rPr>
        <w:br w:type="page" w:clear="all"/>
      </w:r>
      <w:bookmarkStart w:id="92" w:name="_GoBack"/>
      <w:r/>
      <w:bookmarkEnd w:id="92"/>
      <w:r/>
      <w:r/>
    </w:p>
    <w:p>
      <w:pPr>
        <w:pStyle w:val="627"/>
        <w:numPr>
          <w:ilvl w:val="0"/>
          <w:numId w:val="1"/>
        </w:numPr>
        <w:jc w:val="center"/>
        <w:spacing w:before="120" w:after="120" w:line="360" w:lineRule="auto"/>
        <w:rPr>
          <w:color w:val="auto"/>
          <w:highlight w:val="none"/>
        </w:rPr>
      </w:pPr>
      <w:r/>
      <w:bookmarkStart w:id="1" w:name="_Toc236991653"/>
      <w:r>
        <w:rPr>
          <w:rFonts w:hint="eastAsia"/>
          <w:color w:val="auto"/>
          <w:highlight w:val="none"/>
        </w:rPr>
        <w:t xml:space="preserve">招标公告</w:t>
      </w:r>
      <w:bookmarkEnd w:id="1"/>
      <w:r/>
      <w:r/>
    </w:p>
    <w:p>
      <w:pPr>
        <w:rPr>
          <w:color w:val="auto"/>
          <w:highlight w:val="none"/>
        </w:rPr>
      </w:pPr>
      <w:r>
        <w:rPr>
          <w:color w:val="auto"/>
          <w:highlight w:val="none"/>
        </w:rPr>
      </w:r>
      <w:r/>
    </w:p>
    <w:p>
      <w:pPr>
        <w:rPr>
          <w:b/>
          <w:bCs/>
          <w:color w:val="auto"/>
          <w:sz w:val="24"/>
          <w:szCs w:val="24"/>
          <w:highlight w:val="none"/>
        </w:rPr>
      </w:pPr>
      <w:r>
        <w:rPr>
          <w:rFonts w:hint="eastAsia"/>
          <w:b/>
          <w:bCs/>
          <w:color w:val="auto"/>
          <w:sz w:val="24"/>
          <w:szCs w:val="24"/>
          <w:highlight w:val="none"/>
        </w:rPr>
        <w:t xml:space="preserve">项目概况：</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紫金山科技城爱陵路以东、秦县路以南片区道路电子警察及监控系统项目的潜在供应商应在江苏政府采购</w:t>
      </w:r>
      <w:r>
        <w:rPr>
          <w:rFonts w:hint="eastAsia" w:ascii="宋体" w:hAnsi="宋体"/>
          <w:color w:val="auto"/>
          <w:sz w:val="24"/>
          <w:szCs w:val="24"/>
          <w:highlight w:val="none"/>
        </w:rPr>
        <w:t xml:space="preserve">网获取招标文件，并于</w:t>
      </w:r>
      <w:r>
        <w:rPr>
          <w:rFonts w:hint="eastAsia" w:ascii="宋体" w:hAnsi="宋体"/>
          <w:color w:val="auto"/>
          <w:sz w:val="24"/>
          <w:szCs w:val="24"/>
          <w:highlight w:val="none"/>
        </w:rPr>
        <w:t xml:space="preserve">2026年</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日14时00分</w:t>
      </w:r>
      <w:r>
        <w:rPr>
          <w:rFonts w:hint="eastAsia" w:ascii="宋体" w:hAnsi="宋体"/>
          <w:color w:val="auto"/>
          <w:sz w:val="24"/>
          <w:szCs w:val="24"/>
          <w:highlight w:val="none"/>
        </w:rPr>
        <w:t xml:space="preserve">（北</w:t>
      </w:r>
      <w:r>
        <w:rPr>
          <w:rFonts w:hint="eastAsia" w:ascii="宋体" w:hAnsi="宋体"/>
          <w:color w:val="auto"/>
          <w:sz w:val="24"/>
          <w:szCs w:val="24"/>
          <w:highlight w:val="none"/>
        </w:rPr>
        <w:t xml:space="preserve">京时间）前递交投标文件。</w:t>
      </w:r>
      <w:r/>
    </w:p>
    <w:p>
      <w:pPr>
        <w:rPr>
          <w:rFonts w:hint="eastAsia"/>
          <w:color w:val="auto"/>
          <w:highlight w:val="none"/>
        </w:rPr>
      </w:pPr>
      <w:r/>
      <w:bookmarkStart w:id="2" w:name="_Toc28359079"/>
      <w:r/>
      <w:bookmarkStart w:id="3" w:name="_Toc28359002"/>
      <w:r/>
      <w:bookmarkStart w:id="4" w:name="_Toc35393621"/>
      <w:r/>
      <w:bookmarkStart w:id="5" w:name="_Toc35393790"/>
      <w:r/>
      <w:bookmarkStart w:id="6" w:name="_Hlk24379207"/>
      <w:r/>
      <w:bookmarkStart w:id="7" w:name="_Toc423002379"/>
      <w:r/>
      <w:bookmarkStart w:id="8" w:name="_Toc420942708"/>
      <w:r/>
      <w:bookmarkStart w:id="9" w:name="_Toc484463013"/>
      <w:r/>
      <w:bookmarkStart w:id="10" w:name="_Toc420998758"/>
      <w:r/>
      <w:bookmarkStart w:id="11" w:name="_Toc422123098"/>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ascii="宋体" w:hAnsi="宋体"/>
          <w:color w:val="auto"/>
          <w:sz w:val="24"/>
          <w:szCs w:val="24"/>
          <w:highlight w:val="none"/>
        </w:rPr>
        <w:t xml:space="preserve">JSZC-320115-JSCC-G2026-00</w:t>
      </w:r>
      <w:r>
        <w:rPr>
          <w:rFonts w:hint="eastAsia" w:ascii="宋体" w:hAnsi="宋体"/>
          <w:color w:val="auto"/>
          <w:sz w:val="24"/>
          <w:szCs w:val="24"/>
          <w:highlight w:val="none"/>
          <w:lang w:val="en-US" w:eastAsia="zh-CN"/>
        </w:rPr>
        <w:t xml:space="preserve">14</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2.项目名称：紫金山科技城爱陵路以东、秦县路以南片区道路电子警察及监控系统项目</w:t>
      </w:r>
      <w:bookmarkEnd w:id="6"/>
      <w:r/>
    </w:p>
    <w:p>
      <w:pPr>
        <w:ind w:firstLine="480"/>
        <w:spacing w:line="360" w:lineRule="auto"/>
        <w:rPr>
          <w:rFonts w:ascii="宋体" w:hAnsi="宋体"/>
          <w:color w:val="auto"/>
          <w:sz w:val="24"/>
          <w:szCs w:val="24"/>
          <w:highlight w:val="none"/>
        </w:rPr>
      </w:pPr>
      <w:r/>
      <w:bookmarkStart w:id="12" w:name="_Toc35393791"/>
      <w:r/>
      <w:bookmarkStart w:id="13" w:name="_Toc28359003"/>
      <w:r/>
      <w:bookmarkStart w:id="14" w:name="_Toc35393622"/>
      <w:r/>
      <w:bookmarkStart w:id="15" w:name="_Toc28359080"/>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采购方式：公开招标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．预算金额：</w:t>
      </w:r>
      <w:r>
        <w:rPr>
          <w:rFonts w:ascii="宋体" w:hAnsi="宋体"/>
          <w:color w:val="auto"/>
          <w:sz w:val="24"/>
          <w:szCs w:val="24"/>
          <w:highlight w:val="none"/>
        </w:rPr>
        <w:t xml:space="preserve">374</w:t>
      </w:r>
      <w:r>
        <w:rPr>
          <w:rFonts w:hint="eastAsia" w:ascii="宋体" w:hAnsi="宋体"/>
          <w:color w:val="auto"/>
          <w:sz w:val="24"/>
          <w:szCs w:val="24"/>
          <w:highlight w:val="none"/>
        </w:rPr>
        <w:t xml:space="preserve">万元（人民币）</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．最高限价：</w:t>
      </w:r>
      <w:bookmarkStart w:id="16" w:name="OLE_LINK24"/>
      <w:r/>
      <w:bookmarkStart w:id="17" w:name="OLE_LINK25"/>
      <w:r>
        <w:rPr>
          <w:rFonts w:ascii="宋体" w:hAnsi="宋体"/>
          <w:color w:val="auto"/>
          <w:sz w:val="24"/>
          <w:szCs w:val="24"/>
          <w:highlight w:val="none"/>
        </w:rPr>
        <w:t xml:space="preserve">349.3261</w:t>
      </w:r>
      <w:bookmarkEnd w:id="16"/>
      <w:r/>
      <w:bookmarkEnd w:id="17"/>
      <w:r>
        <w:rPr>
          <w:rFonts w:hint="eastAsia" w:ascii="宋体" w:hAnsi="宋体"/>
          <w:color w:val="auto"/>
          <w:sz w:val="24"/>
          <w:szCs w:val="24"/>
          <w:highlight w:val="none"/>
        </w:rPr>
        <w:t xml:space="preserve">万元（人民币）</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ascii="宋体" w:hAnsi="宋体"/>
          <w:color w:val="auto"/>
          <w:sz w:val="24"/>
          <w:szCs w:val="24"/>
          <w:highlight w:val="none"/>
        </w:rPr>
        <w:t xml:space="preserve">为完善道路基础设施，降低安全隐患和交通事故率，提升通行效率，拟实施紫金山科技城爱陵路以东、秦县路以南片区道路电子警察及监控系统项目，从而实现交通违法抓拍，道路视频监控功能，治安管控与车辆缉查功能，交通信号与交通信息采集，信息共享与平台联动，全天候环境适应能力等功能，同时达成规范道路交通秩序，减少交通违法行为，完善交通违法取证体系，规范执法，保障群众出行权益，便于事故定责，支撑城市交通规划与决策，构建全天候、全覆盖的道路感知网络等目标</w:t>
      </w:r>
      <w:r>
        <w:rPr>
          <w:rFonts w:hint="eastAsia" w:ascii="宋体" w:hAnsi="宋体"/>
          <w:color w:val="auto"/>
          <w:sz w:val="24"/>
          <w:szCs w:val="24"/>
          <w:highlight w:val="none"/>
        </w:rPr>
        <w:t xml:space="preserve">，详见招标文件</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交货期限</w:t>
      </w:r>
      <w:r>
        <w:rPr>
          <w:rFonts w:hint="eastAsia" w:ascii="宋体" w:hAnsi="宋体"/>
          <w:color w:val="auto"/>
          <w:sz w:val="24"/>
          <w:szCs w:val="24"/>
          <w:highlight w:val="none"/>
        </w:rPr>
        <w:t xml:space="preserve">：合同签订后</w:t>
      </w:r>
      <w:r>
        <w:rPr>
          <w:rFonts w:ascii="宋体" w:hAnsi="宋体"/>
          <w:color w:val="auto"/>
          <w:sz w:val="24"/>
          <w:szCs w:val="24"/>
          <w:highlight w:val="none"/>
        </w:rPr>
        <w:t xml:space="preserve">120</w:t>
      </w:r>
      <w:r>
        <w:rPr>
          <w:rFonts w:hint="eastAsia" w:ascii="宋体" w:hAnsi="宋体"/>
          <w:color w:val="auto"/>
          <w:sz w:val="24"/>
          <w:szCs w:val="24"/>
          <w:highlight w:val="none"/>
        </w:rPr>
        <w:t xml:space="preserve">个日历天内将货物送达指定地点，完成安装调试并具备验收条件</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本项目不接受联合体投标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本项目标的所属行业：工业</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本项目不接受进口产品</w:t>
      </w:r>
      <w:r/>
    </w:p>
    <w:p>
      <w:pPr>
        <w:rPr>
          <w:rFonts w:hint="eastAsia"/>
          <w:color w:val="auto"/>
          <w:highlight w:val="none"/>
        </w:rPr>
      </w:pPr>
      <w:r>
        <w:rPr>
          <w:rFonts w:hint="eastAsia"/>
          <w:color w:val="auto"/>
          <w:highlight w:val="none"/>
        </w:rPr>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bookmarkEnd w:id="12"/>
      <w:r/>
      <w:bookmarkEnd w:id="13"/>
      <w:r/>
      <w:bookmarkEnd w:id="14"/>
      <w:r/>
      <w:bookmarkEnd w:id="15"/>
      <w:r/>
      <w:bookmarkStart w:id="18" w:name="_Toc28359081"/>
      <w:r/>
      <w:bookmarkStart w:id="19" w:name="_Toc35393792"/>
      <w:r/>
      <w:bookmarkStart w:id="20" w:name="_Toc35393623"/>
      <w:r/>
      <w:bookmarkStart w:id="21" w:name="_Toc28359004"/>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满足《中华人民共和国政府采购法》第二十二条规定，并提供下列材料：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（2）具有良好的商业信誉和健全的财务会计制度（提供参加本次政府采购活动前半</w:t>
      </w:r>
      <w:r>
        <w:rPr>
          <w:rFonts w:hint="eastAsia" w:ascii="宋体" w:hAnsi="宋体"/>
          <w:color w:val="auto"/>
          <w:sz w:val="24"/>
          <w:szCs w:val="24"/>
          <w:highlight w:val="none"/>
        </w:rPr>
        <w:t xml:space="preserve">年内</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026年</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月以来</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任一个月的财报或上一年度财务审计报告</w:t>
      </w:r>
      <w:r>
        <w:rPr>
          <w:rFonts w:ascii="宋体" w:hAnsi="宋体"/>
          <w:color w:val="auto"/>
          <w:sz w:val="24"/>
          <w:szCs w:val="24"/>
          <w:highlight w:val="none"/>
        </w:rPr>
        <w:t xml:space="preserve">复印件</w:t>
      </w:r>
      <w:r>
        <w:rPr>
          <w:rFonts w:hint="eastAsia" w:ascii="宋体" w:hAnsi="宋体"/>
          <w:color w:val="auto"/>
          <w:sz w:val="24"/>
          <w:szCs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（3）依法缴纳税收和社会保障资金的相关材料（提供提交投标文件截止时间前半年内</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026年</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月以来</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任一个月依法缴纳税收及缴纳社会保障资金的证明材料复印件。投标人依法享受缓缴、免缴税收、社会保障资金的提供证明材料）；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w:t>
      </w:r>
      <w:r>
        <w:rPr>
          <w:rFonts w:hint="eastAsia" w:ascii="宋体" w:hAnsi="宋体"/>
          <w:color w:val="auto"/>
          <w:sz w:val="24"/>
          <w:szCs w:val="24"/>
          <w:highlight w:val="none"/>
        </w:rPr>
        <w:t xml:space="preserve">经营活动中没有重大违法记录的书面声明；</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2．落实政府采购政策需满足的资格要求：（如属于专门面向中小企业采购的项目，供应商应为中小微企业、监狱企业、残疾人福利性单位）本项目按照采用以下</w:t>
      </w:r>
      <w:r>
        <w:rPr>
          <w:rFonts w:hint="eastAsia" w:ascii="宋体" w:hAnsi="宋体"/>
          <w:color w:val="auto"/>
          <w:sz w:val="24"/>
          <w:szCs w:val="24"/>
          <w:highlight w:val="none"/>
        </w:rPr>
        <w:t xml:space="preserve">第(</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)种方式落</w:t>
      </w:r>
      <w:r>
        <w:rPr>
          <w:rFonts w:hint="eastAsia" w:ascii="宋体" w:hAnsi="宋体"/>
          <w:color w:val="auto"/>
          <w:sz w:val="24"/>
          <w:szCs w:val="24"/>
          <w:highlight w:val="none"/>
        </w:rPr>
        <w:t xml:space="preserve">实政府采购促进中小企业发展的要求：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 本项目要求供应商以联合体形式参加，企业合同金额应当达到的比例为%。</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② 本项目要求供应商进行合同分包，企业合同金额应当达到的比例为%。</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（4）本项目为非预留份额的采购项目或采购包，执行价格扣除优惠政策，具体详见第三章评标办法与标准。</w:t>
      </w:r>
      <w:r/>
    </w:p>
    <w:p>
      <w:pPr>
        <w:ind w:firstLine="480"/>
        <w:spacing w:line="360" w:lineRule="auto"/>
        <w:tabs>
          <w:tab w:val="left" w:pos="7380" w:leader="none"/>
        </w:tabs>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4．拒绝下述投标人参加本次采购活动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投标人</w:t>
      </w:r>
      <w:r>
        <w:rPr>
          <w:rFonts w:hint="eastAsia" w:ascii="宋体" w:hAnsi="宋体" w:cs="宋体"/>
          <w:color w:val="auto"/>
          <w:sz w:val="24"/>
          <w:szCs w:val="24"/>
          <w:highlight w:val="none"/>
        </w:rPr>
        <w:t xml:space="preserve">单位负责人为同一人或者存在直接控股、管理关系的不同投标人，不得参加同一合同项下的政府采购活动；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（2）为采购项目提供整体设计、规范编制或者项目管理、监理、检测等服务的</w:t>
      </w:r>
      <w:r>
        <w:rPr>
          <w:rFonts w:hint="eastAsia" w:ascii="宋体" w:hAnsi="宋体"/>
          <w:color w:val="auto"/>
          <w:sz w:val="24"/>
          <w:szCs w:val="24"/>
          <w:highlight w:val="none"/>
        </w:rPr>
        <w:t xml:space="preserve">投标人</w:t>
      </w:r>
      <w:r>
        <w:rPr>
          <w:rFonts w:hint="eastAsia" w:ascii="宋体" w:hAnsi="宋体" w:cs="宋体"/>
          <w:color w:val="auto"/>
          <w:sz w:val="24"/>
          <w:szCs w:val="24"/>
          <w:highlight w:val="none"/>
        </w:rPr>
        <w:t xml:space="preserve">，不得参加本项目的采购活动；</w:t>
      </w:r>
      <w:r/>
    </w:p>
    <w:p>
      <w:pPr>
        <w:ind w:firstLine="480"/>
        <w:spacing w:line="360" w:lineRule="auto"/>
        <w:tabs>
          <w:tab w:val="left" w:pos="73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投标人</w:t>
      </w:r>
      <w:r>
        <w:rPr>
          <w:rFonts w:hint="eastAsia" w:ascii="宋体" w:hAnsi="宋体" w:cs="宋体"/>
          <w:color w:val="auto"/>
          <w:sz w:val="24"/>
          <w:szCs w:val="24"/>
          <w:highlight w:val="none"/>
        </w:rPr>
        <w:t xml:space="preserve">被“信用中国”网站（www.creditchina.gov.cn）、“中国政府采购网”(www.ccgp.gov.cn)列入失信被执行人、重大税收违法案件当事人名单、政府采购严重违法失信行为记录名单。</w:t>
      </w:r>
      <w:r/>
    </w:p>
    <w:p>
      <w:pPr>
        <w:rPr>
          <w:color w:val="auto"/>
          <w:highlight w:val="none"/>
        </w:rPr>
      </w:pPr>
      <w:r>
        <w:rPr>
          <w:color w:val="auto"/>
          <w:highlight w:val="none"/>
        </w:rPr>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18"/>
      <w:r/>
      <w:bookmarkEnd w:id="19"/>
      <w:r/>
      <w:bookmarkEnd w:id="20"/>
      <w:r/>
      <w:bookmarkEnd w:id="2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1.时间：自招标文件公告发布之日起。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2.地点：江苏政府采购网。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4.售价：0.00元。</w:t>
      </w:r>
      <w:r/>
    </w:p>
    <w:p>
      <w:pPr>
        <w:rPr>
          <w:color w:val="auto"/>
          <w:highlight w:val="none"/>
        </w:rPr>
      </w:pPr>
      <w:r>
        <w:rPr>
          <w:color w:val="auto"/>
          <w:highlight w:val="none"/>
        </w:rPr>
      </w:r>
      <w:r/>
    </w:p>
    <w:p>
      <w:pPr>
        <w:pStyle w:val="628"/>
        <w:spacing w:before="0" w:after="0" w:line="360" w:lineRule="auto"/>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5393624"/>
      <w:r>
        <w:rPr>
          <w:rFonts w:hint="eastAsia" w:ascii="宋体" w:hAnsi="宋体" w:cs="宋体"/>
          <w:color w:val="auto"/>
          <w:sz w:val="24"/>
          <w:szCs w:val="24"/>
          <w:highlight w:val="none"/>
        </w:rPr>
        <w:t xml:space="preserve">四、提交投标文件</w:t>
      </w:r>
      <w:bookmarkEnd w:id="22"/>
      <w:r/>
      <w:bookmarkEnd w:id="23"/>
      <w:r>
        <w:rPr>
          <w:rFonts w:hint="eastAsia" w:ascii="宋体" w:hAnsi="宋体" w:cs="宋体"/>
          <w:color w:val="auto"/>
          <w:sz w:val="24"/>
          <w:szCs w:val="24"/>
          <w:highlight w:val="none"/>
        </w:rPr>
        <w:t xml:space="preserve">截止时间、开标时间和地点</w:t>
      </w:r>
      <w:bookmarkEnd w:id="24"/>
      <w:r/>
      <w:bookmarkEnd w:id="25"/>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1.投标文件提交截止时间及开</w:t>
      </w:r>
      <w:r>
        <w:rPr>
          <w:rFonts w:hint="eastAsia" w:ascii="宋体" w:hAnsi="宋体"/>
          <w:color w:val="auto"/>
          <w:sz w:val="24"/>
          <w:szCs w:val="24"/>
          <w:highlight w:val="none"/>
        </w:rPr>
        <w:t xml:space="preserve">标时间：2026年</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日14:00（北京时间）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2.开标地点：“苏采云”政府采购交易系统网上开标大厅</w:t>
      </w:r>
      <w:r/>
    </w:p>
    <w:p>
      <w:pPr>
        <w:rPr>
          <w:color w:val="auto"/>
          <w:highlight w:val="none"/>
        </w:rPr>
      </w:pPr>
      <w:r>
        <w:rPr>
          <w:color w:val="auto"/>
          <w:highlight w:val="none"/>
        </w:rPr>
      </w:r>
      <w:r/>
    </w:p>
    <w:p>
      <w:pPr>
        <w:pStyle w:val="628"/>
        <w:spacing w:before="0" w:after="0" w:line="360" w:lineRule="auto"/>
        <w:rPr>
          <w:rFonts w:ascii="宋体" w:hAnsi="宋体" w:cs="宋体"/>
          <w:color w:val="auto"/>
          <w:sz w:val="24"/>
          <w:szCs w:val="24"/>
          <w:highlight w:val="none"/>
        </w:rPr>
      </w:pPr>
      <w:r/>
      <w:bookmarkStart w:id="26" w:name="_Toc35393794"/>
      <w:r/>
      <w:bookmarkStart w:id="27" w:name="_Toc28359084"/>
      <w:r/>
      <w:bookmarkStart w:id="28" w:name="_Toc28359007"/>
      <w:r/>
      <w:bookmarkStart w:id="29" w:name="_Toc35393625"/>
      <w:r>
        <w:rPr>
          <w:rFonts w:hint="eastAsia" w:ascii="宋体" w:hAnsi="宋体" w:cs="宋体"/>
          <w:color w:val="auto"/>
          <w:sz w:val="24"/>
          <w:szCs w:val="24"/>
          <w:highlight w:val="none"/>
        </w:rPr>
        <w:t xml:space="preserve">五、公告期限</w:t>
      </w:r>
      <w:bookmarkEnd w:id="26"/>
      <w:r/>
      <w:bookmarkEnd w:id="27"/>
      <w:r/>
      <w:bookmarkEnd w:id="28"/>
      <w:r/>
      <w:bookmarkEnd w:id="2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rPr>
          <w:color w:val="auto"/>
          <w:highlight w:val="none"/>
        </w:rPr>
      </w:pPr>
      <w:r>
        <w:rPr>
          <w:color w:val="auto"/>
          <w:highlight w:val="none"/>
        </w:rPr>
      </w:r>
      <w:r/>
    </w:p>
    <w:p>
      <w:pPr>
        <w:pStyle w:val="628"/>
        <w:spacing w:before="0" w:after="0" w:line="360" w:lineRule="auto"/>
        <w:rPr>
          <w:rFonts w:ascii="宋体" w:hAnsi="宋体" w:cs="宋体"/>
          <w:color w:val="auto"/>
          <w:sz w:val="24"/>
          <w:szCs w:val="24"/>
          <w:highlight w:val="none"/>
        </w:rPr>
      </w:pPr>
      <w:r/>
      <w:bookmarkStart w:id="30" w:name="_Toc35393626"/>
      <w:r/>
      <w:bookmarkStart w:id="31" w:name="_Toc35393795"/>
      <w:r>
        <w:rPr>
          <w:rFonts w:hint="eastAsia" w:ascii="宋体" w:hAnsi="宋体" w:cs="宋体"/>
          <w:color w:val="auto"/>
          <w:sz w:val="24"/>
          <w:szCs w:val="24"/>
          <w:highlight w:val="none"/>
        </w:rPr>
        <w:t xml:space="preserve">六、其他补充事宜</w:t>
      </w:r>
      <w:bookmarkEnd w:id="30"/>
      <w:r/>
      <w:bookmarkEnd w:id="3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1.采购人不组织集中现场考察或答疑。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2.公告媒体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（1）本招标公告在江苏政府采购网（http://www.ccgp-jiangsu.gov.cn/）公示发布，敬请各投标人关注；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（2）有关本次采购存在变动或修改，敬请各投标人及时关注江苏政府采购网（http://www.ccgp-jiangsu.gov.cn/）发布的关于本项目的信息更正公告；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（3）对采购项目的技术及需求问题，请向项目联系人咨询。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3.本次招标不收取投标保证金。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4.本项目不接受进口产品。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5.本项目中标后不允许分包、转包。</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根据《关于在政府采购活动中推行信用承诺制的通知》宁财购通〔2021〕5号规定，参加南京地区政府采购活动的供应商，应以书面形式向采购人或政府采购代理机构作出信用承诺。供应商应尽早做好承诺工作，自行填报《南京市政府采购供应商信用记录表暨信用承诺书》，由法定代表人签字并盖单位公章，随响应文件一并递交。</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供应商在中标后，应按采购文件要求，将上述由信用承诺书替代的证明材料提交采购人或采购代理机构核验。经核验无误后，由采购人或采购代理机构发出中标通知书。</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供应商涉及以下情形的，不适用信用承诺：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（1）供应商被列入严重失信主体名单；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（2）被相关监管部门作出行政处罚且尚在处罚有效期内；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（3）其他法律、行政法规规定的不适用信用承诺的情形。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供应商对信用承诺内容的真实性、合法性、有效性负责。如作出虚假信用承诺，视同为“提供虚假材料谋取中标”的违法行为。</w:t>
      </w:r>
      <w:r/>
    </w:p>
    <w:p>
      <w:pPr>
        <w:numPr>
          <w:ilvl w:val="0"/>
          <w:numId w:val="2"/>
        </w:numPr>
        <w:ind w:firstLine="482"/>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b/>
          <w:bCs/>
          <w:color w:val="auto"/>
          <w:sz w:val="24"/>
          <w:szCs w:val="24"/>
          <w:highlight w:val="none"/>
        </w:rPr>
        <w:fldChar w:fldCharType="begin"/>
      </w:r>
      <w:r>
        <w:rPr>
          <w:rFonts w:hint="eastAsia" w:ascii="宋体" w:hAnsi="宋体"/>
          <w:b/>
          <w:bCs/>
          <w:color w:val="auto"/>
          <w:sz w:val="24"/>
          <w:szCs w:val="24"/>
          <w:highlight w:val="none"/>
        </w:rPr>
        <w:instrText xml:space="preserve"> HYPERLINK "http://www.ccgp-jiangsu.gov.cn/jiangsu/zlxz/ee/ee3a4bc5a3454aa2b0d9312230633ce9.html。" </w:instrText>
      </w:r>
      <w:r>
        <w:rPr>
          <w:rFonts w:hint="eastAsia" w:ascii="宋体" w:hAnsi="宋体"/>
          <w:b/>
          <w:bCs/>
          <w:color w:val="auto"/>
          <w:sz w:val="24"/>
          <w:szCs w:val="24"/>
          <w:highlight w:val="none"/>
        </w:rPr>
        <w:fldChar w:fldCharType="separate"/>
      </w:r>
      <w:r>
        <w:rPr>
          <w:rFonts w:hint="eastAsia" w:ascii="宋体" w:hAnsi="宋体"/>
          <w:b/>
          <w:bCs/>
          <w:color w:val="auto"/>
          <w:sz w:val="24"/>
          <w:szCs w:val="24"/>
          <w:highlight w:val="none"/>
        </w:rPr>
        <w:t xml:space="preserve">http://www.ccgp-jiangsu.gov.cn/jiangsu/zlxz/ee/ee3a4bc5a3454aa2b0d9312230633ce9.html。</w:t>
      </w:r>
      <w:r>
        <w:rPr>
          <w:rFonts w:hint="eastAsia" w:ascii="宋体" w:hAnsi="宋体"/>
          <w:b/>
          <w:bCs/>
          <w:color w:val="auto"/>
          <w:sz w:val="24"/>
          <w:szCs w:val="24"/>
          <w:highlight w:val="none"/>
        </w:rPr>
        <w:fldChar w:fldCharType="end"/>
      </w:r>
      <w:r/>
    </w:p>
    <w:p>
      <w:pPr>
        <w:rPr>
          <w:color w:val="auto"/>
          <w:highlight w:val="none"/>
        </w:rPr>
      </w:pPr>
      <w:r>
        <w:rPr>
          <w:color w:val="auto"/>
          <w:highlight w:val="none"/>
        </w:rPr>
      </w:r>
      <w:r/>
    </w:p>
    <w:p>
      <w:pPr>
        <w:pStyle w:val="628"/>
        <w:spacing w:before="0" w:after="0" w:line="360" w:lineRule="auto"/>
        <w:rPr>
          <w:rFonts w:ascii="宋体" w:hAnsi="宋体" w:cs="宋体"/>
          <w:color w:val="auto"/>
          <w:sz w:val="24"/>
          <w:szCs w:val="24"/>
          <w:highlight w:val="none"/>
        </w:rPr>
      </w:pPr>
      <w:r/>
      <w:bookmarkStart w:id="32" w:name="_Toc35393796"/>
      <w:r/>
      <w:bookmarkStart w:id="33" w:name="_Toc28359008"/>
      <w:r/>
      <w:bookmarkStart w:id="34" w:name="_Toc35393627"/>
      <w:r/>
      <w:bookmarkStart w:id="35" w:name="_Toc28359085"/>
      <w:r>
        <w:rPr>
          <w:rFonts w:hint="eastAsia" w:ascii="宋体" w:hAnsi="宋体" w:cs="宋体"/>
          <w:color w:val="auto"/>
          <w:sz w:val="24"/>
          <w:szCs w:val="24"/>
          <w:highlight w:val="none"/>
        </w:rPr>
        <w:t xml:space="preserve">七、对本次招标提出询问，请按以下方式联系</w:t>
      </w:r>
      <w:bookmarkEnd w:id="32"/>
      <w:r/>
      <w:bookmarkEnd w:id="33"/>
      <w:r/>
      <w:bookmarkEnd w:id="34"/>
      <w:r/>
      <w:bookmarkEnd w:id="35"/>
      <w:r/>
      <w:r/>
    </w:p>
    <w:p>
      <w:pPr>
        <w:ind w:firstLine="426"/>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1.采购人信息</w:t>
      </w:r>
      <w:r/>
    </w:p>
    <w:p>
      <w:pPr>
        <w:ind w:firstLine="720"/>
        <w:spacing w:line="360" w:lineRule="auto"/>
        <w:rPr>
          <w:rFonts w:ascii="宋体" w:hAnsi="宋体" w:cs="宋体"/>
          <w:color w:val="auto"/>
          <w:sz w:val="24"/>
          <w:szCs w:val="24"/>
          <w:highlight w:val="none"/>
        </w:rPr>
      </w:pPr>
      <w:r/>
      <w:bookmarkStart w:id="36" w:name="_Toc28359009"/>
      <w:r/>
      <w:bookmarkStart w:id="37" w:name="_Toc28359086"/>
      <w:r>
        <w:rPr>
          <w:rFonts w:hint="eastAsia" w:ascii="宋体" w:hAnsi="宋体" w:cs="宋体"/>
          <w:color w:val="auto"/>
          <w:sz w:val="24"/>
          <w:szCs w:val="24"/>
          <w:highlight w:val="none"/>
        </w:rPr>
        <w:t xml:space="preserve">名称：</w:t>
      </w:r>
      <w:r>
        <w:rPr>
          <w:rFonts w:ascii="宋体" w:hAnsi="宋体" w:cs="宋体"/>
          <w:color w:val="auto"/>
          <w:sz w:val="24"/>
          <w:szCs w:val="24"/>
          <w:highlight w:val="none"/>
        </w:rPr>
        <w:t xml:space="preserve">南京紫金山科技城管理委员会</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南京市江宁区秣陵街道秣周东路11号</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ascii="宋体" w:hAnsi="宋体" w:cs="宋体"/>
          <w:color w:val="auto"/>
          <w:sz w:val="24"/>
          <w:szCs w:val="24"/>
          <w:highlight w:val="none"/>
        </w:rPr>
        <w:t xml:space="preserve">晏金桥</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宋体" w:hAnsi="宋体" w:cs="宋体"/>
          <w:color w:val="auto"/>
          <w:sz w:val="24"/>
          <w:szCs w:val="24"/>
          <w:highlight w:val="none"/>
        </w:rPr>
        <w:t xml:space="preserve">025-52759735</w:t>
      </w:r>
      <w:r/>
    </w:p>
    <w:p>
      <w:pPr>
        <w:ind w:firstLine="426"/>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bookmarkEnd w:id="36"/>
      <w:r/>
      <w:bookmarkEnd w:id="37"/>
      <w:r>
        <w:rPr>
          <w:rFonts w:hint="eastAsia" w:ascii="宋体" w:hAnsi="宋体" w:cs="宋体"/>
          <w:b/>
          <w:color w:val="auto"/>
          <w:sz w:val="24"/>
          <w:szCs w:val="24"/>
          <w:highlight w:val="none"/>
        </w:rPr>
        <w:t xml:space="preserve">采购代理机构信息</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名称：江苏畅采工程咨询有限公司</w:t>
      </w:r>
      <w:r/>
    </w:p>
    <w:p>
      <w:pPr>
        <w:ind w:firstLine="7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张工</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地址：南京市江宁开发区总部基地33栋9楼907室</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联系方式：15365029236</w:t>
      </w:r>
      <w:r/>
    </w:p>
    <w:p>
      <w:pPr>
        <w:rPr>
          <w:color w:val="auto"/>
          <w:highlight w:val="none"/>
        </w:rPr>
      </w:pPr>
      <w:r/>
      <w:bookmarkStart w:id="38" w:name="_Toc120614211"/>
      <w:r/>
      <w:bookmarkStart w:id="39" w:name="_Toc112330100"/>
      <w:r/>
      <w:bookmarkStart w:id="40" w:name="_Toc70092109"/>
      <w:r/>
      <w:bookmarkStart w:id="41" w:name="_Toc70092492"/>
      <w:r/>
      <w:bookmarkStart w:id="42" w:name="_Toc22319"/>
      <w:r/>
      <w:bookmarkStart w:id="43" w:name="_Toc12539"/>
      <w:r/>
      <w:bookmarkStart w:id="44" w:name="_Toc106"/>
      <w:r/>
      <w:bookmarkStart w:id="45" w:name="_Toc9509"/>
      <w:r>
        <w:rPr>
          <w:rFonts w:hint="eastAsia"/>
          <w:color w:val="auto"/>
          <w:highlight w:val="none"/>
        </w:rPr>
        <w:br w:type="page" w:clear="all"/>
      </w:r>
      <w:r/>
    </w:p>
    <w:p>
      <w:pPr>
        <w:pStyle w:val="627"/>
        <w:jc w:val="center"/>
        <w:spacing w:before="120" w:after="120" w:line="360" w:lineRule="auto"/>
        <w:rPr>
          <w:color w:val="auto"/>
          <w:highlight w:val="none"/>
        </w:rPr>
      </w:pPr>
      <w:r/>
      <w:bookmarkStart w:id="46" w:name="_Toc236991654"/>
      <w:r>
        <w:rPr>
          <w:rFonts w:hint="eastAsia"/>
          <w:color w:val="auto"/>
          <w:highlight w:val="none"/>
        </w:rPr>
        <w:t xml:space="preserve">第二章  </w:t>
      </w:r>
      <w:bookmarkEnd w:id="38"/>
      <w:r/>
      <w:bookmarkStart w:id="47" w:name="_Toc16938518"/>
      <w:r/>
      <w:bookmarkStart w:id="48" w:name="_Toc120614213"/>
      <w:r/>
      <w:bookmarkStart w:id="49" w:name="_Toc513029202"/>
      <w:r/>
      <w:bookmarkStart w:id="50" w:name="_Toc20823274"/>
      <w:r>
        <w:rPr>
          <w:rFonts w:hint="eastAsia"/>
          <w:color w:val="auto"/>
          <w:highlight w:val="none"/>
        </w:rPr>
        <w:t xml:space="preserve">投标人须知</w:t>
      </w:r>
      <w:bookmarkEnd w:id="39"/>
      <w:r/>
      <w:bookmarkEnd w:id="40"/>
      <w:r/>
      <w:bookmarkEnd w:id="41"/>
      <w:r/>
      <w:bookmarkEnd w:id="46"/>
      <w:r/>
      <w:bookmarkEnd w:id="47"/>
      <w:r/>
      <w:bookmarkEnd w:id="48"/>
      <w:r/>
      <w:bookmarkEnd w:id="49"/>
      <w:r/>
      <w:bookmarkEnd w:id="50"/>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一、总则</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适用法律</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1.1《中华人民共和国政府采购法》《中华人民共和国政府采购法实施条例》《政府采购货物和服务招标投标管理办法》等有关法律、规章和规定。</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宋体"/>
          <w:color w:val="auto"/>
          <w:sz w:val="24"/>
          <w:highlight w:val="none"/>
        </w:rPr>
        <w:t xml:space="preserve">定义</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2.1“供应商”“投标人”是指参加投标竞争，并符合招标文件规定资格条件的法人、其他组织或者自然人。</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2.2“产品”指本招标文件中所述相关服务。</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2.3“用户或使用单位”是指接受服务的单位。</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政策功能</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3.1政府采购促进中小企业发展，在政府采购活动中，供应商提供的货物、工程或者服务符合下列情形的，享受中小企业扶持政策：</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中小企业供应商参加政府采购活动，应当出具《中小企业声明函》（格式见后附件），否则不得享受相关中小企业扶持政策。</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3.5提供的产品属于信息安全产品的，供应商应当选择经国家认证的信息安全产品投标，并提供由中国信息安全认证中心按国家标准认证颁发的有效认证证书复印件。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3.6提供的产品属于政府强制采购节能产品的，供应商应当选择依据国家标准中二级能效（水效）指标认证的节能产品投标，并提供有效的节能产品认证证书复印件。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3.7提供的产品属于环境标志产品的，供应商应当选择依据相关标准的最新版本认证的环境标志产品投标,并提供有效的环境标志产品认证证书复印件。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3.8 对本国产品的支持政策</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（1）为贯彻落实《国务院办公厅关于在政府采购中实施本国产品标准及相关政策的通知》（国办发〔2025〕34号），在政府采购中实施本国产品标准及相关政策。</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（2）本项目中既有本国产品又有非本国产品参与竞争的，依法对本国产品给予价格评审优惠，对本国产品的报价给予20%的价格扣除，用扣除后的价格参与评审。</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5）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二、招标文件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招标文件组成</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.1招标文件组成：投标邀请、</w:t>
      </w:r>
      <w:r>
        <w:rPr>
          <w:rFonts w:hint="eastAsia" w:ascii="宋体" w:hAnsi="宋体" w:cs="宋体"/>
          <w:color w:val="auto"/>
          <w:sz w:val="24"/>
          <w:highlight w:val="none"/>
        </w:rPr>
        <w:t xml:space="preserve">投标人</w:t>
      </w:r>
      <w:r>
        <w:rPr>
          <w:rFonts w:ascii="宋体" w:hAnsi="宋体" w:cs="宋体"/>
          <w:color w:val="auto"/>
          <w:sz w:val="24"/>
          <w:highlight w:val="non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.2招标的最小单位是包。招标服务数量及技术要求中未分包的，供应商对要求提供的服务不得部分投标；招标服务数量及技术要求中已经分包的，应当以包为单位投标。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.3招标文件如果要求供应商提交备选投标方案的，供应商可以提交备选方案，否则，不接受备选方案。</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招标文件的澄清修改</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.1代理机构对已发出的招标文件进行必要澄清或者修改的，将在招标文件要求提交投标文件截止时间十五日前，在原</w:t>
      </w:r>
      <w:r>
        <w:rPr>
          <w:rFonts w:hint="eastAsia" w:ascii="宋体" w:hAnsi="宋体" w:cs="宋体"/>
          <w:color w:val="auto"/>
          <w:sz w:val="24"/>
          <w:highlight w:val="none"/>
        </w:rPr>
        <w:t xml:space="preserve">采购信息发布</w:t>
      </w:r>
      <w:r>
        <w:rPr>
          <w:rFonts w:ascii="宋体" w:hAnsi="宋体" w:cs="宋体"/>
          <w:color w:val="auto"/>
          <w:sz w:val="24"/>
          <w:highlight w:val="none"/>
        </w:rPr>
        <w:t xml:space="preserve">媒体</w:t>
      </w:r>
      <w:r>
        <w:rPr>
          <w:rFonts w:hint="eastAsia" w:ascii="宋体" w:hAnsi="宋体" w:cs="宋体"/>
          <w:color w:val="auto"/>
          <w:sz w:val="24"/>
          <w:highlight w:val="none"/>
        </w:rPr>
        <w:t xml:space="preserve">上</w:t>
      </w:r>
      <w:r>
        <w:rPr>
          <w:rFonts w:ascii="宋体" w:hAnsi="宋体" w:cs="宋体"/>
          <w:color w:val="auto"/>
          <w:sz w:val="24"/>
          <w:highlight w:val="none"/>
        </w:rPr>
        <w:t xml:space="preserve">发布更正公告，该澄清或者修改的内容为招标文件的组成部分。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.2代理机构在招标文件要求提交投标文件截止时间前，有权决定延长投标截止时间和开标时间，并在原采购信息发布媒体上发布变更公告。</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.3供应商应在投标截止时间前关注原采购信息发布媒体上有关本招标项目有无变更公告。</w:t>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三、投标</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投标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.1供应商应由其法定代表人或法定代表人授权委托人在规定的投标截止时间前，递交投标文件。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.2供应商应当对招标文件提出的要求和条件作出实质性响应，并在投标文件中逐条应答。</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.3供应商应对要求提供的资格证明文件（如资质证书、资格证书）、技术资料（如白皮书、彩页、手册、检测报告等）扫描放进</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.4供应商应逐一说明投标产品品牌、型号、产地、性能参数。</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.5投标产品属于国家认定的节能产品、环保产品、信息安全产品，应</w:t>
      </w:r>
      <w:r>
        <w:rPr>
          <w:rFonts w:hint="eastAsia" w:ascii="宋体" w:hAnsi="宋体" w:cs="宋体"/>
          <w:color w:val="auto"/>
          <w:sz w:val="24"/>
          <w:highlight w:val="none"/>
        </w:rPr>
        <w:t xml:space="preserve">提供</w:t>
      </w:r>
      <w:r>
        <w:rPr>
          <w:rFonts w:ascii="宋体" w:hAnsi="宋体" w:cs="宋体"/>
          <w:color w:val="auto"/>
          <w:sz w:val="24"/>
          <w:highlight w:val="none"/>
        </w:rPr>
        <w:t xml:space="preserve">认证证书复印件。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.6供应商符合《政府采购促进中小企业发展管理办法》（财库【2020】46 号）规定的，应按要求在投标工具中填写《中小企业声明函》，否则不享受相应政策。</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.7供应商拟在中标后将中标项目的非主体、非关键性工作交由他人完成的，应当在</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中载明。</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7．投标文件</w:t>
      </w:r>
      <w:r>
        <w:rPr>
          <w:rFonts w:ascii="宋体" w:hAnsi="宋体" w:cs="宋体"/>
          <w:color w:val="auto"/>
          <w:sz w:val="24"/>
          <w:highlight w:val="none"/>
        </w:rPr>
        <w:t xml:space="preserve">的语言、计量单位、货币、技术标准和编制</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.1供应商提交的</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、技术文件和资料，包括图纸中的说明，以及供应商与代理机构就有关投标的所有来往函电均应使用中文。</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中若有英文或其他语言文字的资料，应提供相应的中文翻译资料。对不同文本</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的解释发生异议的，以中文文本为准。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.2供应商所使用的计量单位应为国家法定计量单位。</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.3供应商应用人民币报价。</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.4供应商所使用的技术标准应遵循国家最新标准及规范。</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.5</w:t>
      </w:r>
      <w:r>
        <w:rPr>
          <w:rFonts w:hint="eastAsia" w:ascii="宋体" w:hAnsi="宋体" w:cs="宋体"/>
          <w:color w:val="auto"/>
          <w:sz w:val="24"/>
          <w:highlight w:val="none"/>
        </w:rPr>
        <w:t xml:space="preserve">供应商应该按照招标文件的要求提供所需样品。</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w:t>
      </w:r>
      <w:r>
        <w:rPr>
          <w:rFonts w:ascii="宋体" w:hAnsi="宋体" w:cs="宋体"/>
          <w:color w:val="auto"/>
          <w:sz w:val="24"/>
          <w:highlight w:val="none"/>
        </w:rPr>
        <w:t xml:space="preserve">联合投标</w:t>
      </w:r>
      <w:r>
        <w:rPr>
          <w:rFonts w:hint="eastAsia" w:ascii="宋体" w:hAnsi="宋体" w:cs="宋体"/>
          <w:color w:val="auto"/>
          <w:sz w:val="24"/>
          <w:highlight w:val="none"/>
        </w:rPr>
        <w:t xml:space="preserve">(</w:t>
      </w:r>
      <w:r>
        <w:rPr>
          <w:rFonts w:ascii="宋体" w:hAnsi="宋体" w:cs="宋体"/>
          <w:color w:val="auto"/>
          <w:sz w:val="24"/>
          <w:highlight w:val="none"/>
        </w:rPr>
        <w:t xml:space="preserve">本项目不适用)</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.1采购项目如接受联合体投标的，两个以上的自然人、法人或者其他组织可以组成一个联合体，以一个供应商的身份共同参加投标。</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.3联合体各方之间应当签订共同投标联合体协议，明确约定联合体各方承担的工作和相应的责任，并将联合体共同投标协议连同</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一并提交。联合体各方签订联合体共同投标协议后，不得再以自己名义单独在同一项目中投标，也不得组成新的联合体参加同一项目投标。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.4政府采购合同分包履行的，中标供应商就采购项目和分包项目向采购人负责，分包项目供应商就分包项目承担责任，中标供应商与分包供应商之间应该签订分包意向协议。</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.5享受中小企业扶持政策获得政府采购合同的，小微企业不得将合同分包给大中型企业，中型企业不得将合同分包给大型企业。</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9．</w:t>
      </w:r>
      <w:r>
        <w:rPr>
          <w:rFonts w:ascii="宋体" w:hAnsi="宋体" w:cs="宋体"/>
          <w:color w:val="auto"/>
          <w:sz w:val="24"/>
          <w:highlight w:val="none"/>
        </w:rPr>
        <w:t xml:space="preserve">投标费用</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9</w:t>
      </w:r>
      <w:r>
        <w:rPr>
          <w:rFonts w:ascii="宋体" w:hAnsi="宋体" w:cs="宋体"/>
          <w:color w:val="auto"/>
          <w:sz w:val="24"/>
          <w:highlight w:val="none"/>
        </w:rPr>
        <w:t xml:space="preserve">.1</w:t>
      </w:r>
      <w:r>
        <w:rPr>
          <w:rFonts w:hint="eastAsia" w:ascii="宋体" w:hAnsi="宋体" w:cs="宋体"/>
          <w:color w:val="auto"/>
          <w:sz w:val="24"/>
          <w:highlight w:val="none"/>
        </w:rPr>
        <w:t xml:space="preserve">供应商应承担所有与准备和参加项目投标有关的费用，无论采购结果如何，代理机构和采购人在任何情况下均无义务和责任承担这些费用。</w:t>
      </w:r>
      <w:r/>
    </w:p>
    <w:p>
      <w:pPr>
        <w:pStyle w:val="641"/>
        <w:ind w:firstLine="480"/>
        <w:spacing w:after="0" w:line="400" w:lineRule="exact"/>
        <w:rPr>
          <w:rFonts w:ascii="宋体" w:hAnsi="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招标代理费参照国家计委《计价格</w:t>
      </w:r>
      <w:r>
        <w:rPr>
          <w:rFonts w:ascii="宋体" w:hAnsi="宋体"/>
          <w:color w:val="auto"/>
          <w:sz w:val="24"/>
          <w:highlight w:val="none"/>
        </w:rPr>
        <w:t xml:space="preserve">(2002)1980</w:t>
      </w:r>
      <w:r>
        <w:rPr>
          <w:rFonts w:hint="eastAsia" w:ascii="宋体" w:hAnsi="宋体"/>
          <w:color w:val="auto"/>
          <w:sz w:val="24"/>
          <w:highlight w:val="none"/>
        </w:rPr>
        <w:t xml:space="preserve">号》、发改价格[2011]534号规定的收费标准，按</w:t>
      </w:r>
      <w:r>
        <w:rPr>
          <w:rFonts w:ascii="宋体" w:hAnsi="宋体"/>
          <w:color w:val="auto"/>
          <w:sz w:val="24"/>
          <w:highlight w:val="none"/>
        </w:rPr>
        <w:t xml:space="preserve">60%</w:t>
      </w:r>
      <w:r>
        <w:rPr>
          <w:rFonts w:hint="eastAsia" w:ascii="宋体" w:hAnsi="宋体"/>
          <w:color w:val="auto"/>
          <w:sz w:val="24"/>
          <w:highlight w:val="none"/>
        </w:rPr>
        <w:t xml:space="preserve">计算收取。相关技术咨询费</w:t>
      </w:r>
      <w:r>
        <w:rPr>
          <w:rFonts w:ascii="宋体" w:hAnsi="宋体"/>
          <w:color w:val="auto"/>
          <w:sz w:val="24"/>
          <w:highlight w:val="none"/>
        </w:rPr>
        <w:t xml:space="preserve">：</w:t>
      </w:r>
      <w:r>
        <w:rPr>
          <w:rFonts w:hint="eastAsia" w:ascii="宋体" w:hAnsi="宋体"/>
          <w:color w:val="auto"/>
          <w:sz w:val="24"/>
          <w:highlight w:val="none"/>
        </w:rPr>
        <w:t xml:space="preserve">前期方案论证、市场调研、控制价审核等相关技术咨询服务，参照《苏价服</w:t>
      </w:r>
      <w:r>
        <w:rPr>
          <w:rFonts w:ascii="宋体" w:hAnsi="宋体"/>
          <w:color w:val="auto"/>
          <w:sz w:val="24"/>
          <w:highlight w:val="none"/>
        </w:rPr>
        <w:t xml:space="preserve">(2014)383</w:t>
      </w:r>
      <w:r>
        <w:rPr>
          <w:rFonts w:hint="eastAsia" w:ascii="宋体" w:hAnsi="宋体"/>
          <w:color w:val="auto"/>
          <w:sz w:val="24"/>
          <w:highlight w:val="none"/>
        </w:rPr>
        <w:t xml:space="preserve">号》规定收费标准，按</w:t>
      </w:r>
      <w:r>
        <w:rPr>
          <w:rFonts w:ascii="宋体" w:hAnsi="宋体"/>
          <w:color w:val="auto"/>
          <w:sz w:val="24"/>
          <w:highlight w:val="none"/>
        </w:rPr>
        <w:t xml:space="preserve">60%</w:t>
      </w:r>
      <w:r>
        <w:rPr>
          <w:rFonts w:hint="eastAsia" w:ascii="宋体" w:hAnsi="宋体"/>
          <w:color w:val="auto"/>
          <w:sz w:val="24"/>
          <w:highlight w:val="none"/>
        </w:rPr>
        <w:t xml:space="preserve">计算收取，实收</w:t>
      </w:r>
      <w:r>
        <w:rPr>
          <w:rFonts w:ascii="宋体" w:hAnsi="宋体"/>
          <w:color w:val="auto"/>
          <w:sz w:val="24"/>
          <w:highlight w:val="none"/>
        </w:rPr>
        <w:t xml:space="preserve">13270元</w:t>
      </w:r>
      <w:r>
        <w:rPr>
          <w:rFonts w:hint="eastAsia" w:ascii="宋体" w:hAnsi="宋体"/>
          <w:color w:val="auto"/>
          <w:sz w:val="24"/>
          <w:highlight w:val="none"/>
        </w:rPr>
        <w:t xml:space="preserve">。该项费用请投标人综合考虑在投标报价中，后期采购人不单独列支。招标代理费和技术咨询费由中标（成交）单位在发放中标（成交）通知书前一次性支付。</w:t>
      </w:r>
      <w:r/>
    </w:p>
    <w:p>
      <w:pPr>
        <w:pStyle w:val="641"/>
        <w:ind w:firstLine="480"/>
        <w:spacing w:after="0"/>
        <w:rPr>
          <w:rFonts w:ascii="宋体" w:hAnsi="宋体" w:cs="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.3专家评审费，按照</w:t>
      </w:r>
      <w:r>
        <w:rPr>
          <w:rFonts w:hint="eastAsia" w:ascii="宋体" w:hAnsi="宋体"/>
          <w:color w:val="auto"/>
          <w:sz w:val="24"/>
          <w:highlight w:val="none"/>
        </w:rPr>
        <w:t xml:space="preserve">苏财购〔2016〕48号、苏财规〔2026〕1号等有关江苏省政府采购专家评审费标准的通知执行</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由采购人支付</w:t>
      </w:r>
      <w:r>
        <w:rPr>
          <w:rFonts w:hint="eastAsia" w:ascii="宋体" w:hAnsi="宋体"/>
          <w:color w:val="auto"/>
          <w:sz w:val="24"/>
          <w:highlight w:val="none"/>
        </w:rPr>
        <w:t xml:space="preserve">。</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10</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组成</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0.1供应商应当根据招标文件要求编制</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应对招标文件提出的要求和条件作出实质性响应，并在《商务条款偏离表》和《技术条款偏离表》《资格性和符合性检查响应对照表》等处标明满足与否。对带 “★”的技术条款必须在</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中提供技术支持资料（如白皮书、彩页、手册、检测报告等），未提供技术支持资料的，评审时不予认可。（采购需求中另有规定的，也可从其规定）</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0.2供应商根据招标文件载明的采购项目实际情况，拟在中标后将中标项目的非主体、非关键性工作交由他人完成的，应当在</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中载明。</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0.3</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由商务部分、技术部分、价格部分，以及其他部分组成。</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的商务部分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1.1商务部分是证明供应商有资格参加投标和中标后有能力履行合同的文件，这些文件应能满足招标的要求，包括但不限于下列文件，其中加“★”项目不得有缺失或无效：</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 投标函（投标申请及声明）；</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 法人授权委托书及</w:t>
      </w:r>
      <w:r>
        <w:rPr>
          <w:rFonts w:hint="eastAsia" w:ascii="宋体" w:hAnsi="宋体" w:cs="宋体"/>
          <w:color w:val="auto"/>
          <w:sz w:val="24"/>
          <w:highlight w:val="none"/>
        </w:rPr>
        <w:t xml:space="preserve">法定代表人与</w:t>
      </w:r>
      <w:r>
        <w:rPr>
          <w:rFonts w:ascii="宋体" w:hAnsi="宋体" w:cs="宋体"/>
          <w:color w:val="auto"/>
          <w:sz w:val="24"/>
          <w:highlight w:val="none"/>
        </w:rPr>
        <w:t xml:space="preserve">委托代理人的身份证扫描件；</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（3）★ 第一章</w:t>
      </w:r>
      <w:r>
        <w:rPr>
          <w:rFonts w:hint="eastAsia" w:ascii="宋体" w:hAnsi="宋体" w:cs="宋体"/>
          <w:color w:val="auto"/>
          <w:sz w:val="24"/>
          <w:highlight w:val="none"/>
        </w:rPr>
        <w:t xml:space="preserve">招标公告</w:t>
      </w:r>
      <w:r>
        <w:rPr>
          <w:rFonts w:ascii="宋体" w:hAnsi="宋体" w:cs="宋体"/>
          <w:color w:val="auto"/>
          <w:sz w:val="24"/>
          <w:highlight w:val="none"/>
        </w:rPr>
        <w:t xml:space="preserve">中第</w:t>
      </w:r>
      <w:r>
        <w:rPr>
          <w:rFonts w:hint="eastAsia" w:ascii="宋体" w:hAnsi="宋体" w:cs="宋体"/>
          <w:color w:val="auto"/>
          <w:sz w:val="24"/>
          <w:highlight w:val="none"/>
        </w:rPr>
        <w:t xml:space="preserve">二</w:t>
      </w:r>
      <w:r>
        <w:rPr>
          <w:rFonts w:ascii="宋体" w:hAnsi="宋体" w:cs="宋体"/>
          <w:color w:val="auto"/>
          <w:sz w:val="24"/>
          <w:highlight w:val="none"/>
        </w:rPr>
        <w:t xml:space="preserve">条</w:t>
      </w:r>
      <w:r>
        <w:rPr>
          <w:rFonts w:hint="eastAsia" w:ascii="宋体" w:hAnsi="宋体" w:cs="宋体"/>
          <w:color w:val="auto"/>
          <w:sz w:val="24"/>
          <w:highlight w:val="none"/>
        </w:rPr>
        <w:t xml:space="preserve">申请人资格要求</w:t>
      </w:r>
      <w:r>
        <w:rPr>
          <w:rFonts w:ascii="宋体" w:hAnsi="宋体" w:cs="宋体"/>
          <w:color w:val="auto"/>
          <w:sz w:val="24"/>
          <w:highlight w:val="none"/>
        </w:rPr>
        <w:t xml:space="preserve">规定的证明材料；</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开标一览表；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hint="eastAsia" w:ascii="宋体" w:hAnsi="宋体" w:cs="宋体"/>
          <w:color w:val="auto"/>
          <w:sz w:val="24"/>
          <w:highlight w:val="none"/>
        </w:rPr>
        <w:t xml:space="preserve">分项报价表；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（6）</w:t>
      </w:r>
      <w:r>
        <w:rPr>
          <w:rFonts w:ascii="宋体" w:hAnsi="宋体" w:cs="宋体"/>
          <w:color w:val="auto"/>
          <w:sz w:val="24"/>
          <w:highlight w:val="none"/>
        </w:rPr>
        <w:t xml:space="preserve">★</w:t>
      </w:r>
      <w:r>
        <w:rPr>
          <w:rFonts w:hint="eastAsia" w:ascii="宋体" w:hAnsi="宋体" w:cs="宋体"/>
          <w:color w:val="auto"/>
          <w:sz w:val="24"/>
          <w:highlight w:val="none"/>
        </w:rPr>
        <w:t xml:space="preserve">核心产品品牌一览表；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（7）★《南京市政府采购供应商信用记录表》；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（8）《商务条款偏离表》；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（9）供应商认为需要提供的其他资格证明文件和商务资料</w:t>
      </w:r>
      <w:r>
        <w:rPr>
          <w:rFonts w:ascii="宋体" w:hAnsi="宋体" w:cs="宋体"/>
          <w:color w:val="auto"/>
          <w:sz w:val="24"/>
          <w:highlight w:val="none"/>
        </w:rPr>
        <w:t xml:space="preserve">。</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的技术部分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2.1技术部分是证明供应商提供的产品和服务是合格的、并符合招标文件要求的证明文件，以及对投标报价表中的服务的详细说明，这些文件可以是文字资料、图纸和数据等。</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2.2若技术性能无特殊说明，则按国家有关部门最新颁布的标准及规范为准。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2.3提供的技术如与招标文件要求有不符之处，应说明其差别之所在，并在《技术条款偏离表》中逐条予以说明。</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2.4</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应按照招标文件要求提供技术资料、文件和有关证明，其中加“★”项目不得有缺失或无效。</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的价格部分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3.1价格部分是对投标货物和服务价格构成的说明，每一项货物仅接受一个价格。</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3.3供应商的任何错漏、优惠、竞争性报价不得作为减轻责任、减少服务、增加收费、降低质量的理由。</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3.4供应商应在《</w:t>
      </w:r>
      <w:r>
        <w:rPr>
          <w:rFonts w:hint="eastAsia" w:ascii="宋体" w:hAnsi="宋体" w:cs="宋体"/>
          <w:color w:val="auto"/>
          <w:sz w:val="24"/>
          <w:highlight w:val="none"/>
          <w:lang w:val="en-US" w:eastAsia="zh-CN"/>
        </w:rPr>
        <w:t xml:space="preserve">开标</w:t>
      </w:r>
      <w:r>
        <w:rPr>
          <w:rFonts w:ascii="宋体" w:hAnsi="宋体" w:cs="宋体"/>
          <w:color w:val="auto"/>
          <w:sz w:val="24"/>
          <w:highlight w:val="none"/>
        </w:rPr>
        <w:t xml:space="preserve">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641"/>
        <w:ind w:firstLine="480"/>
        <w:spacing w:after="0"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13.5 对于采用货币报价的项目，《开标一览表》中的投标总报价应与《分项报价表》中的投标总报价一致，如不一致不作为无效投标处理，评标时以开标一览表中价格为准。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的其他部分</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供应商编制</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需要提供的其他相关文件。</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w:t>
      </w:r>
      <w:r>
        <w:rPr>
          <w:rFonts w:ascii="宋体" w:hAnsi="宋体" w:cs="宋体"/>
          <w:color w:val="auto"/>
          <w:sz w:val="24"/>
          <w:highlight w:val="none"/>
        </w:rPr>
        <w:t xml:space="preserve">投标保证金</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本项目不收取保证金。</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w:t>
      </w:r>
      <w:r>
        <w:rPr>
          <w:rFonts w:ascii="宋体" w:hAnsi="宋体" w:cs="宋体"/>
          <w:color w:val="auto"/>
          <w:sz w:val="24"/>
          <w:highlight w:val="none"/>
        </w:rPr>
        <w:t xml:space="preserve">投标有效期</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6.1自开标之日起</w:t>
      </w:r>
      <w:r>
        <w:rPr>
          <w:rFonts w:hint="eastAsia" w:ascii="宋体" w:hAnsi="宋体" w:cs="宋体"/>
          <w:color w:val="auto"/>
          <w:sz w:val="24"/>
          <w:highlight w:val="none"/>
          <w:lang w:val="en-US" w:eastAsia="zh-CN"/>
        </w:rPr>
        <w:t xml:space="preserve">九十</w:t>
      </w:r>
      <w:r>
        <w:rPr>
          <w:rFonts w:ascii="宋体" w:hAnsi="宋体" w:cs="宋体"/>
          <w:color w:val="auto"/>
          <w:sz w:val="24"/>
          <w:highlight w:val="none"/>
        </w:rPr>
        <w:t xml:space="preserve">日内投标有效。</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7．投标文件</w:t>
      </w:r>
      <w:r>
        <w:rPr>
          <w:rFonts w:ascii="宋体" w:hAnsi="宋体" w:cs="宋体"/>
          <w:color w:val="auto"/>
          <w:sz w:val="24"/>
          <w:highlight w:val="none"/>
        </w:rPr>
        <w:t xml:space="preserve">的修改和撤回</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17</w:t>
      </w:r>
      <w:r>
        <w:rPr>
          <w:rFonts w:ascii="宋体" w:hAnsi="宋体" w:cs="宋体"/>
          <w:color w:val="auto"/>
          <w:sz w:val="24"/>
          <w:highlight w:val="none"/>
        </w:rPr>
        <w:t xml:space="preserve">.1供应商在投标截止时间前，可以对所提交的</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进行撤回和重新递交。</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17</w:t>
      </w:r>
      <w:r>
        <w:rPr>
          <w:rFonts w:ascii="宋体" w:hAnsi="宋体" w:cs="宋体"/>
          <w:color w:val="auto"/>
          <w:sz w:val="24"/>
          <w:highlight w:val="none"/>
        </w:rPr>
        <w:t xml:space="preserve">.2投标截止时间之后，</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不得撤回，如果撤回的，将不再接受重新递交。</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18．投标文件</w:t>
      </w:r>
      <w:r>
        <w:rPr>
          <w:rFonts w:ascii="宋体" w:hAnsi="宋体" w:cs="宋体"/>
          <w:color w:val="auto"/>
          <w:sz w:val="24"/>
          <w:highlight w:val="none"/>
        </w:rPr>
        <w:t xml:space="preserve">盖章</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18</w:t>
      </w:r>
      <w:r>
        <w:rPr>
          <w:rFonts w:ascii="宋体" w:hAnsi="宋体" w:cs="宋体"/>
          <w:color w:val="auto"/>
          <w:sz w:val="24"/>
          <w:highlight w:val="none"/>
        </w:rPr>
        <w:t xml:space="preserve">.1供应商应按照招标文件要求，对需要加盖公章的资格证明文件和有关资料加盖</w:t>
      </w:r>
      <w:r>
        <w:rPr>
          <w:rFonts w:hint="eastAsia" w:ascii="宋体" w:hAnsi="宋体" w:cs="宋体"/>
          <w:color w:val="auto"/>
          <w:sz w:val="24"/>
          <w:highlight w:val="none"/>
        </w:rPr>
        <w:t xml:space="preserve">电子</w:t>
      </w:r>
      <w:r>
        <w:rPr>
          <w:rFonts w:ascii="宋体" w:hAnsi="宋体" w:cs="宋体"/>
          <w:color w:val="auto"/>
          <w:sz w:val="24"/>
          <w:highlight w:val="none"/>
        </w:rPr>
        <w:t xml:space="preserve">公章。</w:t>
      </w:r>
      <w:r/>
    </w:p>
    <w:p>
      <w:pPr>
        <w:pStyle w:val="641"/>
        <w:ind w:firstLine="480"/>
        <w:spacing w:after="0" w:line="400" w:lineRule="exact"/>
        <w:rPr>
          <w:rFonts w:ascii="宋体" w:hAnsi="宋体"/>
          <w:color w:val="auto"/>
          <w:sz w:val="24"/>
          <w:highlight w:val="none"/>
        </w:rPr>
      </w:pPr>
      <w:r>
        <w:rPr>
          <w:rFonts w:hint="eastAsia" w:ascii="宋体" w:hAnsi="宋体" w:cs="宋体"/>
          <w:color w:val="auto"/>
          <w:sz w:val="24"/>
          <w:highlight w:val="none"/>
        </w:rPr>
        <w:t xml:space="preserve">18.</w:t>
      </w:r>
      <w:r>
        <w:rPr>
          <w:rFonts w:ascii="宋体" w:hAnsi="宋体" w:cs="宋体"/>
          <w:color w:val="auto"/>
          <w:sz w:val="24"/>
          <w:highlight w:val="none"/>
        </w:rPr>
        <w:t xml:space="preserve">2供应商应在</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指定位置加盖</w:t>
      </w:r>
      <w:r>
        <w:rPr>
          <w:rFonts w:hint="eastAsia" w:ascii="宋体" w:hAnsi="宋体" w:cs="宋体"/>
          <w:color w:val="auto"/>
          <w:sz w:val="24"/>
          <w:highlight w:val="none"/>
        </w:rPr>
        <w:t xml:space="preserve">电子</w:t>
      </w:r>
      <w:r>
        <w:rPr>
          <w:rFonts w:ascii="宋体" w:hAnsi="宋体" w:cs="宋体"/>
          <w:color w:val="auto"/>
          <w:sz w:val="24"/>
          <w:highlight w:val="none"/>
        </w:rPr>
        <w:t xml:space="preserve">公章。</w:t>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四、开标、评标与确定中标供应商</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19．</w:t>
      </w:r>
      <w:r>
        <w:rPr>
          <w:rFonts w:ascii="宋体" w:hAnsi="宋体" w:cs="宋体"/>
          <w:color w:val="auto"/>
          <w:sz w:val="24"/>
          <w:highlight w:val="none"/>
        </w:rPr>
        <w:t xml:space="preserve">开标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19</w:t>
      </w:r>
      <w:r>
        <w:rPr>
          <w:rFonts w:ascii="宋体" w:hAnsi="宋体" w:cs="宋体"/>
          <w:color w:val="auto"/>
          <w:sz w:val="24"/>
          <w:highlight w:val="none"/>
        </w:rPr>
        <w:t xml:space="preserve">.1</w:t>
      </w:r>
      <w:r>
        <w:rPr>
          <w:rFonts w:hint="eastAsia" w:ascii="宋体" w:hAnsi="宋体" w:cs="宋体"/>
          <w:color w:val="auto"/>
          <w:sz w:val="24"/>
          <w:highlight w:val="none"/>
        </w:rPr>
        <w:t xml:space="preserve">投标人按照《操作手册》规定参加开标活动，并在苏采云系统规定的时间内对投标文件进行解密。苏采云系统公布各投标人名称和投标价格</w:t>
      </w:r>
      <w:r>
        <w:rPr>
          <w:rFonts w:ascii="宋体" w:hAnsi="宋体" w:cs="宋体"/>
          <w:color w:val="auto"/>
          <w:sz w:val="24"/>
          <w:highlight w:val="none"/>
        </w:rPr>
        <w:t xml:space="preserve">。</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19</w:t>
      </w:r>
      <w:r>
        <w:rPr>
          <w:rFonts w:ascii="宋体" w:hAnsi="宋体" w:cs="宋体"/>
          <w:color w:val="auto"/>
          <w:sz w:val="24"/>
          <w:highlight w:val="none"/>
        </w:rPr>
        <w:t xml:space="preserve">.2</w:t>
      </w:r>
      <w:r>
        <w:rPr>
          <w:rFonts w:hint="eastAsia" w:ascii="宋体" w:hAnsi="宋体" w:cs="宋体"/>
          <w:color w:val="auto"/>
          <w:sz w:val="24"/>
          <w:highlight w:val="none"/>
        </w:rPr>
        <w:t xml:space="preserve">投标人在开标过程中涉及到的投标文件解密、开标结果确认等工作，应按照《操作手册》规定执行</w:t>
      </w:r>
      <w:r>
        <w:rPr>
          <w:rFonts w:ascii="宋体" w:hAnsi="宋体" w:cs="宋体"/>
          <w:color w:val="auto"/>
          <w:sz w:val="24"/>
          <w:highlight w:val="none"/>
        </w:rPr>
        <w:t xml:space="preserve">。</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19.3投标人如果对开标过程和开标结果有疑义，应当根据《操作手册》规定提出，苏采云系统中《开标记录表》公布后5分钟内未提出的，视同认可开标结果。</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19.4公开招标数额标准以上的采购项目，投标截止后供应商不足 3 家或者通过资格审查或符合性审查的供应商不足 3 家的，除采购任务取消情形外，按照以下方式处理： </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（1）招标文件存在不合理条款或者招标程序不符合规定的，采购人、采购代理机构改正后依法重新招标； </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0．</w:t>
      </w:r>
      <w:r>
        <w:rPr>
          <w:rFonts w:ascii="宋体" w:hAnsi="宋体" w:cs="宋体"/>
          <w:color w:val="auto"/>
          <w:sz w:val="24"/>
          <w:highlight w:val="none"/>
        </w:rPr>
        <w:t xml:space="preserve">评标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.1评标组织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.1.1评标工作由代理机构组织，具体评标事务由依法组建的评标委员会负责，并独立履行下列职责：</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（1）审查、评价</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是否符合招标文件的商务、技术等实质性要求；</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）要求投标人对</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有关事项作出澄清或者说明；</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ascii="宋体" w:hAnsi="宋体" w:cs="宋体"/>
          <w:color w:val="auto"/>
          <w:sz w:val="24"/>
          <w:highlight w:val="none"/>
        </w:rPr>
        <w:t xml:space="preserve">）对</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进行比较和评价；</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4</w:t>
      </w:r>
      <w:r>
        <w:rPr>
          <w:rFonts w:ascii="宋体" w:hAnsi="宋体" w:cs="宋体"/>
          <w:color w:val="auto"/>
          <w:sz w:val="24"/>
          <w:highlight w:val="none"/>
        </w:rPr>
        <w:t xml:space="preserve">）推荐中标候选人或根据采购人委托直接确定中标供应商；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5</w:t>
      </w:r>
      <w:r>
        <w:rPr>
          <w:rFonts w:ascii="宋体" w:hAnsi="宋体" w:cs="宋体"/>
          <w:color w:val="auto"/>
          <w:sz w:val="24"/>
          <w:highlight w:val="none"/>
        </w:rPr>
        <w:t xml:space="preserve">）向采购人、财政部门报告评标中发现的违法行为。</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.1.2评标委员会由采购人代表和有关技术、经济等方面的专家组成，独立开展评审工作。</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.2评标程序</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.2.1</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的资格审查</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.2.1.1采购人代表</w:t>
      </w:r>
      <w:r>
        <w:rPr>
          <w:rFonts w:hint="eastAsia" w:ascii="宋体" w:hAnsi="宋体" w:cs="宋体"/>
          <w:color w:val="auto"/>
          <w:sz w:val="24"/>
          <w:highlight w:val="none"/>
        </w:rPr>
        <w:t xml:space="preserve">或</w:t>
      </w:r>
      <w:r>
        <w:rPr>
          <w:rFonts w:ascii="宋体" w:hAnsi="宋体" w:cs="宋体"/>
          <w:color w:val="auto"/>
          <w:sz w:val="24"/>
          <w:highlight w:val="none"/>
        </w:rPr>
        <w:t xml:space="preserve">代理机构依法对投标人的资格进行审查。</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.2.1.2依据法律法规和招标文件的规定，对</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中的资格证明文件、投标保证金等进行审查，以确定投标供应商是否具备投标资格。</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.2.1.3在进行资格性审查的同时，将在“信用中国”网站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sz w:val="24"/>
          <w:highlight w:val="none"/>
        </w:rPr>
        <w:t xml:space="preserve">（www.creditchina.gov.cn</w:t>
      </w:r>
      <w:r>
        <w:rPr>
          <w:rFonts w:ascii="宋体" w:hAnsi="宋体" w:cs="宋体"/>
          <w:color w:val="auto"/>
          <w:sz w:val="24"/>
          <w:highlight w:val="none"/>
        </w:rPr>
        <w:fldChar w:fldCharType="end"/>
      </w:r>
      <w:r>
        <w:rPr>
          <w:rFonts w:ascii="宋体" w:hAnsi="宋体" w:cs="宋体"/>
          <w:color w:val="auto"/>
          <w:sz w:val="24"/>
          <w:highlight w:val="none"/>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.2.1.4</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有下列情况之一的，在资格性审查时按照无效投标处理</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（1）不具备招标文件规定资格条件的；</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）供应商被“信用中国”网站（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cs="宋体"/>
          <w:color w:val="auto"/>
          <w:sz w:val="24"/>
          <w:highlight w:val="none"/>
        </w:rPr>
        <w:t xml:space="preserve">www.creditchina.gov.cn</w:t>
      </w:r>
      <w:r>
        <w:rPr>
          <w:rFonts w:ascii="宋体" w:hAnsi="宋体" w:cs="宋体"/>
          <w:color w:val="auto"/>
          <w:sz w:val="24"/>
          <w:highlight w:val="none"/>
        </w:rPr>
        <w:fldChar w:fldCharType="end"/>
      </w:r>
      <w:r>
        <w:rPr>
          <w:rFonts w:ascii="宋体" w:hAnsi="宋体" w:cs="宋体"/>
          <w:color w:val="auto"/>
          <w:sz w:val="24"/>
          <w:highlight w:val="non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r/>
    </w:p>
    <w:p>
      <w:pPr>
        <w:pStyle w:val="641"/>
        <w:ind w:firstLine="480"/>
        <w:spacing w:after="0" w:line="40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ascii="宋体" w:hAnsi="宋体" w:cs="宋体"/>
          <w:color w:val="auto"/>
          <w:sz w:val="24"/>
          <w:highlight w:val="none"/>
        </w:rPr>
        <w:t xml:space="preserve">）未按照招标文件要求缴纳投标保证金的（如有）。</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的符合性审查</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.2.2.1评标委员会将依据法律法规和招标文件的规定，对</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的有效性、完整性和对招标文件的响应程度进行审查，以确定是否对招标文件的实质性要求作出响应。</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.2.2.2实质性要求是指本招标文件中带“★”的商务和技术要求。</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.2.2.3如果</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实质上没有响应招标文件的要求，评标委员会将予以拒绝，投标人不得通过修改或撤销不合要求的偏离而使其投标成为实质性响应的投标。</w:t>
      </w:r>
      <w:r/>
    </w:p>
    <w:p>
      <w:pPr>
        <w:pStyle w:val="641"/>
        <w:ind w:firstLine="480"/>
        <w:spacing w:after="0" w:line="40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.2.2.4</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有下列情况之一的，在符合性审查时按照无效投标处理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（1）投标人在苏采云系统规定的时间内未成功解密投标文件的；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（2）投标文件未按采购文件要求制作投标文件及签章的；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（3）投标总价超出采购项目预算或者最高限价的；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（4）不同供应商的投标文件由同一单位或者个人编制；</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（5）不同供应商委托同一单位或者个人办理投标事宜；</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（6）不同供应商的投标文件载明的项目管理成员为同一人；</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（7）不同供应商的投标文件异常一致或者投标报价呈规律性差异；</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（8）不同供应商的法定代表人或委托代理人有夫妻、直系血亲关系的；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（9）不同供应商的负责人为同一人或者存在控股、管理关系的；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（10）不同供应商的委托代理人(或法定代表人、项目经理、项目总监、项目负责人等)在招标文件发布日上月至投标截止日当月在同一单位缴纳社会保险的；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（11）属于申请人的资格要求中第4条拒绝参加本次采购活动供应商的；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（12）没有逐一说明投标产品品牌、型号、产地、性能参数，而是直接拷贝招标文件技术要求的；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（13）投标文件含有采购人不能接受的附加条件的；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关于推动解决政府采购异常低价问题的通知（财库〔2026〕2号），评审委员会启动异常低价投标（响应）审查的情形和具体要求，包括：</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4.1</w:t>
      </w:r>
      <w:r>
        <w:rPr>
          <w:rFonts w:hint="eastAsia" w:ascii="宋体" w:hAnsi="宋体" w:cs="宋体"/>
          <w:color w:val="auto"/>
          <w:sz w:val="24"/>
          <w:highlight w:val="none"/>
        </w:rPr>
        <w:t xml:space="preserve">）评审过程中出现下列情形之一的，评审委员会应当启动异常低价投标（响应）审查程序：</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1</w:t>
      </w:r>
      <w:r>
        <w:rPr>
          <w:rFonts w:ascii="宋体" w:hAnsi="宋体" w:cs="宋体"/>
          <w:color w:val="auto"/>
          <w:sz w:val="24"/>
          <w:highlight w:val="none"/>
        </w:rPr>
        <w:t xml:space="preserve"> </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2</w:t>
      </w:r>
      <w:r>
        <w:rPr>
          <w:rFonts w:ascii="宋体" w:hAnsi="宋体" w:cs="宋体"/>
          <w:color w:val="auto"/>
          <w:sz w:val="24"/>
          <w:highlight w:val="none"/>
        </w:rPr>
        <w:t xml:space="preserve"> </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3</w:t>
      </w:r>
      <w:r>
        <w:rPr>
          <w:rFonts w:ascii="宋体" w:hAnsi="宋体" w:cs="宋体"/>
          <w:color w:val="auto"/>
          <w:sz w:val="24"/>
          <w:highlight w:val="none"/>
        </w:rPr>
        <w:t xml:space="preserve"> </w:t>
      </w:r>
      <w:r>
        <w:rPr>
          <w:rFonts w:hint="eastAsia" w:ascii="宋体" w:hAnsi="宋体" w:cs="宋体"/>
          <w:color w:val="auto"/>
          <w:sz w:val="24"/>
          <w:highlight w:val="none"/>
        </w:rPr>
        <w:t xml:space="preserve">投标（响应）报价低于采购项目最高限价45%的，即投标（响应）报价&lt;采购项目最高限价×45%；</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4</w:t>
      </w:r>
      <w:r>
        <w:rPr>
          <w:rFonts w:ascii="宋体" w:hAnsi="宋体" w:cs="宋体"/>
          <w:color w:val="auto"/>
          <w:sz w:val="24"/>
          <w:highlight w:val="none"/>
        </w:rPr>
        <w:t xml:space="preserve"> </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641"/>
        <w:ind w:firstLine="480"/>
        <w:spacing w:after="0" w:line="380" w:lineRule="exact"/>
        <w:rPr>
          <w:rFonts w:ascii="宋体" w:hAnsi="宋体" w:cs="宋体"/>
          <w:color w:val="auto"/>
          <w:sz w:val="24"/>
          <w:highlight w:val="none"/>
        </w:rPr>
      </w:pPr>
      <w:r/>
      <w:bookmarkStart w:id="51" w:name="OLE_LINK1"/>
      <w:r>
        <w:rPr>
          <w:rFonts w:hint="eastAsia" w:ascii="宋体" w:hAnsi="宋体" w:cs="宋体"/>
          <w:color w:val="auto"/>
          <w:sz w:val="24"/>
          <w:highlight w:val="none"/>
        </w:rPr>
        <w:t xml:space="preserve">（1</w:t>
      </w:r>
      <w:r>
        <w:rPr>
          <w:rFonts w:ascii="宋体" w:hAnsi="宋体" w:cs="宋体"/>
          <w:color w:val="auto"/>
          <w:sz w:val="24"/>
          <w:highlight w:val="none"/>
        </w:rPr>
        <w:t xml:space="preserve">4.2</w:t>
      </w:r>
      <w:r>
        <w:rPr>
          <w:rFonts w:hint="eastAsia" w:ascii="宋体" w:hAnsi="宋体" w:cs="宋体"/>
          <w:color w:val="auto"/>
          <w:sz w:val="24"/>
          <w:highlight w:val="none"/>
        </w:rPr>
        <w:t xml:space="preserve">）</w:t>
      </w:r>
      <w:bookmarkEnd w:id="51"/>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4.3</w:t>
      </w:r>
      <w:r>
        <w:rPr>
          <w:rFonts w:hint="eastAsia" w:ascii="宋体" w:hAnsi="宋体" w:cs="宋体"/>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.2.2.5有下列情形之一的予以废标，同时将废标理由通知所有供应商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）符合资格条件的供应商或者对招标文件作实质性响应的供应商不足三家的；</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）出现影响采购公正的违法、违规行为的；</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ascii="宋体" w:hAnsi="宋体" w:cs="宋体"/>
          <w:color w:val="auto"/>
          <w:sz w:val="24"/>
          <w:highlight w:val="none"/>
        </w:rPr>
        <w:t xml:space="preserve">）供应商的报价均超过了采购预算或最高限价，采购人不能支付的；</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4</w:t>
      </w:r>
      <w:r>
        <w:rPr>
          <w:rFonts w:ascii="宋体" w:hAnsi="宋体" w:cs="宋体"/>
          <w:color w:val="auto"/>
          <w:sz w:val="24"/>
          <w:highlight w:val="none"/>
        </w:rPr>
        <w:t xml:space="preserve">）因重大变故，采购任务取消的；</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5</w:t>
      </w:r>
      <w:r>
        <w:rPr>
          <w:rFonts w:ascii="宋体" w:hAnsi="宋体" w:cs="宋体"/>
          <w:color w:val="auto"/>
          <w:sz w:val="24"/>
          <w:highlight w:val="none"/>
        </w:rPr>
        <w:t xml:space="preserve">）招标文件存在歧义、重大缺陷，或者招标文件内容违反国家有关强制性规定的。</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的进一步评审</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.2.3.1评标委员会将对确定为实质性响应的</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进行进一步评审，看其是否有计算上或累加上的算术错误，修正错误的原则如下：</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）如果用数字表示的金额和用文字表示的金额不一致时，应以文字表示的金额为准进行修正；</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）当单价与数量的乘积和总价不一致时，以单价为准进行修正。只有在评标委员会认为单价有明显的小数点错误时，才能以标出的总价为准，并修改单价。</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.2.3.2评标委员会将按上述修正错误的方法调整</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中的投标价，调整后的价格应对投标人具有约束力。如果投标人不接受修正后的价格，则其投标将被拒绝。</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.2.3.3评标委员会将允许修正</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中不构成重大偏离的、微小的、非正规的、不一致的或不规则的地方，但这些修改不能影响任何投标人相应的名次排列。</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.2.3.4澄清有关问题。投标截止时间后，供应商根据评标委员会要求对</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中含义不明确、同类问题表述不一致或者明显文字和计算错误的内容作出必要澄清、说明或者补正，但不得超出</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的范围或者改变</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的实质性内容。</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20</w:t>
      </w:r>
      <w:r>
        <w:rPr>
          <w:rFonts w:ascii="宋体" w:hAnsi="宋体" w:cs="宋体"/>
          <w:color w:val="auto"/>
          <w:sz w:val="24"/>
          <w:highlight w:val="none"/>
        </w:rPr>
        <w:t xml:space="preserve">.2.3.5比较与评价。按照招标文件中规定的评标方法和标准，对资格性检查和符合性检查合格的</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进行商务和技术评估，综合比较与评价。</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0</w:t>
      </w:r>
      <w:r>
        <w:rPr>
          <w:rFonts w:ascii="宋体" w:hAnsi="宋体" w:cs="宋体"/>
          <w:color w:val="auto"/>
          <w:sz w:val="24"/>
          <w:highlight w:val="none"/>
        </w:rPr>
        <w:t xml:space="preserve">.3 评标方法和标准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本项目采用综合评分法</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1．</w:t>
      </w:r>
      <w:r>
        <w:rPr>
          <w:rFonts w:ascii="宋体" w:hAnsi="宋体" w:cs="宋体"/>
          <w:color w:val="auto"/>
          <w:sz w:val="24"/>
          <w:highlight w:val="none"/>
        </w:rPr>
        <w:t xml:space="preserve">确定中标供应商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.1</w:t>
      </w:r>
      <w:r>
        <w:rPr>
          <w:rFonts w:hint="eastAsia" w:ascii="宋体" w:hAnsi="宋体" w:cs="宋体"/>
          <w:color w:val="auto"/>
          <w:sz w:val="24"/>
          <w:highlight w:val="none"/>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ascii="宋体" w:hAnsi="宋体" w:cs="宋体"/>
          <w:color w:val="auto"/>
          <w:sz w:val="24"/>
          <w:highlight w:val="none"/>
        </w:rPr>
        <w:t xml:space="preserve">。</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.2按以下第(2)种方式确定中标供应商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）评标委员会直接确定排名第一的中标候选人为中标供应商；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）采购人在评标委员会推荐的中标候选人中按顺序确定中标供应商。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.3中标供应商确定之日起两个工作日内，将在财政部门指定的政府采购信息发布媒体上公告。</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.4《中标通知书》对采购人和中标供应商具有同等法律效力。</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.6对未通过资格审查的供应商，将告知其未通过的原因；采用综合评分法评审的，告知未中标供应商本人的评审得分与排序。</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.7所有</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不论中标与否，均不退回。</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2．</w:t>
      </w:r>
      <w:r>
        <w:rPr>
          <w:rFonts w:ascii="宋体" w:hAnsi="宋体" w:cs="宋体"/>
          <w:color w:val="auto"/>
          <w:sz w:val="24"/>
          <w:highlight w:val="none"/>
        </w:rPr>
        <w:t xml:space="preserve">编写评审报告</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评标委员会根据全体评标成员签字的原始评标记录和评标结果编写评审报告。</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3．</w:t>
      </w:r>
      <w:r>
        <w:rPr>
          <w:rFonts w:ascii="宋体" w:hAnsi="宋体" w:cs="宋体"/>
          <w:color w:val="auto"/>
          <w:sz w:val="24"/>
          <w:highlight w:val="none"/>
        </w:rPr>
        <w:t xml:space="preserve">评标过程的保密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.1代理机构将采取必要措施，保证评标在严格保密的情况下进行。</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.2任何单位和个人不得非法干预、影响评标办法的确定，以及评标过程和结果。</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.3凡是与审查、澄清、评价和比较投标的有关资料等，均不得向供应商及与评标无关的人员透露。</w:t>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五、签订合同</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4．</w:t>
      </w:r>
      <w:r>
        <w:rPr>
          <w:rFonts w:ascii="宋体" w:hAnsi="宋体" w:cs="宋体"/>
          <w:color w:val="auto"/>
          <w:sz w:val="24"/>
          <w:highlight w:val="none"/>
        </w:rPr>
        <w:t xml:space="preserve">签订合同</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24</w:t>
      </w:r>
      <w:r>
        <w:rPr>
          <w:rFonts w:ascii="宋体" w:hAnsi="宋体" w:cs="宋体"/>
          <w:color w:val="auto"/>
          <w:sz w:val="24"/>
          <w:highlight w:val="none"/>
        </w:rPr>
        <w:t xml:space="preserve">.1采购人应当自《中标通知书》发出之日起</w:t>
      </w:r>
      <w:r>
        <w:rPr>
          <w:rFonts w:hint="eastAsia" w:ascii="宋体" w:hAnsi="宋体" w:cs="宋体"/>
          <w:color w:val="auto"/>
          <w:sz w:val="24"/>
          <w:highlight w:val="none"/>
        </w:rPr>
        <w:t xml:space="preserve">三十</w:t>
      </w:r>
      <w:r>
        <w:rPr>
          <w:rFonts w:ascii="宋体" w:hAnsi="宋体" w:cs="宋体"/>
          <w:color w:val="auto"/>
          <w:sz w:val="24"/>
          <w:highlight w:val="none"/>
        </w:rPr>
        <w:t xml:space="preserve">日内，按照招标文件和中标供应商</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与中标供应商签订书面合同。所签订的合同不得对招标文件确定事项和中标供应商</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作实质性修改。</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24</w:t>
      </w:r>
      <w:r>
        <w:rPr>
          <w:rFonts w:ascii="宋体" w:hAnsi="宋体" w:cs="宋体"/>
          <w:color w:val="auto"/>
          <w:sz w:val="24"/>
          <w:highlight w:val="none"/>
        </w:rPr>
        <w:t xml:space="preserve">.2采购人不得向中标供应商提出任何不合理的要求作为签订合同的条件，不得与中标供应商私下订立背离合同实质性内容的协议。</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24</w:t>
      </w:r>
      <w:r>
        <w:rPr>
          <w:rFonts w:ascii="宋体" w:hAnsi="宋体" w:cs="宋体"/>
          <w:color w:val="auto"/>
          <w:sz w:val="24"/>
          <w:highlight w:val="none"/>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24</w:t>
      </w:r>
      <w:r>
        <w:rPr>
          <w:rFonts w:ascii="宋体" w:hAnsi="宋体" w:cs="宋体"/>
          <w:color w:val="auto"/>
          <w:sz w:val="24"/>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24.5采购人与中标人应当根据合同的约定依法履行合同义务。</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25．政府采购履约资金扶持政策</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25.1中标供应商可通过南京市公共资源交易平台网站“小企业融资平台”，选择相应的金融机构办理融资贷款。</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六、质疑处理</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6</w:t>
      </w:r>
      <w:r>
        <w:rPr>
          <w:rFonts w:hint="eastAsia" w:ascii="宋体" w:hAnsi="宋体" w:cs="宋体"/>
          <w:color w:val="auto"/>
          <w:sz w:val="24"/>
          <w:highlight w:val="none"/>
        </w:rPr>
        <w:t xml:space="preserve">．质疑</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.1 提出质疑的供应商应当是参与所质疑项目采购活动的供应商。潜在供应商依法获取其可质疑的采购文件的，可以对采购文件提出质疑。</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对项目需求部分的质疑，潜在供应商应向采购人提出，由采购人负责答复。</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对项目需求部分以外内容的质疑，潜在供应商应向采购代理机构提出，由采购代理机构负责答复。</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.2.1对可以质疑的采购文件提出质疑的，为收到采购文件之日或者采购文件公告期限届满之日；</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.2.2对采购过程提出质疑的，为各采购程序环节结束之日；</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.2.3对中标结果提出质疑的，为中标结果公告期限届满之日。</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.4 采购代理机构及采购人只接收以纸质原件形式送达的质疑。</w:t>
      </w:r>
      <w:r/>
    </w:p>
    <w:p>
      <w:pPr>
        <w:pStyle w:val="641"/>
        <w:ind w:firstLine="480"/>
        <w:spacing w:after="0" w:line="380" w:lineRule="exact"/>
        <w:rPr>
          <w:rFonts w:ascii="宋体" w:hAnsi="宋体" w:cs="宋体"/>
          <w:color w:val="auto"/>
          <w:sz w:val="24"/>
          <w:highlight w:val="none"/>
        </w:rPr>
      </w:pPr>
      <w:r>
        <w:rPr>
          <w:rFonts w:hint="eastAsia" w:ascii="宋体" w:hAnsi="宋体" w:cs="宋体"/>
          <w:color w:val="auto"/>
          <w:sz w:val="24"/>
          <w:highlight w:val="none"/>
        </w:rPr>
        <w:t xml:space="preserve">采购代理机构质疑接收联系地址：南京市江宁开发区总部基地</w:t>
      </w:r>
      <w:r>
        <w:rPr>
          <w:rFonts w:ascii="宋体" w:hAnsi="宋体" w:cs="宋体"/>
          <w:color w:val="auto"/>
          <w:sz w:val="24"/>
          <w:highlight w:val="none"/>
        </w:rPr>
        <w:t xml:space="preserve">33栋9层907室，联系电话：025-86110899。</w:t>
      </w:r>
      <w:r/>
    </w:p>
    <w:p>
      <w:pPr>
        <w:pStyle w:val="641"/>
        <w:ind w:firstLine="480"/>
        <w:spacing w:after="0"/>
        <w:rPr>
          <w:rFonts w:ascii="宋体" w:hAnsi="宋体" w:cs="宋体"/>
          <w:color w:val="auto"/>
          <w:sz w:val="24"/>
          <w:highlight w:val="none"/>
        </w:rPr>
      </w:pPr>
      <w:r>
        <w:rPr>
          <w:rFonts w:hint="eastAsia" w:ascii="宋体" w:hAnsi="宋体" w:cs="宋体"/>
          <w:color w:val="auto"/>
          <w:sz w:val="24"/>
          <w:highlight w:val="none"/>
        </w:rPr>
        <w:t xml:space="preserve">采购人质疑接收联系地址：</w:t>
      </w:r>
      <w:r>
        <w:rPr>
          <w:rFonts w:ascii="宋体" w:hAnsi="宋体" w:cs="宋体"/>
          <w:color w:val="auto"/>
          <w:sz w:val="24"/>
          <w:highlight w:val="none"/>
        </w:rPr>
        <w:t xml:space="preserve">南京市江宁区秣陵街道秣周东路11号</w:t>
      </w:r>
      <w:r>
        <w:rPr>
          <w:rFonts w:hint="eastAsia" w:ascii="宋体" w:hAnsi="宋体" w:cs="宋体"/>
          <w:color w:val="auto"/>
          <w:sz w:val="24"/>
          <w:highlight w:val="none"/>
        </w:rPr>
        <w:t xml:space="preserve">，联系电话：025-</w:t>
      </w:r>
      <w:r>
        <w:rPr>
          <w:rFonts w:ascii="宋体" w:hAnsi="宋体" w:cs="宋体"/>
          <w:color w:val="auto"/>
          <w:sz w:val="24"/>
          <w:highlight w:val="none"/>
        </w:rPr>
        <w:t xml:space="preserve">52759735</w:t>
      </w:r>
      <w:r>
        <w:rPr>
          <w:rFonts w:hint="eastAsia" w:ascii="宋体" w:hAnsi="宋体" w:cs="宋体"/>
          <w:color w:val="auto"/>
          <w:sz w:val="24"/>
          <w:highlight w:val="none"/>
        </w:rPr>
        <w:t xml:space="preserve">。</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 以下情形的质疑不予受理</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.5.1 内容不符合《政府采购质疑和投诉办法》第十二条规定的质疑。</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.5.2 超出政府采购法定期限的质疑。</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.5.3 以传真、电子邮件等方式递交的非原件形式的质疑。</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.5.4 未参加投标活动的供应商或在投标活动中自身权益未受到损害的供应商所提出的质疑。</w:t>
      </w:r>
      <w:r/>
    </w:p>
    <w:p>
      <w:pPr>
        <w:pStyle w:val="641"/>
        <w:ind w:firstLine="480"/>
        <w:spacing w:after="0" w:line="38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.5.5供应商组成联合体参加投标，联合体中任何一方或多方未按要求签字、盖章、加盖公章的质疑。</w:t>
      </w:r>
      <w:r/>
    </w:p>
    <w:p>
      <w:pPr>
        <w:pStyle w:val="641"/>
        <w:ind w:firstLine="480"/>
        <w:spacing w:after="0" w:line="380" w:lineRule="exact"/>
        <w:rPr>
          <w:color w:val="auto"/>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6</w:t>
      </w:r>
      <w:r>
        <w:rPr>
          <w:rFonts w:ascii="宋体" w:hAnsi="宋体" w:cs="宋体"/>
          <w:color w:val="auto"/>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7"/>
      <w:r/>
      <w:bookmarkEnd w:id="8"/>
      <w:r/>
      <w:bookmarkEnd w:id="9"/>
      <w:r/>
      <w:bookmarkEnd w:id="10"/>
      <w:r/>
      <w:bookmarkEnd w:id="11"/>
      <w:r/>
      <w:bookmarkEnd w:id="42"/>
      <w:r/>
      <w:bookmarkEnd w:id="43"/>
      <w:r/>
      <w:bookmarkEnd w:id="44"/>
      <w:r/>
      <w:bookmarkEnd w:id="45"/>
      <w:r/>
      <w:bookmarkStart w:id="52" w:name="_Toc112330101"/>
      <w:r/>
      <w:bookmarkStart w:id="53" w:name="_Toc15140"/>
      <w:r/>
      <w:bookmarkStart w:id="54" w:name="_Toc30743"/>
      <w:r/>
      <w:bookmarkStart w:id="55" w:name="_Toc9020"/>
      <w:r>
        <w:rPr>
          <w:rFonts w:hint="eastAsia"/>
          <w:color w:val="auto"/>
          <w:highlight w:val="none"/>
        </w:rPr>
        <w:br w:type="page" w:clear="all"/>
      </w:r>
      <w:r/>
    </w:p>
    <w:p>
      <w:pPr>
        <w:pStyle w:val="627"/>
        <w:jc w:val="center"/>
        <w:spacing w:before="120" w:after="120" w:line="360" w:lineRule="auto"/>
        <w:rPr>
          <w:color w:val="auto"/>
          <w:highlight w:val="none"/>
        </w:rPr>
      </w:pPr>
      <w:r/>
      <w:bookmarkStart w:id="56" w:name="_Toc236991655"/>
      <w:r>
        <w:rPr>
          <w:rFonts w:hint="eastAsia"/>
          <w:color w:val="auto"/>
          <w:highlight w:val="none"/>
        </w:rPr>
        <w:t xml:space="preserve">第三章  评分标准</w:t>
      </w:r>
      <w:bookmarkEnd w:id="52"/>
      <w:r/>
      <w:bookmarkEnd w:id="53"/>
      <w:r/>
      <w:bookmarkEnd w:id="54"/>
      <w:r/>
      <w:bookmarkEnd w:id="55"/>
      <w:r/>
      <w:bookmarkEnd w:id="56"/>
      <w:r/>
      <w:r/>
    </w:p>
    <w:p>
      <w:pPr>
        <w:pStyle w:val="628"/>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一、评标方法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tbl>
      <w:tblPr>
        <w:tblStyle w:val="637"/>
        <w:tblW w:w="4868" w:type="pct"/>
        <w:tblInd w:w="0" w:type="dxa"/>
        <w:tblLayout w:type="autofit"/>
        <w:tblCellMar>
          <w:left w:w="108" w:type="dxa"/>
          <w:top w:w="0" w:type="dxa"/>
          <w:right w:w="108" w:type="dxa"/>
          <w:bottom w:w="0" w:type="dxa"/>
        </w:tblCellMar>
        <w:tblLook w:val="04A0" w:firstRow="1" w:lastRow="0" w:firstColumn="1" w:lastColumn="0" w:noHBand="0" w:noVBand="1"/>
      </w:tblPr>
      <w:tblGrid>
        <w:gridCol w:w="745"/>
        <w:gridCol w:w="1202"/>
        <w:gridCol w:w="5712"/>
        <w:gridCol w:w="899"/>
      </w:tblGrid>
      <w:tr>
        <w:trPr>
          <w:trHeight w:val="673"/>
        </w:trPr>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宋体" w:hAnsi="宋体" w:cs="宋体"/>
                <w:b/>
                <w:color w:val="auto"/>
                <w:sz w:val="24"/>
                <w:szCs w:val="21"/>
                <w:highlight w:val="none"/>
              </w:rPr>
            </w:pPr>
            <w:r>
              <w:rPr>
                <w:rFonts w:ascii="宋体" w:hAnsi="宋体" w:cs="宋体"/>
                <w:b/>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b/>
                <w:color w:val="auto"/>
                <w:sz w:val="24"/>
                <w:szCs w:val="21"/>
                <w:highlight w:val="none"/>
              </w:rPr>
            </w:pPr>
            <w:r>
              <w:rPr>
                <w:rFonts w:ascii="宋体" w:hAnsi="宋体" w:cs="宋体"/>
                <w:b/>
                <w:color w:val="auto"/>
                <w:sz w:val="24"/>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center"/>
              <w:widowControl/>
              <w:rPr>
                <w:rFonts w:ascii="宋体" w:hAnsi="宋体" w:cs="宋体"/>
                <w:b/>
                <w:color w:val="auto"/>
                <w:sz w:val="24"/>
                <w:szCs w:val="21"/>
                <w:highlight w:val="none"/>
              </w:rPr>
            </w:pPr>
            <w:r>
              <w:rPr>
                <w:rFonts w:ascii="宋体" w:hAnsi="宋体" w:cs="宋体"/>
                <w:b/>
                <w:color w:val="auto"/>
                <w:sz w:val="24"/>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b/>
                <w:color w:val="auto"/>
                <w:sz w:val="24"/>
                <w:szCs w:val="21"/>
                <w:highlight w:val="none"/>
              </w:rPr>
            </w:pPr>
            <w:r>
              <w:rPr>
                <w:rFonts w:ascii="宋体" w:hAnsi="宋体" w:cs="宋体"/>
                <w:b/>
                <w:color w:val="auto"/>
                <w:sz w:val="24"/>
                <w:szCs w:val="21"/>
                <w:highlight w:val="none"/>
              </w:rPr>
              <w:t xml:space="preserve">分值</w:t>
            </w:r>
            <w:r/>
          </w:p>
        </w:tc>
      </w:tr>
      <w:tr>
        <w:trPr>
          <w:trHeight w:val="1152"/>
        </w:trPr>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auto"/>
                <w:sz w:val="24"/>
                <w:szCs w:val="21"/>
                <w:highlight w:val="none"/>
              </w:rPr>
            </w:pPr>
            <w:r>
              <w:rPr>
                <w:rFonts w:ascii="宋体" w:hAnsi="宋体" w:cs="宋体"/>
                <w:color w:val="auto"/>
                <w:sz w:val="24"/>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t xml:space="preserve">采用低价优先法计算，即满足招标文件要求且评审价格最低的价格为评标基准价，其价格分为满分</w:t>
            </w:r>
            <w:r>
              <w:rPr>
                <w:rFonts w:ascii="Times New Roman" w:hAnsi="Times New Roman"/>
                <w:color w:val="auto"/>
                <w:sz w:val="24"/>
                <w:szCs w:val="21"/>
                <w:highlight w:val="none"/>
              </w:rPr>
              <w:t xml:space="preserve">40</w:t>
            </w:r>
            <w:r>
              <w:rPr>
                <w:rFonts w:ascii="宋体" w:hAnsi="宋体" w:cs="宋体"/>
                <w:color w:val="auto"/>
                <w:sz w:val="24"/>
                <w:szCs w:val="21"/>
                <w:highlight w:val="none"/>
              </w:rPr>
              <w:t xml:space="preserve">分。其他投标人的价格分统一按照下列公式计算：投标报价得分</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评标基准价</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评审价格</w:t>
            </w:r>
            <w:r>
              <w:rPr>
                <w:rFonts w:ascii="Times New Roman" w:hAnsi="Times New Roman"/>
                <w:color w:val="auto"/>
                <w:sz w:val="24"/>
                <w:szCs w:val="21"/>
                <w:highlight w:val="none"/>
              </w:rPr>
              <w:t xml:space="preserve">)×40(</w:t>
            </w:r>
            <w:r>
              <w:rPr>
                <w:rFonts w:ascii="宋体" w:hAnsi="宋体" w:cs="宋体"/>
                <w:color w:val="auto"/>
                <w:sz w:val="24"/>
                <w:szCs w:val="21"/>
                <w:highlight w:val="none"/>
              </w:rPr>
              <w:t xml:space="preserve">小数点保留两位</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（评标委员会在评审时发现供应商的报价明显低于成本价的，应当要求供应商书面说明并提供相关证明材料。供应商不能合理说明原因并提供证明材料的，评标委员会应有权将该供应商的投标文件作无效处理）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0</w:t>
            </w:r>
            <w:r/>
          </w:p>
        </w:tc>
      </w:tr>
      <w:tr>
        <w:trPr>
          <w:trHeight w:val="2880"/>
        </w:trPr>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auto"/>
                <w:sz w:val="24"/>
                <w:szCs w:val="21"/>
                <w:highlight w:val="none"/>
              </w:rPr>
            </w:pPr>
            <w:r>
              <w:rPr>
                <w:rFonts w:ascii="宋体" w:hAnsi="宋体" w:cs="宋体"/>
                <w:color w:val="auto"/>
                <w:sz w:val="24"/>
                <w:szCs w:val="21"/>
                <w:highlight w:val="none"/>
              </w:rPr>
              <w:t xml:space="preserve">技术指标响应情况</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t xml:space="preserve">根据招标文件中“</w:t>
            </w:r>
            <w:r>
              <w:rPr>
                <w:rFonts w:ascii="宋体" w:hAnsi="宋体" w:cs="宋体"/>
                <w:b/>
                <w:bCs/>
                <w:color w:val="auto"/>
                <w:sz w:val="24"/>
                <w:szCs w:val="21"/>
                <w:highlight w:val="none"/>
              </w:rPr>
              <w:t xml:space="preserve">第四章</w:t>
            </w:r>
            <w:r>
              <w:rPr>
                <w:rFonts w:ascii="宋体" w:hAnsi="宋体" w:cs="宋体"/>
                <w:color w:val="auto"/>
                <w:sz w:val="24"/>
                <w:szCs w:val="21"/>
                <w:highlight w:val="none"/>
              </w:rPr>
              <w:t xml:space="preserve"> </w:t>
            </w:r>
            <w:r>
              <w:rPr>
                <w:rFonts w:ascii="宋体" w:hAnsi="宋体" w:cs="宋体"/>
                <w:b/>
                <w:bCs/>
                <w:color w:val="auto"/>
                <w:sz w:val="24"/>
                <w:szCs w:val="21"/>
                <w:highlight w:val="none"/>
              </w:rPr>
              <w:t xml:space="preserve">项目需求中的技术指标</w:t>
            </w:r>
            <w:r>
              <w:rPr>
                <w:rFonts w:ascii="宋体" w:hAnsi="宋体" w:cs="宋体"/>
                <w:color w:val="auto"/>
                <w:sz w:val="24"/>
                <w:szCs w:val="21"/>
                <w:highlight w:val="none"/>
              </w:rPr>
              <w:t xml:space="preserve">”响应情况进行打分。完全符合技术参数及配置要求且提供了技术条款偏离表的得满分18分。</w:t>
            </w:r>
            <w:r>
              <w:rPr>
                <w:rFonts w:ascii="宋体" w:hAnsi="宋体" w:cs="宋体"/>
                <w:color w:val="auto"/>
                <w:sz w:val="24"/>
                <w:szCs w:val="21"/>
                <w:highlight w:val="none"/>
              </w:rPr>
              <w:br/>
            </w:r>
            <w:r>
              <w:rPr>
                <w:rFonts w:ascii="宋体" w:hAnsi="宋体" w:cs="宋体"/>
                <w:color w:val="auto"/>
                <w:sz w:val="24"/>
                <w:szCs w:val="21"/>
                <w:highlight w:val="none"/>
              </w:rPr>
              <w:t xml:space="preserve">1. 带“★”项的技术指标，负偏离为无效投标。</w:t>
            </w:r>
            <w:r>
              <w:rPr>
                <w:rFonts w:ascii="宋体" w:hAnsi="宋体" w:cs="宋体"/>
                <w:color w:val="auto"/>
                <w:sz w:val="24"/>
                <w:szCs w:val="21"/>
                <w:highlight w:val="none"/>
              </w:rPr>
              <w:br/>
            </w:r>
            <w:r>
              <w:rPr>
                <w:rFonts w:ascii="宋体" w:hAnsi="宋体" w:cs="宋体"/>
                <w:color w:val="auto"/>
                <w:sz w:val="24"/>
                <w:szCs w:val="21"/>
                <w:highlight w:val="none"/>
              </w:rPr>
              <w:t xml:space="preserve">2. 带“▲”项的技术指标，每负偏离一项扣2分，扣完为止。</w:t>
            </w:r>
            <w:r>
              <w:rPr>
                <w:rFonts w:ascii="宋体" w:hAnsi="宋体" w:cs="宋体"/>
                <w:color w:val="auto"/>
                <w:sz w:val="24"/>
                <w:szCs w:val="21"/>
                <w:highlight w:val="none"/>
              </w:rPr>
              <w:br/>
            </w:r>
            <w:r>
              <w:rPr>
                <w:rFonts w:ascii="宋体" w:hAnsi="宋体" w:cs="宋体"/>
                <w:color w:val="auto"/>
                <w:sz w:val="24"/>
                <w:szCs w:val="21"/>
                <w:highlight w:val="none"/>
              </w:rPr>
              <w:t xml:space="preserve">3. 非“▲”项的技术指标，每负偏离一项扣1分，扣完为止。</w:t>
            </w:r>
            <w:r>
              <w:rPr>
                <w:rFonts w:ascii="宋体" w:hAnsi="宋体" w:cs="宋体"/>
                <w:color w:val="auto"/>
                <w:sz w:val="24"/>
                <w:szCs w:val="21"/>
                <w:highlight w:val="none"/>
              </w:rPr>
              <w:br/>
            </w:r>
            <w:r>
              <w:rPr>
                <w:rFonts w:ascii="宋体" w:hAnsi="宋体" w:cs="宋体"/>
                <w:color w:val="auto"/>
                <w:sz w:val="24"/>
                <w:szCs w:val="21"/>
                <w:highlight w:val="none"/>
              </w:rPr>
              <w:t xml:space="preserve">（备注：凡标有最低一级序号的指标项即为一项技术条款，无论是否隶属于上一级编号；投标人需在技术条款偏离表中逐条进行应答，列明所投产品详细技术特性，并说明偏离情况。带“★”或“▲”项的技术标需提指供证明材料的提供复印件，未提供或内容不全的不予赋分（需求中有其他要求的从其要求），以佐证所投产品的主要技术参数及功能。非“▲”项技术指标未有要求的则以技术条款偏离表中应答为准（需求中有其他要求的从其要求）。未按要求提供证明材料的视为负偏离。）</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18</w:t>
            </w:r>
            <w:r/>
          </w:p>
        </w:tc>
      </w:tr>
      <w:tr>
        <w:trPr>
          <w:trHeight w:val="1266"/>
        </w:trPr>
        <w:tc>
          <w:tcPr>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widowControl/>
              <w:rPr>
                <w:rFonts w:ascii="Times New Roman" w:hAnsi="Times New Roman"/>
                <w:color w:val="auto"/>
                <w:sz w:val="24"/>
                <w:szCs w:val="21"/>
                <w:highlight w:val="none"/>
              </w:rPr>
            </w:pPr>
            <w:r>
              <w:rPr>
                <w:rFonts w:ascii="Times New Roman" w:hAnsi="Times New Roman"/>
                <w:color w:val="auto"/>
                <w:sz w:val="24"/>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02" w:type="pct"/>
            <w:vAlign w:val="center"/>
            <w:vMerge w:val="restart"/>
            <w:textDirection w:val="lrTb"/>
            <w:noWrap w:val="false"/>
          </w:tcPr>
          <w:p>
            <w:pPr>
              <w:jc w:val="center"/>
              <w:widowControl/>
              <w:rPr>
                <w:rFonts w:ascii="宋体" w:hAnsi="宋体" w:cs="宋体"/>
                <w:color w:val="auto"/>
                <w:sz w:val="24"/>
                <w:szCs w:val="21"/>
                <w:highlight w:val="none"/>
              </w:rPr>
            </w:pPr>
            <w:r>
              <w:rPr>
                <w:rFonts w:ascii="宋体" w:hAnsi="宋体" w:cs="宋体"/>
                <w:color w:val="auto"/>
                <w:sz w:val="24"/>
                <w:szCs w:val="21"/>
                <w:highlight w:val="none"/>
              </w:rPr>
              <w:t xml:space="preserve">项目</w:t>
            </w:r>
            <w:r>
              <w:rPr>
                <w:rFonts w:hint="eastAsia" w:ascii="宋体" w:hAnsi="宋体" w:cs="宋体"/>
                <w:color w:val="auto"/>
                <w:sz w:val="24"/>
                <w:szCs w:val="21"/>
                <w:highlight w:val="none"/>
              </w:rPr>
              <w:t xml:space="preserve">技术</w:t>
            </w:r>
            <w:r>
              <w:rPr>
                <w:rFonts w:ascii="宋体" w:hAnsi="宋体" w:cs="宋体"/>
                <w:color w:val="auto"/>
                <w:sz w:val="24"/>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b/>
                <w:bCs/>
                <w:color w:val="auto"/>
                <w:sz w:val="24"/>
                <w:szCs w:val="21"/>
                <w:highlight w:val="none"/>
              </w:rPr>
              <w:t xml:space="preserve">供货方案：</w:t>
            </w:r>
            <w:r>
              <w:rPr>
                <w:rFonts w:ascii="宋体" w:hAnsi="宋体" w:cs="宋体"/>
                <w:color w:val="auto"/>
                <w:sz w:val="24"/>
                <w:szCs w:val="21"/>
                <w:highlight w:val="none"/>
              </w:rPr>
              <w:br/>
            </w:r>
            <w:r>
              <w:rPr>
                <w:rFonts w:ascii="宋体" w:hAnsi="宋体" w:cs="宋体"/>
                <w:color w:val="auto"/>
                <w:sz w:val="24"/>
                <w:szCs w:val="21"/>
                <w:highlight w:val="none"/>
              </w:rPr>
              <w:t xml:space="preserve">根据供应商针对本项目的供货方案</w:t>
            </w:r>
            <w:r>
              <w:rPr>
                <w:rFonts w:hint="eastAsia" w:ascii="宋体" w:hAnsi="宋体" w:cs="宋体"/>
                <w:color w:val="auto"/>
                <w:sz w:val="24"/>
                <w:szCs w:val="21"/>
                <w:highlight w:val="none"/>
              </w:rPr>
              <w:t xml:space="preserve">(</w:t>
            </w:r>
            <w:r>
              <w:rPr>
                <w:rFonts w:ascii="宋体" w:hAnsi="宋体" w:cs="宋体"/>
                <w:color w:val="auto"/>
                <w:sz w:val="24"/>
                <w:szCs w:val="21"/>
                <w:highlight w:val="none"/>
              </w:rPr>
              <w:t xml:space="preserve">包括</w:t>
            </w:r>
            <w:r>
              <w:rPr>
                <w:rFonts w:hint="eastAsia" w:ascii="宋体" w:hAnsi="宋体" w:cs="宋体"/>
                <w:color w:val="auto"/>
                <w:sz w:val="24"/>
                <w:szCs w:val="21"/>
                <w:highlight w:val="none"/>
              </w:rPr>
              <w:t xml:space="preserve">但不限于</w:t>
            </w:r>
            <w:r>
              <w:rPr>
                <w:rFonts w:ascii="宋体" w:hAnsi="宋体" w:cs="宋体"/>
                <w:color w:val="auto"/>
                <w:sz w:val="24"/>
                <w:szCs w:val="21"/>
                <w:highlight w:val="none"/>
              </w:rPr>
              <w:t xml:space="preserve">供货任务划分、供货进度计划</w:t>
            </w:r>
            <w:r>
              <w:rPr>
                <w:rFonts w:hint="eastAsia" w:ascii="宋体" w:hAnsi="宋体" w:cs="宋体"/>
                <w:color w:val="auto"/>
                <w:sz w:val="24"/>
                <w:szCs w:val="21"/>
                <w:highlight w:val="none"/>
              </w:rPr>
              <w:t xml:space="preserve">、供货</w:t>
            </w:r>
            <w:r>
              <w:rPr>
                <w:rFonts w:ascii="宋体" w:hAnsi="宋体" w:cs="宋体"/>
                <w:color w:val="auto"/>
                <w:sz w:val="24"/>
                <w:szCs w:val="21"/>
                <w:highlight w:val="none"/>
              </w:rPr>
              <w:t xml:space="preserve">保障措施、</w:t>
            </w:r>
            <w:r>
              <w:rPr>
                <w:rFonts w:hint="eastAsia" w:ascii="宋体" w:hAnsi="宋体" w:cs="宋体"/>
                <w:color w:val="auto"/>
                <w:sz w:val="24"/>
                <w:szCs w:val="21"/>
                <w:highlight w:val="none"/>
              </w:rPr>
              <w:t xml:space="preserve">到货与交接管理措施、供货合规与安全管理措施等)</w:t>
            </w:r>
            <w:r>
              <w:rPr>
                <w:rFonts w:ascii="宋体" w:hAnsi="宋体" w:cs="宋体"/>
                <w:color w:val="auto"/>
                <w:sz w:val="24"/>
                <w:szCs w:val="21"/>
                <w:highlight w:val="none"/>
              </w:rPr>
              <w:t xml:space="preserve">进行综合评审：</w:t>
            </w:r>
            <w:r>
              <w:rPr>
                <w:rFonts w:ascii="宋体" w:hAnsi="宋体" w:cs="宋体"/>
                <w:color w:val="auto"/>
                <w:sz w:val="24"/>
                <w:szCs w:val="21"/>
                <w:highlight w:val="none"/>
              </w:rPr>
              <w:br/>
            </w:r>
            <w:r>
              <w:rPr>
                <w:rFonts w:hint="eastAsia" w:ascii="宋体" w:hAnsi="宋体" w:cs="宋体"/>
                <w:color w:val="auto"/>
                <w:sz w:val="24"/>
                <w:szCs w:val="21"/>
                <w:highlight w:val="none"/>
              </w:rPr>
              <w:t xml:space="preserve">方案科学全面，合理完善，针对性、可操作性强的得</w:t>
            </w:r>
            <w:r>
              <w:rPr>
                <w:rFonts w:ascii="宋体" w:hAnsi="宋体" w:cs="宋体"/>
                <w:color w:val="auto"/>
                <w:sz w:val="24"/>
                <w:szCs w:val="21"/>
                <w:highlight w:val="none"/>
              </w:rPr>
              <w:t xml:space="preserve">6</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方案符合采购要求，基本合理完善，具有针对性、可操作性的得</w:t>
            </w:r>
            <w:r>
              <w:rPr>
                <w:rFonts w:ascii="宋体" w:hAnsi="宋体" w:cs="宋体"/>
                <w:color w:val="auto"/>
                <w:sz w:val="24"/>
                <w:szCs w:val="21"/>
                <w:highlight w:val="none"/>
              </w:rPr>
              <w:t xml:space="preserve">4</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方案简单粗糙、不具备针对性、可操作性的得</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6</w:t>
            </w:r>
            <w:r/>
          </w:p>
        </w:tc>
      </w:tr>
      <w:tr>
        <w:trPr>
          <w:trHeight w:val="274"/>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widowControl/>
              <w:rPr>
                <w:rFonts w:ascii="Times New Roman" w:hAnsi="Times New Roman"/>
                <w:color w:val="auto"/>
                <w:sz w:val="24"/>
                <w:szCs w:val="21"/>
                <w:highlight w:val="none"/>
              </w:rPr>
            </w:pPr>
            <w:r>
              <w:rPr>
                <w:rFonts w:ascii="Times New Roman" w:hAnsi="Times New Roman"/>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hint="eastAsia" w:ascii="宋体" w:hAnsi="宋体" w:cs="宋体"/>
                <w:b/>
                <w:bCs/>
                <w:color w:val="auto"/>
                <w:sz w:val="24"/>
                <w:szCs w:val="21"/>
                <w:highlight w:val="none"/>
              </w:rPr>
              <w:t xml:space="preserve">项目实施方案</w:t>
            </w:r>
            <w:r>
              <w:rPr>
                <w:rFonts w:ascii="宋体" w:hAnsi="宋体" w:cs="宋体"/>
                <w:b/>
                <w:bCs/>
                <w:color w:val="auto"/>
                <w:sz w:val="24"/>
                <w:szCs w:val="21"/>
                <w:highlight w:val="none"/>
              </w:rPr>
              <w:t xml:space="preserve">：</w:t>
            </w:r>
            <w:r>
              <w:rPr>
                <w:rFonts w:ascii="宋体" w:hAnsi="宋体" w:cs="宋体"/>
                <w:b/>
                <w:bCs/>
                <w:color w:val="auto"/>
                <w:sz w:val="24"/>
                <w:szCs w:val="21"/>
                <w:highlight w:val="none"/>
              </w:rPr>
              <w:br/>
            </w:r>
            <w:r>
              <w:rPr>
                <w:rFonts w:ascii="宋体" w:hAnsi="宋体" w:cs="宋体"/>
                <w:color w:val="auto"/>
                <w:sz w:val="24"/>
                <w:szCs w:val="21"/>
                <w:highlight w:val="none"/>
              </w:rPr>
              <w:t xml:space="preserve">根据供应商提供的</w:t>
            </w:r>
            <w:r>
              <w:rPr>
                <w:rFonts w:hint="eastAsia" w:ascii="宋体" w:hAnsi="宋体" w:cs="宋体"/>
                <w:color w:val="auto"/>
                <w:sz w:val="24"/>
                <w:szCs w:val="21"/>
                <w:highlight w:val="none"/>
              </w:rPr>
              <w:t xml:space="preserve">项目实施方案（包括但不限于实施重难点分析、</w:t>
            </w:r>
            <w:r>
              <w:rPr>
                <w:rFonts w:ascii="宋体" w:hAnsi="宋体" w:cs="宋体"/>
                <w:color w:val="auto"/>
                <w:sz w:val="24"/>
                <w:szCs w:val="21"/>
                <w:highlight w:val="none"/>
              </w:rPr>
              <w:t xml:space="preserve">施工任务划分</w:t>
            </w:r>
            <w:r>
              <w:rPr>
                <w:rFonts w:hint="eastAsia" w:ascii="宋体" w:hAnsi="宋体" w:cs="宋体"/>
                <w:color w:val="auto"/>
                <w:sz w:val="24"/>
                <w:szCs w:val="21"/>
                <w:highlight w:val="none"/>
              </w:rPr>
              <w:t xml:space="preserve">、</w:t>
            </w:r>
            <w:r>
              <w:rPr>
                <w:rFonts w:ascii="宋体" w:hAnsi="宋体" w:cs="宋体"/>
                <w:color w:val="auto"/>
                <w:sz w:val="24"/>
                <w:szCs w:val="21"/>
                <w:highlight w:val="none"/>
              </w:rPr>
              <w:t xml:space="preserve">安全保障措施、质量保证措施、施工人员组织措施等</w:t>
            </w:r>
            <w:r>
              <w:rPr>
                <w:rFonts w:hint="eastAsia" w:ascii="宋体" w:hAnsi="宋体" w:cs="宋体"/>
                <w:color w:val="auto"/>
                <w:sz w:val="24"/>
                <w:szCs w:val="21"/>
                <w:highlight w:val="none"/>
              </w:rPr>
              <w:t xml:space="preserve">）</w:t>
            </w:r>
            <w:r>
              <w:rPr>
                <w:rFonts w:ascii="宋体" w:hAnsi="宋体" w:cs="宋体"/>
                <w:color w:val="auto"/>
                <w:sz w:val="24"/>
                <w:szCs w:val="21"/>
                <w:highlight w:val="none"/>
              </w:rPr>
              <w:t xml:space="preserve">进行综合评审：</w:t>
            </w:r>
            <w:r>
              <w:rPr>
                <w:rFonts w:ascii="宋体" w:hAnsi="宋体" w:cs="宋体"/>
                <w:color w:val="auto"/>
                <w:sz w:val="24"/>
                <w:szCs w:val="21"/>
                <w:highlight w:val="none"/>
              </w:rPr>
              <w:br/>
            </w:r>
            <w:r>
              <w:rPr>
                <w:rFonts w:hint="eastAsia" w:ascii="宋体" w:hAnsi="宋体" w:cs="宋体"/>
                <w:color w:val="auto"/>
                <w:sz w:val="24"/>
                <w:szCs w:val="21"/>
                <w:highlight w:val="none"/>
              </w:rPr>
              <w:t xml:space="preserve">方案科学全面，合理完善，针对性、可操作性强的得</w:t>
            </w:r>
            <w:r>
              <w:rPr>
                <w:rFonts w:ascii="宋体" w:hAnsi="宋体" w:cs="宋体"/>
                <w:color w:val="auto"/>
                <w:sz w:val="24"/>
                <w:szCs w:val="21"/>
                <w:highlight w:val="none"/>
              </w:rPr>
              <w:t xml:space="preserve">6</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方案符合采购要求，基本合理完善，具有针对性、可操作性的得</w:t>
            </w:r>
            <w:r>
              <w:rPr>
                <w:rFonts w:ascii="宋体" w:hAnsi="宋体" w:cs="宋体"/>
                <w:color w:val="auto"/>
                <w:sz w:val="24"/>
                <w:szCs w:val="21"/>
                <w:highlight w:val="none"/>
              </w:rPr>
              <w:t xml:space="preserve">4</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方案简单粗糙、不具备针对性、可操作性的得</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分；</w:t>
            </w:r>
            <w:r/>
          </w:p>
          <w:p>
            <w:pPr>
              <w:widowControl/>
              <w:rPr>
                <w:rFonts w:ascii="宋体" w:hAnsi="宋体" w:cs="宋体"/>
                <w:b/>
                <w:bCs/>
                <w:color w:val="auto"/>
                <w:sz w:val="24"/>
                <w:szCs w:val="21"/>
                <w:highlight w:val="none"/>
              </w:rPr>
            </w:pPr>
            <w:r>
              <w:rPr>
                <w:rFonts w:hint="eastAsia" w:ascii="宋体" w:hAnsi="宋体" w:cs="宋体"/>
                <w:color w:val="auto"/>
                <w:sz w:val="24"/>
                <w:szCs w:val="21"/>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6</w:t>
            </w:r>
            <w:r/>
          </w:p>
        </w:tc>
      </w:tr>
      <w:tr>
        <w:trPr>
          <w:trHeight w:val="2016"/>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widowControl/>
              <w:rPr>
                <w:rFonts w:ascii="Times New Roman" w:hAnsi="Times New Roman"/>
                <w:color w:val="auto"/>
                <w:sz w:val="24"/>
                <w:szCs w:val="21"/>
                <w:highlight w:val="none"/>
              </w:rPr>
            </w:pPr>
            <w:r>
              <w:rPr>
                <w:rFonts w:ascii="Times New Roman" w:hAnsi="Times New Roman"/>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b/>
                <w:bCs/>
                <w:color w:val="auto"/>
                <w:sz w:val="24"/>
                <w:szCs w:val="21"/>
                <w:highlight w:val="none"/>
              </w:rPr>
              <w:t xml:space="preserve">售后服务方案：</w:t>
            </w:r>
            <w:r>
              <w:rPr>
                <w:rFonts w:ascii="宋体" w:hAnsi="宋体" w:cs="宋体"/>
                <w:b/>
                <w:bCs/>
                <w:color w:val="auto"/>
                <w:sz w:val="24"/>
                <w:szCs w:val="21"/>
                <w:highlight w:val="none"/>
              </w:rPr>
              <w:br/>
            </w:r>
            <w:r>
              <w:rPr>
                <w:rFonts w:ascii="宋体" w:hAnsi="宋体" w:cs="宋体"/>
                <w:color w:val="auto"/>
                <w:sz w:val="24"/>
                <w:szCs w:val="21"/>
                <w:highlight w:val="none"/>
              </w:rPr>
              <w:t xml:space="preserve">根据供应商提供售后服务方案（服务期内维护保养内容</w:t>
            </w:r>
            <w:r>
              <w:rPr>
                <w:rFonts w:hint="eastAsia" w:ascii="宋体" w:hAnsi="宋体" w:cs="宋体"/>
                <w:color w:val="auto"/>
                <w:sz w:val="24"/>
                <w:szCs w:val="21"/>
                <w:highlight w:val="none"/>
              </w:rPr>
              <w:t xml:space="preserve">、</w:t>
            </w:r>
            <w:r>
              <w:rPr>
                <w:rFonts w:ascii="宋体" w:hAnsi="宋体" w:cs="宋体"/>
                <w:color w:val="auto"/>
                <w:sz w:val="24"/>
                <w:szCs w:val="21"/>
                <w:highlight w:val="none"/>
              </w:rPr>
              <w:t xml:space="preserve">服务期内维护保养</w:t>
            </w:r>
            <w:r>
              <w:rPr>
                <w:rFonts w:hint="eastAsia" w:ascii="宋体" w:hAnsi="宋体" w:cs="宋体"/>
                <w:color w:val="auto"/>
                <w:sz w:val="24"/>
                <w:szCs w:val="21"/>
                <w:highlight w:val="none"/>
              </w:rPr>
              <w:t xml:space="preserve">措施、</w:t>
            </w:r>
            <w:r>
              <w:rPr>
                <w:rFonts w:ascii="宋体" w:hAnsi="宋体" w:cs="宋体"/>
                <w:color w:val="auto"/>
                <w:sz w:val="24"/>
                <w:szCs w:val="21"/>
                <w:highlight w:val="none"/>
              </w:rPr>
              <w:t xml:space="preserve">服务期内维护保养的备品备件配置</w:t>
            </w:r>
            <w:r>
              <w:rPr>
                <w:rFonts w:hint="eastAsia" w:ascii="宋体" w:hAnsi="宋体" w:cs="宋体"/>
                <w:color w:val="auto"/>
                <w:sz w:val="24"/>
                <w:szCs w:val="21"/>
                <w:highlight w:val="none"/>
              </w:rPr>
              <w:t xml:space="preserve">、服务期内的</w:t>
            </w:r>
            <w:r>
              <w:rPr>
                <w:rFonts w:ascii="宋体" w:hAnsi="宋体" w:cs="宋体"/>
                <w:color w:val="auto"/>
                <w:sz w:val="24"/>
                <w:szCs w:val="21"/>
                <w:highlight w:val="none"/>
              </w:rPr>
              <w:t xml:space="preserve">工具、器材、人员管理</w:t>
            </w:r>
            <w:r>
              <w:rPr>
                <w:rFonts w:hint="eastAsia" w:ascii="宋体" w:hAnsi="宋体" w:cs="宋体"/>
                <w:color w:val="auto"/>
                <w:sz w:val="24"/>
                <w:szCs w:val="21"/>
                <w:highlight w:val="none"/>
              </w:rPr>
              <w:t xml:space="preserve">要求、</w:t>
            </w:r>
            <w:r>
              <w:rPr>
                <w:rFonts w:ascii="宋体" w:hAnsi="宋体" w:cs="宋体"/>
                <w:color w:val="auto"/>
                <w:sz w:val="24"/>
                <w:szCs w:val="21"/>
                <w:highlight w:val="none"/>
              </w:rPr>
              <w:t xml:space="preserve">突发事件</w:t>
            </w:r>
            <w:r>
              <w:rPr>
                <w:rFonts w:hint="eastAsia" w:ascii="宋体" w:hAnsi="宋体" w:cs="宋体"/>
                <w:color w:val="auto"/>
                <w:sz w:val="24"/>
                <w:szCs w:val="21"/>
                <w:highlight w:val="none"/>
              </w:rPr>
              <w:t xml:space="preserve">应对措施</w:t>
            </w:r>
            <w:r>
              <w:rPr>
                <w:rFonts w:ascii="宋体" w:hAnsi="宋体" w:cs="宋体"/>
                <w:color w:val="auto"/>
                <w:sz w:val="24"/>
                <w:szCs w:val="21"/>
                <w:highlight w:val="none"/>
              </w:rPr>
              <w:t xml:space="preserve">以及任务保障方案</w:t>
            </w:r>
            <w:r>
              <w:rPr>
                <w:rFonts w:hint="eastAsia" w:ascii="宋体" w:hAnsi="宋体" w:cs="宋体"/>
                <w:color w:val="auto"/>
                <w:sz w:val="24"/>
                <w:szCs w:val="21"/>
                <w:highlight w:val="none"/>
              </w:rPr>
              <w:t xml:space="preserve">等</w:t>
            </w:r>
            <w:r>
              <w:rPr>
                <w:rFonts w:ascii="宋体" w:hAnsi="宋体" w:cs="宋体"/>
                <w:color w:val="auto"/>
                <w:sz w:val="24"/>
                <w:szCs w:val="21"/>
                <w:highlight w:val="none"/>
              </w:rPr>
              <w:t xml:space="preserve">）进行综合评审：</w:t>
            </w:r>
            <w:r>
              <w:rPr>
                <w:rFonts w:ascii="宋体" w:hAnsi="宋体" w:cs="宋体"/>
                <w:color w:val="auto"/>
                <w:sz w:val="24"/>
                <w:szCs w:val="21"/>
                <w:highlight w:val="none"/>
              </w:rPr>
              <w:br/>
            </w:r>
            <w:r>
              <w:rPr>
                <w:rFonts w:hint="eastAsia" w:ascii="宋体" w:hAnsi="宋体" w:cs="宋体"/>
                <w:color w:val="auto"/>
                <w:sz w:val="24"/>
                <w:szCs w:val="21"/>
                <w:highlight w:val="none"/>
              </w:rPr>
              <w:t xml:space="preserve">方案科学全面，合理完善，针对性、可操作性强的得</w:t>
            </w:r>
            <w:r>
              <w:rPr>
                <w:rFonts w:ascii="宋体" w:hAnsi="宋体" w:cs="宋体"/>
                <w:color w:val="auto"/>
                <w:sz w:val="24"/>
                <w:szCs w:val="21"/>
                <w:highlight w:val="none"/>
              </w:rPr>
              <w:t xml:space="preserve">6</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方案符合采购要求，基本合理完善，具有针对性、可操作性的得</w:t>
            </w:r>
            <w:r>
              <w:rPr>
                <w:rFonts w:ascii="宋体" w:hAnsi="宋体" w:cs="宋体"/>
                <w:color w:val="auto"/>
                <w:sz w:val="24"/>
                <w:szCs w:val="21"/>
                <w:highlight w:val="none"/>
              </w:rPr>
              <w:t xml:space="preserve">4</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方案简单粗糙、不具备针对性、可操作性的得</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分；</w:t>
            </w:r>
            <w:r/>
          </w:p>
          <w:p>
            <w:pPr>
              <w:widowControl/>
              <w:rPr>
                <w:rFonts w:ascii="宋体" w:hAnsi="宋体" w:cs="宋体"/>
                <w:b/>
                <w:bCs/>
                <w:color w:val="auto"/>
                <w:sz w:val="24"/>
                <w:szCs w:val="21"/>
                <w:highlight w:val="none"/>
              </w:rPr>
            </w:pPr>
            <w:r>
              <w:rPr>
                <w:rFonts w:hint="eastAsia" w:ascii="宋体" w:hAnsi="宋体" w:cs="宋体"/>
                <w:color w:val="auto"/>
                <w:sz w:val="24"/>
                <w:szCs w:val="21"/>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6</w:t>
            </w:r>
            <w:r/>
          </w:p>
        </w:tc>
      </w:tr>
      <w:tr>
        <w:trPr>
          <w:trHeight w:val="1728"/>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widowControl/>
              <w:rPr>
                <w:rFonts w:ascii="Times New Roman" w:hAnsi="Times New Roman"/>
                <w:color w:val="auto"/>
                <w:sz w:val="24"/>
                <w:szCs w:val="21"/>
                <w:highlight w:val="none"/>
              </w:rPr>
            </w:pPr>
            <w:r>
              <w:rPr>
                <w:rFonts w:ascii="Times New Roman" w:hAnsi="Times New Roman"/>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b/>
                <w:bCs/>
                <w:color w:val="auto"/>
                <w:sz w:val="24"/>
                <w:szCs w:val="21"/>
                <w:highlight w:val="none"/>
              </w:rPr>
              <w:t xml:space="preserve">培训方案：</w:t>
            </w:r>
            <w:r>
              <w:rPr>
                <w:rFonts w:ascii="宋体" w:hAnsi="宋体" w:cs="宋体"/>
                <w:b/>
                <w:bCs/>
                <w:color w:val="auto"/>
                <w:sz w:val="24"/>
                <w:szCs w:val="21"/>
                <w:highlight w:val="none"/>
              </w:rPr>
              <w:br/>
            </w:r>
            <w:r>
              <w:rPr>
                <w:rFonts w:ascii="宋体" w:hAnsi="宋体" w:cs="宋体"/>
                <w:color w:val="auto"/>
                <w:sz w:val="24"/>
                <w:szCs w:val="21"/>
                <w:highlight w:val="none"/>
              </w:rPr>
              <w:t xml:space="preserve">根据供应商提供的培训方案（包含培训计划、培训师资力量、培训内容及时间等）进行综合评审：</w:t>
            </w:r>
            <w:r>
              <w:rPr>
                <w:rFonts w:ascii="宋体" w:hAnsi="宋体" w:cs="宋体"/>
                <w:color w:val="auto"/>
                <w:sz w:val="24"/>
                <w:szCs w:val="21"/>
                <w:highlight w:val="none"/>
              </w:rPr>
              <w:br/>
            </w:r>
            <w:r>
              <w:rPr>
                <w:rFonts w:hint="eastAsia" w:ascii="宋体" w:hAnsi="宋体" w:cs="宋体"/>
                <w:color w:val="auto"/>
                <w:sz w:val="24"/>
                <w:szCs w:val="21"/>
                <w:highlight w:val="none"/>
              </w:rPr>
              <w:t xml:space="preserve">方案科学全面，合理完善，针对性、可操作性强的得</w:t>
            </w:r>
            <w:r>
              <w:rPr>
                <w:rFonts w:ascii="宋体" w:hAnsi="宋体" w:cs="宋体"/>
                <w:color w:val="auto"/>
                <w:sz w:val="24"/>
                <w:szCs w:val="21"/>
                <w:highlight w:val="none"/>
              </w:rPr>
              <w:t xml:space="preserve">6</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方案符合采购要求，基本合理完善，具有针对性、可操作性的得</w:t>
            </w:r>
            <w:r>
              <w:rPr>
                <w:rFonts w:ascii="宋体" w:hAnsi="宋体" w:cs="宋体"/>
                <w:color w:val="auto"/>
                <w:sz w:val="24"/>
                <w:szCs w:val="21"/>
                <w:highlight w:val="none"/>
              </w:rPr>
              <w:t xml:space="preserve">4</w:t>
            </w:r>
            <w:r>
              <w:rPr>
                <w:rFonts w:hint="eastAsia" w:ascii="宋体" w:hAnsi="宋体" w:cs="宋体"/>
                <w:color w:val="auto"/>
                <w:sz w:val="24"/>
                <w:szCs w:val="21"/>
                <w:highlight w:val="none"/>
              </w:rPr>
              <w:t xml:space="preserve">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方案简单粗糙、不具备针对性、可操作性的得</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分；</w:t>
            </w:r>
            <w:r/>
          </w:p>
          <w:p>
            <w:pPr>
              <w:widowControl/>
              <w:rPr>
                <w:rFonts w:ascii="宋体" w:hAnsi="宋体" w:cs="宋体"/>
                <w:b/>
                <w:bCs/>
                <w:color w:val="auto"/>
                <w:sz w:val="24"/>
                <w:szCs w:val="21"/>
                <w:highlight w:val="none"/>
              </w:rPr>
            </w:pPr>
            <w:r>
              <w:rPr>
                <w:rFonts w:hint="eastAsia" w:ascii="宋体" w:hAnsi="宋体" w:cs="宋体"/>
                <w:color w:val="auto"/>
                <w:sz w:val="24"/>
                <w:szCs w:val="21"/>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6</w:t>
            </w:r>
            <w:r/>
          </w:p>
        </w:tc>
      </w:tr>
      <w:tr>
        <w:trPr>
          <w:trHeight w:val="1440"/>
        </w:trPr>
        <w:tc>
          <w:tcPr>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widowControl/>
              <w:rPr>
                <w:rFonts w:ascii="Times New Roman" w:hAnsi="Times New Roman"/>
                <w:color w:val="auto"/>
                <w:sz w:val="24"/>
                <w:szCs w:val="21"/>
                <w:highlight w:val="none"/>
              </w:rPr>
            </w:pPr>
            <w:r>
              <w:rPr>
                <w:rFonts w:ascii="Times New Roman" w:hAnsi="Times New Roman"/>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702" w:type="pct"/>
            <w:vAlign w:val="center"/>
            <w:vMerge w:val="continue"/>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000000" w:sz="4" w:space="0"/>
              <w:left w:val="single" w:color="000000" w:sz="4" w:space="0"/>
              <w:bottom w:val="non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b/>
                <w:bCs/>
                <w:color w:val="auto"/>
                <w:sz w:val="24"/>
                <w:szCs w:val="21"/>
                <w:highlight w:val="none"/>
              </w:rPr>
              <w:t xml:space="preserve">项目组团队人员：</w:t>
            </w:r>
            <w:r>
              <w:rPr>
                <w:rFonts w:ascii="宋体" w:hAnsi="宋体" w:cs="宋体"/>
                <w:b/>
                <w:bCs/>
                <w:color w:val="auto"/>
                <w:sz w:val="24"/>
                <w:szCs w:val="21"/>
                <w:highlight w:val="none"/>
              </w:rPr>
              <w:br/>
            </w:r>
            <w:r>
              <w:rPr>
                <w:rFonts w:hint="eastAsia" w:ascii="宋体" w:hAnsi="宋体" w:cs="宋体"/>
                <w:color w:val="auto"/>
                <w:sz w:val="24"/>
                <w:szCs w:val="21"/>
                <w:highlight w:val="none"/>
              </w:rPr>
              <w:t xml:space="preserve">1.</w:t>
            </w:r>
            <w:r>
              <w:rPr>
                <w:rFonts w:ascii="宋体" w:hAnsi="宋体" w:cs="宋体"/>
                <w:color w:val="auto"/>
                <w:sz w:val="24"/>
                <w:szCs w:val="21"/>
                <w:highlight w:val="none"/>
              </w:rPr>
              <w:t xml:space="preserve"> </w:t>
            </w:r>
            <w:r>
              <w:rPr>
                <w:rFonts w:hint="eastAsia" w:ascii="宋体" w:hAnsi="宋体" w:cs="宋体"/>
                <w:color w:val="auto"/>
                <w:sz w:val="24"/>
                <w:szCs w:val="21"/>
                <w:highlight w:val="none"/>
              </w:rPr>
              <w:t xml:space="preserve">项目经理：本项目的项目经理具有高级工程师证书（电子信息类）、一级建造师证书（机电工程专业）、IT服务工程师证书、</w:t>
            </w:r>
            <w:r>
              <w:rPr>
                <w:rFonts w:ascii="宋体" w:hAnsi="宋体" w:cs="宋体"/>
                <w:color w:val="auto"/>
                <w:sz w:val="24"/>
                <w:szCs w:val="21"/>
                <w:highlight w:val="none"/>
              </w:rPr>
              <w:t xml:space="preserve">注册信息安全专业人员</w:t>
            </w:r>
            <w:r>
              <w:rPr>
                <w:rFonts w:hint="eastAsia" w:ascii="宋体" w:hAnsi="宋体" w:cs="宋体"/>
                <w:color w:val="auto"/>
                <w:sz w:val="24"/>
                <w:szCs w:val="21"/>
                <w:highlight w:val="none"/>
              </w:rPr>
              <w:t xml:space="preserve">CISP证书的，每提供一个证书得2分，满分8分；</w:t>
            </w:r>
            <w:r/>
          </w:p>
          <w:p>
            <w:pP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2</w:t>
            </w:r>
            <w:r>
              <w:rPr>
                <w:rFonts w:ascii="宋体" w:hAnsi="宋体" w:cs="宋体"/>
                <w:color w:val="auto"/>
                <w:sz w:val="24"/>
                <w:szCs w:val="21"/>
                <w:highlight w:val="none"/>
              </w:rPr>
              <w:t xml:space="preserve">. </w:t>
            </w:r>
            <w:r>
              <w:rPr>
                <w:rFonts w:hint="eastAsia" w:ascii="宋体" w:hAnsi="宋体" w:cs="宋体"/>
                <w:color w:val="auto"/>
                <w:sz w:val="24"/>
                <w:szCs w:val="21"/>
                <w:highlight w:val="none"/>
              </w:rPr>
              <w:t xml:space="preserve">技术负责人：本项目的技术负责人具有CISAW信息安全保障人员(安全运维)证书、系统集成项目管理工程师证书、信息系统项目管理师证书、</w:t>
            </w:r>
            <w:r>
              <w:rPr>
                <w:rFonts w:ascii="宋体" w:hAnsi="宋体" w:cs="宋体"/>
                <w:color w:val="auto"/>
                <w:sz w:val="24"/>
                <w:szCs w:val="21"/>
                <w:highlight w:val="none"/>
              </w:rPr>
              <w:t xml:space="preserve">通信专业技术人员职业资格</w:t>
            </w:r>
            <w:r>
              <w:rPr>
                <w:rFonts w:hint="eastAsia" w:ascii="宋体" w:hAnsi="宋体" w:cs="宋体"/>
                <w:color w:val="auto"/>
                <w:sz w:val="24"/>
                <w:szCs w:val="21"/>
                <w:highlight w:val="none"/>
              </w:rPr>
              <w:t xml:space="preserve">证书的，每提供一个证书得2分，满分8分。</w:t>
            </w:r>
            <w:r/>
          </w:p>
          <w:p>
            <w:pPr>
              <w:widowControl/>
              <w:rPr>
                <w:rFonts w:ascii="宋体" w:hAnsi="宋体" w:cs="宋体"/>
                <w:b/>
                <w:bCs/>
                <w:color w:val="auto"/>
                <w:sz w:val="24"/>
                <w:szCs w:val="21"/>
                <w:highlight w:val="none"/>
              </w:rPr>
            </w:pPr>
            <w:r>
              <w:rPr>
                <w:rFonts w:ascii="宋体" w:hAnsi="宋体" w:cs="宋体"/>
                <w:color w:val="auto"/>
                <w:sz w:val="24"/>
                <w:szCs w:val="21"/>
                <w:highlight w:val="none"/>
              </w:rPr>
              <w:t xml:space="preserve">（</w:t>
            </w:r>
            <w:r>
              <w:rPr>
                <w:rFonts w:hint="eastAsia" w:ascii="宋体" w:hAnsi="宋体" w:cs="宋体"/>
                <w:color w:val="auto"/>
                <w:sz w:val="24"/>
                <w:szCs w:val="21"/>
                <w:highlight w:val="none"/>
              </w:rPr>
              <w:t xml:space="preserve">需同时提供</w:t>
            </w:r>
            <w:r>
              <w:rPr>
                <w:rFonts w:ascii="宋体" w:hAnsi="宋体" w:cs="宋体"/>
                <w:color w:val="auto"/>
                <w:sz w:val="24"/>
                <w:szCs w:val="21"/>
                <w:highlight w:val="none"/>
              </w:rPr>
              <w:t xml:space="preserve">社保机构出具的近半年</w:t>
            </w:r>
            <w:r>
              <w:rPr>
                <w:rFonts w:hint="eastAsia" w:ascii="宋体" w:hAnsi="宋体" w:cs="宋体"/>
                <w:color w:val="auto"/>
                <w:sz w:val="24"/>
                <w:szCs w:val="21"/>
                <w:highlight w:val="none"/>
              </w:rPr>
              <w:t xml:space="preserve">内</w:t>
            </w: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026年4</w:t>
            </w:r>
            <w:r>
              <w:rPr>
                <w:rFonts w:hint="eastAsia" w:ascii="宋体" w:hAnsi="宋体"/>
                <w:color w:val="auto"/>
                <w:sz w:val="24"/>
                <w:szCs w:val="24"/>
                <w:highlight w:val="none"/>
              </w:rPr>
              <w:t xml:space="preserve">月以来</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任一个月</w:t>
            </w:r>
            <w:r>
              <w:rPr>
                <w:rFonts w:ascii="宋体" w:hAnsi="宋体" w:cs="宋体"/>
                <w:color w:val="auto"/>
                <w:sz w:val="24"/>
                <w:szCs w:val="21"/>
                <w:highlight w:val="none"/>
              </w:rPr>
              <w:t xml:space="preserve">供应商为其缴纳的养老保险缴费证明（需明确缴费月份、个人姓名、缴费单位）材料并加盖社保中心章或社保中心参保缴费证明电子专用章及有效期内的劳动合同）</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16</w:t>
            </w:r>
            <w:r/>
          </w:p>
        </w:tc>
      </w:tr>
      <w:tr>
        <w:trPr>
          <w:trHeight w:val="557"/>
        </w:trPr>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ascii="Times New Roman" w:hAnsi="Times New Roman"/>
                <w:color w:val="auto"/>
                <w:sz w:val="24"/>
                <w:szCs w:val="21"/>
                <w:highlight w:val="none"/>
              </w:rPr>
            </w:pPr>
            <w:r>
              <w:rPr>
                <w:rFonts w:ascii="Times New Roman" w:hAnsi="Times New Roman"/>
                <w:color w:val="auto"/>
                <w:sz w:val="24"/>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center"/>
              <w:widowControl/>
              <w:rPr>
                <w:rFonts w:ascii="宋体" w:hAnsi="宋体" w:cs="宋体"/>
                <w:color w:val="auto"/>
                <w:sz w:val="24"/>
                <w:szCs w:val="21"/>
                <w:highlight w:val="none"/>
              </w:rPr>
            </w:pPr>
            <w:r>
              <w:rPr>
                <w:rFonts w:ascii="宋体" w:hAnsi="宋体" w:cs="宋体"/>
                <w:color w:val="auto"/>
                <w:sz w:val="24"/>
                <w:szCs w:val="21"/>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widowControl/>
              <w:rPr>
                <w:rFonts w:ascii="宋体" w:hAnsi="宋体" w:cs="宋体"/>
                <w:color w:val="auto"/>
                <w:sz w:val="24"/>
                <w:szCs w:val="21"/>
                <w:highlight w:val="none"/>
              </w:rPr>
            </w:pPr>
            <w:r>
              <w:rPr>
                <w:rFonts w:ascii="宋体" w:hAnsi="宋体" w:cs="宋体"/>
                <w:color w:val="auto"/>
                <w:sz w:val="24"/>
                <w:szCs w:val="21"/>
                <w:highlight w:val="none"/>
              </w:rPr>
              <w:t xml:space="preserve">供应商提供自</w:t>
            </w:r>
            <w:r>
              <w:rPr>
                <w:rFonts w:ascii="Times New Roman" w:hAnsi="Times New Roman"/>
                <w:color w:val="auto"/>
                <w:sz w:val="24"/>
                <w:szCs w:val="21"/>
                <w:highlight w:val="none"/>
              </w:rPr>
              <w:t xml:space="preserve">2023</w:t>
            </w:r>
            <w:r>
              <w:rPr>
                <w:rFonts w:ascii="宋体" w:hAnsi="宋体" w:cs="宋体"/>
                <w:color w:val="auto"/>
                <w:sz w:val="24"/>
                <w:szCs w:val="21"/>
                <w:highlight w:val="none"/>
              </w:rPr>
              <w:t xml:space="preserve">年</w:t>
            </w:r>
            <w:r>
              <w:rPr>
                <w:rFonts w:ascii="Times New Roman" w:hAnsi="Times New Roman"/>
                <w:color w:val="auto"/>
                <w:sz w:val="24"/>
                <w:szCs w:val="21"/>
                <w:highlight w:val="none"/>
              </w:rPr>
              <w:t xml:space="preserve">01</w:t>
            </w:r>
            <w:r>
              <w:rPr>
                <w:rFonts w:ascii="宋体" w:hAnsi="宋体" w:cs="宋体"/>
                <w:color w:val="auto"/>
                <w:sz w:val="24"/>
                <w:szCs w:val="21"/>
                <w:highlight w:val="none"/>
              </w:rPr>
              <w:t xml:space="preserve">月</w:t>
            </w:r>
            <w:r>
              <w:rPr>
                <w:rFonts w:ascii="Times New Roman" w:hAnsi="Times New Roman"/>
                <w:color w:val="auto"/>
                <w:sz w:val="24"/>
                <w:szCs w:val="21"/>
                <w:highlight w:val="none"/>
              </w:rPr>
              <w:t xml:space="preserve">01</w:t>
            </w:r>
            <w:r>
              <w:rPr>
                <w:rFonts w:ascii="宋体" w:hAnsi="宋体" w:cs="宋体"/>
                <w:color w:val="auto"/>
                <w:sz w:val="24"/>
                <w:szCs w:val="21"/>
                <w:highlight w:val="none"/>
              </w:rPr>
              <w:t xml:space="preserve">日以来承担过类似供货业绩</w:t>
            </w:r>
            <w:r>
              <w:rPr>
                <w:rFonts w:hint="eastAsia" w:ascii="宋体" w:hAnsi="宋体" w:cs="宋体"/>
                <w:color w:val="auto"/>
                <w:sz w:val="24"/>
                <w:szCs w:val="21"/>
                <w:highlight w:val="none"/>
              </w:rPr>
              <w:t xml:space="preserve">，每提供一个</w:t>
            </w:r>
            <w:r>
              <w:rPr>
                <w:rFonts w:ascii="宋体" w:hAnsi="宋体" w:cs="宋体"/>
                <w:color w:val="auto"/>
                <w:sz w:val="24"/>
                <w:szCs w:val="21"/>
                <w:highlight w:val="none"/>
              </w:rPr>
              <w:t xml:space="preserve">得</w:t>
            </w:r>
            <w:r>
              <w:rPr>
                <w:rFonts w:hint="eastAsia" w:ascii="Times New Roman" w:hAnsi="Times New Roman"/>
                <w:color w:val="auto"/>
                <w:sz w:val="24"/>
                <w:szCs w:val="21"/>
                <w:highlight w:val="none"/>
              </w:rPr>
              <w:t xml:space="preserve">1</w:t>
            </w:r>
            <w:r>
              <w:rPr>
                <w:rFonts w:ascii="宋体" w:hAnsi="宋体" w:cs="宋体"/>
                <w:color w:val="auto"/>
                <w:sz w:val="24"/>
                <w:szCs w:val="21"/>
                <w:highlight w:val="none"/>
              </w:rPr>
              <w:t xml:space="preserve">分，最多得</w:t>
            </w:r>
            <w:r>
              <w:rPr>
                <w:rFonts w:hint="eastAsia" w:ascii="Times New Roman" w:hAnsi="Times New Roman"/>
                <w:color w:val="auto"/>
                <w:sz w:val="24"/>
                <w:szCs w:val="21"/>
                <w:highlight w:val="none"/>
              </w:rPr>
              <w:t xml:space="preserve">2</w:t>
            </w:r>
            <w:r>
              <w:rPr>
                <w:rFonts w:ascii="宋体" w:hAnsi="宋体" w:cs="宋体"/>
                <w:color w:val="auto"/>
                <w:sz w:val="24"/>
                <w:szCs w:val="21"/>
                <w:highlight w:val="none"/>
              </w:rPr>
              <w:t xml:space="preserve">分。</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提供合同、中标</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成交</w:t>
            </w:r>
            <w:r>
              <w:rPr>
                <w:rFonts w:ascii="Times New Roman" w:hAnsi="Times New Roman"/>
                <w:color w:val="auto"/>
                <w:sz w:val="24"/>
                <w:szCs w:val="21"/>
                <w:highlight w:val="none"/>
              </w:rPr>
              <w:t xml:space="preserve">)</w:t>
            </w:r>
            <w:r>
              <w:rPr>
                <w:rFonts w:ascii="宋体" w:hAnsi="宋体" w:cs="宋体"/>
                <w:color w:val="auto"/>
                <w:sz w:val="24"/>
                <w:szCs w:val="21"/>
                <w:highlight w:val="none"/>
              </w:rPr>
              <w:t xml:space="preserve">通知书复印件加盖供应商公章，时间以合同签订时间为准，提供的证明材料须能反应相关数据和内容，有缺项或无法认定的不得分</w:t>
            </w:r>
            <w:r>
              <w:rPr>
                <w:rFonts w:ascii="Times New Roman" w:hAnsi="Times New Roman"/>
                <w:color w:val="auto"/>
                <w:sz w:val="24"/>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4475" w:type="pct"/>
            <w:vAlign w:val="center"/>
            <w:textDirection w:val="lrTb"/>
            <w:noWrap w:val="false"/>
          </w:tcPr>
          <w:p>
            <w:pPr>
              <w:jc w:val="center"/>
              <w:widowControl/>
              <w:rPr>
                <w:rFonts w:ascii="宋体" w:hAnsi="宋体" w:cs="宋体"/>
                <w:b/>
                <w:bCs/>
                <w:color w:val="auto"/>
                <w:sz w:val="24"/>
                <w:szCs w:val="21"/>
                <w:highlight w:val="none"/>
              </w:rPr>
            </w:pPr>
            <w:r>
              <w:rPr>
                <w:rFonts w:ascii="宋体" w:hAnsi="宋体" w:cs="宋体"/>
                <w:b/>
                <w:bCs/>
                <w:color w:val="auto"/>
                <w:sz w:val="24"/>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widowControl/>
              <w:rPr>
                <w:rFonts w:ascii="Times New Roman" w:hAnsi="Times New Roman"/>
                <w:b/>
                <w:bCs/>
                <w:color w:val="auto"/>
                <w:sz w:val="24"/>
                <w:szCs w:val="21"/>
                <w:highlight w:val="none"/>
              </w:rPr>
            </w:pPr>
            <w:r>
              <w:rPr>
                <w:rFonts w:ascii="Times New Roman" w:hAnsi="Times New Roman"/>
                <w:b/>
                <w:bCs/>
                <w:color w:val="auto"/>
                <w:sz w:val="24"/>
                <w:szCs w:val="21"/>
                <w:highlight w:val="none"/>
              </w:rPr>
              <w:t xml:space="preserve">100</w:t>
            </w:r>
            <w:r/>
          </w:p>
        </w:tc>
      </w:tr>
    </w:tbl>
    <w:p>
      <w:pPr>
        <w:rPr>
          <w:color w:val="auto"/>
          <w:highlight w:val="none"/>
        </w:rPr>
      </w:pPr>
      <w:r>
        <w:rPr>
          <w:color w:val="auto"/>
          <w:highlight w:val="none"/>
        </w:rPr>
      </w:r>
      <w:r/>
    </w:p>
    <w:p>
      <w:pPr>
        <w:pStyle w:val="628"/>
        <w:pageBreakBefore w:val="0"/>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二、小微企业价格扣除</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小微型企业价格扣除</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（1）本项目对小微企业提供的服务给予10%的扣除，用扣除后的价格参与评审。</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（2）企业按照采购文件的要求提供相应的《中小企业声明函》。</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残疾人福利单位价格扣除</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（1）本项目对残疾人福利性单位视同小型、微型企业，给予与小微企业相同的价格扣除，用扣除后的价格参与评审。</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监狱和戒毒企业价格扣除</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（1）本项目对监狱和戒毒企业（简称监狱企业）视同小型、微型企业，给予与小微企业相同的价格扣除，用扣除后的价格参与评审。</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（3）监狱企业标准请参照《关于政府采购支持监狱企业发展有关问题的通知》（财库[2014]68号）。</w:t>
      </w:r>
      <w:r/>
    </w:p>
    <w:p>
      <w:pPr>
        <w:ind w:firstLine="477"/>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残疾人福利单位、监狱企业属于小型、微型企业的，不重复享受政策。</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上述价格扣除政策仅适用“不专门面向中小微企业采购项目”。</w:t>
      </w:r>
      <w:r/>
    </w:p>
    <w:p>
      <w:pPr>
        <w:ind w:firstLine="477"/>
        <w:pageBreakBefore w:val="0"/>
        <w:spacing w:line="440" w:lineRule="exact"/>
        <w:rPr>
          <w:color w:val="auto"/>
          <w:sz w:val="21"/>
          <w:szCs w:val="20"/>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本项目采购标的对应的中小企业划分标准所属行业为：工业，根据《中小企业划型标准规定》工信部联企业〔2011〕300号规定落实。</w:t>
      </w:r>
      <w:r/>
    </w:p>
    <w:p>
      <w:pPr>
        <w:pStyle w:val="628"/>
        <w:pageBreakBefore w:val="0"/>
        <w:spacing w:before="0"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三．本国产品价格扣除</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1.本项目如既有本国产品又有非本国产品参与竞争，依法对本国产品给予价格评审优惠，对本国产品的报价给予20%的价格扣除，用扣除后的价格参与评审。</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auto"/>
          <w:sz w:val="24"/>
          <w:szCs w:val="24"/>
          <w:highlight w:val="none"/>
        </w:rPr>
        <w:t xml:space="preserve">且供应商在投标（响应）文件中对此作出承诺的（按照采购文件要求在《投标分项报价表》中作出承诺）</w:t>
      </w:r>
      <w:r>
        <w:rPr>
          <w:rFonts w:hint="eastAsia" w:ascii="宋体" w:hAnsi="宋体" w:cs="宋体"/>
          <w:color w:val="auto"/>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cs="宋体"/>
          <w:b/>
          <w:bCs/>
          <w:color w:val="auto"/>
          <w:sz w:val="24"/>
          <w:szCs w:val="24"/>
          <w:highlight w:val="none"/>
        </w:rPr>
        <w:t xml:space="preserve">全部产品是指货物或服务采购项目或采购包中包含的全部货物、服务产品。</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pageBreakBefore w:val="0"/>
        <w:spacing w:line="440" w:lineRule="exact"/>
        <w:widowControl/>
        <w:rPr>
          <w:rFonts w:ascii="宋体" w:hAnsi="宋体"/>
          <w:b/>
          <w:bCs/>
          <w:color w:val="auto"/>
          <w:sz w:val="24"/>
          <w:szCs w:val="24"/>
          <w:highlight w:val="none"/>
          <w:lang w:val="zh-CN"/>
        </w:rPr>
      </w:pP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pageBreakBefore w:val="0"/>
        <w:spacing w:line="440" w:lineRule="exact"/>
        <w:rPr>
          <w:rFonts w:ascii="宋体"/>
          <w:color w:val="auto"/>
          <w:sz w:val="21"/>
          <w:szCs w:val="20"/>
          <w:highlight w:val="none"/>
          <w:lang w:val="zh-CN"/>
        </w:rPr>
      </w:pPr>
      <w:r>
        <w:rPr>
          <w:rFonts w:ascii="宋体"/>
          <w:color w:val="auto"/>
          <w:sz w:val="21"/>
          <w:szCs w:val="20"/>
          <w:highlight w:val="none"/>
          <w:lang w:val="zh-CN"/>
        </w:rPr>
      </w:r>
      <w:r/>
    </w:p>
    <w:p>
      <w:pPr>
        <w:pStyle w:val="628"/>
        <w:pageBreakBefore w:val="0"/>
        <w:spacing w:before="0" w:after="0"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四、其他</w:t>
      </w:r>
      <w:r/>
    </w:p>
    <w:p>
      <w:pPr>
        <w:ind w:firstLine="477"/>
        <w:pageBreakBefore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1．所有认证、证明和业绩均以有效的证明文件复印件为依据。</w:t>
      </w:r>
      <w:r/>
    </w:p>
    <w:p>
      <w:pPr>
        <w:rPr>
          <w:color w:val="auto"/>
          <w:highlight w:val="none"/>
        </w:rPr>
      </w:pPr>
      <w:r/>
      <w:bookmarkStart w:id="57" w:name="_Hlt16619350"/>
      <w:r/>
      <w:bookmarkStart w:id="58" w:name="_Toc70092494"/>
      <w:r/>
      <w:bookmarkStart w:id="59" w:name="_Toc16938590"/>
      <w:r/>
      <w:bookmarkStart w:id="60" w:name="_Toc20823346"/>
      <w:r/>
      <w:bookmarkStart w:id="61" w:name="_Toc70092119"/>
      <w:r/>
      <w:bookmarkStart w:id="62" w:name="_Toc236991656"/>
      <w:r/>
      <w:bookmarkStart w:id="63" w:name="_Toc112330106"/>
      <w:r/>
      <w:bookmarkStart w:id="64" w:name="_Toc120614244"/>
      <w:r/>
      <w:bookmarkStart w:id="65" w:name="_Toc26166"/>
      <w:r/>
      <w:r/>
    </w:p>
    <w:p>
      <w:pPr>
        <w:pStyle w:val="627"/>
        <w:jc w:val="center"/>
        <w:spacing w:before="120" w:after="120" w:line="360" w:lineRule="auto"/>
        <w:rPr>
          <w:color w:val="auto"/>
          <w:highlight w:val="none"/>
        </w:rPr>
      </w:pPr>
      <w:r>
        <w:rPr>
          <w:rFonts w:hint="eastAsia"/>
          <w:color w:val="auto"/>
          <w:highlight w:val="none"/>
        </w:rPr>
        <w:t xml:space="preserve">第</w:t>
      </w:r>
      <w:bookmarkEnd w:id="57"/>
      <w:r>
        <w:rPr>
          <w:rFonts w:hint="eastAsia"/>
          <w:color w:val="auto"/>
          <w:highlight w:val="none"/>
        </w:rPr>
        <w:t xml:space="preserve">四章  项目需求</w:t>
      </w:r>
      <w:bookmarkEnd w:id="58"/>
      <w:r/>
      <w:bookmarkEnd w:id="59"/>
      <w:r/>
      <w:bookmarkEnd w:id="60"/>
      <w:r/>
      <w:bookmarkEnd w:id="61"/>
      <w:r/>
      <w:bookmarkEnd w:id="62"/>
      <w:r/>
      <w:bookmarkEnd w:id="63"/>
      <w:r/>
      <w:bookmarkEnd w:id="64"/>
      <w:r/>
      <w:r/>
    </w:p>
    <w:p>
      <w:pPr>
        <w:rPr>
          <w:color w:val="auto"/>
          <w:highlight w:val="none"/>
        </w:rPr>
      </w:pPr>
      <w:r>
        <w:rPr>
          <w:color w:val="auto"/>
          <w:highlight w:val="none"/>
        </w:rPr>
      </w:r>
      <w:r/>
    </w:p>
    <w:p>
      <w:pPr>
        <w:ind w:firstLine="420"/>
        <w:spacing w:line="360" w:lineRule="auto"/>
        <w:rPr>
          <w:rFonts w:ascii="宋体" w:hAnsi="宋体"/>
          <w:color w:val="auto"/>
          <w:sz w:val="28"/>
          <w:highlight w:val="none"/>
          <w:lang w:val="zh-CN"/>
        </w:rPr>
      </w:pPr>
      <w:r/>
      <w:bookmarkStart w:id="66" w:name="_Toc112330107"/>
      <w:r>
        <w:rPr>
          <w:rFonts w:hint="eastAsia" w:ascii="宋体" w:hAnsi="宋体"/>
          <w:color w:val="auto"/>
          <w:sz w:val="28"/>
          <w:highlight w:val="none"/>
          <w:lang w:val="zh-CN"/>
        </w:rPr>
        <w:t xml:space="preserve">项目属性：货物类项目。</w:t>
      </w:r>
      <w:r/>
    </w:p>
    <w:p>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一、</w:t>
      </w:r>
      <w:r>
        <w:rPr>
          <w:rFonts w:ascii="宋体" w:hAnsi="宋体"/>
          <w:b/>
          <w:bCs/>
          <w:color w:val="auto"/>
          <w:sz w:val="24"/>
          <w:szCs w:val="24"/>
          <w:highlight w:val="none"/>
          <w:lang w:val="zh-CN"/>
        </w:rPr>
        <w:t xml:space="preserve">项目概况</w:t>
      </w:r>
      <w:r/>
    </w:p>
    <w:p>
      <w:pPr>
        <w:ind w:firstLine="500"/>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（一）项目背景</w:t>
      </w:r>
      <w:r/>
    </w:p>
    <w:p>
      <w:pPr>
        <w:ind w:firstLine="500"/>
        <w:spacing w:line="440" w:lineRule="exact"/>
        <w:rPr>
          <w:rFonts w:ascii="宋体" w:hAnsi="宋体" w:cs="宋体"/>
          <w:color w:val="auto"/>
          <w:spacing w:val="7"/>
          <w:sz w:val="24"/>
          <w:szCs w:val="24"/>
          <w:highlight w:val="none"/>
        </w:rPr>
      </w:pPr>
      <w:r>
        <w:rPr>
          <w:rFonts w:hint="eastAsia" w:ascii="宋体" w:hAnsi="宋体"/>
          <w:color w:val="auto"/>
          <w:sz w:val="24"/>
          <w:szCs w:val="24"/>
          <w:highlight w:val="none"/>
        </w:rPr>
        <w:t xml:space="preserve">爱陵路以东、秦县路以南片区已建成秦县路、汉侯路、天禧路、玉麟街、凤仪街等多条市政道路，目前道路交叉口信号灯已安装，但未安装电子警察和监控系统。</w:t>
      </w:r>
      <w:r>
        <w:rPr>
          <w:rFonts w:ascii="宋体" w:hAnsi="宋体" w:cs="宋体"/>
          <w:color w:val="auto"/>
          <w:spacing w:val="7"/>
          <w:sz w:val="24"/>
          <w:szCs w:val="24"/>
          <w:highlight w:val="none"/>
        </w:rPr>
        <w:t xml:space="preserve">为完善道路基础设施，降低安全隐患和交通事故率，提升通行效率，拟实施紫金山科技城爱陵路以东、秦县路以南片区道路电子警察及监控系统项目，从而实现交通违法抓拍，道路视频监控功能，治安管控与车辆缉查功能，交通信号与交通信息采集，信息共享与平台联动，全天候环境适应能力等功能，同时达成规范道路交通秩序，减少交通违法行为，完善交通违法取证体系，规范执法，保障群众出行权益，便于事故定责，支撑城市交通规划与决策，构建全天候、全覆盖的道路感知网络等目标。</w:t>
      </w:r>
      <w:r/>
    </w:p>
    <w:p>
      <w:pPr>
        <w:ind w:firstLine="500"/>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（二）项目建设标准</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《中华人民共和国道路交通安全法》</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《中华人民共和国道路交通安全法实施条例》</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《城市道路交通管理评价指标体系》</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《中国智能运输系统体系框架》</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《城市道路工程设计规范》（2016版）（CJJ37-2012）</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《城市道路交叉口规划规范》(GB50647-2011)</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《城市道路交通设施设计规范》（2019版）(GB50688-2011)</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《城市道路交通管理设施设置规范》（DB3201/T 256-2015）</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《推进城市道路交通信号灯配时智能化工作方案（公安局交管局）》</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《道路交通信号灯设置与安装规范》（GB14886-2016）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《道路交通信号灯》(GB14887-2011)</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《道路交通信号控制机》（GB25280-2016）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《道路交通信号控制机安装规范》(GA/T489-2016)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《道路交通信号控制方式》（GA/T527-2015）</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《道路交通信号倒计时显示器》（GA/T508-2014）</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《交通信号控制机与上位机间的数据通信协议》（GB/T20999-2017）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《全国公安机关视频图像信息整合与共享工作任务书》</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《全国公安机关图像信息联网总体技术方案》</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《全国公安机关视频监控系统联网标准符合性检测工作实施方案》</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《公安交通管理外场设备基础设施施工通用要求》（GA/T652-2017）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《电子计算机场地通用规范》（GB/T2887-2011）</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《计算机信息系统安全保护等级划分准则》（GB17859-1999）</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《电气装置安装工程电缆线路施工及验收标准》（GB50168-2018）</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《电气装置安装工程接地装置施工及验收规范》（GB50169-2016）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《数据中心设计规范》（GB50174-2017）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《城市综合交通体系规划标准》（GB/T51328-2018）</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《建筑电气工程施工质量验收规范》（GB50303-2015）</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《建筑物电子信息系统防雷技术规范》（GB50343-2012）</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《安全防范工程技术标准》（GB50348-2018）</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《视频安防监控系统工程设计规范》（GB50395-2007）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《数据中心基础设施施工及验收规范》（GB50462-2015）</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《信息技术开放系统互连网络层安全协议》（GB/T17963-2000）</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《公共安全视频监控数字视音频编解码技术要求》（GB/T25724-2017）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《公共安全视频监控联网信息安全技术要求》（GB 35114-2017）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《公共安全视频监控联网系统信息传输、交换、控制技术要求》（GB/T28181-2022）</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《闯红灯自动记录系统通用技术条件》（GA/T496-2014）</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《公安交通管理外场设备基础设施施工通用要求》（GA/T652-2017）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《道路交通安全违法行为图像取证技术规范》（GA/T832-2014）</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《机动车号牌图像自动识别技术规范》（GA/T833-2016）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《道路交通安全违法行为视频取证设备技术规范》（GA/T995-2020）</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《道路交通技术监控设备运行维护规范》（GA/T1043-2013）</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《交通技术监控成像补光装置通用技术条件》（GA/T1202-2022）</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《公安视频图像分析系统》（GA/T1399-2017）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《公安视频图像信息应用系统》(GA/T1400-2017)</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《综合布线系统工程设计规范》（GB50311-2016）</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《南京市公安局社会治安报警与监控系统建设规范（试行）》</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《信息技术开放系统互连网络层安全协议》（GB/T 17963-2000）</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《南京市公安局“图像覆盖联网工程”建设规范》</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《南京市公共安全视频监控建设联网应用建设规范（征求意见稿）》</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《南京市公共安全视频监控建设联网应用总体方案》</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《南京市公安局关于开展视频监控集中运维监管的工作意见（试行）》宁公传发〔2016〕213号</w:t>
      </w:r>
      <w:r/>
    </w:p>
    <w:p>
      <w:pPr>
        <w:ind w:firstLine="500"/>
        <w:spacing w:line="440" w:lineRule="exact"/>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《江宁区电子警察系统建设管理工作规范（试行）》</w:t>
      </w:r>
      <w:r/>
    </w:p>
    <w:p>
      <w:pPr>
        <w:ind w:firstLine="500"/>
        <w:spacing w:line="440" w:lineRule="exact"/>
        <w:rPr>
          <w:rFonts w:ascii="宋体" w:hAnsi="宋体"/>
          <w:b/>
          <w:bCs/>
          <w:color w:val="auto"/>
          <w:sz w:val="24"/>
          <w:szCs w:val="24"/>
          <w:highlight w:val="none"/>
          <w:lang w:val="zh-CN"/>
        </w:rPr>
      </w:pPr>
      <w:r>
        <w:rPr>
          <w:rFonts w:ascii="宋体" w:hAnsi="宋体" w:cs="宋体"/>
          <w:color w:val="auto"/>
          <w:spacing w:val="7"/>
          <w:sz w:val="24"/>
          <w:szCs w:val="24"/>
          <w:highlight w:val="none"/>
        </w:rPr>
        <w:t xml:space="preserve">上述标准中未标年号的一律采用最新的标准；同时随着标准的修订，根据修订后的最新标准作为依据。除上述规范标准以外，须遵循国家、行业及地方现行的规范和标准要求。</w:t>
      </w:r>
      <w:r/>
    </w:p>
    <w:p>
      <w:pPr>
        <w:ind w:firstLine="500"/>
        <w:spacing w:line="440" w:lineRule="exact"/>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（三）</w:t>
      </w:r>
      <w:r>
        <w:rPr>
          <w:rFonts w:ascii="宋体" w:hAnsi="宋体" w:cs="宋体"/>
          <w:color w:val="auto"/>
          <w:spacing w:val="7"/>
          <w:sz w:val="24"/>
          <w:szCs w:val="24"/>
          <w:highlight w:val="none"/>
        </w:rPr>
        <w:t xml:space="preserve">交付时间：整个项目要求在</w:t>
      </w:r>
      <w:r>
        <w:rPr>
          <w:rFonts w:hint="eastAsia" w:ascii="宋体" w:hAnsi="宋体" w:cs="宋体"/>
          <w:color w:val="auto"/>
          <w:spacing w:val="7"/>
          <w:sz w:val="24"/>
          <w:szCs w:val="24"/>
          <w:highlight w:val="none"/>
        </w:rPr>
        <w:t xml:space="preserve">合同签订后</w:t>
      </w:r>
      <w:r>
        <w:rPr>
          <w:rFonts w:ascii="宋体" w:hAnsi="宋体" w:cs="宋体"/>
          <w:color w:val="auto"/>
          <w:spacing w:val="7"/>
          <w:sz w:val="24"/>
          <w:szCs w:val="24"/>
          <w:highlight w:val="none"/>
        </w:rPr>
        <w:t xml:space="preserve">120</w:t>
      </w:r>
      <w:r>
        <w:rPr>
          <w:rFonts w:hint="eastAsia" w:ascii="宋体" w:hAnsi="宋体" w:cs="宋体"/>
          <w:color w:val="auto"/>
          <w:spacing w:val="7"/>
          <w:sz w:val="24"/>
          <w:szCs w:val="24"/>
          <w:highlight w:val="none"/>
        </w:rPr>
        <w:t xml:space="preserve">日内完成竣工验收，质保期两年（自验收报告签字确认日起开始进入质保期）</w:t>
      </w:r>
      <w:r>
        <w:rPr>
          <w:rFonts w:ascii="宋体" w:hAnsi="宋体" w:cs="宋体"/>
          <w:color w:val="auto"/>
          <w:spacing w:val="7"/>
          <w:sz w:val="24"/>
          <w:szCs w:val="24"/>
          <w:highlight w:val="none"/>
        </w:rPr>
        <w:t xml:space="preserve">。</w:t>
      </w:r>
      <w:r/>
    </w:p>
    <w:p>
      <w:pPr>
        <w:ind w:firstLine="500"/>
        <w:spacing w:line="440" w:lineRule="exact"/>
        <w:rPr>
          <w:rFonts w:ascii="宋体" w:hAnsi="宋体"/>
          <w:b/>
          <w:bCs/>
          <w:color w:val="auto"/>
          <w:sz w:val="24"/>
          <w:szCs w:val="24"/>
          <w:highlight w:val="none"/>
        </w:rPr>
      </w:pPr>
      <w:r>
        <w:rPr>
          <w:rFonts w:hint="eastAsia" w:ascii="宋体" w:hAnsi="宋体" w:cs="宋体"/>
          <w:color w:val="auto"/>
          <w:spacing w:val="7"/>
          <w:sz w:val="24"/>
          <w:szCs w:val="24"/>
          <w:highlight w:val="none"/>
        </w:rPr>
        <w:t xml:space="preserve">（四）</w:t>
      </w:r>
      <w:r>
        <w:rPr>
          <w:rFonts w:ascii="宋体" w:hAnsi="宋体" w:cs="宋体"/>
          <w:color w:val="auto"/>
          <w:spacing w:val="7"/>
          <w:sz w:val="24"/>
          <w:szCs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color w:val="auto"/>
          <w:highlight w:val="none"/>
          <w:lang w:val="zh-CN"/>
        </w:rPr>
      </w:pPr>
      <w:r>
        <w:rPr>
          <w:color w:val="auto"/>
          <w:highlight w:val="none"/>
          <w:lang w:val="zh-CN"/>
        </w:rPr>
      </w:r>
      <w:r/>
    </w:p>
    <w:p>
      <w:pPr>
        <w:spacing w:line="360" w:lineRule="auto"/>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二、货物产品清单、技术指标</w:t>
      </w:r>
      <w:r/>
    </w:p>
    <w:p>
      <w:pPr>
        <w:ind w:firstLine="420"/>
        <w:spacing w:line="360" w:lineRule="auto"/>
        <w:rPr>
          <w:rFonts w:ascii="宋体" w:hAnsi="宋体"/>
          <w:b/>
          <w:bCs/>
          <w:color w:val="auto"/>
          <w:sz w:val="24"/>
          <w:szCs w:val="24"/>
          <w:highlight w:val="none"/>
          <w:lang w:val="zh-CN"/>
        </w:rPr>
      </w:pPr>
      <w:r/>
      <w:bookmarkStart w:id="67" w:name="OLE_LINK14"/>
      <w:r>
        <w:rPr>
          <w:rFonts w:hint="eastAsia" w:ascii="宋体" w:hAnsi="宋体"/>
          <w:b/>
          <w:bCs/>
          <w:color w:val="auto"/>
          <w:sz w:val="24"/>
          <w:szCs w:val="24"/>
          <w:highlight w:val="none"/>
          <w:lang w:val="zh-CN"/>
        </w:rPr>
        <w:t xml:space="preserve">（一）</w:t>
      </w:r>
      <w:bookmarkEnd w:id="67"/>
      <w:r>
        <w:rPr>
          <w:rFonts w:hint="eastAsia" w:ascii="宋体" w:hAnsi="宋体"/>
          <w:b/>
          <w:bCs/>
          <w:color w:val="auto"/>
          <w:sz w:val="24"/>
          <w:szCs w:val="24"/>
          <w:highlight w:val="none"/>
          <w:lang w:val="zh-CN"/>
        </w:rPr>
        <w:t xml:space="preserve">安装地点分布情况：</w:t>
      </w:r>
      <w:r/>
    </w:p>
    <w:tbl>
      <w:tblPr>
        <w:tblStyle w:val="637"/>
        <w:tblW w:w="8516" w:type="dxa"/>
        <w:tblInd w:w="0" w:type="dxa"/>
        <w:tblLayout w:type="autofit"/>
        <w:tblCellMar>
          <w:left w:w="108" w:type="dxa"/>
          <w:top w:w="0" w:type="dxa"/>
          <w:right w:w="108" w:type="dxa"/>
          <w:bottom w:w="0" w:type="dxa"/>
        </w:tblCellMar>
        <w:tblLook w:val="04A0" w:firstRow="1" w:lastRow="0" w:firstColumn="1" w:lastColumn="0" w:noHBand="0" w:noVBand="1"/>
      </w:tblPr>
      <w:tblGrid>
        <w:gridCol w:w="1020"/>
        <w:gridCol w:w="2236"/>
        <w:gridCol w:w="5260"/>
      </w:tblGrid>
      <w:tr>
        <w:trPr>
          <w:trHeight w:val="278"/>
        </w:trPr>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36"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5260" w:type="dxa"/>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路口名称</w:t>
            </w:r>
            <w:r/>
          </w:p>
        </w:tc>
      </w:tr>
      <w:tr>
        <w:trPr>
          <w:trHeight w:val="276"/>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w:t>
            </w:r>
            <w:r/>
          </w:p>
        </w:tc>
        <w:tc>
          <w:tcPr>
            <w:shd w:val="clear" w:color="auto" w:fill="auto"/>
            <w:tcBorders>
              <w:top w:val="none" w:color="000000" w:sz="4" w:space="0"/>
              <w:left w:val="single" w:color="auto" w:sz="4" w:space="0"/>
              <w:bottom w:val="none" w:color="000000" w:sz="4" w:space="0"/>
              <w:right w:val="single" w:color="auto" w:sz="4" w:space="0"/>
            </w:tcBorders>
            <w:tcW w:w="2236" w:type="dxa"/>
            <w:vAlign w:val="center"/>
            <w:vMerge w:val="restart"/>
            <w:textDirection w:val="lrTb"/>
            <w:noWrap w:val="false"/>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前端采集系统及辅助配套系统</w:t>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天禧路汉侯路（T型，3个方向并杆）</w:t>
            </w:r>
            <w:r/>
          </w:p>
        </w:tc>
      </w:tr>
      <w:tr>
        <w:trP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w:t>
            </w:r>
            <w:r/>
          </w:p>
        </w:tc>
        <w:tc>
          <w:tcPr>
            <w:tcBorders>
              <w:top w:val="none" w:color="000000" w:sz="4" w:space="0"/>
              <w:left w:val="single" w:color="auto" w:sz="4" w:space="0"/>
              <w:bottom w:val="none" w:color="000000" w:sz="4" w:space="0"/>
              <w:right w:val="single" w:color="auto" w:sz="4" w:space="0"/>
            </w:tcBorders>
            <w:tcW w:w="2236" w:type="dxa"/>
            <w:vAlign w:val="center"/>
            <w:vMerge w:val="continue"/>
            <w:textDirection w:val="lrTb"/>
            <w:noWrap w:val="false"/>
          </w:tcPr>
          <w:p>
            <w:pPr>
              <w:jc w:val="left"/>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天禧路秦县路（T型，南北方向并杆）</w:t>
            </w:r>
            <w:r/>
          </w:p>
        </w:tc>
      </w:tr>
      <w:tr>
        <w:trP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p>
        </w:tc>
        <w:tc>
          <w:tcPr>
            <w:tcBorders>
              <w:top w:val="none" w:color="000000" w:sz="4" w:space="0"/>
              <w:left w:val="single" w:color="auto" w:sz="4" w:space="0"/>
              <w:bottom w:val="none" w:color="000000" w:sz="4" w:space="0"/>
              <w:right w:val="single" w:color="auto" w:sz="4" w:space="0"/>
            </w:tcBorders>
            <w:tcW w:w="2236" w:type="dxa"/>
            <w:vAlign w:val="center"/>
            <w:vMerge w:val="continue"/>
            <w:textDirection w:val="lrTb"/>
            <w:noWrap w:val="false"/>
          </w:tcPr>
          <w:p>
            <w:pPr>
              <w:jc w:val="left"/>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凤仪街汉侯路（十字，四个方向并杆）</w:t>
            </w:r>
            <w:r/>
          </w:p>
        </w:tc>
      </w:tr>
      <w:tr>
        <w:trP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w:t>
            </w:r>
            <w:r/>
          </w:p>
        </w:tc>
        <w:tc>
          <w:tcPr>
            <w:tcBorders>
              <w:top w:val="none" w:color="000000" w:sz="4" w:space="0"/>
              <w:left w:val="single" w:color="auto" w:sz="4" w:space="0"/>
              <w:bottom w:val="none" w:color="000000" w:sz="4" w:space="0"/>
              <w:right w:val="single" w:color="auto" w:sz="4" w:space="0"/>
            </w:tcBorders>
            <w:tcW w:w="2236" w:type="dxa"/>
            <w:vAlign w:val="center"/>
            <w:vMerge w:val="continue"/>
            <w:textDirection w:val="lrTb"/>
            <w:noWrap w:val="false"/>
          </w:tcPr>
          <w:p>
            <w:pPr>
              <w:jc w:val="left"/>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凤仪街秦县路（T型，三个方向并杆）</w:t>
            </w:r>
            <w:r/>
          </w:p>
        </w:tc>
      </w:tr>
      <w:tr>
        <w:trP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w:t>
            </w:r>
            <w:r/>
          </w:p>
        </w:tc>
        <w:tc>
          <w:tcPr>
            <w:tcBorders>
              <w:top w:val="none" w:color="000000" w:sz="4" w:space="0"/>
              <w:left w:val="single" w:color="auto" w:sz="4" w:space="0"/>
              <w:bottom w:val="none" w:color="000000" w:sz="4" w:space="0"/>
              <w:right w:val="single" w:color="auto" w:sz="4" w:space="0"/>
            </w:tcBorders>
            <w:tcW w:w="2236" w:type="dxa"/>
            <w:vAlign w:val="center"/>
            <w:vMerge w:val="continue"/>
            <w:textDirection w:val="lrTb"/>
            <w:noWrap w:val="false"/>
          </w:tcPr>
          <w:p>
            <w:pPr>
              <w:jc w:val="left"/>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玉麟街汉侯路（十字，四个方向并杆）</w:t>
            </w:r>
            <w:r/>
          </w:p>
        </w:tc>
      </w:tr>
      <w:tr>
        <w:trPr>
          <w:trHeight w:val="278"/>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w:t>
            </w:r>
            <w:r/>
          </w:p>
        </w:tc>
        <w:tc>
          <w:tcPr>
            <w:tcBorders>
              <w:top w:val="none" w:color="000000" w:sz="4" w:space="0"/>
              <w:left w:val="single" w:color="auto" w:sz="4" w:space="0"/>
              <w:bottom w:val="none" w:color="000000" w:sz="4" w:space="0"/>
              <w:right w:val="single" w:color="auto" w:sz="4" w:space="0"/>
            </w:tcBorders>
            <w:tcW w:w="2236" w:type="dxa"/>
            <w:vAlign w:val="center"/>
            <w:vMerge w:val="continue"/>
            <w:textDirection w:val="lrTb"/>
            <w:noWrap w:val="false"/>
          </w:tcPr>
          <w:p>
            <w:pPr>
              <w:jc w:val="left"/>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玉麟街秦县路（T型，三个方向并杆）</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1020" w:type="dxa"/>
            <w:vAlign w:val="center"/>
            <w:textDirection w:val="lrTb"/>
            <w:noWrap/>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236" w:type="dxa"/>
            <w:vAlign w:val="center"/>
            <w:textDirection w:val="lrTb"/>
            <w:noWrap w:val="false"/>
          </w:tcPr>
          <w:p>
            <w:pPr>
              <w:jc w:val="center"/>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中心存储扩容及数据接入</w:t>
            </w:r>
            <w:r/>
          </w:p>
        </w:tc>
        <w:tc>
          <w:tcPr>
            <w:shd w:val="clear" w:color="auto" w:fill="auto"/>
            <w:tcBorders>
              <w:top w:val="none" w:color="000000" w:sz="4" w:space="0"/>
              <w:left w:val="none" w:color="000000" w:sz="4" w:space="0"/>
              <w:bottom w:val="single" w:color="auto" w:sz="4" w:space="0"/>
              <w:right w:val="single" w:color="auto" w:sz="4" w:space="0"/>
            </w:tcBorders>
            <w:tcW w:w="5260" w:type="dxa"/>
            <w:vAlign w:val="center"/>
            <w:textDirection w:val="lrTb"/>
            <w:noWrap/>
          </w:tcPr>
          <w:p>
            <w:pPr>
              <w:jc w:val="left"/>
              <w:widowControl/>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人脸算法及技战法、数据接入、视图存储扩容等</w:t>
            </w:r>
            <w:r/>
          </w:p>
        </w:tc>
      </w:tr>
    </w:tbl>
    <w:p>
      <w:pPr>
        <w:ind w:firstLine="420"/>
        <w:spacing w:line="360" w:lineRule="auto"/>
        <w:rPr>
          <w:rFonts w:ascii="宋体" w:hAnsi="宋体"/>
          <w:b/>
          <w:bCs/>
          <w:color w:val="auto"/>
          <w:sz w:val="24"/>
          <w:szCs w:val="24"/>
          <w:highlight w:val="none"/>
          <w:lang w:val="zh-CN"/>
        </w:rPr>
      </w:pPr>
      <w:r>
        <w:rPr>
          <w:rFonts w:ascii="宋体" w:hAnsi="宋体"/>
          <w:b/>
          <w:bCs/>
          <w:color w:val="auto"/>
          <w:sz w:val="24"/>
          <w:szCs w:val="24"/>
          <w:highlight w:val="none"/>
          <w:lang w:val="zh-CN"/>
        </w:rPr>
      </w:r>
      <w:r/>
    </w:p>
    <w:p>
      <w:pPr>
        <w:ind w:firstLine="420"/>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（二）</w:t>
      </w:r>
      <w:r>
        <w:rPr>
          <w:rFonts w:ascii="宋体" w:hAnsi="宋体"/>
          <w:b/>
          <w:bCs/>
          <w:color w:val="auto"/>
          <w:sz w:val="24"/>
          <w:szCs w:val="24"/>
          <w:highlight w:val="none"/>
          <w:lang w:val="zh-CN"/>
        </w:rPr>
        <w:t xml:space="preserve">产品清单、技术指标（包含但不限于货物的规格参数、</w:t>
      </w:r>
      <w:r>
        <w:rPr>
          <w:rFonts w:hint="eastAsia" w:ascii="宋体" w:hAnsi="宋体"/>
          <w:b/>
          <w:bCs/>
          <w:color w:val="auto"/>
          <w:sz w:val="24"/>
          <w:szCs w:val="24"/>
          <w:highlight w:val="none"/>
          <w:lang w:val="zh-CN"/>
        </w:rPr>
        <w:t xml:space="preserve">性能、材料、结构、外观、安全、服务内容和标准</w:t>
      </w:r>
      <w:r>
        <w:rPr>
          <w:rFonts w:ascii="宋体" w:hAnsi="宋体"/>
          <w:b/>
          <w:bCs/>
          <w:color w:val="auto"/>
          <w:sz w:val="24"/>
          <w:szCs w:val="24"/>
          <w:highlight w:val="none"/>
          <w:lang w:val="zh-CN"/>
        </w:rPr>
        <w:t xml:space="preserve">等）：（</w:t>
      </w:r>
      <w:r>
        <w:rPr>
          <w:rFonts w:ascii="宋体" w:hAnsi="宋体"/>
          <w:b/>
          <w:bCs/>
          <w:color w:val="auto"/>
          <w:sz w:val="24"/>
          <w:szCs w:val="24"/>
          <w:highlight w:val="none"/>
          <w:lang w:val="zh-CN"/>
        </w:rPr>
        <w:t xml:space="preserve">本项目核心产品：</w:t>
      </w:r>
      <w:r>
        <w:rPr>
          <w:rFonts w:ascii="宋体" w:hAnsi="宋体"/>
          <w:b/>
          <w:bCs/>
          <w:color w:val="auto"/>
          <w:sz w:val="24"/>
          <w:szCs w:val="24"/>
          <w:highlight w:val="none"/>
          <w:lang w:val="zh-CN"/>
        </w:rPr>
        <w:t xml:space="preserve">900万像素电警抓拍单元）</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.产品清单</w:t>
      </w:r>
      <w:r/>
    </w:p>
    <w:tbl>
      <w:tblPr>
        <w:tblStyle w:val="637"/>
        <w:tblW w:w="4760" w:type="pct"/>
        <w:tblInd w:w="0" w:type="dxa"/>
        <w:tblLayout w:type="autofit"/>
        <w:tblCellMar>
          <w:left w:w="108" w:type="dxa"/>
          <w:top w:w="0" w:type="dxa"/>
          <w:right w:w="108" w:type="dxa"/>
          <w:bottom w:w="0" w:type="dxa"/>
        </w:tblCellMar>
        <w:tblLook w:val="04A0" w:firstRow="1" w:lastRow="0" w:firstColumn="1" w:lastColumn="0" w:noHBand="0" w:noVBand="1"/>
      </w:tblPr>
      <w:tblGrid>
        <w:gridCol w:w="745"/>
        <w:gridCol w:w="4785"/>
        <w:gridCol w:w="751"/>
        <w:gridCol w:w="900"/>
        <w:gridCol w:w="1187"/>
      </w:tblGrid>
      <w:tr>
        <w:trPr>
          <w:trHeight w:val="28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一、前端系统及辅助配套系统</w:t>
            </w:r>
            <w:r/>
          </w:p>
        </w:tc>
      </w:tr>
      <w:tr>
        <w:trPr>
          <w:trHeight w:val="288"/>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b/>
                <w:bCs/>
                <w:color w:val="auto"/>
                <w:sz w:val="24"/>
                <w:highlight w:val="none"/>
              </w:rPr>
            </w:pPr>
            <w:r/>
            <w:bookmarkStart w:id="68" w:name="OLE_LINK4"/>
            <w:r>
              <w:rPr>
                <w:rFonts w:hint="eastAsia" w:ascii="宋体" w:hAnsi="宋体"/>
                <w:b/>
                <w:bCs/>
                <w:color w:val="auto"/>
                <w:sz w:val="24"/>
                <w:highlight w:val="none"/>
              </w:rPr>
              <w:t xml:space="preserve">备注</w:t>
            </w:r>
            <w:bookmarkEnd w:id="68"/>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bookmarkStart w:id="69" w:name="_Hlk239253528"/>
            <w:r>
              <w:rPr>
                <w:rFonts w:ascii="宋体" w:hAnsi="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bookmarkStart w:id="70" w:name="OLE_LINK2"/>
            <w:r>
              <w:rPr>
                <w:rFonts w:ascii="宋体" w:hAnsi="宋体"/>
                <w:color w:val="auto"/>
                <w:sz w:val="24"/>
                <w:highlight w:val="none"/>
              </w:rPr>
              <w:t xml:space="preserve">900万像素电警抓拍单元</w:t>
            </w:r>
            <w:bookmarkEnd w:id="70"/>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b/>
                <w:color w:val="auto"/>
                <w:sz w:val="24"/>
                <w:highlight w:val="none"/>
              </w:rPr>
            </w:pPr>
            <w:r>
              <w:rPr>
                <w:rFonts w:hint="eastAsia" w:ascii="宋体" w:hAnsi="宋体"/>
                <w:b/>
                <w:color w:val="auto"/>
                <w:sz w:val="24"/>
                <w:highlight w:val="none"/>
              </w:rPr>
              <w:t xml:space="preserve">核心产品</w:t>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900万像素环保反向车辆人脸卡口抓拍单元</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LED补光灯</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多合一智能补光灯</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38</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全景监控</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智能交通终端管理服务器</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7</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电警立杆</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根</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借杆横臂</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根</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抱杆机箱</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网络防雷器</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落地机箱（含基础）</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路口取电电源线（RVV3*6mm²）</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2900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电子警察设备控制电缆（RVVSP2*1.0mm²）</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1490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分支供电电缆（RVV3*2.5mm²）</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电子警察电源线（RVV3*1.0mm²）</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1920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室外超五类网线</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825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室外单模4芯光缆</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18</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接入设备(2光8电)</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19</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接入设备(8光8电)</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光纤熔接盒（4芯）</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21</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光纤熔接盒（24芯）</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22</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尾纤</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根</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23</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光纤熔接</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184</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24</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手孔井</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座</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25</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接地系统</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处</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7</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26</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基坑开挖及浇筑（杆件基础）</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立方</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2.016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27</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绿化带开挖及恢复</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28</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道板开挖及恢复</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29</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管道敷设</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米</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240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30</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违法抓拍标牌（电子警察）</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块</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31</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二维码标签</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张</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32</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网络租赁</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路口</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33</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电子警察设备安装调试</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方向</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20</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bookmarkEnd w:id="69"/>
            <w:r/>
          </w:p>
        </w:tc>
      </w:tr>
      <w:tr>
        <w:trPr>
          <w:trHeight w:val="28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二、中心存储及数据接入</w:t>
            </w:r>
            <w:r/>
          </w:p>
        </w:tc>
      </w:tr>
      <w:tr>
        <w:trPr>
          <w:trHeight w:val="288"/>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b/>
                <w:bCs/>
                <w:color w:val="auto"/>
                <w:sz w:val="24"/>
                <w:highlight w:val="none"/>
              </w:rPr>
            </w:pPr>
            <w:r>
              <w:rPr>
                <w:rFonts w:ascii="宋体" w:hAnsi="宋体"/>
                <w:b/>
                <w:bCs/>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b/>
                <w:bCs/>
                <w:color w:val="auto"/>
                <w:sz w:val="24"/>
                <w:highlight w:val="none"/>
              </w:rPr>
            </w:pPr>
            <w:r>
              <w:rPr>
                <w:rFonts w:hint="eastAsia" w:ascii="宋体" w:hAnsi="宋体"/>
                <w:b/>
                <w:bCs/>
                <w:color w:val="auto"/>
                <w:sz w:val="24"/>
                <w:highlight w:val="none"/>
              </w:rPr>
              <w:t xml:space="preserve">备注</w:t>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34</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人脸算法及技战法</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35</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智慧警务平台视频接入及配置</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55</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36</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智慧警务平台违法图片接入及配置</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37</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智慧警务平台车辆图片接入及配置</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38</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智慧警务平台人脸图片接入及配置</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路</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23</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39</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中心视频存储扩容</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r>
        <w:trPr>
          <w:trHeight w:val="264"/>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40</w:t>
            </w:r>
            <w:r/>
          </w:p>
        </w:tc>
        <w:tc>
          <w:tcPr>
            <w:tcBorders>
              <w:top w:val="single" w:color="auto" w:sz="4" w:space="0"/>
              <w:left w:val="none" w:color="000000" w:sz="4" w:space="0"/>
              <w:bottom w:val="single" w:color="auto" w:sz="4" w:space="0"/>
              <w:right w:val="single" w:color="auto" w:sz="4" w:space="0"/>
            </w:tcBorders>
            <w:tcW w:w="2859" w:type="pct"/>
            <w:vAlign w:val="center"/>
            <w:textDirection w:val="lrTb"/>
            <w:noWrap w:val="false"/>
          </w:tcPr>
          <w:p>
            <w:pPr>
              <w:widowControl/>
              <w:rPr>
                <w:rFonts w:ascii="宋体" w:hAnsi="宋体"/>
                <w:color w:val="auto"/>
                <w:sz w:val="24"/>
                <w:highlight w:val="none"/>
              </w:rPr>
            </w:pPr>
            <w:r>
              <w:rPr>
                <w:rFonts w:ascii="宋体" w:hAnsi="宋体"/>
                <w:color w:val="auto"/>
                <w:sz w:val="24"/>
                <w:highlight w:val="none"/>
              </w:rPr>
              <w:t xml:space="preserve">中心图片存储扩容</w:t>
            </w:r>
            <w:r/>
          </w:p>
        </w:tc>
        <w:tc>
          <w:tcPr>
            <w:tcBorders>
              <w:top w:val="single" w:color="auto" w:sz="4" w:space="0"/>
              <w:left w:val="none" w:color="000000" w:sz="4" w:space="0"/>
              <w:bottom w:val="single" w:color="auto" w:sz="4" w:space="0"/>
              <w:right w:val="single" w:color="auto" w:sz="4" w:space="0"/>
            </w:tcBorders>
            <w:tcW w:w="449"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709" w:type="pct"/>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r>
    </w:tbl>
    <w:p>
      <w:pPr>
        <w:rPr>
          <w:color w:val="auto"/>
          <w:highlight w:val="none"/>
        </w:rPr>
      </w:pPr>
      <w:r>
        <w:rPr>
          <w:color w:val="auto"/>
          <w:highlight w:val="none"/>
        </w:rPr>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.产品技术指标</w:t>
      </w:r>
      <w:r/>
    </w:p>
    <w:p>
      <w:pPr>
        <w:rPr>
          <w:rFonts w:ascii="宋体" w:hAnsi="宋体"/>
          <w:b/>
          <w:bCs/>
          <w:color w:val="auto"/>
          <w:sz w:val="24"/>
          <w:highlight w:val="none"/>
        </w:rPr>
      </w:pPr>
      <w:r>
        <w:rPr>
          <w:rFonts w:ascii="宋体" w:hAnsi="宋体"/>
          <w:b/>
          <w:bCs/>
          <w:color w:val="auto"/>
          <w:sz w:val="24"/>
          <w:highlight w:val="none"/>
        </w:rPr>
        <w:t xml:space="preserve">（</w:t>
      </w:r>
      <w:r>
        <w:rPr>
          <w:rFonts w:hint="eastAsia" w:ascii="宋体" w:hAnsi="宋体"/>
          <w:b/>
          <w:bCs/>
          <w:color w:val="auto"/>
          <w:sz w:val="24"/>
          <w:highlight w:val="none"/>
        </w:rPr>
        <w:t xml:space="preserve">1</w:t>
      </w:r>
      <w:r>
        <w:rPr>
          <w:rFonts w:ascii="宋体" w:hAnsi="宋体"/>
          <w:b/>
          <w:bCs/>
          <w:color w:val="auto"/>
          <w:sz w:val="24"/>
          <w:highlight w:val="none"/>
        </w:rPr>
        <w:t xml:space="preserve">）</w:t>
      </w:r>
      <w:r>
        <w:rPr>
          <w:rFonts w:hint="eastAsia" w:ascii="宋体" w:hAnsi="宋体"/>
          <w:b/>
          <w:bCs/>
          <w:color w:val="auto"/>
          <w:sz w:val="24"/>
          <w:highlight w:val="none"/>
        </w:rPr>
        <w:t xml:space="preserve">900万像素电警抓拍单元</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701"/>
        <w:gridCol w:w="5886"/>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设备可识别通过监视画面中的机动车车牌号码，包括大型汽车号牌、挂车号牌、大型新能源汽车号牌、小型汽车号牌、小型新能源汽车号牌、武警车牌、军牌、港澳入出境车号牌、使馆汽车号牌、教练汽车号牌、民航车牌。</w:t>
            </w:r>
            <w:r/>
          </w:p>
          <w:p>
            <w:pPr>
              <w:rPr>
                <w:rFonts w:ascii="宋体" w:hAnsi="宋体"/>
                <w:color w:val="auto"/>
                <w:sz w:val="24"/>
                <w:highlight w:val="none"/>
              </w:rPr>
            </w:pPr>
            <w:r>
              <w:rPr>
                <w:rFonts w:hint="eastAsia" w:ascii="宋体" w:hAnsi="宋体"/>
                <w:color w:val="auto"/>
                <w:sz w:val="24"/>
                <w:highlight w:val="none"/>
              </w:rPr>
              <w:t xml:space="preserve">可对80×25至1200×380像素的机动车车牌进行抓拍并识别号码。</w:t>
            </w:r>
            <w:r/>
          </w:p>
          <w:p>
            <w:pPr>
              <w:rPr>
                <w:rFonts w:ascii="宋体" w:hAnsi="宋体"/>
                <w:color w:val="auto"/>
                <w:sz w:val="24"/>
                <w:highlight w:val="none"/>
              </w:rPr>
            </w:pPr>
            <w:r>
              <w:rPr>
                <w:rFonts w:hint="eastAsia" w:ascii="宋体" w:hAnsi="宋体"/>
                <w:color w:val="auto"/>
                <w:sz w:val="24"/>
                <w:highlight w:val="none"/>
              </w:rPr>
              <w:t xml:space="preserve">最大分辨率：≥4096×2160像素；图像传感器：≥1英寸全局曝光CMOS传感器；帧率≥25帧/秒；视频压缩标准：H.265/H.264/MJPEG；具备闪光灯或LED频闪灯同步补光功能；具备线圈、视频、雷达等触发模式；具备车牌、车型、车身颜色、车标及车辆子品牌等信息识别功能；支持车辆捕获抓拍功能，白天和晚上的捕获率均≥99%；支持车牌识别功能，白天和晚上的识别准确率均≥99%；防护等级≥IP66。</w:t>
            </w:r>
            <w:r/>
          </w:p>
          <w:p>
            <w:pPr>
              <w:rPr>
                <w:rFonts w:ascii="宋体" w:hAnsi="宋体"/>
                <w:color w:val="auto"/>
                <w:sz w:val="24"/>
                <w:highlight w:val="none"/>
              </w:rPr>
            </w:pPr>
            <w:r>
              <w:rPr>
                <w:rFonts w:hint="eastAsia" w:ascii="宋体" w:hAnsi="宋体"/>
                <w:color w:val="auto"/>
                <w:sz w:val="24"/>
                <w:highlight w:val="none"/>
              </w:rPr>
              <w:t xml:space="preserve">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rPr>
                <w:rFonts w:ascii="宋体" w:hAnsi="宋体"/>
                <w:color w:val="auto"/>
                <w:sz w:val="24"/>
                <w:highlight w:val="none"/>
              </w:rPr>
            </w:pPr>
            <w:r>
              <w:rPr>
                <w:rFonts w:hint="eastAsia" w:ascii="宋体" w:hAnsi="宋体"/>
                <w:color w:val="auto"/>
                <w:sz w:val="24"/>
                <w:highlight w:val="none"/>
              </w:rPr>
              <w:t xml:space="preserve">可识别并抓拍垂直倾斜角度≤55°、水平倾斜角度≤35°、俯仰角度≤35°的机动车车牌号码</w:t>
            </w:r>
            <w:bookmarkStart w:id="71" w:name="OLE_LINK3"/>
            <w:r>
              <w:rPr>
                <w:rFonts w:hint="eastAsia" w:ascii="宋体" w:hAnsi="宋体"/>
                <w:color w:val="auto"/>
                <w:sz w:val="24"/>
                <w:highlight w:val="none"/>
              </w:rPr>
              <w:t xml:space="preserve">。</w:t>
            </w:r>
            <w:bookmarkEnd w:id="71"/>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t xml:space="preserve">（</w:t>
      </w:r>
      <w:r>
        <w:rPr>
          <w:rFonts w:hint="eastAsia" w:ascii="宋体" w:hAnsi="宋体"/>
          <w:b/>
          <w:bCs/>
          <w:color w:val="auto"/>
          <w:sz w:val="24"/>
          <w:highlight w:val="none"/>
        </w:rPr>
        <w:t xml:space="preserve">2</w:t>
      </w:r>
      <w:r>
        <w:rPr>
          <w:rFonts w:ascii="宋体" w:hAnsi="宋体"/>
          <w:b/>
          <w:bCs/>
          <w:color w:val="auto"/>
          <w:sz w:val="24"/>
          <w:highlight w:val="none"/>
        </w:rPr>
        <w:t xml:space="preserve">）</w:t>
      </w:r>
      <w:r>
        <w:rPr>
          <w:rFonts w:hint="eastAsia" w:ascii="宋体" w:hAnsi="宋体"/>
          <w:b/>
          <w:bCs/>
          <w:color w:val="auto"/>
          <w:sz w:val="24"/>
          <w:highlight w:val="none"/>
        </w:rPr>
        <w:t xml:space="preserve">900万像素环保反向车辆人脸卡口抓拍单元</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701"/>
        <w:gridCol w:w="5886"/>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bookmarkStart w:id="72" w:name="OLE_LINK13"/>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抓拍支持输出三张同时刻同目标图片，包括可见光路图片（全彩），红外路图片（黑白）和融合图片（全彩）。三张图片抓拍时间为同一时刻，抓拍秒表显示为同一时刻，抓拍运动目标，三张图片中目标位置相同无位移。</w:t>
            </w:r>
            <w:r/>
          </w:p>
          <w:p>
            <w:pPr>
              <w:rPr>
                <w:rFonts w:ascii="宋体" w:hAnsi="宋体"/>
                <w:color w:val="auto"/>
                <w:sz w:val="24"/>
                <w:highlight w:val="none"/>
              </w:rPr>
            </w:pPr>
            <w:r>
              <w:rPr>
                <w:rFonts w:ascii="宋体" w:hAnsi="宋体"/>
                <w:color w:val="auto"/>
                <w:sz w:val="24"/>
                <w:highlight w:val="none"/>
              </w:rPr>
              <w:t xml:space="preserve">黑暗环境下，打开红外爆闪灯进行抓拍，红外路图片爆闪补光光斑明显，可见光路无变化，融合图片具有爆闪补光效果；关闭红外爆闪灯进行抓拍，红外路图片无补光光斑，融合图无爆闪补光效果。</w:t>
            </w:r>
            <w:r/>
          </w:p>
          <w:p>
            <w:pPr>
              <w:rPr>
                <w:rFonts w:ascii="宋体" w:hAnsi="宋体"/>
                <w:color w:val="auto"/>
                <w:sz w:val="24"/>
                <w:highlight w:val="none"/>
              </w:rPr>
            </w:pPr>
            <w:r>
              <w:rPr>
                <w:rFonts w:ascii="宋体" w:hAnsi="宋体"/>
                <w:color w:val="auto"/>
                <w:sz w:val="24"/>
                <w:highlight w:val="none"/>
              </w:rPr>
              <w:t xml:space="preserve">支持前排人脸检测，并识别主驾驶员的性别、是否戴眼镜结构化属性信息，可在抓拍图上叠加主/副驾驶人脸小图和主驾驶员的结构化属性信息。车辆前排人脸抓拍废片率≤1%。前排人脸抓拍率≥99%</w:t>
            </w:r>
            <w:r>
              <w:rPr>
                <w:rFonts w:hint="eastAsia" w:ascii="宋体" w:hAnsi="宋体"/>
                <w:color w:val="auto"/>
                <w:sz w:val="24"/>
                <w:highlight w:val="none"/>
              </w:rPr>
              <w:t xml:space="preserve">。</w:t>
            </w:r>
            <w:r/>
          </w:p>
          <w:p>
            <w:pPr>
              <w:rPr>
                <w:rFonts w:ascii="宋体" w:hAnsi="宋体"/>
                <w:b/>
                <w:color w:val="auto"/>
                <w:sz w:val="24"/>
                <w:highlight w:val="none"/>
              </w:rPr>
            </w:pPr>
            <w:r>
              <w:rPr>
                <w:rFonts w:hint="eastAsia" w:ascii="宋体" w:hAnsi="宋体"/>
                <w:b/>
                <w:color w:val="auto"/>
                <w:sz w:val="22"/>
                <w:highlight w:val="none"/>
              </w:rPr>
              <w:t xml:space="preserve">以上内容需提供具有CMA标识的检测报告加盖公章，未提供或内容不全的将作无效投标处理</w:t>
            </w:r>
            <w:r>
              <w:rPr>
                <w:rFonts w:ascii="宋体" w:hAnsi="宋体"/>
                <w:b/>
                <w:color w:val="auto"/>
                <w:sz w:val="22"/>
                <w:highlight w:val="none"/>
              </w:rPr>
              <w:t xml:space="preserve">。</w:t>
            </w:r>
            <w:bookmarkEnd w:id="72"/>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设备的镜头和两个</w:t>
            </w:r>
            <w:r>
              <w:rPr>
                <w:rFonts w:hint="eastAsia" w:ascii="宋体" w:hAnsi="宋体"/>
                <w:color w:val="auto"/>
                <w:sz w:val="24"/>
                <w:highlight w:val="none"/>
              </w:rPr>
              <w:t xml:space="preserve">传感器</w:t>
            </w:r>
            <w:r>
              <w:rPr>
                <w:rFonts w:ascii="宋体" w:hAnsi="宋体"/>
                <w:color w:val="auto"/>
                <w:sz w:val="24"/>
                <w:highlight w:val="none"/>
              </w:rPr>
              <w:t xml:space="preserve">一体化设计，具有独立三角分光棱镜分光结构装置，分别接收可见光和红外光</w:t>
            </w:r>
            <w:r>
              <w:rPr>
                <w:rFonts w:hint="eastAsia" w:ascii="宋体" w:hAnsi="宋体"/>
                <w:color w:val="auto"/>
                <w:sz w:val="24"/>
                <w:highlight w:val="none"/>
              </w:rPr>
              <w:t xml:space="preserve">；</w:t>
            </w:r>
            <w:r/>
          </w:p>
          <w:p>
            <w:pPr>
              <w:rPr>
                <w:rFonts w:ascii="宋体" w:hAnsi="宋体"/>
                <w:color w:val="auto"/>
                <w:sz w:val="24"/>
                <w:highlight w:val="none"/>
              </w:rPr>
            </w:pPr>
            <w:r>
              <w:rPr>
                <w:rFonts w:ascii="宋体" w:hAnsi="宋体"/>
                <w:color w:val="auto"/>
                <w:sz w:val="24"/>
                <w:highlight w:val="none"/>
              </w:rPr>
              <w:t xml:space="preserve">镜头：50mm镜头；最大图像尺寸：≥4096×2160像素；字符叠加时最大可支持4096×2800，视频帧率：在1～25fps可调，视频压缩支持H.265、H.264、M-JPEG；</w:t>
            </w:r>
            <w:r/>
          </w:p>
          <w:p>
            <w:pPr>
              <w:rPr>
                <w:rFonts w:ascii="宋体" w:hAnsi="宋体"/>
                <w:color w:val="auto"/>
                <w:sz w:val="24"/>
                <w:highlight w:val="none"/>
              </w:rPr>
            </w:pPr>
            <w:r>
              <w:rPr>
                <w:rFonts w:ascii="宋体" w:hAnsi="宋体"/>
                <w:color w:val="auto"/>
                <w:sz w:val="24"/>
                <w:highlight w:val="none"/>
              </w:rPr>
              <w:t xml:space="preserve">支持机动车、二轮车（摩托车、自行车、电动二轮车）、三轮车和行人分类检测；支持车前窗挂坠、年检标识、抽烟、驾驶员人脸识别、驾驶室人脸抠图、遮阳板识别等检测功能；</w:t>
            </w:r>
            <w:r/>
          </w:p>
          <w:p>
            <w:pPr>
              <w:rPr>
                <w:rFonts w:ascii="宋体" w:hAnsi="宋体"/>
                <w:color w:val="auto"/>
                <w:sz w:val="24"/>
                <w:highlight w:val="none"/>
              </w:rPr>
            </w:pPr>
            <w:r>
              <w:rPr>
                <w:rFonts w:ascii="宋体" w:hAnsi="宋体"/>
                <w:color w:val="auto"/>
                <w:sz w:val="24"/>
                <w:highlight w:val="none"/>
              </w:rPr>
              <w:t xml:space="preserve">外壳防护等级应≥IP66；</w:t>
            </w:r>
            <w:r/>
          </w:p>
          <w:p>
            <w:pPr>
              <w:rPr>
                <w:rFonts w:ascii="宋体" w:hAnsi="宋体"/>
                <w:color w:val="auto"/>
                <w:sz w:val="24"/>
                <w:highlight w:val="none"/>
              </w:rPr>
            </w:pPr>
            <w:r>
              <w:rPr>
                <w:rFonts w:ascii="宋体" w:hAnsi="宋体"/>
                <w:color w:val="auto"/>
                <w:sz w:val="24"/>
                <w:highlight w:val="none"/>
              </w:rPr>
              <w:t xml:space="preserve">支持车辆捕获抓拍功能，白天和晚上的捕获率均≥99%；支持车牌识别功能，白天和晚上的识别准确率均≥99%；支持异常车牌检测功能，可对故意遮挡及污损车牌进行判断和识别；</w:t>
            </w:r>
            <w:r/>
          </w:p>
          <w:p>
            <w:pPr>
              <w:rPr>
                <w:rFonts w:ascii="宋体" w:hAnsi="宋体"/>
                <w:color w:val="auto"/>
                <w:sz w:val="24"/>
                <w:highlight w:val="none"/>
              </w:rPr>
            </w:pPr>
            <w:r>
              <w:rPr>
                <w:rFonts w:ascii="宋体" w:hAnsi="宋体"/>
                <w:color w:val="auto"/>
                <w:sz w:val="24"/>
                <w:highlight w:val="none"/>
              </w:rPr>
              <w:t xml:space="preserve">支持13种车身颜色识别，包括黑、白、灰、红、绿、蓝、黄、粉、紫、棕、青、金、橙；白天识别准确率≥99%，晚上识别准确率</w:t>
            </w:r>
            <w:bookmarkStart w:id="73" w:name="OLE_LINK9"/>
            <w:r>
              <w:rPr>
                <w:rFonts w:ascii="宋体" w:hAnsi="宋体"/>
                <w:color w:val="auto"/>
                <w:sz w:val="24"/>
                <w:highlight w:val="none"/>
              </w:rPr>
              <w:t xml:space="preserve">≥</w:t>
            </w:r>
            <w:bookmarkEnd w:id="73"/>
            <w:r>
              <w:rPr>
                <w:rFonts w:ascii="宋体" w:hAnsi="宋体"/>
                <w:color w:val="auto"/>
                <w:sz w:val="24"/>
                <w:highlight w:val="none"/>
              </w:rPr>
              <w:t xml:space="preserve">9</w:t>
            </w:r>
            <w:r>
              <w:rPr>
                <w:rFonts w:hint="eastAsia" w:ascii="宋体" w:hAnsi="宋体"/>
                <w:color w:val="auto"/>
                <w:sz w:val="24"/>
                <w:highlight w:val="none"/>
              </w:rPr>
              <w:t xml:space="preserve">5</w:t>
            </w:r>
            <w:r>
              <w:rPr>
                <w:rFonts w:ascii="宋体" w:hAnsi="宋体"/>
                <w:color w:val="auto"/>
                <w:sz w:val="24"/>
                <w:highlight w:val="none"/>
              </w:rPr>
              <w:t xml:space="preserve">%；</w:t>
            </w:r>
            <w:r/>
          </w:p>
          <w:p>
            <w:pPr>
              <w:rPr>
                <w:rFonts w:ascii="宋体" w:hAnsi="宋体"/>
                <w:color w:val="auto"/>
                <w:sz w:val="24"/>
                <w:highlight w:val="none"/>
              </w:rPr>
            </w:pPr>
            <w:r>
              <w:rPr>
                <w:rFonts w:ascii="宋体" w:hAnsi="宋体"/>
                <w:color w:val="auto"/>
                <w:sz w:val="24"/>
                <w:highlight w:val="none"/>
              </w:rPr>
              <w:t xml:space="preserve">支持三轮车/二轮车载人、非机动车逆行、摩托车/非机动车不带头盔等功能检测；</w:t>
            </w:r>
            <w:r/>
          </w:p>
          <w:p>
            <w:pPr>
              <w:rPr>
                <w:rFonts w:ascii="宋体" w:hAnsi="宋体"/>
                <w:color w:val="auto"/>
                <w:sz w:val="24"/>
                <w:highlight w:val="none"/>
              </w:rPr>
            </w:pPr>
            <w:r>
              <w:rPr>
                <w:rFonts w:ascii="宋体" w:hAnsi="宋体"/>
                <w:color w:val="auto"/>
                <w:sz w:val="24"/>
                <w:highlight w:val="none"/>
              </w:rPr>
              <w:t xml:space="preserve">支持主副驾驶人脸抠图功能，单车道场景下，主副驾驶员人脸抠图像素点不小于120像素点×120像素点；</w:t>
            </w:r>
            <w:r/>
          </w:p>
          <w:p>
            <w:pPr>
              <w:rPr>
                <w:rFonts w:ascii="宋体" w:hAnsi="宋体"/>
                <w:color w:val="auto"/>
                <w:sz w:val="24"/>
                <w:highlight w:val="none"/>
              </w:rPr>
            </w:pPr>
            <w:r>
              <w:rPr>
                <w:rFonts w:ascii="宋体" w:hAnsi="宋体"/>
                <w:color w:val="auto"/>
                <w:sz w:val="24"/>
                <w:highlight w:val="none"/>
              </w:rPr>
              <w:t xml:space="preserve">设备可识别不</w:t>
            </w:r>
            <w:r>
              <w:rPr>
                <w:rFonts w:hint="eastAsia" w:ascii="宋体" w:hAnsi="宋体"/>
                <w:color w:val="auto"/>
                <w:sz w:val="24"/>
                <w:highlight w:val="none"/>
              </w:rPr>
              <w:t xml:space="preserve">少于</w:t>
            </w:r>
            <w:r>
              <w:rPr>
                <w:rFonts w:ascii="宋体" w:hAnsi="宋体"/>
                <w:color w:val="auto"/>
                <w:sz w:val="24"/>
                <w:highlight w:val="none"/>
              </w:rPr>
              <w:t xml:space="preserve">35</w:t>
            </w:r>
            <w:r>
              <w:rPr>
                <w:rFonts w:hint="eastAsia" w:ascii="宋体" w:hAnsi="宋体"/>
                <w:color w:val="auto"/>
                <w:sz w:val="24"/>
                <w:highlight w:val="none"/>
              </w:rPr>
              <w:t xml:space="preserve">0</w:t>
            </w:r>
            <w:r>
              <w:rPr>
                <w:rFonts w:ascii="宋体" w:hAnsi="宋体"/>
                <w:color w:val="auto"/>
                <w:sz w:val="24"/>
                <w:highlight w:val="none"/>
              </w:rPr>
              <w:t xml:space="preserve">种机动车品牌标志，白天识别准确率≥99%，夜晚识别准确率≥99%；</w:t>
            </w:r>
            <w:r/>
          </w:p>
          <w:p>
            <w:pPr>
              <w:rPr>
                <w:rFonts w:ascii="宋体" w:hAnsi="宋体"/>
                <w:color w:val="auto"/>
                <w:sz w:val="24"/>
                <w:highlight w:val="none"/>
              </w:rPr>
            </w:pPr>
            <w:r>
              <w:rPr>
                <w:rFonts w:ascii="宋体" w:hAnsi="宋体"/>
                <w:color w:val="auto"/>
                <w:sz w:val="24"/>
                <w:highlight w:val="none"/>
              </w:rPr>
              <w:t xml:space="preserve">支持车牌黑/白名单设置，最大可设置60万条黑/白名单；</w:t>
            </w:r>
            <w:r/>
          </w:p>
          <w:p>
            <w:pPr>
              <w:rPr>
                <w:rFonts w:ascii="宋体" w:hAnsi="宋体"/>
                <w:color w:val="auto"/>
                <w:sz w:val="24"/>
                <w:highlight w:val="none"/>
              </w:rPr>
            </w:pPr>
            <w:r>
              <w:rPr>
                <w:rFonts w:ascii="宋体" w:hAnsi="宋体"/>
                <w:color w:val="auto"/>
                <w:sz w:val="24"/>
                <w:highlight w:val="none"/>
              </w:rPr>
              <w:t xml:space="preserve">支持车辆子品牌识别功能，通过车头可识别7</w:t>
            </w:r>
            <w:r>
              <w:rPr>
                <w:rFonts w:hint="eastAsia" w:ascii="宋体" w:hAnsi="宋体"/>
                <w:color w:val="auto"/>
                <w:sz w:val="24"/>
                <w:highlight w:val="none"/>
              </w:rPr>
              <w:t xml:space="preserve">0</w:t>
            </w:r>
            <w:r>
              <w:rPr>
                <w:rFonts w:ascii="宋体" w:hAnsi="宋体"/>
                <w:color w:val="auto"/>
                <w:sz w:val="24"/>
                <w:highlight w:val="none"/>
              </w:rPr>
              <w:t xml:space="preserve">00种，通过车尾可识别3</w:t>
            </w:r>
            <w:r>
              <w:rPr>
                <w:rFonts w:hint="eastAsia" w:ascii="宋体" w:hAnsi="宋体"/>
                <w:color w:val="auto"/>
                <w:sz w:val="24"/>
                <w:highlight w:val="none"/>
              </w:rPr>
              <w:t xml:space="preserve">5</w:t>
            </w:r>
            <w:r>
              <w:rPr>
                <w:rFonts w:ascii="宋体" w:hAnsi="宋体"/>
                <w:color w:val="auto"/>
                <w:sz w:val="24"/>
                <w:highlight w:val="none"/>
              </w:rPr>
              <w:t xml:space="preserve">00种，全天识别准确率≥99%；</w:t>
            </w:r>
            <w:r/>
          </w:p>
          <w:p>
            <w:pPr>
              <w:rPr>
                <w:rFonts w:ascii="宋体" w:hAnsi="宋体"/>
                <w:color w:val="auto"/>
                <w:sz w:val="24"/>
                <w:highlight w:val="none"/>
              </w:rPr>
            </w:pPr>
            <w:r>
              <w:rPr>
                <w:rFonts w:ascii="宋体" w:hAnsi="宋体"/>
                <w:color w:val="auto"/>
                <w:sz w:val="24"/>
                <w:highlight w:val="none"/>
              </w:rPr>
              <w:t xml:space="preserve">支持对闯禁令的大小货车、土方车、挂车、混凝土搅拌车和大型客车进行检测抓拍，包括黄牌和蓝牌，全天捕获率</w:t>
            </w:r>
            <w:bookmarkStart w:id="74" w:name="OLE_LINK15"/>
            <w:r>
              <w:rPr>
                <w:rFonts w:ascii="宋体" w:hAnsi="宋体"/>
                <w:color w:val="auto"/>
                <w:sz w:val="24"/>
                <w:highlight w:val="none"/>
              </w:rPr>
              <w:t xml:space="preserve">≥</w:t>
            </w:r>
            <w:bookmarkEnd w:id="74"/>
            <w:r>
              <w:rPr>
                <w:rFonts w:ascii="宋体" w:hAnsi="宋体"/>
                <w:color w:val="auto"/>
                <w:sz w:val="24"/>
                <w:highlight w:val="none"/>
              </w:rPr>
              <w:t xml:space="preserve">99%；</w:t>
            </w:r>
            <w:r/>
          </w:p>
          <w:p>
            <w:pPr>
              <w:rPr>
                <w:rFonts w:ascii="宋体" w:hAnsi="宋体"/>
                <w:color w:val="auto"/>
                <w:sz w:val="24"/>
                <w:highlight w:val="none"/>
              </w:rPr>
            </w:pPr>
            <w:r>
              <w:rPr>
                <w:rFonts w:ascii="宋体" w:hAnsi="宋体"/>
                <w:color w:val="auto"/>
                <w:sz w:val="24"/>
                <w:highlight w:val="none"/>
              </w:rPr>
              <w:t xml:space="preserve">支持人体检测、跟踪、抓拍，支持正面、背面抓拍，抓拍率</w:t>
            </w:r>
            <w:bookmarkStart w:id="75" w:name="OLE_LINK5"/>
            <w:r>
              <w:rPr>
                <w:rFonts w:ascii="宋体" w:hAnsi="宋体"/>
                <w:color w:val="auto"/>
                <w:sz w:val="24"/>
                <w:highlight w:val="none"/>
              </w:rPr>
              <w:t xml:space="preserve">≥</w:t>
            </w:r>
            <w:bookmarkEnd w:id="75"/>
            <w:r>
              <w:rPr>
                <w:rFonts w:ascii="宋体" w:hAnsi="宋体"/>
                <w:color w:val="auto"/>
                <w:sz w:val="24"/>
                <w:highlight w:val="none"/>
              </w:rPr>
              <w:t xml:space="preserve">99%；</w:t>
            </w:r>
            <w:r/>
          </w:p>
          <w:p>
            <w:pPr>
              <w:rPr>
                <w:rFonts w:ascii="宋体" w:hAnsi="宋体"/>
                <w:color w:val="auto"/>
                <w:sz w:val="24"/>
                <w:highlight w:val="none"/>
              </w:rPr>
            </w:pPr>
            <w:r>
              <w:rPr>
                <w:rFonts w:ascii="宋体" w:hAnsi="宋体"/>
                <w:color w:val="auto"/>
                <w:sz w:val="24"/>
                <w:highlight w:val="none"/>
              </w:rPr>
              <w:t xml:space="preserve">在同一个视频画面中，最多可同时检测≥100个运动人体目标；</w:t>
            </w:r>
            <w:r/>
          </w:p>
          <w:p>
            <w:pPr>
              <w:rPr>
                <w:rFonts w:ascii="宋体" w:hAnsi="宋体"/>
                <w:color w:val="auto"/>
                <w:sz w:val="24"/>
                <w:highlight w:val="none"/>
              </w:rPr>
            </w:pPr>
            <w:r>
              <w:rPr>
                <w:rFonts w:ascii="宋体" w:hAnsi="宋体"/>
                <w:color w:val="auto"/>
                <w:sz w:val="24"/>
                <w:highlight w:val="none"/>
              </w:rPr>
              <w:t xml:space="preserve">支持对行人和非机动车的人脸进行检测与抠图，高像素状态下，抓拍人脸像素点约为150*150；可对人脸抠图的像素大小、亮度、边框放大倍数进行调节，抠图准确率≥99%；</w:t>
            </w:r>
            <w:r/>
          </w:p>
          <w:p>
            <w:pPr>
              <w:rPr>
                <w:rFonts w:ascii="宋体" w:hAnsi="宋体"/>
                <w:color w:val="auto"/>
                <w:sz w:val="24"/>
                <w:highlight w:val="none"/>
              </w:rPr>
            </w:pPr>
            <w:r>
              <w:rPr>
                <w:rFonts w:ascii="宋体" w:hAnsi="宋体"/>
                <w:color w:val="auto"/>
                <w:sz w:val="24"/>
                <w:highlight w:val="none"/>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886"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（3）LED补光灯</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采用暖光LED灯珠，可实现单车道环境补光；</w:t>
            </w:r>
            <w:r/>
          </w:p>
          <w:p>
            <w:pPr>
              <w:rPr>
                <w:rFonts w:ascii="宋体" w:hAnsi="宋体"/>
                <w:color w:val="auto"/>
                <w:sz w:val="24"/>
                <w:highlight w:val="none"/>
              </w:rPr>
            </w:pPr>
            <w:r>
              <w:rPr>
                <w:rFonts w:ascii="宋体" w:hAnsi="宋体"/>
                <w:color w:val="auto"/>
                <w:sz w:val="24"/>
                <w:highlight w:val="none"/>
              </w:rPr>
              <w:t xml:space="preserve">色温范围：4500K-7000K；</w:t>
            </w:r>
            <w:r/>
          </w:p>
          <w:p>
            <w:pPr>
              <w:rPr>
                <w:rFonts w:ascii="宋体" w:hAnsi="宋体"/>
                <w:color w:val="auto"/>
                <w:sz w:val="24"/>
                <w:highlight w:val="none"/>
              </w:rPr>
            </w:pPr>
            <w:r>
              <w:rPr>
                <w:rFonts w:ascii="宋体" w:hAnsi="宋体"/>
                <w:color w:val="auto"/>
                <w:sz w:val="24"/>
                <w:highlight w:val="none"/>
              </w:rPr>
              <w:t xml:space="preserve">有效补光距离：1</w:t>
            </w:r>
            <w:r>
              <w:rPr>
                <w:rFonts w:hint="eastAsia" w:ascii="宋体" w:hAnsi="宋体"/>
                <w:color w:val="auto"/>
                <w:sz w:val="24"/>
                <w:highlight w:val="none"/>
              </w:rPr>
              <w:t xml:space="preserve">5</w:t>
            </w:r>
            <w:r>
              <w:rPr>
                <w:rFonts w:ascii="宋体" w:hAnsi="宋体"/>
                <w:color w:val="auto"/>
                <w:sz w:val="24"/>
                <w:highlight w:val="none"/>
              </w:rPr>
              <w:t xml:space="preserve">m～25m；</w:t>
            </w:r>
            <w:r/>
          </w:p>
          <w:p>
            <w:pPr>
              <w:rPr>
                <w:rFonts w:ascii="宋体" w:hAnsi="宋体"/>
                <w:color w:val="auto"/>
                <w:sz w:val="24"/>
                <w:highlight w:val="none"/>
              </w:rPr>
            </w:pPr>
            <w:r>
              <w:rPr>
                <w:rFonts w:ascii="宋体" w:hAnsi="宋体"/>
                <w:color w:val="auto"/>
                <w:sz w:val="24"/>
                <w:highlight w:val="none"/>
              </w:rPr>
              <w:t xml:space="preserve">最大功耗≤50W；</w:t>
            </w:r>
            <w:r/>
          </w:p>
          <w:p>
            <w:pPr>
              <w:rPr>
                <w:rFonts w:ascii="宋体" w:hAnsi="宋体"/>
                <w:color w:val="auto"/>
                <w:sz w:val="24"/>
                <w:highlight w:val="none"/>
              </w:rPr>
            </w:pPr>
            <w:r>
              <w:rPr>
                <w:rFonts w:ascii="宋体" w:hAnsi="宋体"/>
                <w:color w:val="auto"/>
                <w:sz w:val="24"/>
                <w:highlight w:val="none"/>
              </w:rPr>
              <w:t xml:space="preserve">使用寿命≥50000小时。</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4</w:t>
      </w:r>
      <w:r>
        <w:rPr>
          <w:rFonts w:hint="eastAsia" w:ascii="宋体" w:hAnsi="宋体"/>
          <w:b/>
          <w:bCs/>
          <w:color w:val="auto"/>
          <w:sz w:val="24"/>
          <w:highlight w:val="none"/>
        </w:rPr>
        <w:t xml:space="preserve">）多合一智能补光灯</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具备暖光LED频闪，白光气体爆闪，红外气体爆闪补光功能；</w:t>
            </w:r>
            <w:r/>
          </w:p>
          <w:p>
            <w:pPr>
              <w:rPr>
                <w:rFonts w:ascii="宋体" w:hAnsi="宋体"/>
                <w:color w:val="auto"/>
                <w:sz w:val="24"/>
                <w:highlight w:val="none"/>
              </w:rPr>
            </w:pPr>
            <w:r>
              <w:rPr>
                <w:rFonts w:ascii="宋体" w:hAnsi="宋体"/>
                <w:color w:val="auto"/>
                <w:sz w:val="24"/>
                <w:highlight w:val="none"/>
              </w:rPr>
              <w:t xml:space="preserve">具备红外白光补光模式切换功能，白天使用白光爆闪、夜间使用红外爆闪，有效解决夜间光污染，减少对人眼刺激；</w:t>
            </w:r>
            <w:r/>
          </w:p>
          <w:p>
            <w:pPr>
              <w:rPr>
                <w:rFonts w:ascii="宋体" w:hAnsi="宋体"/>
                <w:color w:val="auto"/>
                <w:sz w:val="24"/>
                <w:highlight w:val="none"/>
              </w:rPr>
            </w:pPr>
            <w:r>
              <w:rPr>
                <w:rFonts w:ascii="宋体" w:hAnsi="宋体"/>
                <w:color w:val="auto"/>
                <w:sz w:val="24"/>
                <w:highlight w:val="none"/>
              </w:rPr>
              <w:t xml:space="preserve">满足单车道环境补光要求；</w:t>
            </w:r>
            <w:r/>
          </w:p>
          <w:p>
            <w:pPr>
              <w:rPr>
                <w:rFonts w:ascii="宋体" w:hAnsi="宋体"/>
                <w:color w:val="auto"/>
                <w:sz w:val="24"/>
                <w:highlight w:val="none"/>
              </w:rPr>
            </w:pPr>
            <w:r>
              <w:rPr>
                <w:rFonts w:ascii="宋体" w:hAnsi="宋体"/>
                <w:color w:val="auto"/>
                <w:sz w:val="24"/>
                <w:highlight w:val="none"/>
              </w:rPr>
              <w:t xml:space="preserve">色温：LED＜4000K，气体灯＜7000K；</w:t>
            </w:r>
            <w:r/>
          </w:p>
          <w:p>
            <w:pPr>
              <w:rPr>
                <w:rFonts w:ascii="宋体" w:hAnsi="宋体"/>
                <w:color w:val="auto"/>
                <w:sz w:val="24"/>
                <w:highlight w:val="none"/>
              </w:rPr>
            </w:pPr>
            <w:r>
              <w:rPr>
                <w:rFonts w:ascii="宋体" w:hAnsi="宋体"/>
                <w:color w:val="auto"/>
                <w:sz w:val="24"/>
                <w:highlight w:val="none"/>
              </w:rPr>
              <w:t xml:space="preserve">有效补光距离：1</w:t>
            </w:r>
            <w:r>
              <w:rPr>
                <w:rFonts w:hint="eastAsia" w:ascii="宋体" w:hAnsi="宋体"/>
                <w:color w:val="auto"/>
                <w:sz w:val="24"/>
                <w:highlight w:val="none"/>
              </w:rPr>
              <w:t xml:space="preserve">5</w:t>
            </w:r>
            <w:r>
              <w:rPr>
                <w:rFonts w:ascii="宋体" w:hAnsi="宋体"/>
                <w:color w:val="auto"/>
                <w:sz w:val="24"/>
                <w:highlight w:val="none"/>
              </w:rPr>
              <w:t xml:space="preserve">m～25m；</w:t>
            </w:r>
            <w:r/>
          </w:p>
          <w:p>
            <w:pPr>
              <w:rPr>
                <w:rFonts w:ascii="宋体" w:hAnsi="宋体"/>
                <w:color w:val="auto"/>
                <w:sz w:val="24"/>
                <w:highlight w:val="none"/>
              </w:rPr>
            </w:pPr>
            <w:r>
              <w:rPr>
                <w:rFonts w:ascii="宋体" w:hAnsi="宋体"/>
                <w:color w:val="auto"/>
                <w:sz w:val="24"/>
                <w:highlight w:val="none"/>
              </w:rPr>
              <w:t xml:space="preserve">最大功耗：LED频闪≤60W，气体爆闪瞬间最大≤300W；</w:t>
            </w:r>
            <w:r/>
          </w:p>
          <w:p>
            <w:pPr>
              <w:rPr>
                <w:rFonts w:ascii="宋体" w:hAnsi="宋体"/>
                <w:color w:val="auto"/>
                <w:sz w:val="24"/>
                <w:highlight w:val="none"/>
              </w:rPr>
            </w:pPr>
            <w:r>
              <w:rPr>
                <w:rFonts w:ascii="宋体" w:hAnsi="宋体"/>
                <w:color w:val="auto"/>
                <w:sz w:val="24"/>
                <w:highlight w:val="none"/>
              </w:rPr>
              <w:t xml:space="preserve">使用寿命≥50000小时。</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（5）全景监控</w:t>
      </w:r>
      <w:r/>
    </w:p>
    <w:tbl>
      <w:tblPr>
        <w:tblStyle w:val="637"/>
        <w:tblW w:w="8495" w:type="dxa"/>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953"/>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95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953"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953"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传感器类型：1/1.8＂progressivescanCMOS；</w:t>
            </w:r>
            <w:r/>
          </w:p>
          <w:p>
            <w:pPr>
              <w:rPr>
                <w:rFonts w:ascii="宋体" w:hAnsi="宋体"/>
                <w:color w:val="auto"/>
                <w:sz w:val="24"/>
                <w:highlight w:val="none"/>
              </w:rPr>
            </w:pPr>
            <w:r>
              <w:rPr>
                <w:rFonts w:hint="eastAsia" w:ascii="宋体" w:hAnsi="宋体"/>
                <w:color w:val="auto"/>
                <w:sz w:val="24"/>
                <w:highlight w:val="none"/>
              </w:rPr>
              <w:t xml:space="preserve">最低照度：彩色0.0005Lux@(F1.4，AGCON)，</w:t>
            </w:r>
            <w:r>
              <w:rPr>
                <w:color w:val="auto"/>
                <w:highlight w:val="none"/>
              </w:rPr>
              <w:fldChar w:fldCharType="begin"/>
            </w:r>
            <w:r>
              <w:rPr>
                <w:color w:val="auto"/>
                <w:highlight w:val="none"/>
              </w:rPr>
              <w:instrText xml:space="preserve"> HYPERLINK "mailto:黑白0.0001Lux@(F1.4，AGCON)，0LuxwithIR" </w:instrText>
            </w:r>
            <w:r>
              <w:rPr>
                <w:color w:val="auto"/>
                <w:highlight w:val="none"/>
              </w:rPr>
              <w:fldChar w:fldCharType="separate"/>
            </w:r>
            <w:r>
              <w:rPr>
                <w:rFonts w:ascii="宋体" w:hAnsi="宋体"/>
                <w:color w:val="auto"/>
                <w:sz w:val="24"/>
                <w:highlight w:val="none"/>
              </w:rPr>
              <w:t xml:space="preserve">黑白0.0001Lux@(F1.4，AGCON)，0LuxwithIR</w:t>
            </w:r>
            <w:r>
              <w:rPr>
                <w:rFonts w:ascii="宋体" w:hAnsi="宋体"/>
                <w:color w:val="auto"/>
                <w:sz w:val="24"/>
                <w:highlight w:val="none"/>
              </w:rPr>
              <w:fldChar w:fldCharType="end"/>
            </w:r>
            <w:r>
              <w:rPr>
                <w:rFonts w:hint="eastAsia" w:ascii="宋体" w:hAnsi="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光学变倍：32倍；</w:t>
            </w:r>
            <w:r/>
          </w:p>
          <w:p>
            <w:pPr>
              <w:rPr>
                <w:rFonts w:ascii="宋体" w:hAnsi="宋体"/>
                <w:color w:val="auto"/>
                <w:sz w:val="24"/>
                <w:highlight w:val="none"/>
              </w:rPr>
            </w:pPr>
            <w:r>
              <w:rPr>
                <w:rFonts w:hint="eastAsia" w:ascii="宋体" w:hAnsi="宋体"/>
                <w:color w:val="auto"/>
                <w:sz w:val="24"/>
                <w:highlight w:val="none"/>
              </w:rPr>
              <w:t xml:space="preserve">数字变倍：16倍；</w:t>
            </w:r>
            <w:r/>
          </w:p>
          <w:p>
            <w:pPr>
              <w:rPr>
                <w:rFonts w:ascii="宋体" w:hAnsi="宋体"/>
                <w:color w:val="auto"/>
                <w:sz w:val="24"/>
                <w:highlight w:val="none"/>
              </w:rPr>
            </w:pPr>
            <w:r>
              <w:rPr>
                <w:rFonts w:hint="eastAsia" w:ascii="宋体" w:hAnsi="宋体"/>
                <w:color w:val="auto"/>
                <w:sz w:val="24"/>
                <w:highlight w:val="none"/>
              </w:rPr>
              <w:t xml:space="preserve">视场角：2个F1.0大光圈全彩镜头，组成全景水平190°画面；</w:t>
            </w:r>
            <w:r/>
          </w:p>
          <w:p>
            <w:pPr>
              <w:rPr>
                <w:rFonts w:ascii="宋体" w:hAnsi="宋体"/>
                <w:color w:val="auto"/>
                <w:sz w:val="24"/>
                <w:highlight w:val="none"/>
              </w:rPr>
            </w:pPr>
            <w:r>
              <w:rPr>
                <w:rFonts w:hint="eastAsia" w:ascii="宋体" w:hAnsi="宋体"/>
                <w:color w:val="auto"/>
                <w:sz w:val="24"/>
                <w:highlight w:val="none"/>
              </w:rPr>
              <w:t xml:space="preserve">白光照射距离：30m；</w:t>
            </w:r>
            <w:r/>
          </w:p>
          <w:p>
            <w:pPr>
              <w:rPr>
                <w:rFonts w:ascii="宋体" w:hAnsi="宋体"/>
                <w:color w:val="auto"/>
                <w:sz w:val="24"/>
                <w:highlight w:val="none"/>
              </w:rPr>
            </w:pPr>
            <w:r>
              <w:rPr>
                <w:rFonts w:hint="eastAsia" w:ascii="宋体" w:hAnsi="宋体"/>
                <w:color w:val="auto"/>
                <w:sz w:val="24"/>
                <w:highlight w:val="none"/>
              </w:rPr>
              <w:t xml:space="preserve">全景路视频图像分辨率不小于3632×1632，细节路视频图像分辨率不小于2560x1440；</w:t>
            </w:r>
            <w:r/>
          </w:p>
          <w:p>
            <w:pPr>
              <w:rPr>
                <w:rFonts w:ascii="宋体" w:hAnsi="宋体"/>
                <w:color w:val="auto"/>
                <w:sz w:val="24"/>
                <w:highlight w:val="none"/>
              </w:rPr>
            </w:pPr>
            <w:r>
              <w:rPr>
                <w:rFonts w:hint="eastAsia" w:ascii="宋体" w:hAnsi="宋体"/>
                <w:color w:val="auto"/>
                <w:sz w:val="24"/>
                <w:highlight w:val="none"/>
              </w:rPr>
              <w:t xml:space="preserve">支持同时检测监控场景内出现的不少于30张人脸，并可进行抓拍；</w:t>
            </w:r>
            <w:r/>
          </w:p>
          <w:p>
            <w:pPr>
              <w:rPr>
                <w:rFonts w:ascii="宋体" w:hAnsi="宋体"/>
                <w:color w:val="auto"/>
                <w:sz w:val="24"/>
                <w:highlight w:val="none"/>
              </w:rPr>
            </w:pPr>
            <w:r>
              <w:rPr>
                <w:rFonts w:hint="eastAsia" w:ascii="宋体" w:hAnsi="宋体"/>
                <w:color w:val="auto"/>
                <w:sz w:val="24"/>
                <w:highlight w:val="none"/>
              </w:rPr>
              <w:t xml:space="preserve">设备全景通道可对设定区域进行布防，当检测到目标时联动细节摄像机可对目标进行跟踪及报警；</w:t>
            </w:r>
            <w:r/>
          </w:p>
          <w:p>
            <w:pPr>
              <w:rPr>
                <w:rFonts w:ascii="宋体" w:hAnsi="宋体"/>
                <w:color w:val="auto"/>
                <w:sz w:val="24"/>
                <w:highlight w:val="none"/>
              </w:rPr>
            </w:pPr>
            <w:r>
              <w:rPr>
                <w:rFonts w:hint="eastAsia" w:ascii="宋体" w:hAnsi="宋体"/>
                <w:color w:val="auto"/>
                <w:sz w:val="24"/>
                <w:highlight w:val="none"/>
              </w:rPr>
              <w:t xml:space="preserve">全景通道区域入侵检测最远距离为50m；</w:t>
            </w:r>
            <w:r/>
          </w:p>
          <w:p>
            <w:pPr>
              <w:rPr>
                <w:rFonts w:ascii="宋体" w:hAnsi="宋体"/>
                <w:color w:val="auto"/>
                <w:sz w:val="24"/>
                <w:highlight w:val="none"/>
              </w:rPr>
            </w:pPr>
            <w:r>
              <w:rPr>
                <w:rFonts w:hint="eastAsia" w:ascii="宋体" w:hAnsi="宋体"/>
                <w:color w:val="auto"/>
                <w:sz w:val="24"/>
                <w:highlight w:val="none"/>
              </w:rPr>
              <w:t xml:space="preserve">摄像机内置不少于3个镜头，可输出至少一路全景视频和一路细节视频，其中全景内置不少于2个镜头，细节内置1个镜头；</w:t>
            </w:r>
            <w:r/>
          </w:p>
          <w:p>
            <w:pPr>
              <w:rPr>
                <w:rFonts w:ascii="宋体" w:hAnsi="宋体"/>
                <w:color w:val="auto"/>
                <w:sz w:val="24"/>
                <w:highlight w:val="none"/>
              </w:rPr>
            </w:pPr>
            <w:r>
              <w:rPr>
                <w:rFonts w:hint="eastAsia" w:ascii="宋体" w:hAnsi="宋体"/>
                <w:color w:val="auto"/>
                <w:sz w:val="24"/>
                <w:highlight w:val="none"/>
              </w:rPr>
              <w:t xml:space="preserve">工作温湿度：-40℃~70℃；相对湿度小于95%；</w:t>
            </w:r>
            <w:r/>
          </w:p>
          <w:p>
            <w:pPr>
              <w:rPr>
                <w:rFonts w:ascii="宋体" w:hAnsi="宋体"/>
                <w:color w:val="auto"/>
                <w:sz w:val="24"/>
                <w:highlight w:val="none"/>
              </w:rPr>
            </w:pPr>
            <w:r>
              <w:rPr>
                <w:rFonts w:hint="eastAsia" w:ascii="宋体" w:hAnsi="宋体"/>
                <w:color w:val="auto"/>
                <w:sz w:val="24"/>
                <w:highlight w:val="none"/>
              </w:rPr>
              <w:t xml:space="preserve">在样机上方使用手持喷淋装置对样机进行喷水操作，水流方向与水平方向夹角大于等于42°时，样机视窗应无水流直接接触。</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95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（6）智能交通终端管理服务器</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内置</w:t>
            </w:r>
            <w:r>
              <w:rPr>
                <w:rFonts w:ascii="宋体" w:hAnsi="宋体"/>
                <w:color w:val="auto"/>
                <w:sz w:val="24"/>
                <w:highlight w:val="none"/>
              </w:rPr>
              <w:t xml:space="preserve">≥</w:t>
            </w:r>
            <w:r>
              <w:rPr>
                <w:rFonts w:hint="eastAsia" w:ascii="宋体" w:hAnsi="宋体"/>
                <w:color w:val="auto"/>
                <w:sz w:val="24"/>
                <w:highlight w:val="none"/>
              </w:rPr>
              <w:t xml:space="preserve">1块3.5寸4T硬盘；</w:t>
            </w:r>
            <w:r/>
          </w:p>
          <w:p>
            <w:pPr>
              <w:rPr>
                <w:rFonts w:ascii="宋体" w:hAnsi="宋体"/>
                <w:color w:val="auto"/>
                <w:sz w:val="24"/>
                <w:highlight w:val="none"/>
              </w:rPr>
            </w:pPr>
            <w:r>
              <w:rPr>
                <w:rFonts w:hint="eastAsia" w:ascii="宋体" w:hAnsi="宋体"/>
                <w:color w:val="auto"/>
                <w:sz w:val="24"/>
                <w:highlight w:val="none"/>
              </w:rPr>
              <w:t xml:space="preserve">支持16路IPC接入；</w:t>
            </w:r>
            <w:r/>
          </w:p>
          <w:p>
            <w:pPr>
              <w:rPr>
                <w:rFonts w:ascii="宋体" w:hAnsi="宋体"/>
                <w:color w:val="auto"/>
                <w:sz w:val="24"/>
                <w:highlight w:val="none"/>
              </w:rPr>
            </w:pPr>
            <w:r>
              <w:rPr>
                <w:rFonts w:hint="eastAsia" w:ascii="宋体" w:hAnsi="宋体"/>
                <w:color w:val="auto"/>
                <w:sz w:val="24"/>
                <w:highlight w:val="none"/>
              </w:rPr>
              <w:t xml:space="preserve">网络接口：设备具有16个1000M以太网接口，1个内部和1个外部10/100/1000M自适应以太网接口，1个内部和1个外部千兆可光电切换光纤接口（需选配光模块）；</w:t>
            </w:r>
            <w:r/>
          </w:p>
          <w:p>
            <w:pPr>
              <w:rPr>
                <w:rFonts w:ascii="宋体" w:hAnsi="宋体"/>
                <w:color w:val="auto"/>
                <w:sz w:val="24"/>
                <w:highlight w:val="none"/>
              </w:rPr>
            </w:pPr>
            <w:r>
              <w:rPr>
                <w:rFonts w:hint="eastAsia" w:ascii="宋体" w:hAnsi="宋体"/>
                <w:color w:val="auto"/>
                <w:sz w:val="24"/>
                <w:highlight w:val="none"/>
              </w:rPr>
              <w:t xml:space="preserve">其他接口：设备具有2个RS-232接口、2个RS-485接口、1个USB3.0接口、2路报警输入接口、2路报警输出接口、1个音频输入接口、1个音频输出接口、1个USB3.0接口；</w:t>
            </w:r>
            <w:r/>
          </w:p>
          <w:p>
            <w:pPr>
              <w:rPr>
                <w:rFonts w:ascii="宋体" w:hAnsi="宋体"/>
                <w:color w:val="auto"/>
                <w:sz w:val="24"/>
                <w:highlight w:val="none"/>
              </w:rPr>
            </w:pPr>
            <w:r>
              <w:rPr>
                <w:rFonts w:hint="eastAsia" w:ascii="宋体" w:hAnsi="宋体"/>
                <w:color w:val="auto"/>
                <w:sz w:val="24"/>
                <w:highlight w:val="none"/>
              </w:rPr>
              <w:t xml:space="preserve">支持对通行车辆的信息（记录和图片）存储；</w:t>
            </w:r>
            <w:r/>
          </w:p>
          <w:p>
            <w:pPr>
              <w:rPr>
                <w:rFonts w:ascii="宋体" w:hAnsi="宋体"/>
                <w:color w:val="auto"/>
                <w:sz w:val="24"/>
                <w:highlight w:val="none"/>
              </w:rPr>
            </w:pPr>
            <w:r>
              <w:rPr>
                <w:rFonts w:hint="eastAsia" w:ascii="宋体" w:hAnsi="宋体"/>
                <w:color w:val="auto"/>
                <w:sz w:val="24"/>
                <w:highlight w:val="none"/>
              </w:rPr>
              <w:t xml:space="preserve">支持录像存储功能；</w:t>
            </w:r>
            <w:r/>
          </w:p>
          <w:p>
            <w:pPr>
              <w:rPr>
                <w:rFonts w:ascii="宋体" w:hAnsi="宋体"/>
                <w:color w:val="auto"/>
                <w:sz w:val="24"/>
                <w:highlight w:val="none"/>
              </w:rPr>
            </w:pPr>
            <w:r>
              <w:rPr>
                <w:rFonts w:hint="eastAsia" w:ascii="宋体" w:hAnsi="宋体"/>
                <w:color w:val="auto"/>
                <w:sz w:val="24"/>
                <w:highlight w:val="none"/>
              </w:rPr>
              <w:t xml:space="preserve">可配置多种字符叠加、图片合成模式；</w:t>
            </w:r>
            <w:r/>
          </w:p>
          <w:p>
            <w:pPr>
              <w:rPr>
                <w:rFonts w:ascii="宋体" w:hAnsi="宋体"/>
                <w:color w:val="auto"/>
                <w:sz w:val="24"/>
                <w:highlight w:val="none"/>
              </w:rPr>
            </w:pPr>
            <w:r>
              <w:rPr>
                <w:rFonts w:hint="eastAsia" w:ascii="宋体" w:hAnsi="宋体"/>
                <w:color w:val="auto"/>
                <w:sz w:val="24"/>
                <w:highlight w:val="none"/>
              </w:rPr>
              <w:t xml:space="preserve">支持区间测速功能；</w:t>
            </w:r>
            <w:r/>
          </w:p>
          <w:p>
            <w:pPr>
              <w:rPr>
                <w:rFonts w:ascii="宋体" w:hAnsi="宋体"/>
                <w:color w:val="auto"/>
                <w:sz w:val="24"/>
                <w:highlight w:val="none"/>
              </w:rPr>
            </w:pPr>
            <w:r>
              <w:rPr>
                <w:rFonts w:hint="eastAsia" w:ascii="宋体" w:hAnsi="宋体"/>
                <w:color w:val="auto"/>
                <w:sz w:val="24"/>
                <w:highlight w:val="none"/>
              </w:rPr>
              <w:t xml:space="preserve">可配置增加GPS校时模块；</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（7）电警立杆</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立杆八角直径180</w:t>
            </w:r>
            <w:r>
              <w:rPr>
                <w:rFonts w:hint="eastAsia" w:ascii="宋体" w:hAnsi="宋体"/>
                <w:color w:val="auto"/>
                <w:sz w:val="24"/>
                <w:highlight w:val="none"/>
              </w:rPr>
              <w:t xml:space="preserve">mm</w:t>
            </w:r>
            <w:r>
              <w:rPr>
                <w:rFonts w:ascii="宋体" w:hAnsi="宋体"/>
                <w:color w:val="auto"/>
                <w:sz w:val="24"/>
                <w:highlight w:val="none"/>
              </w:rPr>
              <w:t xml:space="preserve">-240mm-5mm厚-6.5m，横臂八角直径90mm-165mm-3mm厚-6m，基础法兰直径450mm-16mm厚，热镀锌后喷塑。固定法兰直径450mm-4mm厚，预埋件螺栓对角中心距350mm-6支M24圆钢长1.125米。</w:t>
            </w:r>
            <w:r/>
          </w:p>
          <w:p>
            <w:pPr>
              <w:rPr>
                <w:rFonts w:ascii="宋体" w:hAnsi="宋体"/>
                <w:color w:val="auto"/>
                <w:sz w:val="24"/>
                <w:highlight w:val="none"/>
              </w:rPr>
            </w:pPr>
            <w:r>
              <w:rPr>
                <w:rFonts w:ascii="宋体" w:hAnsi="宋体"/>
                <w:color w:val="auto"/>
                <w:sz w:val="24"/>
                <w:highlight w:val="none"/>
              </w:rPr>
              <w:t xml:space="preserve">基坑规格：1200mm*1200mm-1400mm深。</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（8）借杆横臂</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外径</w:t>
            </w:r>
            <w:r>
              <w:rPr>
                <w:rFonts w:ascii="宋体" w:hAnsi="宋体"/>
                <w:color w:val="auto"/>
                <w:sz w:val="24"/>
                <w:highlight w:val="none"/>
              </w:rPr>
              <w:t xml:space="preserve">60mm-2mm厚-3m，镀锌喷塑</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（9）抱杆机箱</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bookmarkStart w:id="76" w:name="OLE_LINK16"/>
            <w:r>
              <w:rPr>
                <w:rFonts w:hint="eastAsia" w:ascii="宋体" w:hAnsi="宋体"/>
                <w:color w:val="auto"/>
                <w:sz w:val="24"/>
                <w:highlight w:val="none"/>
              </w:rPr>
              <w:t xml:space="preserve">尺寸</w:t>
            </w:r>
            <w:bookmarkEnd w:id="76"/>
            <w:r>
              <w:rPr>
                <w:rFonts w:hint="eastAsia" w:ascii="宋体" w:hAnsi="宋体"/>
                <w:color w:val="auto"/>
                <w:sz w:val="24"/>
                <w:highlight w:val="none"/>
              </w:rPr>
              <w:t xml:space="preserve">≥400</w:t>
            </w:r>
            <w:r>
              <w:rPr>
                <w:rFonts w:ascii="宋体" w:hAnsi="宋体"/>
                <w:color w:val="auto"/>
                <w:sz w:val="24"/>
                <w:highlight w:val="none"/>
              </w:rPr>
              <w:t xml:space="preserve">mm</w:t>
            </w:r>
            <w:r>
              <w:rPr>
                <w:rFonts w:hint="eastAsia" w:ascii="宋体" w:hAnsi="宋体"/>
                <w:color w:val="auto"/>
                <w:sz w:val="24"/>
                <w:highlight w:val="none"/>
              </w:rPr>
              <w:t xml:space="preserve">*300</w:t>
            </w:r>
            <w:r>
              <w:rPr>
                <w:rFonts w:ascii="宋体" w:hAnsi="宋体"/>
                <w:color w:val="auto"/>
                <w:sz w:val="24"/>
                <w:highlight w:val="none"/>
              </w:rPr>
              <w:t xml:space="preserve">mm</w:t>
            </w:r>
            <w:r>
              <w:rPr>
                <w:rFonts w:hint="eastAsia" w:ascii="宋体" w:hAnsi="宋体"/>
                <w:color w:val="auto"/>
                <w:sz w:val="24"/>
                <w:highlight w:val="none"/>
              </w:rPr>
              <w:t xml:space="preserve">*250mm，户外型，带防雨棚，采用镀锌板材制作，表面喷塑处理，箱体背部焊接挂杆安装或抱箍安装部件，箱体下部开螺丝固定孔及进出线孔，箱体门板背部密封采用一体化发泡胶形式，门板正面按要求丝网印制相关内容，内部配置一块可拆卸隔板，内部电气部分配置两只断路器，一只浪涌保护器，一只六位带开关插座，一个接地铜排。</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10</w:t>
      </w:r>
      <w:r>
        <w:rPr>
          <w:rFonts w:hint="eastAsia" w:ascii="宋体" w:hAnsi="宋体"/>
          <w:b/>
          <w:bCs/>
          <w:color w:val="auto"/>
          <w:sz w:val="24"/>
          <w:highlight w:val="none"/>
        </w:rPr>
        <w:t xml:space="preserve">）网络防雷器</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RJ45防雷</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1</w:t>
      </w:r>
      <w:r>
        <w:rPr>
          <w:rFonts w:hint="eastAsia" w:ascii="宋体" w:hAnsi="宋体"/>
          <w:b/>
          <w:bCs/>
          <w:color w:val="auto"/>
          <w:sz w:val="24"/>
          <w:highlight w:val="none"/>
        </w:rPr>
        <w:t xml:space="preserve">）落地机箱（含基础）</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基坑开挖，开挖尺寸700</w:t>
            </w:r>
            <w:r>
              <w:rPr>
                <w:rFonts w:ascii="宋体" w:hAnsi="宋体"/>
                <w:color w:val="auto"/>
                <w:sz w:val="24"/>
                <w:highlight w:val="none"/>
              </w:rPr>
              <w:t xml:space="preserve">mm</w:t>
            </w:r>
            <w:r>
              <w:rPr>
                <w:rFonts w:hint="eastAsia" w:ascii="宋体" w:hAnsi="宋体"/>
                <w:color w:val="auto"/>
                <w:sz w:val="24"/>
                <w:highlight w:val="none"/>
              </w:rPr>
              <w:t xml:space="preserve">*600</w:t>
            </w:r>
            <w:r>
              <w:rPr>
                <w:rFonts w:ascii="宋体" w:hAnsi="宋体"/>
                <w:color w:val="auto"/>
                <w:sz w:val="24"/>
                <w:highlight w:val="none"/>
              </w:rPr>
              <w:t xml:space="preserve">mm</w:t>
            </w:r>
            <w:r>
              <w:rPr>
                <w:rFonts w:hint="eastAsia" w:ascii="宋体" w:hAnsi="宋体"/>
                <w:color w:val="auto"/>
                <w:sz w:val="24"/>
                <w:highlight w:val="none"/>
              </w:rPr>
              <w:t xml:space="preserve">*100mm，余方外运，运距≤20km，底部素土夯实，夯实度≥95%；</w:t>
            </w:r>
            <w:r/>
          </w:p>
          <w:p>
            <w:pPr>
              <w:rPr>
                <w:rFonts w:ascii="宋体" w:hAnsi="宋体"/>
                <w:color w:val="auto"/>
                <w:sz w:val="24"/>
                <w:highlight w:val="none"/>
              </w:rPr>
            </w:pPr>
            <w:r>
              <w:rPr>
                <w:rFonts w:hint="eastAsia" w:ascii="宋体" w:hAnsi="宋体"/>
                <w:color w:val="auto"/>
                <w:sz w:val="24"/>
                <w:highlight w:val="none"/>
              </w:rPr>
              <w:t xml:space="preserve">浇筑前预留4根Φ50PE管道，预埋深度500mm，支模并浇筑C25商品砼素混凝土基础，基础高出±0以上200mm；</w:t>
            </w:r>
            <w:r/>
          </w:p>
          <w:p>
            <w:pPr>
              <w:rPr>
                <w:rFonts w:ascii="宋体" w:hAnsi="宋体"/>
                <w:color w:val="auto"/>
                <w:sz w:val="24"/>
                <w:highlight w:val="none"/>
              </w:rPr>
            </w:pPr>
            <w:r>
              <w:rPr>
                <w:rFonts w:hint="eastAsia" w:ascii="宋体" w:hAnsi="宋体"/>
                <w:color w:val="auto"/>
                <w:sz w:val="24"/>
                <w:highlight w:val="none"/>
              </w:rPr>
              <w:t xml:space="preserve">机箱采用镀锌板喷塑，厚≥1.4mm，尺寸≥54cm*48cm*107cm；</w:t>
            </w:r>
            <w:r/>
          </w:p>
          <w:p>
            <w:pPr>
              <w:rPr>
                <w:rFonts w:ascii="宋体" w:hAnsi="宋体"/>
                <w:color w:val="auto"/>
                <w:sz w:val="24"/>
                <w:highlight w:val="none"/>
              </w:rPr>
            </w:pPr>
            <w:r>
              <w:rPr>
                <w:rFonts w:hint="eastAsia" w:ascii="宋体" w:hAnsi="宋体"/>
                <w:color w:val="auto"/>
                <w:sz w:val="24"/>
                <w:highlight w:val="none"/>
              </w:rPr>
              <w:t xml:space="preserve">配置包括箱体、接地铜排、温控系统、五眼插座5个、铜排及端子排各1套、16A</w:t>
            </w:r>
            <w:r>
              <w:rPr>
                <w:rFonts w:ascii="宋体" w:hAnsi="宋体"/>
                <w:color w:val="auto"/>
                <w:sz w:val="24"/>
                <w:highlight w:val="none"/>
              </w:rPr>
              <w:t xml:space="preserve"> </w:t>
            </w:r>
            <w:r>
              <w:rPr>
                <w:rFonts w:hint="eastAsia" w:ascii="宋体" w:hAnsi="宋体"/>
                <w:color w:val="auto"/>
                <w:sz w:val="24"/>
                <w:highlight w:val="none"/>
              </w:rPr>
              <w:t xml:space="preserve">2匹空开5套、32A</w:t>
            </w:r>
            <w:r>
              <w:rPr>
                <w:rFonts w:ascii="宋体" w:hAnsi="宋体"/>
                <w:color w:val="auto"/>
                <w:sz w:val="24"/>
                <w:highlight w:val="none"/>
              </w:rPr>
              <w:t xml:space="preserve"> </w:t>
            </w:r>
            <w:r>
              <w:rPr>
                <w:rFonts w:hint="eastAsia" w:ascii="宋体" w:hAnsi="宋体"/>
                <w:color w:val="auto"/>
                <w:sz w:val="24"/>
                <w:highlight w:val="none"/>
              </w:rPr>
              <w:t xml:space="preserve">2匹空开1套、BV2.5箱内连接线5米；</w:t>
            </w:r>
            <w:r/>
          </w:p>
          <w:p>
            <w:pPr>
              <w:rPr>
                <w:rFonts w:ascii="宋体" w:hAnsi="宋体"/>
                <w:color w:val="auto"/>
                <w:sz w:val="24"/>
                <w:highlight w:val="none"/>
              </w:rPr>
            </w:pPr>
            <w:r>
              <w:rPr>
                <w:rFonts w:hint="eastAsia" w:ascii="宋体" w:hAnsi="宋体"/>
                <w:color w:val="auto"/>
                <w:sz w:val="24"/>
                <w:highlight w:val="none"/>
              </w:rPr>
              <w:t xml:space="preserve">控制机柜安装采用4根M14*150无缝镀锌膨胀螺栓安装固定。</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2</w:t>
      </w:r>
      <w:r>
        <w:rPr>
          <w:rFonts w:hint="eastAsia" w:ascii="宋体" w:hAnsi="宋体"/>
          <w:b/>
          <w:bCs/>
          <w:color w:val="auto"/>
          <w:sz w:val="24"/>
          <w:highlight w:val="none"/>
        </w:rPr>
        <w:t xml:space="preserve">）路口取电电源线（RVV3*6mm²）</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RVV3*6mm²。</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3</w:t>
      </w:r>
      <w:r>
        <w:rPr>
          <w:rFonts w:hint="eastAsia" w:ascii="宋体" w:hAnsi="宋体"/>
          <w:b/>
          <w:bCs/>
          <w:color w:val="auto"/>
          <w:sz w:val="24"/>
          <w:highlight w:val="none"/>
        </w:rPr>
        <w:t xml:space="preserve">）电子警察设备控制电缆（RVVSP2*1.0mm²）</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RVSP2*1.0mm²。</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4</w:t>
      </w:r>
      <w:r>
        <w:rPr>
          <w:rFonts w:hint="eastAsia" w:ascii="宋体" w:hAnsi="宋体"/>
          <w:b/>
          <w:bCs/>
          <w:color w:val="auto"/>
          <w:sz w:val="24"/>
          <w:highlight w:val="none"/>
        </w:rPr>
        <w:t xml:space="preserve">）分支供电电缆（RVV3*2.5mm²）</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RVV3*2.5mm²。</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5</w:t>
      </w:r>
      <w:r>
        <w:rPr>
          <w:rFonts w:hint="eastAsia" w:ascii="宋体" w:hAnsi="宋体"/>
          <w:b/>
          <w:bCs/>
          <w:color w:val="auto"/>
          <w:sz w:val="24"/>
          <w:highlight w:val="none"/>
        </w:rPr>
        <w:t xml:space="preserve">）电子警察电源线（RVV3*1.0mm²）</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843"/>
        <w:gridCol w:w="5602"/>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RVV3*1.0mm²。</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6</w:t>
      </w:r>
      <w:r>
        <w:rPr>
          <w:rFonts w:hint="eastAsia" w:ascii="宋体" w:hAnsi="宋体"/>
          <w:b/>
          <w:bCs/>
          <w:color w:val="auto"/>
          <w:sz w:val="24"/>
          <w:highlight w:val="none"/>
        </w:rPr>
        <w:t xml:space="preserve">）室外超五类网线</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843"/>
        <w:gridCol w:w="5602"/>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rPr>
                <w:rFonts w:ascii="宋体" w:hAnsi="宋体"/>
                <w:color w:val="auto"/>
                <w:sz w:val="24"/>
                <w:highlight w:val="none"/>
              </w:rPr>
            </w:pPr>
            <w:r/>
            <w:bookmarkStart w:id="77" w:name="OLE_LINK23"/>
            <w:r/>
            <w:bookmarkStart w:id="78" w:name="OLE_LINK22"/>
            <w:r>
              <w:rPr>
                <w:rFonts w:ascii="宋体" w:hAnsi="宋体"/>
                <w:color w:val="auto"/>
                <w:sz w:val="24"/>
                <w:highlight w:val="none"/>
              </w:rPr>
              <w:t xml:space="preserve">STP超五类八芯线。</w:t>
            </w:r>
            <w:bookmarkEnd w:id="77"/>
            <w:r/>
            <w:bookmarkEnd w:id="78"/>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7</w:t>
      </w:r>
      <w:r>
        <w:rPr>
          <w:rFonts w:hint="eastAsia" w:ascii="宋体" w:hAnsi="宋体"/>
          <w:b/>
          <w:bCs/>
          <w:color w:val="auto"/>
          <w:sz w:val="24"/>
          <w:highlight w:val="none"/>
        </w:rPr>
        <w:t xml:space="preserve">）室外单模4芯光缆</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4芯单模光缆，采用层绞式或中心束管式设计，外覆PE护套</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8</w:t>
      </w:r>
      <w:r>
        <w:rPr>
          <w:rFonts w:hint="eastAsia" w:ascii="宋体" w:hAnsi="宋体"/>
          <w:b/>
          <w:bCs/>
          <w:color w:val="auto"/>
          <w:sz w:val="24"/>
          <w:highlight w:val="none"/>
        </w:rPr>
        <w:t xml:space="preserve">）接入设备(2光8电)</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8路10/100M自适应RJ45+2路千兆SFP、含2个千兆SFP光模块、双电源、DC12-48V,-40～75℃</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9</w:t>
      </w:r>
      <w:r>
        <w:rPr>
          <w:rFonts w:hint="eastAsia" w:ascii="宋体" w:hAnsi="宋体"/>
          <w:b/>
          <w:bCs/>
          <w:color w:val="auto"/>
          <w:sz w:val="24"/>
          <w:highlight w:val="none"/>
        </w:rPr>
        <w:t xml:space="preserve">）接入设备(8光8电)</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843"/>
        <w:gridCol w:w="5602"/>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8路10/100/1000Base-T（X）+8路1000Base-SFP，管理型导轨式、环网冗余、含8个千兆SFP光模块双电源、DC12-48V,-40～75℃。</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602"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0</w:t>
      </w:r>
      <w:r>
        <w:rPr>
          <w:rFonts w:hint="eastAsia" w:ascii="宋体" w:hAnsi="宋体"/>
          <w:b/>
          <w:bCs/>
          <w:color w:val="auto"/>
          <w:sz w:val="24"/>
          <w:highlight w:val="none"/>
        </w:rPr>
        <w:t xml:space="preserve">）光纤熔接盒（4芯）</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4芯光纤熔纤盒。</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1</w:t>
      </w:r>
      <w:r>
        <w:rPr>
          <w:rFonts w:hint="eastAsia" w:ascii="宋体" w:hAnsi="宋体"/>
          <w:b/>
          <w:bCs/>
          <w:color w:val="auto"/>
          <w:sz w:val="24"/>
          <w:highlight w:val="none"/>
        </w:rPr>
        <w:t xml:space="preserve">）光纤熔接盒（24芯）</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24芯光纤熔纤盒。</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2</w:t>
      </w:r>
      <w:r>
        <w:rPr>
          <w:rFonts w:hint="eastAsia" w:ascii="宋体" w:hAnsi="宋体"/>
          <w:b/>
          <w:bCs/>
          <w:color w:val="auto"/>
          <w:sz w:val="24"/>
          <w:highlight w:val="none"/>
        </w:rPr>
        <w:t xml:space="preserve">）尾纤</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3米单模。</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3</w:t>
      </w:r>
      <w:r>
        <w:rPr>
          <w:rFonts w:hint="eastAsia" w:ascii="宋体" w:hAnsi="宋体"/>
          <w:b/>
          <w:bCs/>
          <w:color w:val="auto"/>
          <w:sz w:val="24"/>
          <w:highlight w:val="none"/>
        </w:rPr>
        <w:t xml:space="preserve">）光纤熔接</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热熔。</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4</w:t>
      </w:r>
      <w:r>
        <w:rPr>
          <w:rFonts w:hint="eastAsia" w:ascii="宋体" w:hAnsi="宋体"/>
          <w:b/>
          <w:bCs/>
          <w:color w:val="auto"/>
          <w:sz w:val="24"/>
          <w:highlight w:val="none"/>
        </w:rPr>
        <w:t xml:space="preserve">）手孔井</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接线井人工开挖，开挖尺寸750</w:t>
            </w:r>
            <w:r>
              <w:rPr>
                <w:rFonts w:ascii="宋体" w:hAnsi="宋体"/>
                <w:color w:val="auto"/>
                <w:sz w:val="24"/>
                <w:highlight w:val="none"/>
              </w:rPr>
              <w:t xml:space="preserve">mm</w:t>
            </w:r>
            <w:r>
              <w:rPr>
                <w:rFonts w:hint="eastAsia" w:ascii="宋体" w:hAnsi="宋体"/>
                <w:color w:val="auto"/>
                <w:sz w:val="24"/>
                <w:highlight w:val="none"/>
              </w:rPr>
              <w:t xml:space="preserve">*750</w:t>
            </w:r>
            <w:r>
              <w:rPr>
                <w:rFonts w:ascii="宋体" w:hAnsi="宋体"/>
                <w:color w:val="auto"/>
                <w:sz w:val="24"/>
                <w:highlight w:val="none"/>
              </w:rPr>
              <w:t xml:space="preserve">mm</w:t>
            </w:r>
            <w:r>
              <w:rPr>
                <w:rFonts w:hint="eastAsia" w:ascii="宋体" w:hAnsi="宋体"/>
                <w:color w:val="auto"/>
                <w:sz w:val="24"/>
                <w:highlight w:val="none"/>
              </w:rPr>
              <w:t xml:space="preserve">*500mm，余方外运，运距≤20km，井壁修平，井底素土夯实，夯实度≥95%；</w:t>
            </w:r>
            <w:r/>
          </w:p>
          <w:p>
            <w:pPr>
              <w:rPr>
                <w:rFonts w:ascii="宋体" w:hAnsi="宋体"/>
                <w:color w:val="auto"/>
                <w:sz w:val="24"/>
                <w:highlight w:val="none"/>
              </w:rPr>
            </w:pPr>
            <w:r>
              <w:rPr>
                <w:rFonts w:hint="eastAsia" w:ascii="宋体" w:hAnsi="宋体"/>
                <w:color w:val="auto"/>
                <w:sz w:val="24"/>
                <w:highlight w:val="none"/>
              </w:rPr>
              <w:t xml:space="preserve">底部做100mm厚C15混凝土垫层，沿井壁四周采用M10水泥砂浆砌MU10机制砖，砌1/2砖护墙，护墙表面采用M10水泥砂浆抹灰，厚度20mm；</w:t>
            </w:r>
            <w:r/>
          </w:p>
          <w:p>
            <w:pPr>
              <w:rPr>
                <w:rFonts w:ascii="宋体" w:hAnsi="宋体"/>
                <w:color w:val="auto"/>
                <w:sz w:val="24"/>
                <w:highlight w:val="none"/>
              </w:rPr>
            </w:pPr>
            <w:r>
              <w:rPr>
                <w:rFonts w:hint="eastAsia" w:ascii="宋体" w:hAnsi="宋体"/>
                <w:color w:val="auto"/>
                <w:sz w:val="24"/>
                <w:highlight w:val="none"/>
              </w:rPr>
              <w:t xml:space="preserve">采用成品钢筋混凝土井圈与井盖，井盖上有“公安专用”字样。</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5</w:t>
      </w:r>
      <w:r>
        <w:rPr>
          <w:rFonts w:hint="eastAsia" w:ascii="宋体" w:hAnsi="宋体"/>
          <w:b/>
          <w:bCs/>
          <w:color w:val="auto"/>
          <w:sz w:val="24"/>
          <w:highlight w:val="none"/>
        </w:rPr>
        <w:t xml:space="preserve">）接地系统</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接地极：50mm*50mm*5mm-L2500mm，角钢；</w:t>
            </w:r>
            <w:r/>
          </w:p>
          <w:p>
            <w:pPr>
              <w:rPr>
                <w:rFonts w:ascii="宋体" w:hAnsi="宋体"/>
                <w:color w:val="auto"/>
                <w:sz w:val="24"/>
                <w:highlight w:val="none"/>
              </w:rPr>
            </w:pPr>
            <w:r>
              <w:rPr>
                <w:rFonts w:ascii="宋体" w:hAnsi="宋体"/>
                <w:color w:val="auto"/>
                <w:sz w:val="24"/>
                <w:highlight w:val="none"/>
              </w:rPr>
              <w:t xml:space="preserve">镀锌扁钢：40mm*5mm*2500mm，镀锌扁钢；</w:t>
            </w:r>
            <w:r/>
          </w:p>
          <w:p>
            <w:pPr>
              <w:rPr>
                <w:rFonts w:ascii="宋体" w:hAnsi="宋体"/>
                <w:color w:val="auto"/>
                <w:sz w:val="24"/>
                <w:highlight w:val="none"/>
              </w:rPr>
            </w:pPr>
            <w:r>
              <w:rPr>
                <w:rFonts w:ascii="宋体" w:hAnsi="宋体"/>
                <w:color w:val="auto"/>
                <w:sz w:val="24"/>
                <w:highlight w:val="none"/>
              </w:rPr>
              <w:t xml:space="preserve">接地母线：BV-16mm2，铜芯线5m</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6</w:t>
      </w:r>
      <w:r>
        <w:rPr>
          <w:rFonts w:hint="eastAsia" w:ascii="宋体" w:hAnsi="宋体"/>
          <w:b/>
          <w:bCs/>
          <w:color w:val="auto"/>
          <w:sz w:val="24"/>
          <w:highlight w:val="none"/>
        </w:rPr>
        <w:t xml:space="preserve">）基坑开挖及浇筑（杆件基础）</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基坑人工开挖，余土清运≤20km；</w:t>
            </w:r>
            <w:r/>
          </w:p>
          <w:p>
            <w:pPr>
              <w:rPr>
                <w:rFonts w:ascii="宋体" w:hAnsi="宋体"/>
                <w:color w:val="auto"/>
                <w:sz w:val="24"/>
                <w:highlight w:val="none"/>
              </w:rPr>
            </w:pPr>
            <w:r>
              <w:rPr>
                <w:rFonts w:ascii="宋体" w:hAnsi="宋体"/>
                <w:color w:val="auto"/>
                <w:sz w:val="24"/>
                <w:highlight w:val="none"/>
              </w:rPr>
              <w:t xml:space="preserve">下预埋件，C25商砼浇筑、养护。</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7</w:t>
      </w:r>
      <w:r>
        <w:rPr>
          <w:rFonts w:hint="eastAsia" w:ascii="宋体" w:hAnsi="宋体"/>
          <w:b/>
          <w:bCs/>
          <w:color w:val="auto"/>
          <w:sz w:val="24"/>
          <w:highlight w:val="none"/>
        </w:rPr>
        <w:t xml:space="preserve">）绿化带开挖及恢复</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沟槽开挖尺寸400</w:t>
            </w:r>
            <w:r>
              <w:rPr>
                <w:rFonts w:ascii="宋体" w:hAnsi="宋体"/>
                <w:color w:val="auto"/>
                <w:sz w:val="24"/>
                <w:highlight w:val="none"/>
              </w:rPr>
              <w:t xml:space="preserve">mm</w:t>
            </w:r>
            <w:r>
              <w:rPr>
                <w:rFonts w:hint="eastAsia" w:ascii="宋体" w:hAnsi="宋体"/>
                <w:color w:val="auto"/>
                <w:sz w:val="24"/>
                <w:highlight w:val="none"/>
              </w:rPr>
              <w:t xml:space="preserve">（面）*200</w:t>
            </w:r>
            <w:r>
              <w:rPr>
                <w:rFonts w:ascii="宋体" w:hAnsi="宋体"/>
                <w:color w:val="auto"/>
                <w:sz w:val="24"/>
                <w:highlight w:val="none"/>
              </w:rPr>
              <w:t xml:space="preserve">mm</w:t>
            </w:r>
            <w:r>
              <w:rPr>
                <w:rFonts w:hint="eastAsia" w:ascii="宋体" w:hAnsi="宋体"/>
                <w:color w:val="auto"/>
                <w:sz w:val="24"/>
                <w:highlight w:val="none"/>
              </w:rPr>
              <w:t xml:space="preserve">（底）*500</w:t>
            </w:r>
            <w:r>
              <w:rPr>
                <w:rFonts w:ascii="宋体" w:hAnsi="宋体"/>
                <w:color w:val="auto"/>
                <w:sz w:val="24"/>
                <w:highlight w:val="none"/>
              </w:rPr>
              <w:t xml:space="preserve">mm</w:t>
            </w:r>
            <w:r>
              <w:rPr>
                <w:rFonts w:hint="eastAsia" w:ascii="宋体" w:hAnsi="宋体"/>
                <w:color w:val="auto"/>
                <w:sz w:val="24"/>
                <w:highlight w:val="none"/>
              </w:rPr>
              <w:t xml:space="preserve">(深)；</w:t>
            </w:r>
            <w:r/>
          </w:p>
          <w:p>
            <w:pPr>
              <w:rPr>
                <w:rFonts w:ascii="宋体" w:hAnsi="宋体"/>
                <w:color w:val="auto"/>
                <w:sz w:val="24"/>
                <w:highlight w:val="none"/>
              </w:rPr>
            </w:pPr>
            <w:r>
              <w:rPr>
                <w:rFonts w:hint="eastAsia" w:ascii="宋体" w:hAnsi="宋体"/>
                <w:color w:val="auto"/>
                <w:sz w:val="24"/>
                <w:highlight w:val="none"/>
              </w:rPr>
              <w:t xml:space="preserve">原土回填、夯实；</w:t>
            </w:r>
            <w:r/>
          </w:p>
          <w:p>
            <w:pPr>
              <w:rPr>
                <w:rFonts w:ascii="宋体" w:hAnsi="宋体"/>
                <w:color w:val="auto"/>
                <w:sz w:val="24"/>
                <w:highlight w:val="none"/>
              </w:rPr>
            </w:pPr>
            <w:r>
              <w:rPr>
                <w:rFonts w:hint="eastAsia" w:ascii="宋体" w:hAnsi="宋体"/>
                <w:color w:val="auto"/>
                <w:sz w:val="24"/>
                <w:highlight w:val="none"/>
              </w:rPr>
              <w:t xml:space="preserve">植被恢复。</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8</w:t>
      </w:r>
      <w:r>
        <w:rPr>
          <w:rFonts w:hint="eastAsia" w:ascii="宋体" w:hAnsi="宋体"/>
          <w:b/>
          <w:bCs/>
          <w:color w:val="auto"/>
          <w:sz w:val="24"/>
          <w:highlight w:val="none"/>
        </w:rPr>
        <w:t xml:space="preserve">）道板开挖及恢复</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沟槽开挖尺寸400</w:t>
            </w:r>
            <w:r>
              <w:rPr>
                <w:rFonts w:ascii="宋体" w:hAnsi="宋体"/>
                <w:color w:val="auto"/>
                <w:sz w:val="24"/>
                <w:highlight w:val="none"/>
              </w:rPr>
              <w:t xml:space="preserve">mm</w:t>
            </w:r>
            <w:r>
              <w:rPr>
                <w:rFonts w:hint="eastAsia" w:ascii="宋体" w:hAnsi="宋体"/>
                <w:color w:val="auto"/>
                <w:sz w:val="24"/>
                <w:highlight w:val="none"/>
              </w:rPr>
              <w:t xml:space="preserve">（面）*200</w:t>
            </w:r>
            <w:r>
              <w:rPr>
                <w:rFonts w:ascii="宋体" w:hAnsi="宋体"/>
                <w:color w:val="auto"/>
                <w:sz w:val="24"/>
                <w:highlight w:val="none"/>
              </w:rPr>
              <w:t xml:space="preserve">mm</w:t>
            </w:r>
            <w:r>
              <w:rPr>
                <w:rFonts w:hint="eastAsia" w:ascii="宋体" w:hAnsi="宋体"/>
                <w:color w:val="auto"/>
                <w:sz w:val="24"/>
                <w:highlight w:val="none"/>
              </w:rPr>
              <w:t xml:space="preserve">（底）*700</w:t>
            </w:r>
            <w:r>
              <w:rPr>
                <w:rFonts w:ascii="宋体" w:hAnsi="宋体"/>
                <w:color w:val="auto"/>
                <w:sz w:val="24"/>
                <w:highlight w:val="none"/>
              </w:rPr>
              <w:t xml:space="preserve">mm</w:t>
            </w:r>
            <w:r>
              <w:rPr>
                <w:rFonts w:hint="eastAsia" w:ascii="宋体" w:hAnsi="宋体"/>
                <w:color w:val="auto"/>
                <w:sz w:val="24"/>
                <w:highlight w:val="none"/>
              </w:rPr>
              <w:t xml:space="preserve">(深)；</w:t>
            </w:r>
            <w:r/>
          </w:p>
          <w:p>
            <w:pPr>
              <w:rPr>
                <w:rFonts w:ascii="宋体" w:hAnsi="宋体"/>
                <w:color w:val="auto"/>
                <w:sz w:val="24"/>
                <w:highlight w:val="none"/>
              </w:rPr>
            </w:pPr>
            <w:r>
              <w:rPr>
                <w:rFonts w:hint="eastAsia" w:ascii="宋体" w:hAnsi="宋体"/>
                <w:color w:val="auto"/>
                <w:sz w:val="24"/>
                <w:highlight w:val="none"/>
              </w:rPr>
              <w:t xml:space="preserve">道板/混凝土恢复。</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（2</w:t>
      </w:r>
      <w:r>
        <w:rPr>
          <w:rFonts w:ascii="宋体" w:hAnsi="宋体"/>
          <w:b/>
          <w:bCs/>
          <w:color w:val="auto"/>
          <w:sz w:val="24"/>
          <w:highlight w:val="none"/>
        </w:rPr>
        <w:t xml:space="preserve">9</w:t>
      </w:r>
      <w:r>
        <w:rPr>
          <w:rFonts w:hint="eastAsia" w:ascii="宋体" w:hAnsi="宋体"/>
          <w:b/>
          <w:bCs/>
          <w:color w:val="auto"/>
          <w:sz w:val="24"/>
          <w:highlight w:val="none"/>
        </w:rPr>
        <w:t xml:space="preserve">）管道敷设</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直径50mmPE管。</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0</w:t>
      </w:r>
      <w:r>
        <w:rPr>
          <w:rFonts w:hint="eastAsia" w:ascii="宋体" w:hAnsi="宋体"/>
          <w:b/>
          <w:bCs/>
          <w:color w:val="auto"/>
          <w:sz w:val="24"/>
          <w:highlight w:val="none"/>
        </w:rPr>
        <w:t xml:space="preserve">）违法抓拍标牌（电子警察）</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标牌尺寸：600</w:t>
            </w:r>
            <w:r>
              <w:rPr>
                <w:rFonts w:ascii="宋体" w:hAnsi="宋体"/>
                <w:color w:val="auto"/>
                <w:sz w:val="24"/>
                <w:highlight w:val="none"/>
              </w:rPr>
              <w:t xml:space="preserve">mm</w:t>
            </w:r>
            <w:r>
              <w:rPr>
                <w:rFonts w:hint="eastAsia" w:ascii="宋体" w:hAnsi="宋体"/>
                <w:color w:val="auto"/>
                <w:sz w:val="24"/>
                <w:highlight w:val="none"/>
              </w:rPr>
              <w:t xml:space="preserve">*800mm；</w:t>
            </w:r>
            <w:r/>
          </w:p>
          <w:p>
            <w:pPr>
              <w:rPr>
                <w:rFonts w:ascii="宋体" w:hAnsi="宋体"/>
                <w:color w:val="auto"/>
                <w:sz w:val="24"/>
                <w:highlight w:val="none"/>
              </w:rPr>
            </w:pPr>
            <w:r>
              <w:rPr>
                <w:rFonts w:hint="eastAsia" w:ascii="宋体" w:hAnsi="宋体"/>
                <w:color w:val="auto"/>
                <w:sz w:val="24"/>
                <w:highlight w:val="none"/>
              </w:rPr>
              <w:t xml:space="preserve">材质：铝材，厚度2mm；</w:t>
            </w:r>
            <w:r/>
          </w:p>
          <w:p>
            <w:pPr>
              <w:rPr>
                <w:rFonts w:ascii="宋体" w:hAnsi="宋体"/>
                <w:color w:val="auto"/>
                <w:sz w:val="24"/>
                <w:highlight w:val="none"/>
              </w:rPr>
            </w:pPr>
            <w:r>
              <w:rPr>
                <w:rFonts w:hint="eastAsia" w:ascii="宋体" w:hAnsi="宋体"/>
                <w:color w:val="auto"/>
                <w:sz w:val="24"/>
                <w:highlight w:val="none"/>
              </w:rPr>
              <w:t xml:space="preserve">反光膜：3M</w:t>
            </w:r>
            <w:r>
              <w:rPr>
                <w:rFonts w:ascii="宋体" w:hAnsi="宋体"/>
                <w:color w:val="auto"/>
                <w:sz w:val="24"/>
                <w:highlight w:val="none"/>
              </w:rPr>
              <w:t xml:space="preserve"> </w:t>
            </w:r>
            <w:r>
              <w:rPr>
                <w:rFonts w:hint="eastAsia" w:ascii="宋体" w:hAnsi="宋体"/>
                <w:color w:val="auto"/>
                <w:sz w:val="24"/>
                <w:highlight w:val="none"/>
              </w:rPr>
              <w:t xml:space="preserve">I</w:t>
            </w:r>
            <w:r>
              <w:rPr>
                <w:rFonts w:ascii="宋体" w:hAnsi="宋体"/>
                <w:color w:val="auto"/>
                <w:sz w:val="24"/>
                <w:highlight w:val="none"/>
              </w:rPr>
              <w:t xml:space="preserve">V</w:t>
            </w:r>
            <w:r>
              <w:rPr>
                <w:rFonts w:hint="eastAsia" w:ascii="宋体" w:hAnsi="宋体"/>
                <w:color w:val="auto"/>
                <w:sz w:val="24"/>
                <w:highlight w:val="none"/>
              </w:rPr>
              <w:t xml:space="preserve">类膜；</w:t>
            </w:r>
            <w:r/>
          </w:p>
          <w:p>
            <w:pPr>
              <w:rPr>
                <w:rFonts w:ascii="宋体" w:hAnsi="宋体"/>
                <w:color w:val="auto"/>
                <w:sz w:val="24"/>
                <w:highlight w:val="none"/>
              </w:rPr>
            </w:pPr>
            <w:r>
              <w:rPr>
                <w:rFonts w:hint="eastAsia" w:ascii="宋体" w:hAnsi="宋体"/>
                <w:color w:val="auto"/>
                <w:sz w:val="24"/>
                <w:highlight w:val="none"/>
              </w:rPr>
              <w:t xml:space="preserve">样式：摄像头图案+违法抓拍字样。</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1</w:t>
      </w:r>
      <w:r>
        <w:rPr>
          <w:rFonts w:hint="eastAsia" w:ascii="宋体" w:hAnsi="宋体"/>
          <w:b/>
          <w:bCs/>
          <w:color w:val="auto"/>
          <w:sz w:val="24"/>
          <w:highlight w:val="none"/>
        </w:rPr>
        <w:t xml:space="preserve">）二维码标签</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维码图片高度≥195mm，宽度≥75mm。</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2</w:t>
      </w:r>
      <w:r>
        <w:rPr>
          <w:rFonts w:hint="eastAsia" w:ascii="宋体" w:hAnsi="宋体"/>
          <w:b/>
          <w:bCs/>
          <w:color w:val="auto"/>
          <w:sz w:val="24"/>
          <w:highlight w:val="none"/>
        </w:rPr>
        <w:t xml:space="preserve">）网络租赁</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101"/>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租赁运营商裸</w:t>
            </w:r>
            <w:r>
              <w:rPr>
                <w:rFonts w:hint="eastAsia" w:ascii="宋体" w:hAnsi="宋体"/>
                <w:color w:val="auto"/>
                <w:sz w:val="24"/>
                <w:highlight w:val="none"/>
              </w:rPr>
              <w:t xml:space="preserve">纤（1芯）</w:t>
            </w:r>
            <w:r>
              <w:rPr>
                <w:rFonts w:ascii="宋体" w:hAnsi="宋体"/>
                <w:color w:val="auto"/>
                <w:sz w:val="24"/>
                <w:highlight w:val="none"/>
              </w:rPr>
              <w:t xml:space="preserve">，接入公安专线，按年支付租赁费，2年</w:t>
            </w:r>
            <w:r>
              <w:rPr>
                <w:rFonts w:hint="eastAsia" w:ascii="宋体" w:hAnsi="宋体"/>
                <w:color w:val="auto"/>
                <w:sz w:val="24"/>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w:t>
      </w:r>
      <w:r>
        <w:rPr>
          <w:rFonts w:hint="eastAsia" w:ascii="宋体" w:hAnsi="宋体"/>
          <w:b/>
          <w:bCs/>
          <w:color w:val="auto"/>
          <w:sz w:val="24"/>
          <w:highlight w:val="none"/>
        </w:rPr>
        <w:t xml:space="preserve">）电子警察设备安装调试</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1843"/>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设备安装：包括摄像机、补光灯、线路、网络、防雷接地等；</w:t>
            </w:r>
            <w:r/>
          </w:p>
          <w:p>
            <w:pPr>
              <w:rPr>
                <w:rFonts w:ascii="宋体" w:hAnsi="宋体"/>
                <w:color w:val="auto"/>
                <w:sz w:val="24"/>
                <w:highlight w:val="none"/>
              </w:rPr>
            </w:pPr>
            <w:r>
              <w:rPr>
                <w:rFonts w:hint="eastAsia" w:ascii="宋体" w:hAnsi="宋体"/>
                <w:color w:val="auto"/>
                <w:sz w:val="24"/>
                <w:highlight w:val="none"/>
              </w:rPr>
              <w:t xml:space="preserve">系统集成：连接视频采集单元与终端服务器、配置网络传输设备、安装存储设备等；</w:t>
            </w:r>
            <w:r/>
          </w:p>
          <w:p>
            <w:pPr>
              <w:rPr>
                <w:rFonts w:ascii="宋体" w:hAnsi="宋体"/>
                <w:color w:val="auto"/>
                <w:sz w:val="24"/>
                <w:highlight w:val="none"/>
              </w:rPr>
            </w:pPr>
            <w:r>
              <w:rPr>
                <w:rFonts w:hint="eastAsia" w:ascii="宋体" w:hAnsi="宋体"/>
                <w:color w:val="auto"/>
                <w:sz w:val="24"/>
                <w:highlight w:val="none"/>
              </w:rPr>
              <w:t xml:space="preserve">系统调试：车牌识别率测试、抓拍响应时间测试、多目标同时捕获能力验证、违法判定逻辑验证（闯红灯、压线等）；</w:t>
            </w:r>
            <w:r/>
          </w:p>
          <w:p>
            <w:pPr>
              <w:rPr>
                <w:rFonts w:ascii="宋体" w:hAnsi="宋体"/>
                <w:color w:val="auto"/>
                <w:sz w:val="24"/>
                <w:highlight w:val="none"/>
              </w:rPr>
            </w:pPr>
            <w:r>
              <w:rPr>
                <w:rFonts w:hint="eastAsia" w:ascii="宋体" w:hAnsi="宋体"/>
                <w:color w:val="auto"/>
                <w:sz w:val="24"/>
                <w:highlight w:val="none"/>
              </w:rPr>
              <w:t xml:space="preserve">参数校准：视频流分辨率设置、抓拍灵敏度调节、白平衡/曝光参数优化、车牌识别算法校准；</w:t>
            </w:r>
            <w:r/>
          </w:p>
          <w:p>
            <w:pPr>
              <w:rPr>
                <w:rFonts w:ascii="宋体" w:hAnsi="宋体"/>
                <w:color w:val="auto"/>
                <w:sz w:val="24"/>
                <w:highlight w:val="none"/>
              </w:rPr>
            </w:pPr>
            <w:r>
              <w:rPr>
                <w:rFonts w:hint="eastAsia" w:ascii="宋体" w:hAnsi="宋体"/>
                <w:color w:val="auto"/>
                <w:sz w:val="24"/>
                <w:highlight w:val="none"/>
              </w:rPr>
              <w:t xml:space="preserve">系统对接：与交警平台对接测试、违法数据格式转换（符合GA/T832标准）、时钟同步校准（误差≤1秒）、数据加密传输验证（国密算法）。</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9"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843"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4</w:t>
      </w:r>
      <w:r>
        <w:rPr>
          <w:rFonts w:hint="eastAsia" w:ascii="宋体" w:hAnsi="宋体"/>
          <w:b/>
          <w:bCs/>
          <w:color w:val="auto"/>
          <w:sz w:val="24"/>
          <w:highlight w:val="none"/>
        </w:rPr>
        <w:t xml:space="preserve">）人脸算法及技战法</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系统支持根据人脸相似度对人脸照片进行人脸归档功能；在不少于6000万实名档案下，归档准确率大于99.5%，召回率大于99.5%</w:t>
            </w:r>
            <w:r>
              <w:rPr>
                <w:rFonts w:hint="eastAsia" w:ascii="宋体" w:hAnsi="宋体"/>
                <w:b/>
                <w:color w:val="auto"/>
                <w:sz w:val="22"/>
                <w:highlight w:val="none"/>
              </w:rPr>
              <w:t xml:space="preserve">（提供具有CMA标识的检测报告加盖公章，未提供或内容不全的将作无效投标处理）。</w:t>
            </w:r>
            <w:r/>
          </w:p>
          <w:p>
            <w:pPr>
              <w:rPr>
                <w:rFonts w:ascii="宋体" w:hAnsi="宋体"/>
                <w:color w:val="auto"/>
                <w:sz w:val="24"/>
                <w:highlight w:val="none"/>
              </w:rPr>
            </w:pPr>
            <w:r>
              <w:rPr>
                <w:rFonts w:hint="eastAsia" w:ascii="宋体" w:hAnsi="宋体"/>
                <w:color w:val="auto"/>
                <w:sz w:val="24"/>
                <w:highlight w:val="none"/>
              </w:rPr>
              <w:t xml:space="preserve">系统支持每天不少于950万路人库与不少于6000万实名档案库碰撞聚档功能</w:t>
            </w:r>
            <w:r>
              <w:rPr>
                <w:rFonts w:hint="eastAsia" w:ascii="宋体" w:hAnsi="宋体"/>
                <w:b/>
                <w:color w:val="auto"/>
                <w:sz w:val="22"/>
                <w:highlight w:val="none"/>
              </w:rPr>
              <w:t xml:space="preserve">（提供具有CMA标识的检测报告加盖公章，未提供或内容不全的将作无效投标处理）。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▲提供道路编码、人脸图片初步审核、人脸图片接入配置、存储接入配置、与南京市人像比对系统推送对接等服务工作及相关接入服务</w:t>
            </w:r>
            <w:r>
              <w:rPr>
                <w:rFonts w:hint="eastAsia" w:ascii="宋体" w:hAnsi="宋体"/>
                <w:color w:val="auto"/>
                <w:sz w:val="24"/>
                <w:highlight w:val="none"/>
              </w:rPr>
              <w:t xml:space="preserve">，本次人脸算法技战法应用可无缝兼容江宁现有智慧人像平台，无需新增硬件进行图片二次解析并且解析后的人像图片能够实现现有系统的人像检索、布控和聚档功能</w:t>
            </w:r>
            <w:r>
              <w:rPr>
                <w:rFonts w:ascii="宋体" w:hAnsi="宋体"/>
                <w:b/>
                <w:color w:val="auto"/>
                <w:sz w:val="22"/>
                <w:highlight w:val="none"/>
              </w:rPr>
              <w:t xml:space="preserve">（</w:t>
            </w:r>
            <w:r>
              <w:rPr>
                <w:rFonts w:hint="eastAsia" w:ascii="宋体" w:hAnsi="宋体"/>
                <w:b/>
                <w:color w:val="auto"/>
                <w:sz w:val="22"/>
                <w:highlight w:val="none"/>
              </w:rPr>
              <w:t xml:space="preserve">提供供应商承诺函</w:t>
            </w:r>
            <w:r>
              <w:rPr>
                <w:rFonts w:ascii="宋体" w:hAnsi="宋体"/>
                <w:b/>
                <w:color w:val="auto"/>
                <w:sz w:val="22"/>
                <w:highlight w:val="none"/>
              </w:rPr>
              <w:t xml:space="preserve">加盖公章，格式自拟）</w:t>
            </w:r>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5</w:t>
      </w:r>
      <w:r>
        <w:rPr>
          <w:rFonts w:hint="eastAsia" w:ascii="宋体" w:hAnsi="宋体"/>
          <w:b/>
          <w:bCs/>
          <w:color w:val="auto"/>
          <w:sz w:val="24"/>
          <w:highlight w:val="none"/>
        </w:rPr>
        <w:t xml:space="preserve">）智慧警务平台视频接入及配置</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bookmarkStart w:id="79" w:name="OLE_LINK6"/>
            <w:r>
              <w:rPr>
                <w:rFonts w:ascii="宋体" w:hAnsi="宋体"/>
                <w:color w:val="auto"/>
                <w:sz w:val="24"/>
                <w:highlight w:val="none"/>
              </w:rPr>
              <w:t xml:space="preserve">▲</w:t>
            </w:r>
            <w:bookmarkEnd w:id="79"/>
            <w:r>
              <w:rPr>
                <w:rFonts w:ascii="宋体" w:hAnsi="宋体"/>
                <w:color w:val="auto"/>
                <w:sz w:val="24"/>
                <w:highlight w:val="none"/>
              </w:rPr>
              <w:t xml:space="preserve">提供道路编码、人脸图片初步审核、人脸图片接入配置、存储接入配置、与南京市人像比对系统推送对接等服务工作及相关接入服务</w:t>
            </w:r>
            <w:r>
              <w:rPr>
                <w:rFonts w:ascii="宋体" w:hAnsi="宋体"/>
                <w:b/>
                <w:color w:val="auto"/>
                <w:sz w:val="22"/>
                <w:highlight w:val="none"/>
              </w:rPr>
              <w:t xml:space="preserve">（</w:t>
            </w:r>
            <w:r>
              <w:rPr>
                <w:rFonts w:hint="eastAsia" w:ascii="宋体" w:hAnsi="宋体"/>
                <w:b/>
                <w:color w:val="auto"/>
                <w:sz w:val="22"/>
                <w:highlight w:val="none"/>
              </w:rPr>
              <w:t xml:space="preserve">提供供应商承诺函</w:t>
            </w:r>
            <w:r>
              <w:rPr>
                <w:rFonts w:ascii="宋体" w:hAnsi="宋体"/>
                <w:b/>
                <w:color w:val="auto"/>
                <w:sz w:val="22"/>
                <w:highlight w:val="none"/>
              </w:rPr>
              <w:t xml:space="preserve">加盖公章，格式自拟）</w:t>
            </w:r>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6</w:t>
      </w:r>
      <w:r>
        <w:rPr>
          <w:rFonts w:hint="eastAsia" w:ascii="宋体" w:hAnsi="宋体"/>
          <w:b/>
          <w:bCs/>
          <w:color w:val="auto"/>
          <w:sz w:val="24"/>
          <w:highlight w:val="none"/>
        </w:rPr>
        <w:t xml:space="preserve">）智慧警务平台违法图片接入及配置</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▲提供七行标注名称、视频接入配置、存储接入配置等服务工作</w:t>
            </w:r>
            <w:r>
              <w:rPr>
                <w:rFonts w:ascii="宋体" w:hAnsi="宋体"/>
                <w:b/>
                <w:color w:val="auto"/>
                <w:sz w:val="22"/>
                <w:highlight w:val="none"/>
              </w:rPr>
              <w:t xml:space="preserve">（</w:t>
            </w:r>
            <w:r>
              <w:rPr>
                <w:rFonts w:hint="eastAsia" w:ascii="宋体" w:hAnsi="宋体"/>
                <w:b/>
                <w:color w:val="auto"/>
                <w:sz w:val="22"/>
                <w:highlight w:val="none"/>
              </w:rPr>
              <w:t xml:space="preserve">提供供应商承诺函</w:t>
            </w:r>
            <w:r>
              <w:rPr>
                <w:rFonts w:ascii="宋体" w:hAnsi="宋体"/>
                <w:b/>
                <w:color w:val="auto"/>
                <w:sz w:val="22"/>
                <w:highlight w:val="none"/>
              </w:rPr>
              <w:t xml:space="preserve">加盖公章，格式自拟）</w:t>
            </w:r>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7</w:t>
      </w:r>
      <w:r>
        <w:rPr>
          <w:rFonts w:hint="eastAsia" w:ascii="宋体" w:hAnsi="宋体"/>
          <w:b/>
          <w:bCs/>
          <w:color w:val="auto"/>
          <w:sz w:val="24"/>
          <w:highlight w:val="none"/>
        </w:rPr>
        <w:t xml:space="preserve">）智慧警务平台车辆图片接入及配置</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▲提供道路编码、车辆图片初步审核、车辆图片接入配置、存储接入配置、与南京市视频大数据平台推送对接等服务工作</w:t>
            </w:r>
            <w:r>
              <w:rPr>
                <w:rFonts w:ascii="宋体" w:hAnsi="宋体"/>
                <w:b/>
                <w:color w:val="auto"/>
                <w:sz w:val="22"/>
                <w:highlight w:val="none"/>
              </w:rPr>
              <w:t xml:space="preserve">（</w:t>
            </w:r>
            <w:r>
              <w:rPr>
                <w:rFonts w:hint="eastAsia" w:ascii="宋体" w:hAnsi="宋体"/>
                <w:b/>
                <w:color w:val="auto"/>
                <w:sz w:val="22"/>
                <w:highlight w:val="none"/>
              </w:rPr>
              <w:t xml:space="preserve">提供供应商承诺函</w:t>
            </w:r>
            <w:r>
              <w:rPr>
                <w:rFonts w:ascii="宋体" w:hAnsi="宋体"/>
                <w:b/>
                <w:color w:val="auto"/>
                <w:sz w:val="22"/>
                <w:highlight w:val="none"/>
              </w:rPr>
              <w:t xml:space="preserve">加盖公章，格式自拟）</w:t>
            </w:r>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8</w:t>
      </w:r>
      <w:r>
        <w:rPr>
          <w:rFonts w:hint="eastAsia" w:ascii="宋体" w:hAnsi="宋体"/>
          <w:b/>
          <w:bCs/>
          <w:color w:val="auto"/>
          <w:sz w:val="24"/>
          <w:highlight w:val="none"/>
        </w:rPr>
        <w:t xml:space="preserve">）智慧警务平台人脸图片接入及配置</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▲提供道路编码、人脸图片初步审核、人脸图片接入配置、存储接入配置、与南京市人像比对系统推送对接等服务工作</w:t>
            </w:r>
            <w:r>
              <w:rPr>
                <w:rFonts w:ascii="宋体" w:hAnsi="宋体"/>
                <w:b/>
                <w:color w:val="auto"/>
                <w:sz w:val="22"/>
                <w:highlight w:val="none"/>
              </w:rPr>
              <w:t xml:space="preserve">（</w:t>
            </w:r>
            <w:r>
              <w:rPr>
                <w:rFonts w:hint="eastAsia" w:ascii="宋体" w:hAnsi="宋体"/>
                <w:b/>
                <w:color w:val="auto"/>
                <w:sz w:val="22"/>
                <w:highlight w:val="none"/>
              </w:rPr>
              <w:t xml:space="preserve">提供供应商承诺函</w:t>
            </w:r>
            <w:r>
              <w:rPr>
                <w:rFonts w:ascii="宋体" w:hAnsi="宋体"/>
                <w:b/>
                <w:color w:val="auto"/>
                <w:sz w:val="22"/>
                <w:highlight w:val="none"/>
              </w:rPr>
              <w:t xml:space="preserve">加盖公章，格式自拟）</w:t>
            </w:r>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9</w:t>
      </w:r>
      <w:r>
        <w:rPr>
          <w:rFonts w:hint="eastAsia" w:ascii="宋体" w:hAnsi="宋体"/>
          <w:b/>
          <w:bCs/>
          <w:color w:val="auto"/>
          <w:sz w:val="24"/>
          <w:highlight w:val="none"/>
        </w:rPr>
        <w:t xml:space="preserve">）中心视频存储扩容</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具备一键快速部署能力，存储节点并行部署，互不影响，单台部署时间150秒内完成。快速部署过程中，自动检测节点是否符合配置要求。当检测到当前节点的配置与预期有差距时给予报警提示</w:t>
            </w:r>
            <w:bookmarkStart w:id="80" w:name="OLE_LINK8"/>
            <w:r>
              <w:rPr>
                <w:rFonts w:hint="eastAsia" w:ascii="宋体" w:hAnsi="宋体"/>
                <w:b/>
                <w:color w:val="auto"/>
                <w:sz w:val="22"/>
                <w:highlight w:val="none"/>
              </w:rPr>
              <w:t xml:space="preserve">（提供具有CMA标识的检测报告加盖公章）</w:t>
            </w:r>
            <w:bookmarkEnd w:id="80"/>
            <w:r>
              <w:rPr>
                <w:rFonts w:hint="eastAsia" w:ascii="宋体" w:hAnsi="宋体"/>
                <w:b/>
                <w:color w:val="auto"/>
                <w:sz w:val="22"/>
                <w:highlight w:val="none"/>
              </w:rPr>
              <w:t xml:space="preserve">。</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ascii="宋体" w:hAnsi="宋体"/>
                <w:color w:val="auto"/>
                <w:sz w:val="24"/>
                <w:highlight w:val="none"/>
              </w:rPr>
              <w:t xml:space="preserve">整机节点处理器合计物理核心≥64 核（2 颗处理器总和）</w:t>
            </w:r>
            <w:r>
              <w:rPr>
                <w:rFonts w:hint="eastAsia" w:ascii="宋体" w:hAnsi="宋体"/>
                <w:color w:val="auto"/>
                <w:sz w:val="24"/>
                <w:highlight w:val="none"/>
              </w:rPr>
              <w:t xml:space="preserve">，内存≥32GB，内存支持扩展到≥256GB，需配置冗余电源；配置≥4个千兆网口。</w:t>
            </w:r>
            <w:r/>
          </w:p>
          <w:p>
            <w:pPr>
              <w:rPr>
                <w:rFonts w:ascii="宋体" w:hAnsi="宋体"/>
                <w:color w:val="auto"/>
                <w:sz w:val="24"/>
                <w:highlight w:val="none"/>
              </w:rPr>
            </w:pPr>
            <w:r>
              <w:rPr>
                <w:rFonts w:hint="eastAsia" w:ascii="宋体" w:hAnsi="宋体"/>
                <w:color w:val="auto"/>
                <w:sz w:val="24"/>
                <w:highlight w:val="none"/>
              </w:rPr>
              <w:t xml:space="preserve">配置硬盘≥36块SATA/SAS硬盘，并支持≥12级扩展柜级联扩展，</w:t>
            </w:r>
            <w:bookmarkStart w:id="81" w:name="OLE_LINK19"/>
            <w:r>
              <w:rPr>
                <w:rFonts w:hint="eastAsia" w:ascii="宋体" w:hAnsi="宋体"/>
                <w:color w:val="auto"/>
                <w:sz w:val="24"/>
                <w:highlight w:val="none"/>
              </w:rPr>
              <w:t xml:space="preserve">本次存储容量≥720T。</w:t>
            </w:r>
            <w:bookmarkEnd w:id="81"/>
            <w:r/>
            <w:r/>
          </w:p>
          <w:p>
            <w:pPr>
              <w:rPr>
                <w:rFonts w:ascii="宋体" w:hAnsi="宋体"/>
                <w:color w:val="auto"/>
                <w:sz w:val="24"/>
                <w:highlight w:val="none"/>
              </w:rPr>
            </w:pPr>
            <w:r>
              <w:rPr>
                <w:rFonts w:hint="eastAsia" w:ascii="宋体" w:hAnsi="宋体"/>
                <w:color w:val="auto"/>
                <w:sz w:val="24"/>
                <w:highlight w:val="none"/>
              </w:rPr>
              <w:t xml:space="preserve">能对视音频、图片、智能分析录像的混合直存，无需存储服务器和图片服务器参与。能接入并存储2448Mbps视频图像，同时转发2448Mbps的视频图像。</w:t>
            </w:r>
            <w:r/>
          </w:p>
          <w:p>
            <w:pPr>
              <w:rPr>
                <w:rFonts w:ascii="宋体" w:hAnsi="宋体"/>
                <w:color w:val="auto"/>
                <w:sz w:val="24"/>
                <w:highlight w:val="none"/>
              </w:rPr>
            </w:pPr>
            <w:r>
              <w:rPr>
                <w:rFonts w:hint="eastAsia" w:ascii="宋体" w:hAnsi="宋体"/>
                <w:color w:val="auto"/>
                <w:sz w:val="24"/>
                <w:highlight w:val="none"/>
              </w:rPr>
              <w:t xml:space="preserve">支持ONVIF、GB/T 28181、RTSP等标准协议，支持iSCSI、CIFS、NFS、FTP、HTTP、AFP、RSYNC等存储协议。</w:t>
            </w:r>
            <w:r/>
          </w:p>
          <w:p>
            <w:pPr>
              <w:rPr>
                <w:rFonts w:ascii="宋体" w:hAnsi="宋体"/>
                <w:color w:val="auto"/>
                <w:sz w:val="24"/>
                <w:highlight w:val="none"/>
              </w:rPr>
            </w:pPr>
            <w:r>
              <w:rPr>
                <w:rFonts w:hint="eastAsia" w:ascii="宋体" w:hAnsi="宋体"/>
                <w:color w:val="auto"/>
                <w:sz w:val="24"/>
                <w:highlight w:val="none"/>
              </w:rPr>
              <w:t xml:space="preserve">支持云存储节点在线无缝扩容，容量和性能线性增长。</w:t>
            </w:r>
            <w:r/>
          </w:p>
          <w:p>
            <w:pPr>
              <w:rPr>
                <w:rFonts w:ascii="宋体" w:hAnsi="宋体"/>
                <w:color w:val="auto"/>
                <w:sz w:val="24"/>
                <w:highlight w:val="none"/>
              </w:rPr>
            </w:pPr>
            <w:r>
              <w:rPr>
                <w:rFonts w:hint="eastAsia" w:ascii="宋体" w:hAnsi="宋体"/>
                <w:color w:val="auto"/>
                <w:sz w:val="24"/>
                <w:highlight w:val="none"/>
              </w:rPr>
              <w:t xml:space="preserve">支持纠删码数据保护技术，具备设备级容错机制，保障历史数据不丢失、实时业务不中断。</w:t>
            </w:r>
            <w:r/>
          </w:p>
          <w:p>
            <w:pPr>
              <w:rPr>
                <w:rFonts w:ascii="宋体" w:hAnsi="宋体"/>
                <w:color w:val="auto"/>
                <w:sz w:val="24"/>
                <w:highlight w:val="none"/>
              </w:rPr>
            </w:pPr>
            <w:r>
              <w:rPr>
                <w:rFonts w:hint="eastAsia" w:ascii="宋体" w:hAnsi="宋体"/>
                <w:color w:val="auto"/>
                <w:sz w:val="24"/>
                <w:highlight w:val="none"/>
              </w:rPr>
              <w:t xml:space="preserve">支持视频锁定、视频封面、视频备份等视频功能。</w:t>
            </w:r>
            <w:r/>
          </w:p>
          <w:p>
            <w:pPr>
              <w:rPr>
                <w:rFonts w:ascii="宋体" w:hAnsi="宋体"/>
                <w:color w:val="auto"/>
                <w:sz w:val="24"/>
                <w:highlight w:val="none"/>
              </w:rPr>
            </w:pPr>
            <w:r>
              <w:rPr>
                <w:rFonts w:hint="eastAsia" w:ascii="宋体" w:hAnsi="宋体"/>
                <w:color w:val="auto"/>
                <w:sz w:val="24"/>
                <w:highlight w:val="none"/>
              </w:rPr>
              <w:t xml:space="preserve">存储系统支持全对称架构，无独立的元数据管理节点。集群（3台及以上）任意节点宕机仅剩1台时，系统通过唯一入口IP可访问管理平台，以及在单机接入性能冗余范围内，存储业务不中断。</w:t>
            </w:r>
            <w:r/>
          </w:p>
          <w:p>
            <w:pPr>
              <w:rPr>
                <w:rFonts w:ascii="宋体" w:hAnsi="宋体"/>
                <w:color w:val="auto"/>
                <w:sz w:val="24"/>
                <w:highlight w:val="none"/>
              </w:rPr>
            </w:pPr>
            <w:r>
              <w:rPr>
                <w:rFonts w:hint="eastAsia" w:ascii="宋体" w:hAnsi="宋体"/>
                <w:color w:val="auto"/>
                <w:sz w:val="24"/>
                <w:highlight w:val="none"/>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0</w:t>
      </w:r>
      <w:r>
        <w:rPr>
          <w:rFonts w:hint="eastAsia" w:ascii="宋体" w:hAnsi="宋体"/>
          <w:b/>
          <w:bCs/>
          <w:color w:val="auto"/>
          <w:sz w:val="24"/>
          <w:highlight w:val="none"/>
        </w:rPr>
        <w:t xml:space="preserve">）中心图片存储扩容</w:t>
      </w:r>
      <w:r/>
    </w:p>
    <w:tbl>
      <w:tblPr>
        <w:tblStyle w:val="6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1"/>
        <w:gridCol w:w="1701"/>
        <w:gridCol w:w="5744"/>
      </w:tblGrid>
      <w:tr>
        <w:trPr>
          <w:trHeight w:val="113"/>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 功能、性能、配置要求</w:t>
            </w:r>
            <w:r/>
          </w:p>
        </w:tc>
      </w:tr>
      <w:tr>
        <w:trPr>
          <w:trHeight w:val="2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单个文件最大支持1PB，单个目录支持的文件数不低于3000万（提供具有CMA标识的检测报告加盖公章，未提供或内容不全的将作无效投标处理）</w:t>
            </w:r>
            <w:r>
              <w:rPr>
                <w:rFonts w:ascii="宋体" w:hAnsi="宋体"/>
                <w:color w:val="auto"/>
                <w:sz w:val="24"/>
                <w:highlight w:val="none"/>
              </w:rPr>
              <w:t xml:space="preserve">。</w:t>
            </w:r>
            <w:r/>
          </w:p>
          <w:p>
            <w:pPr>
              <w:rPr>
                <w:rFonts w:ascii="宋体" w:hAnsi="宋体"/>
                <w:color w:val="auto"/>
                <w:sz w:val="24"/>
                <w:highlight w:val="none"/>
              </w:rPr>
            </w:pPr>
            <w:r>
              <w:rPr>
                <w:rFonts w:hint="eastAsia" w:ascii="宋体" w:hAnsi="宋体"/>
                <w:color w:val="auto"/>
                <w:sz w:val="24"/>
                <w:highlight w:val="none"/>
              </w:rPr>
              <w:t xml:space="preserve">支持在扩容时,可对EC N+M的N进行动态扩列,并且可配置扩容后 EC的N+M 配比,扩容后由硬盘池内节点数决定 EC冗余配比,最大支持设置扩N+M为22+2</w:t>
            </w:r>
            <w:r>
              <w:rPr>
                <w:rFonts w:ascii="宋体" w:hAnsi="宋体"/>
                <w:b/>
                <w:color w:val="auto"/>
                <w:sz w:val="22"/>
                <w:highlight w:val="none"/>
              </w:rPr>
              <w:t xml:space="preserve">（提供具有CMA标识的检测报告加盖公章，未提供或内容不全的将作无效投标处理）。</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处理器：≥2颗</w:t>
            </w:r>
            <w:bookmarkStart w:id="82" w:name="OLE_LINK17"/>
            <w:r>
              <w:rPr>
                <w:rFonts w:hint="eastAsia" w:ascii="宋体" w:hAnsi="宋体"/>
                <w:color w:val="auto"/>
                <w:sz w:val="24"/>
                <w:highlight w:val="none"/>
              </w:rPr>
              <w:t xml:space="preserve">国产</w:t>
            </w:r>
            <w:bookmarkEnd w:id="82"/>
            <w:r>
              <w:rPr>
                <w:rFonts w:hint="eastAsia" w:ascii="宋体" w:hAnsi="宋体"/>
                <w:color w:val="auto"/>
                <w:sz w:val="24"/>
                <w:highlight w:val="none"/>
              </w:rPr>
              <w:t xml:space="preserve">化处理器，</w:t>
            </w:r>
            <w:bookmarkStart w:id="83" w:name="OLE_LINK18"/>
            <w:r>
              <w:rPr>
                <w:rFonts w:hint="eastAsia" w:ascii="宋体" w:hAnsi="宋体"/>
                <w:color w:val="auto"/>
                <w:sz w:val="24"/>
                <w:highlight w:val="none"/>
              </w:rPr>
              <w:t xml:space="preserve">单颗处理器物理核数≥24个核心</w:t>
            </w:r>
            <w:bookmarkEnd w:id="83"/>
            <w:r>
              <w:rPr>
                <w:rFonts w:hint="eastAsia" w:ascii="宋体" w:hAnsi="宋体"/>
                <w:color w:val="auto"/>
                <w:sz w:val="24"/>
                <w:highlight w:val="none"/>
              </w:rPr>
              <w:t xml:space="preserve">，处理器单个核心基准主频≥2.4GHz；</w:t>
            </w:r>
            <w:r/>
          </w:p>
          <w:p>
            <w:pPr>
              <w:rPr>
                <w:rFonts w:ascii="宋体" w:hAnsi="宋体"/>
                <w:color w:val="auto"/>
                <w:sz w:val="24"/>
                <w:highlight w:val="none"/>
              </w:rPr>
            </w:pPr>
            <w:r>
              <w:rPr>
                <w:rFonts w:hint="eastAsia" w:ascii="宋体" w:hAnsi="宋体"/>
                <w:color w:val="auto"/>
                <w:sz w:val="24"/>
                <w:highlight w:val="none"/>
              </w:rPr>
              <w:t xml:space="preserve">内存：≥256G内存；</w:t>
            </w:r>
            <w:r/>
          </w:p>
          <w:p>
            <w:pPr>
              <w:rPr>
                <w:rFonts w:ascii="宋体" w:hAnsi="宋体"/>
                <w:color w:val="auto"/>
                <w:sz w:val="24"/>
                <w:highlight w:val="none"/>
              </w:rPr>
            </w:pPr>
            <w:r>
              <w:rPr>
                <w:rFonts w:hint="eastAsia" w:ascii="宋体" w:hAnsi="宋体"/>
                <w:color w:val="auto"/>
                <w:sz w:val="24"/>
                <w:highlight w:val="none"/>
              </w:rPr>
              <w:t xml:space="preserve">网卡：≥4*10GE光口（含光模块），≥2*GE电口；</w:t>
            </w:r>
            <w:r/>
          </w:p>
          <w:p>
            <w:pPr>
              <w:rPr>
                <w:rFonts w:ascii="宋体" w:hAnsi="宋体"/>
                <w:color w:val="auto"/>
                <w:sz w:val="24"/>
                <w:highlight w:val="none"/>
              </w:rPr>
            </w:pPr>
            <w:r>
              <w:rPr>
                <w:rFonts w:hint="eastAsia" w:ascii="宋体" w:hAnsi="宋体"/>
                <w:color w:val="auto"/>
                <w:sz w:val="24"/>
                <w:highlight w:val="none"/>
              </w:rPr>
              <w:t xml:space="preserve">电源：提供配套冗余电源；</w:t>
            </w:r>
            <w:r/>
          </w:p>
          <w:p>
            <w:pPr>
              <w:rPr>
                <w:rFonts w:ascii="宋体" w:hAnsi="宋体"/>
                <w:color w:val="auto"/>
                <w:sz w:val="24"/>
                <w:highlight w:val="none"/>
              </w:rPr>
            </w:pPr>
            <w:r>
              <w:rPr>
                <w:rFonts w:hint="eastAsia" w:ascii="宋体" w:hAnsi="宋体"/>
                <w:color w:val="auto"/>
                <w:sz w:val="24"/>
                <w:highlight w:val="none"/>
              </w:rPr>
              <w:t xml:space="preserve">软件：包含配套的分布式块存储软件（容量完全授权）；</w:t>
            </w:r>
            <w:r/>
          </w:p>
          <w:p>
            <w:pPr>
              <w:rPr>
                <w:rFonts w:ascii="宋体" w:hAnsi="宋体"/>
                <w:color w:val="auto"/>
                <w:sz w:val="24"/>
                <w:highlight w:val="none"/>
              </w:rPr>
            </w:pPr>
            <w:r>
              <w:rPr>
                <w:rFonts w:ascii="宋体" w:hAnsi="宋体"/>
                <w:color w:val="auto"/>
                <w:sz w:val="24"/>
                <w:highlight w:val="none"/>
              </w:rPr>
              <w:t xml:space="preserve">硬盘：本次存储</w:t>
            </w:r>
            <w:r>
              <w:rPr>
                <w:rFonts w:hint="eastAsia" w:ascii="宋体" w:hAnsi="宋体"/>
                <w:color w:val="auto"/>
                <w:sz w:val="24"/>
                <w:highlight w:val="none"/>
              </w:rPr>
              <w:t xml:space="preserve">裸</w:t>
            </w:r>
            <w:r>
              <w:rPr>
                <w:rFonts w:ascii="宋体" w:hAnsi="宋体"/>
                <w:color w:val="auto"/>
                <w:sz w:val="24"/>
                <w:highlight w:val="none"/>
              </w:rPr>
              <w:t xml:space="preserve">容量≥</w:t>
            </w:r>
            <w:r>
              <w:rPr>
                <w:rFonts w:hint="eastAsia" w:ascii="宋体" w:hAnsi="宋体"/>
                <w:color w:val="auto"/>
                <w:sz w:val="24"/>
                <w:highlight w:val="none"/>
              </w:rPr>
              <w:t xml:space="preserve">630</w:t>
            </w:r>
            <w:r>
              <w:rPr>
                <w:rFonts w:ascii="宋体" w:hAnsi="宋体"/>
                <w:color w:val="auto"/>
                <w:sz w:val="24"/>
                <w:highlight w:val="none"/>
              </w:rPr>
              <w:t xml:space="preserve">T；</w:t>
            </w:r>
            <w:r/>
          </w:p>
          <w:p>
            <w:pPr>
              <w:rPr>
                <w:rFonts w:ascii="宋体" w:hAnsi="宋体"/>
                <w:color w:val="auto"/>
                <w:sz w:val="24"/>
                <w:highlight w:val="none"/>
              </w:rPr>
            </w:pPr>
            <w:r>
              <w:rPr>
                <w:rFonts w:ascii="宋体" w:hAnsi="宋体"/>
                <w:color w:val="auto"/>
                <w:sz w:val="24"/>
                <w:highlight w:val="none"/>
              </w:rPr>
              <w:t xml:space="preserve">支持前端网络/后端网络双平面组网，支持单节点多VLAN功能。前端网络支持GE、10GE、25GE、InfiniBand等，内部互联网络支持10GE、25GE、InfiniBand等。支持对后端交换机进行管理，支持查询交换机的端口状态。</w:t>
            </w:r>
            <w:r/>
          </w:p>
          <w:p>
            <w:pPr>
              <w:rPr>
                <w:rFonts w:ascii="宋体" w:hAnsi="宋体"/>
                <w:color w:val="auto"/>
                <w:sz w:val="24"/>
                <w:highlight w:val="none"/>
              </w:rPr>
            </w:pPr>
            <w:r>
              <w:rPr>
                <w:rFonts w:ascii="宋体" w:hAnsi="宋体"/>
                <w:color w:val="auto"/>
                <w:sz w:val="24"/>
                <w:highlight w:val="none"/>
              </w:rPr>
              <w:t xml:space="preserve">支持并配置基于用户、用户组、目录的空间配额管理。支持目录级快照功能；支持企业级WORM。</w:t>
            </w:r>
            <w:r/>
          </w:p>
          <w:p>
            <w:pPr>
              <w:rPr>
                <w:rFonts w:ascii="宋体" w:hAnsi="宋体"/>
                <w:color w:val="auto"/>
                <w:sz w:val="24"/>
                <w:highlight w:val="none"/>
              </w:rPr>
            </w:pPr>
            <w:r>
              <w:rPr>
                <w:rFonts w:ascii="宋体" w:hAnsi="宋体"/>
                <w:color w:val="auto"/>
                <w:sz w:val="24"/>
                <w:highlight w:val="none"/>
              </w:rPr>
              <w:t xml:space="preserve">提供功能全面的图形化管理软件，支持Web或其它图形化方式进行远程管理，可视化运维，可支持同一界面管理多套存储集群。</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01"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744" w:type="dxa"/>
            <w:vAlign w:val="center"/>
            <w:textDirection w:val="lrTb"/>
            <w:noWrap/>
          </w:tcPr>
          <w:p>
            <w:pPr>
              <w:spacing w:line="360" w:lineRule="auto"/>
              <w:rPr>
                <w:rFonts w:ascii="宋体" w:hAnsi="宋体"/>
                <w:b/>
                <w:bCs/>
                <w:color w:val="auto"/>
                <w:sz w:val="24"/>
                <w:highlight w:val="none"/>
              </w:rPr>
            </w:pPr>
            <w:r>
              <w:rPr>
                <w:rFonts w:ascii="宋体" w:hAnsi="宋体"/>
                <w:b/>
                <w:bCs/>
                <w:color w:val="auto"/>
                <w:sz w:val="24"/>
                <w:highlight w:val="none"/>
              </w:rPr>
              <w:t xml:space="preserve">暂无内容</w:t>
            </w:r>
            <w:r/>
          </w:p>
        </w:tc>
      </w:tr>
    </w:tbl>
    <w:p>
      <w:pPr>
        <w:spacing w:line="360" w:lineRule="auto"/>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三、项目服务要求</w:t>
      </w:r>
      <w:r/>
    </w:p>
    <w:p>
      <w:pPr>
        <w:ind w:firstLine="420"/>
        <w:spacing w:line="360" w:lineRule="auto"/>
        <w:rPr>
          <w:rFonts w:ascii="宋体" w:hAnsi="宋体" w:cs="宋体"/>
          <w:b/>
          <w:bCs/>
          <w:color w:val="auto"/>
          <w:sz w:val="24"/>
          <w:szCs w:val="24"/>
          <w:highlight w:val="none"/>
        </w:rPr>
      </w:pPr>
      <w:r>
        <w:rPr>
          <w:rFonts w:hint="eastAsia" w:ascii="宋体" w:hAnsi="宋体"/>
          <w:b/>
          <w:bCs/>
          <w:color w:val="auto"/>
          <w:sz w:val="22"/>
          <w:highlight w:val="none"/>
          <w:lang w:val="zh-CN"/>
        </w:rPr>
        <w:t xml:space="preserve">（一）</w:t>
      </w:r>
      <w:r>
        <w:rPr>
          <w:rFonts w:ascii="宋体" w:hAnsi="宋体" w:cs="宋体"/>
          <w:b/>
          <w:bCs/>
          <w:color w:val="auto"/>
          <w:sz w:val="24"/>
          <w:szCs w:val="24"/>
          <w:highlight w:val="none"/>
        </w:rPr>
        <w:t xml:space="preserve">安装调试要求</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本项目包括外场设备的安装调试、整体大系统的联动调试，包括外场施工时与城管部门、</w:t>
      </w:r>
      <w:r>
        <w:rPr>
          <w:rFonts w:ascii="宋体" w:hAnsi="宋体" w:cs="宋体"/>
          <w:color w:val="auto"/>
          <w:sz w:val="24"/>
          <w:szCs w:val="24"/>
          <w:highlight w:val="none"/>
        </w:rPr>
        <w:t xml:space="preserve">紫金山科技城管委会</w:t>
      </w:r>
      <w:r>
        <w:rPr>
          <w:rFonts w:ascii="宋体" w:hAnsi="宋体" w:cs="宋体"/>
          <w:color w:val="auto"/>
          <w:sz w:val="24"/>
          <w:szCs w:val="24"/>
          <w:highlight w:val="none"/>
        </w:rPr>
        <w:t xml:space="preserve">、园林绿化、电力、通信运营商、广电、煤气、供水、街道、部队（如有）等相关业务单位的协调沟通，以及相关施工手续办理，均由中标供应商承担负责。</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（二）施工要求</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.材料堆场由中标供应商根据工程现场条件与采购人协议解决；工人住宿问题由中标供应商自行解决，供应商要充分考虑到周围环境的现实条件，保证设备及半成品的保护。</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安全工作由中标供应商负责。中标供应商要充分考虑本工程现场的特点，做好主要基坑、绿化及顶管等施工的围挡，保证出行市民的安全，同时保证自有施工人员在基础施工、设备吊装、调试测试阶段的安全工作。</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.施工中现场其他市政设施的设备的保护工作由中标供应商负责，如有损坏应照价赔偿并原样修复。</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中标单位的项目组成员经采购人确定后，不得随意改变，特别是项目经理、技术负责人及调试负责人严禁更换。</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.根据采购文件要求和中标供应商的投标材料等，由采购人组织相关人员对项目按国家最新相关标准验收。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.工程完成后，须提供详细的竣工图及相应标识作为验收的重要依据，提供验收资料（含项目文档、技术资料名称和目录等）。</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除非招标技术文件另有说明外，本期工程招标外场设备的工作条件和测试条件为：温度：-20℃～+70℃，相对湿度：5%～95%，无冷凝；除非招标技术文件另有说明外，本期工程招标内场设备的工作条件和测试条件为：室内温度为：0℃～30℃，相对湿度：15%～70%，无冷凝。</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.此次设备采购为交钥匙工程，所有施工费用和材料费用和供应商要达到要求的所有设备、取电链路以及所有施工开挖、绿化、道板恢复、手续办理、城管 / 园林 / 电力协调等均包含在供应商报价中。供应商在施工中须尽量减少对道路及相关设施的影响，所有涉及到的相关手续由中标供应商自行办理，牵涉到的费用由中标供应商承担；实施过程中如果有对路面、绿化等方面造成损害，由此所造成的一切费用由中标供应商承担。</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（三）兼容性要求</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此次建设的内容</w:t>
      </w:r>
      <w:r>
        <w:rPr>
          <w:rFonts w:hint="eastAsia" w:ascii="宋体" w:hAnsi="宋体" w:cs="宋体"/>
          <w:color w:val="auto"/>
          <w:sz w:val="24"/>
          <w:szCs w:val="24"/>
          <w:highlight w:val="none"/>
        </w:rPr>
        <w:t xml:space="preserve">必须</w:t>
      </w:r>
      <w:r>
        <w:rPr>
          <w:rFonts w:ascii="宋体" w:hAnsi="宋体" w:cs="宋体"/>
          <w:color w:val="auto"/>
          <w:sz w:val="24"/>
          <w:szCs w:val="24"/>
          <w:highlight w:val="none"/>
        </w:rPr>
        <w:t xml:space="preserve">与南京市公安局江宁分局原有的智慧警务平台实现兼容和无缝对接</w:t>
      </w:r>
      <w:r>
        <w:rPr>
          <w:rFonts w:hint="eastAsia" w:ascii="宋体" w:hAnsi="宋体" w:cs="宋体"/>
          <w:color w:val="auto"/>
          <w:sz w:val="24"/>
          <w:szCs w:val="24"/>
          <w:highlight w:val="none"/>
        </w:rPr>
        <w:t xml:space="preserve">，对接所需要的接口协议等由采购人协调提供。</w:t>
      </w:r>
      <w:r>
        <w:rPr>
          <w:rFonts w:ascii="宋体" w:hAnsi="宋体" w:cs="宋体"/>
          <w:color w:val="auto"/>
          <w:sz w:val="24"/>
          <w:szCs w:val="24"/>
          <w:highlight w:val="none"/>
        </w:rPr>
        <w:t xml:space="preserve">（对接内容包括视频、车辆图片及信息、人员图片及信息的无缝接入，根据现有平台的数据库结构进行前端设备相关配置）</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（四）质量保证要求</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本项目质保期为两年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费用包含在投标报价中。</w:t>
      </w:r>
      <w:r>
        <w:rPr>
          <w:rFonts w:ascii="宋体" w:hAnsi="宋体" w:cs="宋体"/>
          <w:color w:val="auto"/>
          <w:sz w:val="24"/>
          <w:szCs w:val="24"/>
          <w:highlight w:val="none"/>
        </w:rPr>
        <w:t xml:space="preserve">（自验收合格之日起）</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（五）售后服务响应要求</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.质保期内，供应商接到采购人</w:t>
      </w:r>
      <w:r>
        <w:rPr>
          <w:rFonts w:hint="eastAsia" w:ascii="宋体" w:hAnsi="宋体" w:cs="宋体"/>
          <w:color w:val="auto"/>
          <w:sz w:val="24"/>
          <w:szCs w:val="24"/>
          <w:highlight w:val="none"/>
        </w:rPr>
        <w:t xml:space="preserve">排除</w:t>
      </w:r>
      <w:r>
        <w:rPr>
          <w:rFonts w:ascii="宋体" w:hAnsi="宋体" w:cs="宋体"/>
          <w:color w:val="auto"/>
          <w:sz w:val="24"/>
          <w:szCs w:val="24"/>
          <w:highlight w:val="none"/>
        </w:rPr>
        <w:t xml:space="preserve">故障请求时，提供7×24小时不间断的技术支持服务，应在30分钟内响应，2个小时内技术人员到达现场，一般故障4小时内解决故障，重大故障需安排技术人员到现场提供技术服务，以保证系统的正常使用。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.供应商提供包括用户手册、维护手册等在内的完备准确的工程技术资料。</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.在系统运行期间，供应商向采购人提供系统维护和管理文档。</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.供应商提供运行期间的系统安装、调试、使用、维护、升级等服务。</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.故障发生24小时内向采购人提供故障报告，故障解决后三日内提供系统故障分析报告。</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.项目免费质保期到期后移交公安，由公安指定单位进行维保。</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（六）技术培训要求</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供应商应为采购人提供培训服务（费用包含在报价中），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采购人人员进行相应的技术培训，培训地点主要在货物安装现场或由采购人安排。</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.维护人员经过培训后，应能熟练使用系统软件，独立完成硬件的维护工作，掌握网络运行情况，以及及时排除部分系统故障。</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.系统管理员经过培训后，能熟练掌握系统软件的使用，熟悉系统整体结构，能够分析系统故障，管理系统设备，掌握系统内部和外部接口，承担全面的技术管理工作。</w:t>
      </w:r>
      <w:r/>
    </w:p>
    <w:p>
      <w:pPr>
        <w:ind w:firstLine="420"/>
        <w:spacing w:line="360" w:lineRule="auto"/>
        <w:rPr>
          <w:rFonts w:hint="eastAsia" w:ascii="宋体" w:hAnsi="宋体"/>
          <w:b/>
          <w:bCs/>
          <w:color w:val="auto"/>
          <w:sz w:val="22"/>
          <w:highlight w:val="none"/>
          <w:lang w:val="zh-CN"/>
        </w:rPr>
      </w:pPr>
      <w:r>
        <w:rPr>
          <w:rFonts w:hint="eastAsia" w:ascii="宋体" w:hAnsi="宋体"/>
          <w:b/>
          <w:bCs/>
          <w:color w:val="auto"/>
          <w:sz w:val="22"/>
          <w:highlight w:val="none"/>
          <w:lang w:val="zh-CN"/>
        </w:rPr>
        <w:t xml:space="preserve">（七）提供的技术材料</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.中标后投标人应向采购人提供：详细的系统设计方案、详细的系统测试方案（包括测试计划、测试设备、功能测试、性能测试等）、设备配置说明（包括详细的技术性能、工作原理等）。</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.中标后投标人提供检验，现场验收以及工程初步验收及系统验收的项目，指标、测试内容和方法。</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.技术文件内容要与所提供的设备一致，施工过程中，由于软、硬件的修改导致文件的任何修改，投标人均应再提供修改更正或补充文件。</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.投标人应提供技术文件的编制依据和遵循的标准。</w:t>
      </w:r>
      <w:r/>
    </w:p>
    <w:p>
      <w:pPr>
        <w:spacing w:line="360" w:lineRule="auto"/>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四、付款步骤</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合同签订后，甲方向乙方支付合同金额的20%，在按照合同规定的期限内将设备、材料全部运抵交货地点并安装调试结束，验收合格后甲方向供应商支付至合同总价的90%，余款在质保期满后一次性付清。</w:t>
      </w:r>
      <w:r/>
    </w:p>
    <w:p>
      <w:pPr>
        <w:spacing w:line="360" w:lineRule="auto"/>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五、报价要求</w:t>
      </w:r>
      <w:r/>
    </w:p>
    <w:p>
      <w:pPr>
        <w:ind w:firstLine="420"/>
        <w:spacing w:line="360" w:lineRule="auto"/>
        <w:rPr>
          <w:color w:val="auto"/>
          <w:highlight w:val="none"/>
        </w:rPr>
      </w:pPr>
      <w:r>
        <w:rPr>
          <w:rFonts w:hint="eastAsia" w:ascii="宋体" w:hAnsi="宋体" w:cs="宋体"/>
          <w:color w:val="auto"/>
          <w:sz w:val="24"/>
          <w:szCs w:val="24"/>
          <w:highlight w:val="none"/>
        </w:rPr>
        <w:t xml:space="preserve">供应商应对本采购文件中的产品清单内容逐项报价。投标总报价为包干价，包括但不限于满足本项目要求的所有产品及其辅材、包装、运输、设计、安装、调试及售后服务等从项目中标起到项目正式交付以及质保期内所发生的一切费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66"/>
      <w:r/>
    </w:p>
    <w:p>
      <w:pPr>
        <w:pStyle w:val="627"/>
        <w:jc w:val="center"/>
        <w:spacing w:before="120" w:after="120" w:line="360" w:lineRule="auto"/>
        <w:rPr>
          <w:color w:val="auto"/>
          <w:highlight w:val="none"/>
        </w:rPr>
      </w:pPr>
      <w:r/>
      <w:bookmarkStart w:id="84" w:name="_Toc236991657"/>
      <w:r>
        <w:rPr>
          <w:rFonts w:hint="eastAsia"/>
          <w:color w:val="auto"/>
          <w:highlight w:val="none"/>
        </w:rPr>
        <w:br w:type="column"/>
      </w:r>
      <w:r>
        <w:rPr>
          <w:rFonts w:hint="eastAsia"/>
          <w:color w:val="auto"/>
          <w:highlight w:val="none"/>
        </w:rPr>
        <w:t xml:space="preserve">第五章  采购合同格式</w:t>
      </w:r>
      <w:bookmarkEnd w:id="84"/>
      <w:r/>
      <w:r/>
    </w:p>
    <w:p>
      <w:pPr>
        <w:jc w:val="center"/>
        <w:spacing w:line="312" w:lineRule="auto"/>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spacing w:line="360" w:lineRule="auto"/>
        <w:shd w:val="clear" w:color="auto" w:fill="ffffff"/>
        <w:widowControl/>
        <w:rPr>
          <w:rFonts w:ascii="宋体" w:hAnsi="宋体"/>
          <w:b/>
          <w:color w:val="auto"/>
          <w:szCs w:val="21"/>
          <w:highlight w:val="none"/>
        </w:rPr>
      </w:pPr>
      <w:r>
        <w:rPr>
          <w:rFonts w:hint="eastAsia" w:ascii="宋体" w:hAnsi="宋体"/>
          <w:b/>
          <w:color w:val="auto"/>
          <w:sz w:val="52"/>
          <w:szCs w:val="52"/>
          <w:highlight w:val="none"/>
        </w:rPr>
        <w:t xml:space="preserve">南京市政府采购合同</w:t>
      </w:r>
      <w:r/>
    </w:p>
    <w:p>
      <w:pPr>
        <w:jc w:val="center"/>
        <w:spacing w:line="360" w:lineRule="auto"/>
        <w:shd w:val="clear" w:color="auto" w:fill="ffffff"/>
        <w:widowControl/>
        <w:rPr>
          <w:rFonts w:ascii="宋体" w:hAnsi="宋体"/>
          <w:b/>
          <w:bCs/>
          <w:color w:val="auto"/>
          <w:sz w:val="32"/>
          <w:highlight w:val="none"/>
        </w:rPr>
      </w:pPr>
      <w:r>
        <w:rPr>
          <w:rFonts w:ascii="宋体" w:hAnsi="宋体"/>
          <w:b/>
          <w:bCs/>
          <w:color w:val="auto"/>
          <w:sz w:val="32"/>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fill="ffffff"/>
        <w:widowControl/>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合同编号：</w:t>
      </w:r>
      <w:r>
        <w:rPr>
          <w:rFonts w:hint="eastAsia" w:ascii="宋体" w:hAnsi="宋体"/>
          <w:b/>
          <w:bCs/>
          <w:color w:val="auto"/>
          <w:sz w:val="28"/>
          <w:szCs w:val="28"/>
          <w:highlight w:val="none"/>
          <w:u w:val="single"/>
        </w:rPr>
        <w:t xml:space="preserve">          </w:t>
      </w:r>
      <w:r/>
    </w:p>
    <w:p>
      <w:pPr>
        <w:ind w:left="2989" w:hanging="1494"/>
        <w:spacing w:line="360" w:lineRule="auto"/>
        <w:shd w:val="clear" w:color="auto" w:fill="ffffff"/>
        <w:widowControl/>
        <w:rPr>
          <w:rFonts w:ascii="宋体" w:hAnsi="宋体"/>
          <w:b/>
          <w:bCs/>
          <w:color w:val="auto"/>
          <w:sz w:val="30"/>
          <w:szCs w:val="30"/>
          <w:highlight w:val="none"/>
          <w:u w:val="single"/>
        </w:rPr>
      </w:pPr>
      <w:r>
        <w:rPr>
          <w:rFonts w:hint="eastAsia" w:ascii="宋体" w:hAnsi="宋体"/>
          <w:b/>
          <w:bCs/>
          <w:color w:val="auto"/>
          <w:sz w:val="30"/>
          <w:szCs w:val="30"/>
          <w:highlight w:val="none"/>
        </w:rPr>
        <w:t xml:space="preserve">项目名称：</w:t>
      </w:r>
      <w:r>
        <w:rPr>
          <w:rFonts w:hint="eastAsia" w:ascii="宋体" w:hAnsi="宋体"/>
          <w:b/>
          <w:bCs/>
          <w:color w:val="auto"/>
          <w:sz w:val="28"/>
          <w:szCs w:val="28"/>
          <w:highlight w:val="none"/>
          <w:u w:val="singl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28"/>
          <w:szCs w:val="28"/>
          <w:highlight w:val="none"/>
          <w:u w:val="singl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供 应 商：</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签订日期：</w:t>
      </w:r>
      <w:r>
        <w:rPr>
          <w:rFonts w:hint="eastAsia" w:ascii="宋体" w:hAnsi="宋体"/>
          <w:b/>
          <w:bCs/>
          <w:color w:val="auto"/>
          <w:sz w:val="28"/>
          <w:szCs w:val="28"/>
          <w:highlight w:val="none"/>
          <w:u w:val="single"/>
        </w:rPr>
        <w:t xml:space="preserve">           </w:t>
      </w:r>
      <w:r/>
    </w:p>
    <w:p>
      <w:pPr>
        <w:spacing w:line="360" w:lineRule="auto"/>
        <w:shd w:val="clear" w:color="auto" w:fill="ffffff"/>
        <w:widowControl/>
        <w:rPr>
          <w:rFonts w:ascii="宋体" w:hAnsi="宋体"/>
          <w:b/>
          <w:bCs/>
          <w:color w:val="auto"/>
          <w:sz w:val="30"/>
          <w:szCs w:val="30"/>
          <w:highlight w:val="none"/>
        </w:rPr>
      </w:pPr>
      <w:r>
        <w:rPr>
          <w:rFonts w:hint="eastAsia" w:ascii="宋体" w:hAnsi="宋体"/>
          <w:color w:val="auto"/>
          <w:sz w:val="30"/>
          <w:szCs w:val="30"/>
          <w:highlight w:val="none"/>
        </w:rPr>
        <w:t xml:space="preserve">      </w:t>
      </w:r>
      <w:r>
        <w:rPr>
          <w:rFonts w:hint="eastAsia" w:ascii="宋体" w:hAnsi="宋体"/>
          <w:b/>
          <w:bCs/>
          <w:color w:val="auto"/>
          <w:sz w:val="30"/>
          <w:szCs w:val="30"/>
          <w:highlight w:val="none"/>
        </w:rPr>
        <w:t xml:space="preserve">  </w:t>
      </w:r>
      <w:r/>
    </w:p>
    <w:p>
      <w:pPr>
        <w:spacing w:line="360" w:lineRule="auto"/>
        <w:shd w:val="clear" w:color="auto" w:fill="ffffff"/>
        <w:widowControl/>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shd w:val="clear" w:color="auto" w:fill="ffffff"/>
        <w:widowControl/>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rPr>
          <w:rFonts w:ascii="宋体" w:hAnsi="宋体"/>
          <w:color w:val="auto"/>
          <w:sz w:val="22"/>
          <w:szCs w:val="21"/>
          <w:highlight w:val="none"/>
          <w:lang w:val="zh-CN"/>
        </w:rPr>
      </w:pPr>
      <w:r>
        <w:rPr>
          <w:rFonts w:hint="eastAsia" w:ascii="宋体" w:hAnsi="宋体"/>
          <w:bCs/>
          <w:color w:val="auto"/>
          <w:sz w:val="24"/>
          <w:highlight w:val="none"/>
        </w:rPr>
        <w:br w:type="page" w:clear="all"/>
      </w:r>
      <w:bookmarkEnd w:id="65"/>
      <w:r/>
      <w:bookmarkStart w:id="85" w:name="_Toc122013408"/>
      <w:r/>
      <w:bookmarkStart w:id="86" w:name="_Toc115271412"/>
      <w:r/>
      <w:bookmarkStart w:id="87" w:name="_Toc236991658"/>
      <w:r>
        <w:rPr>
          <w:rFonts w:hint="eastAsia" w:ascii="宋体" w:hAnsi="宋体"/>
          <w:color w:val="auto"/>
          <w:sz w:val="24"/>
          <w:szCs w:val="21"/>
          <w:highlight w:val="none"/>
          <w:lang w:val="zh-CN"/>
        </w:rPr>
        <w:t xml:space="preserve">合同编号：</w:t>
      </w:r>
      <w:r/>
    </w:p>
    <w:tbl>
      <w:tblPr>
        <w:tblStyle w:val="637"/>
        <w:tblW w:w="0" w:type="auto"/>
        <w:jc w:val="center"/>
        <w:tblLayout w:type="fixed"/>
        <w:tblCellMar>
          <w:left w:w="108" w:type="dxa"/>
          <w:top w:w="0" w:type="dxa"/>
          <w:right w:w="108" w:type="dxa"/>
          <w:bottom w:w="0" w:type="dxa"/>
        </w:tblCellMar>
        <w:tblLook w:val="04A0" w:firstRow="1" w:lastRow="0" w:firstColumn="1" w:lastColumn="0" w:noHBand="0" w:noVBand="1"/>
      </w:tblPr>
      <w:tblGrid>
        <w:gridCol w:w="4395"/>
        <w:gridCol w:w="4146"/>
      </w:tblGrid>
      <w:tr>
        <w:trPr>
          <w:jc w:val="center"/>
          <w:trHeight w:val="451"/>
        </w:trPr>
        <w:tc>
          <w:tcPr>
            <w:tcBorders>
              <w:top w:val="none" w:color="000000" w:sz="4" w:space="0"/>
              <w:left w:val="none" w:color="000000" w:sz="4" w:space="0"/>
              <w:bottom w:val="none" w:color="000000" w:sz="4" w:space="0"/>
              <w:right w:val="none" w:color="000000" w:sz="4" w:space="0"/>
            </w:tcBorders>
            <w:tcW w:w="4395" w:type="dxa"/>
            <w:textDirection w:val="lrTb"/>
            <w:noWrap/>
          </w:tcPr>
          <w:p>
            <w:pPr>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395" w:type="dxa"/>
            <w:textDirection w:val="lrTb"/>
            <w:noWrap/>
          </w:tcPr>
          <w:p>
            <w:pPr>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住所地</w:t>
            </w:r>
            <w:r>
              <w:rPr>
                <w:rFonts w:hint="eastAsia" w:ascii="宋体" w:hAnsi="宋体"/>
                <w:color w:val="auto"/>
                <w:sz w:val="24"/>
                <w:highlight w:val="none"/>
              </w:rPr>
              <w:t xml:space="preserve">：</w:t>
            </w:r>
            <w:r/>
          </w:p>
        </w:tc>
      </w:tr>
    </w:tbl>
    <w:p>
      <w:pPr>
        <w:ind w:firstLine="42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按</w:t>
      </w:r>
      <w:r>
        <w:rPr>
          <w:rFonts w:hint="eastAsia" w:ascii="宋体" w:hAnsi="宋体"/>
          <w:color w:val="auto"/>
          <w:sz w:val="24"/>
          <w:highlight w:val="none"/>
          <w:lang w:val="zh-CN"/>
        </w:rPr>
        <w:t xml:space="preserve">照《中华人民共和国政府采购法》、《中华人民共和国民法典》等法律法规的规定，甲乙双方按照代理机构的招标结果签订本合同。</w:t>
      </w:r>
      <w:r/>
    </w:p>
    <w:p>
      <w:pPr>
        <w:ind w:firstLine="420"/>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第一条 合同标的</w:t>
      </w:r>
      <w:r/>
    </w:p>
    <w:p>
      <w:pPr>
        <w:ind w:firstLine="420"/>
        <w:spacing w:line="360" w:lineRule="auto"/>
        <w:rPr>
          <w:rFonts w:ascii="宋体" w:hAnsi="宋体"/>
          <w:color w:val="auto"/>
          <w:sz w:val="24"/>
          <w:highlight w:val="none"/>
        </w:rPr>
      </w:pPr>
      <w:r>
        <w:rPr>
          <w:rFonts w:hint="eastAsia" w:ascii="宋体" w:hAnsi="宋体"/>
          <w:color w:val="auto"/>
          <w:sz w:val="24"/>
          <w:highlight w:val="none"/>
          <w:lang w:val="zh-CN"/>
        </w:rPr>
        <w:t xml:space="preserve">1．乙方根据甲方需求提供下列货物：</w:t>
      </w:r>
      <w:r>
        <w:rPr>
          <w:rFonts w:hint="eastAsia" w:ascii="宋体" w:hAnsi="宋体"/>
          <w:color w:val="auto"/>
          <w:sz w:val="24"/>
          <w:highlight w:val="none"/>
        </w:rPr>
        <w:t xml:space="preserve">规格及相关要求，详见采购文件</w:t>
      </w:r>
      <w:r/>
    </w:p>
    <w:tbl>
      <w:tblPr>
        <w:tblStyle w:val="637"/>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2888"/>
        <w:gridCol w:w="1455"/>
        <w:gridCol w:w="2290"/>
      </w:tblGrid>
      <w:tr>
        <w:trPr>
          <w:jc w:val="center"/>
          <w:trHeight w:val="413"/>
        </w:trPr>
        <w:tc>
          <w:tcPr>
            <w:tcW w:w="1462" w:type="dxa"/>
            <w:vAlign w:val="center"/>
            <w:textDirection w:val="lrTb"/>
            <w:noWrap/>
          </w:tcPr>
          <w:p>
            <w:pPr>
              <w:jc w:val="cente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W w:w="2888" w:type="dxa"/>
            <w:vAlign w:val="center"/>
            <w:textDirection w:val="lrTb"/>
            <w:noWrap/>
          </w:tcPr>
          <w:p>
            <w:pPr>
              <w:jc w:val="cente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名称</w:t>
            </w:r>
            <w:r/>
          </w:p>
        </w:tc>
        <w:tc>
          <w:tcPr>
            <w:tcW w:w="1455" w:type="dxa"/>
            <w:vAlign w:val="center"/>
            <w:textDirection w:val="lrTb"/>
            <w:noWrap/>
          </w:tcPr>
          <w:p>
            <w:pPr>
              <w:jc w:val="cente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数量</w:t>
            </w:r>
            <w:r/>
          </w:p>
        </w:tc>
        <w:tc>
          <w:tcPr>
            <w:tcW w:w="2290" w:type="dxa"/>
            <w:vAlign w:val="center"/>
            <w:textDirection w:val="lrTb"/>
            <w:noWrap/>
          </w:tcPr>
          <w:p>
            <w:pPr>
              <w:jc w:val="center"/>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w:t>
            </w:r>
            <w:r/>
          </w:p>
        </w:tc>
      </w:tr>
      <w:tr>
        <w:trPr>
          <w:jc w:val="center"/>
          <w:trHeight w:val="381"/>
        </w:trPr>
        <w:tc>
          <w:tcPr>
            <w:tcW w:w="1462" w:type="dxa"/>
            <w:textDirection w:val="lrTb"/>
            <w:noWrap/>
          </w:tcPr>
          <w:p>
            <w:pPr>
              <w:jc w:val="center"/>
              <w:spacing w:line="360" w:lineRule="auto"/>
              <w:rPr>
                <w:rFonts w:ascii="宋体" w:hAnsi="宋体"/>
                <w:color w:val="auto"/>
                <w:sz w:val="24"/>
                <w:highlight w:val="none"/>
                <w:lang w:val="zh-CN"/>
              </w:rPr>
            </w:pPr>
            <w:r>
              <w:rPr>
                <w:rFonts w:ascii="宋体" w:hAnsi="宋体"/>
                <w:color w:val="auto"/>
                <w:sz w:val="24"/>
                <w:highlight w:val="none"/>
                <w:lang w:val="zh-CN"/>
              </w:rPr>
            </w:r>
            <w:r/>
          </w:p>
        </w:tc>
        <w:tc>
          <w:tcPr>
            <w:tcW w:w="2888" w:type="dxa"/>
            <w:textDirection w:val="lrTb"/>
            <w:noWrap/>
          </w:tcPr>
          <w:p>
            <w:pPr>
              <w:jc w:val="center"/>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W w:w="1455" w:type="dxa"/>
            <w:textDirection w:val="lrTb"/>
            <w:noWrap/>
          </w:tcPr>
          <w:p>
            <w:pPr>
              <w:jc w:val="center"/>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tc>
        <w:tc>
          <w:tcPr>
            <w:tcW w:w="2290" w:type="dxa"/>
            <w:textDirection w:val="lrTb"/>
            <w:noWrap/>
          </w:tcPr>
          <w:p>
            <w:pPr>
              <w:jc w:val="center"/>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r>
            <w:r/>
          </w:p>
        </w:tc>
      </w:tr>
    </w:tbl>
    <w:p>
      <w:pPr>
        <w:ind w:firstLine="420"/>
        <w:spacing w:line="360" w:lineRule="auto"/>
        <w:rPr>
          <w:rFonts w:ascii="宋体" w:hAnsi="宋体"/>
          <w:color w:val="auto"/>
          <w:sz w:val="24"/>
          <w:highlight w:val="none"/>
          <w:lang w:val="zh-CN"/>
        </w:rPr>
      </w:pPr>
      <w:r>
        <w:rPr>
          <w:rFonts w:hint="eastAsia" w:ascii="宋体" w:hAnsi="宋体"/>
          <w:b/>
          <w:bCs/>
          <w:color w:val="auto"/>
          <w:sz w:val="24"/>
          <w:highlight w:val="none"/>
          <w:lang w:val="zh-CN"/>
        </w:rPr>
        <w:t xml:space="preserve">第二条 合同总价款</w:t>
      </w:r>
      <w:r/>
    </w:p>
    <w:p>
      <w:pPr>
        <w:ind w:firstLine="420"/>
        <w:spacing w:line="360" w:lineRule="auto"/>
        <w:rPr>
          <w:rFonts w:ascii="宋体" w:hAnsi="宋体" w:cs="宋体"/>
          <w:color w:val="auto"/>
          <w:sz w:val="24"/>
          <w:highlight w:val="none"/>
          <w:lang w:val="zh-CN"/>
        </w:rPr>
      </w:pPr>
      <w:r>
        <w:rPr>
          <w:rFonts w:hint="eastAsia" w:ascii="宋体" w:hAnsi="宋体"/>
          <w:color w:val="auto"/>
          <w:sz w:val="24"/>
          <w:highlight w:val="none"/>
          <w:lang w:val="zh-CN"/>
        </w:rPr>
        <w:t xml:space="preserve">1．本合同项目货物总价款为：</w:t>
      </w:r>
      <w:r>
        <w:rPr>
          <w:rFonts w:hint="eastAsia" w:ascii="宋体" w:hAnsi="宋体"/>
          <w:color w:val="auto"/>
          <w:sz w:val="24"/>
          <w:highlight w:val="none"/>
          <w:u w:val="single"/>
          <w:lang w:val="zh-CN"/>
        </w:rPr>
        <w:t xml:space="preserve"> </w:t>
      </w:r>
      <w:r>
        <w:rPr>
          <w:rFonts w:ascii="宋体" w:hAnsi="宋体"/>
          <w:color w:val="auto"/>
          <w:sz w:val="24"/>
          <w:highlight w:val="none"/>
          <w:u w:val="single"/>
          <w:lang w:val="zh-CN"/>
        </w:rPr>
        <w:t xml:space="preserve">                </w:t>
      </w:r>
      <w:r>
        <w:rPr>
          <w:rFonts w:ascii="宋体" w:hAnsi="宋体"/>
          <w:color w:val="auto"/>
          <w:sz w:val="24"/>
          <w:highlight w:val="none"/>
          <w:lang w:val="zh-CN"/>
        </w:rPr>
        <w:t xml:space="preserve"> </w:t>
      </w:r>
      <w:r>
        <w:rPr>
          <w:rFonts w:hint="eastAsia" w:ascii="宋体" w:hAnsi="宋体"/>
          <w:color w:val="auto"/>
          <w:sz w:val="24"/>
          <w:highlight w:val="none"/>
          <w:lang w:val="zh-CN"/>
        </w:rPr>
        <w:t xml:space="preserve">（大写）人民币</w:t>
      </w:r>
      <w:r>
        <w:rPr>
          <w:rFonts w:hint="eastAsia" w:ascii="宋体" w:hAnsi="宋体" w:cs="宋体"/>
          <w:color w:val="auto"/>
          <w:sz w:val="24"/>
          <w:highlight w:val="none"/>
          <w:lang w:val="zh-CN"/>
        </w:rPr>
        <w:t xml:space="preserve">。</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2．本合同总价款是包含货物设计、制造、包装、仓储、运输装卸、保险及其材料及验收合格之前保管及保修期内伴随服务发生的所有含税费用、支付给员工的工资以及供应商认为需要的其他费用等。</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3．本合同总价款还包含乙方应当提供的伴随服务、售后服务费用。</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4．本合同为固定总价合同，合同执行期间总价款不变。</w:t>
      </w:r>
      <w:r/>
    </w:p>
    <w:p>
      <w:pPr>
        <w:ind w:firstLine="420"/>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第三条 合同期限 </w:t>
      </w:r>
      <w:r/>
    </w:p>
    <w:p>
      <w:pPr>
        <w:ind w:firstLine="42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合同签订之日起至质保期结束。</w:t>
      </w:r>
      <w:r/>
    </w:p>
    <w:p>
      <w:pPr>
        <w:ind w:firstLine="420"/>
        <w:spacing w:line="360" w:lineRule="auto"/>
        <w:rPr>
          <w:rFonts w:ascii="宋体" w:hAnsi="宋体"/>
          <w:color w:val="auto"/>
          <w:sz w:val="24"/>
          <w:highlight w:val="none"/>
          <w:lang w:val="zh-CN"/>
        </w:rPr>
      </w:pPr>
      <w:r>
        <w:rPr>
          <w:rFonts w:hint="eastAsia" w:ascii="宋体" w:hAnsi="宋体"/>
          <w:b/>
          <w:bCs/>
          <w:color w:val="auto"/>
          <w:sz w:val="24"/>
          <w:highlight w:val="none"/>
          <w:lang w:val="zh-CN"/>
        </w:rPr>
        <w:t xml:space="preserve">第四条 组成本合同的有关文件</w:t>
      </w:r>
      <w:r/>
    </w:p>
    <w:p>
      <w:pPr>
        <w:ind w:firstLine="42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下列关于代理</w:t>
      </w:r>
      <w:r>
        <w:rPr>
          <w:rFonts w:hint="eastAsia" w:ascii="宋体" w:hAnsi="宋体"/>
          <w:color w:val="auto"/>
          <w:sz w:val="24"/>
          <w:highlight w:val="none"/>
          <w:u w:val="single"/>
          <w:lang w:val="zh-CN"/>
        </w:rPr>
        <w:t xml:space="preserve"> </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（1）乙方提供的投标文件和投标报价表；（2）供货一览表；（3）技术规格偏离表；（4）服务承诺；（5）甲乙双方商定的其他文件等；（</w:t>
      </w:r>
      <w:r>
        <w:rPr>
          <w:rFonts w:ascii="宋体" w:hAnsi="宋体"/>
          <w:color w:val="auto"/>
          <w:sz w:val="24"/>
          <w:highlight w:val="none"/>
          <w:lang w:val="zh-CN"/>
        </w:rPr>
        <w:t xml:space="preserve">6</w:t>
      </w:r>
      <w:r>
        <w:rPr>
          <w:rFonts w:hint="eastAsia" w:ascii="宋体" w:hAnsi="宋体"/>
          <w:color w:val="auto"/>
          <w:sz w:val="24"/>
          <w:highlight w:val="none"/>
          <w:lang w:val="zh-CN"/>
        </w:rPr>
        <w:t xml:space="preserve">）中标通知书；（7）保密协议；（8）双方有关项目的洽商、变更等书面协议或文件视为本合同的组成部分。</w:t>
      </w:r>
      <w:r/>
    </w:p>
    <w:p>
      <w:pPr>
        <w:ind w:firstLine="420"/>
        <w:spacing w:line="360" w:lineRule="auto"/>
        <w:rPr>
          <w:rFonts w:ascii="宋体" w:hAnsi="宋体"/>
          <w:color w:val="auto"/>
          <w:sz w:val="24"/>
          <w:highlight w:val="none"/>
        </w:rPr>
      </w:pPr>
      <w:r>
        <w:rPr>
          <w:rFonts w:hint="eastAsia" w:ascii="宋体" w:hAnsi="宋体"/>
          <w:b/>
          <w:bCs/>
          <w:color w:val="auto"/>
          <w:sz w:val="24"/>
          <w:highlight w:val="none"/>
          <w:lang w:val="zh-CN"/>
        </w:rPr>
        <w:t xml:space="preserve">第五条 权利保证</w:t>
      </w:r>
      <w:r/>
    </w:p>
    <w:p>
      <w:pPr>
        <w:ind w:firstLine="42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第六条 质量保证</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3．项目验收不合格或不符合质量要求，投标供应商除无条件退货、返工外，还应承担采购人的一切损失。</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4．免费质量保</w:t>
      </w:r>
      <w:r>
        <w:rPr>
          <w:rFonts w:hint="eastAsia" w:ascii="宋体" w:hAnsi="宋体"/>
          <w:color w:val="auto"/>
          <w:sz w:val="24"/>
          <w:highlight w:val="none"/>
        </w:rPr>
        <w:t xml:space="preserve">证期限详见采购文件</w:t>
      </w:r>
      <w:r>
        <w:rPr>
          <w:rFonts w:hint="eastAsia" w:ascii="宋体" w:hAnsi="宋体"/>
          <w:color w:val="auto"/>
          <w:sz w:val="24"/>
          <w:highlight w:val="none"/>
          <w:lang w:val="zh-CN"/>
        </w:rPr>
        <w:t xml:space="preserve">（自验收合格之日起计算）。若发生重大质量问题，则保修期重新开始计算。</w:t>
      </w:r>
      <w:r/>
    </w:p>
    <w:p>
      <w:pPr>
        <w:ind w:firstLine="482"/>
        <w:jc w:val="left"/>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第七条 包装要求 </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2．每一包装单元内应附详细的装箱单和质量合格凭证。</w:t>
      </w:r>
      <w:r/>
    </w:p>
    <w:p>
      <w:pPr>
        <w:ind w:firstLine="482"/>
        <w:jc w:val="left"/>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第八条 交付时间和地点</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1．乙方应当在合同签订后</w:t>
      </w:r>
      <w:r>
        <w:rPr>
          <w:rFonts w:ascii="宋体" w:hAnsi="宋体"/>
          <w:color w:val="auto"/>
          <w:sz w:val="24"/>
          <w:highlight w:val="none"/>
          <w:u w:val="single"/>
        </w:rPr>
        <w:t xml:space="preserve">  120  </w:t>
      </w:r>
      <w:r>
        <w:rPr>
          <w:rFonts w:hint="eastAsia" w:ascii="宋体" w:hAnsi="宋体"/>
          <w:color w:val="auto"/>
          <w:sz w:val="24"/>
          <w:highlight w:val="none"/>
        </w:rPr>
        <w:t xml:space="preserve">个日历天</w:t>
      </w:r>
      <w:r>
        <w:rPr>
          <w:rFonts w:hint="eastAsia" w:ascii="宋体" w:hAnsi="宋体"/>
          <w:color w:val="auto"/>
          <w:sz w:val="24"/>
          <w:highlight w:val="none"/>
          <w:lang w:val="zh-CN"/>
        </w:rPr>
        <w:t xml:space="preserve">内将货物安装调试完毕交付甲方正常使用，地点由甲方指定。</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2．乙方交付的货物应当完全符合本合同或者招标文件及投标文件所规定的货物、数量和规格要求。乙方提供的货物不符合招标文件及投标文件和合同规定的，甲方有权拒收货物，由此引起的风险，由乙方承担。</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3．货物的到货验收包括：型号、规格、数量、外观质量、及货物包装是否完好。</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5．货物调试验收的标准：按行业通行标准、厂方出厂标准和乙方投标文件的承诺（详见合同附件载明的标准，并不低于国家相关标准）。</w:t>
      </w:r>
      <w:r/>
    </w:p>
    <w:p>
      <w:pPr>
        <w:ind w:firstLine="420"/>
        <w:jc w:val="left"/>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第九条 售后服务  </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1．提供365天×24小时电话支持服务；质保期内，供应商应根据采购人要求派人现场技术服务。</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w:t>
      </w:r>
      <w:r>
        <w:rPr>
          <w:rFonts w:ascii="宋体" w:hAnsi="宋体"/>
          <w:color w:val="auto"/>
          <w:sz w:val="24"/>
          <w:highlight w:val="none"/>
          <w:lang w:val="zh-CN"/>
        </w:rPr>
        <w:t xml:space="preserve">供应商接到采购人</w:t>
      </w:r>
      <w:r>
        <w:rPr>
          <w:rFonts w:hint="eastAsia" w:ascii="宋体" w:hAnsi="宋体"/>
          <w:color w:val="auto"/>
          <w:sz w:val="24"/>
          <w:highlight w:val="none"/>
          <w:lang w:val="zh-CN"/>
        </w:rPr>
        <w:t xml:space="preserve">排除</w:t>
      </w:r>
      <w:r>
        <w:rPr>
          <w:rFonts w:ascii="宋体" w:hAnsi="宋体"/>
          <w:color w:val="auto"/>
          <w:sz w:val="24"/>
          <w:highlight w:val="none"/>
          <w:lang w:val="zh-CN"/>
        </w:rPr>
        <w:t xml:space="preserve">故障请求时，提供7×24小时不间断的技术支持服务，应在30分钟内响应，2个小时内技术人员到达现场，一般故障4小时内解决故障，重大故障需安排技术人员到现场提供技术服务，以保证系统的正常使用。 </w:t>
      </w:r>
      <w:r/>
    </w:p>
    <w:p>
      <w:pPr>
        <w:ind w:firstLine="5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3．所有货物须满足国家及行业环保和质量标准。</w:t>
      </w:r>
      <w:r/>
    </w:p>
    <w:p>
      <w:pPr>
        <w:ind w:left="420"/>
        <w:jc w:val="left"/>
        <w:spacing w:line="360" w:lineRule="auto"/>
        <w:rPr>
          <w:rFonts w:ascii="宋体" w:hAnsi="宋体"/>
          <w:b/>
          <w:color w:val="auto"/>
          <w:sz w:val="24"/>
          <w:highlight w:val="none"/>
          <w:lang w:val="zh-CN"/>
        </w:rPr>
      </w:pPr>
      <w:r>
        <w:rPr>
          <w:rFonts w:hint="eastAsia" w:ascii="宋体" w:hAnsi="宋体"/>
          <w:b/>
          <w:color w:val="auto"/>
          <w:sz w:val="24"/>
          <w:highlight w:val="none"/>
          <w:lang w:val="zh-CN"/>
        </w:rPr>
        <w:t xml:space="preserve">第十条 合同款支付</w:t>
      </w:r>
      <w:r/>
    </w:p>
    <w:p>
      <w:pPr>
        <w:ind w:firstLine="42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1．本合同项下所有款项均以人民币支付。</w:t>
      </w:r>
      <w:r/>
    </w:p>
    <w:p>
      <w:pPr>
        <w:ind w:firstLine="42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2．本合同项下的采购资金由甲方自行支付，乙方向甲方开具发票。</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3．付款条件：合同签订后，甲方向乙方支付合同金额的20%，在按照合同规定的期限内将设备、材料全部运抵交货地点并安装调试结束，验收合格后甲方向供应商支付至合同总价的90%，余款在质保期满后一次性付清。</w:t>
      </w:r>
      <w:r/>
    </w:p>
    <w:p>
      <w:pPr>
        <w:ind w:firstLine="420"/>
        <w:jc w:val="left"/>
        <w:spacing w:line="360" w:lineRule="auto"/>
        <w:rPr>
          <w:rFonts w:ascii="宋体" w:hAnsi="宋体"/>
          <w:b/>
          <w:color w:val="auto"/>
          <w:sz w:val="24"/>
          <w:highlight w:val="none"/>
          <w:lang w:val="zh-CN"/>
        </w:rPr>
      </w:pPr>
      <w:r>
        <w:rPr>
          <w:rFonts w:hint="eastAsia" w:ascii="宋体" w:hAnsi="宋体"/>
          <w:b/>
          <w:color w:val="auto"/>
          <w:sz w:val="24"/>
          <w:highlight w:val="none"/>
          <w:lang w:val="zh-CN"/>
        </w:rPr>
        <w:t xml:space="preserve">第十一条 违约责任</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甲方无正当理由拒收货物</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拒付货物款的，由甲方向乙方偿付合同总价的5%违约金。</w:t>
      </w:r>
      <w:r/>
    </w:p>
    <w:p>
      <w:pPr>
        <w:ind w:firstLine="42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w:t>
      </w:r>
      <w:r>
        <w:rPr>
          <w:rFonts w:hint="eastAsia" w:ascii="宋体" w:hAnsi="宋体"/>
          <w:color w:val="auto"/>
          <w:sz w:val="24"/>
          <w:highlight w:val="none"/>
          <w:lang w:val="zh-CN"/>
        </w:rPr>
        <w:t xml:space="preserve">甲方</w:t>
      </w:r>
      <w:r>
        <w:rPr>
          <w:rFonts w:hint="eastAsia" w:ascii="宋体" w:hAnsi="宋体"/>
          <w:color w:val="auto"/>
          <w:sz w:val="24"/>
          <w:highlight w:val="none"/>
        </w:rPr>
        <w:t xml:space="preserve">未按合同规定的期限向乙方支付货款的，</w:t>
      </w:r>
      <w:r>
        <w:rPr>
          <w:rFonts w:hint="eastAsia" w:ascii="宋体" w:hAnsi="宋体"/>
          <w:color w:val="auto"/>
          <w:sz w:val="24"/>
          <w:highlight w:val="none"/>
          <w:lang w:val="zh-CN"/>
        </w:rPr>
        <w:t xml:space="preserve">每逾期1天甲方向乙方偿付欠款总额的5‰滞纳金，但累计滞纳金总额不超过欠款总额的5%。</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3．乙方逾期交付的，每逾期1天，乙方向甲方偿付合同总额的5‰的滞纳金。如乙方逾期交付达10天，甲方有权解除合同，解除合同的通知自到达乙方时生效。</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4．乙方所交付的货物品种</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型号</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规格不符合合同规定的，甲方有权拒收。甲方拒收的，乙方应向甲方支付货款总额5%的违约金。</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5．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6．乙方未按本合同的规定和“服务承诺”提供伴随服务/售后服务的，应按合同总价款的5%向甲方承担违约责任。</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8．乙方投标属虚假承诺，或经权威部门检测提供的货物不能满足投标文件要求，或是由于乙方的过错造成合同无法继续履行的，乙方应向甲方支付合同总价的30%赔偿金。</w:t>
      </w:r>
      <w:r/>
    </w:p>
    <w:p>
      <w:pPr>
        <w:ind w:firstLine="420"/>
        <w:jc w:val="left"/>
        <w:spacing w:line="360" w:lineRule="auto"/>
        <w:widowControl/>
        <w:rPr>
          <w:rFonts w:ascii="宋体" w:hAnsi="宋体" w:cs="Verdana"/>
          <w:b/>
          <w:bCs/>
          <w:color w:val="auto"/>
          <w:sz w:val="24"/>
          <w:highlight w:val="none"/>
          <w:lang w:val="zh-CN"/>
        </w:rPr>
      </w:pPr>
      <w:r>
        <w:rPr>
          <w:rFonts w:hint="eastAsia" w:ascii="宋体" w:hAnsi="宋体" w:cs="Verdana"/>
          <w:b/>
          <w:bCs/>
          <w:color w:val="auto"/>
          <w:sz w:val="24"/>
          <w:highlight w:val="none"/>
          <w:lang w:val="zh-CN"/>
        </w:rPr>
        <w:t xml:space="preserve">第十二条 合同的变更和终止</w:t>
      </w:r>
      <w:r/>
    </w:p>
    <w:p>
      <w:pPr>
        <w:ind w:firstLine="480"/>
        <w:jc w:val="left"/>
        <w:spacing w:line="360" w:lineRule="auto"/>
        <w:widowControl/>
        <w:rPr>
          <w:rFonts w:ascii="宋体" w:hAnsi="宋体" w:cs="Verdana"/>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s="Verdana"/>
          <w:color w:val="auto"/>
          <w:sz w:val="24"/>
          <w:highlight w:val="none"/>
          <w:lang w:val="zh-CN"/>
        </w:rPr>
        <w:t xml:space="preserve">除《政府采购法》第</w:t>
      </w:r>
      <w:r>
        <w:rPr>
          <w:rFonts w:hint="eastAsia" w:ascii="宋体" w:hAnsi="宋体"/>
          <w:color w:val="auto"/>
          <w:sz w:val="24"/>
          <w:highlight w:val="none"/>
          <w:lang w:val="zh-CN"/>
        </w:rPr>
        <w:t xml:space="preserve">50</w:t>
      </w:r>
      <w:r>
        <w:rPr>
          <w:rFonts w:hint="eastAsia" w:ascii="宋体" w:hAnsi="宋体" w:cs="Verdana"/>
          <w:color w:val="auto"/>
          <w:sz w:val="24"/>
          <w:highlight w:val="none"/>
          <w:lang w:val="zh-CN"/>
        </w:rPr>
        <w:t xml:space="preserve">条第二款规定的情形外，本合同一经签订，甲乙双方不得擅自变更、中止或终止合同。</w:t>
      </w:r>
      <w:r/>
    </w:p>
    <w:p>
      <w:pPr>
        <w:ind w:firstLine="480"/>
        <w:jc w:val="left"/>
        <w:spacing w:line="360" w:lineRule="auto"/>
        <w:widowControl/>
        <w:rPr>
          <w:rFonts w:ascii="宋体" w:hAnsi="宋体" w:cs="Verdana"/>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s="Verdana"/>
          <w:color w:val="auto"/>
          <w:sz w:val="24"/>
          <w:highlight w:val="none"/>
        </w:rPr>
        <w:t xml:space="preserve">除发生法律规定的不能预见、不能避免并不能克服的客观情况外，甲乙双方不得放弃或拒绝履行合同。</w:t>
      </w:r>
      <w:r/>
    </w:p>
    <w:p>
      <w:pPr>
        <w:ind w:firstLine="420"/>
        <w:jc w:val="left"/>
        <w:spacing w:line="360" w:lineRule="auto"/>
        <w:widowControl/>
        <w:rPr>
          <w:rFonts w:ascii="宋体" w:hAnsi="宋体" w:cs="Verdana"/>
          <w:b/>
          <w:bCs/>
          <w:color w:val="auto"/>
          <w:sz w:val="24"/>
          <w:highlight w:val="none"/>
          <w:lang w:val="zh-CN"/>
        </w:rPr>
      </w:pPr>
      <w:r>
        <w:rPr>
          <w:rFonts w:hint="eastAsia" w:ascii="宋体" w:hAnsi="宋体" w:cs="Verdana"/>
          <w:b/>
          <w:bCs/>
          <w:color w:val="auto"/>
          <w:sz w:val="24"/>
          <w:highlight w:val="none"/>
          <w:lang w:val="zh-CN"/>
        </w:rPr>
        <w:t xml:space="preserve">第十三条 合同的转让</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乙方不得擅自部分或全部转让其应履行的合同义务。</w:t>
      </w:r>
      <w:r/>
    </w:p>
    <w:p>
      <w:pPr>
        <w:ind w:firstLine="420"/>
        <w:jc w:val="left"/>
        <w:spacing w:line="360" w:lineRule="auto"/>
        <w:widowControl/>
        <w:rPr>
          <w:rFonts w:ascii="宋体" w:hAnsi="宋体" w:cs="Verdana"/>
          <w:b/>
          <w:bCs/>
          <w:color w:val="auto"/>
          <w:sz w:val="24"/>
          <w:highlight w:val="none"/>
          <w:lang w:val="zh-CN"/>
        </w:rPr>
      </w:pPr>
      <w:r>
        <w:rPr>
          <w:rFonts w:hint="eastAsia" w:ascii="宋体" w:hAnsi="宋体" w:cs="Verdana"/>
          <w:b/>
          <w:bCs/>
          <w:color w:val="auto"/>
          <w:sz w:val="24"/>
          <w:highlight w:val="none"/>
          <w:lang w:val="zh-CN"/>
        </w:rPr>
        <w:t xml:space="preserve">第十四条 争议的解决</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（1）向甲方所在地有管辖权的人民法院提起诉讼；</w:t>
      </w:r>
      <w:r/>
    </w:p>
    <w:p>
      <w:pPr>
        <w:ind w:firstLine="56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（2）向南京仲裁委员会按其仲裁规则申请仲裁。</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2．在仲裁期间，本合同应继续履行。</w:t>
      </w:r>
      <w:r/>
    </w:p>
    <w:p>
      <w:pPr>
        <w:ind w:firstLine="420"/>
        <w:jc w:val="left"/>
        <w:spacing w:line="360" w:lineRule="auto"/>
        <w:widowControl/>
        <w:rPr>
          <w:rFonts w:ascii="宋体" w:hAnsi="宋体" w:cs="Verdana"/>
          <w:b/>
          <w:bCs/>
          <w:color w:val="auto"/>
          <w:sz w:val="24"/>
          <w:highlight w:val="none"/>
          <w:lang w:val="zh-CN"/>
        </w:rPr>
      </w:pPr>
      <w:r>
        <w:rPr>
          <w:rFonts w:hint="eastAsia" w:ascii="宋体" w:hAnsi="宋体" w:cs="Verdana"/>
          <w:b/>
          <w:bCs/>
          <w:color w:val="auto"/>
          <w:sz w:val="24"/>
          <w:highlight w:val="none"/>
          <w:lang w:val="zh-CN"/>
        </w:rPr>
        <w:t xml:space="preserve">第十五条 诚实信用 </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ascii="宋体" w:hAnsi="宋体" w:cs="Verdana"/>
          <w:b/>
          <w:bCs/>
          <w:color w:val="auto"/>
          <w:sz w:val="24"/>
          <w:highlight w:val="none"/>
          <w:lang w:val="zh-CN"/>
        </w:rPr>
      </w:pPr>
      <w:r>
        <w:rPr>
          <w:rFonts w:hint="eastAsia" w:ascii="宋体" w:hAnsi="宋体" w:cs="Verdana"/>
          <w:b/>
          <w:bCs/>
          <w:color w:val="auto"/>
          <w:sz w:val="24"/>
          <w:highlight w:val="none"/>
          <w:lang w:val="zh-CN"/>
        </w:rPr>
        <w:t xml:space="preserve">第十六条 合同生效及其他</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1．本合同自</w:t>
      </w:r>
      <w:r>
        <w:rPr>
          <w:rFonts w:hint="eastAsia" w:ascii="宋体" w:hAnsi="宋体" w:cs="Verdana"/>
          <w:color w:val="auto"/>
          <w:sz w:val="24"/>
          <w:highlight w:val="none"/>
        </w:rPr>
        <w:t xml:space="preserve">甲乙双方代表人签字并加盖单位公章或合同专用章</w:t>
      </w:r>
      <w:r>
        <w:rPr>
          <w:rFonts w:hint="eastAsia" w:ascii="宋体" w:hAnsi="宋体" w:cs="Verdana"/>
          <w:color w:val="auto"/>
          <w:sz w:val="24"/>
          <w:highlight w:val="none"/>
          <w:lang w:val="zh-CN"/>
        </w:rPr>
        <w:t xml:space="preserve">之日起生效。</w:t>
      </w:r>
      <w:r/>
    </w:p>
    <w:p>
      <w:pPr>
        <w:ind w:firstLine="420"/>
        <w:jc w:val="left"/>
        <w:spacing w:line="360" w:lineRule="auto"/>
        <w:widowControl/>
        <w:rPr>
          <w:rFonts w:ascii="宋体" w:hAnsi="宋体" w:cs="Verdana"/>
          <w:color w:val="auto"/>
          <w:sz w:val="24"/>
          <w:highlight w:val="none"/>
        </w:rPr>
      </w:pPr>
      <w:r>
        <w:rPr>
          <w:rFonts w:hint="eastAsia" w:ascii="宋体" w:hAnsi="宋体" w:cs="Verdana"/>
          <w:color w:val="auto"/>
          <w:sz w:val="24"/>
          <w:highlight w:val="none"/>
          <w:lang w:val="zh-CN"/>
        </w:rPr>
        <w:t xml:space="preserve">2．</w:t>
      </w:r>
      <w:r>
        <w:rPr>
          <w:rFonts w:hint="eastAsia" w:ascii="宋体" w:hAnsi="宋体" w:cs="Verdana"/>
          <w:color w:val="auto"/>
          <w:sz w:val="24"/>
          <w:highlight w:val="none"/>
        </w:rPr>
        <w:t xml:space="preserve">本合同附件作为合同的有效组成部分，与本合同具有同等法律效力。</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rPr>
        <w:t xml:space="preserve">3．</w:t>
      </w:r>
      <w:r>
        <w:rPr>
          <w:rFonts w:hint="eastAsia" w:ascii="宋体" w:hAnsi="宋体" w:cs="Verdana"/>
          <w:color w:val="auto"/>
          <w:sz w:val="24"/>
          <w:highlight w:val="none"/>
          <w:lang w:val="zh-CN"/>
        </w:rPr>
        <w:t xml:space="preserve">本合同一式</w:t>
      </w:r>
      <w:r>
        <w:rPr>
          <w:rFonts w:hint="eastAsia" w:ascii="宋体" w:hAnsi="宋体" w:cs="Verdana"/>
          <w:color w:val="auto"/>
          <w:sz w:val="24"/>
          <w:highlight w:val="none"/>
          <w:u w:val="single"/>
          <w:lang w:val="zh-CN"/>
        </w:rPr>
        <w:t xml:space="preserve">肆</w:t>
      </w:r>
      <w:r>
        <w:rPr>
          <w:rFonts w:hint="eastAsia" w:ascii="宋体" w:hAnsi="宋体" w:cs="Verdana"/>
          <w:color w:val="auto"/>
          <w:sz w:val="24"/>
          <w:highlight w:val="none"/>
          <w:lang w:val="zh-CN"/>
        </w:rPr>
        <w:t xml:space="preserve">份，甲乙双方各执</w:t>
      </w:r>
      <w:r>
        <w:rPr>
          <w:rFonts w:hint="eastAsia" w:ascii="宋体" w:hAnsi="宋体" w:cs="Verdana"/>
          <w:color w:val="auto"/>
          <w:sz w:val="24"/>
          <w:highlight w:val="none"/>
          <w:u w:val="single"/>
          <w:lang w:val="zh-CN"/>
        </w:rPr>
        <w:t xml:space="preserve">贰</w:t>
      </w:r>
      <w:r>
        <w:rPr>
          <w:rFonts w:hint="eastAsia" w:ascii="宋体" w:hAnsi="宋体" w:cs="Verdana"/>
          <w:color w:val="auto"/>
          <w:sz w:val="24"/>
          <w:highlight w:val="none"/>
          <w:lang w:val="zh-CN"/>
        </w:rPr>
        <w:t xml:space="preserve">份。</w:t>
      </w:r>
      <w:r/>
    </w:p>
    <w:p>
      <w:pPr>
        <w:ind w:firstLine="420"/>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rPr>
        <w:t xml:space="preserve">4．</w:t>
      </w:r>
      <w:r>
        <w:rPr>
          <w:rFonts w:hint="eastAsia" w:ascii="宋体" w:hAnsi="宋体" w:cs="Verdana"/>
          <w:color w:val="auto"/>
          <w:sz w:val="24"/>
          <w:highlight w:val="none"/>
          <w:lang w:val="zh-CN"/>
        </w:rPr>
        <w:t xml:space="preserve">本合同应按照中华人民共和国的现行法律进行解释。</w:t>
      </w:r>
      <w:r/>
    </w:p>
    <w:p>
      <w:pPr>
        <w:pStyle w:val="644"/>
        <w:ind w:left="1470" w:right="1470"/>
        <w:rPr>
          <w:color w:val="auto"/>
          <w:sz w:val="22"/>
          <w:highlight w:val="none"/>
          <w:lang w:val="zh-CN"/>
        </w:rPr>
      </w:pPr>
      <w:r>
        <w:rPr>
          <w:color w:val="auto"/>
          <w:sz w:val="22"/>
          <w:highlight w:val="none"/>
          <w:lang w:val="zh-CN"/>
        </w:rPr>
      </w:r>
      <w:r/>
    </w:p>
    <w:tbl>
      <w:tblPr>
        <w:tblStyle w:val="637"/>
        <w:tblW w:w="8364"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3721"/>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3721" w:type="dxa"/>
            <w:textDirection w:val="lrTb"/>
            <w:noWrap/>
          </w:tcPr>
          <w:p>
            <w:pPr>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4"/>
                <w:highlight w:val="none"/>
              </w:rPr>
            </w:pPr>
            <w:r>
              <w:rPr>
                <w:rFonts w:hint="eastAsia" w:ascii="宋体" w:hAnsi="宋体" w:cs="Verdana"/>
                <w:color w:val="auto"/>
                <w:sz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3721" w:type="dxa"/>
            <w:textDirection w:val="lrTb"/>
            <w:noWrap/>
          </w:tcPr>
          <w:p>
            <w:pPr>
              <w:jc w:val="left"/>
              <w:spacing w:line="360" w:lineRule="auto"/>
              <w:widowControl/>
              <w:rPr>
                <w:rFonts w:ascii="宋体" w:hAnsi="宋体" w:cs="Verdana"/>
                <w:color w:val="auto"/>
                <w:sz w:val="24"/>
                <w:highlight w:val="none"/>
              </w:rPr>
            </w:pPr>
            <w:r>
              <w:rPr>
                <w:rFonts w:hint="eastAsia" w:ascii="宋体" w:hAnsi="宋体" w:cs="Verdana"/>
                <w:color w:val="auto"/>
                <w:sz w:val="24"/>
                <w:highlight w:val="none"/>
                <w:lang w:val="zh-CN"/>
              </w:rPr>
              <w:t xml:space="preserve">代表人</w:t>
            </w:r>
            <w:r>
              <w:rPr>
                <w:rFonts w:hint="eastAsia" w:ascii="宋体" w:hAnsi="宋体" w:cs="Verdana"/>
                <w:color w:val="auto"/>
                <w:sz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4"/>
                <w:highlight w:val="none"/>
                <w:lang w:val="zh-CN"/>
              </w:rPr>
            </w:pPr>
            <w:r>
              <w:rPr>
                <w:rFonts w:hint="eastAsia" w:ascii="宋体" w:hAnsi="宋体" w:cs="Verdana"/>
                <w:color w:val="auto"/>
                <w:sz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3721" w:type="dxa"/>
            <w:textDirection w:val="lrTb"/>
            <w:noWrap/>
          </w:tcPr>
          <w:p>
            <w:pPr>
              <w:jc w:val="left"/>
              <w:spacing w:line="360" w:lineRule="auto"/>
              <w:widowControl/>
              <w:rPr>
                <w:rFonts w:ascii="宋体" w:hAnsi="宋体" w:cs="Verdana"/>
                <w:color w:val="auto"/>
                <w:sz w:val="24"/>
                <w:highlight w:val="none"/>
                <w:lang w:val="zh-CN"/>
              </w:rPr>
            </w:pPr>
            <w:r>
              <w:rPr>
                <w:rFonts w:ascii="宋体" w:hAnsi="宋体" w:cs="Verdana"/>
                <w:color w:val="auto"/>
                <w:sz w:val="24"/>
                <w:highlight w:val="none"/>
                <w:lang w:val="zh-CN"/>
              </w:rPr>
            </w:r>
            <w:r/>
          </w:p>
        </w:tc>
      </w:tr>
    </w:tbl>
    <w:p>
      <w:pPr>
        <w:pStyle w:val="627"/>
        <w:jc w:val="center"/>
        <w:spacing w:before="120" w:after="120" w:line="360" w:lineRule="auto"/>
        <w:rPr>
          <w:color w:val="auto"/>
          <w:highlight w:val="none"/>
        </w:rPr>
      </w:pPr>
      <w:r>
        <w:rPr>
          <w:rFonts w:hint="eastAsia"/>
          <w:color w:val="auto"/>
          <w:highlight w:val="none"/>
        </w:rPr>
        <w:t xml:space="preserve">第六章  投标文件格式</w:t>
      </w:r>
      <w:bookmarkEnd w:id="85"/>
      <w:r/>
      <w:bookmarkEnd w:id="86"/>
      <w:r/>
      <w:bookmarkEnd w:id="87"/>
      <w:r/>
      <w:r/>
    </w:p>
    <w:p>
      <w:pPr>
        <w:jc w:val="center"/>
        <w:spacing w:line="85" w:lineRule="atLeast"/>
        <w:rPr>
          <w:color w:val="auto"/>
          <w:sz w:val="20"/>
          <w:szCs w:val="1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18"/>
          <w:highlight w:val="none"/>
        </w:rPr>
        <w:t xml:space="preserve">（投标格式经供参考）</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b/>
          <w:color w:val="auto"/>
          <w:sz w:val="72"/>
          <w:highlight w:val="none"/>
        </w:rPr>
      </w:pPr>
      <w:r>
        <w:rPr>
          <w:rFonts w:hint="eastAsia"/>
          <w:b/>
          <w:color w:val="auto"/>
          <w:sz w:val="72"/>
          <w:highlight w:val="none"/>
        </w:rPr>
        <w:t xml:space="preserve">投  标  文  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1084"/>
        <w:rPr>
          <w:b/>
          <w:color w:val="auto"/>
          <w:sz w:val="36"/>
          <w:highlight w:val="none"/>
        </w:rPr>
      </w:pPr>
      <w:r>
        <w:rPr>
          <w:rFonts w:hint="eastAsia"/>
          <w:b/>
          <w:color w:val="auto"/>
          <w:sz w:val="36"/>
          <w:highlight w:val="none"/>
        </w:rPr>
        <w:t xml:space="preserve">项 目 名 称：</w:t>
      </w:r>
      <w:r>
        <w:rPr>
          <w:rFonts w:hint="eastAsia"/>
          <w:b/>
          <w:color w:val="auto"/>
          <w:sz w:val="36"/>
          <w:highlight w:val="none"/>
          <w:u w:val="single"/>
        </w:rPr>
        <w:t xml:space="preserve">                   </w:t>
      </w:r>
      <w:r/>
    </w:p>
    <w:p>
      <w:pPr>
        <w:ind w:firstLine="1084"/>
        <w:rPr>
          <w:b/>
          <w:color w:val="auto"/>
          <w:sz w:val="36"/>
          <w:highlight w:val="none"/>
          <w:u w:val="single"/>
        </w:rPr>
      </w:pPr>
      <w:r>
        <w:rPr>
          <w:rFonts w:hint="eastAsia"/>
          <w:b/>
          <w:color w:val="auto"/>
          <w:sz w:val="36"/>
          <w:highlight w:val="none"/>
        </w:rPr>
        <w:t xml:space="preserve">招 标 编 号：</w:t>
      </w:r>
      <w:r>
        <w:rPr>
          <w:rFonts w:hint="eastAsia"/>
          <w:b/>
          <w:color w:val="auto"/>
          <w:sz w:val="36"/>
          <w:highlight w:val="none"/>
          <w:u w:val="single"/>
        </w:rPr>
        <w:t xml:space="preserve">                   </w:t>
      </w:r>
      <w:r/>
    </w:p>
    <w:p>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 </w:t>
      </w:r>
      <w:r>
        <w:rPr>
          <w:rFonts w:hint="eastAsia" w:ascii="宋体" w:hAnsi="宋体" w:cs="宋体"/>
          <w:b/>
          <w:color w:val="auto"/>
          <w:sz w:val="36"/>
          <w:highlight w:val="none"/>
          <w:u w:val="single"/>
        </w:rPr>
        <w:t xml:space="preserve">（加盖CA电子公章）</w:t>
      </w:r>
      <w:r/>
    </w:p>
    <w:p>
      <w:pPr>
        <w:rPr>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rPr>
          <w:color w:val="auto"/>
          <w:highlight w:val="none"/>
        </w:rPr>
      </w:pPr>
      <w:r>
        <w:rPr>
          <w:color w:val="auto"/>
          <w:highlight w:val="none"/>
        </w:rPr>
      </w:r>
      <w:r/>
    </w:p>
    <w:p>
      <w:pPr>
        <w:pStyle w:val="64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一、法人或者其他组织的营业执照等证明文件，自然人的身份证明</w:t>
      </w:r>
      <w:r/>
    </w:p>
    <w:p>
      <w:pPr>
        <w:ind w:left="480"/>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二、具有良好的商业信誉和健全的财务会计制度（提供参加本次政府采购活动前半年内</w:t>
      </w:r>
      <w:r>
        <w:rPr>
          <w:rFonts w:ascii="宋体" w:hAnsi="宋体"/>
          <w:b/>
          <w:bCs/>
          <w:i/>
          <w:color w:val="auto"/>
          <w:sz w:val="24"/>
          <w:szCs w:val="22"/>
          <w:highlight w:val="none"/>
          <w:u w:val="single"/>
        </w:rPr>
        <w:t xml:space="preserve">（</w:t>
      </w:r>
      <w:r>
        <w:rPr>
          <w:rFonts w:hint="eastAsia" w:ascii="宋体" w:hAnsi="宋体"/>
          <w:b/>
          <w:bCs/>
          <w:i/>
          <w:color w:val="auto"/>
          <w:sz w:val="24"/>
          <w:szCs w:val="22"/>
          <w:highlight w:val="none"/>
          <w:u w:val="single"/>
        </w:rPr>
        <w:t xml:space="preserve">2</w:t>
      </w:r>
      <w:r>
        <w:rPr>
          <w:rFonts w:ascii="宋体" w:hAnsi="宋体"/>
          <w:b/>
          <w:bCs/>
          <w:i/>
          <w:color w:val="auto"/>
          <w:sz w:val="24"/>
          <w:szCs w:val="22"/>
          <w:highlight w:val="none"/>
          <w:u w:val="single"/>
        </w:rPr>
        <w:t xml:space="preserve">026年</w:t>
      </w:r>
      <w:r>
        <w:rPr>
          <w:rFonts w:hint="eastAsia" w:ascii="宋体" w:hAnsi="宋体"/>
          <w:b/>
          <w:bCs/>
          <w:i/>
          <w:color w:val="auto"/>
          <w:sz w:val="24"/>
          <w:szCs w:val="22"/>
          <w:highlight w:val="none"/>
          <w:u w:val="single"/>
          <w:lang w:val="en-US" w:eastAsia="zh-CN"/>
        </w:rPr>
        <w:t xml:space="preserve">3</w:t>
      </w:r>
      <w:r>
        <w:rPr>
          <w:rFonts w:hint="eastAsia" w:ascii="宋体" w:hAnsi="宋体"/>
          <w:b/>
          <w:bCs/>
          <w:i/>
          <w:color w:val="auto"/>
          <w:sz w:val="24"/>
          <w:szCs w:val="22"/>
          <w:highlight w:val="none"/>
          <w:u w:val="single"/>
        </w:rPr>
        <w:t xml:space="preserve">月以来</w:t>
      </w:r>
      <w:r>
        <w:rPr>
          <w:rFonts w:ascii="宋体" w:hAnsi="宋体"/>
          <w:b/>
          <w:bCs/>
          <w:i/>
          <w:color w:val="auto"/>
          <w:sz w:val="24"/>
          <w:szCs w:val="22"/>
          <w:highlight w:val="none"/>
          <w:u w:val="single"/>
        </w:rPr>
        <w:t xml:space="preserve">）</w:t>
      </w:r>
      <w:r>
        <w:rPr>
          <w:rFonts w:hint="eastAsia" w:ascii="宋体" w:hAnsi="宋体"/>
          <w:b/>
          <w:bCs/>
          <w:i/>
          <w:color w:val="auto"/>
          <w:sz w:val="24"/>
          <w:szCs w:val="22"/>
          <w:highlight w:val="none"/>
          <w:u w:val="single"/>
        </w:rPr>
        <w:t xml:space="preserve">任一个月的财报或上一年度财务审计报告</w:t>
      </w:r>
      <w:r>
        <w:rPr>
          <w:rFonts w:ascii="宋体" w:hAnsi="宋体"/>
          <w:b/>
          <w:bCs/>
          <w:i/>
          <w:color w:val="auto"/>
          <w:sz w:val="24"/>
          <w:szCs w:val="22"/>
          <w:highlight w:val="none"/>
          <w:u w:val="single"/>
        </w:rPr>
        <w:t xml:space="preserve">复印件</w:t>
      </w:r>
      <w:r>
        <w:rPr>
          <w:rFonts w:hint="eastAsia" w:ascii="宋体" w:hAnsi="宋体"/>
          <w:b/>
          <w:bCs/>
          <w:i/>
          <w:color w:val="auto"/>
          <w:sz w:val="24"/>
          <w:szCs w:val="22"/>
          <w:highlight w:val="none"/>
          <w:u w:val="single"/>
        </w:rPr>
        <w:t xml:space="preserve">）</w:t>
      </w:r>
      <w:r/>
    </w:p>
    <w:p>
      <w:pPr>
        <w:ind w:left="480"/>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三、依法缴纳税收和社会保障资金的相关材料（提供提交投标文件截止时间前半年内</w:t>
      </w:r>
      <w:r>
        <w:rPr>
          <w:rFonts w:ascii="宋体" w:hAnsi="宋体"/>
          <w:b/>
          <w:bCs/>
          <w:i/>
          <w:color w:val="auto"/>
          <w:sz w:val="24"/>
          <w:szCs w:val="22"/>
          <w:highlight w:val="none"/>
          <w:u w:val="single"/>
        </w:rPr>
        <w:t xml:space="preserve">（</w:t>
      </w:r>
      <w:r>
        <w:rPr>
          <w:rFonts w:hint="eastAsia" w:ascii="宋体" w:hAnsi="宋体"/>
          <w:b/>
          <w:bCs/>
          <w:i/>
          <w:color w:val="auto"/>
          <w:sz w:val="24"/>
          <w:szCs w:val="22"/>
          <w:highlight w:val="none"/>
          <w:u w:val="single"/>
        </w:rPr>
        <w:t xml:space="preserve">2</w:t>
      </w:r>
      <w:r>
        <w:rPr>
          <w:rFonts w:ascii="宋体" w:hAnsi="宋体"/>
          <w:b/>
          <w:bCs/>
          <w:i/>
          <w:color w:val="auto"/>
          <w:sz w:val="24"/>
          <w:szCs w:val="22"/>
          <w:highlight w:val="none"/>
          <w:u w:val="single"/>
        </w:rPr>
        <w:t xml:space="preserve">026年</w:t>
      </w:r>
      <w:r>
        <w:rPr>
          <w:rFonts w:hint="eastAsia" w:ascii="宋体" w:hAnsi="宋体"/>
          <w:b/>
          <w:bCs/>
          <w:i/>
          <w:color w:val="auto"/>
          <w:sz w:val="24"/>
          <w:szCs w:val="22"/>
          <w:highlight w:val="none"/>
          <w:u w:val="single"/>
          <w:lang w:val="en-US" w:eastAsia="zh-CN"/>
        </w:rPr>
        <w:t xml:space="preserve">3</w:t>
      </w:r>
      <w:r>
        <w:rPr>
          <w:rFonts w:hint="eastAsia" w:ascii="宋体" w:hAnsi="宋体"/>
          <w:b/>
          <w:bCs/>
          <w:i/>
          <w:color w:val="auto"/>
          <w:sz w:val="24"/>
          <w:szCs w:val="22"/>
          <w:highlight w:val="none"/>
          <w:u w:val="single"/>
        </w:rPr>
        <w:t xml:space="preserve">月以来</w:t>
      </w:r>
      <w:r>
        <w:rPr>
          <w:rFonts w:ascii="宋体" w:hAnsi="宋体"/>
          <w:b/>
          <w:bCs/>
          <w:i/>
          <w:color w:val="auto"/>
          <w:sz w:val="24"/>
          <w:szCs w:val="22"/>
          <w:highlight w:val="none"/>
          <w:u w:val="single"/>
        </w:rPr>
        <w:t xml:space="preserve">）</w:t>
      </w:r>
      <w:r>
        <w:rPr>
          <w:rFonts w:hint="eastAsia" w:ascii="宋体" w:hAnsi="宋体"/>
          <w:b/>
          <w:bCs/>
          <w:i/>
          <w:color w:val="auto"/>
          <w:sz w:val="24"/>
          <w:szCs w:val="22"/>
          <w:highlight w:val="none"/>
          <w:u w:val="single"/>
        </w:rPr>
        <w:t xml:space="preserve">任一个月依法缴纳税收及缴纳社会保障资金的证明材料复印件。投标人依法享受缓缴、免缴税收、社会保障资金的提供证明材料）；</w:t>
      </w:r>
      <w:r/>
    </w:p>
    <w:p>
      <w:pPr>
        <w:ind w:left="480"/>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四、具备履行合同所必需的</w:t>
      </w:r>
      <w:r>
        <w:rPr>
          <w:rFonts w:hint="eastAsia" w:ascii="宋体" w:hAnsi="宋体"/>
          <w:b/>
          <w:bCs/>
          <w:i/>
          <w:color w:val="auto"/>
          <w:sz w:val="24"/>
          <w:szCs w:val="22"/>
          <w:highlight w:val="none"/>
          <w:u w:val="single"/>
        </w:rPr>
        <w:t xml:space="preserve">设备和专业技术能力的书面声明</w:t>
      </w:r>
      <w:r/>
    </w:p>
    <w:p>
      <w:pPr>
        <w:ind w:firstLine="482"/>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五、参加政府采购活动前 3 年内在经营活动中没有重大违法记录的书面声明</w:t>
      </w:r>
      <w:r/>
    </w:p>
    <w:p>
      <w:pPr>
        <w:ind w:firstLine="482"/>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六、特定资格要求的证明文件 </w:t>
      </w:r>
      <w:r/>
    </w:p>
    <w:p>
      <w:pPr>
        <w:ind w:firstLine="482"/>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七、投标函</w:t>
      </w:r>
      <w:r/>
    </w:p>
    <w:p>
      <w:pPr>
        <w:ind w:firstLine="482"/>
        <w:spacing w:line="360" w:lineRule="auto"/>
        <w:rPr>
          <w:rFonts w:ascii="宋体" w:hAnsi="宋体"/>
          <w:b/>
          <w:bCs/>
          <w:i/>
          <w:color w:val="auto"/>
          <w:sz w:val="24"/>
          <w:szCs w:val="22"/>
          <w:highlight w:val="none"/>
          <w:u w:val="single"/>
        </w:rPr>
      </w:pPr>
      <w:r>
        <w:rPr>
          <w:rFonts w:hint="eastAsia" w:ascii="宋体" w:hAnsi="宋体"/>
          <w:b/>
          <w:bCs/>
          <w:i/>
          <w:color w:val="auto"/>
          <w:sz w:val="24"/>
          <w:szCs w:val="22"/>
          <w:highlight w:val="none"/>
          <w:u w:val="single"/>
        </w:rPr>
        <w:t xml:space="preserve">八、法人授权书</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九、中小企业声明函</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十、残疾人福利性单位声明函</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十一、监狱企业证明</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十二、关于符合本国产品标准的声明函</w:t>
      </w:r>
      <w:r/>
    </w:p>
    <w:p>
      <w:pPr>
        <w:ind w:firstLine="482"/>
        <w:spacing w:line="360" w:lineRule="auto"/>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 xml:space="preserve">十三、技术要求响应及偏离表</w:t>
      </w:r>
      <w:r/>
    </w:p>
    <w:p>
      <w:pPr>
        <w:ind w:firstLine="482"/>
        <w:spacing w:line="360" w:lineRule="auto"/>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 xml:space="preserve">十四、商务要求响应及偏离表</w:t>
      </w:r>
      <w:r/>
    </w:p>
    <w:p>
      <w:pPr>
        <w:ind w:firstLine="482"/>
        <w:spacing w:line="360" w:lineRule="auto"/>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 xml:space="preserve">十五、分项报价表</w:t>
      </w:r>
      <w:r/>
    </w:p>
    <w:p>
      <w:pPr>
        <w:ind w:firstLine="482"/>
        <w:spacing w:line="360" w:lineRule="auto"/>
        <w:rPr>
          <w:rFonts w:ascii="宋体" w:hAnsi="宋体"/>
          <w:b/>
          <w:bCs/>
          <w:i/>
          <w:iCs/>
          <w:color w:val="auto"/>
          <w:sz w:val="24"/>
          <w:szCs w:val="22"/>
          <w:highlight w:val="none"/>
          <w:u w:val="single"/>
        </w:rPr>
      </w:pPr>
      <w:r>
        <w:rPr>
          <w:rFonts w:hint="eastAsia" w:ascii="宋体" w:hAnsi="宋体"/>
          <w:b/>
          <w:bCs/>
          <w:i/>
          <w:iCs/>
          <w:color w:val="auto"/>
          <w:sz w:val="24"/>
          <w:szCs w:val="22"/>
          <w:highlight w:val="none"/>
          <w:u w:val="single"/>
        </w:rPr>
        <w:t xml:space="preserve">十六、开标一览表</w:t>
      </w:r>
      <w:r/>
    </w:p>
    <w:p>
      <w:pPr>
        <w:pStyle w:val="677"/>
        <w:ind w:left="0" w:firstLine="482"/>
        <w:rPr>
          <w:rFonts w:eastAsia="宋体"/>
          <w:color w:val="auto"/>
          <w:highlight w:val="none"/>
          <w:lang w:val="en-US"/>
        </w:rPr>
      </w:pPr>
      <w:r>
        <w:rPr>
          <w:rFonts w:hint="eastAsia" w:ascii="宋体" w:hAnsi="宋体" w:eastAsia="宋体"/>
          <w:b/>
          <w:bCs/>
          <w:i/>
          <w:iCs/>
          <w:color w:val="auto"/>
          <w:sz w:val="24"/>
          <w:highlight w:val="none"/>
          <w:u w:val="single"/>
          <w:lang w:val="en-US"/>
        </w:rPr>
        <w:t xml:space="preserve">十七、核心产品品牌一览表</w:t>
      </w:r>
      <w:r/>
    </w:p>
    <w:p>
      <w:pPr>
        <w:ind w:firstLine="482"/>
        <w:spacing w:line="360" w:lineRule="auto"/>
        <w:rPr>
          <w:rFonts w:ascii="宋体" w:hAnsi="宋体"/>
          <w:color w:val="auto"/>
          <w:sz w:val="24"/>
          <w:szCs w:val="22"/>
          <w:highlight w:val="none"/>
        </w:rPr>
      </w:pPr>
      <w:r>
        <w:rPr>
          <w:rFonts w:hint="eastAsia" w:ascii="宋体" w:hAnsi="宋体"/>
          <w:b/>
          <w:bCs/>
          <w:i/>
          <w:iCs/>
          <w:color w:val="auto"/>
          <w:sz w:val="24"/>
          <w:szCs w:val="22"/>
          <w:highlight w:val="none"/>
          <w:u w:val="single"/>
        </w:rPr>
        <w:t xml:space="preserve">十八、信用承诺函</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十九、近三年来至今类似项目业绩(如有）</w:t>
      </w:r>
      <w:r/>
    </w:p>
    <w:p>
      <w:pPr>
        <w:ind w:firstLine="480"/>
        <w:spacing w:line="360" w:lineRule="auto"/>
        <w:rPr>
          <w:color w:val="auto"/>
          <w:highlight w:val="none"/>
        </w:rPr>
      </w:pPr>
      <w:r>
        <w:rPr>
          <w:rFonts w:hint="eastAsia" w:ascii="宋体" w:hAnsi="宋体"/>
          <w:color w:val="auto"/>
          <w:sz w:val="24"/>
          <w:szCs w:val="22"/>
          <w:highlight w:val="none"/>
        </w:rPr>
        <w:t xml:space="preserve">二十、投标人认为需要提供的其他材料（格式自拟）</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二十一、质疑函范本</w:t>
      </w:r>
      <w:r/>
    </w:p>
    <w:p>
      <w:pPr>
        <w:ind w:firstLine="480"/>
        <w:spacing w:line="440" w:lineRule="exact"/>
        <w:rPr>
          <w:rFonts w:ascii="宋体" w:hAnsi="宋体"/>
          <w:color w:val="auto"/>
          <w:sz w:val="24"/>
          <w:szCs w:val="22"/>
          <w:highlight w:val="none"/>
        </w:rPr>
      </w:pPr>
      <w:r>
        <w:rPr>
          <w:rFonts w:ascii="宋体" w:hAnsi="宋体"/>
          <w:color w:val="auto"/>
          <w:sz w:val="24"/>
          <w:szCs w:val="22"/>
          <w:highlight w:val="none"/>
        </w:rPr>
      </w:r>
      <w:r/>
    </w:p>
    <w:p>
      <w:pPr>
        <w:ind w:firstLine="480"/>
        <w:spacing w:line="440" w:lineRule="exact"/>
        <w:rPr>
          <w:rFonts w:ascii="宋体" w:hAnsi="宋体"/>
          <w:color w:val="auto"/>
          <w:sz w:val="24"/>
          <w:szCs w:val="22"/>
          <w:highlight w:val="none"/>
        </w:rPr>
      </w:pPr>
      <w:r>
        <w:rPr>
          <w:rFonts w:ascii="宋体" w:hAnsi="宋体"/>
          <w:color w:val="auto"/>
          <w:sz w:val="24"/>
          <w:szCs w:val="22"/>
          <w:highlight w:val="none"/>
        </w:rPr>
      </w:r>
      <w:r/>
    </w:p>
    <w:p>
      <w:pPr>
        <w:ind w:firstLine="480"/>
        <w:spacing w:line="440" w:lineRule="exact"/>
        <w:rPr>
          <w:rFonts w:ascii="宋体" w:hAnsi="宋体"/>
          <w:color w:val="auto"/>
          <w:sz w:val="24"/>
          <w:szCs w:val="22"/>
          <w:highlight w:val="none"/>
        </w:rPr>
      </w:pPr>
      <w:r>
        <w:rPr>
          <w:rFonts w:ascii="宋体" w:hAnsi="宋体"/>
          <w:color w:val="auto"/>
          <w:sz w:val="24"/>
          <w:szCs w:val="22"/>
          <w:highlight w:val="none"/>
        </w:rPr>
      </w:r>
      <w:r/>
    </w:p>
    <w:p>
      <w:pPr>
        <w:pStyle w:val="642"/>
        <w:rPr>
          <w:rFonts w:ascii="宋体" w:hAnsi="宋体"/>
          <w:color w:val="auto"/>
          <w:sz w:val="24"/>
          <w:szCs w:val="22"/>
          <w:highlight w:val="none"/>
        </w:rPr>
      </w:pPr>
      <w:r>
        <w:rPr>
          <w:rFonts w:ascii="宋体" w:hAnsi="宋体"/>
          <w:color w:val="auto"/>
          <w:sz w:val="24"/>
          <w:szCs w:val="22"/>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二、具有良好的</w:t>
      </w:r>
      <w:r>
        <w:rPr>
          <w:rFonts w:hint="eastAsia" w:ascii="黑体" w:hAnsi="黑体" w:eastAsia="黑体"/>
          <w:i/>
          <w:color w:val="auto"/>
          <w:sz w:val="32"/>
          <w:szCs w:val="32"/>
          <w:highlight w:val="none"/>
          <w:u w:val="single"/>
        </w:rPr>
        <w:t xml:space="preserve">商业信誉和健全的财务会计制度</w:t>
      </w:r>
      <w:r/>
    </w:p>
    <w:p>
      <w:pPr>
        <w:ind w:firstLine="480"/>
        <w:spacing w:line="440" w:lineRule="exact"/>
        <w:rPr>
          <w:rFonts w:ascii="宋体" w:hAnsi="宋体"/>
          <w:bCs/>
          <w:color w:val="auto"/>
          <w:sz w:val="24"/>
          <w:szCs w:val="22"/>
          <w:highlight w:val="none"/>
        </w:rPr>
      </w:pPr>
      <w:r>
        <w:rPr>
          <w:rFonts w:hint="eastAsia" w:ascii="宋体" w:hAnsi="宋体"/>
          <w:bCs/>
          <w:color w:val="auto"/>
          <w:sz w:val="24"/>
          <w:szCs w:val="22"/>
          <w:highlight w:val="none"/>
        </w:rPr>
        <w:t xml:space="preserve">提供参加本次政府采购活动前半年内（2026年</w:t>
      </w:r>
      <w:r>
        <w:rPr>
          <w:rFonts w:hint="eastAsia" w:ascii="宋体" w:hAnsi="宋体"/>
          <w:bCs/>
          <w:color w:val="auto"/>
          <w:sz w:val="24"/>
          <w:szCs w:val="22"/>
          <w:highlight w:val="none"/>
          <w:lang w:val="en-US" w:eastAsia="zh-CN"/>
        </w:rPr>
        <w:t xml:space="preserve">3</w:t>
      </w:r>
      <w:r>
        <w:rPr>
          <w:rFonts w:hint="eastAsia" w:ascii="宋体" w:hAnsi="宋体"/>
          <w:bCs/>
          <w:color w:val="auto"/>
          <w:sz w:val="24"/>
          <w:szCs w:val="22"/>
          <w:highlight w:val="none"/>
        </w:rPr>
        <w:t xml:space="preserve">月以来）任一个月的财报或上一年度财务审计报告复印件</w:t>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spacing w:line="440" w:lineRule="exact"/>
        <w:rPr>
          <w:rFonts w:ascii="宋体" w:hAnsi="宋体"/>
          <w:bCs/>
          <w:color w:val="auto"/>
          <w:sz w:val="24"/>
          <w:szCs w:val="22"/>
          <w:highlight w:val="none"/>
        </w:rPr>
      </w:pPr>
      <w:r>
        <w:rPr>
          <w:rFonts w:hint="eastAsia" w:ascii="宋体" w:hAnsi="宋体"/>
          <w:bCs/>
          <w:color w:val="auto"/>
          <w:sz w:val="24"/>
          <w:szCs w:val="22"/>
          <w:highlight w:val="none"/>
        </w:rPr>
        <w:t xml:space="preserve">提供提交投标文件截止时间前半年内（2026年</w:t>
      </w:r>
      <w:r>
        <w:rPr>
          <w:rFonts w:hint="eastAsia" w:ascii="宋体" w:hAnsi="宋体"/>
          <w:bCs/>
          <w:color w:val="auto"/>
          <w:sz w:val="24"/>
          <w:szCs w:val="22"/>
          <w:highlight w:val="none"/>
          <w:lang w:val="en-US" w:eastAsia="zh-CN"/>
        </w:rPr>
        <w:t xml:space="preserve">3</w:t>
      </w:r>
      <w:r>
        <w:rPr>
          <w:rFonts w:hint="eastAsia" w:ascii="宋体" w:hAnsi="宋体"/>
          <w:bCs/>
          <w:color w:val="auto"/>
          <w:sz w:val="24"/>
          <w:szCs w:val="22"/>
          <w:highlight w:val="none"/>
        </w:rPr>
        <w:t xml:space="preserve">月以来）任一个月依法缴纳税收及缴纳社会保障资金的证明材料复印件。投标人依法享受缓缴、免缴税收、社会保障资金的提供证明材料</w:t>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主要设备有：</w:t>
      </w:r>
      <w:r>
        <w:rPr>
          <w:rFonts w:hint="eastAsia" w:ascii="宋体" w:hAnsi="宋体"/>
          <w:bCs/>
          <w:color w:val="auto"/>
          <w:sz w:val="24"/>
          <w:szCs w:val="22"/>
          <w:highlight w:val="none"/>
          <w:u w:val="single"/>
        </w:rPr>
        <w:t xml:space="preserve"> </w:t>
      </w:r>
      <w:r>
        <w:rPr>
          <w:rFonts w:ascii="宋体" w:hAnsi="宋体"/>
          <w:bCs/>
          <w:color w:val="auto"/>
          <w:sz w:val="24"/>
          <w:szCs w:val="22"/>
          <w:highlight w:val="none"/>
          <w:u w:val="single"/>
        </w:rPr>
        <w:t xml:space="preserve">                    </w:t>
      </w:r>
      <w:r>
        <w:rPr>
          <w:rFonts w:hint="eastAsia" w:ascii="宋体" w:hAnsi="宋体"/>
          <w:bCs/>
          <w:color w:val="auto"/>
          <w:sz w:val="24"/>
          <w:szCs w:val="22"/>
          <w:highlight w:val="none"/>
          <w:u w:val="single"/>
        </w:rPr>
        <w:t xml:space="preserve"> </w:t>
      </w:r>
      <w:r>
        <w:rPr>
          <w:rFonts w:hint="eastAsia" w:ascii="宋体" w:hAnsi="宋体"/>
          <w:bCs/>
          <w:color w:val="auto"/>
          <w:sz w:val="24"/>
          <w:szCs w:val="22"/>
          <w:highlight w:val="none"/>
        </w:rPr>
        <w:t xml:space="preserve">。</w:t>
      </w:r>
      <w:r/>
    </w:p>
    <w:p>
      <w:pPr>
        <w:ind w:firstLine="492"/>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主要专业技术能力有：</w:t>
      </w:r>
      <w:r>
        <w:rPr>
          <w:rFonts w:hint="eastAsia" w:ascii="宋体" w:hAnsi="宋体"/>
          <w:bCs/>
          <w:color w:val="auto"/>
          <w:sz w:val="24"/>
          <w:szCs w:val="22"/>
          <w:highlight w:val="none"/>
          <w:u w:val="single"/>
        </w:rPr>
        <w:t xml:space="preserve">  </w:t>
      </w:r>
      <w:r>
        <w:rPr>
          <w:rFonts w:ascii="宋体" w:hAnsi="宋体"/>
          <w:bCs/>
          <w:color w:val="auto"/>
          <w:sz w:val="24"/>
          <w:szCs w:val="22"/>
          <w:highlight w:val="none"/>
          <w:u w:val="single"/>
        </w:rPr>
        <w:t xml:space="preserve">            </w:t>
      </w:r>
      <w:r>
        <w:rPr>
          <w:rFonts w:hint="eastAsia" w:ascii="宋体" w:hAnsi="宋体"/>
          <w:bCs/>
          <w:color w:val="auto"/>
          <w:sz w:val="24"/>
          <w:szCs w:val="22"/>
          <w:highlight w:val="none"/>
          <w:u w:val="single"/>
        </w:rPr>
        <w:t xml:space="preserve"> </w:t>
      </w:r>
      <w:r>
        <w:rPr>
          <w:rFonts w:hint="eastAsia" w:ascii="宋体" w:hAnsi="宋体"/>
          <w:bCs/>
          <w:color w:val="auto"/>
          <w:sz w:val="24"/>
          <w:szCs w:val="22"/>
          <w:highlight w:val="none"/>
        </w:rPr>
        <w:t xml:space="preserve">。</w:t>
      </w:r>
      <w:r/>
    </w:p>
    <w:p>
      <w:pPr>
        <w:ind w:firstLine="5040"/>
        <w:rPr>
          <w:color w:val="auto"/>
          <w:sz w:val="24"/>
          <w:szCs w:val="22"/>
          <w:highlight w:val="none"/>
        </w:rPr>
      </w:pPr>
      <w:r>
        <w:rPr>
          <w:rFonts w:hint="eastAsia"/>
          <w:color w:val="auto"/>
          <w:sz w:val="24"/>
          <w:szCs w:val="22"/>
          <w:highlight w:val="none"/>
        </w:rPr>
        <w:t xml:space="preserve">声明人：（公章）</w:t>
      </w:r>
      <w:r/>
    </w:p>
    <w:p>
      <w:pPr>
        <w:ind w:firstLine="5040"/>
        <w:rPr>
          <w:color w:val="auto"/>
          <w:sz w:val="24"/>
          <w:szCs w:val="22"/>
          <w:highlight w:val="none"/>
        </w:rPr>
      </w:pPr>
      <w:r>
        <w:rPr>
          <w:rFonts w:hint="eastAsia"/>
          <w:color w:val="auto"/>
          <w:sz w:val="24"/>
          <w:szCs w:val="22"/>
          <w:highlight w:val="none"/>
        </w:rPr>
        <w:t xml:space="preserve">日期：   年  月   日</w:t>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szCs w:val="22"/>
          <w:highlight w:val="none"/>
        </w:rPr>
      </w:pPr>
      <w:r>
        <w:rPr>
          <w:rFonts w:hint="eastAsia" w:ascii="宋体" w:hAnsi="宋体"/>
          <w:b/>
          <w:bCs/>
          <w:color w:val="auto"/>
          <w:sz w:val="24"/>
          <w:szCs w:val="22"/>
          <w:highlight w:val="none"/>
        </w:rPr>
        <w:t xml:space="preserve">    </w:t>
      </w:r>
      <w:r>
        <w:rPr>
          <w:rFonts w:hint="eastAsia" w:ascii="宋体" w:hAnsi="宋体"/>
          <w:bCs/>
          <w:color w:val="auto"/>
          <w:sz w:val="24"/>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color w:val="auto"/>
          <w:sz w:val="24"/>
          <w:szCs w:val="22"/>
          <w:highlight w:val="none"/>
        </w:rPr>
      </w:pPr>
      <w:r>
        <w:rPr>
          <w:rFonts w:hint="eastAsia"/>
          <w:color w:val="auto"/>
          <w:sz w:val="24"/>
          <w:szCs w:val="22"/>
          <w:highlight w:val="none"/>
        </w:rPr>
        <w:t xml:space="preserve">声明人：（公章）</w:t>
      </w:r>
      <w:r/>
    </w:p>
    <w:p>
      <w:pPr>
        <w:ind w:firstLine="5040"/>
        <w:rPr>
          <w:color w:val="auto"/>
          <w:sz w:val="24"/>
          <w:szCs w:val="22"/>
          <w:highlight w:val="none"/>
        </w:rPr>
      </w:pPr>
      <w:r>
        <w:rPr>
          <w:rFonts w:hint="eastAsia"/>
          <w:color w:val="auto"/>
          <w:sz w:val="24"/>
          <w:szCs w:val="22"/>
          <w:highlight w:val="none"/>
        </w:rPr>
        <w:t xml:space="preserve">日期：   年  月   日</w:t>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jc w:val="center"/>
        <w:rPr>
          <w:rFonts w:ascii="黑体" w:hAnsi="黑体" w:eastAsia="黑体"/>
          <w:bCs/>
          <w:i/>
          <w:color w:val="auto"/>
          <w:sz w:val="32"/>
          <w:szCs w:val="32"/>
          <w:highlight w:val="none"/>
          <w:u w:val="single"/>
        </w:rPr>
      </w:pPr>
      <w:r>
        <w:rPr>
          <w:rFonts w:hint="eastAsia" w:ascii="黑体" w:hAnsi="黑体" w:eastAsia="黑体"/>
          <w:i/>
          <w:color w:val="auto"/>
          <w:sz w:val="32"/>
          <w:szCs w:val="32"/>
          <w:highlight w:val="none"/>
          <w:u w:val="single"/>
        </w:rPr>
        <w:t xml:space="preserve">七、投标函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color w:val="auto"/>
          <w:sz w:val="24"/>
          <w:szCs w:val="24"/>
          <w:highlight w:val="none"/>
          <w:u w:val="single"/>
        </w:rPr>
        <w:t xml:space="preserve">（项目编号：</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1"/>
          <w:highlight w:val="none"/>
        </w:rPr>
        <w:t xml:space="preserve">招标文件，正式授权</w:t>
      </w:r>
      <w:r>
        <w:rPr>
          <w:rFonts w:hint="eastAsia" w:ascii="宋体" w:hAnsi="宋体"/>
          <w:color w:val="auto"/>
          <w:sz w:val="36"/>
          <w:szCs w:val="24"/>
          <w:highlight w:val="none"/>
          <w:u w:val="single"/>
        </w:rPr>
        <w:t xml:space="preserve">    </w:t>
      </w:r>
      <w:r>
        <w:rPr>
          <w:rFonts w:hint="eastAsia" w:ascii="宋体" w:hAnsi="宋体"/>
          <w:color w:val="auto"/>
          <w:sz w:val="24"/>
          <w:szCs w:val="21"/>
          <w:highlight w:val="none"/>
        </w:rPr>
        <w:t xml:space="preserve"> (姓名)代表我方</w:t>
      </w:r>
      <w:r>
        <w:rPr>
          <w:rFonts w:hint="eastAsia" w:ascii="宋体" w:hAnsi="宋体"/>
          <w:color w:val="auto"/>
          <w:sz w:val="36"/>
          <w:szCs w:val="24"/>
          <w:highlight w:val="none"/>
          <w:u w:val="single"/>
        </w:rPr>
        <w:t xml:space="preserve">         </w:t>
      </w:r>
      <w:r>
        <w:rPr>
          <w:rFonts w:hint="eastAsia" w:ascii="宋体" w:hAnsi="宋体"/>
          <w:color w:val="auto"/>
          <w:sz w:val="24"/>
          <w:szCs w:val="21"/>
          <w:highlight w:val="none"/>
        </w:rPr>
        <w:t xml:space="preserve">（投标人的名称），全权处理本次项目投标的有关事宜。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据此函，我方兹宣布同意如下：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1.按招标文件规定的各项要求，向买方提供所需货物与服务。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spacing w:line="36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u w:val="single"/>
        </w:rPr>
        <w:t xml:space="preserve">                      </w:t>
      </w:r>
      <w:r/>
    </w:p>
    <w:p>
      <w:pPr>
        <w:ind w:firstLine="480"/>
        <w:spacing w:line="360" w:lineRule="auto"/>
        <w:shd w:val="clear" w:color="auto" w:fill="ffffff"/>
        <w:rPr>
          <w:rFonts w:ascii="宋体" w:hAnsi="宋体"/>
          <w:color w:val="auto"/>
          <w:sz w:val="24"/>
          <w:szCs w:val="24"/>
          <w:highlight w:val="none"/>
          <w:u w:val="single"/>
        </w:rPr>
      </w:pPr>
      <w:r>
        <w:rPr>
          <w:rFonts w:hint="eastAsia" w:ascii="宋体" w:hAnsi="宋体"/>
          <w:color w:val="auto"/>
          <w:sz w:val="24"/>
          <w:szCs w:val="24"/>
          <w:highlight w:val="none"/>
        </w:rPr>
        <w:t xml:space="preserve">电话：</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传真：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ind w:firstLine="480"/>
        <w:spacing w:line="36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开户银行：</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银行账号：</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480"/>
        <w:spacing w:line="360" w:lineRule="auto"/>
        <w:shd w:val="clear" w:color="auto" w:fill="ffffff"/>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供应商授权代表姓名（签字）：</w:t>
      </w:r>
      <w:r>
        <w:rPr>
          <w:rFonts w:hint="eastAsia" w:ascii="宋体" w:hAnsi="宋体"/>
          <w:color w:val="auto"/>
          <w:sz w:val="24"/>
          <w:szCs w:val="24"/>
          <w:highlight w:val="none"/>
          <w:u w:val="single"/>
        </w:rPr>
        <w:t xml:space="preserve">        </w:t>
      </w:r>
      <w:r/>
    </w:p>
    <w:p>
      <w:pPr>
        <w:ind w:firstLine="480"/>
        <w:spacing w:line="36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u w:val="single"/>
        </w:rPr>
        <w:t xml:space="preserve">         （加盖电子公章）</w:t>
      </w:r>
      <w:r/>
    </w:p>
    <w:p>
      <w:pPr>
        <w:ind w:firstLine="480"/>
        <w:spacing w:line="36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八、法人授权书</w:t>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w:t>
      </w:r>
      <w:r>
        <w:rPr>
          <w:rFonts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u w:val="single"/>
        </w:rPr>
        <w:t xml:space="preserve">（项目编号：</w:t>
      </w:r>
      <w:r>
        <w:rPr>
          <w:rFonts w:ascii="宋体" w:hAnsi="宋体"/>
          <w:color w:val="auto"/>
          <w:sz w:val="24"/>
          <w:szCs w:val="24"/>
          <w:highlight w:val="none"/>
          <w:u w:val="single"/>
        </w:rPr>
        <w:t xml:space="preserve">     </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480"/>
        <w:spacing w:line="360" w:lineRule="auto"/>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（加盖电子公章）</w:t>
      </w:r>
      <w:r/>
    </w:p>
    <w:p>
      <w:pPr>
        <w:ind w:firstLine="480"/>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单位地址：</w:t>
      </w:r>
      <w:r>
        <w:rPr>
          <w:rFonts w:hint="eastAsia" w:ascii="Times New Roman" w:hAnsi="Times New Roman"/>
          <w:color w:val="auto"/>
          <w:sz w:val="24"/>
          <w:szCs w:val="24"/>
          <w:highlight w:val="none"/>
          <w:u w:val="single"/>
        </w:rPr>
        <w:t xml:space="preserve">                                    </w:t>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w:t>
      </w:r>
      <w:r>
        <w:rPr>
          <w:rFonts w:hint="eastAsia" w:ascii="Times New Roman" w:hAnsi="Times New Roman"/>
          <w:color w:val="auto"/>
          <w:sz w:val="24"/>
          <w:szCs w:val="24"/>
          <w:highlight w:val="none"/>
          <w:u w:val="single"/>
        </w:rPr>
        <w:t xml:space="preserve">                                        </w:t>
      </w:r>
      <w:r/>
    </w:p>
    <w:p>
      <w:pPr>
        <w:rPr>
          <w:i/>
          <w:color w:val="auto"/>
          <w:sz w:val="24"/>
          <w:szCs w:val="24"/>
          <w:highlight w:val="none"/>
          <w:u w:val="single"/>
        </w:rPr>
      </w:pPr>
      <w:r>
        <w:rPr>
          <w:i/>
          <w:color w:val="auto"/>
          <w:sz w:val="24"/>
          <w:szCs w:val="24"/>
          <w:highlight w:val="none"/>
          <w:u w:val="single"/>
        </w:rPr>
      </w:r>
      <w:r/>
    </w:p>
    <w:p>
      <w:pPr>
        <w:rPr>
          <w:i/>
          <w:color w:val="auto"/>
          <w:sz w:val="24"/>
          <w:szCs w:val="24"/>
          <w:highlight w:val="none"/>
          <w:u w:val="single"/>
        </w:rPr>
      </w:pPr>
      <w:r>
        <w:rPr>
          <w:i/>
          <w:color w:val="auto"/>
          <w:sz w:val="24"/>
          <w:szCs w:val="24"/>
          <w:highlight w:val="none"/>
          <w:u w:val="single"/>
        </w:rPr>
      </w:r>
      <w:r/>
    </w:p>
    <w:p>
      <w:pPr>
        <w:rPr>
          <w:i/>
          <w:color w:val="auto"/>
          <w:sz w:val="24"/>
          <w:szCs w:val="24"/>
          <w:highlight w:val="none"/>
          <w:u w:val="single"/>
        </w:rPr>
      </w:pPr>
      <w:r>
        <w:rPr>
          <w:i/>
          <w:color w:val="auto"/>
          <w:sz w:val="24"/>
          <w:szCs w:val="24"/>
          <w:highlight w:val="none"/>
          <w:u w:val="single"/>
        </w:rPr>
      </w:r>
      <w:r/>
    </w:p>
    <w:p>
      <w:pPr>
        <w:rPr>
          <w:i/>
          <w:color w:val="auto"/>
          <w:sz w:val="24"/>
          <w:szCs w:val="24"/>
          <w:highlight w:val="none"/>
          <w:u w:val="single"/>
        </w:rPr>
      </w:pPr>
      <w:r>
        <w:rPr>
          <w:i/>
          <w:color w:val="auto"/>
          <w:sz w:val="24"/>
          <w:szCs w:val="24"/>
          <w:highlight w:val="none"/>
          <w:u w:val="single"/>
        </w:rPr>
        <w:t xml:space="preserve">法定代表人身份证复印件：</w:t>
      </w:r>
      <w:r/>
    </w:p>
    <w:p>
      <w:pPr>
        <w:rPr>
          <w:i/>
          <w:color w:val="auto"/>
          <w:sz w:val="24"/>
          <w:szCs w:val="24"/>
          <w:highlight w:val="none"/>
          <w:u w:val="single"/>
        </w:rPr>
      </w:pPr>
      <w:r>
        <w:rPr>
          <w:i/>
          <w:color w:val="auto"/>
          <w:sz w:val="24"/>
          <w:szCs w:val="24"/>
          <w:highlight w:val="none"/>
          <w:u w:val="single"/>
        </w:rPr>
      </w:r>
      <w:r/>
    </w:p>
    <w:p>
      <w:pPr>
        <w:rPr>
          <w:color w:val="auto"/>
          <w:highlight w:val="none"/>
        </w:rPr>
      </w:pPr>
      <w:r>
        <w:rPr>
          <w:color w:val="auto"/>
          <w:highlight w:val="none"/>
        </w:rPr>
      </w:r>
      <w:r/>
    </w:p>
    <w:p>
      <w:pPr>
        <w:rPr>
          <w:i/>
          <w:color w:val="auto"/>
          <w:sz w:val="24"/>
          <w:szCs w:val="24"/>
          <w:highlight w:val="none"/>
          <w:u w:val="single"/>
        </w:rPr>
      </w:pPr>
      <w:r>
        <w:rPr>
          <w:i/>
          <w:color w:val="auto"/>
          <w:sz w:val="24"/>
          <w:szCs w:val="24"/>
          <w:highlight w:val="none"/>
          <w:u w:val="single"/>
        </w:rPr>
      </w:r>
      <w:r/>
    </w:p>
    <w:p>
      <w:pPr>
        <w:rPr>
          <w:color w:val="auto"/>
          <w:highlight w:val="none"/>
        </w:rPr>
      </w:pPr>
      <w:r>
        <w:rPr>
          <w:color w:val="auto"/>
          <w:highlight w:val="none"/>
        </w:rPr>
      </w:r>
      <w:r/>
    </w:p>
    <w:p>
      <w:pPr>
        <w:rPr>
          <w:i/>
          <w:color w:val="auto"/>
          <w:sz w:val="24"/>
          <w:szCs w:val="24"/>
          <w:highlight w:val="none"/>
          <w:u w:val="single"/>
        </w:rPr>
      </w:pPr>
      <w:r>
        <w:rPr>
          <w:i/>
          <w:color w:val="auto"/>
          <w:sz w:val="24"/>
          <w:szCs w:val="24"/>
          <w:highlight w:val="none"/>
          <w:u w:val="single"/>
        </w:rPr>
      </w:r>
      <w:r/>
    </w:p>
    <w:p>
      <w:pPr>
        <w:rPr>
          <w:i/>
          <w:color w:val="auto"/>
          <w:sz w:val="24"/>
          <w:szCs w:val="24"/>
          <w:highlight w:val="none"/>
          <w:u w:val="single"/>
        </w:rPr>
      </w:pPr>
      <w:r>
        <w:rPr>
          <w:i/>
          <w:color w:val="auto"/>
          <w:sz w:val="24"/>
          <w:szCs w:val="24"/>
          <w:highlight w:val="none"/>
          <w:u w:val="single"/>
        </w:rPr>
        <w:t xml:space="preserve">授权代表身份证复印件：</w:t>
      </w:r>
      <w:r/>
    </w:p>
    <w:p>
      <w:pPr>
        <w:ind w:left="420" w:firstLine="480"/>
        <w:jc w:val="left"/>
        <w:spacing w:line="420" w:lineRule="exact"/>
        <w:rPr>
          <w:rFonts w:ascii="宋体" w:hAnsi="宋体"/>
          <w:color w:val="auto"/>
          <w:sz w:val="24"/>
          <w:szCs w:val="21"/>
          <w:highlight w:val="none"/>
        </w:rPr>
      </w:pPr>
      <w:r>
        <w:rPr>
          <w:rFonts w:ascii="宋体" w:hAnsi="宋体"/>
          <w:bCs/>
          <w:color w:val="auto"/>
          <w:sz w:val="24"/>
          <w:szCs w:val="22"/>
          <w:highlight w:val="none"/>
        </w:rPr>
        <w:br w:type="page" w:clear="all"/>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九、中小企业声明函（货物）</w:t>
      </w:r>
      <w:r/>
    </w:p>
    <w:p>
      <w:pPr>
        <w:ind w:firstLine="360"/>
        <w:spacing w:before="312" w:line="44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本公司（联合体）郑重声明，根据《政府采购促进中小企业发展管理办法》(财库[2020]46号)的规定，本公司（联合体）参加江苏畅采工程咨询有限公司组织的采购编号为：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4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（标的名称1）</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工业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   </w:t>
      </w:r>
      <w:r>
        <w:rPr>
          <w:rFonts w:hint="eastAsia" w:ascii="宋体" w:hAnsi="宋体"/>
          <w:color w:val="auto"/>
          <w:sz w:val="24"/>
          <w:szCs w:val="24"/>
          <w:highlight w:val="none"/>
          <w:u w:val="single"/>
        </w:rPr>
        <w:t xml:space="preserve">（中型企业、小型企业、微型企业）；</w:t>
      </w:r>
      <w:r/>
    </w:p>
    <w:p>
      <w:pPr>
        <w:ind w:firstLine="360"/>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（标的名称2）</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工业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   </w:t>
      </w:r>
      <w:r>
        <w:rPr>
          <w:rFonts w:hint="eastAsia" w:ascii="宋体" w:hAnsi="宋体"/>
          <w:color w:val="auto"/>
          <w:sz w:val="24"/>
          <w:szCs w:val="24"/>
          <w:highlight w:val="none"/>
          <w:u w:val="single"/>
        </w:rPr>
        <w:t xml:space="preserve">（中型企业、小型企业、微型企业）；</w:t>
      </w:r>
      <w:r/>
    </w:p>
    <w:p>
      <w:pPr>
        <w:ind w:firstLine="360"/>
        <w:spacing w:line="440" w:lineRule="exact"/>
        <w:rPr>
          <w:rFonts w:ascii="宋体" w:hAnsi="宋体"/>
          <w:i/>
          <w:color w:val="auto"/>
          <w:sz w:val="24"/>
          <w:szCs w:val="24"/>
          <w:highlight w:val="none"/>
          <w:u w:val="singl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工业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bookmarkStart w:id="88" w:name="OLE_LINK12"/>
      <w:r/>
      <w:bookmarkStart w:id="89" w:name="OLE_LINK11"/>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   </w:t>
      </w:r>
      <w:r>
        <w:rPr>
          <w:rFonts w:hint="eastAsia" w:ascii="宋体" w:hAnsi="宋体"/>
          <w:color w:val="auto"/>
          <w:sz w:val="24"/>
          <w:szCs w:val="24"/>
          <w:highlight w:val="none"/>
          <w:u w:val="single"/>
        </w:rPr>
        <w:t xml:space="preserve">（中型企业、小型企业、微型企业）；</w:t>
      </w:r>
      <w:bookmarkEnd w:id="88"/>
      <w:r/>
      <w:bookmarkEnd w:id="89"/>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360" w:lineRule="auto"/>
        <w:rPr>
          <w:rFonts w:ascii="宋体" w:hAnsi="宋体"/>
          <w:color w:val="auto"/>
          <w:sz w:val="24"/>
          <w:szCs w:val="24"/>
          <w:highlight w:val="none"/>
        </w:rPr>
      </w:pPr>
      <w:r>
        <w:rPr>
          <w:rFonts w:ascii="宋体" w:hAnsi="宋体"/>
          <w:color w:val="auto"/>
          <w:sz w:val="24"/>
          <w:szCs w:val="24"/>
          <w:highlight w:val="none"/>
        </w:rPr>
      </w:r>
      <w:r/>
    </w:p>
    <w:p>
      <w:pPr>
        <w:ind w:right="180" w:firstLine="36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w:t>
      </w:r>
      <w:r>
        <w:rPr>
          <w:rFonts w:hint="eastAsia" w:ascii="宋体" w:hAnsi="宋体" w:cs="宋体"/>
          <w:color w:val="auto"/>
          <w:sz w:val="24"/>
          <w:szCs w:val="24"/>
          <w:highlight w:val="none"/>
        </w:rPr>
        <w:t xml:space="preserve">（加盖CA电子公章）</w:t>
      </w:r>
      <w:r/>
    </w:p>
    <w:p>
      <w:pPr>
        <w:ind w:right="480" w:firstLine="4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00"/>
        <w:spacing w:line="360" w:lineRule="auto"/>
        <w:rPr>
          <w:rFonts w:ascii="宋体" w:hAnsi="宋体"/>
          <w:color w:val="auto"/>
          <w:sz w:val="20"/>
          <w:highlight w:val="none"/>
        </w:rPr>
      </w:pPr>
      <w:r>
        <w:rPr>
          <w:rFonts w:hint="eastAsia" w:ascii="宋体" w:hAnsi="宋体"/>
          <w:color w:val="auto"/>
          <w:sz w:val="20"/>
          <w:highlight w:val="none"/>
        </w:rPr>
        <w:t xml:space="preserve">备注1：从业人员、营业收入、资产总额填报上一年度数据，无上一年度数据的新成立企业可不填报。</w:t>
      </w:r>
      <w:r/>
    </w:p>
    <w:p>
      <w:pPr>
        <w:ind w:firstLine="400"/>
        <w:spacing w:line="360" w:lineRule="auto"/>
        <w:rPr>
          <w:rFonts w:ascii="宋体" w:hAnsi="宋体"/>
          <w:color w:val="auto"/>
          <w:sz w:val="20"/>
          <w:highlight w:val="none"/>
        </w:rPr>
      </w:pPr>
      <w:r>
        <w:rPr>
          <w:rFonts w:hint="eastAsia" w:ascii="宋体" w:hAnsi="宋体"/>
          <w:color w:val="auto"/>
          <w:sz w:val="20"/>
          <w:highlight w:val="none"/>
        </w:rPr>
        <w:t xml:space="preserve">备注</w:t>
      </w:r>
      <w:r>
        <w:rPr>
          <w:rFonts w:ascii="宋体" w:hAnsi="宋体"/>
          <w:color w:val="auto"/>
          <w:sz w:val="20"/>
          <w:highlight w:val="none"/>
        </w:rPr>
        <w:t xml:space="preserve">2</w:t>
      </w:r>
      <w:r>
        <w:rPr>
          <w:rFonts w:hint="eastAsia" w:ascii="宋体" w:hAnsi="宋体"/>
          <w:color w:val="auto"/>
          <w:sz w:val="20"/>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p>
    <w:p>
      <w:pPr>
        <w:ind w:firstLine="400"/>
        <w:spacing w:line="360" w:lineRule="auto"/>
        <w:rPr>
          <w:color w:val="auto"/>
          <w:highlight w:val="none"/>
        </w:rPr>
      </w:pPr>
      <w:r>
        <w:rPr>
          <w:rFonts w:hint="eastAsia" w:ascii="宋体" w:hAnsi="宋体"/>
          <w:color w:val="auto"/>
          <w:sz w:val="20"/>
          <w:highlight w:val="none"/>
        </w:rPr>
        <w:t xml:space="preserve">备注</w:t>
      </w:r>
      <w:r>
        <w:rPr>
          <w:rFonts w:ascii="宋体" w:hAnsi="宋体"/>
          <w:color w:val="auto"/>
          <w:sz w:val="20"/>
          <w:highlight w:val="none"/>
        </w:rPr>
        <w:t xml:space="preserve">3</w:t>
      </w:r>
      <w:r>
        <w:rPr>
          <w:rFonts w:hint="eastAsia" w:ascii="宋体" w:hAnsi="宋体"/>
          <w:color w:val="auto"/>
          <w:sz w:val="20"/>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keepLines w:val="0"/>
        <w:keepNext w:val="0"/>
        <w:pageBreakBefore w:val="0"/>
        <w:spacing w:line="240" w:lineRule="exact"/>
        <w:widowControl w:val="off"/>
        <w:rPr>
          <w:rFonts w:ascii="宋体" w:hAnsi="宋体"/>
          <w:b/>
          <w:color w:val="auto"/>
          <w:szCs w:val="24"/>
          <w:highlight w:val="none"/>
        </w:rPr>
      </w:pPr>
      <w:r>
        <w:rPr>
          <w:rFonts w:hint="eastAsia" w:ascii="宋体" w:hAnsi="宋体"/>
          <w:b/>
          <w:color w:val="auto"/>
          <w:szCs w:val="24"/>
          <w:highlight w:val="none"/>
        </w:rPr>
        <w:t xml:space="preserve">附：中小企业划型标准规定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（一）农、林、牧、渔业。</w:t>
      </w:r>
      <w:r>
        <w:rPr>
          <w:rFonts w:hint="eastAsia" w:ascii="宋体" w:hAnsi="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（二）工业。</w:t>
      </w:r>
      <w:r>
        <w:rPr>
          <w:rFonts w:hint="eastAsia" w:ascii="宋体" w:hAnsi="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（三）建筑业。</w:t>
      </w:r>
      <w:r>
        <w:rPr>
          <w:rFonts w:hint="eastAsia" w:ascii="宋体" w:hAnsi="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（四）批发业。</w:t>
      </w:r>
      <w:r>
        <w:rPr>
          <w:rFonts w:hint="eastAsia" w:ascii="宋体" w:hAnsi="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（五）零售业。</w:t>
      </w:r>
      <w:r>
        <w:rPr>
          <w:rFonts w:hint="eastAsia" w:ascii="宋体" w:hAnsi="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（六）交通运输业。</w:t>
      </w:r>
      <w:r>
        <w:rPr>
          <w:rFonts w:hint="eastAsia" w:ascii="宋体" w:hAnsi="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（七）仓储业。</w:t>
      </w:r>
      <w:r>
        <w:rPr>
          <w:rFonts w:hint="eastAsia" w:ascii="宋体" w:hAnsi="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（八）邮政业。</w:t>
      </w:r>
      <w:r>
        <w:rPr>
          <w:rFonts w:hint="eastAsia" w:ascii="宋体" w:hAnsi="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（九）住宿业。</w:t>
      </w:r>
      <w:r>
        <w:rPr>
          <w:rFonts w:hint="eastAsia" w:ascii="宋体" w:hAnsi="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（十）餐饮业。</w:t>
      </w:r>
      <w:r>
        <w:rPr>
          <w:rFonts w:hint="eastAsia" w:ascii="宋体" w:hAnsi="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（十一）信息传输业。</w:t>
      </w:r>
      <w:r>
        <w:rPr>
          <w:rFonts w:hint="eastAsia" w:ascii="宋体" w:hAnsi="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（十二）软件和信息技术服务业。</w:t>
      </w:r>
      <w:r>
        <w:rPr>
          <w:rFonts w:hint="eastAsia" w:ascii="宋体" w:hAnsi="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（十三）房地产开发经营。</w:t>
      </w:r>
      <w:r>
        <w:rPr>
          <w:rFonts w:hint="eastAsia" w:ascii="宋体" w:hAnsi="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240" w:lineRule="exact"/>
        <w:widowControl w:val="off"/>
        <w:rPr>
          <w:rFonts w:ascii="宋体" w:hAnsi="宋体"/>
          <w:color w:val="auto"/>
          <w:sz w:val="20"/>
          <w:szCs w:val="20"/>
          <w:highlight w:val="none"/>
        </w:rPr>
      </w:pPr>
      <w:r>
        <w:rPr>
          <w:rFonts w:hint="eastAsia" w:ascii="宋体" w:hAnsi="宋体"/>
          <w:b/>
          <w:color w:val="auto"/>
          <w:sz w:val="20"/>
          <w:szCs w:val="20"/>
          <w:highlight w:val="none"/>
        </w:rPr>
        <w:t xml:space="preserve">（十四）物业管理。</w:t>
      </w:r>
      <w:r>
        <w:rPr>
          <w:rFonts w:hint="eastAsia" w:ascii="宋体" w:hAnsi="宋体"/>
          <w:color w:val="auto"/>
          <w:sz w:val="20"/>
          <w:szCs w:val="2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240" w:lineRule="exact"/>
        <w:widowControl w:val="off"/>
        <w:rPr>
          <w:rFonts w:hint="eastAsia" w:ascii="宋体" w:hAnsi="宋体" w:eastAsia="宋体" w:cs="Times New Roman"/>
          <w:b/>
          <w:color w:val="auto"/>
          <w:sz w:val="20"/>
          <w:szCs w:val="20"/>
          <w:highlight w:val="none"/>
        </w:rPr>
      </w:pPr>
      <w:r>
        <w:rPr>
          <w:rFonts w:hint="eastAsia" w:ascii="宋体" w:hAnsi="宋体"/>
          <w:b/>
          <w:color w:val="auto"/>
          <w:sz w:val="20"/>
          <w:szCs w:val="20"/>
          <w:highlight w:val="none"/>
        </w:rPr>
        <w:t xml:space="preserve">（十五）租赁和商务服务业。</w:t>
      </w:r>
      <w:r>
        <w:rPr>
          <w:rFonts w:hint="eastAsia" w:ascii="宋体" w:hAnsi="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w:t>
      </w:r>
      <w:r>
        <w:rPr>
          <w:rFonts w:hint="eastAsia" w:ascii="宋体" w:hAnsi="宋体"/>
          <w:b w:val="0"/>
          <w:bCs w:val="0"/>
          <w:color w:val="auto"/>
          <w:sz w:val="20"/>
          <w:szCs w:val="20"/>
          <w:highlight w:val="none"/>
        </w:rPr>
        <w:t xml:space="preserve">上，且资产总额100万元及以上的为小型企业；从业人员10人以下或资产总额100万元以下的为微</w:t>
      </w:r>
      <w:r>
        <w:rPr>
          <w:rFonts w:hint="eastAsia" w:ascii="宋体" w:hAnsi="宋体" w:eastAsia="宋体" w:cs="Times New Roman"/>
          <w:b w:val="0"/>
          <w:bCs w:val="0"/>
          <w:color w:val="auto"/>
          <w:sz w:val="20"/>
          <w:szCs w:val="20"/>
          <w:highlight w:val="none"/>
        </w:rPr>
        <w:t xml:space="preserve">型企业。</w:t>
      </w:r>
      <w:r/>
    </w:p>
    <w:p>
      <w:pPr>
        <w:ind w:firstLine="402"/>
        <w:jc w:val="left"/>
        <w:keepLines w:val="0"/>
        <w:keepNext w:val="0"/>
        <w:pageBreakBefore w:val="0"/>
        <w:spacing w:line="240" w:lineRule="exact"/>
        <w:widowControl w:val="off"/>
        <w:rPr>
          <w:rStyle w:val="660"/>
          <w:rFonts w:cs="仿宋"/>
          <w:color w:val="auto"/>
          <w:szCs w:val="21"/>
          <w:highlight w:val="none"/>
        </w:rPr>
      </w:pPr>
      <w:r>
        <w:rPr>
          <w:rFonts w:hint="eastAsia" w:ascii="宋体" w:hAnsi="宋体" w:eastAsia="宋体" w:cs="Times New Roman"/>
          <w:b/>
          <w:color w:val="auto"/>
          <w:sz w:val="20"/>
          <w:szCs w:val="20"/>
          <w:highlight w:val="none"/>
        </w:rPr>
        <w:t xml:space="preserve">（十六）其他未列明行业。</w:t>
      </w:r>
      <w:r>
        <w:rPr>
          <w:rFonts w:hint="eastAsia" w:ascii="宋体" w:hAnsi="宋体" w:eastAsia="宋体" w:cs="Times New Roman"/>
          <w:b w:val="0"/>
          <w:bCs/>
          <w:color w:val="auto"/>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color w:val="auto"/>
          <w:szCs w:val="21"/>
          <w:highlight w:val="none"/>
        </w:rPr>
        <w:t xml:space="preserve">。</w:t>
      </w:r>
      <w:r/>
    </w:p>
    <w:p>
      <w:pPr>
        <w:jc w:val="center"/>
        <w:spacing w:line="460" w:lineRule="exact"/>
        <w:rPr>
          <w:rFonts w:ascii="黑体" w:hAnsi="黑体" w:eastAsia="黑体"/>
          <w:b/>
          <w:color w:val="auto"/>
          <w:sz w:val="32"/>
          <w:szCs w:val="32"/>
          <w:highlight w:val="none"/>
        </w:rPr>
      </w:pPr>
      <w:r>
        <w:rPr>
          <w:color w:val="auto"/>
          <w:sz w:val="24"/>
          <w:szCs w:val="24"/>
          <w:highlight w:val="none"/>
        </w:rPr>
        <w:br w:type="page" w:clear="all"/>
      </w:r>
      <w:r>
        <w:rPr>
          <w:rFonts w:hint="eastAsia" w:ascii="黑体" w:hAnsi="黑体" w:eastAsia="黑体"/>
          <w:b/>
          <w:color w:val="auto"/>
          <w:sz w:val="32"/>
          <w:szCs w:val="32"/>
          <w:highlight w:val="none"/>
        </w:rPr>
        <w:t xml:space="preserve">十、残疾人福利性单位声明函</w:t>
      </w:r>
      <w:r/>
    </w:p>
    <w:p>
      <w:pPr>
        <w:rPr>
          <w:color w:val="auto"/>
          <w:highlight w:val="none"/>
        </w:rPr>
      </w:pPr>
      <w:r>
        <w:rPr>
          <w:color w:val="auto"/>
          <w:highlight w:val="none"/>
        </w:rPr>
      </w:r>
      <w:r/>
    </w:p>
    <w:p>
      <w:pPr>
        <w:ind w:firstLine="480"/>
        <w:spacing w:line="588" w:lineRule="exact"/>
        <w:rPr>
          <w:rFonts w:ascii="宋体" w:hAnsi="宋体"/>
          <w:color w:val="auto"/>
          <w:sz w:val="24"/>
          <w:szCs w:val="22"/>
          <w:highlight w:val="none"/>
        </w:rPr>
      </w:pPr>
      <w:r>
        <w:rPr>
          <w:rFonts w:hint="eastAsia" w:ascii="宋体" w:hAnsi="宋体"/>
          <w:color w:val="auto"/>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单位的采购文件编号为</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2"/>
          <w:highlight w:val="none"/>
        </w:rPr>
      </w:pPr>
      <w:r>
        <w:rPr>
          <w:rFonts w:hint="eastAsia" w:ascii="宋体" w:hAnsi="宋体"/>
          <w:color w:val="auto"/>
          <w:sz w:val="24"/>
          <w:szCs w:val="22"/>
          <w:highlight w:val="none"/>
        </w:rPr>
        <w:t xml:space="preserve">本单位对上述声明的真实性负责。如有虚假，将依法承担相应责任。</w:t>
      </w:r>
      <w:r/>
    </w:p>
    <w:p>
      <w:pPr>
        <w:ind w:firstLine="480"/>
        <w:spacing w:line="588" w:lineRule="exact"/>
        <w:rPr>
          <w:rFonts w:ascii="宋体" w:hAnsi="宋体"/>
          <w:color w:val="auto"/>
          <w:sz w:val="24"/>
          <w:szCs w:val="22"/>
          <w:highlight w:val="none"/>
        </w:rPr>
      </w:pPr>
      <w:r>
        <w:rPr>
          <w:rFonts w:ascii="宋体" w:hAnsi="宋体"/>
          <w:color w:val="auto"/>
          <w:sz w:val="24"/>
          <w:szCs w:val="22"/>
          <w:highlight w:val="none"/>
        </w:rPr>
      </w:r>
      <w:r/>
    </w:p>
    <w:p>
      <w:pPr>
        <w:ind w:firstLine="480"/>
        <w:spacing w:line="588" w:lineRule="exact"/>
        <w:rPr>
          <w:rFonts w:ascii="宋体" w:hAnsi="宋体"/>
          <w:color w:val="auto"/>
          <w:sz w:val="24"/>
          <w:szCs w:val="22"/>
          <w:highlight w:val="none"/>
        </w:rPr>
      </w:pPr>
      <w:r>
        <w:rPr>
          <w:rFonts w:hint="eastAsia" w:ascii="宋体" w:hAnsi="宋体"/>
          <w:color w:val="auto"/>
          <w:sz w:val="24"/>
          <w:szCs w:val="22"/>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 w:firstLine="624"/>
        <w:jc w:val="center"/>
        <w:spacing w:line="588" w:lineRule="exact"/>
        <w:tabs>
          <w:tab w:val="left" w:pos="4860" w:leader="none"/>
        </w:tabs>
        <w:rPr>
          <w:rFonts w:ascii="宋体" w:hAnsi="宋体"/>
          <w:color w:val="auto"/>
          <w:sz w:val="24"/>
          <w:szCs w:val="22"/>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2"/>
          <w:highlight w:val="none"/>
        </w:rPr>
        <w:t xml:space="preserve">   供应商全称（加盖电子公章）：</w:t>
      </w:r>
      <w:r/>
    </w:p>
    <w:p>
      <w:pPr>
        <w:ind w:right="1560" w:firstLine="480"/>
        <w:jc w:val="center"/>
        <w:spacing w:line="588" w:lineRule="exact"/>
        <w:tabs>
          <w:tab w:val="left" w:pos="4860" w:leader="none"/>
        </w:tabs>
        <w:rPr>
          <w:rFonts w:ascii="宋体" w:hAnsi="宋体"/>
          <w:color w:val="auto"/>
          <w:sz w:val="24"/>
          <w:szCs w:val="22"/>
          <w:highlight w:val="none"/>
        </w:rPr>
      </w:pPr>
      <w:r>
        <w:rPr>
          <w:rFonts w:hint="eastAsia" w:ascii="宋体" w:hAnsi="宋体"/>
          <w:color w:val="auto"/>
          <w:sz w:val="24"/>
          <w:szCs w:val="22"/>
          <w:highlight w:val="none"/>
        </w:rPr>
        <w:t xml:space="preserve">      </w:t>
      </w:r>
      <w:r>
        <w:rPr>
          <w:rFonts w:ascii="宋体" w:hAnsi="宋体"/>
          <w:color w:val="auto"/>
          <w:sz w:val="24"/>
          <w:szCs w:val="22"/>
          <w:highlight w:val="none"/>
        </w:rPr>
        <w:t xml:space="preserve">      </w:t>
      </w:r>
      <w:r>
        <w:rPr>
          <w:rFonts w:hint="eastAsia" w:ascii="宋体" w:hAnsi="宋体"/>
          <w:color w:val="auto"/>
          <w:sz w:val="24"/>
          <w:szCs w:val="22"/>
          <w:highlight w:val="none"/>
        </w:rPr>
        <w:t xml:space="preserve">  日  期：</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十一、监狱企业证明</w:t>
      </w:r>
      <w:r/>
    </w:p>
    <w:p>
      <w:pPr>
        <w:rPr>
          <w:color w:val="auto"/>
          <w:highlight w:val="none"/>
        </w:rPr>
      </w:pPr>
      <w:r>
        <w:rPr>
          <w:color w:val="auto"/>
          <w:highlight w:val="none"/>
        </w:rPr>
      </w:r>
      <w:r/>
    </w:p>
    <w:p>
      <w:pPr>
        <w:rPr>
          <w:color w:val="auto"/>
          <w:highlight w:val="none"/>
        </w:rPr>
      </w:pPr>
      <w:r>
        <w:rPr>
          <w:color w:val="auto"/>
          <w:highlight w:val="none"/>
        </w:rPr>
      </w:r>
      <w:r/>
    </w:p>
    <w:p>
      <w:pPr>
        <w:pStyle w:val="714"/>
        <w:ind w:firstLine="480"/>
        <w:rPr>
          <w:rFonts w:ascii="Calibri" w:hAnsi="Calibri"/>
          <w:color w:val="auto"/>
          <w:sz w:val="24"/>
          <w:highlight w:val="none"/>
        </w:rPr>
      </w:pPr>
      <w:r>
        <w:rPr>
          <w:rFonts w:ascii="Calibri" w:hAnsi="Calibri"/>
          <w:color w:val="auto"/>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十二、关于符合本国产品标准的声明函</w:t>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b/>
          <w:color w:val="auto"/>
          <w:sz w:val="24"/>
          <w:szCs w:val="32"/>
          <w:highlight w:val="none"/>
        </w:rPr>
      </w:pPr>
      <w:r>
        <w:rPr>
          <w:rFonts w:hint="eastAsia"/>
          <w:b/>
          <w:color w:val="auto"/>
          <w:sz w:val="24"/>
          <w:szCs w:val="32"/>
          <w:highlight w:val="none"/>
        </w:rPr>
        <w:t xml:space="preserve">关于符合本国产品标准的声明函</w:t>
      </w:r>
      <w:r/>
    </w:p>
    <w:p>
      <w:pPr>
        <w:rPr>
          <w:color w:val="auto"/>
          <w:highlight w:val="none"/>
        </w:rPr>
      </w:pPr>
      <w:r>
        <w:rPr>
          <w:color w:val="auto"/>
          <w:highlight w:val="none"/>
        </w:rPr>
      </w:r>
      <w:r/>
    </w:p>
    <w:p>
      <w:pPr>
        <w:pStyle w:val="654"/>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54"/>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1.</w:t>
      </w:r>
      <w:r>
        <w:rPr>
          <w:rStyle w:val="661"/>
          <w:rFonts w:hint="eastAsia" w:ascii="Times New Roman" w:hAnsi="Times New Roman" w:cs="Times New Roman"/>
          <w:i w:val="0"/>
          <w:color w:val="auto"/>
          <w:sz w:val="21"/>
          <w:szCs w:val="22"/>
          <w:highlight w:val="none"/>
          <w:u w:val="single"/>
          <w:shd w:val="clear" w:color="auto" w:fill="ffffff"/>
        </w:rPr>
        <w:t xml:space="preserve">（产品名称1）</w:t>
      </w:r>
      <w:r>
        <w:rPr>
          <w:rStyle w:val="661"/>
          <w:rFonts w:hint="eastAsia" w:ascii="Times New Roman" w:hAnsi="Times New Roman" w:cs="Times New Roman"/>
          <w:i w:val="0"/>
          <w:color w:val="auto"/>
          <w:sz w:val="21"/>
          <w:szCs w:val="22"/>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661"/>
          <w:rFonts w:hint="eastAsia" w:ascii="Times New Roman" w:hAnsi="Times New Roman" w:cs="Times New Roman"/>
          <w:i w:val="0"/>
          <w:color w:val="auto"/>
          <w:sz w:val="21"/>
          <w:szCs w:val="22"/>
          <w:highlight w:val="none"/>
          <w:u w:val="single"/>
          <w:shd w:val="clear" w:color="auto" w:fill="ffffff"/>
        </w:rPr>
        <w:t xml:space="preserve">（厂名）</w:t>
      </w:r>
      <w:r>
        <w:rPr>
          <w:rStyle w:val="661"/>
          <w:rFonts w:hint="eastAsia" w:ascii="Times New Roman" w:hAnsi="Times New Roman" w:cs="Times New Roman"/>
          <w:i w:val="0"/>
          <w:color w:val="auto"/>
          <w:sz w:val="21"/>
          <w:szCs w:val="22"/>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661"/>
          <w:rFonts w:hint="eastAsia" w:ascii="Times New Roman" w:hAnsi="Times New Roman" w:cs="Times New Roman"/>
          <w:i w:val="0"/>
          <w:color w:val="auto"/>
          <w:sz w:val="21"/>
          <w:szCs w:val="22"/>
          <w:highlight w:val="none"/>
          <w:u w:val="single"/>
          <w:shd w:val="clear" w:color="auto" w:fill="ffffff"/>
        </w:rPr>
        <w:t xml:space="preserve">（生产厂址）</w:t>
      </w:r>
      <w:r>
        <w:rPr>
          <w:rFonts w:hint="eastAsia"/>
          <w:color w:val="auto"/>
          <w:highlight w:val="none"/>
          <w:shd w:val="clear" w:color="auto" w:fill="ffffff"/>
        </w:rPr>
        <w:t xml:space="preserve">。</w:t>
      </w:r>
      <w:r>
        <w:rPr>
          <w:rStyle w:val="661"/>
          <w:rFonts w:hint="eastAsia" w:ascii="Times New Roman" w:hAnsi="Times New Roman" w:cs="Times New Roman"/>
          <w:color w:val="auto"/>
          <w:sz w:val="21"/>
          <w:szCs w:val="22"/>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strike/>
          <w:color w:val="auto"/>
          <w:sz w:val="21"/>
          <w:szCs w:val="22"/>
          <w:highlight w:val="none"/>
          <w:u w:val="single"/>
          <w:shd w:val="clear" w:color="auto" w:fill="ffffff"/>
        </w:rPr>
        <w:t xml:space="preserve">规定比例</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i w:val="0"/>
          <w:color w:val="auto"/>
          <w:sz w:val="21"/>
          <w:szCs w:val="22"/>
          <w:highlight w:val="none"/>
          <w:shd w:val="clear" w:color="auto" w:fill="ffffff"/>
          <w:vertAlign w:val="superscript"/>
        </w:rPr>
        <w:t xml:space="preserve">3</w:t>
      </w:r>
      <w:r>
        <w:rPr>
          <w:rFonts w:hint="eastAsia"/>
          <w:color w:val="auto"/>
          <w:highlight w:val="none"/>
          <w:shd w:val="clear" w:color="auto" w:fill="ffffff"/>
        </w:rPr>
        <w:t xml:space="preserve">。</w:t>
      </w:r>
      <w:r>
        <w:rPr>
          <w:rStyle w:val="661"/>
          <w:rFonts w:hint="eastAsia" w:ascii="Times New Roman" w:hAnsi="Times New Roman" w:cs="Times New Roman"/>
          <w:color w:val="auto"/>
          <w:sz w:val="21"/>
          <w:szCs w:val="22"/>
          <w:highlight w:val="none"/>
          <w:u w:val="single"/>
          <w:shd w:val="clear" w:color="auto" w:fill="ffffff"/>
        </w:rPr>
        <w:t xml:space="preserve">（产品名称1）</w:t>
      </w:r>
      <w:r>
        <w:rPr>
          <w:rFonts w:hint="eastAsia"/>
          <w:color w:val="auto"/>
          <w:highlight w:val="none"/>
          <w:shd w:val="clear" w:color="auto" w:fill="ffffff"/>
        </w:rPr>
        <w:t xml:space="preserve">的</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strike/>
          <w:color w:val="auto"/>
          <w:sz w:val="21"/>
          <w:szCs w:val="22"/>
          <w:highlight w:val="none"/>
          <w:u w:val="single"/>
          <w:shd w:val="clear" w:color="auto" w:fill="ffffff"/>
        </w:rPr>
        <w:t xml:space="preserve">关键组件</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i w:val="0"/>
          <w:color w:val="auto"/>
          <w:sz w:val="21"/>
          <w:szCs w:val="22"/>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661"/>
          <w:rFonts w:hint="eastAsia" w:ascii="Times New Roman" w:hAnsi="Times New Roman" w:cs="Times New Roman"/>
          <w:color w:val="auto"/>
          <w:sz w:val="21"/>
          <w:szCs w:val="22"/>
          <w:highlight w:val="none"/>
          <w:u w:val="single"/>
          <w:shd w:val="clear" w:color="auto" w:fill="ffffff"/>
        </w:rPr>
        <w:t xml:space="preserve">（产品名称1）</w:t>
      </w:r>
      <w:r>
        <w:rPr>
          <w:rFonts w:hint="eastAsia"/>
          <w:color w:val="auto"/>
          <w:highlight w:val="none"/>
          <w:shd w:val="clear" w:color="auto" w:fill="ffffff"/>
        </w:rPr>
        <w:t xml:space="preserve">的</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strike/>
          <w:color w:val="auto"/>
          <w:sz w:val="21"/>
          <w:szCs w:val="22"/>
          <w:highlight w:val="none"/>
          <w:u w:val="single"/>
          <w:shd w:val="clear" w:color="auto" w:fill="ffffff"/>
        </w:rPr>
        <w:t xml:space="preserve">关键工序</w:t>
      </w:r>
      <w:r>
        <w:rPr>
          <w:rStyle w:val="661"/>
          <w:rFonts w:hint="eastAsia" w:ascii="Times New Roman" w:hAnsi="Times New Roman" w:cs="Times New Roman"/>
          <w:color w:val="auto"/>
          <w:sz w:val="21"/>
          <w:szCs w:val="22"/>
          <w:highlight w:val="none"/>
          <w:u w:val="single"/>
          <w:shd w:val="clear" w:color="auto" w:fill="ffffff"/>
        </w:rPr>
        <w:t xml:space="preserve">）</w:t>
      </w:r>
      <w:r>
        <w:rPr>
          <w:rStyle w:val="661"/>
          <w:rFonts w:hint="eastAsia" w:ascii="Times New Roman" w:hAnsi="Times New Roman" w:cs="Times New Roman"/>
          <w:i w:val="0"/>
          <w:color w:val="auto"/>
          <w:sz w:val="21"/>
          <w:szCs w:val="22"/>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654"/>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2.</w:t>
      </w:r>
      <w:r>
        <w:rPr>
          <w:rStyle w:val="661"/>
          <w:rFonts w:hint="eastAsia" w:ascii="Times New Roman" w:hAnsi="Times New Roman" w:cs="Times New Roman"/>
          <w:i w:val="0"/>
          <w:color w:val="auto"/>
          <w:sz w:val="21"/>
          <w:szCs w:val="22"/>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661"/>
          <w:rFonts w:hint="eastAsia" w:ascii="Times New Roman" w:hAnsi="Times New Roman" w:cs="Times New Roman"/>
          <w:i w:val="0"/>
          <w:color w:val="auto"/>
          <w:sz w:val="21"/>
          <w:szCs w:val="22"/>
          <w:highlight w:val="none"/>
          <w:u w:val="single"/>
          <w:shd w:val="clear" w:color="auto" w:fill="ffffff"/>
        </w:rPr>
        <w:t xml:space="preserve">（厂名）</w:t>
      </w:r>
      <w:r>
        <w:rPr>
          <w:rFonts w:hint="eastAsia"/>
          <w:color w:val="auto"/>
          <w:highlight w:val="none"/>
          <w:shd w:val="clear" w:color="auto" w:fill="ffffff"/>
        </w:rPr>
        <w:t xml:space="preserve">，厂址为</w:t>
      </w:r>
      <w:r>
        <w:rPr>
          <w:rStyle w:val="661"/>
          <w:rFonts w:hint="eastAsia" w:ascii="Times New Roman" w:hAnsi="Times New Roman" w:cs="Times New Roman"/>
          <w:i w:val="0"/>
          <w:color w:val="auto"/>
          <w:sz w:val="21"/>
          <w:szCs w:val="22"/>
          <w:highlight w:val="none"/>
          <w:u w:val="single"/>
          <w:shd w:val="clear" w:color="auto" w:fill="ffffff"/>
        </w:rPr>
        <w:t xml:space="preserve">（生产厂址）</w:t>
      </w:r>
      <w:r>
        <w:rPr>
          <w:rFonts w:hint="eastAsia"/>
          <w:color w:val="auto"/>
          <w:highlight w:val="none"/>
          <w:shd w:val="clear" w:color="auto" w:fill="ffffff"/>
        </w:rPr>
        <w:t xml:space="preserve">。</w:t>
      </w:r>
      <w:r>
        <w:rPr>
          <w:rStyle w:val="661"/>
          <w:rFonts w:hint="eastAsia" w:ascii="Times New Roman" w:hAnsi="Times New Roman" w:cs="Times New Roman"/>
          <w:color w:val="auto"/>
          <w:sz w:val="21"/>
          <w:szCs w:val="22"/>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661"/>
          <w:rFonts w:hint="eastAsia" w:ascii="Times New Roman" w:hAnsi="Times New Roman" w:cs="Times New Roman"/>
          <w:strike/>
          <w:color w:val="auto"/>
          <w:sz w:val="21"/>
          <w:szCs w:val="22"/>
          <w:highlight w:val="none"/>
          <w:u w:val="single"/>
          <w:shd w:val="clear" w:color="auto" w:fill="ffffff"/>
        </w:rPr>
        <w:t xml:space="preserve">（规定比例）</w:t>
      </w:r>
      <w:r>
        <w:rPr>
          <w:rFonts w:hint="eastAsia"/>
          <w:color w:val="auto"/>
          <w:highlight w:val="none"/>
          <w:shd w:val="clear" w:color="auto" w:fill="ffffff"/>
        </w:rPr>
        <w:t xml:space="preserve">。</w:t>
      </w:r>
      <w:r>
        <w:rPr>
          <w:rStyle w:val="661"/>
          <w:rFonts w:hint="eastAsia" w:ascii="Times New Roman" w:hAnsi="Times New Roman" w:cs="Times New Roman"/>
          <w:color w:val="auto"/>
          <w:sz w:val="21"/>
          <w:szCs w:val="22"/>
          <w:highlight w:val="none"/>
          <w:u w:val="single"/>
          <w:shd w:val="clear" w:color="auto" w:fill="ffffff"/>
        </w:rPr>
        <w:t xml:space="preserve">（产品名称2）</w:t>
      </w:r>
      <w:r>
        <w:rPr>
          <w:rFonts w:hint="eastAsia"/>
          <w:color w:val="auto"/>
          <w:highlight w:val="none"/>
          <w:shd w:val="clear" w:color="auto" w:fill="ffffff"/>
        </w:rPr>
        <w:t xml:space="preserve">的</w:t>
      </w:r>
      <w:r>
        <w:rPr>
          <w:rStyle w:val="661"/>
          <w:rFonts w:hint="eastAsia" w:ascii="Times New Roman" w:hAnsi="Times New Roman" w:cs="Times New Roman"/>
          <w:strike/>
          <w:color w:val="auto"/>
          <w:sz w:val="21"/>
          <w:szCs w:val="22"/>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661"/>
          <w:rFonts w:hint="eastAsia" w:ascii="Times New Roman" w:hAnsi="Times New Roman" w:cs="Times New Roman"/>
          <w:color w:val="auto"/>
          <w:sz w:val="21"/>
          <w:szCs w:val="22"/>
          <w:highlight w:val="none"/>
          <w:u w:val="single"/>
          <w:shd w:val="clear" w:color="auto" w:fill="ffffff"/>
        </w:rPr>
        <w:t xml:space="preserve">（产品名称2）</w:t>
      </w:r>
      <w:r>
        <w:rPr>
          <w:rFonts w:hint="eastAsia"/>
          <w:color w:val="auto"/>
          <w:highlight w:val="none"/>
          <w:shd w:val="clear" w:color="auto" w:fill="ffffff"/>
        </w:rPr>
        <w:t xml:space="preserve">的</w:t>
      </w:r>
      <w:r>
        <w:rPr>
          <w:rStyle w:val="661"/>
          <w:rFonts w:hint="eastAsia" w:ascii="Times New Roman" w:hAnsi="Times New Roman" w:cs="Times New Roman"/>
          <w:strike/>
          <w:color w:val="auto"/>
          <w:sz w:val="21"/>
          <w:szCs w:val="22"/>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654"/>
        <w:ind w:firstLine="420"/>
        <w:spacing w:before="24" w:beforeAutospacing="0" w:after="24" w:afterAutospacing="0" w:line="360" w:lineRule="auto"/>
        <w:shd w:val="clear" w:color="auto" w:fill="ffffff"/>
        <w:rPr>
          <w:color w:val="auto"/>
          <w:highlight w:val="none"/>
          <w:shd w:val="clear" w:color="auto" w:fill="ffffff"/>
        </w:rPr>
      </w:pPr>
      <w:r>
        <w:rPr>
          <w:rFonts w:hint="eastAsia"/>
          <w:color w:val="auto"/>
          <w:highlight w:val="none"/>
          <w:shd w:val="clear" w:color="auto" w:fill="ffffff"/>
        </w:rPr>
        <w:t xml:space="preserve">……</w:t>
      </w:r>
      <w:r/>
    </w:p>
    <w:p>
      <w:pPr>
        <w:pStyle w:val="654"/>
        <w:ind w:firstLine="420"/>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654"/>
        <w:ind w:right="240"/>
        <w:jc w:val="right"/>
        <w:spacing w:before="24" w:beforeAutospacing="0" w:after="24" w:afterAutospacing="0" w:line="360" w:lineRule="auto"/>
        <w:shd w:val="clear" w:color="auto" w:fill="ffffff"/>
        <w:rPr>
          <w:color w:val="auto"/>
          <w:highlight w:val="none"/>
        </w:rPr>
      </w:pPr>
      <w:r>
        <w:rPr>
          <w:rFonts w:hint="eastAsia"/>
          <w:color w:val="auto"/>
          <w:highlight w:val="none"/>
          <w:shd w:val="clear" w:color="auto" w:fill="ffffff"/>
        </w:rPr>
        <w:t xml:space="preserve">公司（单位）名称（盖章）：　        </w:t>
      </w:r>
      <w:r/>
    </w:p>
    <w:p>
      <w:pPr>
        <w:pStyle w:val="654"/>
        <w:jc w:val="right"/>
        <w:spacing w:before="24" w:beforeAutospacing="0" w:after="24" w:afterAutospacing="0" w:line="360" w:lineRule="auto"/>
        <w:shd w:val="clear" w:color="auto" w:fill="ffffff"/>
        <w:rPr>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654"/>
        <w:spacing w:before="24" w:beforeAutospacing="0" w:after="24" w:afterAutospacing="0" w:line="360" w:lineRule="auto"/>
        <w:shd w:val="clear" w:color="auto" w:fill="ffffff"/>
        <w:rPr>
          <w:color w:val="auto"/>
          <w:sz w:val="28"/>
          <w:szCs w:val="28"/>
          <w:highlight w:val="none"/>
        </w:rPr>
      </w:pPr>
      <w:r>
        <w:rPr>
          <w:rFonts w:hint="eastAsia"/>
          <w:color w:val="auto"/>
          <w:sz w:val="28"/>
          <w:szCs w:val="28"/>
          <w:highlight w:val="none"/>
          <w:shd w:val="clear" w:color="auto" w:fill="ffffff"/>
        </w:rPr>
        <w:t xml:space="preserve">__________________</w:t>
      </w:r>
      <w:r/>
    </w:p>
    <w:p>
      <w:pPr>
        <w:pStyle w:val="654"/>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654"/>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654"/>
        <w:ind w:firstLine="420"/>
        <w:spacing w:before="24" w:beforeAutospacing="0" w:after="24"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w:t>
      </w:r>
      <w:r/>
    </w:p>
    <w:p>
      <w:pPr>
        <w:pStyle w:val="654"/>
        <w:ind w:firstLine="420"/>
        <w:spacing w:before="24" w:beforeAutospacing="0" w:after="24"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w:t>
      </w:r>
      <w:r/>
    </w:p>
    <w:p>
      <w:pPr>
        <w:pStyle w:val="654"/>
        <w:ind w:firstLine="420"/>
        <w:spacing w:before="24" w:beforeAutospacing="0" w:after="24" w:afterAutospacing="0" w:line="360" w:lineRule="auto"/>
        <w:shd w:val="clear" w:color="auto" w:fill="ffffff"/>
        <w:rPr>
          <w:b/>
          <w:bCs/>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十三、技术要求响应及偏离表</w:t>
      </w:r>
      <w:r/>
    </w:p>
    <w:p>
      <w:pPr>
        <w:jc w:val="center"/>
        <w:spacing w:line="360" w:lineRule="auto"/>
        <w:rPr>
          <w:rFonts w:ascii="宋体" w:hAnsi="宋体"/>
          <w:b/>
          <w:bCs/>
          <w:color w:val="auto"/>
          <w:sz w:val="24"/>
          <w:szCs w:val="21"/>
          <w:highlight w:val="none"/>
        </w:rPr>
      </w:pPr>
      <w:r>
        <w:rPr>
          <w:rFonts w:ascii="宋体" w:hAnsi="宋体"/>
          <w:b/>
          <w:bCs/>
          <w:color w:val="auto"/>
          <w:sz w:val="24"/>
          <w:szCs w:val="21"/>
          <w:highlight w:val="none"/>
        </w:rPr>
      </w:r>
      <w:r/>
    </w:p>
    <w:tbl>
      <w:tblPr>
        <w:tblStyle w:val="637"/>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24"/>
        <w:gridCol w:w="1845"/>
        <w:gridCol w:w="3418"/>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spacing w:line="360" w:lineRule="auto"/>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right="1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1、行数不够，可自行添加。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2、供应商须对招标文件技术要求中的实质性要求（打“★”内容）做出明确响应，供应商未对实质性要求作出明确响应的，视为无效投标。</w:t>
      </w:r>
      <w:r/>
    </w:p>
    <w:p>
      <w:pPr>
        <w:pStyle w:val="679"/>
        <w:ind w:left="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5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79"/>
        <w:rPr>
          <w:color w:val="auto"/>
          <w:highlight w:val="none"/>
        </w:rPr>
      </w:pPr>
      <w:r>
        <w:rPr>
          <w:color w:val="auto"/>
          <w:highlight w:val="none"/>
        </w:rPr>
      </w:r>
      <w:r/>
    </w:p>
    <w:p>
      <w:pPr>
        <w:pStyle w:val="680"/>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十四、商务要求响应及偏离表</w:t>
      </w:r>
      <w:r/>
    </w:p>
    <w:p>
      <w:pPr>
        <w:pStyle w:val="658"/>
        <w:ind w:left="0" w:firstLine="0"/>
        <w:jc w:val="center"/>
        <w:rPr>
          <w:color w:val="auto"/>
          <w:highlight w:val="none"/>
        </w:rPr>
      </w:pPr>
      <w:r>
        <w:rPr>
          <w:color w:val="auto"/>
          <w:highlight w:val="none"/>
        </w:rPr>
      </w:r>
      <w:r/>
    </w:p>
    <w:tbl>
      <w:tblPr>
        <w:tblStyle w:val="63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3032"/>
      </w:tblGrid>
      <w:tr>
        <w:trPr>
          <w:cantSplit/>
          <w:jc w:val="center"/>
          <w:trHeight w:val="577"/>
        </w:trPr>
        <w:tc>
          <w:tcPr>
            <w:tcW w:w="7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17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032" w:type="dxa"/>
            <w:vAlign w:val="center"/>
            <w:textDirection w:val="lrTb"/>
            <w:noWrap w:val="false"/>
          </w:tcPr>
          <w:p>
            <w:pPr>
              <w:jc w:val="center"/>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8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97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178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2"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highlight w:val="none"/>
        </w:rPr>
      </w:pPr>
      <w:r>
        <w:rPr>
          <w:rFonts w:hint="eastAsia" w:ascii="宋体" w:hAnsi="宋体"/>
          <w:color w:val="auto"/>
          <w:sz w:val="24"/>
          <w:szCs w:val="24"/>
          <w:highlight w:val="none"/>
        </w:rPr>
        <w:t xml:space="preserve"> </w:t>
      </w:r>
      <w:r/>
    </w:p>
    <w:p>
      <w:pPr>
        <w:rPr>
          <w:color w:val="auto"/>
          <w:highlight w:val="none"/>
        </w:rPr>
      </w:pPr>
      <w:r>
        <w:rPr>
          <w:color w:val="auto"/>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1、行数不够，可自行添加。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2、供应商须对招标文件商务要求中的实质性要求（打“★”内容）做出明确响应，供应商未对实质性要求作出明确响应的，视为无效投标。</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 xml:space="preserve">十五、分项报价表</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jc w:val="center"/>
        <w:spacing w:line="360" w:lineRule="auto"/>
        <w:rPr>
          <w:rFonts w:ascii="仿宋" w:hAnsi="仿宋" w:eastAsia="仿宋" w:cs="仿宋"/>
          <w:color w:val="auto"/>
          <w:sz w:val="24"/>
          <w:highlight w:val="none"/>
        </w:rPr>
      </w:pPr>
      <w:r>
        <w:rPr>
          <w:rFonts w:hint="eastAsia" w:ascii="宋体" w:hAnsi="宋体"/>
          <w:color w:val="auto"/>
          <w:sz w:val="32"/>
          <w:szCs w:val="32"/>
          <w:highlight w:val="none"/>
        </w:rPr>
        <w:t xml:space="preserve">投标分项报价表</w:t>
      </w:r>
      <w:r/>
    </w:p>
    <w:p>
      <w:pPr>
        <w:rPr>
          <w:color w:val="auto"/>
          <w:sz w:val="24"/>
          <w:szCs w:val="24"/>
          <w:highlight w:val="none"/>
        </w:rPr>
      </w:pPr>
      <w:r>
        <w:rPr>
          <w:rFonts w:hint="eastAsia" w:ascii="宋体" w:hAnsi="宋体"/>
          <w:color w:val="auto"/>
          <w:sz w:val="24"/>
          <w:szCs w:val="24"/>
          <w:highlight w:val="none"/>
        </w:rPr>
        <w:t xml:space="preserve">项目名称：</w:t>
      </w:r>
      <w:r/>
    </w:p>
    <w:p>
      <w:pPr>
        <w:rPr>
          <w:color w:val="auto"/>
          <w:highlight w:val="none"/>
        </w:rPr>
      </w:pPr>
      <w:r>
        <w:rPr>
          <w:rFonts w:hint="eastAsia" w:ascii="宋体" w:hAnsi="宋体"/>
          <w:color w:val="auto"/>
          <w:sz w:val="24"/>
          <w:szCs w:val="24"/>
          <w:highlight w:val="none"/>
        </w:rPr>
        <w:t xml:space="preserve">项目编号：                                   采购包号：</w:t>
      </w:r>
      <w:r/>
    </w:p>
    <w:tbl>
      <w:tblPr>
        <w:tblStyle w:val="637"/>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045"/>
        <w:gridCol w:w="830"/>
        <w:gridCol w:w="820"/>
        <w:gridCol w:w="960"/>
        <w:gridCol w:w="1075"/>
      </w:tblGrid>
      <w:tr>
        <w:trPr>
          <w:cantSplit/>
          <w:jc w:val="center"/>
          <w:trHeight w:val="544"/>
        </w:trPr>
        <w:tc>
          <w:tcPr>
            <w:tcW w:w="581" w:type="dxa"/>
            <w:vAlign w:val="center"/>
            <w:vMerge w:val="restart"/>
            <w:textDirection w:val="lrTb"/>
            <w:noWrap w:val="false"/>
          </w:tcPr>
          <w:p>
            <w:pPr>
              <w:jc w:val="center"/>
              <w:spacing w:line="360" w:lineRule="auto"/>
              <w:rPr>
                <w:rFonts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jc w:val="center"/>
          <w:trHeight w:val="603"/>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jc w:val="center"/>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68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7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gridSpan w:val="8"/>
            <w:tcW w:w="8628" w:type="dxa"/>
            <w:vAlign w:val="center"/>
            <w:textDirection w:val="lrTb"/>
            <w:noWrap w:val="false"/>
          </w:tcPr>
          <w:p>
            <w:pP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p>
        </w:tc>
      </w:tr>
      <w:tr>
        <w:trPr>
          <w:cantSplit/>
          <w:jc w:val="center"/>
          <w:trHeight w:val="654"/>
        </w:trPr>
        <w:tc>
          <w:tcPr>
            <w:gridSpan w:val="9"/>
            <w:tcW w:w="9209" w:type="dxa"/>
            <w:vAlign w:val="center"/>
            <w:textDirection w:val="lrTb"/>
            <w:noWrap w:val="false"/>
          </w:tcPr>
          <w:p>
            <w:pPr>
              <w:spacing w:line="0" w:lineRule="atLeast"/>
              <w:rPr>
                <w:rFonts w:ascii="宋体" w:hAnsi="宋体"/>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ascii="Wingdings" w:hAnsi="Wingdings" w:eastAsia="Wingdings" w:cs="Wingdings"/>
                <w:b/>
                <w:bCs/>
                <w:color w:val="auto"/>
                <w:sz w:val="24"/>
                <w:szCs w:val="24"/>
                <w:highlight w:val="none"/>
              </w:rPr>
              <w:t xml:space="preserve"></w:t>
            </w:r>
            <w:r>
              <w:rPr>
                <w:rFonts w:hint="eastAsia" w:ascii="宋体" w:hAnsi="宋体"/>
                <w:b/>
                <w:bCs/>
                <w:color w:val="auto"/>
                <w:sz w:val="24"/>
                <w:szCs w:val="24"/>
                <w:highlight w:val="none"/>
              </w:rPr>
              <w:t xml:space="preserve">是 </w:t>
            </w:r>
            <w:r>
              <w:rPr>
                <w:rFonts w:ascii="Wingdings" w:hAnsi="Wingdings" w:eastAsia="Wingdings" w:cs="Wingdings"/>
                <w:b/>
                <w:bCs/>
                <w:color w:val="auto"/>
                <w:sz w:val="24"/>
                <w:szCs w:val="24"/>
                <w:highlight w:val="none"/>
              </w:rPr>
              <w:t xml:space="preserve"></w:t>
            </w:r>
            <w:r>
              <w:rPr>
                <w:rFonts w:hint="eastAsia" w:ascii="宋体" w:hAnsi="宋体"/>
                <w:b/>
                <w:bCs/>
                <w:color w:val="auto"/>
                <w:sz w:val="24"/>
                <w:szCs w:val="24"/>
                <w:highlight w:val="none"/>
              </w:rPr>
              <w:t xml:space="preserve">否 达到提供的全部产品成本之和的80%以上。</w:t>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654"/>
        <w:jc w:val="both"/>
        <w:spacing w:before="0" w:beforeAutospacing="0" w:after="0" w:afterAutospacing="0" w:line="360" w:lineRule="auto"/>
        <w:rPr>
          <w:color w:val="auto"/>
          <w:highlight w:val="none"/>
        </w:rPr>
      </w:pPr>
      <w:r>
        <w:rPr>
          <w:color w:val="auto"/>
          <w:highlight w:val="none"/>
        </w:rPr>
        <w:t xml:space="preserve">备注： </w:t>
      </w:r>
      <w:r/>
    </w:p>
    <w:p>
      <w:pPr>
        <w:pStyle w:val="654"/>
        <w:ind w:firstLine="480"/>
        <w:jc w:val="both"/>
        <w:spacing w:before="0" w:beforeAutospacing="0" w:after="0" w:afterAutospacing="0" w:line="400" w:lineRule="exact"/>
        <w:rPr>
          <w:color w:val="auto"/>
          <w:highlight w:val="none"/>
        </w:rPr>
      </w:pPr>
      <w:r>
        <w:rPr>
          <w:rFonts w:hint="eastAsia"/>
          <w:color w:val="auto"/>
          <w:highlight w:val="none"/>
        </w:rPr>
        <w:t xml:space="preserve">1</w:t>
      </w:r>
      <w:bookmarkStart w:id="90" w:name="OLE_LINK10"/>
      <w:r/>
      <w:bookmarkStart w:id="91" w:name="OLE_LINK7"/>
      <w:r>
        <w:rPr>
          <w:rFonts w:hint="eastAsia"/>
          <w:color w:val="auto"/>
          <w:highlight w:val="none"/>
        </w:rPr>
        <w:t xml:space="preserve">.</w:t>
      </w:r>
      <w:bookmarkEnd w:id="90"/>
      <w:r/>
      <w:bookmarkEnd w:id="91"/>
      <w:r>
        <w:rPr>
          <w:rFonts w:hint="eastAsia"/>
          <w:color w:val="auto"/>
          <w:highlight w:val="none"/>
        </w:rPr>
        <w:t xml:space="preserve">“投标总报价”应包括为完成整个项目所产生的所有费用，招标文件另有规定的除外。</w:t>
      </w:r>
      <w:r/>
    </w:p>
    <w:p>
      <w:pPr>
        <w:pStyle w:val="654"/>
        <w:ind w:firstLine="480"/>
        <w:jc w:val="both"/>
        <w:spacing w:before="0" w:beforeAutospacing="0" w:after="0" w:afterAutospacing="0" w:line="400" w:lineRule="exact"/>
        <w:rPr>
          <w:color w:val="auto"/>
          <w:highlight w:val="none"/>
        </w:rPr>
      </w:pPr>
      <w:r>
        <w:rPr>
          <w:rFonts w:hint="eastAsia"/>
          <w:color w:val="auto"/>
          <w:highlight w:val="none"/>
        </w:rPr>
        <w:t xml:space="preserve">2.《投标分项报价表》中“投标总</w:t>
      </w:r>
      <w:r>
        <w:rPr>
          <w:rFonts w:hint="eastAsia"/>
          <w:color w:val="auto"/>
          <w:highlight w:val="none"/>
          <w:lang w:val="en-US" w:eastAsia="zh-CN"/>
        </w:rPr>
        <w:t xml:space="preserve">报</w:t>
      </w:r>
      <w:r>
        <w:rPr>
          <w:rFonts w:hint="eastAsia"/>
          <w:color w:val="auto"/>
          <w:highlight w:val="none"/>
        </w:rPr>
        <w:t xml:space="preserve">价”应当与《开标一览表》中“投标总报价”一致。</w:t>
      </w:r>
      <w:r/>
    </w:p>
    <w:p>
      <w:pPr>
        <w:pStyle w:val="654"/>
        <w:ind w:firstLine="480"/>
        <w:jc w:val="both"/>
        <w:spacing w:before="0" w:beforeAutospacing="0" w:after="0" w:afterAutospacing="0" w:line="400" w:lineRule="exact"/>
        <w:rPr>
          <w:color w:val="auto"/>
          <w:highlight w:val="none"/>
        </w:rPr>
      </w:pPr>
      <w:r>
        <w:rPr>
          <w:rFonts w:hint="eastAsia"/>
          <w:color w:val="auto"/>
          <w:highlight w:val="none"/>
        </w:rPr>
        <w:t xml:space="preserve">3.</w:t>
      </w:r>
      <w:r>
        <w:rPr>
          <w:rFonts w:hint="eastAsia"/>
          <w:b/>
          <w:bCs/>
          <w:color w:val="auto"/>
          <w:highlight w:val="none"/>
        </w:rPr>
        <w:t xml:space="preserve">供应商所投产品须与“第四章-项目清单”中的产品一一对应，如有缺项、漏项或者超出单价上限，视为无效投标。</w:t>
      </w:r>
      <w:r/>
    </w:p>
    <w:p>
      <w:pPr>
        <w:pStyle w:val="654"/>
        <w:ind w:firstLine="480"/>
        <w:jc w:val="both"/>
        <w:spacing w:before="0" w:beforeAutospacing="0" w:after="0" w:afterAutospacing="0" w:line="400" w:lineRule="exact"/>
        <w:rPr>
          <w:color w:val="auto"/>
          <w:highlight w:val="none"/>
        </w:rPr>
      </w:pPr>
      <w:r>
        <w:rPr>
          <w:rFonts w:hint="eastAsia"/>
          <w:color w:val="auto"/>
          <w:highlight w:val="none"/>
        </w:rPr>
        <w:t xml:space="preserve">4.行数不够，可自行添加。</w:t>
      </w:r>
      <w:r/>
    </w:p>
    <w:p>
      <w:pPr>
        <w:pStyle w:val="654"/>
        <w:ind w:firstLine="482"/>
        <w:jc w:val="both"/>
        <w:spacing w:before="0" w:beforeAutospacing="0" w:after="0" w:afterAutospacing="0" w:line="400" w:lineRule="exact"/>
        <w:rPr>
          <w:b/>
          <w:bCs/>
          <w:color w:val="auto"/>
          <w:highlight w:val="none"/>
        </w:rPr>
      </w:pPr>
      <w:r>
        <w:rPr>
          <w:rFonts w:hint="eastAsia"/>
          <w:b/>
          <w:bCs/>
          <w:color w:val="auto"/>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eastAsia="仿宋_GB2312"/>
          <w:color w:val="auto"/>
          <w:sz w:val="24"/>
          <w:highlight w:val="none"/>
        </w:rPr>
      </w:pPr>
      <w:r>
        <w:rPr>
          <w:rFonts w:hint="eastAsia" w:ascii="黑体" w:hAnsi="黑体" w:eastAsia="黑体"/>
          <w:b/>
          <w:i/>
          <w:color w:val="auto"/>
          <w:sz w:val="32"/>
          <w:szCs w:val="32"/>
          <w:highlight w:val="none"/>
          <w:u w:val="single"/>
        </w:rPr>
        <w:t xml:space="preserve">十六、开标一览表</w:t>
      </w:r>
      <w:r/>
    </w:p>
    <w:p>
      <w:pPr>
        <w:ind w:firstLine="480"/>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开标一览表</w:t>
      </w:r>
      <w:r/>
    </w:p>
    <w:p>
      <w:pPr>
        <w:pStyle w:val="680"/>
        <w:ind w:firstLine="0"/>
        <w:rPr>
          <w:color w:val="auto"/>
          <w:highlight w:val="none"/>
          <w:lang w:eastAsia="zh-CN"/>
        </w:rPr>
      </w:pPr>
      <w:r>
        <w:rPr>
          <w:color w:val="auto"/>
          <w:highlight w:val="none"/>
          <w:lang w:eastAsia="zh-CN"/>
        </w:rPr>
      </w:r>
      <w:r/>
    </w:p>
    <w:p>
      <w:pPr>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w:t>
      </w:r>
      <w:r/>
    </w:p>
    <w:tbl>
      <w:tblPr>
        <w:tblStyle w:val="637"/>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cantSplit/>
          <w:trHeight w:val="725"/>
        </w:trPr>
        <w:tc>
          <w:tcPr>
            <w:tcW w:w="85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投标报价（总价）</w:t>
            </w:r>
            <w:r/>
          </w:p>
        </w:tc>
      </w:tr>
      <w:tr>
        <w:trPr>
          <w:cantSplit/>
          <w:trHeight w:val="720"/>
        </w:trPr>
        <w:tc>
          <w:tcPr>
            <w:tcW w:w="8534" w:type="dxa"/>
            <w:vAlign w:val="center"/>
            <w:textDirection w:val="lrTb"/>
            <w:noWrap w:val="false"/>
          </w:tcPr>
          <w:p>
            <w:pPr>
              <w:pStyle w:val="696"/>
              <w:ind w:firstLine="720"/>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                       （人民币：元）</w:t>
            </w:r>
            <w:r/>
          </w:p>
        </w:tc>
      </w:tr>
      <w:tr>
        <w:trPr>
          <w:cantSplit/>
          <w:trHeight w:val="720"/>
        </w:trPr>
        <w:tc>
          <w:tcPr>
            <w:tcW w:w="8534" w:type="dxa"/>
            <w:vAlign w:val="center"/>
            <w:textDirection w:val="lrTb"/>
            <w:noWrap w:val="false"/>
          </w:tcPr>
          <w:p>
            <w:pPr>
              <w:pStyle w:val="696"/>
              <w:ind w:firstLine="720"/>
              <w:spacing w:before="0" w:after="0" w:line="500" w:lineRule="exact"/>
              <w:rPr>
                <w:rFonts w:ascii="宋体" w:hAnsi="宋体" w:cs="宋体"/>
                <w:color w:val="auto"/>
                <w:highlight w:val="none"/>
              </w:rPr>
            </w:pPr>
            <w:r>
              <w:rPr>
                <w:rFonts w:hint="eastAsia" w:ascii="宋体" w:hAnsi="宋体" w:cs="宋体"/>
                <w:color w:val="auto"/>
                <w:highlight w:val="none"/>
              </w:rPr>
              <w:t xml:space="preserve">大写： </w:t>
            </w:r>
            <w:r>
              <w:rPr>
                <w:rFonts w:ascii="宋体" w:hAnsi="宋体" w:cs="宋体"/>
                <w:color w:val="auto"/>
                <w:highlight w:val="none"/>
              </w:rPr>
              <w:t xml:space="preserve">                       元整</w:t>
            </w:r>
            <w:r/>
          </w:p>
        </w:tc>
      </w:tr>
    </w:tbl>
    <w:p>
      <w:pPr>
        <w:rPr>
          <w:color w:val="auto"/>
          <w:highlight w:val="none"/>
        </w:rPr>
      </w:pPr>
      <w:r>
        <w:rPr>
          <w:color w:val="auto"/>
          <w:highlight w:val="none"/>
        </w:rPr>
      </w:r>
      <w:r/>
    </w:p>
    <w:p>
      <w:pPr>
        <w:ind w:right="480"/>
        <w:jc w:val="right"/>
        <w:rPr>
          <w:color w:val="auto"/>
          <w:highlight w:val="none"/>
        </w:rPr>
      </w:pPr>
      <w:r>
        <w:rPr>
          <w:rFonts w:hint="eastAsia" w:ascii="宋体" w:hAnsi="宋体"/>
          <w:color w:val="auto"/>
          <w:sz w:val="24"/>
          <w:szCs w:val="24"/>
          <w:highlight w:val="none"/>
        </w:rPr>
        <w:t xml:space="preserve">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 xml:space="preserve">十七、核心产品品牌一览表</w:t>
      </w:r>
      <w:r/>
    </w:p>
    <w:p>
      <w:pPr>
        <w:rPr>
          <w:color w:val="auto"/>
          <w:highlight w:val="none"/>
        </w:rPr>
      </w:pPr>
      <w:r>
        <w:rPr>
          <w:color w:val="auto"/>
          <w:highlight w:val="none"/>
        </w:rPr>
      </w:r>
      <w:r/>
    </w:p>
    <w:p>
      <w:pPr>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核心产品品牌一览表</w:t>
      </w:r>
      <w:r/>
    </w:p>
    <w:tbl>
      <w:tblPr>
        <w:tblStyle w:val="637"/>
        <w:tblpPr w:horzAnchor="margin" w:tblpXSpec="center" w:vertAnchor="text" w:tblpY="133" w:leftFromText="180" w:topFromText="0" w:rightFromText="180" w:bottomFromText="0"/>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920"/>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29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名称</w:t>
            </w:r>
            <w:r/>
          </w:p>
        </w:tc>
        <w:tc>
          <w:tcPr>
            <w:tcW w:w="215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品牌</w:t>
            </w:r>
            <w:r/>
          </w:p>
        </w:tc>
        <w:tc>
          <w:tcPr>
            <w:tcW w:w="239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型号（</w:t>
            </w:r>
            <w:r>
              <w:rPr>
                <w:rFonts w:hint="eastAsia" w:ascii="宋体" w:hAnsi="宋体" w:cs="宋体"/>
                <w:color w:val="auto"/>
                <w:szCs w:val="21"/>
                <w:highlight w:val="none"/>
              </w:rPr>
              <w:t xml:space="preserve">规格</w:t>
            </w:r>
            <w:r>
              <w:rPr>
                <w:rFonts w:hint="eastAsia" w:ascii="宋体" w:hAnsi="宋体" w:cs="宋体"/>
                <w:color w:val="auto"/>
                <w:szCs w:val="21"/>
                <w:highlight w:val="none"/>
                <w:lang w:val="zh-CN"/>
              </w:rPr>
              <w:t xml:space="preserve">）</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2920" w:type="dxa"/>
            <w:vAlign w:val="center"/>
            <w:textDirection w:val="lrTb"/>
            <w:noWrap w:val="false"/>
          </w:tcPr>
          <w:p>
            <w:pPr>
              <w:jc w:val="center"/>
              <w:spacing w:line="360" w:lineRule="auto"/>
              <w:widowControl/>
              <w:rPr>
                <w:rFonts w:ascii="宋体" w:hAnsi="宋体" w:cs="宋体"/>
                <w:b/>
                <w:color w:val="auto"/>
                <w:szCs w:val="21"/>
                <w:highlight w:val="none"/>
                <w:lang w:val="zh-CN"/>
              </w:rPr>
            </w:pPr>
            <w:r>
              <w:rPr>
                <w:rFonts w:ascii="宋体" w:hAnsi="宋体"/>
                <w:b/>
                <w:bCs/>
                <w:color w:val="auto"/>
                <w:sz w:val="24"/>
                <w:szCs w:val="24"/>
                <w:highlight w:val="none"/>
                <w:lang w:val="zh-CN"/>
              </w:rPr>
              <w:t xml:space="preserve">900万像素电警抓拍单元</w:t>
            </w:r>
            <w:r/>
          </w:p>
        </w:tc>
        <w:tc>
          <w:tcPr>
            <w:tcW w:w="215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9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rPr>
          <w:color w:val="auto"/>
          <w:highlight w:val="none"/>
        </w:rPr>
      </w:pPr>
      <w:r>
        <w:rPr>
          <w:color w:val="auto"/>
          <w:highlight w:val="none"/>
        </w:rPr>
      </w:r>
      <w:r/>
    </w:p>
    <w:p>
      <w:pPr>
        <w:ind w:firstLine="480"/>
        <w:jc w:val="left"/>
        <w:spacing w:line="360" w:lineRule="auto"/>
        <w:widowControl/>
        <w:rPr>
          <w:rFonts w:ascii="宋体" w:cs="宋体"/>
          <w:color w:val="auto"/>
          <w:szCs w:val="21"/>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szCs w:val="21"/>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rPr>
          <w:color w:val="auto"/>
          <w:highlight w:val="none"/>
        </w:rPr>
      </w:pPr>
      <w:r>
        <w:rPr>
          <w:color w:val="auto"/>
          <w:highlight w:val="none"/>
        </w:rPr>
      </w:r>
      <w:r/>
    </w:p>
    <w:p>
      <w:pPr>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eastAsia="仿宋_GB2312"/>
          <w:color w:val="auto"/>
          <w:sz w:val="24"/>
          <w:highlight w:val="none"/>
        </w:rPr>
      </w:pPr>
      <w:r>
        <w:rPr>
          <w:rFonts w:hint="eastAsia" w:ascii="黑体" w:hAnsi="黑体" w:eastAsia="黑体"/>
          <w:b/>
          <w:i/>
          <w:color w:val="auto"/>
          <w:sz w:val="32"/>
          <w:szCs w:val="32"/>
          <w:highlight w:val="none"/>
          <w:u w:val="single"/>
        </w:rPr>
        <w:t xml:space="preserve">十八、信用承诺函</w:t>
      </w:r>
      <w:r/>
    </w:p>
    <w:p>
      <w:pPr>
        <w:jc w:val="center"/>
        <w:spacing w:before="156" w:after="120"/>
        <w:rPr>
          <w:color w:val="auto"/>
          <w:sz w:val="34"/>
          <w:szCs w:val="34"/>
          <w:highlight w:val="none"/>
          <w:lang w:val="zh-TW" w:eastAsia="zh-TW" w:bidi="zh-TW"/>
        </w:rPr>
      </w:pPr>
      <w:r>
        <w:rPr>
          <w:color w:val="auto"/>
          <w:sz w:val="34"/>
          <w:szCs w:val="34"/>
          <w:highlight w:val="none"/>
          <w:lang w:val="zh-TW" w:eastAsia="zh-TW" w:bidi="zh-TW"/>
        </w:rPr>
        <w:t xml:space="preserve">南京市政府采购供应商信用记录表暨信用承诺书</w:t>
      </w:r>
      <w:r/>
    </w:p>
    <w:p>
      <w:pPr>
        <w:ind w:left="3330" w:firstLine="3150"/>
        <w:spacing w:after="100"/>
        <w:rPr>
          <w:color w:val="auto"/>
          <w:szCs w:val="22"/>
          <w:highlight w:val="none"/>
          <w:lang w:val="zh-TW" w:eastAsia="zh-TW" w:bidi="zh-TW"/>
        </w:rPr>
      </w:pPr>
      <w:r>
        <w:rPr>
          <w:color w:val="auto"/>
          <w:szCs w:val="22"/>
          <w:highlight w:val="none"/>
          <w:lang w:val="zh-TW" w:eastAsia="zh-TW" w:bidi="zh-TW"/>
        </w:rPr>
        <w:t xml:space="preserve">年</w:t>
      </w:r>
      <w:r>
        <w:rPr>
          <w:rFonts w:hint="eastAsia"/>
          <w:color w:val="auto"/>
          <w:szCs w:val="22"/>
          <w:highlight w:val="none"/>
          <w:lang w:bidi="zh-TW"/>
        </w:rPr>
        <w:t xml:space="preserve">   </w:t>
      </w:r>
      <w:r>
        <w:rPr>
          <w:color w:val="auto"/>
          <w:szCs w:val="22"/>
          <w:highlight w:val="none"/>
          <w:lang w:val="zh-TW" w:eastAsia="zh-TW" w:bidi="zh-TW"/>
        </w:rPr>
        <w:t xml:space="preserve"> 月 </w:t>
      </w:r>
      <w:r>
        <w:rPr>
          <w:rFonts w:hint="eastAsia"/>
          <w:color w:val="auto"/>
          <w:szCs w:val="22"/>
          <w:highlight w:val="none"/>
          <w:lang w:bidi="zh-TW"/>
        </w:rPr>
        <w:t xml:space="preserve">   </w:t>
      </w:r>
      <w:r>
        <w:rPr>
          <w:color w:val="auto"/>
          <w:szCs w:val="22"/>
          <w:highlight w:val="none"/>
          <w:lang w:val="zh-TW" w:eastAsia="zh-TW" w:bidi="zh-TW"/>
        </w:rPr>
        <w:t xml:space="preserve">日</w:t>
      </w:r>
      <w:r/>
    </w:p>
    <w:tbl>
      <w:tblPr>
        <w:tblStyle w:val="637"/>
        <w:tblW w:w="8900"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none"/>
              </w:rPr>
            </w:pPr>
            <w:r>
              <w:rPr>
                <w:rFonts w:cs="仿宋"/>
                <w:color w:val="auto"/>
                <w:sz w:val="24"/>
                <w:szCs w:val="24"/>
                <w:highlight w:val="none"/>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color w:val="auto"/>
                <w:sz w:val="24"/>
                <w:szCs w:val="24"/>
                <w:highlight w:val="none"/>
              </w:rPr>
            </w:pPr>
            <w:r>
              <w:rPr>
                <w:rFonts w:hint="eastAsia"/>
                <w:color w:val="auto"/>
                <w:sz w:val="24"/>
                <w:szCs w:val="24"/>
                <w:highlight w:val="none"/>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color w:val="auto"/>
                <w:sz w:val="24"/>
                <w:szCs w:val="24"/>
                <w:highlight w:val="none"/>
              </w:rPr>
            </w:pPr>
            <w:r>
              <w:rPr>
                <w:rFonts w:hint="eastAsia"/>
                <w:b/>
                <w:bCs/>
                <w:color w:val="auto"/>
                <w:sz w:val="24"/>
                <w:szCs w:val="24"/>
                <w:highlight w:val="none"/>
              </w:rPr>
              <w:t xml:space="preserve">我们郑重承诺</w:t>
            </w:r>
            <w:r>
              <w:rPr>
                <w:rFonts w:hint="eastAsia"/>
                <w:color w:val="auto"/>
                <w:sz w:val="24"/>
                <w:szCs w:val="24"/>
                <w:highlight w:val="non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color w:val="auto"/>
                <w:sz w:val="24"/>
                <w:szCs w:val="24"/>
                <w:highlight w:val="none"/>
                <w:lang w:val="zh-TW" w:eastAsia="zh-TW" w:bidi="zh-TW"/>
              </w:rPr>
            </w:pPr>
            <w:r>
              <w:rPr>
                <w:rFonts w:eastAsia="PMingLiU" w:cs="仿宋"/>
                <w:color w:val="auto"/>
                <w:sz w:val="24"/>
                <w:szCs w:val="24"/>
                <w:highlight w:val="none"/>
                <w:lang w:val="zh-TW" w:eastAsia="zh-TW" w:bidi="zh-TW"/>
              </w:rPr>
            </w:r>
            <w:r/>
          </w:p>
          <w:p>
            <w:pPr>
              <w:ind w:left="105" w:right="105"/>
              <w:spacing w:line="354" w:lineRule="exact"/>
              <w:rPr>
                <w:rFonts w:eastAsia="PMingLiU" w:cs="仿宋"/>
                <w:color w:val="auto"/>
                <w:sz w:val="24"/>
                <w:szCs w:val="24"/>
                <w:highlight w:val="none"/>
                <w:lang w:val="zh-TW" w:eastAsia="zh-TW" w:bidi="zh-TW"/>
              </w:rPr>
            </w:pPr>
            <w:r>
              <w:rPr>
                <w:rFonts w:eastAsia="PMingLiU" w:cs="仿宋"/>
                <w:color w:val="auto"/>
                <w:sz w:val="24"/>
                <w:szCs w:val="24"/>
                <w:highlight w:val="none"/>
                <w:lang w:val="zh-TW" w:eastAsia="zh-TW" w:bidi="zh-TW"/>
              </w:rPr>
            </w:r>
            <w:r/>
          </w:p>
          <w:p>
            <w:pPr>
              <w:ind w:left="105" w:right="105" w:firstLine="2764"/>
              <w:spacing w:line="354" w:lineRule="exact"/>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供应商名称（盖章）：</w:t>
            </w:r>
            <w:r/>
          </w:p>
          <w:p>
            <w:pPr>
              <w:ind w:left="105" w:right="105" w:firstLine="2764"/>
              <w:spacing w:line="354" w:lineRule="exact"/>
              <w:rPr>
                <w:rFonts w:cs="仿宋"/>
                <w:color w:val="auto"/>
                <w:sz w:val="24"/>
                <w:szCs w:val="24"/>
                <w:highlight w:val="none"/>
                <w:lang w:val="zh-TW" w:eastAsia="zh-TW" w:bidi="zh-TW"/>
              </w:rPr>
            </w:pPr>
            <w:r>
              <w:rPr>
                <w:rFonts w:hint="eastAsia" w:cs="仿宋"/>
                <w:color w:val="auto"/>
                <w:sz w:val="24"/>
                <w:szCs w:val="24"/>
                <w:highlight w:val="none"/>
                <w:lang w:val="zh-TW" w:eastAsia="zh-TW" w:bidi="zh-TW"/>
              </w:rPr>
              <w:t xml:space="preserve">法定代表人（签字）：</w:t>
            </w:r>
            <w:r/>
          </w:p>
          <w:p>
            <w:pPr>
              <w:ind w:left="105" w:right="105" w:firstLine="2764"/>
              <w:spacing w:line="354" w:lineRule="exact"/>
              <w:rPr>
                <w:rFonts w:cs="仿宋"/>
                <w:color w:val="auto"/>
                <w:sz w:val="24"/>
                <w:szCs w:val="24"/>
                <w:highlight w:val="none"/>
                <w:lang w:val="zh-TW" w:eastAsia="zh-TW" w:bidi="zh-TW"/>
              </w:rPr>
            </w:pP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年</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 </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月 </w:t>
            </w:r>
            <w:r>
              <w:rPr>
                <w:rFonts w:hint="eastAsia" w:cs="仿宋"/>
                <w:color w:val="auto"/>
                <w:sz w:val="24"/>
                <w:szCs w:val="24"/>
                <w:highlight w:val="none"/>
                <w:lang w:bidi="zh-TW"/>
              </w:rPr>
              <w:t xml:space="preserve">   </w:t>
            </w:r>
            <w:r>
              <w:rPr>
                <w:rFonts w:hint="eastAsia" w:cs="仿宋"/>
                <w:color w:val="auto"/>
                <w:sz w:val="24"/>
                <w:szCs w:val="24"/>
                <w:highlight w:val="none"/>
                <w:lang w:val="zh-TW" w:eastAsia="zh-TW" w:bidi="zh-TW"/>
              </w:rPr>
              <w:t xml:space="preserve">日</w:t>
            </w:r>
            <w:r/>
          </w:p>
        </w:tc>
      </w:tr>
    </w:tbl>
    <w:p>
      <w:pPr>
        <w:rPr>
          <w:rFonts w:ascii="楷体_GB2312" w:hAnsi="Arial" w:eastAsia="楷体_GB2312"/>
          <w:b/>
          <w:bCs/>
          <w:color w:val="auto"/>
          <w:sz w:val="24"/>
          <w:szCs w:val="24"/>
          <w:highlight w:val="none"/>
        </w:rPr>
        <w:sectPr>
          <w:footerReference w:type="default" r:id="rId9"/>
          <w:footnotePr/>
          <w:endnotePr/>
          <w:type w:val="nextPage"/>
          <w:pgSz w:w="11907" w:h="16839" w:orient="portrait"/>
          <w:pgMar w:top="1440" w:right="1416" w:bottom="1440" w:left="1701" w:header="851" w:footer="992" w:gutter="0"/>
          <w:cols w:num="1" w:sep="0" w:space="425" w:equalWidth="1"/>
          <w:docGrid w:linePitch="360"/>
        </w:sectPr>
      </w:pPr>
      <w:r>
        <w:rPr>
          <w:rFonts w:hint="eastAsia" w:ascii="楷体_GB2312" w:hAnsi="Arial" w:eastAsia="楷体_GB2312"/>
          <w:b/>
          <w:bCs/>
          <w:color w:val="auto"/>
          <w:sz w:val="24"/>
          <w:szCs w:val="24"/>
          <w:highlight w:val="none"/>
        </w:rPr>
        <w:t xml:space="preserve">注明：信用承诺书格式，自行填报，法定代表人签字，供应商盖章。</w:t>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十九、项目业绩（如有）</w:t>
      </w:r>
      <w:r/>
    </w:p>
    <w:p>
      <w:pPr>
        <w:rPr>
          <w:color w:val="auto"/>
          <w:highlight w:val="none"/>
        </w:rPr>
      </w:pPr>
      <w:r>
        <w:rPr>
          <w:color w:val="auto"/>
          <w:highlight w:val="none"/>
        </w:rPr>
      </w:r>
      <w:r/>
    </w:p>
    <w:p>
      <w:pPr>
        <w:jc w:val="center"/>
        <w:rPr>
          <w:b/>
          <w:color w:val="auto"/>
          <w:sz w:val="24"/>
          <w:szCs w:val="32"/>
          <w:highlight w:val="none"/>
        </w:rPr>
      </w:pPr>
      <w:r>
        <w:rPr>
          <w:rFonts w:hint="eastAsia"/>
          <w:b/>
          <w:color w:val="auto"/>
          <w:sz w:val="24"/>
          <w:szCs w:val="32"/>
          <w:highlight w:val="none"/>
        </w:rPr>
        <w:t xml:space="preserve">类似项目情况表</w:t>
      </w:r>
      <w:r/>
    </w:p>
    <w:tbl>
      <w:tblPr>
        <w:tblStyle w:val="637"/>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41"/>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none"/>
              </w:rPr>
            </w:pPr>
            <w:r>
              <w:rPr>
                <w:color w:val="auto"/>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none"/>
              </w:rPr>
            </w:pPr>
            <w:r>
              <w:rPr>
                <w:color w:val="auto"/>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none"/>
              </w:rPr>
            </w:pPr>
            <w:r>
              <w:rPr>
                <w:color w:val="auto"/>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none"/>
              </w:rPr>
            </w:pPr>
            <w:r>
              <w:rPr>
                <w:color w:val="auto"/>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none"/>
              </w:rPr>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none"/>
              </w:rPr>
            </w:pPr>
            <w:r>
              <w:rPr>
                <w:color w:val="auto"/>
                <w:szCs w:val="24"/>
                <w:highlight w:val="none"/>
              </w:rPr>
            </w:r>
            <w:r/>
          </w:p>
        </w:tc>
      </w:tr>
    </w:tbl>
    <w:p>
      <w:pPr>
        <w:ind w:right="1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投标人名称：（加盖公章）</w:t>
      </w:r>
      <w:r/>
    </w:p>
    <w:p>
      <w:pPr>
        <w:pStyle w:val="679"/>
        <w:rPr>
          <w:color w:val="auto"/>
          <w:highlight w:val="none"/>
        </w:rPr>
      </w:pPr>
      <w:r>
        <w:rPr>
          <w:color w:val="auto"/>
          <w:highlight w:val="none"/>
        </w:rPr>
      </w:r>
      <w:r/>
    </w:p>
    <w:p>
      <w:pPr>
        <w:ind w:left="178"/>
        <w:rPr>
          <w:color w:val="auto"/>
          <w:sz w:val="24"/>
          <w:szCs w:val="24"/>
          <w:highlight w:val="none"/>
        </w:rPr>
      </w:pPr>
      <w:r>
        <w:rPr>
          <w:rFonts w:hint="eastAsia"/>
          <w:color w:val="auto"/>
          <w:sz w:val="24"/>
          <w:szCs w:val="24"/>
          <w:highlight w:val="none"/>
        </w:rPr>
        <w:t xml:space="preserve">注：1</w:t>
      </w:r>
      <w:r>
        <w:rPr>
          <w:rFonts w:hint="eastAsia"/>
          <w:color w:val="auto"/>
          <w:highlight w:val="none"/>
        </w:rPr>
        <w:t xml:space="preserve">.</w:t>
      </w:r>
      <w:r>
        <w:rPr>
          <w:color w:val="auto"/>
          <w:highlight w:val="none"/>
        </w:rPr>
        <w:t xml:space="preserve"> </w:t>
      </w:r>
      <w:r>
        <w:rPr>
          <w:rFonts w:hint="eastAsia"/>
          <w:color w:val="auto"/>
          <w:sz w:val="24"/>
          <w:szCs w:val="24"/>
          <w:highlight w:val="none"/>
        </w:rPr>
        <w:t xml:space="preserve">供应商必须提供能够证明上述案例真实性的合同复印件或扫描件，合同复印件或扫描件中必须至少包括合同的甲乙双方，合同详细标的，金额和双方签章及生效时间；</w:t>
      </w:r>
      <w:r/>
    </w:p>
    <w:p>
      <w:pPr>
        <w:ind w:left="178"/>
        <w:rPr>
          <w:color w:val="auto"/>
          <w:sz w:val="24"/>
          <w:szCs w:val="24"/>
          <w:highlight w:val="none"/>
        </w:rPr>
      </w:pPr>
      <w:r>
        <w:rPr>
          <w:rFonts w:hint="eastAsia"/>
          <w:color w:val="auto"/>
          <w:sz w:val="24"/>
          <w:szCs w:val="24"/>
          <w:highlight w:val="none"/>
        </w:rPr>
        <w:t xml:space="preserve">2</w:t>
      </w:r>
      <w:r>
        <w:rPr>
          <w:rFonts w:hint="eastAsia"/>
          <w:color w:val="auto"/>
          <w:highlight w:val="none"/>
        </w:rPr>
        <w:t xml:space="preserve">.</w:t>
      </w:r>
      <w:r>
        <w:rPr>
          <w:color w:val="auto"/>
          <w:highlight w:val="none"/>
        </w:rPr>
        <w:t xml:space="preserve"> </w:t>
      </w:r>
      <w:r>
        <w:rPr>
          <w:rFonts w:hint="eastAsia"/>
          <w:color w:val="auto"/>
          <w:sz w:val="24"/>
          <w:szCs w:val="24"/>
          <w:highlight w:val="none"/>
        </w:rPr>
        <w:t xml:space="preserve">如供应商成立日期不足三年，请提供自成立之日至投标之日的类似项目案例；</w:t>
      </w:r>
      <w:r/>
    </w:p>
    <w:p>
      <w:pPr>
        <w:ind w:left="178"/>
        <w:rPr>
          <w:color w:val="auto"/>
          <w:sz w:val="24"/>
          <w:szCs w:val="24"/>
          <w:highlight w:val="none"/>
        </w:rPr>
      </w:pPr>
      <w:r>
        <w:rPr>
          <w:rFonts w:hint="eastAsia"/>
          <w:color w:val="auto"/>
          <w:sz w:val="24"/>
          <w:szCs w:val="24"/>
          <w:highlight w:val="none"/>
        </w:rPr>
        <w:t xml:space="preserve">3</w:t>
      </w:r>
      <w:r>
        <w:rPr>
          <w:rFonts w:hint="eastAsia"/>
          <w:color w:val="auto"/>
          <w:highlight w:val="none"/>
        </w:rPr>
        <w:t xml:space="preserve">.</w:t>
      </w:r>
      <w:r>
        <w:rPr>
          <w:color w:val="auto"/>
          <w:highlight w:val="none"/>
        </w:rPr>
        <w:t xml:space="preserve"> </w:t>
      </w:r>
      <w:r>
        <w:rPr>
          <w:rFonts w:hint="eastAsia"/>
          <w:color w:val="auto"/>
          <w:sz w:val="24"/>
          <w:szCs w:val="24"/>
          <w:highlight w:val="none"/>
        </w:rPr>
        <w:t xml:space="preserve">所有合同复印件或扫描件应清晰；</w:t>
      </w:r>
      <w:r/>
    </w:p>
    <w:p>
      <w:pPr>
        <w:ind w:left="178"/>
        <w:rPr>
          <w:color w:val="auto"/>
          <w:sz w:val="24"/>
          <w:szCs w:val="24"/>
          <w:highlight w:val="none"/>
        </w:rPr>
      </w:pPr>
      <w:r>
        <w:rPr>
          <w:rFonts w:hint="eastAsia"/>
          <w:color w:val="auto"/>
          <w:sz w:val="24"/>
          <w:szCs w:val="24"/>
          <w:highlight w:val="none"/>
        </w:rPr>
        <w:t xml:space="preserve">4</w:t>
      </w:r>
      <w:r>
        <w:rPr>
          <w:rFonts w:hint="eastAsia"/>
          <w:color w:val="auto"/>
          <w:highlight w:val="none"/>
        </w:rPr>
        <w:t xml:space="preserve">.</w:t>
      </w:r>
      <w:r>
        <w:rPr>
          <w:color w:val="auto"/>
          <w:highlight w:val="none"/>
        </w:rPr>
        <w:t xml:space="preserve"> </w:t>
      </w:r>
      <w:r>
        <w:rPr>
          <w:rFonts w:hint="eastAsia"/>
          <w:color w:val="auto"/>
          <w:sz w:val="24"/>
          <w:szCs w:val="24"/>
          <w:highlight w:val="none"/>
        </w:rPr>
        <w:t xml:space="preserve">不提供合同复印件或扫描件的案例，评分阶段不予以考虑。</w:t>
      </w:r>
      <w:r/>
    </w:p>
    <w:p>
      <w:pPr>
        <w:ind w:left="178"/>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42"/>
        <w:ind w:left="0"/>
        <w:jc w:val="left"/>
        <w:rPr>
          <w:color w:val="auto"/>
          <w:highlight w:val="none"/>
        </w:rPr>
      </w:pPr>
      <w:r>
        <w:rPr>
          <w:rFonts w:hint="eastAsia" w:ascii="黑体" w:hAnsi="黑体" w:eastAsia="黑体"/>
          <w:iCs/>
          <w:color w:val="auto"/>
          <w:sz w:val="32"/>
          <w:szCs w:val="32"/>
          <w:highlight w:val="none"/>
        </w:rPr>
        <w:t xml:space="preserve">二十、投标人认为需要提供的其他材料（格式自拟）</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iCs/>
          <w:color w:val="auto"/>
          <w:sz w:val="32"/>
          <w:szCs w:val="32"/>
          <w:highlight w:val="none"/>
        </w:rPr>
      </w:pPr>
      <w:r>
        <w:rPr>
          <w:rFonts w:hint="eastAsia" w:ascii="黑体" w:hAnsi="黑体" w:eastAsia="黑体"/>
          <w:iCs/>
          <w:color w:val="auto"/>
          <w:sz w:val="32"/>
          <w:szCs w:val="32"/>
          <w:highlight w:val="none"/>
        </w:rPr>
        <w:t xml:space="preserve">二十一、质疑函范本</w:t>
      </w:r>
      <w:r/>
    </w:p>
    <w:p>
      <w:pPr>
        <w:rPr>
          <w:rFonts w:ascii="宋体" w:hAnsi="宋体" w:cs="仿宋"/>
          <w:bCs/>
          <w:color w:val="auto"/>
          <w:sz w:val="24"/>
          <w:szCs w:val="24"/>
          <w:highlight w:val="none"/>
        </w:rPr>
      </w:pPr>
      <w:r>
        <w:rPr>
          <w:rFonts w:ascii="宋体" w:hAnsi="宋体" w:cs="仿宋"/>
          <w:bCs/>
          <w:color w:val="auto"/>
          <w:sz w:val="24"/>
          <w:szCs w:val="24"/>
          <w:highlight w:val="none"/>
        </w:rPr>
      </w:r>
      <w:r/>
    </w:p>
    <w:p>
      <w:pPr>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8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8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8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w:t>
      </w:r>
      <w:r/>
    </w:p>
    <w:p>
      <w:pPr>
        <w:rPr>
          <w:rFonts w:ascii="宋体" w:hAnsi="宋体"/>
          <w:color w:val="auto"/>
          <w:sz w:val="24"/>
          <w:szCs w:val="24"/>
          <w:highlight w:val="none"/>
        </w:rPr>
      </w:pPr>
      <w:r>
        <w:rPr>
          <w:rFonts w:hint="eastAsia" w:ascii="宋体" w:hAnsi="宋体"/>
          <w:color w:val="auto"/>
          <w:sz w:val="24"/>
          <w:szCs w:val="24"/>
          <w:highlight w:val="none"/>
        </w:rPr>
        <w:t xml:space="preserve">日期：</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color w:val="auto"/>
          <w:szCs w:val="22"/>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continuous"/>
      <w:pgSz w:w="11907" w:h="16839"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Symbol">
    <w:panose1 w:val="05050102010706020507"/>
  </w:font>
  <w:font w:name="Wingdings">
    <w:panose1 w:val="05000000000000000000"/>
  </w:font>
  <w:font w:name="MS Gothic">
    <w:panose1 w:val="020B060907020508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6260855"/>
      <w:rPr/>
    </w:sdtPr>
    <w:sdtContent>
      <w:p>
        <w:pPr>
          <w:pStyle w:val="647"/>
          <w:jc w:val="center"/>
        </w:pPr>
        <w:r>
          <w:fldChar w:fldCharType="begin"/>
        </w:r>
        <w:r>
          <w:instrText xml:space="preserve">PAGE   \* MERGEFORMAT</w:instrText>
        </w:r>
        <w:r>
          <w:fldChar w:fldCharType="separate"/>
        </w:r>
        <w:r>
          <w:rPr>
            <w:lang w:val="zh-CN"/>
          </w:rPr>
          <w:t xml:space="preserve">24</w:t>
        </w:r>
        <w:r>
          <w:fldChar w:fldCharType="end"/>
        </w:r>
        <w:r/>
      </w:p>
    </w:sdtContent>
  </w:sdt>
  <w:p>
    <w:pPr>
      <w:pStyle w:val="6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2190" w:hanging="1770"/>
        <w:tabs>
          <w:tab w:val="left" w:pos="420" w:leader="none"/>
        </w:tabs>
      </w:pPr>
      <w:rPr>
        <w:rFonts w:hint="default"/>
      </w:rPr>
    </w:lvl>
    <w:lvl w:ilvl="1">
      <w:start w:val="1"/>
      <w:numFmt w:val="lowerLetter"/>
      <w:isLgl w:val="false"/>
      <w:suff w:val="tab"/>
      <w:lvlText w:val="%2)"/>
      <w:lvlJc w:val="left"/>
      <w:pPr>
        <w:ind w:left="1260" w:hanging="420"/>
        <w:tabs>
          <w:tab w:val="left" w:pos="420" w:leader="none"/>
        </w:tabs>
      </w:pPr>
    </w:lvl>
    <w:lvl w:ilvl="2">
      <w:start w:val="1"/>
      <w:numFmt w:val="lowerRoman"/>
      <w:isLgl w:val="false"/>
      <w:suff w:val="tab"/>
      <w:lvlText w:val="%3."/>
      <w:lvlJc w:val="right"/>
      <w:pPr>
        <w:ind w:left="1680" w:hanging="420"/>
        <w:tabs>
          <w:tab w:val="left" w:pos="420" w:leader="none"/>
        </w:tabs>
      </w:pPr>
    </w:lvl>
    <w:lvl w:ilvl="3">
      <w:start w:val="1"/>
      <w:numFmt w:val="decimal"/>
      <w:isLgl w:val="false"/>
      <w:suff w:val="tab"/>
      <w:lvlText w:val="%4."/>
      <w:lvlJc w:val="left"/>
      <w:pPr>
        <w:ind w:left="2100" w:hanging="420"/>
        <w:tabs>
          <w:tab w:val="left" w:pos="420" w:leader="none"/>
        </w:tabs>
      </w:pPr>
    </w:lvl>
    <w:lvl w:ilvl="4">
      <w:start w:val="1"/>
      <w:numFmt w:val="lowerLetter"/>
      <w:isLgl w:val="false"/>
      <w:suff w:val="tab"/>
      <w:lvlText w:val="%5)"/>
      <w:lvlJc w:val="left"/>
      <w:pPr>
        <w:ind w:left="2520" w:hanging="420"/>
        <w:tabs>
          <w:tab w:val="left" w:pos="420" w:leader="none"/>
        </w:tabs>
      </w:pPr>
    </w:lvl>
    <w:lvl w:ilvl="5">
      <w:start w:val="1"/>
      <w:numFmt w:val="lowerRoman"/>
      <w:isLgl w:val="false"/>
      <w:suff w:val="tab"/>
      <w:lvlText w:val="%6."/>
      <w:lvlJc w:val="right"/>
      <w:pPr>
        <w:ind w:left="2940" w:hanging="420"/>
        <w:tabs>
          <w:tab w:val="left" w:pos="420" w:leader="none"/>
        </w:tabs>
      </w:pPr>
    </w:lvl>
    <w:lvl w:ilvl="6">
      <w:start w:val="1"/>
      <w:numFmt w:val="decimal"/>
      <w:isLgl w:val="false"/>
      <w:suff w:val="tab"/>
      <w:lvlText w:val="%7."/>
      <w:lvlJc w:val="left"/>
      <w:pPr>
        <w:ind w:left="3360" w:hanging="420"/>
        <w:tabs>
          <w:tab w:val="left" w:pos="420" w:leader="none"/>
        </w:tabs>
      </w:pPr>
    </w:lvl>
    <w:lvl w:ilvl="7">
      <w:start w:val="1"/>
      <w:numFmt w:val="lowerLetter"/>
      <w:isLgl w:val="false"/>
      <w:suff w:val="tab"/>
      <w:lvlText w:val="%8)"/>
      <w:lvlJc w:val="left"/>
      <w:pPr>
        <w:ind w:left="3780" w:hanging="420"/>
        <w:tabs>
          <w:tab w:val="left" w:pos="420" w:leader="none"/>
        </w:tabs>
      </w:pPr>
    </w:lvl>
    <w:lvl w:ilvl="8">
      <w:start w:val="1"/>
      <w:numFmt w:val="lowerRoman"/>
      <w:isLgl w:val="false"/>
      <w:suff w:val="tab"/>
      <w:lvlText w:val="%9."/>
      <w:lvlJc w:val="right"/>
      <w:pPr>
        <w:ind w:left="4200" w:hanging="420"/>
        <w:tabs>
          <w:tab w:val="left" w:pos="420" w:leader="none"/>
        </w:tabs>
      </w:p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27"/>
    <w:uiPriority w:val="9"/>
    <w:rPr>
      <w:rFonts w:ascii="Arial" w:hAnsi="Arial" w:eastAsia="Arial" w:cs="Arial"/>
      <w:sz w:val="40"/>
      <w:szCs w:val="40"/>
    </w:rPr>
  </w:style>
  <w:style w:type="character" w:styleId="15">
    <w:name w:val="Heading 2 Char"/>
    <w:basedOn w:val="636"/>
    <w:link w:val="628"/>
    <w:uiPriority w:val="9"/>
    <w:rPr>
      <w:rFonts w:ascii="Arial" w:hAnsi="Arial" w:eastAsia="Arial" w:cs="Arial"/>
      <w:sz w:val="34"/>
    </w:rPr>
  </w:style>
  <w:style w:type="character" w:styleId="17">
    <w:name w:val="Heading 3 Char"/>
    <w:basedOn w:val="636"/>
    <w:link w:val="629"/>
    <w:uiPriority w:val="9"/>
    <w:rPr>
      <w:rFonts w:ascii="Arial" w:hAnsi="Arial" w:eastAsia="Arial" w:cs="Arial"/>
      <w:sz w:val="30"/>
      <w:szCs w:val="30"/>
    </w:rPr>
  </w:style>
  <w:style w:type="character" w:styleId="19">
    <w:name w:val="Heading 4 Char"/>
    <w:basedOn w:val="636"/>
    <w:link w:val="630"/>
    <w:uiPriority w:val="9"/>
    <w:rPr>
      <w:rFonts w:ascii="Arial" w:hAnsi="Arial" w:eastAsia="Arial" w:cs="Arial"/>
      <w:b/>
      <w:bCs/>
      <w:sz w:val="26"/>
      <w:szCs w:val="26"/>
    </w:rPr>
  </w:style>
  <w:style w:type="character" w:styleId="21">
    <w:name w:val="Heading 5 Char"/>
    <w:basedOn w:val="636"/>
    <w:link w:val="631"/>
    <w:uiPriority w:val="9"/>
    <w:rPr>
      <w:rFonts w:ascii="Arial" w:hAnsi="Arial" w:eastAsia="Arial" w:cs="Arial"/>
      <w:b/>
      <w:bCs/>
      <w:sz w:val="24"/>
      <w:szCs w:val="24"/>
    </w:rPr>
  </w:style>
  <w:style w:type="character" w:styleId="23">
    <w:name w:val="Heading 6 Char"/>
    <w:basedOn w:val="636"/>
    <w:link w:val="632"/>
    <w:uiPriority w:val="9"/>
    <w:rPr>
      <w:rFonts w:ascii="Arial" w:hAnsi="Arial" w:eastAsia="Arial" w:cs="Arial"/>
      <w:b/>
      <w:bCs/>
      <w:sz w:val="22"/>
      <w:szCs w:val="22"/>
    </w:rPr>
  </w:style>
  <w:style w:type="character" w:styleId="25">
    <w:name w:val="Heading 7 Char"/>
    <w:basedOn w:val="636"/>
    <w:link w:val="633"/>
    <w:uiPriority w:val="9"/>
    <w:rPr>
      <w:rFonts w:ascii="Arial" w:hAnsi="Arial" w:eastAsia="Arial" w:cs="Arial"/>
      <w:b/>
      <w:bCs/>
      <w:i/>
      <w:iCs/>
      <w:sz w:val="22"/>
      <w:szCs w:val="22"/>
    </w:rPr>
  </w:style>
  <w:style w:type="character" w:styleId="27">
    <w:name w:val="Heading 8 Char"/>
    <w:basedOn w:val="636"/>
    <w:link w:val="634"/>
    <w:uiPriority w:val="9"/>
    <w:rPr>
      <w:rFonts w:ascii="Arial" w:hAnsi="Arial" w:eastAsia="Arial" w:cs="Arial"/>
      <w:i/>
      <w:iCs/>
      <w:sz w:val="22"/>
      <w:szCs w:val="22"/>
    </w:rPr>
  </w:style>
  <w:style w:type="character" w:styleId="29">
    <w:name w:val="Heading 9 Char"/>
    <w:basedOn w:val="636"/>
    <w:link w:val="6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36"/>
    <w:link w:val="655"/>
    <w:uiPriority w:val="10"/>
    <w:rPr>
      <w:sz w:val="48"/>
      <w:szCs w:val="48"/>
    </w:rPr>
  </w:style>
  <w:style w:type="character" w:styleId="36">
    <w:name w:val="Subtitle Char"/>
    <w:basedOn w:val="636"/>
    <w:link w:val="652"/>
    <w:uiPriority w:val="11"/>
    <w:rPr>
      <w:sz w:val="24"/>
      <w:szCs w:val="24"/>
    </w:rPr>
  </w:style>
  <w:style w:type="character" w:styleId="38">
    <w:name w:val="Quote Char"/>
    <w:link w:val="726"/>
    <w:uiPriority w:val="29"/>
    <w:rPr>
      <w:i/>
    </w:rPr>
  </w:style>
  <w:style w:type="character" w:styleId="40">
    <w:name w:val="Intense Quote Char"/>
    <w:link w:val="728"/>
    <w:uiPriority w:val="30"/>
    <w:rPr>
      <w:i/>
    </w:rPr>
  </w:style>
  <w:style w:type="character" w:styleId="42">
    <w:name w:val="Header Char"/>
    <w:basedOn w:val="636"/>
    <w:link w:val="648"/>
    <w:uiPriority w:val="99"/>
  </w:style>
  <w:style w:type="character" w:styleId="44">
    <w:name w:val="Footer Char"/>
    <w:basedOn w:val="636"/>
    <w:link w:val="647"/>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6"/>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6"/>
    <w:uiPriority w:val="99"/>
    <w:semiHidden/>
    <w:unhideWhenUsed/>
    <w:rPr>
      <w:vertAlign w:val="superscript"/>
    </w:r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pPr>
      <w:jc w:val="both"/>
      <w:widowControl w:val="off"/>
    </w:pPr>
    <w:rPr>
      <w:rFonts w:ascii="Calibri" w:hAnsi="Calibri" w:eastAsia="宋体" w:cs="Times New Roman"/>
      <w:sz w:val="21"/>
      <w:lang w:val="en-US" w:eastAsia="zh-CN" w:bidi="ar-SA"/>
    </w:rPr>
  </w:style>
  <w:style w:type="paragraph" w:styleId="627">
    <w:name w:val="Heading 1"/>
    <w:basedOn w:val="626"/>
    <w:next w:val="626"/>
    <w:link w:val="664"/>
    <w:uiPriority w:val="9"/>
    <w:qFormat/>
    <w:pPr>
      <w:keepLines/>
      <w:keepNext/>
      <w:spacing w:before="340" w:after="330" w:line="578" w:lineRule="auto"/>
      <w:outlineLvl w:val="0"/>
    </w:pPr>
    <w:rPr>
      <w:b/>
      <w:bCs/>
      <w:sz w:val="44"/>
      <w:szCs w:val="44"/>
    </w:rPr>
  </w:style>
  <w:style w:type="paragraph" w:styleId="628">
    <w:name w:val="Heading 2"/>
    <w:basedOn w:val="626"/>
    <w:next w:val="626"/>
    <w:link w:val="665"/>
    <w:uiPriority w:val="9"/>
    <w:unhideWhenUsed/>
    <w:qFormat/>
    <w:pPr>
      <w:keepLines/>
      <w:keepNext/>
      <w:spacing w:before="260" w:after="260" w:line="416" w:lineRule="auto"/>
      <w:outlineLvl w:val="1"/>
    </w:pPr>
    <w:rPr>
      <w:rFonts w:ascii="Cambria" w:hAnsi="Cambria" w:cs="黑体"/>
      <w:b/>
      <w:bCs/>
      <w:sz w:val="32"/>
      <w:szCs w:val="32"/>
    </w:rPr>
  </w:style>
  <w:style w:type="paragraph" w:styleId="629">
    <w:name w:val="Heading 3"/>
    <w:basedOn w:val="626"/>
    <w:next w:val="626"/>
    <w:link w:val="666"/>
    <w:uiPriority w:val="9"/>
    <w:qFormat/>
    <w:pPr>
      <w:keepLines/>
      <w:keepNext/>
      <w:spacing w:before="260" w:after="260" w:line="416" w:lineRule="auto"/>
      <w:outlineLvl w:val="2"/>
    </w:pPr>
    <w:rPr>
      <w:b/>
      <w:bCs/>
      <w:sz w:val="32"/>
      <w:szCs w:val="32"/>
    </w:rPr>
  </w:style>
  <w:style w:type="paragraph" w:styleId="630">
    <w:name w:val="Heading 4"/>
    <w:basedOn w:val="626"/>
    <w:next w:val="626"/>
    <w:link w:val="667"/>
    <w:uiPriority w:val="9"/>
    <w:qFormat/>
    <w:pPr>
      <w:keepLines/>
      <w:keepNext/>
      <w:spacing w:before="280" w:after="290" w:line="376" w:lineRule="auto"/>
      <w:outlineLvl w:val="3"/>
    </w:pPr>
    <w:rPr>
      <w:rFonts w:ascii="Cambria" w:hAnsi="Cambria"/>
      <w:b/>
      <w:bCs/>
      <w:sz w:val="28"/>
      <w:szCs w:val="28"/>
    </w:rPr>
  </w:style>
  <w:style w:type="paragraph" w:styleId="631">
    <w:name w:val="Heading 5"/>
    <w:basedOn w:val="626"/>
    <w:next w:val="626"/>
    <w:link w:val="719"/>
    <w:uiPriority w:val="9"/>
    <w:semiHidden/>
    <w:unhideWhenUsed/>
    <w:qFormat/>
    <w:pPr>
      <w:jc w:val="left"/>
      <w:keepLines/>
      <w:keepNext/>
      <w:spacing w:before="80" w:after="40" w:line="278" w:lineRule="auto"/>
      <w:outlineLvl w:val="4"/>
    </w:pPr>
    <w:rPr>
      <w:rFonts w:asciiTheme="minorHAnsi" w:hAnsiTheme="minorHAnsi" w:eastAsiaTheme="minorEastAsia" w:cstheme="majorBidi"/>
      <w:color w:val="376092" w:themeColor="accent1" w:themeShade="BF"/>
      <w:sz w:val="24"/>
      <w:szCs w:val="24"/>
      <w14:ligatures w14:val="standardContextual"/>
    </w:rPr>
  </w:style>
  <w:style w:type="paragraph" w:styleId="632">
    <w:name w:val="Heading 6"/>
    <w:basedOn w:val="626"/>
    <w:next w:val="626"/>
    <w:link w:val="720"/>
    <w:uiPriority w:val="9"/>
    <w:semiHidden/>
    <w:unhideWhenUsed/>
    <w:qFormat/>
    <w:pPr>
      <w:jc w:val="left"/>
      <w:keepLines/>
      <w:keepNext/>
      <w:spacing w:before="40" w:line="278" w:lineRule="auto"/>
      <w:outlineLvl w:val="5"/>
    </w:pPr>
    <w:rPr>
      <w:rFonts w:asciiTheme="minorHAnsi" w:hAnsiTheme="minorHAnsi" w:eastAsiaTheme="minorEastAsia" w:cstheme="majorBidi"/>
      <w:b/>
      <w:bCs/>
      <w:color w:val="376092" w:themeColor="accent1" w:themeShade="BF"/>
      <w:sz w:val="22"/>
      <w:szCs w:val="24"/>
      <w14:ligatures w14:val="standardContextual"/>
    </w:rPr>
  </w:style>
  <w:style w:type="paragraph" w:styleId="633">
    <w:name w:val="Heading 7"/>
    <w:basedOn w:val="626"/>
    <w:next w:val="626"/>
    <w:link w:val="721"/>
    <w:uiPriority w:val="9"/>
    <w:semiHidden/>
    <w:unhideWhenUsed/>
    <w:qFormat/>
    <w:pPr>
      <w:jc w:val="left"/>
      <w:keepLines/>
      <w:keepNext/>
      <w:spacing w:before="40" w:line="278" w:lineRule="auto"/>
      <w:outlineLvl w:val="6"/>
    </w:pPr>
    <w:rPr>
      <w:rFonts w:asciiTheme="minorHAnsi" w:hAnsiTheme="minorHAnsi" w:eastAsiaTheme="minorEastAsia" w:cstheme="majorBidi"/>
      <w:b/>
      <w:bCs/>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634">
    <w:name w:val="Heading 8"/>
    <w:basedOn w:val="626"/>
    <w:next w:val="626"/>
    <w:link w:val="722"/>
    <w:uiPriority w:val="9"/>
    <w:semiHidden/>
    <w:unhideWhenUsed/>
    <w:qFormat/>
    <w:pPr>
      <w:jc w:val="left"/>
      <w:keepLines/>
      <w:keepNext/>
      <w:spacing w:line="278" w:lineRule="auto"/>
      <w:outlineLvl w:val="7"/>
    </w:pPr>
    <w:rPr>
      <w:rFonts w:asciiTheme="minorHAnsi" w:hAnsiTheme="minorHAnsi" w:eastAsiaTheme="min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paragraph" w:styleId="635">
    <w:name w:val="Heading 9"/>
    <w:basedOn w:val="626"/>
    <w:next w:val="626"/>
    <w:link w:val="723"/>
    <w:uiPriority w:val="9"/>
    <w:semiHidden/>
    <w:unhideWhenUsed/>
    <w:qFormat/>
    <w:pPr>
      <w:jc w:val="left"/>
      <w:keepLines/>
      <w:keepNext/>
      <w:spacing w:line="278" w:lineRule="auto"/>
      <w:outlineLvl w:val="8"/>
    </w:pPr>
    <w:rPr>
      <w:rFonts w:asciiTheme="minorHAnsi" w:hAnsiTheme="minorHAnsi" w:eastAsiaTheme="maj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character" w:styleId="636" w:default="1">
    <w:name w:val="Default Paragraph Font"/>
    <w:uiPriority w:val="1"/>
    <w:semiHidden/>
    <w:unhideWhenUsed/>
    <w:qFormat/>
  </w:style>
  <w:style w:type="table" w:styleId="637" w:default="1">
    <w:name w:val="Normal Table"/>
    <w:uiPriority w:val="99"/>
    <w:semiHidden/>
    <w:unhideWhenUsed/>
    <w:tblPr>
      <w:tblCellMar>
        <w:left w:w="108" w:type="dxa"/>
        <w:top w:w="0" w:type="dxa"/>
        <w:right w:w="108" w:type="dxa"/>
        <w:bottom w:w="0" w:type="dxa"/>
      </w:tblCellMar>
    </w:tblPr>
  </w:style>
  <w:style w:type="paragraph" w:styleId="638">
    <w:name w:val="Normal Indent"/>
    <w:basedOn w:val="626"/>
    <w:uiPriority w:val="0"/>
    <w:qFormat/>
    <w:pPr>
      <w:ind w:firstLine="420"/>
    </w:pPr>
    <w:rPr>
      <w:rFonts w:ascii="Times New Roman" w:hAnsi="Times New Roman"/>
      <w:szCs w:val="21"/>
    </w:rPr>
  </w:style>
  <w:style w:type="paragraph" w:styleId="639">
    <w:name w:val="annotation text"/>
    <w:basedOn w:val="626"/>
    <w:link w:val="668"/>
    <w:uiPriority w:val="99"/>
    <w:qFormat/>
    <w:pPr>
      <w:jc w:val="left"/>
    </w:pPr>
    <w:rPr>
      <w:rFonts w:cs="黑体"/>
      <w:szCs w:val="22"/>
    </w:rPr>
  </w:style>
  <w:style w:type="paragraph" w:styleId="640">
    <w:name w:val="Body Text 3"/>
    <w:basedOn w:val="626"/>
    <w:link w:val="669"/>
    <w:uiPriority w:val="99"/>
    <w:semiHidden/>
    <w:unhideWhenUsed/>
    <w:qFormat/>
    <w:pPr>
      <w:spacing w:after="120"/>
    </w:pPr>
    <w:rPr>
      <w:sz w:val="16"/>
      <w:szCs w:val="16"/>
    </w:rPr>
  </w:style>
  <w:style w:type="paragraph" w:styleId="641">
    <w:name w:val="Body Text"/>
    <w:basedOn w:val="626"/>
    <w:link w:val="670"/>
    <w:uiPriority w:val="0"/>
    <w:qFormat/>
    <w:pPr>
      <w:spacing w:after="120"/>
    </w:pPr>
    <w:rPr>
      <w:rFonts w:cs="黑体"/>
      <w:szCs w:val="24"/>
    </w:rPr>
  </w:style>
  <w:style w:type="paragraph" w:styleId="642">
    <w:name w:val="Body Text Indent"/>
    <w:basedOn w:val="626"/>
    <w:next w:val="643"/>
    <w:uiPriority w:val="99"/>
    <w:semiHidden/>
    <w:unhideWhenUsed/>
    <w:qFormat/>
    <w:pPr>
      <w:ind w:left="420"/>
      <w:spacing w:after="120"/>
    </w:pPr>
  </w:style>
  <w:style w:type="paragraph" w:styleId="643">
    <w:name w:val="envelope return"/>
    <w:basedOn w:val="626"/>
    <w:uiPriority w:val="0"/>
    <w:qFormat/>
    <w:rPr>
      <w:rFonts w:ascii="Arial" w:hAnsi="Arial" w:cs="宋体"/>
    </w:rPr>
  </w:style>
  <w:style w:type="paragraph" w:styleId="644">
    <w:name w:val="Block Text"/>
    <w:basedOn w:val="626"/>
    <w:uiPriority w:val="99"/>
    <w:unhideWhenUsed/>
    <w:qFormat/>
    <w:pPr>
      <w:ind w:left="1440" w:right="700"/>
    </w:pPr>
    <w:rPr>
      <w:rFonts w:ascii="Verdana" w:hAnsi="Verdana"/>
    </w:rPr>
  </w:style>
  <w:style w:type="paragraph" w:styleId="645">
    <w:name w:val="Plain Text"/>
    <w:basedOn w:val="626"/>
    <w:link w:val="671"/>
    <w:uiPriority w:val="0"/>
    <w:qFormat/>
    <w:rPr>
      <w:rFonts w:ascii="宋体" w:hAnsi="Courier New" w:cs="黑体"/>
      <w:szCs w:val="22"/>
    </w:rPr>
  </w:style>
  <w:style w:type="paragraph" w:styleId="646">
    <w:name w:val="Balloon Text"/>
    <w:basedOn w:val="626"/>
    <w:link w:val="672"/>
    <w:uiPriority w:val="99"/>
    <w:semiHidden/>
    <w:unhideWhenUsed/>
    <w:qFormat/>
    <w:rPr>
      <w:sz w:val="18"/>
      <w:szCs w:val="18"/>
    </w:rPr>
  </w:style>
  <w:style w:type="paragraph" w:styleId="647">
    <w:name w:val="Footer"/>
    <w:basedOn w:val="626"/>
    <w:link w:val="673"/>
    <w:uiPriority w:val="99"/>
    <w:unhideWhenUsed/>
    <w:qFormat/>
    <w:pPr>
      <w:jc w:val="left"/>
      <w:tabs>
        <w:tab w:val="center" w:pos="4153" w:leader="none"/>
        <w:tab w:val="right" w:pos="8306" w:leader="none"/>
      </w:tabs>
    </w:pPr>
    <w:rPr>
      <w:sz w:val="18"/>
      <w:szCs w:val="18"/>
    </w:rPr>
  </w:style>
  <w:style w:type="paragraph" w:styleId="648">
    <w:name w:val="Header"/>
    <w:basedOn w:val="626"/>
    <w:link w:val="6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9">
    <w:name w:val="toc 1"/>
    <w:basedOn w:val="626"/>
    <w:next w:val="626"/>
    <w:uiPriority w:val="39"/>
    <w:unhideWhenUsed/>
    <w:qFormat/>
  </w:style>
  <w:style w:type="paragraph" w:styleId="650">
    <w:name w:val="index heading"/>
    <w:basedOn w:val="626"/>
    <w:next w:val="651"/>
    <w:uiPriority w:val="0"/>
    <w:qFormat/>
  </w:style>
  <w:style w:type="paragraph" w:styleId="651">
    <w:name w:val="index 1"/>
    <w:basedOn w:val="626"/>
    <w:next w:val="626"/>
    <w:uiPriority w:val="99"/>
    <w:semiHidden/>
    <w:unhideWhenUsed/>
    <w:qFormat/>
  </w:style>
  <w:style w:type="paragraph" w:styleId="652">
    <w:name w:val="Subtitle"/>
    <w:basedOn w:val="626"/>
    <w:next w:val="626"/>
    <w:link w:val="724"/>
    <w:uiPriority w:val="11"/>
    <w:qFormat/>
    <w:pPr>
      <w:jc w:val="center"/>
      <w:spacing w:after="160" w:line="278" w:lineRule="auto"/>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653">
    <w:name w:val="toc 2"/>
    <w:basedOn w:val="626"/>
    <w:next w:val="626"/>
    <w:uiPriority w:val="39"/>
    <w:qFormat/>
    <w:pPr>
      <w:ind w:left="420"/>
    </w:pPr>
  </w:style>
  <w:style w:type="paragraph" w:styleId="654">
    <w:name w:val="Normal (Web)"/>
    <w:basedOn w:val="626"/>
    <w:uiPriority w:val="0"/>
    <w:unhideWhenUsed/>
    <w:qFormat/>
    <w:pPr>
      <w:jc w:val="left"/>
      <w:spacing w:before="100" w:beforeAutospacing="1" w:after="100" w:afterAutospacing="1"/>
      <w:widowControl/>
    </w:pPr>
    <w:rPr>
      <w:rFonts w:ascii="宋体" w:hAnsi="宋体" w:cs="宋体"/>
      <w:sz w:val="24"/>
      <w:szCs w:val="24"/>
    </w:rPr>
  </w:style>
  <w:style w:type="paragraph" w:styleId="655">
    <w:name w:val="Title"/>
    <w:basedOn w:val="626"/>
    <w:link w:val="675"/>
    <w:uiPriority w:val="10"/>
    <w:qFormat/>
    <w:pPr>
      <w:jc w:val="center"/>
      <w:spacing w:before="240" w:after="60" w:line="420" w:lineRule="atLeast"/>
      <w:outlineLvl w:val="0"/>
    </w:pPr>
    <w:rPr>
      <w:rFonts w:ascii="Arial" w:hAnsi="Arial"/>
      <w:b/>
      <w:sz w:val="32"/>
    </w:rPr>
  </w:style>
  <w:style w:type="paragraph" w:styleId="656">
    <w:name w:val="annotation subject"/>
    <w:basedOn w:val="639"/>
    <w:next w:val="639"/>
    <w:link w:val="676"/>
    <w:uiPriority w:val="0"/>
    <w:semiHidden/>
    <w:unhideWhenUsed/>
    <w:qFormat/>
    <w:rPr>
      <w:rFonts w:cs="Times New Roman"/>
      <w:b/>
      <w:bCs/>
      <w:szCs w:val="20"/>
    </w:rPr>
  </w:style>
  <w:style w:type="paragraph" w:styleId="657">
    <w:name w:val="Body Text First Indent"/>
    <w:basedOn w:val="641"/>
    <w:uiPriority w:val="99"/>
    <w:qFormat/>
    <w:pPr>
      <w:ind w:firstLine="420"/>
    </w:pPr>
  </w:style>
  <w:style w:type="paragraph" w:styleId="658">
    <w:name w:val="Body Text First Indent 2"/>
    <w:basedOn w:val="642"/>
    <w:next w:val="626"/>
    <w:uiPriority w:val="99"/>
    <w:qFormat/>
    <w:pPr>
      <w:ind w:firstLine="420"/>
      <w:spacing w:line="360" w:lineRule="auto"/>
    </w:pPr>
    <w:rPr>
      <w:rFonts w:ascii="宋体"/>
    </w:rPr>
  </w:style>
  <w:style w:type="table" w:styleId="659">
    <w:name w:val="Table Grid"/>
    <w:basedOn w:val="6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0">
    <w:name w:val="Strong"/>
    <w:basedOn w:val="636"/>
    <w:uiPriority w:val="22"/>
    <w:qFormat/>
    <w:rPr>
      <w:b/>
    </w:rPr>
  </w:style>
  <w:style w:type="character" w:styleId="661">
    <w:name w:val="Emphasis"/>
    <w:uiPriority w:val="0"/>
    <w:qFormat/>
    <w:rPr>
      <w:i/>
    </w:rPr>
  </w:style>
  <w:style w:type="character" w:styleId="662">
    <w:name w:val="Hyperlink"/>
    <w:basedOn w:val="636"/>
    <w:uiPriority w:val="99"/>
    <w:unhideWhenUsed/>
    <w:qFormat/>
    <w:rPr>
      <w:color w:val="0000ff" w:themeColor="hyperlink"/>
      <w:u w:val="single"/>
      <w14:textFill>
        <w14:solidFill>
          <w14:schemeClr w14:val="hlink"/>
        </w14:solidFill>
      </w14:textFill>
    </w:rPr>
  </w:style>
  <w:style w:type="character" w:styleId="663">
    <w:name w:val="annotation reference"/>
    <w:uiPriority w:val="0"/>
    <w:qFormat/>
    <w:rPr>
      <w:sz w:val="21"/>
    </w:rPr>
  </w:style>
  <w:style w:type="character" w:styleId="664" w:customStyle="1">
    <w:name w:val="标题 1 Char"/>
    <w:basedOn w:val="636"/>
    <w:link w:val="627"/>
    <w:uiPriority w:val="9"/>
    <w:qFormat/>
    <w:rPr>
      <w:rFonts w:ascii="Calibri" w:hAnsi="Calibri" w:eastAsia="宋体" w:cs="Times New Roman"/>
      <w:b/>
      <w:bCs/>
      <w:sz w:val="44"/>
      <w:szCs w:val="44"/>
    </w:rPr>
  </w:style>
  <w:style w:type="character" w:styleId="665" w:customStyle="1">
    <w:name w:val="标题 2 Char"/>
    <w:basedOn w:val="636"/>
    <w:link w:val="628"/>
    <w:uiPriority w:val="9"/>
    <w:qFormat/>
    <w:rPr>
      <w:rFonts w:ascii="Cambria" w:hAnsi="Cambria" w:eastAsia="宋体" w:cs="黑体"/>
      <w:b/>
      <w:bCs/>
      <w:sz w:val="32"/>
      <w:szCs w:val="32"/>
    </w:rPr>
  </w:style>
  <w:style w:type="character" w:styleId="666" w:customStyle="1">
    <w:name w:val="标题 3 Char1"/>
    <w:link w:val="629"/>
    <w:uiPriority w:val="9"/>
    <w:qFormat/>
    <w:rPr>
      <w:rFonts w:ascii="Calibri" w:hAnsi="Calibri" w:eastAsia="宋体" w:cs="Times New Roman"/>
      <w:b/>
      <w:bCs/>
      <w:sz w:val="32"/>
      <w:szCs w:val="32"/>
    </w:rPr>
  </w:style>
  <w:style w:type="character" w:styleId="667" w:customStyle="1">
    <w:name w:val="标题 4 Char"/>
    <w:link w:val="630"/>
    <w:uiPriority w:val="9"/>
    <w:qFormat/>
    <w:rPr>
      <w:rFonts w:ascii="Cambria" w:hAnsi="Cambria"/>
      <w:b/>
      <w:bCs/>
      <w:sz w:val="28"/>
      <w:szCs w:val="28"/>
    </w:rPr>
  </w:style>
  <w:style w:type="character" w:styleId="668" w:customStyle="1">
    <w:name w:val="批注文字 Char"/>
    <w:basedOn w:val="636"/>
    <w:link w:val="639"/>
    <w:uiPriority w:val="99"/>
    <w:semiHidden/>
    <w:qFormat/>
    <w:rPr>
      <w:rFonts w:ascii="Calibri" w:hAnsi="Calibri" w:eastAsia="宋体" w:cs="Times New Roman"/>
      <w:szCs w:val="20"/>
    </w:rPr>
  </w:style>
  <w:style w:type="character" w:styleId="669" w:customStyle="1">
    <w:name w:val="正文文本 3 Char"/>
    <w:basedOn w:val="636"/>
    <w:link w:val="640"/>
    <w:uiPriority w:val="99"/>
    <w:semiHidden/>
    <w:qFormat/>
    <w:rPr>
      <w:rFonts w:ascii="Calibri" w:hAnsi="Calibri" w:eastAsia="宋体" w:cs="Times New Roman"/>
      <w:sz w:val="16"/>
      <w:szCs w:val="16"/>
    </w:rPr>
  </w:style>
  <w:style w:type="character" w:styleId="670" w:customStyle="1">
    <w:name w:val="正文文本 Char"/>
    <w:basedOn w:val="636"/>
    <w:link w:val="641"/>
    <w:uiPriority w:val="99"/>
    <w:semiHidden/>
    <w:qFormat/>
    <w:rPr>
      <w:rFonts w:ascii="Calibri" w:hAnsi="Calibri" w:eastAsia="宋体" w:cs="Times New Roman"/>
      <w:szCs w:val="20"/>
    </w:rPr>
  </w:style>
  <w:style w:type="character" w:styleId="671" w:customStyle="1">
    <w:name w:val="纯文本 Char"/>
    <w:basedOn w:val="636"/>
    <w:link w:val="645"/>
    <w:uiPriority w:val="0"/>
    <w:qFormat/>
    <w:rPr>
      <w:rFonts w:ascii="宋体" w:hAnsi="Courier New"/>
    </w:rPr>
  </w:style>
  <w:style w:type="character" w:styleId="672" w:customStyle="1">
    <w:name w:val="批注框文本 Char"/>
    <w:basedOn w:val="636"/>
    <w:link w:val="646"/>
    <w:uiPriority w:val="99"/>
    <w:semiHidden/>
    <w:qFormat/>
    <w:rPr>
      <w:rFonts w:ascii="Calibri" w:hAnsi="Calibri" w:eastAsia="宋体" w:cs="Times New Roman"/>
      <w:sz w:val="18"/>
      <w:szCs w:val="18"/>
    </w:rPr>
  </w:style>
  <w:style w:type="character" w:styleId="673" w:customStyle="1">
    <w:name w:val="页脚 Char"/>
    <w:basedOn w:val="636"/>
    <w:link w:val="647"/>
    <w:uiPriority w:val="99"/>
    <w:qFormat/>
    <w:rPr>
      <w:sz w:val="18"/>
      <w:szCs w:val="18"/>
    </w:rPr>
  </w:style>
  <w:style w:type="character" w:styleId="674" w:customStyle="1">
    <w:name w:val="页眉 Char"/>
    <w:basedOn w:val="636"/>
    <w:link w:val="648"/>
    <w:uiPriority w:val="99"/>
    <w:qFormat/>
    <w:rPr>
      <w:sz w:val="18"/>
      <w:szCs w:val="18"/>
    </w:rPr>
  </w:style>
  <w:style w:type="character" w:styleId="675" w:customStyle="1">
    <w:name w:val="标题 Char"/>
    <w:basedOn w:val="636"/>
    <w:link w:val="655"/>
    <w:uiPriority w:val="10"/>
    <w:rPr>
      <w:rFonts w:ascii="Arial" w:hAnsi="Arial"/>
      <w:b/>
      <w:sz w:val="32"/>
    </w:rPr>
  </w:style>
  <w:style w:type="character" w:styleId="676" w:customStyle="1">
    <w:name w:val="批注主题 Char"/>
    <w:basedOn w:val="668"/>
    <w:link w:val="656"/>
    <w:uiPriority w:val="0"/>
    <w:semiHidden/>
    <w:qFormat/>
    <w:rPr>
      <w:rFonts w:ascii="Calibri" w:hAnsi="Calibri" w:eastAsia="宋体" w:cs="Times New Roman"/>
      <w:b/>
      <w:bCs/>
      <w:sz w:val="21"/>
      <w:szCs w:val="20"/>
    </w:rPr>
  </w:style>
  <w:style w:type="paragraph" w:styleId="677" w:customStyle="1">
    <w:name w:val="索引 41"/>
    <w:basedOn w:val="678"/>
    <w:next w:val="626"/>
    <w:uiPriority w:val="0"/>
    <w:semiHidden/>
    <w:qFormat/>
    <w:pPr>
      <w:ind w:left="1260"/>
    </w:pPr>
    <w:rPr>
      <w:rFonts w:ascii="Calibri" w:hAnsi="Calibri" w:eastAsia="Calibri" w:cs="宋体"/>
      <w:sz w:val="20"/>
      <w:lang w:val="zh-CN"/>
    </w:rPr>
  </w:style>
  <w:style w:type="paragraph" w:styleId="678" w:customStyle="1">
    <w:name w:val="正文1"/>
    <w:next w:val="677"/>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679" w:customStyle="1">
    <w:name w:val="正文文本缩进1"/>
    <w:basedOn w:val="626"/>
    <w:next w:val="680"/>
    <w:uiPriority w:val="0"/>
    <w:unhideWhenUsed/>
    <w:qFormat/>
    <w:pPr>
      <w:ind w:left="420"/>
      <w:spacing w:after="120"/>
    </w:pPr>
  </w:style>
  <w:style w:type="paragraph" w:styleId="680" w:customStyle="1">
    <w:name w:val="正文文本首行缩进 2"/>
    <w:basedOn w:val="679"/>
    <w:uiPriority w:val="0"/>
    <w:qFormat/>
    <w:pPr>
      <w:ind w:left="0" w:firstLine="420"/>
      <w:spacing w:after="0" w:line="360" w:lineRule="auto"/>
    </w:pPr>
    <w:rPr>
      <w:rFonts w:ascii="宋体" w:hAnsi="宋体"/>
      <w:sz w:val="20"/>
      <w:lang w:eastAsia="en-US"/>
    </w:rPr>
  </w:style>
  <w:style w:type="paragraph" w:styleId="681" w:customStyle="1">
    <w:name w:val="列出段落1"/>
    <w:basedOn w:val="626"/>
    <w:link w:val="682"/>
    <w:uiPriority w:val="34"/>
    <w:qFormat/>
    <w:pPr>
      <w:ind w:firstLine="420"/>
    </w:pPr>
    <w:rPr>
      <w:rFonts w:cs="黑体"/>
      <w:szCs w:val="24"/>
    </w:rPr>
  </w:style>
  <w:style w:type="character" w:styleId="682" w:customStyle="1">
    <w:name w:val="列出段落 Char"/>
    <w:link w:val="681"/>
    <w:uiPriority w:val="0"/>
    <w:qFormat/>
    <w:rPr>
      <w:rFonts w:eastAsia="宋体"/>
      <w:szCs w:val="24"/>
    </w:rPr>
  </w:style>
  <w:style w:type="paragraph" w:styleId="683" w:customStyle="1">
    <w:name w:val="【正文】"/>
    <w:basedOn w:val="626"/>
    <w:link w:val="684"/>
    <w:uiPriority w:val="0"/>
    <w:qFormat/>
    <w:pPr>
      <w:ind w:firstLine="480"/>
      <w:spacing w:line="360" w:lineRule="auto"/>
    </w:pPr>
    <w:rPr>
      <w:rFonts w:cs="黑体"/>
      <w:sz w:val="24"/>
      <w:szCs w:val="22"/>
    </w:rPr>
  </w:style>
  <w:style w:type="character" w:styleId="684" w:customStyle="1">
    <w:name w:val="【正文】 Char"/>
    <w:link w:val="683"/>
    <w:uiPriority w:val="0"/>
    <w:qFormat/>
    <w:rPr>
      <w:rFonts w:ascii="Calibri" w:hAnsi="Calibri" w:eastAsia="宋体"/>
      <w:sz w:val="24"/>
    </w:rPr>
  </w:style>
  <w:style w:type="paragraph" w:styleId="685" w:customStyle="1">
    <w:name w:val="列出段落11"/>
    <w:basedOn w:val="626"/>
    <w:link w:val="686"/>
    <w:uiPriority w:val="0"/>
    <w:qFormat/>
    <w:pPr>
      <w:ind w:firstLine="200"/>
      <w:spacing w:line="360" w:lineRule="auto"/>
    </w:pPr>
    <w:rPr>
      <w:rFonts w:cs="黑体"/>
      <w:sz w:val="24"/>
      <w:szCs w:val="22"/>
    </w:rPr>
  </w:style>
  <w:style w:type="character" w:styleId="686" w:customStyle="1">
    <w:name w:val="编号 Char"/>
    <w:link w:val="685"/>
    <w:uiPriority w:val="0"/>
    <w:qFormat/>
    <w:rPr>
      <w:sz w:val="24"/>
    </w:rPr>
  </w:style>
  <w:style w:type="paragraph" w:styleId="687" w:customStyle="1">
    <w:name w:val="无间隔1"/>
    <w:uiPriority w:val="1"/>
    <w:qFormat/>
    <w:pPr>
      <w:jc w:val="both"/>
      <w:widowControl w:val="off"/>
    </w:pPr>
    <w:rPr>
      <w:rFonts w:ascii="Calibri" w:hAnsi="Calibri" w:eastAsia="宋体" w:cs="Times New Roman"/>
      <w:sz w:val="21"/>
      <w:lang w:val="en-US" w:eastAsia="zh-CN" w:bidi="ar-SA"/>
    </w:rPr>
  </w:style>
  <w:style w:type="paragraph" w:styleId="688" w:customStyle="1">
    <w:name w:val="Normal_0"/>
    <w:uiPriority w:val="0"/>
    <w:qFormat/>
    <w:rPr>
      <w:rFonts w:ascii="Times New Roman" w:hAnsi="Times New Roman" w:eastAsia="Times New Roman" w:cs="Times New Roman"/>
      <w:sz w:val="24"/>
      <w:szCs w:val="24"/>
      <w:lang w:val="en-US" w:eastAsia="zh-CN" w:bidi="ar-SA"/>
    </w:rPr>
  </w:style>
  <w:style w:type="paragraph" w:styleId="689" w:customStyle="1">
    <w:name w:val="Table Paragraph"/>
    <w:basedOn w:val="626"/>
    <w:uiPriority w:val="1"/>
    <w:qFormat/>
  </w:style>
  <w:style w:type="paragraph" w:styleId="690" w:customStyle="1">
    <w:name w:val="无间隔11"/>
    <w:basedOn w:val="626"/>
    <w:uiPriority w:val="1"/>
    <w:qFormat/>
    <w:pPr>
      <w:spacing w:line="400" w:lineRule="exact"/>
    </w:pPr>
    <w:rPr>
      <w:sz w:val="24"/>
    </w:rPr>
  </w:style>
  <w:style w:type="character" w:styleId="691" w:customStyle="1">
    <w:name w:val="标题 3 Char"/>
    <w:basedOn w:val="636"/>
    <w:uiPriority w:val="9"/>
    <w:semiHidden/>
    <w:qFormat/>
    <w:rPr>
      <w:rFonts w:ascii="Calibri" w:hAnsi="Calibri" w:eastAsia="宋体" w:cs="Times New Roman"/>
      <w:b/>
      <w:bCs/>
      <w:sz w:val="32"/>
      <w:szCs w:val="32"/>
    </w:rPr>
  </w:style>
  <w:style w:type="character" w:styleId="692" w:customStyle="1">
    <w:name w:val="正文文本 Char1"/>
    <w:uiPriority w:val="0"/>
    <w:qFormat/>
    <w:rPr>
      <w:szCs w:val="24"/>
    </w:rPr>
  </w:style>
  <w:style w:type="character" w:styleId="693" w:customStyle="1">
    <w:name w:val="批注文字 Char1"/>
    <w:uiPriority w:val="99"/>
    <w:qFormat/>
    <w:rPr>
      <w:rFonts w:eastAsia="宋体"/>
    </w:rPr>
  </w:style>
  <w:style w:type="character" w:styleId="694" w:customStyle="1">
    <w:name w:val="页脚 Char2"/>
    <w:uiPriority w:val="99"/>
    <w:semiHidden/>
    <w:qFormat/>
    <w:rPr>
      <w:rFonts w:cs="Times New Roman"/>
      <w:sz w:val="18"/>
      <w:szCs w:val="18"/>
    </w:rPr>
  </w:style>
  <w:style w:type="character" w:styleId="695" w:customStyle="1">
    <w:name w:val="标题 1 Char1"/>
    <w:uiPriority w:val="0"/>
    <w:qFormat/>
    <w:rPr>
      <w:rFonts w:ascii="Times New Roman" w:hAnsi="Times New Roman" w:eastAsia="宋体" w:cs="Times New Roman"/>
      <w:b/>
      <w:bCs/>
      <w:sz w:val="44"/>
      <w:szCs w:val="44"/>
    </w:rPr>
  </w:style>
  <w:style w:type="paragraph" w:styleId="696" w:customStyle="1">
    <w:name w:val="普通正文"/>
    <w:basedOn w:val="626"/>
    <w:uiPriority w:val="0"/>
    <w:qFormat/>
    <w:pPr>
      <w:ind w:firstLine="480"/>
      <w:jc w:val="left"/>
      <w:spacing w:before="120" w:after="120" w:line="360" w:lineRule="auto"/>
    </w:pPr>
    <w:rPr>
      <w:rFonts w:ascii="Arial" w:hAnsi="Arial"/>
      <w:sz w:val="24"/>
      <w:szCs w:val="24"/>
    </w:rPr>
  </w:style>
  <w:style w:type="paragraph" w:styleId="697">
    <w:name w:val="List Paragraph"/>
    <w:basedOn w:val="626"/>
    <w:uiPriority w:val="34"/>
    <w:qFormat/>
    <w:pPr>
      <w:ind w:firstLine="420"/>
    </w:pPr>
  </w:style>
  <w:style w:type="character" w:styleId="698" w:customStyle="1">
    <w:name w:val="Body text|2_"/>
    <w:link w:val="699"/>
    <w:uiPriority w:val="0"/>
    <w:qFormat/>
    <w:rPr>
      <w:rFonts w:ascii="宋体" w:hAnsi="宋体" w:cs="宋体"/>
      <w:sz w:val="22"/>
      <w:szCs w:val="22"/>
      <w:lang w:val="zh-TW" w:eastAsia="zh-TW" w:bidi="zh-TW"/>
    </w:rPr>
  </w:style>
  <w:style w:type="paragraph" w:styleId="699" w:customStyle="1">
    <w:name w:val="Body text|2"/>
    <w:basedOn w:val="626"/>
    <w:link w:val="698"/>
    <w:uiPriority w:val="0"/>
    <w:qFormat/>
    <w:pPr>
      <w:ind w:left="3330"/>
      <w:jc w:val="left"/>
      <w:spacing w:after="300"/>
    </w:pPr>
    <w:rPr>
      <w:rFonts w:ascii="宋体" w:hAnsi="宋体" w:cs="宋体"/>
      <w:sz w:val="22"/>
      <w:szCs w:val="22"/>
      <w:lang w:val="zh-TW" w:eastAsia="zh-TW" w:bidi="zh-TW"/>
    </w:rPr>
  </w:style>
  <w:style w:type="character" w:styleId="700" w:customStyle="1">
    <w:name w:val="Body text|1_"/>
    <w:link w:val="701"/>
    <w:uiPriority w:val="0"/>
    <w:qFormat/>
    <w:rPr>
      <w:rFonts w:ascii="宋体" w:hAnsi="宋体" w:cs="宋体"/>
      <w:sz w:val="34"/>
      <w:szCs w:val="34"/>
      <w:lang w:val="zh-TW" w:eastAsia="zh-TW" w:bidi="zh-TW"/>
    </w:rPr>
  </w:style>
  <w:style w:type="paragraph" w:styleId="701" w:customStyle="1">
    <w:name w:val="Body text|1"/>
    <w:basedOn w:val="626"/>
    <w:link w:val="700"/>
    <w:uiPriority w:val="0"/>
    <w:qFormat/>
    <w:pPr>
      <w:jc w:val="center"/>
      <w:spacing w:after="500"/>
    </w:pPr>
    <w:rPr>
      <w:rFonts w:ascii="宋体" w:hAnsi="宋体" w:cs="宋体"/>
      <w:sz w:val="34"/>
      <w:szCs w:val="34"/>
      <w:lang w:val="zh-TW" w:eastAsia="zh-TW" w:bidi="zh-TW"/>
    </w:rPr>
  </w:style>
  <w:style w:type="character" w:styleId="702" w:customStyle="1">
    <w:name w:val="Other|1_"/>
    <w:link w:val="703"/>
    <w:uiPriority w:val="0"/>
    <w:qFormat/>
    <w:rPr>
      <w:rFonts w:ascii="宋体" w:hAnsi="宋体" w:cs="宋体"/>
      <w:sz w:val="22"/>
      <w:szCs w:val="22"/>
      <w:lang w:val="zh-TW" w:eastAsia="zh-TW" w:bidi="zh-TW"/>
    </w:rPr>
  </w:style>
  <w:style w:type="paragraph" w:styleId="703" w:customStyle="1">
    <w:name w:val="Other|1"/>
    <w:basedOn w:val="626"/>
    <w:link w:val="702"/>
    <w:uiPriority w:val="0"/>
    <w:qFormat/>
    <w:pPr>
      <w:jc w:val="left"/>
    </w:pPr>
    <w:rPr>
      <w:rFonts w:ascii="宋体" w:hAnsi="宋体" w:cs="宋体"/>
      <w:sz w:val="22"/>
      <w:szCs w:val="22"/>
      <w:lang w:val="zh-TW" w:eastAsia="zh-TW" w:bidi="zh-TW"/>
    </w:rPr>
  </w:style>
  <w:style w:type="paragraph" w:styleId="704" w:customStyle="1">
    <w:name w:val="Char"/>
    <w:basedOn w:val="626"/>
    <w:uiPriority w:val="0"/>
    <w:qFormat/>
    <w:pPr>
      <w:ind w:firstLine="200"/>
      <w:tabs>
        <w:tab w:val="left" w:pos="360" w:leader="none"/>
      </w:tabs>
    </w:pPr>
    <w:rPr>
      <w:rFonts w:ascii="Times New Roman" w:hAnsi="Times New Roman"/>
      <w:sz w:val="28"/>
      <w:szCs w:val="30"/>
    </w:rPr>
  </w:style>
  <w:style w:type="character" w:styleId="705" w:customStyle="1">
    <w:name w:val="font11"/>
    <w:basedOn w:val="636"/>
    <w:uiPriority w:val="0"/>
    <w:qFormat/>
    <w:rPr>
      <w:rFonts w:hint="eastAsia" w:ascii="宋体" w:hAnsi="宋体" w:eastAsia="宋体" w:cs="宋体"/>
      <w:b/>
      <w:bCs/>
      <w:color w:val="000000"/>
      <w:sz w:val="24"/>
      <w:szCs w:val="24"/>
      <w:u w:val="none"/>
    </w:rPr>
  </w:style>
  <w:style w:type="character" w:styleId="706" w:customStyle="1">
    <w:name w:val="font21"/>
    <w:basedOn w:val="636"/>
    <w:uiPriority w:val="0"/>
    <w:qFormat/>
    <w:rPr>
      <w:rFonts w:hint="eastAsia" w:ascii="宋体" w:hAnsi="宋体" w:eastAsia="宋体" w:cs="宋体"/>
      <w:color w:val="000000"/>
      <w:sz w:val="24"/>
      <w:szCs w:val="24"/>
      <w:u w:val="none"/>
    </w:rPr>
  </w:style>
  <w:style w:type="paragraph" w:styleId="707" w:customStyle="1">
    <w:name w:val="批注框文本1"/>
    <w:basedOn w:val="626"/>
    <w:uiPriority w:val="99"/>
    <w:semiHidden/>
    <w:qFormat/>
    <w:rPr>
      <w:sz w:val="18"/>
      <w:szCs w:val="18"/>
    </w:rPr>
  </w:style>
  <w:style w:type="character" w:styleId="708" w:customStyle="1">
    <w:name w:val="font01"/>
    <w:basedOn w:val="636"/>
    <w:uiPriority w:val="0"/>
    <w:qFormat/>
    <w:rPr>
      <w:rFonts w:hint="eastAsia" w:ascii="宋体" w:hAnsi="宋体" w:eastAsia="宋体" w:cs="宋体"/>
      <w:color w:val="000000"/>
      <w:sz w:val="22"/>
      <w:szCs w:val="22"/>
      <w:u w:val="none"/>
    </w:rPr>
  </w:style>
  <w:style w:type="paragraph" w:styleId="709" w:customStyle="1">
    <w:name w:val="一级条标题"/>
    <w:basedOn w:val="710"/>
    <w:next w:val="7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0" w:customStyle="1">
    <w:name w:val="章标题"/>
    <w:next w:val="62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1" w:customStyle="1">
    <w:name w:val="段"/>
    <w:next w:val="71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12" w:customStyle="1">
    <w:name w:val="正文 A"/>
    <w:next w:val="711"/>
    <w:uiPriority w:val="0"/>
    <w:qFormat/>
    <w:pPr>
      <w:jc w:val="both"/>
      <w:widowControl w:val="off"/>
    </w:pPr>
    <w:rPr>
      <w:rFonts w:ascii="Calibri" w:hAnsi="Calibri" w:eastAsia="Calibri" w:cs="Calibri"/>
      <w:color w:val="000000"/>
      <w:sz w:val="21"/>
      <w:szCs w:val="21"/>
      <w:lang w:val="en-US" w:eastAsia="zh-CN" w:bidi="ar-SA"/>
    </w:rPr>
  </w:style>
  <w:style w:type="paragraph" w:styleId="713" w:customStyle="1">
    <w:name w:val="正文文本11"/>
    <w:basedOn w:val="626"/>
    <w:next w:val="626"/>
    <w:uiPriority w:val="0"/>
    <w:qFormat/>
    <w:rPr>
      <w:rFonts w:ascii="宋体"/>
      <w:sz w:val="28"/>
    </w:rPr>
  </w:style>
  <w:style w:type="paragraph" w:styleId="714" w:customStyle="1">
    <w:name w:val="纯文本1"/>
    <w:basedOn w:val="626"/>
    <w:uiPriority w:val="0"/>
    <w:qFormat/>
    <w:pPr>
      <w:ind w:firstLine="200"/>
      <w:spacing w:line="360" w:lineRule="auto"/>
    </w:pPr>
    <w:rPr>
      <w:rFonts w:ascii="宋体" w:hAnsi="Courier New"/>
      <w:sz w:val="20"/>
    </w:rPr>
  </w:style>
  <w:style w:type="character" w:styleId="715" w:customStyle="1">
    <w:name w:val="font61"/>
    <w:basedOn w:val="636"/>
    <w:uiPriority w:val="0"/>
    <w:qFormat/>
    <w:rPr>
      <w:rFonts w:hint="eastAsia" w:ascii="宋体" w:hAnsi="宋体" w:eastAsia="宋体" w:cs="宋体"/>
      <w:color w:val="000000"/>
      <w:sz w:val="20"/>
      <w:szCs w:val="20"/>
      <w:u w:val="none"/>
    </w:rPr>
  </w:style>
  <w:style w:type="character" w:styleId="716" w:customStyle="1">
    <w:name w:val="font51"/>
    <w:basedOn w:val="636"/>
    <w:uiPriority w:val="0"/>
    <w:qFormat/>
    <w:rPr>
      <w:rFonts w:hint="eastAsia" w:ascii="宋体" w:hAnsi="宋体" w:eastAsia="宋体" w:cs="宋体"/>
      <w:color w:val="ff0000"/>
      <w:sz w:val="20"/>
      <w:szCs w:val="20"/>
      <w:u w:val="none"/>
    </w:rPr>
  </w:style>
  <w:style w:type="character" w:styleId="717" w:customStyle="1">
    <w:name w:val="font41"/>
    <w:basedOn w:val="636"/>
    <w:uiPriority w:val="0"/>
    <w:qFormat/>
    <w:rPr>
      <w:rFonts w:hint="eastAsia" w:ascii="宋体" w:hAnsi="宋体" w:eastAsia="宋体" w:cs="宋体"/>
      <w:color w:val="000000"/>
      <w:sz w:val="20"/>
      <w:szCs w:val="20"/>
      <w:u w:val="none"/>
    </w:rPr>
  </w:style>
  <w:style w:type="character" w:styleId="718" w:customStyle="1">
    <w:name w:val="font71"/>
    <w:basedOn w:val="636"/>
    <w:uiPriority w:val="0"/>
    <w:qFormat/>
    <w:rPr>
      <w:rFonts w:ascii="MS Gothic" w:hAnsi="MS Gothic" w:eastAsia="MS Gothic" w:cs="MS Gothic"/>
      <w:color w:val="000000"/>
      <w:sz w:val="20"/>
      <w:szCs w:val="20"/>
      <w:u w:val="none"/>
    </w:rPr>
  </w:style>
  <w:style w:type="character" w:styleId="719" w:customStyle="1">
    <w:name w:val="标题 5 Char"/>
    <w:basedOn w:val="636"/>
    <w:link w:val="631"/>
    <w:uiPriority w:val="9"/>
    <w:semiHidden/>
    <w:qFormat/>
    <w:rPr>
      <w:rFonts w:asciiTheme="minorHAnsi" w:hAnsiTheme="minorHAnsi" w:eastAsiaTheme="minorEastAsia" w:cstheme="majorBidi"/>
      <w:color w:val="376092" w:themeColor="accent1" w:themeShade="BF"/>
      <w:sz w:val="24"/>
      <w:szCs w:val="24"/>
      <w14:ligatures w14:val="standardContextual"/>
    </w:rPr>
  </w:style>
  <w:style w:type="character" w:styleId="720" w:customStyle="1">
    <w:name w:val="标题 6 Char"/>
    <w:basedOn w:val="636"/>
    <w:link w:val="632"/>
    <w:uiPriority w:val="9"/>
    <w:semiHidden/>
    <w:qFormat/>
    <w:rPr>
      <w:rFonts w:asciiTheme="minorHAnsi" w:hAnsiTheme="minorHAnsi" w:eastAsiaTheme="minorEastAsia" w:cstheme="majorBidi"/>
      <w:b/>
      <w:bCs/>
      <w:color w:val="376092" w:themeColor="accent1" w:themeShade="BF"/>
      <w:sz w:val="22"/>
      <w:szCs w:val="24"/>
      <w14:ligatures w14:val="standardContextual"/>
    </w:rPr>
  </w:style>
  <w:style w:type="character" w:styleId="721" w:customStyle="1">
    <w:name w:val="标题 7 Char"/>
    <w:basedOn w:val="636"/>
    <w:link w:val="633"/>
    <w:uiPriority w:val="9"/>
    <w:semiHidden/>
    <w:qFormat/>
    <w:rPr>
      <w:rFonts w:asciiTheme="minorHAnsi" w:hAnsiTheme="minorHAnsi" w:eastAsiaTheme="minorEastAsia" w:cstheme="majorBidi"/>
      <w:b/>
      <w:bCs/>
      <w:color w:val="595959" w:themeColor="text1" w:themeTint="A6"/>
      <w:sz w:val="22"/>
      <w:szCs w:val="24"/>
      <w14:textFill>
        <w14:solidFill>
          <w14:schemeClr w14:val="tx1">
            <w14:lumMod w14:val="65000"/>
            <w14:lumOff w14:val="35000"/>
          </w14:schemeClr>
        </w14:solidFill>
      </w14:textFill>
      <w14:ligatures w14:val="standardContextual"/>
    </w:rPr>
  </w:style>
  <w:style w:type="character" w:styleId="722" w:customStyle="1">
    <w:name w:val="标题 8 Char"/>
    <w:basedOn w:val="636"/>
    <w:link w:val="634"/>
    <w:uiPriority w:val="9"/>
    <w:semiHidden/>
    <w:qFormat/>
    <w:rPr>
      <w:rFonts w:asciiTheme="minorHAnsi" w:hAnsiTheme="minorHAnsi" w:eastAsiaTheme="min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character" w:styleId="723" w:customStyle="1">
    <w:name w:val="标题 9 Char"/>
    <w:basedOn w:val="636"/>
    <w:link w:val="635"/>
    <w:uiPriority w:val="9"/>
    <w:semiHidden/>
    <w:qFormat/>
    <w:rPr>
      <w:rFonts w:asciiTheme="minorHAnsi" w:hAnsiTheme="minorHAnsi" w:eastAsiaTheme="majorEastAsia" w:cstheme="majorBidi"/>
      <w:color w:val="595959" w:themeColor="text1" w:themeTint="A6"/>
      <w:sz w:val="22"/>
      <w:szCs w:val="24"/>
      <w14:textFill>
        <w14:solidFill>
          <w14:schemeClr w14:val="tx1">
            <w14:lumMod w14:val="65000"/>
            <w14:lumOff w14:val="35000"/>
          </w14:schemeClr>
        </w14:solidFill>
      </w14:textFill>
      <w14:ligatures w14:val="standardContextual"/>
    </w:rPr>
  </w:style>
  <w:style w:type="character" w:styleId="724" w:customStyle="1">
    <w:name w:val="副标题 Char"/>
    <w:basedOn w:val="636"/>
    <w:link w:val="652"/>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character" w:styleId="725" w:customStyle="1">
    <w:name w:val="引用 Char"/>
    <w:basedOn w:val="636"/>
    <w:link w:val="726"/>
    <w:uiPriority w:val="29"/>
    <w:qFormat/>
    <w:rPr>
      <w:rFonts w:asciiTheme="minorHAnsi" w:hAnsiTheme="minorHAnsi" w:eastAsiaTheme="minorEastAsia" w:cstheme="minorBidi"/>
      <w:i/>
      <w:iCs/>
      <w:color w:val="404040" w:themeColor="text1" w:themeTint="BF"/>
      <w:sz w:val="22"/>
      <w:szCs w:val="24"/>
      <w14:textFill>
        <w14:solidFill>
          <w14:schemeClr w14:val="tx1">
            <w14:lumMod w14:val="75000"/>
            <w14:lumOff w14:val="25000"/>
          </w14:schemeClr>
        </w14:solidFill>
      </w14:textFill>
      <w14:ligatures w14:val="standardContextual"/>
    </w:rPr>
  </w:style>
  <w:style w:type="paragraph" w:styleId="726">
    <w:name w:val="Quote"/>
    <w:basedOn w:val="626"/>
    <w:next w:val="626"/>
    <w:link w:val="725"/>
    <w:uiPriority w:val="29"/>
    <w:qFormat/>
    <w:pPr>
      <w:jc w:val="center"/>
      <w:spacing w:before="160" w:after="160" w:line="278" w:lineRule="auto"/>
    </w:pPr>
    <w:rPr>
      <w:rFonts w:asciiTheme="minorHAnsi" w:hAnsiTheme="minorHAnsi" w:eastAsiaTheme="minorEastAsia" w:cstheme="minorBidi"/>
      <w:i/>
      <w:iCs/>
      <w:color w:val="404040" w:themeColor="text1" w:themeTint="BF"/>
      <w:sz w:val="22"/>
      <w:szCs w:val="24"/>
      <w14:textFill>
        <w14:solidFill>
          <w14:schemeClr w14:val="tx1">
            <w14:lumMod w14:val="75000"/>
            <w14:lumOff w14:val="25000"/>
          </w14:schemeClr>
        </w14:solidFill>
      </w14:textFill>
      <w14:ligatures w14:val="standardContextual"/>
    </w:rPr>
  </w:style>
  <w:style w:type="character" w:styleId="727" w:customStyle="1">
    <w:name w:val="明显引用 Char"/>
    <w:basedOn w:val="636"/>
    <w:link w:val="728"/>
    <w:uiPriority w:val="30"/>
    <w:qFormat/>
    <w:rPr>
      <w:rFonts w:asciiTheme="minorHAnsi" w:hAnsiTheme="minorHAnsi" w:eastAsiaTheme="minorEastAsia" w:cstheme="minorBidi"/>
      <w:i/>
      <w:iCs/>
      <w:color w:val="376092" w:themeColor="accent1" w:themeShade="BF"/>
      <w:sz w:val="22"/>
      <w:szCs w:val="24"/>
      <w14:ligatures w14:val="standardContextual"/>
    </w:rPr>
  </w:style>
  <w:style w:type="paragraph" w:styleId="728">
    <w:name w:val="Intense Quote"/>
    <w:basedOn w:val="626"/>
    <w:next w:val="626"/>
    <w:link w:val="727"/>
    <w:uiPriority w:val="30"/>
    <w:qFormat/>
    <w:pPr>
      <w:ind w:left="864" w:right="864"/>
      <w:jc w:val="center"/>
      <w:spacing w:before="360" w:after="360" w:line="278" w:lineRule="auto"/>
      <w:pBdr>
        <w:top w:val="single" w:color="366091" w:themeColor="accent1" w:themeShade="BF" w:sz="4" w:space="10"/>
        <w:bottom w:val="single" w:color="366091" w:themeColor="accent1" w:themeShade="BF" w:sz="4" w:space="10"/>
      </w:pBdr>
    </w:pPr>
    <w:rPr>
      <w:rFonts w:asciiTheme="minorHAnsi" w:hAnsiTheme="minorHAnsi" w:eastAsiaTheme="minorEastAsia" w:cstheme="minorBidi"/>
      <w:i/>
      <w:iCs/>
      <w:color w:val="376092" w:themeColor="accent1" w:themeShade="BF"/>
      <w:sz w:val="22"/>
      <w:szCs w:val="24"/>
      <w14:ligatures w14:val="standardContextual"/>
    </w:rPr>
  </w:style>
  <w:style w:type="numbering" w:styleId="166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C61E6-DD03-49E6-99EC-BC7FD6013A9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87</cp:revision>
  <dcterms:created xsi:type="dcterms:W3CDTF">2026-06-11T08:33:00Z</dcterms:created>
  <dcterms:modified xsi:type="dcterms:W3CDTF">2026-09-29T11:13:25Z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77FAA3A0CD5743148962987565C31B50_13</vt:lpwstr>
  </property>
  <property fmtid="{D5CDD505-2E9C-101B-9397-08002B2CF9AE}" pid="4" name="KSOTemplateDocerSaveRecord">
    <vt:lpwstr>eyJoZGlkIjoiYTY4YjA2M2ZmYzc1MDRmNDMxY2Y5NmQ0NzQ5ZmUyZmYiLCJ1c2VySWQiOiIxNDYxNTEzODIxIn0=</vt:lpwstr>
  </property>
</Properties>
</file>