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b/>
          <w:color w:val="auto"/>
          <w:sz w:val="72"/>
          <w:szCs w:val="20"/>
          <w:highlight w:val="none"/>
          <w:shd w:val="clear" w:color="auto" w:fill="ffffff"/>
        </w:rPr>
      </w:pPr>
      <w:r>
        <w:rPr>
          <w:rFonts w:ascii="宋体" w:hAnsi="宋体" w:eastAsia="宋体" w:cs="宋体"/>
          <w:b/>
          <w:color w:val="auto"/>
          <w:sz w:val="72"/>
          <w:szCs w:val="20"/>
          <w:highlight w:val="none"/>
          <w:shd w:val="clear" w:color="auto" w:fill="ffffff"/>
        </w:rPr>
      </w:r>
      <w:r/>
    </w:p>
    <w:p>
      <w:pPr>
        <w:jc w:val="center"/>
        <w:spacing w:line="360" w:lineRule="auto"/>
        <w:rPr>
          <w:rFonts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jc w:val="center"/>
        <w:spacing w:line="360" w:lineRule="auto"/>
        <w:rPr>
          <w:rFonts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ascii="宋体" w:hAnsi="宋体" w:eastAsia="宋体" w:cs="宋体"/>
          <w:color w:val="auto"/>
          <w:sz w:val="26"/>
          <w:szCs w:val="26"/>
          <w:highlight w:val="none"/>
          <w:shd w:val="clear" w:color="auto" w:fill="ffffff"/>
        </w:rPr>
      </w:pPr>
      <w:r>
        <w:rPr>
          <w:rFonts w:ascii="宋体" w:hAnsi="宋体" w:eastAsia="宋体" w:cs="宋体"/>
          <w:color w:val="auto"/>
          <w:sz w:val="26"/>
          <w:szCs w:val="26"/>
          <w:highlight w:val="none"/>
          <w:shd w:val="clear" w:color="auto" w:fill="ffffff"/>
        </w:rPr>
        <w:t xml:space="preserve"> </w:t>
      </w:r>
      <w:r/>
    </w:p>
    <w:p>
      <w:pPr>
        <w:pStyle w:val="928"/>
        <w:ind w:firstLine="0"/>
        <w:jc w:val="center"/>
        <w:spacing w:line="360" w:lineRule="auto"/>
        <w:rPr>
          <w:rFonts w:ascii="宋体" w:hAnsi="宋体" w:cs="宋体"/>
          <w:color w:val="auto"/>
          <w:highlight w:val="none"/>
        </w:rPr>
      </w:pPr>
      <w:r>
        <w:rPr>
          <w:rFonts w:ascii="宋体" w:hAnsi="宋体" w:cs="宋体"/>
          <w:color w:val="auto"/>
          <w:highlight w:val="none"/>
        </w:rPr>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采购编号：JSZC-320500-SZCH-G2026-0047</w:t>
      </w:r>
      <w:r/>
    </w:p>
    <w:p>
      <w:pPr>
        <w:ind w:firstLine="2249"/>
        <w:spacing w:line="360" w:lineRule="auto"/>
        <w:tabs>
          <w:tab w:val="left" w:pos="8820" w:leader="none"/>
        </w:tabs>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 购 人：苏州大学</w:t>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采购内容：多功能蛋白质表达定量分析系统</w:t>
      </w:r>
      <w:r/>
    </w:p>
    <w:p>
      <w:pPr>
        <w:ind w:firstLine="2249"/>
        <w:spacing w:line="360" w:lineRule="auto"/>
        <w:rPr>
          <w:rFonts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采购类别：货物类</w:t>
      </w:r>
      <w:r/>
    </w:p>
    <w:p>
      <w:pPr>
        <w:pStyle w:val="763"/>
        <w:ind w:left="0" w:firstLine="0"/>
        <w:jc w:val="cente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763"/>
        <w:ind w:left="0" w:firstLine="0"/>
        <w:jc w:val="center"/>
        <w:rPr>
          <w:rFonts w:ascii="宋体" w:hAnsi="宋体" w:eastAsia="宋体" w:cs="宋体"/>
          <w:color w:val="auto"/>
          <w:highlight w:val="none"/>
        </w:rPr>
      </w:pPr>
      <w:r>
        <w:rPr>
          <w:rFonts w:ascii="宋体" w:hAnsi="宋体" w:eastAsia="宋体" w:cs="宋体"/>
          <w:color w:val="auto"/>
          <w:highlight w:val="none"/>
        </w:rPr>
      </w:r>
      <w:r/>
    </w:p>
    <w:p>
      <w:pPr>
        <w:pStyle w:val="763"/>
        <w:ind w:left="0" w:firstLine="0"/>
        <w:jc w:val="cente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二○二六年九月</w:t>
      </w:r>
      <w:r/>
    </w:p>
    <w:p>
      <w:pPr>
        <w:jc w:val="center"/>
        <w:spacing w:line="360" w:lineRule="auto"/>
        <w:rPr>
          <w:rFonts w:ascii="宋体" w:hAnsi="宋体" w:eastAsia="宋体" w:cs="宋体"/>
          <w:b/>
          <w:color w:val="auto"/>
          <w:sz w:val="32"/>
          <w:szCs w:val="32"/>
          <w:highlight w:val="none"/>
          <w:shd w:val="clear" w:color="auto" w:fill="ffffff"/>
        </w:rPr>
      </w:pPr>
      <w:r>
        <w:rPr>
          <w:rFonts w:ascii="宋体" w:hAnsi="宋体" w:eastAsia="宋体" w:cs="宋体"/>
          <w:b/>
          <w:color w:val="auto"/>
          <w:sz w:val="32"/>
          <w:szCs w:val="32"/>
          <w:highlight w:val="none"/>
          <w:shd w:val="clear" w:color="auto" w:fill="ffffff"/>
        </w:rPr>
      </w:r>
      <w:r/>
    </w:p>
    <w:p>
      <w:pPr>
        <w:jc w:val="center"/>
        <w:spacing w:line="360" w:lineRule="auto"/>
        <w:rPr>
          <w:rFonts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前附表</w:t>
      </w:r>
      <w:r/>
    </w:p>
    <w:tbl>
      <w:tblPr>
        <w:tblStyle w:val="721"/>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采购内容：多功能蛋白质表达定量分析系统</w:t>
            </w:r>
            <w:r/>
          </w:p>
        </w:tc>
      </w:tr>
      <w:tr>
        <w:trPr>
          <w:jc w:val="center"/>
          <w:trHeight w:val="373"/>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投标有效期：自投标截止日起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投标保证金：</w:t>
            </w:r>
            <w:r/>
          </w:p>
          <w:p>
            <w:pPr>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shd w:val="clear" w:color="auto" w:fill="ffffff"/>
              </w:rPr>
              <w:t xml:space="preserve">不需提交，招标文件中有关投标保证金的规定均不适用。</w:t>
            </w:r>
            <w:r/>
          </w:p>
          <w:p>
            <w:pPr>
              <w:pStyle w:val="731"/>
              <w:ind w:left="0"/>
              <w:spacing w:line="240" w:lineRule="auto"/>
              <w:rPr>
                <w:rFonts w:ascii="宋体" w:hAnsi="宋体" w:eastAsia="宋体" w:cs="宋体"/>
                <w:color w:val="auto"/>
                <w:highlight w:val="none"/>
              </w:rPr>
            </w:pPr>
            <w:r>
              <w:rPr>
                <w:rFonts w:ascii="Wingdings" w:hAnsi="Wingdings" w:eastAsia="Wingdings" w:cs="Wingdings"/>
                <w:bCs/>
                <w:color w:val="auto"/>
                <w:szCs w:val="24"/>
                <w:highlight w:val="none"/>
              </w:rPr>
              <w:t xml:space="preserve"></w:t>
            </w:r>
            <w:r>
              <w:rPr>
                <w:rFonts w:hint="eastAsia" w:ascii="宋体" w:hAnsi="宋体" w:eastAsia="宋体" w:cs="宋体"/>
                <w:color w:val="auto"/>
                <w:sz w:val="21"/>
                <w:szCs w:val="21"/>
                <w:highlight w:val="none"/>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投标文件：</w:t>
            </w:r>
            <w:r>
              <w:rPr>
                <w:rFonts w:hint="eastAsia" w:ascii="宋体" w:hAnsi="宋体" w:eastAsia="宋体" w:cs="宋体"/>
                <w:b/>
                <w:bCs/>
                <w:color w:val="auto"/>
                <w:szCs w:val="21"/>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开标信息</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投标截止时间：2026年10月16</w:t>
            </w:r>
            <w:r>
              <w:rPr>
                <w:rFonts w:hint="eastAsia" w:ascii="宋体" w:hAnsi="宋体" w:eastAsia="宋体" w:cs="宋体"/>
                <w:color w:val="auto"/>
                <w:szCs w:val="21"/>
                <w:highlight w:val="none"/>
                <w:shd w:val="clear" w:color="auto" w:fill="ffffff"/>
              </w:rPr>
              <w:t xml:space="preserve">日13点30分（北京时间）</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开标时间：2026年10月16</w:t>
            </w:r>
            <w:r>
              <w:rPr>
                <w:rFonts w:hint="eastAsia" w:ascii="宋体" w:hAnsi="宋体" w:eastAsia="宋体" w:cs="宋体"/>
                <w:color w:val="auto"/>
                <w:szCs w:val="21"/>
                <w:highlight w:val="none"/>
                <w:shd w:val="clear" w:color="auto" w:fill="ffffff"/>
              </w:rPr>
              <w:t xml:space="preserve">日13点30分（北京时间）</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开标地点：“苏采云”系统（网址：http://jszfcg.jsczt.cn/）</w:t>
            </w:r>
            <w:r/>
          </w:p>
          <w:p>
            <w:pPr>
              <w:jc w:val="lef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jc w:val="left"/>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þ</w:t>
            </w:r>
            <w:r>
              <w:rPr>
                <w:rFonts w:hint="eastAsia" w:ascii="宋体" w:hAnsi="宋体" w:eastAsia="宋体" w:cs="宋体"/>
                <w:color w:val="auto"/>
                <w:szCs w:val="21"/>
                <w:highlight w:val="none"/>
                <w:shd w:val="clear" w:color="auto" w:fill="ffffff"/>
              </w:rPr>
              <w:t xml:space="preserve">需提交，中标合同金额的10%。</w:t>
            </w:r>
            <w:r/>
          </w:p>
        </w:tc>
      </w:tr>
      <w:tr>
        <w:trPr>
          <w:jc w:val="center"/>
          <w:trHeight w:val="3711"/>
        </w:trPr>
        <w:tc>
          <w:tcPr>
            <w:tcW w:w="664" w:type="dxa"/>
            <w:vAlign w:val="center"/>
            <w:textDirection w:val="lrTb"/>
            <w:noWrap w:val="false"/>
          </w:tcPr>
          <w:p>
            <w:pPr>
              <w:ind w:right="18"/>
              <w:jc w:val="center"/>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 xml:space="preserve">代理服务费:</w:t>
            </w:r>
            <w:r/>
          </w:p>
          <w:p>
            <w:pPr>
              <w:rPr>
                <w:rFonts w:ascii="宋体" w:hAnsi="宋体" w:eastAsia="宋体" w:cs="宋体"/>
                <w:color w:val="auto"/>
                <w:szCs w:val="21"/>
                <w:highlight w:val="none"/>
                <w:shd w:val="clear" w:color="auto" w:fill="ffffff"/>
              </w:rPr>
            </w:pPr>
            <w:r>
              <w:rPr>
                <w:rFonts w:ascii="Wingdings" w:hAnsi="Wingdings" w:eastAsia="Wingdings" w:cs="Wingdings"/>
                <w:bCs/>
                <w:color w:val="auto"/>
                <w:sz w:val="24"/>
                <w:szCs w:val="24"/>
                <w:highlight w:val="none"/>
              </w:rPr>
              <w:t xml:space="preserve">þ</w:t>
            </w:r>
            <w:r>
              <w:rPr>
                <w:rFonts w:hint="eastAsia" w:ascii="宋体" w:hAnsi="宋体" w:eastAsia="宋体" w:cs="宋体"/>
                <w:color w:val="auto"/>
                <w:szCs w:val="21"/>
                <w:highlight w:val="none"/>
              </w:rPr>
              <w:t xml:space="preserve">由采购人承担并直接支付</w:t>
            </w:r>
            <w:r>
              <w:rPr>
                <w:rFonts w:hint="eastAsia" w:ascii="宋体" w:hAnsi="宋体" w:eastAsia="宋体" w:cs="宋体"/>
                <w:color w:val="auto"/>
                <w:szCs w:val="21"/>
                <w:highlight w:val="none"/>
                <w:shd w:val="clear" w:color="auto" w:fill="ffffff"/>
              </w:rPr>
              <w:t xml:space="preserve">，采购文件中有关代理服务费的规定均不适用。</w:t>
            </w:r>
            <w:r/>
          </w:p>
          <w:p>
            <w:pPr>
              <w:ind w:right="18"/>
              <w:jc w:val="left"/>
              <w:tabs>
                <w:tab w:val="left" w:pos="720" w:leader="none"/>
              </w:tabs>
              <w:rPr>
                <w:rFonts w:ascii="宋体" w:hAnsi="宋体" w:eastAsia="宋体" w:cs="宋体"/>
                <w:color w:val="auto"/>
                <w:szCs w:val="21"/>
                <w:highlight w:val="none"/>
              </w:rPr>
            </w:pPr>
            <w:r>
              <w:rPr>
                <w:rFonts w:ascii="Wingdings" w:hAnsi="Wingdings" w:eastAsia="Wingdings" w:cs="Wingdings"/>
                <w:bCs/>
                <w:color w:val="auto"/>
                <w:sz w:val="24"/>
                <w:szCs w:val="24"/>
                <w:highlight w:val="none"/>
              </w:rPr>
              <w:t xml:space="preserve">¨</w:t>
            </w:r>
            <w:r>
              <w:rPr>
                <w:rFonts w:hint="eastAsia" w:ascii="宋体" w:hAnsi="宋体" w:eastAsia="宋体" w:cs="宋体"/>
                <w:color w:val="auto"/>
                <w:szCs w:val="21"/>
                <w:highlight w:val="none"/>
              </w:rPr>
              <w:t xml:space="preserve">由中标（成交）供应商承担并支付：</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tabs>
                <w:tab w:val="left" w:pos="720" w:leader="none"/>
              </w:tabs>
              <w:rPr>
                <w:rFonts w:ascii="宋体" w:hAnsi="宋体" w:eastAsia="宋体" w:cs="宋体"/>
                <w:color w:val="auto"/>
                <w:sz w:val="24"/>
                <w:szCs w:val="20"/>
                <w:highlight w:val="none"/>
              </w:rPr>
            </w:pPr>
            <w:r>
              <w:rPr>
                <w:rFonts w:hint="eastAsia" w:ascii="宋体" w:hAnsi="宋体" w:eastAsia="宋体" w:cs="宋体"/>
                <w:color w:val="auto"/>
                <w:szCs w:val="21"/>
                <w:highlight w:val="none"/>
              </w:rPr>
              <w:t xml:space="preserve">本项目代理服务费：¥7,280.00元</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付款方式：银行转账、现金解款</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服务费收款账号：8314122601346</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账户名：苏州诚和招投标咨询有限公司</w:t>
            </w:r>
            <w:r/>
          </w:p>
          <w:p>
            <w:pPr>
              <w:ind w:right="18"/>
              <w:jc w:val="left"/>
              <w:tabs>
                <w:tab w:val="left" w:pos="72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政府采购监督电话：025-83633058</w:t>
            </w:r>
            <w:r/>
          </w:p>
        </w:tc>
      </w:tr>
    </w:tbl>
    <w:p>
      <w:pPr>
        <w:jc w:val="center"/>
        <w:spacing w:line="360" w:lineRule="auto"/>
        <w:rPr>
          <w:rFonts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 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 供应商须知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 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24</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 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42</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 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47</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 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53</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 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56</w:t>
      </w:r>
      <w:r>
        <w:rPr>
          <w:rFonts w:hint="eastAsia" w:ascii="宋体" w:hAnsi="宋体" w:eastAsia="宋体" w:cs="宋体"/>
          <w:color w:val="auto"/>
          <w:sz w:val="24"/>
          <w:szCs w:val="20"/>
          <w:highlight w:val="none"/>
        </w:rPr>
      </w:r>
      <w:r>
        <w:rPr>
          <w:rFonts w:hint="eastAsia" w:ascii="宋体" w:hAnsi="宋体" w:eastAsia="宋体" w:cs="宋体"/>
          <w:color w:val="auto"/>
          <w:sz w:val="24"/>
          <w:szCs w:val="20"/>
          <w:highlight w:val="none"/>
        </w:rPr>
        <w:fldChar w:fldCharType="end"/>
      </w:r>
      <w:r/>
    </w:p>
    <w:p>
      <w:pPr>
        <w:spacing w:line="360" w:lineRule="auto"/>
        <w:rPr>
          <w:rFonts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tabs>
          <w:tab w:val="left" w:pos="6398" w:leader="none"/>
        </w:tabs>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第一章 投标邀请函</w:t>
      </w:r>
      <w:bookmarkEnd w:id="0"/>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br w:type="page" w:clear="all"/>
      </w:r>
      <w:r/>
    </w:p>
    <w:p>
      <w:pPr>
        <w:jc w:val="center"/>
        <w:keepLines/>
        <w:keepNext/>
        <w:spacing w:before="340" w:after="330" w:line="240" w:lineRule="auto"/>
        <w:rPr>
          <w:rFonts w:hint="eastAsia" w:ascii="宋体" w:hAnsi="宋体" w:eastAsia="宋体" w:cs="宋体"/>
          <w:b/>
          <w:color w:val="auto"/>
          <w:sz w:val="24"/>
          <w:szCs w:val="24"/>
          <w:highlight w:val="none"/>
          <w:shd w:val="clear" w:color="auto" w:fill="ffffff"/>
        </w:rPr>
        <w:outlineLvl w:val="0"/>
      </w:pPr>
      <w:r>
        <w:rPr>
          <w:rFonts w:hint="eastAsia" w:ascii="宋体" w:hAnsi="宋体" w:eastAsia="宋体" w:cs="宋体"/>
          <w:b/>
          <w:color w:val="auto"/>
          <w:sz w:val="24"/>
          <w:szCs w:val="24"/>
          <w:highlight w:val="none"/>
          <w:shd w:val="clear" w:color="auto" w:fill="ffffff"/>
        </w:rPr>
      </w:r>
      <w:r/>
    </w:p>
    <w:tbl>
      <w:tblPr>
        <w:tblStyle w:val="721"/>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ascii="宋体" w:hAnsi="宋体" w:eastAsia="宋体" w:cs="宋体"/>
                <w:color w:val="auto"/>
                <w:szCs w:val="21"/>
                <w:highlight w:val="none"/>
              </w:rPr>
            </w:pPr>
            <w:r>
              <w:rPr>
                <w:rFonts w:hint="eastAsia" w:ascii="宋体" w:hAnsi="宋体" w:eastAsia="宋体" w:cs="宋体"/>
                <w:color w:val="auto"/>
                <w:sz w:val="24"/>
                <w:highlight w:val="none"/>
              </w:rPr>
              <w:t xml:space="preserve">多功能蛋白质表达定量分析系统JSZC-320500-SZCH-G2026-0047的潜在投标人应在江苏省政府采购一体化平台“苏采云”系统自行免费下载招标（采购）文件，并于2026年10月</w:t>
            </w:r>
            <w:r>
              <w:rPr>
                <w:rFonts w:hint="eastAsia" w:ascii="宋体" w:hAnsi="宋体" w:eastAsia="宋体" w:cs="宋体"/>
                <w:color w:val="auto"/>
                <w:sz w:val="24"/>
                <w:highlight w:val="none"/>
                <w:lang w:val="en-US" w:eastAsia="zh-CN"/>
              </w:rPr>
              <w:t xml:space="preserve">16</w:t>
            </w:r>
            <w:r>
              <w:rPr>
                <w:rFonts w:hint="eastAsia" w:ascii="宋体" w:hAnsi="宋体" w:eastAsia="宋体" w:cs="宋体"/>
                <w:color w:val="auto"/>
                <w:sz w:val="24"/>
                <w:highlight w:val="none"/>
              </w:rPr>
              <w:t xml:space="preserve">日13点30分（北京时间）前递交投标文件。</w:t>
            </w:r>
            <w:r/>
          </w:p>
        </w:tc>
      </w:tr>
    </w:tbl>
    <w:p>
      <w:pPr>
        <w:ind w:firstLine="482"/>
        <w:spacing w:line="360" w:lineRule="auto"/>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项目编号：JSZC-320500-SZCH-G2026-0047</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项目名称：多功能蛋白质表达定量分析系统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ascii="宋体" w:hAnsi="宋体" w:eastAsia="宋体" w:cs="宋体"/>
          <w:color w:val="auto"/>
          <w:sz w:val="24"/>
          <w:szCs w:val="24"/>
          <w:highlight w:val="none"/>
        </w:rPr>
      </w:pPr>
      <w:r/>
      <w:bookmarkStart w:id="1" w:name="_Hlk193370935"/>
      <w:r>
        <w:rPr>
          <w:rFonts w:hint="eastAsia" w:ascii="宋体" w:hAnsi="宋体" w:eastAsia="宋体" w:cs="宋体"/>
          <w:color w:val="auto"/>
          <w:sz w:val="24"/>
          <w:szCs w:val="24"/>
          <w:highlight w:val="none"/>
        </w:rPr>
        <w:t xml:space="preserve">预算金额：</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人民币（大写）：贰佰万元整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人民币（小写）：¥2,000,000.00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bookmarkEnd w:id="1"/>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人民币（大写）：贰佰万元整</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人民币（小写）：¥2,000,000.00</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采购需求：多功能蛋白质表达定量分析系统1套。本项目不接受进口产品投标。具体采购需求详见招标文件。</w:t>
      </w:r>
      <w:r/>
    </w:p>
    <w:p>
      <w:pPr>
        <w:ind w:firstLine="480"/>
        <w:spacing w:line="360" w:lineRule="auto"/>
        <w:tabs>
          <w:tab w:val="left" w:pos="903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合同履行期限：中标供应商应当在合同签订后6个月内将货物运送至采购人指定实验室（采购方另行约定的时间除外，但最迟不得晚于2027年3月31日）。</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本项目（是/否）接受联合体：否。</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724"/>
        <w:ind w:firstLine="480"/>
        <w:spacing w:line="360" w:lineRule="auto"/>
        <w:rPr>
          <w:rFonts w:ascii="宋体" w:hAnsi="宋体" w:eastAsia="宋体" w:cs="宋体"/>
          <w:color w:val="auto"/>
          <w:szCs w:val="24"/>
          <w:highlight w:val="none"/>
        </w:rPr>
      </w:pPr>
      <w:r/>
      <w:bookmarkStart w:id="2" w:name="_Hlk193371023"/>
      <w:r>
        <w:rPr>
          <w:rFonts w:hint="eastAsia" w:ascii="宋体" w:hAnsi="宋体" w:eastAsia="宋体" w:cs="宋体"/>
          <w:color w:val="auto"/>
          <w:szCs w:val="24"/>
          <w:highlight w:val="none"/>
        </w:rPr>
        <w:t xml:space="preserve">1.具有独立承担民事责任的能力；</w:t>
      </w:r>
      <w:r/>
    </w:p>
    <w:p>
      <w:pPr>
        <w:pStyle w:val="72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2.具有良好的商业信誉和健全的财务会计制度；</w:t>
      </w:r>
      <w:r/>
    </w:p>
    <w:p>
      <w:pPr>
        <w:pStyle w:val="72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3.具有履行合同所必需的设备和专业技术能力；</w:t>
      </w:r>
      <w:r/>
    </w:p>
    <w:p>
      <w:pPr>
        <w:pStyle w:val="72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4.有依法缴纳税收和社会保障资金的良好记录；</w:t>
      </w:r>
      <w:r/>
    </w:p>
    <w:p>
      <w:pPr>
        <w:pStyle w:val="724"/>
        <w:ind w:firstLine="48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5.参加政府采购活动前三年内，在经营活动中没有重大违法记录；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2"/>
      <w:r/>
      <w:r/>
    </w:p>
    <w:p>
      <w:pPr>
        <w:pStyle w:val="759"/>
        <w:ind w:firstLine="480"/>
        <w:spacing w:before="0" w:beforeAutospacing="0" w:after="0" w:afterAutospacing="0" w:line="360" w:lineRule="auto"/>
        <w:widowControl/>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（二）落实政府采购政策需满足的资格要求：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）列入失信被执行人、重大税收违法案件当事人名单、政府采购严重失信行为记录名单。</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spacing w:line="360" w:lineRule="auto"/>
        <w:rPr>
          <w:rFonts w:ascii="宋体" w:hAnsi="宋体" w:eastAsia="宋体" w:cs="宋体"/>
          <w:color w:val="auto"/>
          <w:sz w:val="24"/>
          <w:szCs w:val="24"/>
          <w:highlight w:val="none"/>
        </w:rPr>
      </w:pPr>
      <w:r/>
      <w:bookmarkStart w:id="3" w:name="_Hlk97035982"/>
      <w:r>
        <w:rPr>
          <w:rFonts w:hint="eastAsia" w:ascii="宋体" w:hAnsi="宋体" w:eastAsia="宋体" w:cs="宋体"/>
          <w:color w:val="auto"/>
          <w:sz w:val="24"/>
          <w:szCs w:val="24"/>
          <w:highlight w:val="none"/>
        </w:rPr>
        <w:t xml:space="preserve">1、时间：自招标公告发布之日起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4" w:name="_Hlk193371285"/>
      <w:r>
        <w:rPr>
          <w:rFonts w:hint="eastAsia" w:ascii="宋体" w:hAnsi="宋体" w:eastAsia="宋体" w:cs="宋体"/>
          <w:color w:val="auto"/>
          <w:sz w:val="24"/>
          <w:szCs w:val="24"/>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bookmarkEnd w:id="3"/>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2026年10月16</w:t>
      </w:r>
      <w:r>
        <w:rPr>
          <w:rFonts w:hint="eastAsia" w:ascii="宋体" w:hAnsi="宋体" w:eastAsia="宋体" w:cs="宋体"/>
          <w:color w:val="auto"/>
          <w:sz w:val="24"/>
          <w:szCs w:val="24"/>
          <w:highlight w:val="none"/>
        </w:rPr>
        <w:t xml:space="preserve">日13点30分（北京时间）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768"/>
          <w:rFonts w:hint="eastAsia" w:ascii="宋体" w:hAnsi="宋体" w:eastAsia="宋体" w:cs="宋体"/>
          <w:color w:val="auto"/>
          <w:sz w:val="24"/>
          <w:szCs w:val="24"/>
          <w:highlight w:val="none"/>
        </w:rPr>
        <w:t xml:space="preserve">http://jszfcg.jsczt.cn/）</w:t>
      </w:r>
      <w:r>
        <w:rPr>
          <w:rStyle w:val="768"/>
          <w:rFonts w:hint="eastAsia" w:ascii="宋体" w:hAnsi="宋体" w:eastAsia="宋体" w:cs="宋体"/>
          <w:color w:val="auto"/>
          <w:sz w:val="24"/>
          <w:szCs w:val="24"/>
          <w:highlight w:val="none"/>
        </w:rPr>
        <w:fldChar w:fldCharType="end"/>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五、公告期限：自本公告发布之日起5个工作日。</w:t>
      </w:r>
      <w:r/>
    </w:p>
    <w:p>
      <w:pPr>
        <w:ind w:firstLine="482"/>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ascii="宋体" w:hAnsi="宋体" w:eastAsia="宋体" w:cs="宋体"/>
          <w:color w:val="auto"/>
          <w:sz w:val="24"/>
          <w:szCs w:val="24"/>
          <w:highlight w:val="none"/>
        </w:rPr>
      </w:pPr>
      <w:r/>
      <w:bookmarkStart w:id="5" w:name="_Hlk193371515"/>
      <w:r>
        <w:rPr>
          <w:rFonts w:hint="eastAsia" w:ascii="宋体" w:hAnsi="宋体" w:eastAsia="宋体" w:cs="宋体"/>
          <w:color w:val="auto"/>
          <w:sz w:val="24"/>
          <w:szCs w:val="24"/>
          <w:highlight w:val="none"/>
        </w:rPr>
        <w:t xml:space="preserve">4、CA证书办理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bookmarkEnd w:id="5"/>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ascii="宋体" w:hAnsi="宋体" w:eastAsia="宋体" w:cs="宋体"/>
          <w:color w:val="auto"/>
          <w:sz w:val="24"/>
          <w:szCs w:val="24"/>
          <w:highlight w:val="none"/>
        </w:rPr>
      </w:pPr>
      <w:r/>
      <w:bookmarkStart w:id="6" w:name="_Hlk193371550"/>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7、如不同投标（响应）文件制作机器码一致，则投标（响应）无效。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8、制作电子投标（响应）文件：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本项目采用电子招投标形式，请供应商按照《苏采云系统供应商操作手册》（链接：http://www.ccgp-jiangsu.gov.cn/jiangsu/zlxz/ee/ee3a4bc5a3454aa2b0d9312230633ce9.html）进行制作、上传电子投标（响应）文件。</w:t>
      </w:r>
      <w:r>
        <w:rPr>
          <w:rFonts w:hint="eastAsia" w:ascii="宋体" w:hAnsi="宋体" w:eastAsia="宋体" w:cs="宋体"/>
          <w:b/>
          <w:bCs/>
          <w:color w:val="auto"/>
          <w:sz w:val="24"/>
          <w:szCs w:val="24"/>
          <w:highlight w:val="none"/>
          <w:shd w:val="clear" w:color="auto" w:fill="ffffff"/>
          <w:lang w:bidi="ar"/>
        </w:rPr>
        <w:t xml:space="preserve">电子投标（响应）文件制作完成后请于投标（响应）文件递交截止时间前成功上传至“苏采云”系统，否则视为放弃参加该采购项目。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color w:val="auto"/>
          <w:sz w:val="24"/>
          <w:szCs w:val="24"/>
          <w:highlight w:val="none"/>
        </w:rPr>
      </w:pPr>
      <w:r/>
      <w:bookmarkStart w:id="7" w:name="_Hlk193371673"/>
      <w:r>
        <w:rPr>
          <w:rFonts w:hint="eastAsia" w:ascii="宋体" w:hAnsi="宋体" w:eastAsia="宋体" w:cs="宋体"/>
          <w:color w:val="auto"/>
          <w:sz w:val="24"/>
          <w:szCs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bookmarkEnd w:id="7"/>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电子签章技术咨询服务电话：15380932027、15371015030、13675197356、13675197221</w:t>
      </w:r>
      <w:r/>
    </w:p>
    <w:p>
      <w:pPr>
        <w:ind w:firstLine="480"/>
        <w:jc w:val="left"/>
        <w:spacing w:line="360" w:lineRule="auto"/>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12、根据《政府采购促进中小企业发展管理办法》（财库〔2020〕46号）及《中小企业划型标准规定》（工信部联企业〔2011〕300号），本采购标的对应的中小企业划分标准所属行业为：工业。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13、本项目支持政府采购合同信用融资。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14、政府采购监督电话：025-83633058。</w:t>
      </w:r>
      <w:r/>
    </w:p>
    <w:p>
      <w:pPr>
        <w:ind w:firstLine="482"/>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单位名称：苏州大学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单位地址：苏州市东环路50号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联系人：罗老师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联系电话：0512-67504198</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单位名称：苏州诚和招投标咨询有限公司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单位地址：苏州市竹辉路477号咨询大厦二楼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联系人：邬汝超、沈川渝、张萱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联系电话：0512-65161672、0512-65161797</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项目联系人：邬汝超、沈川渝、张萱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电话：0512-65161672、0512-65161797</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rPr>
          <w:rFonts w:ascii="宋体" w:hAnsi="宋体" w:eastAsia="宋体" w:cs="宋体"/>
          <w:color w:val="auto"/>
          <w:highlight w:val="none"/>
        </w:rPr>
      </w:pPr>
      <w:r>
        <w:rPr>
          <w:rFonts w:ascii="宋体" w:hAnsi="宋体" w:eastAsia="宋体" w:cs="宋体"/>
          <w:color w:val="auto"/>
          <w:highlight w:val="none"/>
        </w:rPr>
      </w:r>
      <w:r/>
    </w:p>
    <w:p>
      <w:pPr>
        <w:pStyle w:val="732"/>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2"/>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2"/>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2"/>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2"/>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pStyle w:val="732"/>
        <w:ind w:left="0" w:right="0" w:firstLine="482"/>
        <w:rPr>
          <w:rFonts w:hint="default" w:ascii="宋体" w:hAnsi="宋体" w:eastAsia="宋体" w:cs="宋体"/>
          <w:b/>
          <w:color w:val="auto"/>
          <w:sz w:val="24"/>
          <w:szCs w:val="24"/>
          <w:highlight w:val="none"/>
          <w:shd w:val="clear" w:color="auto" w:fill="ffffff"/>
        </w:rPr>
      </w:pPr>
      <w:r>
        <w:rPr>
          <w:rFonts w:hint="default" w:ascii="宋体" w:hAnsi="宋体" w:eastAsia="宋体" w:cs="宋体"/>
          <w:b/>
          <w:color w:val="auto"/>
          <w:sz w:val="24"/>
          <w:szCs w:val="24"/>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8" w:name="_Toc105940238"/>
      <w:r>
        <w:rPr>
          <w:rFonts w:hint="eastAsia" w:ascii="宋体" w:hAnsi="宋体" w:eastAsia="宋体" w:cs="宋体"/>
          <w:b/>
          <w:color w:val="auto"/>
          <w:sz w:val="52"/>
          <w:szCs w:val="20"/>
          <w:highlight w:val="none"/>
          <w:shd w:val="clear" w:color="auto" w:fill="ffffff"/>
        </w:rPr>
        <w:t xml:space="preserve">第二章供应商须知</w:t>
      </w:r>
      <w:bookmarkEnd w:id="8"/>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A.说明和释义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firstLine="480"/>
        <w:spacing w:line="360" w:lineRule="auto"/>
        <w:rPr>
          <w:rFonts w:ascii="宋体" w:hAnsi="宋体" w:eastAsia="宋体" w:cs="宋体"/>
          <w:color w:val="auto"/>
          <w:sz w:val="24"/>
          <w:szCs w:val="24"/>
          <w:highlight w:val="none"/>
          <w:shd w:val="clear" w:color="auto" w:fill="ffffff"/>
        </w:rPr>
      </w:pPr>
      <w:r/>
      <w:bookmarkStart w:id="9"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2.4响应：供应商根据采购人或采购代理机构发布的招标文件，编制投标（响应）文件并按规定投标（响应）的行为。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2.5合同：采供双方根据招标文件和中标的投标（响应）文件及中标通知书规定的内容签署的以书面形式所达成的协议，包括所有的附件、附录和构成协议的所有文件。</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2.8货物：系指乙方按招标文件规定，应向甲方提供的一切设备、备品、备件、工具、手册及其他有关技术资料和材料。</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2.9服务：系指本次招标文件规定乙方应承担的与提供货物和服务有关的辅助服务，比如运输、保险、安装、调试、提供技术援助、培训、配合措施、维修响应及合同中规定乙方应承担的其他义务。</w:t>
      </w:r>
      <w:r/>
    </w:p>
    <w:p>
      <w:pPr>
        <w:ind w:firstLine="484"/>
        <w:spacing w:line="360" w:lineRule="auto"/>
        <w:tabs>
          <w:tab w:val="left" w:pos="54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他知识产权而引起的法律和经济纠纷，如因专利权、商标权或其他知识产权而引起法律和经济纠纷，由供应商承担所有相关责任。</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9"/>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B.供应商</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spacing w:line="360" w:lineRule="auto"/>
        <w:rPr>
          <w:rFonts w:ascii="宋体" w:hAnsi="宋体" w:eastAsia="宋体" w:cs="宋体"/>
          <w:color w:val="auto"/>
          <w:sz w:val="24"/>
          <w:szCs w:val="24"/>
          <w:highlight w:val="none"/>
          <w:shd w:val="clear" w:color="auto" w:fill="ffffff"/>
        </w:rPr>
      </w:pPr>
      <w:r/>
      <w:bookmarkStart w:id="10" w:name="_Hlk193372108"/>
      <w:r>
        <w:rPr>
          <w:rFonts w:hint="eastAsia" w:ascii="宋体" w:hAnsi="宋体" w:eastAsia="宋体" w:cs="宋体"/>
          <w:color w:val="auto"/>
          <w:sz w:val="24"/>
          <w:szCs w:val="24"/>
          <w:highlight w:val="none"/>
          <w:shd w:val="clear" w:color="auto" w:fill="ffffff"/>
        </w:rPr>
        <w:t xml:space="preserve">详见本项目招标公告中的“申请人的资格要求”。</w:t>
      </w:r>
      <w:bookmarkEnd w:id="10"/>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指全权代表供应商参加投标（响应）活动并签署投标（响应）文件的人，如果供应商代表不是法人代表，须持有《法定代表人授权委托书》（</w:t>
      </w:r>
      <w:bookmarkStart w:id="11" w:name="_Hlk193372244"/>
      <w:r>
        <w:rPr>
          <w:rFonts w:hint="eastAsia" w:ascii="宋体" w:hAnsi="宋体" w:eastAsia="宋体" w:cs="宋体"/>
          <w:color w:val="auto"/>
          <w:sz w:val="24"/>
          <w:szCs w:val="24"/>
          <w:highlight w:val="none"/>
          <w:shd w:val="clear" w:color="auto" w:fill="ffffff"/>
        </w:rPr>
        <w:t xml:space="preserve">详见统一格式</w:t>
      </w:r>
      <w:bookmarkEnd w:id="11"/>
      <w:r>
        <w:rPr>
          <w:rFonts w:hint="eastAsia" w:ascii="宋体" w:hAnsi="宋体" w:eastAsia="宋体" w:cs="宋体"/>
          <w:color w:val="auto"/>
          <w:sz w:val="24"/>
          <w:szCs w:val="24"/>
          <w:highlight w:val="none"/>
          <w:shd w:val="clear" w:color="auto" w:fill="ffffff"/>
        </w:rPr>
        <w:t xml:space="preserve">）。</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无论投标（响应）过程中的做法和结果如何，供应商自行承担所有与参加投标（响应）有关的全部费用。</w:t>
      </w:r>
      <w:r/>
    </w:p>
    <w:p>
      <w:pPr>
        <w:ind w:firstLine="482"/>
        <w:spacing w:line="360" w:lineRule="auto"/>
        <w:rPr>
          <w:rFonts w:ascii="宋体" w:hAnsi="宋体" w:eastAsia="宋体" w:cs="宋体"/>
          <w:b/>
          <w:color w:val="auto"/>
          <w:sz w:val="24"/>
          <w:szCs w:val="24"/>
          <w:highlight w:val="none"/>
        </w:rPr>
      </w:pPr>
      <w:r/>
      <w:bookmarkStart w:id="12"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spacing w:line="360" w:lineRule="auto"/>
        <w:rPr>
          <w:rFonts w:ascii="宋体" w:hAnsi="宋体" w:eastAsia="宋体" w:cs="宋体"/>
          <w:color w:val="auto"/>
          <w:sz w:val="24"/>
          <w:szCs w:val="24"/>
          <w:highlight w:val="none"/>
        </w:rPr>
      </w:pPr>
      <w:r/>
      <w:bookmarkStart w:id="13"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他相关法律、法规之规定解释。</w:t>
      </w:r>
      <w:bookmarkEnd w:id="12"/>
      <w:r/>
      <w:bookmarkEnd w:id="13"/>
      <w:r/>
      <w:r/>
    </w:p>
    <w:p>
      <w:pPr>
        <w:ind w:firstLine="482"/>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C.招标文件和投标文件的说明</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w:t>
      </w:r>
      <w:bookmarkStart w:id="14" w:name="_Hlk193372537"/>
      <w:r>
        <w:rPr>
          <w:rFonts w:hint="eastAsia" w:ascii="宋体" w:hAnsi="宋体" w:eastAsia="宋体" w:cs="宋体"/>
          <w:color w:val="auto"/>
          <w:sz w:val="24"/>
          <w:szCs w:val="24"/>
          <w:highlight w:val="none"/>
        </w:rPr>
        <w:t xml:space="preserve">招标文件由招标文件总目录所列内容组成，</w:t>
      </w:r>
      <w:bookmarkEnd w:id="14"/>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响应）文件没有按招标文件要求提交全部资料，或投标（响应）文件没有对招标文件做出实质性响应，其风险由供应商自行承担，并根据有关条款规定，</w:t>
      </w:r>
      <w:bookmarkStart w:id="15" w:name="_Hlk193372564"/>
      <w:r>
        <w:rPr>
          <w:rFonts w:hint="eastAsia" w:ascii="宋体" w:hAnsi="宋体" w:eastAsia="宋体" w:cs="宋体"/>
          <w:b/>
          <w:color w:val="auto"/>
          <w:sz w:val="24"/>
          <w:szCs w:val="24"/>
          <w:highlight w:val="none"/>
        </w:rPr>
        <w:t xml:space="preserve">该电子投标（响应）文件将被视为未实质性响应。</w:t>
      </w:r>
      <w:bookmarkEnd w:id="15"/>
      <w:r/>
      <w:r/>
    </w:p>
    <w:p>
      <w:pPr>
        <w:ind w:firstLine="480"/>
        <w:jc w:val="left"/>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w:t>
      </w:r>
      <w:bookmarkStart w:id="16" w:name="_Hlk193372622"/>
      <w:r>
        <w:rPr>
          <w:rFonts w:hint="eastAsia" w:ascii="宋体" w:hAnsi="宋体" w:eastAsia="宋体" w:cs="宋体"/>
          <w:color w:val="auto"/>
          <w:sz w:val="24"/>
          <w:szCs w:val="24"/>
          <w:highlight w:val="none"/>
        </w:rPr>
        <w:t xml:space="preserve">未按规定的方式获得的</w:t>
      </w:r>
      <w:bookmarkEnd w:id="16"/>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bookmarkStart w:id="17"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9.现场踏勘</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10.集中现场考察</w:t>
      </w:r>
      <w:r/>
    </w:p>
    <w:p>
      <w:pPr>
        <w:ind w:firstLine="480"/>
        <w:spacing w:line="360" w:lineRule="auto"/>
        <w:tabs>
          <w:tab w:val="left" w:pos="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10.1根据自身投标（响应）需要，供应商可对项目相关情况进行考察，以获取编制投标（响应）文件和签署合同所需的信息。考察现场所发生的费用由供应商自己承担。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spacing w:line="360" w:lineRule="auto"/>
        <w:tabs>
          <w:tab w:val="left" w:pos="0"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在投标（响应）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11.2为保证供应商有足够时间修正投标（响应）文件，或出于其他合理原因，采购代理机构可依法顺延投标（响应）截止时间和开标时间。</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bookmarkEnd w:id="17"/>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12.提示与要求</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12.1供应商应仔细阅读招标文件的所有内容，按招标文件的要求提供投标（响应）文件，并保证所提供的全部资料的真实性，以使其投标（响应）对招标文件作出实质性响应，否则，其投标（响应）可能被拒绝。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12.2无论是否递交投标（响应）文件，供应商都应将招标文件及以后的所有通知、文件等视为保密文件。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13.投标（响应）文件计量单位和使用文字</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13.1投标（响应）文件中所使用的计量单位，除招标文件中有特殊要求外，均应使用中华人民共和国法定计量单位。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w:t>
      </w:r>
      <w:bookmarkStart w:id="18"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18"/>
      <w:r/>
      <w:r/>
    </w:p>
    <w:p>
      <w:pPr>
        <w:ind w:firstLine="482"/>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14.投标（响应）文件的组成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14.1投标（响应）书：</w:t>
      </w:r>
      <w:r/>
    </w:p>
    <w:p>
      <w:pPr>
        <w:ind w:firstLine="482"/>
        <w:spacing w:line="360" w:lineRule="auto"/>
        <w:rPr>
          <w:rFonts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14.1.3投标</w:t>
      </w:r>
      <w:r>
        <w:rPr>
          <w:rFonts w:hint="eastAsia" w:ascii="宋体" w:hAnsi="宋体" w:eastAsia="宋体" w:cs="宋体"/>
          <w:b/>
          <w:color w:val="auto"/>
          <w:sz w:val="24"/>
          <w:szCs w:val="24"/>
          <w:highlight w:val="none"/>
          <w:shd w:val="clear" w:color="auto" w:fill="ffffff"/>
        </w:rPr>
        <w:t xml:space="preserve">（响应）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721"/>
        <w:tblW w:w="49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4202"/>
        <w:gridCol w:w="4717"/>
      </w:tblGrid>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bookmarkStart w:id="19" w:name="_Hlk193373287"/>
            <w:r>
              <w:rPr>
                <w:rFonts w:hint="eastAsia" w:ascii="宋体" w:hAnsi="宋体" w:eastAsia="宋体" w:cs="宋体"/>
                <w:color w:val="auto"/>
                <w:sz w:val="21"/>
                <w:highlight w:val="none"/>
              </w:rPr>
              <w:t xml:space="preserve">序号</w:t>
            </w:r>
            <w:r/>
          </w:p>
        </w:tc>
        <w:tc>
          <w:tcPr>
            <w:tcW w:w="2193"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2461"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23"/>
        </w:trPr>
        <w:tc>
          <w:tcPr>
            <w:gridSpan w:val="3"/>
            <w:tcW w:w="5000"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461"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2461"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供应商提供最近一期的财务报告，或财政部门认可的政府采购专业担保机构出具的投标担保函；其他组织、自然人及成立未满一年的法人应提供银行出具的资信证明。</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461"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2461" w:type="pct"/>
            <w:vAlign w:val="center"/>
            <w:textDirection w:val="lrTb"/>
            <w:noWrap w:val="false"/>
          </w:tcPr>
          <w:p>
            <w:pPr>
              <w:jc w:val="left"/>
              <w:rPr>
                <w:rFonts w:ascii="宋体" w:hAnsi="宋体" w:eastAsia="宋体" w:cs="宋体"/>
                <w:color w:val="auto"/>
                <w:highlight w:val="none"/>
              </w:rPr>
            </w:pPr>
            <w:r>
              <w:rPr>
                <w:rFonts w:hint="eastAsia" w:ascii="宋体" w:hAnsi="宋体" w:eastAsia="宋体" w:cs="宋体"/>
                <w:color w:val="auto"/>
                <w:szCs w:val="21"/>
                <w:highlight w:val="none"/>
              </w:rPr>
              <w:t xml:space="preserve">供应商提供</w:t>
            </w:r>
            <w:r>
              <w:rPr>
                <w:rFonts w:hint="eastAsia" w:ascii="宋体" w:hAnsi="宋体" w:eastAsia="宋体" w:cs="宋体"/>
                <w:color w:val="auto"/>
                <w:szCs w:val="21"/>
                <w:highlight w:val="none"/>
                <w:shd w:val="clear" w:color="auto" w:fill="ffffff"/>
              </w:rPr>
              <w:t xml:space="preserve">参加本次政府采购活动前一段时间内依法缴纳税收和社会保险的凭据；依法免税或不需要缴纳社会保障资金的</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shd w:val="clear" w:color="auto" w:fill="ffffff"/>
              </w:rPr>
              <w:t xml:space="preserve">，应提供相应证明资料证明其依法免税或不需要缴纳社会保障资金。</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461"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461"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23"/>
        </w:trPr>
        <w:tc>
          <w:tcPr>
            <w:gridSpan w:val="3"/>
            <w:tcW w:w="5000"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202"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rPr>
              <w:t xml:space="preserve">根据《政府采购促进中小企业发展管理办法》（财库〔2020〕46号）等相关规定，本项目：</w:t>
            </w:r>
            <w:r>
              <w:rPr>
                <w:rFonts w:hint="eastAsia" w:ascii="宋体" w:hAnsi="宋体" w:eastAsia="宋体" w:cs="宋体"/>
                <w:bCs/>
                <w:u w:val="single"/>
              </w:rPr>
              <w:t xml:space="preserve">专门面向</w:t>
            </w:r>
            <w:r>
              <w:rPr>
                <w:rFonts w:hint="eastAsia" w:ascii="宋体" w:hAnsi="宋体" w:eastAsia="宋体" w:cs="宋体"/>
                <w:bCs/>
              </w:rPr>
              <w:t xml:space="preserve">中小企业</w:t>
            </w:r>
            <w:r>
              <w:rPr>
                <w:rFonts w:hint="eastAsia" w:ascii="宋体" w:hAnsi="宋体" w:eastAsia="宋体" w:cs="宋体"/>
              </w:rPr>
              <w:t xml:space="preserve">。</w:t>
            </w:r>
            <w:r>
              <w:rPr>
                <w:rFonts w:hint="eastAsia" w:ascii="宋体" w:hAnsi="宋体" w:eastAsia="宋体" w:cs="宋体"/>
                <w:szCs w:val="21"/>
              </w:rPr>
              <w:t xml:space="preserve">供应商应为中小微企业、监狱企业或残疾人福利性单位。</w:t>
            </w:r>
            <w:r/>
          </w:p>
        </w:tc>
        <w:tc>
          <w:tcPr>
            <w:tcW w:w="4717" w:type="dxa"/>
            <w:vAlign w:val="top"/>
            <w:textDirection w:val="lrTb"/>
            <w:noWrap w:val="false"/>
          </w:tcPr>
          <w:p>
            <w:pPr>
              <w:pStyle w:val="73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供应商提供以下三类文件之一的即符合本条要求，否则，将不享受中小企业扶持政策：</w:t>
            </w:r>
            <w:r/>
          </w:p>
          <w:p>
            <w:pPr>
              <w:pStyle w:val="73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1、中小企业声明函（格式见第三章）；</w:t>
            </w:r>
            <w:r/>
          </w:p>
          <w:p>
            <w:pPr>
              <w:pStyle w:val="73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2、残疾人福利性单位声明函（格式见第三章）；</w:t>
            </w:r>
            <w:r/>
          </w:p>
          <w:p>
            <w:pPr>
              <w:pStyle w:val="730"/>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3、监狱企业证明文件，由省级以上监狱管理局、戒毒管理局（含新疆生产建设兵团）出具。</w:t>
            </w:r>
            <w:r/>
          </w:p>
          <w:p>
            <w:pPr>
              <w:pStyle w:val="730"/>
              <w:jc w:val="left"/>
              <w:spacing w:line="240" w:lineRule="auto"/>
              <w:rPr>
                <w:rFonts w:ascii="宋体" w:hAnsi="宋体" w:eastAsia="宋体" w:cs="宋体"/>
                <w:color w:val="auto"/>
                <w:sz w:val="21"/>
                <w:highlight w:val="none"/>
              </w:rPr>
            </w:pPr>
            <w:r>
              <w:rPr>
                <w:rFonts w:hint="eastAsia" w:ascii="宋体" w:hAnsi="宋体" w:eastAsia="宋体" w:cs="宋体"/>
                <w:sz w:val="21"/>
                <w:szCs w:val="21"/>
              </w:rPr>
              <w:t xml:space="preserve">注：若供应商提供的声明函内容不实，或文件材料为虚假材料的，依照《中华人民共和国政府采购法》等相关法律法规处理并报请政府监管部门给予行政处罚。</w:t>
            </w:r>
            <w:r/>
          </w:p>
        </w:tc>
      </w:tr>
      <w:tr>
        <w:trPr>
          <w:jc w:val="center"/>
          <w:trHeight w:val="23"/>
        </w:trPr>
        <w:tc>
          <w:tcPr>
            <w:gridSpan w:val="3"/>
            <w:tcW w:w="5000"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345" w:type="pct"/>
            <w:vAlign w:val="center"/>
            <w:textDirection w:val="lrTb"/>
            <w:noWrap w:val="false"/>
          </w:tcPr>
          <w:p>
            <w:pPr>
              <w:pStyle w:val="730"/>
              <w:jc w:val="center"/>
              <w:spacing w:line="24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2193"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2461"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19"/>
            <w:r/>
            <w:r/>
          </w:p>
        </w:tc>
      </w:tr>
    </w:tbl>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721"/>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219"/>
        <w:gridCol w:w="5691"/>
      </w:tblGrid>
      <w:tr>
        <w:trPr>
          <w:trHeight w:val="23"/>
        </w:trPr>
        <w:tc>
          <w:tcPr>
            <w:tcW w:w="356" w:type="pct"/>
            <w:vAlign w:val="center"/>
            <w:textDirection w:val="lrTb"/>
            <w:noWrap w:val="false"/>
          </w:tcPr>
          <w:p>
            <w:pPr>
              <w:pStyle w:val="730"/>
              <w:jc w:val="center"/>
              <w:spacing w:line="24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678" w:type="pct"/>
            <w:vAlign w:val="center"/>
            <w:textDirection w:val="lrTb"/>
            <w:noWrap w:val="false"/>
          </w:tcPr>
          <w:p>
            <w:pPr>
              <w:pStyle w:val="730"/>
              <w:jc w:val="center"/>
              <w:spacing w:line="240" w:lineRule="auto"/>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965" w:type="pct"/>
            <w:vAlign w:val="center"/>
            <w:textDirection w:val="lrTb"/>
            <w:noWrap w:val="false"/>
          </w:tcPr>
          <w:p>
            <w:pPr>
              <w:pStyle w:val="73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730"/>
              <w:jc w:val="center"/>
              <w:spacing w:line="24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报价符合性审查</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属于投标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报价低于采购项目最高限价45%的，即投标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报价</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采购项目最高限价</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45%，供应商可随投标</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响应</w:t>
            </w:r>
            <w:r>
              <w:rPr>
                <w:rFonts w:hint="eastAsia" w:ascii="宋体" w:hAnsi="宋体" w:eastAsia="宋体" w:cs="宋体"/>
                <w:color w:val="auto"/>
                <w:sz w:val="21"/>
                <w:szCs w:val="21"/>
                <w:highlight w:val="none"/>
              </w:rPr>
              <w:t xml:space="preserve">）</w:t>
            </w:r>
            <w:r>
              <w:rPr>
                <w:rFonts w:ascii="宋体" w:hAnsi="宋体" w:eastAsia="宋体" w:cs="宋体"/>
                <w:color w:val="auto"/>
                <w:sz w:val="21"/>
                <w:szCs w:val="21"/>
                <w:highlight w:val="none"/>
              </w:rPr>
              <w:t xml:space="preserve">文件一</w:t>
            </w:r>
            <w:r>
              <w:rPr>
                <w:rFonts w:hint="eastAsia" w:ascii="宋体" w:hAnsi="宋体" w:eastAsia="宋体" w:cs="宋体"/>
                <w:color w:val="auto"/>
                <w:sz w:val="21"/>
                <w:szCs w:val="21"/>
                <w:highlight w:val="none"/>
              </w:rPr>
              <w:t xml:space="preserve">并</w:t>
            </w:r>
            <w:r>
              <w:rPr>
                <w:rFonts w:ascii="宋体" w:hAnsi="宋体" w:eastAsia="宋体" w:cs="宋体"/>
                <w:color w:val="auto"/>
                <w:sz w:val="21"/>
                <w:szCs w:val="21"/>
                <w:highlight w:val="none"/>
              </w:rPr>
              <w:t xml:space="preserve">提交相关书面说明及必要的证明材料。</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以投标文件报价为准（供应商无须单独提供资料）</w:t>
            </w:r>
            <w:r/>
          </w:p>
        </w:tc>
      </w:tr>
      <w:tr>
        <w:trPr>
          <w:trHeight w:val="23"/>
        </w:trPr>
        <w:tc>
          <w:tcPr>
            <w:gridSpan w:val="3"/>
            <w:tcW w:w="5000"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1678" w:type="pct"/>
            <w:vAlign w:val="center"/>
            <w:textDirection w:val="lrTb"/>
            <w:noWrap w:val="false"/>
          </w:tcPr>
          <w:p>
            <w:pPr>
              <w:pStyle w:val="730"/>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1678" w:type="pct"/>
            <w:vAlign w:val="center"/>
            <w:textDirection w:val="lrTb"/>
            <w:noWrap w:val="false"/>
          </w:tcPr>
          <w:p>
            <w:pPr>
              <w:pStyle w:val="730"/>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1678" w:type="pct"/>
            <w:vAlign w:val="center"/>
            <w:textDirection w:val="lrTb"/>
            <w:noWrap w:val="false"/>
          </w:tcPr>
          <w:p>
            <w:pPr>
              <w:pStyle w:val="730"/>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1678" w:type="pct"/>
            <w:vAlign w:val="center"/>
            <w:textDirection w:val="lrTb"/>
            <w:noWrap w:val="false"/>
          </w:tcPr>
          <w:p>
            <w:pPr>
              <w:pStyle w:val="730"/>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1678" w:type="pct"/>
            <w:vAlign w:val="center"/>
            <w:textDirection w:val="lrTb"/>
            <w:noWrap w:val="false"/>
          </w:tcPr>
          <w:p>
            <w:pPr>
              <w:pStyle w:val="730"/>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7</w:t>
            </w:r>
            <w:r/>
          </w:p>
        </w:tc>
        <w:tc>
          <w:tcPr>
            <w:tcW w:w="1678" w:type="pct"/>
            <w:vAlign w:val="center"/>
            <w:textDirection w:val="lrTb"/>
            <w:noWrap w:val="false"/>
          </w:tcPr>
          <w:p>
            <w:pPr>
              <w:pStyle w:val="730"/>
              <w:jc w:val="left"/>
              <w:spacing w:line="240" w:lineRule="auto"/>
              <w:rPr>
                <w:rFonts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gridSpan w:val="3"/>
            <w:tcW w:w="5000"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《技术或服务要求偏离表》</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《投标货物和服务数量、品牌型号、技术要求、交货期》</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《针对本项目制定的实施方案》</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356" w:type="pct"/>
            <w:vAlign w:val="center"/>
            <w:textDirection w:val="lrTb"/>
            <w:noWrap w:val="false"/>
          </w:tcPr>
          <w:p>
            <w:pPr>
              <w:pStyle w:val="730"/>
              <w:jc w:val="center"/>
              <w:spacing w:line="240" w:lineRule="auto"/>
              <w:rPr>
                <w:rFonts w:ascii="宋体" w:hAnsi="宋体" w:eastAsia="宋体" w:cs="宋体"/>
                <w:color w:val="auto"/>
                <w:sz w:val="21"/>
                <w:szCs w:val="21"/>
                <w:highlight w:val="none"/>
              </w:rPr>
            </w:pPr>
            <w:r/>
            <w:bookmarkStart w:id="20" w:name="_Hlk193373412"/>
            <w:r>
              <w:rPr>
                <w:rFonts w:hint="eastAsia" w:ascii="宋体" w:hAnsi="宋体" w:eastAsia="宋体" w:cs="宋体"/>
                <w:color w:val="auto"/>
                <w:sz w:val="21"/>
                <w:szCs w:val="21"/>
                <w:highlight w:val="none"/>
              </w:rPr>
              <w:t xml:space="preserve">4</w:t>
            </w:r>
            <w:r/>
          </w:p>
        </w:tc>
        <w:tc>
          <w:tcPr>
            <w:tcW w:w="1678"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965" w:type="pct"/>
            <w:vAlign w:val="center"/>
            <w:textDirection w:val="lrTb"/>
            <w:noWrap w:val="false"/>
          </w:tcPr>
          <w:p>
            <w:pPr>
              <w:pStyle w:val="730"/>
              <w:jc w:val="left"/>
              <w:spacing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格式自拟</w:t>
            </w:r>
            <w:bookmarkEnd w:id="20"/>
            <w:r/>
            <w:r/>
          </w:p>
        </w:tc>
      </w:tr>
    </w:tbl>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1"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1"/>
      <w:r>
        <w:rPr>
          <w:rFonts w:hint="eastAsia" w:ascii="宋体" w:hAnsi="宋体" w:eastAsia="宋体" w:cs="宋体"/>
          <w:b/>
          <w:bCs/>
          <w:color w:val="auto"/>
          <w:sz w:val="24"/>
          <w:szCs w:val="24"/>
          <w:highlight w:val="none"/>
          <w:u w:val="single"/>
          <w:shd w:val="clear" w:color="auto" w:fill="ffffff"/>
        </w:rPr>
        <w:t xml:space="preserve">的投标（响应）无效。</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ascii="宋体" w:hAnsi="宋体" w:eastAsia="宋体" w:cs="宋体"/>
          <w:color w:val="auto"/>
          <w:sz w:val="24"/>
          <w:szCs w:val="24"/>
          <w:highlight w:val="none"/>
          <w:shd w:val="clear" w:color="auto" w:fill="ffffff"/>
        </w:rPr>
      </w:pPr>
      <w:r/>
      <w:bookmarkStart w:id="22" w:name="_Hlk193374074"/>
      <w:r/>
      <w:bookmarkStart w:id="23" w:name="_Hlk158131259"/>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供应商必须保证全部投标（响应）资料的真实性，如有虚假或对招标文件所要求说明的情况故意隐瞒或虚报，视为不实质性响应招标文件，响应无效。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如供应商投标（响应）文件中某些条款不响应招标文件提出的全部采购内容与服务要求，须在偏离表中逐条列出，未列出的视同响应。</w:t>
      </w:r>
      <w:bookmarkEnd w:id="22"/>
      <w:r/>
      <w:bookmarkEnd w:id="23"/>
      <w:r/>
      <w:r/>
    </w:p>
    <w:p>
      <w:pPr>
        <w:ind w:firstLine="482"/>
        <w:spacing w:line="360" w:lineRule="auto"/>
        <w:tabs>
          <w:tab w:val="left" w:pos="142" w:leader="none"/>
          <w:tab w:val="left" w:pos="600" w:leader="none"/>
        </w:tabs>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4" w:name="_Hlk140247794"/>
      <w:r>
        <w:rPr>
          <w:rFonts w:hint="eastAsia" w:ascii="宋体" w:hAnsi="宋体" w:eastAsia="宋体" w:cs="宋体"/>
          <w:color w:val="auto"/>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15.3投标（响应）文件未按照招标文件要求加盖CA电子公章的，响应无效。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bookmarkStart w:id="25" w:name="_Hlk158134955"/>
      <w:r>
        <w:rPr>
          <w:rFonts w:hint="eastAsia" w:ascii="宋体" w:hAnsi="宋体" w:eastAsia="宋体" w:cs="宋体"/>
          <w:color w:val="auto"/>
          <w:sz w:val="24"/>
          <w:szCs w:val="24"/>
          <w:highlight w:val="none"/>
        </w:rPr>
        <w:t xml:space="preserve">15.4联合体投标（响应）：如招标公告中允许联合体投标（响应），联合体投标（响应）的投标（响应）文件制作上传操作如下：</w:t>
      </w:r>
      <w:r/>
    </w:p>
    <w:p>
      <w:pPr>
        <w:pStyle w:val="731"/>
        <w:ind w:left="0" w:firstLine="480"/>
        <w:spacing w:line="360" w:lineRule="auto"/>
        <w:rPr>
          <w:rFonts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第一步：在投标（响应）文件中上传联合体投标（响应）协议书。</w:t>
      </w:r>
      <w:r>
        <w:rPr>
          <w:rFonts w:hint="eastAsia" w:ascii="宋体" w:hAnsi="宋体" w:eastAsia="宋体" w:cs="宋体"/>
          <w:bCs/>
          <w:color w:val="auto"/>
          <w:szCs w:val="24"/>
          <w:highlight w:val="none"/>
        </w:rPr>
        <w:t xml:space="preserve">（注：联合投标（响应）协议书须盖有联合体各方实体公章或电子章，否则投标（响应）无效。）</w:t>
      </w:r>
      <w:r/>
    </w:p>
    <w:p>
      <w:pPr>
        <w:ind w:firstLine="480"/>
        <w:jc w:val="left"/>
        <w:spacing w:line="360" w:lineRule="auto"/>
        <w:tabs>
          <w:tab w:val="left" w:pos="142" w:leader="none"/>
          <w:tab w:val="left" w:pos="60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第二步；在投标（响应）文件中，由联合体中的牵头人制作投标（响应）文件。</w:t>
      </w:r>
      <w:bookmarkEnd w:id="25"/>
      <w:r/>
      <w:r/>
    </w:p>
    <w:p>
      <w:pPr>
        <w:ind w:firstLine="482"/>
        <w:jc w:val="left"/>
        <w:spacing w:line="360" w:lineRule="auto"/>
        <w:tabs>
          <w:tab w:val="left" w:pos="142" w:leader="none"/>
          <w:tab w:val="left" w:pos="60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15.5如不同投标（响应）文件制作机器码一致，则投标（响应）无效。</w:t>
      </w:r>
      <w:bookmarkEnd w:id="2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16.投标（响应）报价（编制）要求的说明</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6" w:name="_Hlk193374411"/>
      <w:r>
        <w:rPr>
          <w:rFonts w:hint="eastAsia" w:ascii="宋体" w:hAnsi="宋体" w:eastAsia="宋体" w:cs="宋体"/>
          <w:color w:val="auto"/>
          <w:sz w:val="24"/>
          <w:szCs w:val="24"/>
          <w:highlight w:val="none"/>
          <w:shd w:val="clear" w:color="auto" w:fill="ffffff"/>
        </w:rPr>
        <w:t xml:space="preserve">投标（响应）报价包括完成本招标项目所需的一切费用。投标（响应）报价为最终报价，除非因特殊原因并经买卖双方协商同意，供应商不得再要求追加任何费用。同时，除非合同条款中另有规定，否则，供应商所报价格在合同实施期间不因市场变化因素而变动。</w:t>
      </w:r>
      <w:bookmarkEnd w:id="26"/>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采购包投标（响应）的，则供应商可以按招标文件要求有选择地只投其中一个或几个采购包，但各采购包应分别计算填写单价和总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16.3一项投标（响应）内容只允许一个报价，采购人或采购代理机构不接受任何有选择性的投标（响应）报价。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16.4投标（响应）文件报价中的单价和总价全部采用人民币表示，除非合同的特殊条款另有规定。</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ascii="宋体" w:hAnsi="宋体" w:eastAsia="宋体" w:cs="宋体"/>
          <w:b/>
          <w:color w:val="auto"/>
          <w:sz w:val="24"/>
          <w:szCs w:val="24"/>
          <w:highlight w:val="none"/>
          <w:shd w:val="clear" w:color="auto" w:fill="ffffff"/>
        </w:rPr>
      </w:pPr>
      <w:r/>
      <w:bookmarkStart w:id="27"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17.1中标单位应按前附表的规定提交履约保证金。履约保证金形式：以转账、支票、汇票、本票或者金融机构、担保机构出具的见索即付保函等非现金形式提交（保函内容须经学校认可）。</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17.2中标单位须在签订合同前向采购方缴纳合同金额的10%作为履约保证金，至货物最终验收合格之日起稳定运行1年后无息退还。</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17.4若中标单位对货物缺陷不予更正，采购人有权另请其他单位更正，所发生的费用在履约保证金中扣除。</w:t>
      </w:r>
      <w:bookmarkEnd w:id="27"/>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18.投标（响应）文件的有效期</w:t>
      </w:r>
      <w:r/>
    </w:p>
    <w:p>
      <w:pPr>
        <w:ind w:firstLine="480"/>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18.1自投标（响应）截止日起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天内，投标（响应）书应保持有效。</w:t>
      </w:r>
      <w:r>
        <w:rPr>
          <w:rFonts w:hint="eastAsia" w:ascii="宋体" w:hAnsi="宋体" w:eastAsia="宋体" w:cs="宋体"/>
          <w:b/>
          <w:bCs/>
          <w:color w:val="auto"/>
          <w:sz w:val="24"/>
          <w:szCs w:val="24"/>
          <w:highlight w:val="none"/>
          <w:shd w:val="clear" w:color="auto" w:fill="ffffff"/>
        </w:rPr>
        <w:t xml:space="preserve">有效期短于这个规定期限的投标（响应）将被拒绝。</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投标（响应）书的有效期。这种要求和答复都应以书面形式进行。同意延长有效期的供应商不能修改投标（响应）文件。拒绝接受延期要求的供应商的投标（响应）将被拒绝。</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rPr>
        <w:t xml:space="preserve">投标（响应）截止时间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28"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8"/>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29" w:name="_Hlk117242692"/>
      <w:r/>
      <w:bookmarkStart w:id="30" w:name="_Hlk116314345"/>
      <w:r>
        <w:rPr>
          <w:rFonts w:hint="eastAsia" w:ascii="宋体" w:hAnsi="宋体" w:eastAsia="宋体" w:cs="宋体"/>
          <w:color w:val="auto"/>
          <w:sz w:val="24"/>
          <w:szCs w:val="24"/>
          <w:highlight w:val="none"/>
        </w:rPr>
        <w:t xml:space="preserve">在投标（递交）截止时间止，采购人或采购代理机构收到的某采购包投标（响应）文件少于三份，采购人或采购代理机构有权宣布该采购包本次招标（采购）失败。</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29"/>
      <w:r/>
      <w:bookmarkEnd w:id="30"/>
      <w:r/>
      <w:r/>
    </w:p>
    <w:p>
      <w:pPr>
        <w:ind w:firstLine="482"/>
        <w:spacing w:line="360" w:lineRule="auto"/>
        <w:rPr>
          <w:rFonts w:ascii="宋体" w:hAnsi="宋体" w:eastAsia="宋体" w:cs="宋体"/>
          <w:color w:val="auto"/>
          <w:highlight w:val="none"/>
        </w:rPr>
      </w:pPr>
      <w:r>
        <w:rPr>
          <w:rFonts w:hint="eastAsia" w:ascii="宋体" w:hAnsi="宋体" w:eastAsia="宋体" w:cs="宋体"/>
          <w:b/>
          <w:bCs/>
          <w:color w:val="auto"/>
          <w:sz w:val="24"/>
          <w:szCs w:val="20"/>
          <w:highlight w:val="none"/>
          <w:shd w:val="clear" w:color="auto" w:fill="ffffff"/>
        </w:rPr>
        <w:t xml:space="preserve">D.开标和评标</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20.开标</w:t>
      </w:r>
      <w:r/>
    </w:p>
    <w:p>
      <w:pPr>
        <w:ind w:firstLine="480"/>
        <w:spacing w:line="360" w:lineRule="auto"/>
        <w:widowControl/>
        <w:rPr>
          <w:rFonts w:ascii="宋体" w:hAnsi="宋体" w:eastAsia="宋体" w:cs="宋体"/>
          <w:color w:val="auto"/>
          <w:sz w:val="24"/>
          <w:szCs w:val="24"/>
          <w:highlight w:val="none"/>
        </w:rPr>
      </w:pPr>
      <w:r/>
      <w:bookmarkStart w:id="31"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color w:val="auto"/>
          <w:sz w:val="24"/>
          <w:szCs w:val="24"/>
          <w:highlight w:val="none"/>
        </w:rPr>
      </w:pPr>
      <w:r/>
      <w:bookmarkStart w:id="32"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2"/>
      <w:r/>
      <w:r/>
    </w:p>
    <w:p>
      <w:pPr>
        <w:ind w:firstLine="480"/>
        <w:spacing w:line="360" w:lineRule="auto"/>
        <w:rPr>
          <w:rFonts w:ascii="宋体" w:hAnsi="宋体" w:eastAsia="宋体" w:cs="宋体"/>
          <w:color w:val="auto"/>
          <w:sz w:val="24"/>
          <w:szCs w:val="24"/>
          <w:highlight w:val="none"/>
        </w:rPr>
      </w:pPr>
      <w:r/>
      <w:bookmarkStart w:id="33" w:name="_Hlk158135485"/>
      <w:r>
        <w:rPr>
          <w:rFonts w:hint="eastAsia" w:ascii="宋体" w:hAnsi="宋体" w:eastAsia="宋体" w:cs="宋体"/>
          <w:color w:val="auto"/>
          <w:sz w:val="24"/>
          <w:szCs w:val="24"/>
          <w:highlight w:val="none"/>
        </w:rPr>
        <w:t xml:space="preserve">20.4开标时，供应商应当按照《操作手册》规定，在“苏采云”系统规定的时间内对投标（响应）文件进行解密。等待开标流程进入“解锁环境”，点击“点击立即解密”进行标书解密，解锁完成后及时关注开标大厅，等待后续答疑澄清等提示，否则导致的对供应商不利的后果由供应商自行承担</w:t>
      </w:r>
      <w:bookmarkEnd w:id="33"/>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20.5供应商在“苏采云”系统规定的时间内未成功解密电子投标（响应）文件的，投标（响应）无效。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20.6开标时，由采购代理机构通过“苏采云”系统在线宣布供应商名称、投标（响应）价格和招标文件规定的需要宣布的其他内容。投标（响应）单位在不见面开标系统中确认投标（响应）价格，如供应商未在线参加开标或未在规定时间内确认价格的，视同认可开标结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20.8至投标（响应）文件提交截止时间，递交投标（响应）文件的供应商不足三家的，不得开标。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spacing w:line="360" w:lineRule="auto"/>
        <w:rPr>
          <w:rFonts w:ascii="宋体" w:hAnsi="宋体" w:eastAsia="宋体" w:cs="宋体"/>
          <w:color w:val="auto"/>
          <w:highlight w:val="none"/>
        </w:rPr>
      </w:pPr>
      <w:r/>
      <w:bookmarkStart w:id="34" w:name="_Hlk193375492"/>
      <w:r>
        <w:rPr>
          <w:rFonts w:hint="eastAsia" w:ascii="宋体" w:hAnsi="宋体" w:eastAsia="宋体" w:cs="宋体"/>
          <w:color w:val="auto"/>
          <w:sz w:val="24"/>
          <w:szCs w:val="24"/>
          <w:highlight w:val="none"/>
        </w:rPr>
        <w:t xml:space="preserve">20.10以上开标活动</w:t>
      </w:r>
      <w:bookmarkStart w:id="35" w:name="_Hlk193375633"/>
      <w:r>
        <w:rPr>
          <w:rFonts w:hint="eastAsia" w:ascii="宋体" w:hAnsi="宋体" w:eastAsia="宋体" w:cs="宋体"/>
          <w:color w:val="auto"/>
          <w:sz w:val="24"/>
          <w:szCs w:val="24"/>
          <w:highlight w:val="none"/>
        </w:rPr>
        <w:t xml:space="preserve">所涉及系统操作，以“苏采云”系统最新要求为准</w:t>
      </w:r>
      <w:bookmarkEnd w:id="35"/>
      <w:r>
        <w:rPr>
          <w:rFonts w:hint="eastAsia" w:ascii="宋体" w:hAnsi="宋体" w:eastAsia="宋体" w:cs="宋体"/>
          <w:color w:val="auto"/>
          <w:sz w:val="24"/>
          <w:szCs w:val="24"/>
          <w:highlight w:val="none"/>
        </w:rPr>
        <w:t xml:space="preserve">。</w:t>
      </w:r>
      <w:bookmarkEnd w:id="31"/>
      <w:r/>
      <w:bookmarkEnd w:id="34"/>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21.信用查询</w:t>
      </w:r>
      <w:r/>
    </w:p>
    <w:p>
      <w:pPr>
        <w:ind w:firstLine="480"/>
        <w:spacing w:line="360" w:lineRule="auto"/>
        <w:rPr>
          <w:rFonts w:ascii="宋体" w:hAnsi="宋体" w:eastAsia="宋体" w:cs="宋体"/>
          <w:color w:val="auto"/>
          <w:sz w:val="24"/>
          <w:szCs w:val="24"/>
          <w:highlight w:val="none"/>
        </w:rPr>
      </w:pPr>
      <w:r/>
      <w:bookmarkStart w:id="36"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21.1查询时间：投标（响应）文件提交截止时间。</w:t>
      </w:r>
      <w:r/>
    </w:p>
    <w:p>
      <w:pPr>
        <w:ind w:firstLine="480"/>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21.2查询渠道：</w:t>
      </w:r>
      <w:bookmarkStart w:id="37"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spacing w:line="360" w:lineRule="auto"/>
        <w:tabs>
          <w:tab w:val="left" w:pos="753"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21.3查询证据留存方式：</w:t>
      </w:r>
      <w:bookmarkEnd w:id="37"/>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对存在失信信息的供应商，由失信供应商进行确认。同时，采购代理机构工作人员应根据评标委员会确认的失信信息，登录到相关来源网站页面进行复核并打印，作为证据留存。</w:t>
      </w:r>
      <w:r/>
    </w:p>
    <w:p>
      <w:pPr>
        <w:ind w:firstLine="480"/>
        <w:jc w:val="left"/>
        <w:spacing w:line="360" w:lineRule="auto"/>
        <w:tabs>
          <w:tab w:val="left" w:pos="753" w:leader="none"/>
        </w:tabs>
        <w:rPr>
          <w:rFonts w:ascii="宋体" w:hAnsi="宋体" w:eastAsia="宋体" w:cs="宋体"/>
          <w:color w:val="auto"/>
          <w:highlight w:val="none"/>
        </w:rPr>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21.4.2.1被列入失信被执行人名单；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21.4.2.2被列入重大税收违法案件当事人名单；</w:t>
      </w:r>
      <w:r/>
    </w:p>
    <w:p>
      <w:pPr>
        <w:ind w:firstLine="480"/>
        <w:spacing w:line="360" w:lineRule="auto"/>
        <w:rPr>
          <w:rFonts w:ascii="宋体" w:hAnsi="宋体" w:eastAsia="宋体" w:cs="宋体"/>
          <w:color w:val="auto"/>
          <w:sz w:val="24"/>
          <w:szCs w:val="24"/>
          <w:highlight w:val="none"/>
        </w:rPr>
      </w:pPr>
      <w:r/>
      <w:bookmarkStart w:id="38"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6"/>
      <w:r/>
      <w:bookmarkEnd w:id="3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22.评标委员会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22.1评标委员会由采购人或采购代理机构依法组建,由采购单位代表、专家评委组成。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22.2评标委员会负责具体的评标事务，并独立履行以下职责：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22.2.1审查、评价投标（响应）文件是否符合招标文件的商务、技术等实质性要求；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22.2.2要求供应商对投标（响应）文件有关事项作出澄清或者说明；</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22.2.3对投标（响应）文件进行比较和评价；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22.2.4</w:t>
      </w:r>
      <w:r>
        <w:rPr>
          <w:rFonts w:hint="eastAsia" w:ascii="宋体" w:hAnsi="宋体" w:eastAsia="宋体" w:cs="宋体"/>
          <w:color w:val="auto"/>
          <w:sz w:val="24"/>
          <w:szCs w:val="24"/>
          <w:highlight w:val="none"/>
          <w:lang w:val="zh-CN"/>
        </w:rPr>
        <w:t xml:space="preserve">按照评标办法和标准推荐不低于3家中标候选人，并根据采购人的委托及评审结果直接确定中标人；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22.2.5向采购人、采购代理机构或者有关部门报告评标中发现的违法行为；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22.3评标委员会成员应当履行下列义务：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22.3.1遵纪守法，客观、公正、廉洁地履行职责；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22.3.2按照招标文件规定的评标办法和评标标准进行评标，对评审意见承担个人责任；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22.3.3对评标过程和结果，以及供应商的商业秘密保密；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22.3.4参与评审报告的起草；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22.3.5配合相关部门的投诉处理工作；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22.3.6配合采购人或采购代理机构答复投标（响应）供应商提出的质疑。</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23.评标内容的保密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23.1公开开标后，直到宣布授予中标单位合同为止，凡属于审查、澄清、评价和比较投标（响应）的所有资料，有关授予合同的信息都不应向供应商或与评标无关的其他人泄露。</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23.2在投标（响应）文件的审查、澄清、评价和比较以及授予合同的过程中，供应商对采购人或采购代理机构和评标委员会成员施加影响的任何行为，都将取消其中标资格。</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23.3在评标期间，</w:t>
      </w:r>
      <w:bookmarkStart w:id="39"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39"/>
      <w:r/>
      <w:r/>
    </w:p>
    <w:p>
      <w:pPr>
        <w:ind w:firstLine="482"/>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24.对投标（响应）文件初审</w:t>
      </w:r>
      <w:r/>
    </w:p>
    <w:p>
      <w:pPr>
        <w:ind w:firstLine="476"/>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24.2资格审查后，评标委员会在初审过程中有权拒绝有下列情况之一的投标（响应）文件：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24.2.1供应商的投标（响应）文件未按照本须知规定制作的；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24.2.6供应商的投标（响应）文件出现了评标委员会认为不应当雷同的情况；</w:t>
      </w:r>
      <w:r/>
    </w:p>
    <w:p>
      <w:pPr>
        <w:ind w:firstLine="482"/>
        <w:spacing w:line="360" w:lineRule="auto"/>
        <w:rPr>
          <w:rFonts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24.3在详细评标之前，评委会将首先审查每份投标（响应）书是否实质响应了招标文件的要求。实质上响应的投标应该是与招标文件的全部条款、条件和规格相符，没有重大偏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24.4评标委员会将允许修改投标（响应）中不构成重大偏离的微小的、非正规、不一致或不规则的地方，但这些修改不能影响任何供应商的名次相应排列。供应商不得对招标文件进行实质性修改，包括但不限于付款方式、付款条件等条款，否则投标（响应）文件将被拒绝。</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24.5评标委员会将拒绝被确定为非实质性响应的投标，供应商不能通过修正或撤销不符之处而使其投标成为实质性响应的投标。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24.6评标委员会将对确定为实质性响应的投标进行审核，看其是否有计算上或累加上的算术错误。投标（响应）文件报价出现前后不一致的，除招标文件另有规定外，按照下列规定修正：</w:t>
      </w:r>
      <w:r/>
    </w:p>
    <w:p>
      <w:pPr>
        <w:ind w:firstLine="480"/>
        <w:spacing w:line="360" w:lineRule="auto"/>
        <w:rPr>
          <w:rFonts w:ascii="宋体" w:hAnsi="宋体" w:eastAsia="宋体" w:cs="宋体"/>
          <w:color w:val="auto"/>
          <w:sz w:val="24"/>
          <w:szCs w:val="24"/>
          <w:highlight w:val="none"/>
          <w:shd w:val="clear" w:color="auto" w:fill="ffffff"/>
        </w:rPr>
      </w:pPr>
      <w:r/>
      <w:bookmarkStart w:id="40"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同时出现两种以上不一致的，按照前款规定的顺序修正。修正后的报价按照本须知25.1条的规定经供应商确认后产生约束力，供应商不确认的，其投标（响应）无效。</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24.7供应商不同意以上修正，则其投标（响应）将被拒绝。</w:t>
      </w:r>
      <w:bookmarkEnd w:id="40"/>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1"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1"/>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，必要时提交相关证明材料；供应商不能证明其报价合理性的，评标委员会将其作为无效投标（响应）处理。</w:t>
      </w:r>
      <w:r/>
    </w:p>
    <w:p>
      <w:pPr>
        <w:ind w:firstLine="480"/>
        <w:spacing w:line="360" w:lineRule="auto"/>
        <w:tabs>
          <w:tab w:val="left" w:pos="0" w:leader="none"/>
        </w:tabs>
        <w:rPr>
          <w:rFonts w:ascii="宋体" w:hAnsi="宋体" w:eastAsia="宋体" w:cs="宋体"/>
          <w:color w:val="auto"/>
          <w:sz w:val="24"/>
          <w:szCs w:val="24"/>
          <w:highlight w:val="none"/>
          <w:shd w:val="clear" w:color="auto" w:fill="ffffff"/>
        </w:rPr>
      </w:pPr>
      <w:r/>
      <w:bookmarkStart w:id="42" w:name="_Hlk193377421"/>
      <w:r>
        <w:rPr>
          <w:rFonts w:hint="eastAsia" w:ascii="宋体" w:hAnsi="宋体" w:eastAsia="宋体" w:cs="宋体"/>
          <w:color w:val="auto"/>
          <w:sz w:val="24"/>
          <w:szCs w:val="24"/>
          <w:highlight w:val="none"/>
          <w:shd w:val="clear" w:color="auto" w:fill="ffffff"/>
        </w:rPr>
        <w:t xml:space="preserve">24.9评标委员会对投标（响应）文件的判定，只依据投标（响应）内容本身，不依靠开标后的任何外来证明。</w:t>
      </w:r>
      <w:bookmarkEnd w:id="42"/>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25.投标的澄清</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对于投标（响应）文件中含义不明确、同类问题表述不一致或者有明显文字和计算错误的内容，评标委员会应当要求供应商作出必要的澄清、说明或者补正。供应商的澄清、说明或者补正不得超出投标（响应）文件的范围或者改变投标（响应）文件的实质性内容。</w:t>
      </w:r>
      <w:r/>
    </w:p>
    <w:p>
      <w:pPr>
        <w:ind w:firstLine="480"/>
        <w:spacing w:line="360" w:lineRule="auto"/>
        <w:rPr>
          <w:rFonts w:ascii="宋体" w:hAnsi="宋体" w:eastAsia="宋体" w:cs="宋体"/>
          <w:color w:val="auto"/>
          <w:sz w:val="24"/>
          <w:szCs w:val="24"/>
          <w:highlight w:val="none"/>
          <w:shd w:val="clear" w:color="auto" w:fill="ffffff"/>
        </w:rPr>
      </w:pPr>
      <w:r/>
      <w:bookmarkStart w:id="43" w:name="_Hlk158140503"/>
      <w:r/>
      <w:bookmarkStart w:id="44" w:name="_Hlk158140452"/>
      <w:r/>
      <w:bookmarkStart w:id="45" w:name="_Hlk90656398"/>
      <w:r/>
      <w:bookmarkStart w:id="46" w:name="_Hlk193377538"/>
      <w:r>
        <w:rPr>
          <w:rFonts w:hint="eastAsia" w:ascii="宋体" w:hAnsi="宋体" w:eastAsia="宋体" w:cs="宋体"/>
          <w:color w:val="auto"/>
          <w:sz w:val="24"/>
          <w:szCs w:val="24"/>
          <w:highlight w:val="none"/>
          <w:shd w:val="clear" w:color="auto" w:fill="ffffff"/>
        </w:rPr>
        <w:t xml:space="preserve">25.2本项目采用线上澄清</w:t>
      </w:r>
      <w:bookmarkEnd w:id="43"/>
      <w:r>
        <w:rPr>
          <w:rFonts w:hint="eastAsia" w:ascii="宋体" w:hAnsi="宋体" w:eastAsia="宋体" w:cs="宋体"/>
          <w:color w:val="auto"/>
          <w:sz w:val="24"/>
          <w:szCs w:val="24"/>
          <w:highlight w:val="none"/>
          <w:shd w:val="clear" w:color="auto" w:fill="ffffff"/>
        </w:rPr>
        <w:t xml:space="preserve">。</w:t>
      </w:r>
      <w:bookmarkEnd w:id="44"/>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25.2.2接到评标委员会澄清、说明和更正要求的供应商如未按规定作出澄清、说明和更正，其风险由供应商自行承担。</w:t>
      </w:r>
      <w:bookmarkEnd w:id="45"/>
      <w:r/>
      <w:bookmarkEnd w:id="46"/>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27.投标（响应）文件的评价和比较</w:t>
      </w:r>
      <w:r/>
    </w:p>
    <w:p>
      <w:pPr>
        <w:ind w:firstLine="480"/>
        <w:spacing w:line="360" w:lineRule="auto"/>
        <w:tabs>
          <w:tab w:val="left" w:pos="142" w:leader="none"/>
          <w:tab w:val="left" w:pos="600" w:leader="none"/>
        </w:tabs>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27.1评标委员会应当严格按照招标文件的要求、条件、评分标准，对符合性审查合格的投标（响应）文件进行商务和技术评估，综合比较与评价。</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27.2本项目采用综合评分法，即指投标（响应）文件满足招标文件全部实质性要求，且按照评审因素的量化指标评审得分最高的供应商为排名第一的中标候选人的评标方法。</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27.2.1投标（响应）者的资信情况和履约能力；</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27.2.2投标（响应）者提供的其他优惠条件；</w:t>
      </w:r>
      <w:r/>
    </w:p>
    <w:p>
      <w:pPr>
        <w:ind w:firstLine="482"/>
        <w:spacing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27.3最低的投标（响应）报价或最高的折扣比例是中标的重要条件，但不是唯一条件。</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28.中标单位的确认</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28.1评标委员会根据供应商资格审查情况，以及对投标（响应）文件进行评价和比较，按照评标办法和标准进行评标，并根据采购人的委托，按照中标候选人的顺序在中标候选人中直接确定成交人。</w:t>
      </w:r>
      <w:r/>
    </w:p>
    <w:p>
      <w:pPr>
        <w:ind w:firstLine="480"/>
        <w:spacing w:line="360" w:lineRule="auto"/>
        <w:widowControl/>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28.2经评</w:t>
      </w:r>
      <w:r>
        <w:rPr>
          <w:rFonts w:hint="eastAsia" w:ascii="宋体" w:hAnsi="宋体" w:eastAsia="宋体" w:cs="宋体"/>
          <w:color w:val="auto"/>
          <w:sz w:val="24"/>
          <w:szCs w:val="24"/>
          <w:highlight w:val="none"/>
          <w:shd w:val="clear" w:color="auto" w:fill="ffffff"/>
        </w:rPr>
        <w:t xml:space="preserve">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响应）的代理人签署。采购代理机构将在收到经供应商法定代表人或参加投标（响应）的代理人签署的书面质疑后七个工作日内，对质疑内容作出答复。如供应商未在中标公告期满后七个工作日内向采购代理机构提出质疑或质疑未经供应商法定代表人或参加投标（响应）的代理人签署，采购代理机构有权对该质疑不予答复。</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E.授予合同</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29.合同授予标准</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29.1采购人将把合同授予其投标（响应）文件在实质上响应招标文件要求和按本须知规定评选出的供应商。确定为中标的供应商必须具有实施本合同的能力和资源。</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30.中标通知书</w:t>
      </w:r>
      <w:r/>
    </w:p>
    <w:p>
      <w:pPr>
        <w:ind w:firstLine="480"/>
        <w:spacing w:line="360" w:lineRule="auto"/>
        <w:rPr>
          <w:rFonts w:ascii="宋体" w:hAnsi="宋体" w:eastAsia="宋体" w:cs="宋体"/>
          <w:color w:val="auto"/>
          <w:sz w:val="24"/>
          <w:szCs w:val="24"/>
          <w:highlight w:val="none"/>
          <w:shd w:val="clear" w:color="auto" w:fill="ffffff"/>
        </w:rPr>
      </w:pPr>
      <w:r/>
      <w:bookmarkStart w:id="47"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7"/>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31.合同的签订</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31.2签订合同及合同条款应以招标文件和中标单位的投标（响应）文件及其澄清文件为依据。</w:t>
      </w:r>
      <w:r/>
    </w:p>
    <w:p>
      <w:pPr>
        <w:ind w:firstLine="482"/>
        <w:spacing w:line="360" w:lineRule="auto"/>
        <w:rPr>
          <w:rFonts w:ascii="宋体" w:hAnsi="宋体" w:eastAsia="宋体" w:cs="宋体"/>
          <w:b/>
          <w:color w:val="auto"/>
          <w:sz w:val="24"/>
          <w:szCs w:val="24"/>
          <w:highlight w:val="none"/>
          <w:shd w:val="clear" w:color="auto" w:fill="ffffff"/>
        </w:rPr>
      </w:pPr>
      <w:r/>
      <w:bookmarkStart w:id="48" w:name="_Hlk193378097"/>
      <w:r>
        <w:rPr>
          <w:rFonts w:hint="eastAsia" w:ascii="宋体" w:hAnsi="宋体" w:eastAsia="宋体" w:cs="宋体"/>
          <w:b/>
          <w:bCs/>
          <w:color w:val="auto"/>
          <w:sz w:val="24"/>
          <w:szCs w:val="20"/>
          <w:highlight w:val="none"/>
          <w:shd w:val="clear" w:color="auto" w:fill="ffffff"/>
        </w:rPr>
        <w:t xml:space="preserve">F.其他事项</w:t>
      </w:r>
      <w:bookmarkEnd w:id="48"/>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32.2.1对可以质疑的招标文件提出质疑的，为收到招标文件之日或者招标文件公告期限届满之日；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32.2.2对采购过程提出质疑的，为各采购程序环节结束之日；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32.2.3对中标结果提出质疑的，为中标结果公告期限届满之日。</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”。供应商如组成联合体参加投标（响应），则《质疑函范本》中要求签字、盖章、加盖公章之处，联合体各方均须按要求签字、盖章、加盖公章。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shd w:val="clear" w:color="auto" w:fill="ffffff"/>
        </w:rPr>
        <w:t xml:space="preserve">32.8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33.1中标单位须按前附表的规定计算并支付代理服务费。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33.2中标单位如果未按规定缴纳代理服务费，采购代理机构将保留诉讼的权利。</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34.监督和公证</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34.2开、评标过程将通过公证机关进行公证（如有）。</w:t>
      </w:r>
      <w:r/>
    </w:p>
    <w:p>
      <w:pPr>
        <w:ind w:firstLine="482"/>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firstLine="480"/>
        <w:spacing w:line="360" w:lineRule="auto"/>
        <w:rPr>
          <w:rFonts w:ascii="宋体" w:hAnsi="宋体" w:eastAsia="宋体" w:cs="宋体"/>
          <w:color w:val="auto"/>
          <w:sz w:val="32"/>
          <w:szCs w:val="32"/>
          <w:highlight w:val="none"/>
          <w:shd w:val="clear" w:color="auto" w:fill="ffffff"/>
        </w:rPr>
      </w:pPr>
      <w:r/>
      <w:bookmarkStart w:id="49"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未尽事宜应按《中华人民共和国民法典》、《中华人民共和国政府采购法》以及其他相关法律、法规之规定解释。</w:t>
      </w:r>
      <w:bookmarkEnd w:id="49"/>
      <w:r>
        <w:rPr>
          <w:rFonts w:hint="eastAsia" w:ascii="宋体" w:hAnsi="宋体" w:eastAsia="宋体" w:cs="宋体"/>
          <w:color w:val="auto"/>
          <w:sz w:val="32"/>
          <w:szCs w:val="32"/>
          <w:highlight w:val="none"/>
          <w:shd w:val="clear" w:color="auto" w:fill="ffffff"/>
        </w:rPr>
        <w:br w:type="page" w:clear="all"/>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spacing w:line="360" w:lineRule="auto"/>
        <w:rPr>
          <w:rFonts w:ascii="宋体" w:hAnsi="宋体" w:eastAsia="宋体" w:cs="宋体"/>
          <w:color w:val="auto"/>
          <w:sz w:val="32"/>
          <w:szCs w:val="32"/>
          <w:highlight w:val="none"/>
          <w:shd w:val="clear" w:color="auto" w:fill="ffffff"/>
        </w:rPr>
      </w:pPr>
      <w:r>
        <w:rPr>
          <w:rFonts w:ascii="宋体" w:hAnsi="宋体" w:eastAsia="宋体" w:cs="宋体"/>
          <w:color w:val="auto"/>
          <w:sz w:val="32"/>
          <w:szCs w:val="32"/>
          <w:highlight w:val="none"/>
          <w:shd w:val="clear" w:color="auto" w:fill="ffffff"/>
        </w:rPr>
      </w:r>
      <w:r/>
    </w:p>
    <w:p>
      <w:pPr>
        <w:jc w:val="center"/>
        <w:keepLines/>
        <w:keepNext/>
        <w:spacing w:before="340" w:after="330" w:line="360" w:lineRule="auto"/>
        <w:rPr>
          <w:rFonts w:ascii="宋体" w:hAnsi="宋体" w:eastAsia="宋体" w:cs="宋体"/>
          <w:color w:val="auto"/>
          <w:sz w:val="52"/>
          <w:szCs w:val="20"/>
          <w:highlight w:val="none"/>
          <w:shd w:val="clear" w:color="auto" w:fill="ffffff"/>
        </w:rPr>
        <w:outlineLvl w:val="0"/>
      </w:pPr>
      <w:r/>
      <w:bookmarkStart w:id="50" w:name="_Toc105940239"/>
      <w:r>
        <w:rPr>
          <w:rFonts w:hint="eastAsia" w:ascii="宋体" w:hAnsi="宋体" w:eastAsia="宋体" w:cs="宋体"/>
          <w:b/>
          <w:color w:val="auto"/>
          <w:sz w:val="52"/>
          <w:szCs w:val="20"/>
          <w:highlight w:val="none"/>
          <w:shd w:val="clear" w:color="auto" w:fill="ffffff"/>
        </w:rPr>
        <w:t xml:space="preserve">第三章投标文件格式</w:t>
      </w:r>
      <w:bookmarkEnd w:id="50"/>
      <w:r/>
      <w:r/>
    </w:p>
    <w:p>
      <w:pPr>
        <w:jc w:val="left"/>
        <w:spacing w:line="360" w:lineRule="auto"/>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，除注明允许修改的文件外，供应商均应按照本章提供的格式填写，否则作为无效标。允许修改的文件，投标方可根据自身情况进行补充和修改，但补充和修改不得造成与原格式内容有实质性的违背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1、（供应商）法定代表人授权委托书</w:t>
      </w:r>
      <w:r/>
    </w:p>
    <w:p>
      <w:pPr>
        <w:jc w:val="cente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宋体"/>
          <w:color w:val="auto"/>
          <w:sz w:val="24"/>
          <w:szCs w:val="20"/>
          <w:highlight w:val="none"/>
        </w:rPr>
      </w:pPr>
      <w:r/>
      <w:bookmarkStart w:id="51"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highlight w:val="none"/>
          <w:u w:val="single"/>
        </w:rPr>
        <w:t xml:space="preserve">JSZC-320500-SZCH-G2026-0047</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1"/>
      <w:r/>
      <w:r/>
    </w:p>
    <w:p>
      <w:pPr>
        <w:ind w:firstLine="480"/>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0"/>
          <w:highlight w:val="none"/>
        </w:rPr>
      </w:pPr>
      <w:r>
        <w:rPr>
          <w:rFonts w:ascii="宋体" w:hAnsi="宋体" w:eastAsia="宋体" w:cs="宋体"/>
          <w:b/>
          <w:color w:val="auto"/>
          <w:sz w:val="24"/>
          <w:szCs w:val="20"/>
          <w:highlight w:val="none"/>
        </w:rPr>
      </w:r>
      <w:r/>
    </w:p>
    <w:p>
      <w:pPr>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2、投标（响应）函</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投标（响应）函</w:t>
      </w:r>
      <w:r/>
    </w:p>
    <w:p>
      <w:pPr>
        <w:rPr>
          <w:rFonts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u w:val="single"/>
          <w:shd w:val="clear" w:color="auto" w:fill="ffffff"/>
        </w:rPr>
        <w:t xml:space="preserve">苏州诚和招投标咨询有限公司</w:t>
      </w:r>
      <w:r>
        <w:rPr>
          <w:rFonts w:hint="eastAsia" w:ascii="宋体" w:hAnsi="宋体" w:eastAsia="宋体" w:cs="宋体"/>
          <w:color w:val="auto"/>
          <w:sz w:val="24"/>
          <w:szCs w:val="24"/>
          <w:highlight w:val="none"/>
          <w:u w:val="single"/>
        </w:rPr>
        <w:t xml:space="preserve">：</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本公司收到贵司</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号招标文件，经仔细阅读和研究，本公司决定参加投标。</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1、本公司愿意按照招标文件的一切要求，提供完成该项目的全部内容，本公司的投标报价</w:t>
      </w:r>
      <w:r>
        <w:rPr>
          <w:rFonts w:hint="eastAsia" w:ascii="宋体" w:hAnsi="宋体" w:eastAsia="宋体" w:cs="宋体"/>
          <w:color w:val="auto"/>
          <w:sz w:val="24"/>
          <w:szCs w:val="24"/>
          <w:highlight w:val="none"/>
          <w:shd w:val="clear" w:color="auto" w:fill="ffffff"/>
        </w:rPr>
        <w:t xml:space="preserve">包括完成对应采购包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2、如果本公司的投标书被接受，本公司将严格履行招标文件中规定的每一项要求，按期、按质、按量履行合同的义务。</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3、本公司已详细审查全部招标文件，包括补充文件（更正公告，如有）。本公司完全理解并同意放弃对这方面有不明及误解的权力。</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4、本公司同意按招标文件中的规定，本投标书的有效期限为投标截止日起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5、本公司愿意提供采购人或采购代理机构在招标文件中要求的所有资料。</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7、本公司愿意遵守招标公告及招标文件中所列的收费标准。</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8、本公司承诺该项投标在开标后的全过程中保持有效，不作任何更改和变动。</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9、如果本公司中标（成交），本公司愿意按采购文件规定支付履约保证金（如有）。</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10、本公司承诺符合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11、综合说明：</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（4）其他说明。</w:t>
      </w:r>
      <w:r/>
    </w:p>
    <w:p>
      <w:pPr>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                     联系人：                 地址：</w:t>
      </w:r>
      <w:r/>
    </w:p>
    <w:p>
      <w:pPr>
        <w:ind w:firstLine="480"/>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                 联系电话：               传真：</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银行账号：</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银行开户行：</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数字人民币开户行（如有）：</w:t>
      </w:r>
      <w:r/>
    </w:p>
    <w:p>
      <w:pPr>
        <w:ind w:firstLine="48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数字人民币账户（数币钱包ID）：</w:t>
      </w:r>
      <w:r/>
    </w:p>
    <w:p>
      <w:pPr>
        <w:pStyle w:val="730"/>
        <w:spacing w:line="240" w:lineRule="auto"/>
        <w:rPr>
          <w:rFonts w:ascii="宋体" w:hAnsi="宋体" w:eastAsia="宋体" w:cs="宋体"/>
          <w:color w:val="auto"/>
          <w:highlight w:val="none"/>
        </w:rPr>
      </w:pPr>
      <w:r>
        <w:rPr>
          <w:rFonts w:ascii="宋体" w:hAnsi="宋体" w:eastAsia="宋体" w:cs="宋体"/>
          <w:color w:val="auto"/>
          <w:highlight w:val="none"/>
        </w:rPr>
      </w:r>
      <w:r/>
    </w:p>
    <w:p>
      <w:pPr>
        <w:ind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210"/>
        <w:jc w:val="righ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724"/>
        <w:ind w:firstLine="0"/>
        <w:jc w:val="both"/>
        <w:spacing w:line="360" w:lineRule="auto"/>
        <w:rPr>
          <w:rFonts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3、开标一览表</w:t>
      </w:r>
      <w:r/>
    </w:p>
    <w:p>
      <w:pPr>
        <w:pStyle w:val="1021"/>
        <w:jc w:val="center"/>
        <w:spacing w:line="360" w:lineRule="auto"/>
        <w:rPr>
          <w:rFonts w:hAnsi="宋体" w:eastAsia="宋体" w:cs="宋体"/>
          <w:b/>
          <w:color w:val="auto"/>
          <w:sz w:val="24"/>
          <w:szCs w:val="24"/>
          <w:highlight w:val="none"/>
        </w:rPr>
      </w:pPr>
      <w:r>
        <w:rPr>
          <w:rFonts w:hint="eastAsia" w:hAnsi="宋体" w:eastAsia="宋体" w:cs="宋体"/>
          <w:b/>
          <w:color w:val="auto"/>
          <w:sz w:val="24"/>
          <w:szCs w:val="24"/>
          <w:highlight w:val="none"/>
        </w:rPr>
        <w:t xml:space="preserve">开标一览表（总报价）</w:t>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52" w:name="TBR"/>
      <w:r/>
      <w:bookmarkEnd w:id="52"/>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53" w:name="XMBH"/>
      <w:r/>
      <w:bookmarkEnd w:id="53"/>
      <w:r/>
      <w:r/>
    </w:p>
    <w:p>
      <w:pPr>
        <w:ind w:firstLine="420"/>
        <w:spacing w:line="440" w:lineRule="exact"/>
        <w:widowControl/>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54" w:name="FBH"/>
      <w:r/>
      <w:bookmarkEnd w:id="54"/>
      <w:r/>
      <w:r/>
    </w:p>
    <w:tbl>
      <w:tblPr>
        <w:tblStyle w:val="721"/>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ascii="宋体" w:hAnsi="宋体" w:eastAsia="宋体" w:cs="宋体"/>
                <w:color w:val="auto"/>
                <w:sz w:val="24"/>
                <w:szCs w:val="24"/>
                <w:highlight w:val="none"/>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6" w:name="JEXX"/>
            <w:r/>
            <w:bookmarkEnd w:id="56"/>
            <w:r>
              <w:rPr>
                <w:rFonts w:hint="eastAsia" w:ascii="宋体" w:hAnsi="宋体" w:eastAsia="宋体" w:cs="宋体"/>
                <w:color w:val="auto"/>
                <w:sz w:val="24"/>
                <w:szCs w:val="24"/>
                <w:highlight w:val="none"/>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ascii="宋体" w:hAnsi="宋体" w:eastAsia="宋体" w:cs="宋体"/>
                <w:color w:val="auto"/>
                <w:sz w:val="24"/>
                <w:szCs w:val="24"/>
                <w:highlight w:val="none"/>
              </w:rPr>
            </w:pPr>
            <w:r/>
            <w:bookmarkStart w:id="57" w:name="JEDX"/>
            <w:r/>
            <w:bookmarkEnd w:id="57"/>
            <w:r/>
            <w:r/>
          </w:p>
        </w:tc>
      </w:tr>
    </w:tbl>
    <w:p>
      <w:pPr>
        <w:ind w:left="1024"/>
        <w:spacing w:line="600" w:lineRule="exact"/>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w:t>
      </w:r>
      <w:r>
        <w:rPr>
          <w:rFonts w:hint="eastAsia" w:ascii="宋体" w:hAnsi="宋体" w:eastAsia="宋体" w:cs="宋体"/>
          <w:b/>
          <w:color w:val="auto"/>
          <w:sz w:val="24"/>
          <w:szCs w:val="24"/>
          <w:highlight w:val="none"/>
          <w:shd w:val="clear" w:color="auto" w:fill="ffffff"/>
        </w:rPr>
        <w:t xml:space="preserve">（响应）</w:t>
      </w:r>
      <w:r>
        <w:rPr>
          <w:rFonts w:hint="eastAsia" w:ascii="宋体" w:hAnsi="宋体" w:eastAsia="宋体" w:cs="宋体"/>
          <w:b/>
          <w:bCs/>
          <w:color w:val="auto"/>
          <w:sz w:val="24"/>
          <w:szCs w:val="24"/>
          <w:highlight w:val="none"/>
          <w:shd w:val="clear" w:color="auto" w:fill="ffffff"/>
        </w:rPr>
        <w:t xml:space="preserve">报价明细表</w:t>
      </w:r>
      <w:r/>
    </w:p>
    <w:p>
      <w:pPr>
        <w:pStyle w:val="732"/>
        <w:ind w:left="0" w:right="-607" w:firstLine="0"/>
        <w:jc w:val="center"/>
        <w:rPr>
          <w:rFonts w:hint="default" w:ascii="宋体" w:hAnsi="宋体" w:eastAsia="宋体" w:cs="宋体"/>
          <w:b/>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t xml:space="preserve">投标</w:t>
      </w:r>
      <w:r>
        <w:rPr>
          <w:rFonts w:ascii="宋体" w:hAnsi="宋体" w:eastAsia="宋体" w:cs="宋体"/>
          <w:b/>
          <w:color w:val="auto"/>
          <w:sz w:val="24"/>
          <w:szCs w:val="24"/>
          <w:highlight w:val="none"/>
          <w:shd w:val="clear" w:color="auto" w:fill="ffffff"/>
        </w:rPr>
        <w:t xml:space="preserve">（响应）</w:t>
      </w:r>
      <w:r>
        <w:rPr>
          <w:rFonts w:ascii="宋体" w:hAnsi="宋体" w:eastAsia="宋体" w:cs="宋体"/>
          <w:b/>
          <w:bCs/>
          <w:color w:val="auto"/>
          <w:sz w:val="24"/>
          <w:szCs w:val="24"/>
          <w:highlight w:val="none"/>
          <w:shd w:val="clear" w:color="auto" w:fill="ffffff"/>
        </w:rPr>
        <w:t xml:space="preserve">报价明细表</w:t>
      </w:r>
      <w:r/>
    </w:p>
    <w:tbl>
      <w:tblPr>
        <w:tblStyle w:val="721"/>
        <w:tblW w:w="4996" w:type="pct"/>
        <w:jc w:val="center"/>
        <w:tblLayout w:type="autofit"/>
        <w:tblCellMar>
          <w:left w:w="0" w:type="dxa"/>
          <w:top w:w="0" w:type="dxa"/>
          <w:right w:w="0" w:type="dxa"/>
          <w:bottom w:w="0" w:type="dxa"/>
        </w:tblCellMar>
        <w:tblLook w:val="04A0" w:firstRow="1" w:lastRow="0" w:firstColumn="1" w:lastColumn="0" w:noHBand="0" w:noVBand="1"/>
      </w:tblPr>
      <w:tblGrid>
        <w:gridCol w:w="668"/>
        <w:gridCol w:w="1604"/>
        <w:gridCol w:w="1032"/>
        <w:gridCol w:w="1163"/>
        <w:gridCol w:w="1196"/>
        <w:gridCol w:w="826"/>
        <w:gridCol w:w="742"/>
        <w:gridCol w:w="1254"/>
        <w:gridCol w:w="1145"/>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b/>
                <w:color w:val="auto"/>
                <w:szCs w:val="21"/>
                <w:highlight w:val="none"/>
              </w:rPr>
            </w:pPr>
            <w:r>
              <w:rPr>
                <w:rFonts w:hint="eastAsia" w:ascii="宋体" w:hAnsi="宋体" w:eastAsia="宋体" w:cs="宋体"/>
                <w:b/>
                <w:color w:val="auto"/>
                <w:spacing w:val="20"/>
                <w:szCs w:val="24"/>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品牌</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生产厂家</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rPr>
                <w:rFonts w:ascii="宋体" w:hAnsi="宋体" w:eastAsia="宋体" w:cs="宋体"/>
                <w:b/>
                <w:color w:val="auto"/>
                <w:spacing w:val="20"/>
                <w:szCs w:val="24"/>
                <w:highlight w:val="none"/>
              </w:rPr>
            </w:pPr>
            <w:r>
              <w:rPr>
                <w:rFonts w:hint="eastAsia" w:ascii="宋体" w:hAnsi="宋体" w:eastAsia="宋体" w:cs="宋体"/>
                <w:b/>
                <w:color w:val="auto"/>
                <w:spacing w:val="20"/>
                <w:szCs w:val="24"/>
                <w:highlight w:val="none"/>
              </w:rPr>
              <w:t xml:space="preserve">总价</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47" w:type="pct"/>
            <w:vAlign w:val="center"/>
            <w:textDirection w:val="lrTb"/>
            <w:noWrap w:val="false"/>
          </w:tcPr>
          <w:p>
            <w:pPr>
              <w:jc w:val="center"/>
              <w:widowControl/>
              <w:rPr>
                <w:rFonts w:ascii="宋体" w:hAnsi="宋体" w:eastAsia="宋体" w:cs="宋体"/>
                <w:color w:val="auto"/>
                <w:szCs w:val="21"/>
                <w:highlight w:val="none"/>
                <w:lang w:bidi="ar"/>
              </w:rPr>
            </w:pPr>
            <w:r>
              <w:rPr>
                <w:rFonts w:ascii="宋体" w:hAnsi="宋体" w:eastAsia="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833"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36" w:type="pct"/>
            <w:vAlign w:val="center"/>
            <w:textDirection w:val="lrTb"/>
            <w:noWrap w:val="false"/>
          </w:tcPr>
          <w:p>
            <w:pPr>
              <w:jc w:val="center"/>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604"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621" w:type="pct"/>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29"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ascii="宋体" w:hAnsi="宋体" w:eastAsia="宋体" w:cs="宋体"/>
                <w:b/>
                <w:color w:val="auto"/>
                <w:szCs w:val="21"/>
                <w:highlight w:val="none"/>
              </w:rPr>
            </w:pPr>
            <w:r>
              <w:rPr>
                <w:rFonts w:ascii="宋体" w:hAnsi="宋体" w:eastAsia="宋体" w:cs="宋体"/>
                <w:b/>
                <w:color w:val="auto"/>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widowControl/>
              <w:rPr>
                <w:rFonts w:ascii="宋体" w:hAnsi="宋体" w:eastAsia="宋体" w:cs="宋体"/>
                <w:b/>
                <w:color w:val="auto"/>
                <w:szCs w:val="21"/>
                <w:highlight w:val="none"/>
                <w:lang w:bidi="ar"/>
              </w:rPr>
            </w:pPr>
            <w:r>
              <w:rPr>
                <w:rFonts w:hint="eastAsia" w:ascii="宋体" w:hAnsi="宋体" w:eastAsia="宋体" w:cs="宋体"/>
                <w:b/>
                <w:color w:val="auto"/>
                <w:szCs w:val="21"/>
                <w:highlight w:val="none"/>
                <w:lang w:bidi="ar"/>
              </w:rPr>
              <w:t xml:space="preserve">投标总价：</w:t>
            </w:r>
            <w:r>
              <w:rPr>
                <w:rFonts w:hint="eastAsia" w:ascii="宋体" w:hAnsi="宋体" w:eastAsia="宋体" w:cs="宋体"/>
                <w:b/>
                <w:color w:val="auto"/>
                <w:szCs w:val="21"/>
                <w:highlight w:val="none"/>
              </w:rPr>
              <w:t xml:space="preserve">（大写）人民币元                      （</w:t>
            </w:r>
            <w:r>
              <w:rPr>
                <w:rFonts w:hint="eastAsia" w:ascii="宋体" w:hAnsi="宋体" w:eastAsia="宋体" w:cs="宋体"/>
                <w:color w:val="auto"/>
                <w:sz w:val="24"/>
                <w:szCs w:val="20"/>
                <w:highlight w:val="none"/>
              </w:rPr>
              <w:t xml:space="preserve">¥</w:t>
            </w:r>
            <w:r>
              <w:rPr>
                <w:rFonts w:hint="eastAsia" w:ascii="宋体" w:hAnsi="宋体" w:eastAsia="宋体" w:cs="宋体"/>
                <w:b/>
                <w:color w:val="auto"/>
                <w:szCs w:val="21"/>
                <w:highlight w:val="none"/>
              </w:rPr>
              <w:t xml:space="preserve">           元）</w:t>
            </w:r>
            <w:r/>
          </w:p>
        </w:tc>
      </w:tr>
    </w:tbl>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jc w:val="left"/>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5、投标货物和服务数量、品牌型号、技术要求、交货期</w:t>
      </w:r>
      <w:r/>
    </w:p>
    <w:p>
      <w:pPr>
        <w:pStyle w:val="724"/>
        <w:ind w:firstLine="0"/>
        <w:jc w:val="cente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投标货物和服务数量、品牌型号、技术要求、交货期</w:t>
      </w:r>
      <w:r/>
    </w:p>
    <w:tbl>
      <w:tblPr>
        <w:tblStyle w:val="72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jc w:val="center"/>
              <w:rPr>
                <w:rFonts w:hAnsi="宋体" w:eastAsia="宋体" w:cs="宋体"/>
                <w:color w:val="auto"/>
                <w:sz w:val="21"/>
                <w:szCs w:val="21"/>
                <w:highlight w:val="none"/>
              </w:rPr>
            </w:pPr>
            <w:r>
              <w:rPr>
                <w:rFonts w:hint="eastAsia" w:hAnsi="宋体" w:eastAsia="宋体" w:cs="宋体"/>
                <w:color w:val="auto"/>
                <w:sz w:val="21"/>
                <w:szCs w:val="21"/>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71"/>
              <w:ind w:firstLine="480"/>
              <w:jc w:val="center"/>
              <w:rPr>
                <w:rFonts w:hAnsi="宋体" w:eastAsia="宋体" w:cs="宋体"/>
                <w:color w:val="auto"/>
                <w:sz w:val="21"/>
                <w:szCs w:val="21"/>
                <w:highlight w:val="none"/>
              </w:rPr>
            </w:pPr>
            <w:r>
              <w:rPr>
                <w:rFonts w:hAnsi="宋体" w:eastAsia="宋体" w:cs="宋体"/>
                <w:color w:val="auto"/>
                <w:sz w:val="21"/>
                <w:szCs w:val="21"/>
                <w:highlight w:val="none"/>
              </w:rPr>
            </w:r>
            <w:r/>
          </w:p>
        </w:tc>
      </w:tr>
    </w:tbl>
    <w:p>
      <w:pPr>
        <w:pStyle w:val="724"/>
        <w:ind w:firstLine="0"/>
        <w:jc w:val="both"/>
        <w:spacing w:line="360" w:lineRule="auto"/>
        <w:rPr>
          <w:rFonts w:ascii="宋体" w:hAnsi="宋体" w:eastAsia="宋体" w:cs="宋体"/>
          <w:b/>
          <w:color w:val="auto"/>
          <w:szCs w:val="24"/>
          <w:highlight w:val="none"/>
        </w:rPr>
      </w:pPr>
      <w:r>
        <w:rPr>
          <w:rFonts w:ascii="宋体" w:hAnsi="宋体" w:eastAsia="宋体" w:cs="宋体"/>
          <w:b/>
          <w:color w:val="auto"/>
          <w:szCs w:val="24"/>
          <w:highlight w:val="none"/>
        </w:rPr>
      </w:r>
      <w:r/>
    </w:p>
    <w:p>
      <w:pPr>
        <w:pStyle w:val="1035"/>
        <w:ind w:firstLine="480"/>
        <w:spacing w:line="320" w:lineRule="exact"/>
        <w:rPr>
          <w:rFonts w:hAnsi="宋体" w:eastAsia="宋体" w:cs="宋体"/>
          <w:color w:val="auto"/>
          <w:sz w:val="24"/>
          <w:szCs w:val="24"/>
          <w:highlight w:val="none"/>
          <w:shd w:val="clear" w:color="auto" w:fill="ffffff"/>
        </w:rPr>
      </w:pPr>
      <w:r>
        <w:rPr>
          <w:rFonts w:hAnsi="宋体" w:eastAsia="宋体" w:cs="宋体"/>
          <w:color w:val="auto"/>
          <w:sz w:val="24"/>
          <w:szCs w:val="24"/>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6、针对本项目制定的实施方案</w:t>
      </w:r>
      <w:r/>
    </w:p>
    <w:p>
      <w:pPr>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针对本项目制定的实施方案</w:t>
      </w:r>
      <w:r/>
    </w:p>
    <w:tbl>
      <w:tblPr>
        <w:tblStyle w:val="721"/>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ascii="宋体" w:hAnsi="宋体" w:eastAsia="宋体" w:cs="宋体"/>
                <w:b/>
                <w:bCs/>
                <w:color w:val="auto"/>
                <w:sz w:val="24"/>
                <w:szCs w:val="24"/>
                <w:highlight w:val="none"/>
                <w:shd w:val="clear" w:color="auto" w:fill="ffffff"/>
              </w:rPr>
            </w:pPr>
            <w:r>
              <w:rPr>
                <w:rFonts w:ascii="宋体" w:hAnsi="宋体" w:eastAsia="宋体" w:cs="宋体"/>
                <w:b/>
                <w:bCs/>
                <w:color w:val="auto"/>
                <w:sz w:val="24"/>
                <w:szCs w:val="24"/>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260"/>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ind w:firstLine="260"/>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tc>
      </w:tr>
    </w:tbl>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7、</w:t>
      </w:r>
      <w:r>
        <w:rPr>
          <w:rFonts w:hint="eastAsia" w:ascii="宋体" w:hAnsi="宋体" w:eastAsia="宋体" w:cs="宋体"/>
          <w:b/>
          <w:color w:val="auto"/>
          <w:sz w:val="24"/>
          <w:szCs w:val="24"/>
          <w:highlight w:val="none"/>
        </w:rPr>
        <w:t xml:space="preserve">技术或服务</w:t>
      </w:r>
      <w:r>
        <w:rPr>
          <w:rFonts w:hint="eastAsia" w:ascii="宋体" w:hAnsi="宋体" w:eastAsia="宋体" w:cs="宋体"/>
          <w:b/>
          <w:color w:val="auto"/>
          <w:sz w:val="24"/>
          <w:szCs w:val="24"/>
          <w:highlight w:val="none"/>
          <w:shd w:val="clear" w:color="auto" w:fill="ffffff"/>
        </w:rPr>
        <w:t xml:space="preserve">要求偏离表</w:t>
      </w:r>
      <w:r/>
    </w:p>
    <w:p>
      <w:pPr>
        <w:pStyle w:val="731"/>
        <w:ind w:left="0"/>
        <w:jc w:val="center"/>
        <w:spacing w:line="360" w:lineRule="auto"/>
        <w:rPr>
          <w:color w:val="auto"/>
          <w:highlight w:val="none"/>
          <w:lang w:val="zh-CN"/>
        </w:rPr>
      </w:pPr>
      <w:r>
        <w:rPr>
          <w:rFonts w:hint="eastAsia" w:ascii="宋体" w:hAnsi="宋体" w:eastAsia="宋体" w:cs="宋体"/>
          <w:b/>
          <w:color w:val="auto"/>
          <w:szCs w:val="24"/>
          <w:highlight w:val="none"/>
        </w:rPr>
        <w:t xml:space="preserve">技术或服务</w:t>
      </w:r>
      <w:r>
        <w:rPr>
          <w:rFonts w:hint="eastAsia" w:ascii="宋体" w:hAnsi="宋体" w:eastAsia="宋体" w:cs="宋体"/>
          <w:b/>
          <w:color w:val="auto"/>
          <w:szCs w:val="24"/>
          <w:highlight w:val="none"/>
          <w:shd w:val="clear" w:color="auto" w:fill="ffffff"/>
        </w:rPr>
        <w:t xml:space="preserve">要求偏离表</w:t>
      </w:r>
      <w:r/>
    </w:p>
    <w:tbl>
      <w:tblPr>
        <w:tblStyle w:val="72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439"/>
        <w:gridCol w:w="1805"/>
        <w:gridCol w:w="1605"/>
        <w:gridCol w:w="1894"/>
        <w:gridCol w:w="1959"/>
      </w:tblGrid>
      <w:tr>
        <w:trPr>
          <w:jc w:val="center"/>
          <w:trHeight w:val="474"/>
        </w:trPr>
        <w:tc>
          <w:tcPr>
            <w:tcW w:w="479"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7"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pStyle w:val="763"/>
        <w:ind w:firstLine="520"/>
        <w:rPr>
          <w:rFonts w:ascii="宋体" w:hAnsi="宋体" w:eastAsia="宋体" w:cs="宋体"/>
          <w:color w:val="auto"/>
          <w:highlight w:val="none"/>
        </w:rPr>
      </w:pPr>
      <w:r>
        <w:rPr>
          <w:rFonts w:ascii="宋体" w:hAnsi="宋体" w:eastAsia="宋体" w:cs="宋体"/>
          <w:color w:val="auto"/>
          <w:highlight w:val="none"/>
        </w:rPr>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8、商务要求偏离表</w:t>
      </w:r>
      <w:r/>
    </w:p>
    <w:p>
      <w:pPr>
        <w:jc w:val="center"/>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商务要求偏离表</w:t>
      </w:r>
      <w:r/>
    </w:p>
    <w:tbl>
      <w:tblPr>
        <w:tblStyle w:val="72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439"/>
        <w:gridCol w:w="1805"/>
        <w:gridCol w:w="1605"/>
        <w:gridCol w:w="1894"/>
        <w:gridCol w:w="1959"/>
      </w:tblGrid>
      <w:tr>
        <w:trPr>
          <w:jc w:val="center"/>
          <w:trHeight w:val="474"/>
        </w:trPr>
        <w:tc>
          <w:tcPr>
            <w:tcW w:w="479"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747"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937"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833"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983"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017" w:type="pct"/>
            <w:vAlign w:val="center"/>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423"/>
        </w:trPr>
        <w:tc>
          <w:tcPr>
            <w:tcW w:w="479"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74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3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83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983"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c>
          <w:tcPr>
            <w:tcW w:w="1017" w:type="pct"/>
            <w:textDirection w:val="lrTb"/>
            <w:noWrap w:val="false"/>
          </w:tcPr>
          <w:p>
            <w:pPr>
              <w:pStyle w:val="1037"/>
              <w:ind w:firstLine="0"/>
              <w:jc w:val="center"/>
              <w:spacing w:line="400" w:lineRule="exact"/>
              <w:rPr>
                <w:rFonts w:ascii="宋体" w:hAnsi="宋体" w:eastAsia="宋体" w:cs="宋体"/>
                <w:color w:val="auto"/>
                <w:szCs w:val="24"/>
                <w:highlight w:val="none"/>
              </w:rPr>
            </w:pPr>
            <w:r>
              <w:rPr>
                <w:rFonts w:ascii="宋体" w:hAnsi="宋体" w:eastAsia="宋体" w:cs="宋体"/>
                <w:color w:val="auto"/>
                <w:szCs w:val="24"/>
                <w:highlight w:val="none"/>
              </w:rPr>
            </w:r>
            <w:r/>
          </w:p>
        </w:tc>
      </w:tr>
    </w:tbl>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9、拟投入本项目人员配备一览表</w:t>
      </w:r>
      <w:r/>
    </w:p>
    <w:p>
      <w:pPr>
        <w:jc w:val="center"/>
        <w:spacing w:line="360" w:lineRule="auto"/>
        <w:rPr>
          <w:rFonts w:ascii="宋体" w:hAnsi="宋体" w:eastAsia="宋体" w:cs="宋体"/>
          <w:b/>
          <w:color w:val="auto"/>
          <w:sz w:val="26"/>
          <w:szCs w:val="20"/>
          <w:highlight w:val="none"/>
        </w:rPr>
      </w:pPr>
      <w:r>
        <w:rPr>
          <w:rFonts w:hint="eastAsia" w:ascii="宋体" w:hAnsi="宋体" w:eastAsia="宋体" w:cs="宋体"/>
          <w:b/>
          <w:color w:val="auto"/>
          <w:sz w:val="24"/>
          <w:szCs w:val="24"/>
          <w:highlight w:val="none"/>
        </w:rPr>
        <w:t xml:space="preserve">拟投入本项目人员配备一览表</w:t>
      </w:r>
      <w:r/>
    </w:p>
    <w:tbl>
      <w:tblPr>
        <w:tblStyle w:val="721"/>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注：投标人根据招标文件要求及自身情况配备项目团队成员。</w:t>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1"/>
          <w:highlight w:val="none"/>
        </w:rPr>
      </w:pPr>
      <w:r>
        <w:rPr>
          <w:rFonts w:ascii="宋体" w:hAnsi="宋体" w:eastAsia="宋体" w:cs="宋体"/>
          <w:b/>
          <w:color w:val="auto"/>
          <w:sz w:val="24"/>
          <w:szCs w:val="21"/>
          <w:highlight w:val="none"/>
        </w:rPr>
      </w:r>
      <w:r/>
    </w:p>
    <w:p>
      <w:pPr>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rPr>
        <w:t xml:space="preserve">10、类似业绩情况表</w:t>
      </w:r>
      <w:r/>
    </w:p>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721"/>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510" w:hRule="exact"/>
        </w:trPr>
        <w:tc>
          <w:tcPr>
            <w:tcW w:w="82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50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702"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Borders>
              <w:right w:val="single" w:color="auto" w:sz="4" w:space="0"/>
            </w:tcBorders>
            <w:tcW w:w="1930"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987" w:type="dxa"/>
            <w:vAlign w:val="center"/>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pStyle w:val="732"/>
        <w:rPr>
          <w:rFonts w:hint="default" w:ascii="宋体" w:hAnsi="宋体" w:eastAsia="宋体" w:cs="宋体"/>
          <w:color w:val="auto"/>
          <w:highlight w:val="none"/>
        </w:rPr>
      </w:pPr>
      <w:r>
        <w:rPr>
          <w:rFonts w:hint="default" w:ascii="宋体" w:hAnsi="宋体" w:eastAsia="宋体" w:cs="宋体"/>
          <w:color w:val="auto"/>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rPr>
        <w:t xml:space="preserve">11、资格证明文件</w:t>
      </w:r>
      <w:r/>
    </w:p>
    <w:p>
      <w:pPr>
        <w:spacing w:line="360" w:lineRule="auto"/>
        <w:rPr>
          <w:rFonts w:ascii="宋体" w:hAnsi="宋体" w:eastAsia="宋体" w:cs="宋体"/>
          <w:b/>
          <w:color w:val="auto"/>
          <w:sz w:val="24"/>
          <w:szCs w:val="20"/>
          <w:highlight w:val="none"/>
          <w:shd w:val="clear" w:color="auto" w:fill="ffffff"/>
        </w:rPr>
      </w:pPr>
      <w:r>
        <w:rPr>
          <w:rFonts w:ascii="宋体" w:hAnsi="宋体" w:eastAsia="宋体" w:cs="宋体"/>
          <w:b/>
          <w:color w:val="auto"/>
          <w:sz w:val="24"/>
          <w:szCs w:val="20"/>
          <w:highlight w:val="none"/>
          <w:shd w:val="clear" w:color="auto" w:fill="ffffff"/>
        </w:rPr>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shd w:val="clear" w:color="auto" w:fill="ffffff"/>
        </w:rPr>
        <w:t xml:space="preserve">苏州诚和招投标咨询有限公司</w:t>
      </w:r>
      <w:r>
        <w:rPr>
          <w:rFonts w:hint="eastAsia" w:ascii="宋体" w:hAnsi="宋体" w:eastAsia="宋体" w:cs="宋体"/>
          <w:color w:val="auto"/>
          <w:sz w:val="24"/>
          <w:szCs w:val="24"/>
          <w:highlight w:val="none"/>
          <w:u w:val="single"/>
        </w:rPr>
        <w:t xml:space="preserve">：</w:t>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0"/>
          <w:highlight w:val="none"/>
          <w:shd w:val="clear" w:color="auto" w:fill="ffffff"/>
        </w:rPr>
      </w:pPr>
      <w:r>
        <w:rPr>
          <w:rFonts w:ascii="宋体" w:hAnsi="宋体" w:eastAsia="宋体" w:cs="宋体"/>
          <w:color w:val="auto"/>
          <w:sz w:val="24"/>
          <w:szCs w:val="20"/>
          <w:highlight w:val="none"/>
          <w:shd w:val="clear" w:color="auto" w:fill="ffffff"/>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ascii="宋体" w:hAnsi="宋体" w:eastAsia="宋体" w:cs="宋体"/>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（2）供应商基本情况表</w:t>
      </w:r>
      <w:r/>
    </w:p>
    <w:p>
      <w:pPr>
        <w:jc w:val="center"/>
        <w:spacing w:line="360" w:lineRule="auto"/>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供应商基本情况表</w:t>
      </w:r>
      <w:r/>
    </w:p>
    <w:p>
      <w:pPr>
        <w:ind w:firstLine="480"/>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721"/>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979"/>
        <w:gridCol w:w="1992"/>
        <w:gridCol w:w="1524"/>
        <w:gridCol w:w="2109"/>
        <w:gridCol w:w="1016"/>
      </w:tblGrid>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035"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92"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1623"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035"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tcW w:w="792"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1623" w:type="pct"/>
            <w:vAlign w:val="center"/>
            <w:textDirection w:val="lrTb"/>
            <w:noWrap w:val="false"/>
          </w:tcPr>
          <w:p>
            <w:pPr>
              <w:ind w:firstLine="2160"/>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035"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gridSpan w:val="2"/>
            <w:tcW w:w="188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527"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035" w:type="pct"/>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792" w:type="pct"/>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1623" w:type="pct"/>
            <w:vAlign w:val="center"/>
            <w:textDirection w:val="lrTb"/>
            <w:noWrap w:val="false"/>
          </w:tcPr>
          <w:p>
            <w:pPr>
              <w:ind w:firstLine="96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1548" w:type="pct"/>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035" w:type="pct"/>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792" w:type="pct"/>
            <w:vAlign w:val="center"/>
            <w:textDirection w:val="lrTb"/>
            <w:noWrap w:val="false"/>
          </w:tcPr>
          <w:p>
            <w:pP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1623" w:type="pct"/>
            <w:vAlign w:val="center"/>
            <w:textDirection w:val="lrTb"/>
            <w:noWrap w:val="false"/>
          </w:tcPr>
          <w:p>
            <w:pPr>
              <w:jc w:val="center"/>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2025年    万元</w:t>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035"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2025年  万元</w:t>
            </w:r>
            <w:r/>
          </w:p>
        </w:tc>
        <w:tc>
          <w:tcPr>
            <w:tcW w:w="792"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c>
          <w:tcPr>
            <w:gridSpan w:val="2"/>
            <w:tcW w:w="1623"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035" w:type="pct"/>
            <w:vAlign w:val="center"/>
            <w:textDirection w:val="lrTb"/>
            <w:noWrap w:val="false"/>
          </w:tcPr>
          <w:p>
            <w:pPr>
              <w:ind w:firstLine="960"/>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792"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1623"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3451" w:type="pct"/>
            <w:vAlign w:val="center"/>
            <w:textDirection w:val="lrTb"/>
            <w:noWrap w:val="false"/>
          </w:tcPr>
          <w:p>
            <w:pPr>
              <w:jc w:val="left"/>
              <w:rPr>
                <w:rFonts w:ascii="宋体" w:hAnsi="宋体" w:eastAsia="宋体" w:cs="宋体"/>
                <w:color w:val="auto"/>
                <w:sz w:val="24"/>
                <w:szCs w:val="24"/>
                <w:highlight w:val="none"/>
                <w:shd w:val="clear" w:color="auto" w:fill="ffffff"/>
              </w:rPr>
            </w:pPr>
            <w:r>
              <w:rPr>
                <w:rFonts w:ascii="宋体" w:hAnsi="宋体" w:eastAsia="宋体" w:cs="宋体"/>
                <w:color w:val="auto"/>
                <w:sz w:val="24"/>
                <w:szCs w:val="24"/>
                <w:highlight w:val="none"/>
                <w:shd w:val="clear" w:color="auto" w:fill="ffffff"/>
              </w:rPr>
            </w:r>
            <w:r/>
          </w:p>
        </w:tc>
      </w:tr>
    </w:tbl>
    <w:p>
      <w:pPr>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br w:type="page" w:clear="all"/>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spacing w:line="360" w:lineRule="auto"/>
        <w:rPr>
          <w:rFonts w:ascii="宋体" w:hAnsi="宋体" w:eastAsia="宋体" w:cs="宋体"/>
          <w:color w:val="auto"/>
          <w:sz w:val="24"/>
          <w:szCs w:val="24"/>
          <w:highlight w:val="none"/>
        </w:rPr>
      </w:pPr>
      <w:r/>
      <w:bookmarkStart w:id="58" w:name="OLE_LINK6"/>
      <w:r/>
      <w:bookmarkEnd w:id="58"/>
      <w:r/>
      <w:bookmarkStart w:id="59" w:name="OLE_LINK5"/>
      <w:r/>
      <w:bookmarkEnd w:id="59"/>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759"/>
        <w:ind w:firstLine="480"/>
        <w:jc w:val="both"/>
        <w:spacing w:before="0" w:beforeAutospacing="0" w:after="0" w:afterAutospacing="0" w:line="360" w:lineRule="auto"/>
        <w:rPr>
          <w:rFonts w:ascii="宋体" w:hAnsi="宋体" w:eastAsia="宋体" w:cs="宋体"/>
          <w:color w:val="auto"/>
          <w:szCs w:val="24"/>
          <w:highlight w:val="none"/>
        </w:rPr>
      </w:pPr>
      <w:r/>
      <w:bookmarkStart w:id="60" w:name="OLE_LINK12"/>
      <w:r>
        <w:rPr>
          <w:rFonts w:hint="eastAsia" w:ascii="宋体" w:hAnsi="宋体" w:eastAsia="宋体" w:cs="宋体"/>
          <w:color w:val="auto"/>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firstLine="480"/>
        <w:jc w:val="both"/>
        <w:spacing w:before="0" w:beforeAutospacing="0" w:after="0" w:afterAutospacing="0"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Cs w:val="24"/>
          <w:highlight w:val="none"/>
          <w:shd w:val="clear" w:color="auto" w:fill="ffffff"/>
        </w:rPr>
        <w:t xml:space="preserve">1.</w:t>
      </w:r>
      <w:r>
        <w:rPr>
          <w:rStyle w:val="769"/>
          <w:rFonts w:hint="eastAsia" w:ascii="宋体" w:hAnsi="宋体" w:eastAsia="宋体" w:cs="宋体"/>
          <w:i w:val="0"/>
          <w:color w:val="auto"/>
          <w:szCs w:val="24"/>
          <w:highlight w:val="none"/>
          <w:u w:val="single"/>
          <w:shd w:val="clear" w:color="auto" w:fill="ffffff"/>
        </w:rPr>
        <w:t xml:space="preserve">（产品名称1）</w:t>
      </w:r>
      <w:r>
        <w:rPr>
          <w:rStyle w:val="769"/>
          <w:rFonts w:hint="eastAsia" w:ascii="宋体" w:hAnsi="宋体" w:eastAsia="宋体" w:cs="宋体"/>
          <w:i w:val="0"/>
          <w:color w:val="auto"/>
          <w:szCs w:val="24"/>
          <w:highlight w:val="none"/>
          <w:shd w:val="clear" w:color="auto" w:fill="ffffff"/>
          <w:vertAlign w:val="superscript"/>
        </w:rPr>
        <w:t xml:space="preserve">1</w:t>
      </w:r>
      <w:r>
        <w:rPr>
          <w:rFonts w:hint="eastAsia" w:ascii="宋体" w:hAnsi="宋体" w:eastAsia="宋体" w:cs="宋体"/>
          <w:color w:val="auto"/>
          <w:szCs w:val="24"/>
          <w:highlight w:val="none"/>
          <w:shd w:val="clear" w:color="auto" w:fill="ffffff"/>
        </w:rPr>
        <w:t xml:space="preserve">，生产厂为</w:t>
      </w:r>
      <w:r>
        <w:rPr>
          <w:rStyle w:val="769"/>
          <w:rFonts w:hint="eastAsia" w:ascii="宋体" w:hAnsi="宋体" w:eastAsia="宋体" w:cs="宋体"/>
          <w:i w:val="0"/>
          <w:color w:val="auto"/>
          <w:szCs w:val="24"/>
          <w:highlight w:val="none"/>
          <w:u w:val="single"/>
          <w:shd w:val="clear" w:color="auto" w:fill="ffffff"/>
        </w:rPr>
        <w:t xml:space="preserve">（厂名）</w:t>
      </w:r>
      <w:r>
        <w:rPr>
          <w:rStyle w:val="769"/>
          <w:rFonts w:hint="eastAsia" w:ascii="宋体" w:hAnsi="宋体" w:eastAsia="宋体" w:cs="宋体"/>
          <w:i w:val="0"/>
          <w:color w:val="auto"/>
          <w:szCs w:val="24"/>
          <w:highlight w:val="none"/>
          <w:shd w:val="clear" w:color="auto" w:fill="ffffff"/>
          <w:vertAlign w:val="superscript"/>
        </w:rPr>
        <w:t xml:space="preserve">2</w:t>
      </w:r>
      <w:r>
        <w:rPr>
          <w:rFonts w:hint="eastAsia" w:ascii="宋体" w:hAnsi="宋体" w:eastAsia="宋体" w:cs="宋体"/>
          <w:color w:val="auto"/>
          <w:szCs w:val="24"/>
          <w:highlight w:val="none"/>
          <w:shd w:val="clear" w:color="auto" w:fill="ffffff"/>
        </w:rPr>
        <w:t xml:space="preserve">，厂址为</w:t>
      </w:r>
      <w:r>
        <w:rPr>
          <w:rStyle w:val="769"/>
          <w:rFonts w:hint="eastAsia" w:ascii="宋体" w:hAnsi="宋体" w:eastAsia="宋体" w:cs="宋体"/>
          <w:i w:val="0"/>
          <w:color w:val="auto"/>
          <w:szCs w:val="24"/>
          <w:highlight w:val="none"/>
          <w:u w:val="single"/>
          <w:shd w:val="clear" w:color="auto" w:fill="ffffff"/>
        </w:rPr>
        <w:t xml:space="preserve">（生产厂址）</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u w:val="single"/>
          <w:shd w:val="clear" w:color="auto" w:fill="ffffff"/>
        </w:rPr>
        <w:t xml:space="preserve"> </w:t>
      </w:r>
      <w:r>
        <w:rPr>
          <w:rStyle w:val="769"/>
          <w:rFonts w:hint="eastAsia" w:ascii="宋体" w:hAnsi="宋体" w:eastAsia="宋体" w:cs="宋体"/>
          <w:i w:val="0"/>
          <w:color w:val="auto"/>
          <w:szCs w:val="24"/>
          <w:highlight w:val="none"/>
          <w:u w:val="single"/>
          <w:shd w:val="clear" w:color="auto" w:fill="ffffff"/>
        </w:rPr>
        <w:t xml:space="preserve">（产品名称1） </w:t>
      </w:r>
      <w:r>
        <w:rPr>
          <w:rFonts w:hint="eastAsia" w:ascii="宋体" w:hAnsi="宋体" w:eastAsia="宋体" w:cs="宋体"/>
          <w:color w:val="auto"/>
          <w:szCs w:val="24"/>
          <w:highlight w:val="none"/>
          <w:shd w:val="clear" w:color="auto" w:fill="ffffff"/>
        </w:rPr>
        <w:t xml:space="preserve">的中国境内生产的组件成本占比≥</w:t>
      </w:r>
      <w:r>
        <w:rPr>
          <w:rStyle w:val="769"/>
          <w:rFonts w:hint="eastAsia" w:ascii="宋体" w:hAnsi="宋体" w:eastAsia="宋体" w:cs="宋体"/>
          <w:i w:val="0"/>
          <w:color w:val="auto"/>
          <w:szCs w:val="24"/>
          <w:highlight w:val="none"/>
          <w:u w:val="single"/>
          <w:shd w:val="clear" w:color="auto" w:fill="ffffff"/>
        </w:rPr>
        <w:t xml:space="preserve">（规定比例）</w:t>
      </w:r>
      <w:r>
        <w:rPr>
          <w:rStyle w:val="769"/>
          <w:rFonts w:hint="eastAsia" w:ascii="宋体" w:hAnsi="宋体" w:eastAsia="宋体" w:cs="宋体"/>
          <w:i w:val="0"/>
          <w:color w:val="auto"/>
          <w:szCs w:val="24"/>
          <w:highlight w:val="none"/>
          <w:shd w:val="clear" w:color="auto" w:fill="ffffff"/>
          <w:vertAlign w:val="superscript"/>
        </w:rPr>
        <w:t xml:space="preserve">3</w:t>
      </w:r>
      <w:r>
        <w:rPr>
          <w:rFonts w:hint="eastAsia" w:ascii="宋体" w:hAnsi="宋体" w:eastAsia="宋体" w:cs="宋体"/>
          <w:color w:val="auto"/>
          <w:szCs w:val="24"/>
          <w:highlight w:val="none"/>
          <w:shd w:val="clear" w:color="auto" w:fill="ffffff"/>
        </w:rPr>
        <w:t xml:space="preserve">。</w:t>
      </w:r>
      <w:r>
        <w:rPr>
          <w:rStyle w:val="769"/>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69"/>
          <w:rFonts w:hint="eastAsia" w:ascii="宋体" w:hAnsi="宋体" w:eastAsia="宋体" w:cs="宋体"/>
          <w:i w:val="0"/>
          <w:color w:val="auto"/>
          <w:szCs w:val="24"/>
          <w:highlight w:val="none"/>
          <w:u w:val="single"/>
          <w:shd w:val="clear" w:color="auto" w:fill="ffffff"/>
        </w:rPr>
        <w:t xml:space="preserve">（关键组件）</w:t>
      </w:r>
      <w:r>
        <w:rPr>
          <w:rStyle w:val="769"/>
          <w:rFonts w:hint="eastAsia" w:ascii="宋体" w:hAnsi="宋体" w:eastAsia="宋体" w:cs="宋体"/>
          <w:i w:val="0"/>
          <w:color w:val="auto"/>
          <w:szCs w:val="24"/>
          <w:highlight w:val="none"/>
          <w:shd w:val="clear" w:color="auto" w:fill="ffffff"/>
          <w:vertAlign w:val="superscript"/>
        </w:rPr>
        <w:t xml:space="preserve">4</w:t>
      </w:r>
      <w:r>
        <w:rPr>
          <w:rFonts w:hint="eastAsia" w:ascii="宋体" w:hAnsi="宋体" w:eastAsia="宋体" w:cs="宋体"/>
          <w:color w:val="auto"/>
          <w:szCs w:val="24"/>
          <w:highlight w:val="none"/>
          <w:shd w:val="clear" w:color="auto" w:fill="ffffff"/>
        </w:rPr>
        <w:t xml:space="preserve">在中国境内生产。</w:t>
      </w:r>
      <w:r>
        <w:rPr>
          <w:rStyle w:val="769"/>
          <w:rFonts w:hint="eastAsia" w:ascii="宋体" w:hAnsi="宋体" w:eastAsia="宋体" w:cs="宋体"/>
          <w:i w:val="0"/>
          <w:color w:val="auto"/>
          <w:szCs w:val="24"/>
          <w:highlight w:val="none"/>
          <w:u w:val="single"/>
          <w:shd w:val="clear" w:color="auto" w:fill="ffffff"/>
        </w:rPr>
        <w:t xml:space="preserve">（产品名称1）</w:t>
      </w:r>
      <w:r>
        <w:rPr>
          <w:rFonts w:hint="eastAsia" w:ascii="宋体" w:hAnsi="宋体" w:eastAsia="宋体" w:cs="宋体"/>
          <w:color w:val="auto"/>
          <w:szCs w:val="24"/>
          <w:highlight w:val="none"/>
          <w:shd w:val="clear" w:color="auto" w:fill="ffffff"/>
        </w:rPr>
        <w:t xml:space="preserve">的</w:t>
      </w:r>
      <w:r>
        <w:rPr>
          <w:rStyle w:val="769"/>
          <w:rFonts w:hint="eastAsia" w:ascii="宋体" w:hAnsi="宋体" w:eastAsia="宋体" w:cs="宋体"/>
          <w:i w:val="0"/>
          <w:color w:val="auto"/>
          <w:szCs w:val="24"/>
          <w:highlight w:val="none"/>
          <w:u w:val="single"/>
          <w:shd w:val="clear" w:color="auto" w:fill="ffffff"/>
        </w:rPr>
        <w:t xml:space="preserve">（关键工序）</w:t>
      </w:r>
      <w:r>
        <w:rPr>
          <w:rStyle w:val="769"/>
          <w:rFonts w:hint="eastAsia" w:ascii="宋体" w:hAnsi="宋体" w:eastAsia="宋体" w:cs="宋体"/>
          <w:i w:val="0"/>
          <w:color w:val="auto"/>
          <w:szCs w:val="24"/>
          <w:highlight w:val="none"/>
          <w:shd w:val="clear" w:color="auto" w:fill="ffffff"/>
          <w:vertAlign w:val="superscript"/>
        </w:rPr>
        <w:t xml:space="preserve">5</w:t>
      </w:r>
      <w:r>
        <w:rPr>
          <w:rFonts w:hint="eastAsia" w:ascii="宋体" w:hAnsi="宋体" w:eastAsia="宋体" w:cs="宋体"/>
          <w:color w:val="auto"/>
          <w:szCs w:val="24"/>
          <w:highlight w:val="none"/>
          <w:shd w:val="clear" w:color="auto" w:fill="ffffff"/>
        </w:rPr>
        <w:t xml:space="preserve">在中国境内完成。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rPr>
        <w:t xml:space="preserve">2.</w:t>
      </w:r>
      <w:r>
        <w:rPr>
          <w:rStyle w:val="769"/>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Style w:val="769"/>
          <w:rFonts w:hint="eastAsia" w:ascii="宋体" w:hAnsi="宋体" w:eastAsia="宋体" w:cs="宋体"/>
          <w:i w:val="0"/>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Style w:val="769"/>
          <w:rFonts w:hint="eastAsia" w:ascii="宋体" w:hAnsi="宋体" w:eastAsia="宋体" w:cs="宋体"/>
          <w:i w:val="0"/>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Style w:val="769"/>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Style w:val="769"/>
          <w:rFonts w:hint="eastAsia" w:ascii="宋体" w:hAnsi="宋体" w:eastAsia="宋体" w:cs="宋体"/>
          <w:i w:val="0"/>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Style w:val="769"/>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769"/>
          <w:rFonts w:hint="eastAsia" w:ascii="宋体" w:hAnsi="宋体" w:eastAsia="宋体" w:cs="宋体"/>
          <w:i w:val="0"/>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Style w:val="769"/>
          <w:rFonts w:hint="eastAsia" w:ascii="宋体" w:hAnsi="宋体" w:eastAsia="宋体" w:cs="宋体"/>
          <w:i w:val="0"/>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Style w:val="769"/>
          <w:rFonts w:hint="eastAsia" w:ascii="宋体" w:hAnsi="宋体" w:eastAsia="宋体" w:cs="宋体"/>
          <w:i w:val="0"/>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__________________</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1.产品如有型号，请在“产品名称”栏一并填写。</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2.生产厂址应与生产厂营业执照载明的相关信息保持一致。</w:t>
      </w:r>
      <w:bookmarkStart w:id="61" w:name="OLE_LINK11"/>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3.该产品的中国境内生产的组件成本占比相关要求实施前，“规定比例”栏可不填，下同</w:t>
      </w:r>
      <w:bookmarkEnd w:id="61"/>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4.该产品的关键组件要求实施前，“关键组件”栏可不填，下同。</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5.该产品的关键工序要求实施前，“关键工序”栏可不填，下同。</w:t>
      </w:r>
      <w:r/>
    </w:p>
    <w:p>
      <w:pPr>
        <w:pStyle w:val="759"/>
        <w:ind w:firstLine="480"/>
        <w:jc w:val="both"/>
        <w:spacing w:before="0" w:beforeAutospacing="0" w:after="0" w:afterAutospacing="0" w:line="360" w:lineRule="auto"/>
        <w:rPr>
          <w:rFonts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6.用斜线划除的地方无需填写。</w:t>
      </w:r>
      <w:r/>
    </w:p>
    <w:p>
      <w:pPr>
        <w:pStyle w:val="730"/>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本公司（单位）对上述声明内容的真实性负责。如有虚假，愿承担相应法律责任。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394"/>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0"/>
      <w:r/>
      <w:r/>
    </w:p>
    <w:p>
      <w:pPr>
        <w:pStyle w:val="730"/>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spacing w:line="360" w:lineRule="auto"/>
        <w:rPr>
          <w:rFonts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pStyle w:val="724"/>
        <w:ind w:firstLine="0"/>
        <w:jc w:val="both"/>
        <w:spacing w:line="360" w:lineRule="auto"/>
        <w:rPr>
          <w:rFonts w:ascii="宋体" w:hAnsi="宋体" w:eastAsia="宋体" w:cs="宋体"/>
          <w:b/>
          <w:color w:val="auto"/>
          <w:highlight w:val="none"/>
          <w:shd w:val="clear" w:color="auto" w:fill="ffffff"/>
        </w:rPr>
        <w:outlineLvl w:val="2"/>
      </w:pPr>
      <w:r>
        <w:rPr>
          <w:rFonts w:hint="eastAsia" w:ascii="宋体" w:hAnsi="宋体" w:eastAsia="宋体" w:cs="宋体"/>
          <w:b/>
          <w:color w:val="auto"/>
          <w:highlight w:val="none"/>
          <w:shd w:val="clear" w:color="auto" w:fill="ffffff"/>
        </w:rPr>
        <w:t xml:space="preserve">（5）中小企业声明函</w:t>
      </w:r>
      <w:r/>
    </w:p>
    <w:p>
      <w:pPr>
        <w:ind w:firstLine="482"/>
        <w:jc w:val="center"/>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中小企业声明函（货物）</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）郑重声明，根据《政府采购促进中小企业发展管理办法》（财库﹝2020﹞46 号）的规定，本公司（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）参加</w:t>
      </w:r>
      <w:r>
        <w:rPr>
          <w:rFonts w:hint="eastAsia" w:ascii="宋体" w:hAnsi="宋体" w:eastAsia="宋体" w:cs="宋体"/>
          <w:color w:val="auto"/>
          <w:sz w:val="24"/>
          <w:szCs w:val="20"/>
          <w:highlight w:val="none"/>
          <w:u w:val="single"/>
          <w:shd w:val="clear" w:color="auto" w:fill="ffffff"/>
        </w:rPr>
        <w:t xml:space="preserve">苏州大学</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rPr>
        <w:t xml:space="preserve">多功能蛋白质表达定量分析系统</w:t>
      </w:r>
      <w:r>
        <w:rPr>
          <w:rFonts w:hint="eastAsia" w:ascii="宋体" w:hAnsi="宋体" w:eastAsia="宋体" w:cs="宋体"/>
          <w:color w:val="auto"/>
          <w:sz w:val="24"/>
          <w:szCs w:val="24"/>
          <w:highlight w:val="none"/>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工业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pStyle w:val="730"/>
        <w:rPr>
          <w:rFonts w:ascii="宋体" w:hAnsi="宋体" w:eastAsia="宋体" w:cs="宋体"/>
          <w:color w:val="auto"/>
          <w:highlight w:val="none"/>
          <w:lang w:val="zh-CN"/>
        </w:rPr>
      </w:pPr>
      <w:r>
        <w:rPr>
          <w:rFonts w:ascii="宋体" w:hAnsi="宋体" w:eastAsia="宋体" w:cs="宋体"/>
          <w:color w:val="auto"/>
          <w:highlight w:val="none"/>
          <w:lang w:val="zh-CN"/>
        </w:rPr>
      </w:r>
      <w:r/>
    </w:p>
    <w:p>
      <w:pPr>
        <w:ind w:left="42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ind w:firstLine="480"/>
        <w:spacing w:line="360" w:lineRule="auto"/>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422"/>
        <w:spacing w:line="380" w:lineRule="exact"/>
        <w:rPr>
          <w:rFonts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rPr>
          <w:rFonts w:ascii="宋体" w:hAnsi="宋体" w:eastAsia="宋体" w:cs="宋体"/>
          <w:b/>
          <w:color w:val="auto"/>
          <w:sz w:val="24"/>
          <w:szCs w:val="20"/>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pStyle w:val="724"/>
        <w:ind w:firstLine="0"/>
        <w:jc w:val="both"/>
        <w:spacing w:line="360" w:lineRule="auto"/>
        <w:rPr>
          <w:rFonts w:ascii="宋体" w:hAnsi="宋体" w:eastAsia="宋体" w:cs="宋体"/>
          <w:b/>
          <w:color w:val="auto"/>
          <w:highlight w:val="none"/>
          <w:shd w:val="clear" w:color="auto" w:fill="ffffff"/>
        </w:rPr>
        <w:outlineLvl w:val="2"/>
      </w:pPr>
      <w:r>
        <w:rPr>
          <w:rFonts w:hint="eastAsia" w:ascii="宋体" w:hAnsi="宋体" w:eastAsia="宋体" w:cs="宋体"/>
          <w:b/>
          <w:color w:val="auto"/>
          <w:highlight w:val="none"/>
          <w:shd w:val="clear" w:color="auto" w:fill="ffffff"/>
        </w:rPr>
        <w:t xml:space="preserve">（6）残疾人福利性单位声明函</w:t>
      </w:r>
      <w:r/>
    </w:p>
    <w:p>
      <w:pPr>
        <w:jc w:val="center"/>
        <w:spacing w:before="100" w:after="100" w:line="360" w:lineRule="auto"/>
        <w:widowControl/>
        <w:rPr>
          <w:rFonts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ascii="宋体" w:hAnsi="宋体" w:eastAsia="宋体" w:cs="宋体"/>
          <w:color w:val="auto"/>
          <w:sz w:val="24"/>
          <w:highlight w:val="none"/>
          <w:shd w:val="clear" w:color="auto" w:fill="ffffff"/>
        </w:rPr>
      </w:r>
      <w:r/>
    </w:p>
    <w:p>
      <w:pPr>
        <w:ind w:firstLine="480"/>
        <w:jc w:val="left"/>
        <w:spacing w:before="100" w:after="100"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480"/>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jc w:val="left"/>
        <w:spacing w:line="360" w:lineRule="auto"/>
        <w:rPr>
          <w:rFonts w:ascii="宋体" w:hAnsi="宋体" w:eastAsia="宋体" w:cs="宋体"/>
          <w:b/>
          <w:color w:val="auto"/>
          <w:sz w:val="24"/>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（7）</w:t>
      </w:r>
      <w:r>
        <w:rPr>
          <w:rFonts w:hint="eastAsia" w:ascii="宋体" w:hAnsi="宋体" w:eastAsia="宋体" w:cs="宋体"/>
          <w:b/>
          <w:bCs/>
          <w:color w:val="auto"/>
          <w:sz w:val="24"/>
          <w:highlight w:val="none"/>
          <w:shd w:val="clear" w:color="auto" w:fill="ffffff"/>
        </w:rPr>
        <w:t xml:space="preserve">对投标人（供应商）有直接控股、管理关系的单位情况表</w:t>
      </w:r>
      <w:r/>
    </w:p>
    <w:p>
      <w:pPr>
        <w:jc w:val="center"/>
        <w:spacing w:line="360" w:lineRule="auto"/>
        <w:widowControl/>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对投标人（供应商）有直接控股、管理关系的单位情况表</w:t>
      </w:r>
      <w:r/>
    </w:p>
    <w:p>
      <w:pPr>
        <w:ind w:firstLine="420"/>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单位名称：</w:t>
      </w:r>
      <w:r/>
    </w:p>
    <w:tbl>
      <w:tblPr>
        <w:tblStyle w:val="72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2057"/>
        <w:gridCol w:w="1806"/>
        <w:gridCol w:w="1309"/>
        <w:gridCol w:w="1764"/>
        <w:gridCol w:w="1435"/>
      </w:tblGrid>
      <w:tr>
        <w:trPr>
          <w:jc w:val="center"/>
          <w:trHeight w:val="766"/>
        </w:trPr>
        <w:tc>
          <w:tcPr>
            <w:gridSpan w:val="3"/>
            <w:tcW w:w="265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对投标人（供应商）有直接控股关系的单位</w:t>
            </w:r>
            <w:r/>
          </w:p>
        </w:tc>
        <w:tc>
          <w:tcPr>
            <w:gridSpan w:val="3"/>
            <w:tcW w:w="2341"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对投标人（供应商）有直接管理关系的单位</w:t>
            </w:r>
            <w:r/>
          </w:p>
        </w:tc>
      </w:tr>
      <w:tr>
        <w:trPr>
          <w:jc w:val="center"/>
          <w:trHeight w:val="768"/>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单位名称</w:t>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是否为大型企业</w:t>
            </w:r>
            <w:r/>
          </w:p>
          <w:p>
            <w:pPr>
              <w:jc w:val="center"/>
              <w:widowControl/>
              <w:rPr>
                <w:rFonts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直接控股关系情况说明</w:t>
            </w:r>
            <w:r>
              <w:rPr>
                <w:rFonts w:hint="eastAsia" w:ascii="宋体" w:hAnsi="宋体" w:eastAsia="宋体" w:cs="宋体"/>
                <w:b/>
                <w:color w:val="auto"/>
                <w:sz w:val="18"/>
                <w:szCs w:val="18"/>
                <w:highlight w:val="none"/>
                <w:shd w:val="clear" w:color="auto" w:fill="ffffff"/>
              </w:rPr>
              <w:t xml:space="preserve">（持股比例等）</w:t>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单位名称</w:t>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是否为大型企业</w:t>
            </w:r>
            <w:r/>
          </w:p>
          <w:p>
            <w:pPr>
              <w:jc w:val="center"/>
              <w:widowControl/>
              <w:rPr>
                <w:rFonts w:ascii="宋体" w:hAnsi="宋体" w:eastAsia="宋体" w:cs="宋体"/>
                <w:b/>
                <w:color w:val="auto"/>
                <w:sz w:val="18"/>
                <w:szCs w:val="18"/>
                <w:highlight w:val="none"/>
                <w:shd w:val="clear" w:color="auto" w:fill="ffffff"/>
              </w:rPr>
            </w:pPr>
            <w:r>
              <w:rPr>
                <w:rFonts w:hint="eastAsia" w:ascii="宋体" w:hAnsi="宋体" w:eastAsia="宋体" w:cs="宋体"/>
                <w:b/>
                <w:color w:val="auto"/>
                <w:sz w:val="18"/>
                <w:szCs w:val="18"/>
                <w:highlight w:val="none"/>
                <w:shd w:val="clear" w:color="auto" w:fill="ffffff"/>
              </w:rPr>
              <w:t xml:space="preserve">（填写“是”或 “否”）</w:t>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直接管理关系情况说明</w:t>
            </w:r>
            <w:r/>
          </w:p>
        </w:tc>
      </w:tr>
      <w:tr>
        <w:trPr>
          <w:jc w:val="center"/>
          <w:trHeight w:val="850"/>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r>
        <w:trPr>
          <w:jc w:val="center"/>
          <w:trHeight w:val="850"/>
        </w:trPr>
        <w:tc>
          <w:tcPr>
            <w:tcW w:w="652"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1068"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37"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680"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916"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c>
          <w:tcPr>
            <w:tcW w:w="745" w:type="pct"/>
            <w:vAlign w:val="center"/>
            <w:textDirection w:val="lrTb"/>
            <w:noWrap w:val="false"/>
          </w:tcPr>
          <w:p>
            <w:pPr>
              <w:jc w:val="center"/>
              <w:widowControl/>
              <w:rPr>
                <w:rFonts w:ascii="宋体" w:hAnsi="宋体" w:eastAsia="宋体" w:cs="宋体"/>
                <w:b/>
                <w:color w:val="auto"/>
                <w:szCs w:val="21"/>
                <w:highlight w:val="none"/>
                <w:shd w:val="clear" w:color="auto" w:fill="ffffff"/>
              </w:rPr>
            </w:pPr>
            <w:r>
              <w:rPr>
                <w:rFonts w:ascii="宋体" w:hAnsi="宋体" w:eastAsia="宋体" w:cs="宋体"/>
                <w:b/>
                <w:color w:val="auto"/>
                <w:szCs w:val="21"/>
                <w:highlight w:val="none"/>
                <w:shd w:val="clear" w:color="auto" w:fill="ffffff"/>
              </w:rPr>
            </w:r>
            <w:r/>
          </w:p>
        </w:tc>
      </w:tr>
    </w:tbl>
    <w:p>
      <w:pPr>
        <w:ind w:firstLine="482"/>
        <w:jc w:val="left"/>
        <w:spacing w:line="360" w:lineRule="auto"/>
        <w:rPr>
          <w:rFonts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注：1、本表仅需填写对投标人（供应商）有直接控股、管理关系的单位情况。投标人（供应商）应按上表要求据实填写</w:t>
      </w:r>
      <w:r>
        <w:rPr>
          <w:rFonts w:hint="eastAsia" w:ascii="宋体" w:hAnsi="宋体" w:eastAsia="宋体" w:cs="宋体"/>
          <w:b/>
          <w:color w:val="auto"/>
          <w:sz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如填写“无”或不填写，均视为投标人（供应商）声明不存在有关情形。</w:t>
      </w:r>
      <w:r/>
    </w:p>
    <w:p>
      <w:pPr>
        <w:pStyle w:val="731"/>
        <w:ind w:left="0" w:firstLine="482"/>
        <w:jc w:val="left"/>
        <w:spacing w:line="360" w:lineRule="auto"/>
        <w:rPr>
          <w:rFonts w:ascii="宋体" w:hAnsi="宋体" w:eastAsia="宋体" w:cs="宋体"/>
          <w:color w:val="auto"/>
          <w:highlight w:val="none"/>
        </w:rPr>
      </w:pPr>
      <w:r>
        <w:rPr>
          <w:rFonts w:hint="eastAsia" w:ascii="宋体" w:hAnsi="宋体" w:eastAsia="宋体" w:cs="宋体"/>
          <w:b/>
          <w:color w:val="auto"/>
          <w:szCs w:val="24"/>
          <w:highlight w:val="none"/>
          <w:shd w:val="clear" w:color="auto" w:fill="ffffff"/>
        </w:rPr>
        <w:t xml:space="preserve">2、其中“直接控股”是指投标人（供应商）与大型企业之间存在直接投资并控股（非普通持股）的关系。</w:t>
      </w:r>
      <w:r/>
    </w:p>
    <w:p>
      <w:pPr>
        <w:pStyle w:val="1021"/>
        <w:ind w:firstLine="480"/>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pStyle w:val="1021"/>
        <w:ind w:firstLine="480"/>
        <w:jc w:val="left"/>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right="105" w:firstLine="210"/>
        <w:jc w:val="righ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pStyle w:val="1021"/>
        <w:ind w:firstLine="4440"/>
        <w:jc w:val="right"/>
        <w:spacing w:line="36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日期：　　　年　　月　　日</w:t>
      </w:r>
      <w:r/>
    </w:p>
    <w:p>
      <w:pPr>
        <w:jc w:val="right"/>
        <w:spacing w:line="360" w:lineRule="auto"/>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rPr>
          <w:rFonts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br w:type="page" w:clear="all"/>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pStyle w:val="732"/>
        <w:rPr>
          <w:rFonts w:hint="default" w:ascii="宋体" w:hAnsi="宋体" w:eastAsia="宋体" w:cs="宋体"/>
          <w:color w:val="auto"/>
          <w:sz w:val="30"/>
          <w:szCs w:val="30"/>
          <w:highlight w:val="none"/>
          <w:shd w:val="clear" w:color="auto" w:fill="ffffff"/>
        </w:rPr>
      </w:pPr>
      <w:r>
        <w:rPr>
          <w:rFonts w:hint="default" w:ascii="宋体" w:hAnsi="宋体" w:eastAsia="宋体" w:cs="宋体"/>
          <w:color w:val="auto"/>
          <w:sz w:val="30"/>
          <w:szCs w:val="30"/>
          <w:highlight w:val="none"/>
          <w:shd w:val="clear" w:color="auto" w:fill="ffffff"/>
        </w:rPr>
      </w:r>
      <w:r/>
    </w:p>
    <w:p>
      <w:pPr>
        <w:pStyle w:val="732"/>
        <w:rPr>
          <w:rFonts w:hint="default" w:ascii="宋体" w:hAnsi="宋体" w:eastAsia="宋体" w:cs="宋体"/>
          <w:color w:val="auto"/>
          <w:sz w:val="30"/>
          <w:szCs w:val="30"/>
          <w:highlight w:val="none"/>
          <w:shd w:val="clear" w:color="auto" w:fill="ffffff"/>
        </w:rPr>
      </w:pPr>
      <w:r>
        <w:rPr>
          <w:rFonts w:hint="default"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62" w:name="_Toc105940240"/>
      <w:r/>
      <w:bookmarkStart w:id="63" w:name="_Toc13642115"/>
      <w:r>
        <w:rPr>
          <w:rFonts w:hint="eastAsia" w:ascii="宋体" w:hAnsi="宋体" w:eastAsia="宋体" w:cs="宋体"/>
          <w:b/>
          <w:color w:val="auto"/>
          <w:sz w:val="52"/>
          <w:szCs w:val="20"/>
          <w:highlight w:val="none"/>
          <w:shd w:val="clear" w:color="auto" w:fill="ffffff"/>
        </w:rPr>
        <w:t xml:space="preserve">第四章 招标书</w:t>
      </w:r>
      <w:bookmarkEnd w:id="62"/>
      <w:r/>
      <w:bookmarkEnd w:id="63"/>
      <w:r/>
      <w:r/>
    </w:p>
    <w:p>
      <w:pPr>
        <w:jc w:val="center"/>
        <w:spacing w:line="360" w:lineRule="auto"/>
        <w:rPr>
          <w:rFonts w:ascii="宋体" w:hAnsi="宋体" w:eastAsia="宋体" w:cs="宋体"/>
          <w:b/>
          <w:color w:val="auto"/>
          <w:sz w:val="48"/>
          <w:szCs w:val="48"/>
          <w:highlight w:val="none"/>
          <w:shd w:val="clear" w:color="auto" w:fill="ffffff"/>
        </w:rPr>
      </w:pPr>
      <w:r/>
      <w:bookmarkStart w:id="64"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64"/>
      <w:r/>
      <w:r/>
    </w:p>
    <w:p>
      <w:pPr>
        <w:ind w:firstLine="480"/>
        <w:jc w:val="left"/>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苏州诚和招投标咨询有限公司受苏州大学的委托，就其所需的多功能蛋白质表达定量分析系统进行国内公开招标。欢迎有资格的供应商前来参加投标（响应）。</w:t>
      </w:r>
      <w:r/>
    </w:p>
    <w:p>
      <w:pPr>
        <w:ind w:firstLine="482"/>
        <w:jc w:val="left"/>
        <w:spacing w:line="360" w:lineRule="auto"/>
        <w:rPr>
          <w:rFonts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一、招标编号：</w:t>
      </w:r>
      <w:bookmarkStart w:id="65" w:name="OLE_LINK1"/>
      <w:r>
        <w:rPr>
          <w:rFonts w:hint="eastAsia" w:ascii="宋体" w:hAnsi="宋体" w:eastAsia="宋体" w:cs="宋体"/>
          <w:color w:val="auto"/>
          <w:sz w:val="24"/>
          <w:highlight w:val="none"/>
        </w:rPr>
        <w:t xml:space="preserve">JSZC-320500-SZCH-G2026-0047</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2"/>
        <w:jc w:val="left"/>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shd w:val="clear" w:color="auto" w:fill="ffffff"/>
        </w:rPr>
        <w:t xml:space="preserve">多功能蛋白质表达定量分析系统 </w:t>
      </w:r>
      <w:r>
        <w:rPr>
          <w:rFonts w:ascii="宋体" w:hAnsi="宋体" w:eastAsia="宋体" w:cs="宋体"/>
          <w:b/>
          <w:bCs/>
          <w:color w:val="auto"/>
          <w:sz w:val="24"/>
          <w:szCs w:val="24"/>
          <w:highlight w:val="none"/>
          <w:shd w:val="clear" w:color="auto" w:fill="ffffff"/>
        </w:rPr>
        <w:t xml:space="preserve">  </w:t>
      </w:r>
      <w:r>
        <w:rPr>
          <w:rFonts w:hint="eastAsia" w:ascii="宋体" w:hAnsi="宋体" w:eastAsia="宋体" w:cs="宋体"/>
          <w:b/>
          <w:bCs/>
          <w:color w:val="auto"/>
          <w:sz w:val="24"/>
          <w:szCs w:val="24"/>
          <w:highlight w:val="none"/>
          <w:shd w:val="clear" w:color="auto" w:fill="ffffff"/>
        </w:rPr>
        <w:t xml:space="preserve">1套</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（一）主要技术参数要求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1、可使用不同配比的荧光标记编码微球，实现多功能蛋白质表达定量分析。</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★2、具备多重联检功能，单次可检测≥12个蛋白指标。</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★3、蛋白检测灵敏度≤10fg/mL。</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4、蛋白浓度检测动态范围≥3.5logs。</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5、样本间的交叉污染率≤0.1 %。 </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6、配备两种激光器，中心波长分别为488nm、640nm。</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7、配备高通量自动进样器，支持96/384孔板，带有温度控制。</w:t>
      </w:r>
      <w:r/>
    </w:p>
    <w:p>
      <w:pPr>
        <w:ind w:firstLine="482"/>
        <w:jc w:val="left"/>
        <w:spacing w:line="360" w:lineRule="auto"/>
        <w:rPr>
          <w:rFonts w:ascii="宋体" w:hAnsi="宋体" w:eastAsia="宋体" w:cs="宋体"/>
          <w:bCs/>
          <w:color w:val="auto"/>
          <w:sz w:val="24"/>
          <w:szCs w:val="24"/>
          <w:highlight w:val="none"/>
        </w:rPr>
        <w:outlineLvl w:val="1"/>
      </w:pPr>
      <w:r/>
      <w:bookmarkStart w:id="66" w:name="_Hlk240810727"/>
      <w:r>
        <w:rPr>
          <w:rFonts w:hint="eastAsia" w:ascii="宋体" w:hAnsi="宋体" w:eastAsia="宋体" w:cs="宋体"/>
          <w:bCs/>
          <w:color w:val="auto"/>
          <w:sz w:val="24"/>
          <w:szCs w:val="24"/>
          <w:highlight w:val="none"/>
        </w:rPr>
        <w:t xml:space="preserve">★</w:t>
      </w:r>
      <w:bookmarkEnd w:id="66"/>
      <w:r>
        <w:rPr>
          <w:rFonts w:hint="eastAsia" w:ascii="宋体" w:hAnsi="宋体" w:eastAsia="宋体" w:cs="宋体"/>
          <w:bCs/>
          <w:color w:val="auto"/>
          <w:sz w:val="24"/>
          <w:szCs w:val="24"/>
          <w:highlight w:val="none"/>
        </w:rPr>
        <w:t xml:space="preserve">8、软件内置算法：具有自动进行曲线拟合，自动评估拟合优度功能，确保低中高浓度端计算结果准确。</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9、可实现一键自动QC、Levey-Jennings 图，用户管理模式，矢量图，CSV，PDF，支持模板定制。</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w:t>
      </w:r>
      <w:r>
        <w:rPr>
          <w:rFonts w:ascii="宋体" w:hAnsi="宋体" w:eastAsia="宋体" w:cs="宋体"/>
          <w:bCs/>
          <w:color w:val="auto"/>
          <w:sz w:val="24"/>
          <w:szCs w:val="24"/>
          <w:highlight w:val="none"/>
        </w:rPr>
        <w:t xml:space="preserve">0</w:t>
      </w:r>
      <w:r>
        <w:rPr>
          <w:rFonts w:hint="eastAsia" w:ascii="宋体" w:hAnsi="宋体" w:eastAsia="宋体" w:cs="宋体"/>
          <w:bCs/>
          <w:color w:val="auto"/>
          <w:sz w:val="24"/>
          <w:szCs w:val="24"/>
          <w:highlight w:val="none"/>
        </w:rPr>
        <w:t xml:space="preserve">、安装验收单日需提供IQ和OQ验证服务及报告。</w:t>
      </w:r>
      <w:r/>
    </w:p>
    <w:p>
      <w:pPr>
        <w:numPr>
          <w:ilvl w:val="0"/>
          <w:numId w:val="4"/>
        </w:numPr>
        <w:ind w:firstLine="480"/>
        <w:jc w:val="left"/>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配置清单（单套配置）</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1、主机及配套控制软件，1套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2、质控微球，1套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3、清洗液，1套</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Cs/>
          <w:color w:val="auto"/>
          <w:sz w:val="24"/>
          <w:szCs w:val="24"/>
          <w:highlight w:val="none"/>
        </w:rPr>
        <w:t xml:space="preserve">4、计算机及工作站，1台</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（三）交付及安装调试</w:t>
      </w:r>
      <w:r/>
    </w:p>
    <w:p>
      <w:pPr>
        <w:ind w:firstLine="482"/>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交付流程：中标供应商应当在合同签订后6个月内将货物运送至采购人指定实验室（采购方另行约定的时间除外，但最迟不得晚于2027年3月31日）。</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安装、调试及培训：供应商将设备运送至指定地点后的7个工作日内，采购人与供应商应确认安装调试日期，供应商派专人到现场进行安装调试，并对采购方人员进行相关培训。</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（四）验收标准</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预验收</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货物到达采购人指定的仓库后，对货物包装是否完好进行验收。若货物包装存在损坏，采购人有权拒收，供应商应在7个工作日内重新送达。</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最终验收</w:t>
      </w:r>
      <w:r/>
    </w:p>
    <w:p>
      <w:pPr>
        <w:ind w:firstLine="480"/>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（五）质保服务要求</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1、设备免费质保期不少于5年，自最终验收完成合格之日起算。</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82"/>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（六）付款条款</w:t>
      </w:r>
      <w:r/>
    </w:p>
    <w:p>
      <w:pPr>
        <w:ind w:firstLine="482"/>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82"/>
        <w:jc w:val="left"/>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3、每次付款前，中标单位均须提供对应金额的、合法有效增值税专用发票。</w:t>
      </w:r>
      <w:r/>
    </w:p>
    <w:p>
      <w:pPr>
        <w:ind w:firstLine="482"/>
        <w:jc w:val="left"/>
        <w:spacing w:line="360" w:lineRule="auto"/>
        <w:rPr>
          <w:rFonts w:ascii="宋体" w:hAnsi="宋体" w:eastAsia="宋体" w:cs="宋体"/>
          <w:bCs/>
          <w:color w:val="auto"/>
          <w:sz w:val="24"/>
          <w:szCs w:val="24"/>
          <w:highlight w:val="none"/>
        </w:rPr>
        <w:outlineLvl w:val="1"/>
      </w:pPr>
      <w:r/>
      <w:bookmarkStart w:id="67" w:name="_Hlk241054704"/>
      <w:r>
        <w:rPr>
          <w:rFonts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rPr>
        <w:t xml:space="preserve">、</w:t>
      </w:r>
      <w:bookmarkEnd w:id="67"/>
      <w:r>
        <w:rPr>
          <w:rFonts w:hint="eastAsia" w:ascii="宋体" w:hAnsi="宋体" w:eastAsia="宋体" w:cs="宋体"/>
          <w:bCs/>
          <w:color w:val="auto"/>
          <w:sz w:val="24"/>
          <w:szCs w:val="24"/>
          <w:highlight w:val="none"/>
        </w:rPr>
        <w:t xml:space="preserve">履约保证金：中标单位须在签订合同前向采购方缴纳合同金额的10%作为履约保证金，至双方签署最终验收合格证明之日起稳定运行1年后无息退还。履约保证金形式：以</w:t>
      </w:r>
      <w:r>
        <w:rPr>
          <w:rFonts w:hint="eastAsia" w:ascii="宋体" w:hAnsi="宋体" w:eastAsia="宋体" w:cs="宋体"/>
          <w:color w:val="auto"/>
          <w:sz w:val="24"/>
          <w:szCs w:val="24"/>
          <w:highlight w:val="none"/>
        </w:rPr>
        <w:t xml:space="preserve">转账、</w:t>
      </w:r>
      <w:r>
        <w:rPr>
          <w:rFonts w:hint="eastAsia" w:ascii="宋体" w:hAnsi="宋体" w:eastAsia="宋体" w:cs="宋体"/>
          <w:bCs/>
          <w:color w:val="auto"/>
          <w:sz w:val="24"/>
          <w:szCs w:val="24"/>
          <w:highlight w:val="none"/>
        </w:rPr>
        <w:t xml:space="preserve">支票、汇票、本票或者金融机构、担保机构出具的见索即付保函等非现金形式提交（保函内容须经学校认可）。</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（七）履约保证金</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供应商须在签订合同前向采购人缴纳合同金额的10%作为履约保证金，至采购人签署最终验收合格证明之日起稳定运行1年后无息退还。</w:t>
      </w:r>
      <w:r/>
    </w:p>
    <w:p>
      <w:pPr>
        <w:ind w:firstLine="482"/>
        <w:jc w:val="left"/>
        <w:spacing w:line="360" w:lineRule="auto"/>
        <w:rPr>
          <w:rFonts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履约保证金形式：以转账、支票、汇票、本票或者金融机构、担保机构出具的见索即付保函等非现金形式提交（保函内容须经学校认可）。</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（八）采购主要标的物数量、交付期及交付方式、付款方式、质保期、质保方式及标注“★</w:t>
      </w:r>
      <w:r>
        <w:rPr>
          <w:rFonts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参数属于实质性响应要求，不得出现负偏离，否则视为无效投标。</w:t>
      </w:r>
      <w:r/>
    </w:p>
    <w:p>
      <w:pPr>
        <w:ind w:firstLine="482"/>
        <w:jc w:val="left"/>
        <w:spacing w:line="360" w:lineRule="auto"/>
        <w:rPr>
          <w:rFonts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4、售后服务：质保期内根据采购人需要提供免费保养服务，质保期满后每年提供一次免费保养，软件终身免费升级，保证零配件的供给。</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5、报价要求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（1）报价币种为人民币。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共一个采购包，投标总报价一次报定，投标总报价应包括完成对应采购包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（3）报价为固定价格，在合同执行过程中不因交货时间更改、物价变动、政策变动、投标人漏项或少报等风险因素而调整。</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7、单位负责人为同一人或者存在直接控股、管理关系的不同供应商，不得参加同一合同项下的政府采购活动。</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9、如接受进口产品投标的项目，优先采购向我国企业转让技术、与我国企业签订消化吸收再创新方案的供应商的进口产品。</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10、采购项目需要落实的政府采购政策：</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10.1根据财政部、工业和信息化部关于印发《政府采购促进中小企业发展管理办法》的规定执行。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10.2根据财政部、司法部《关于政府采购支持监狱企业发展有关问题的通知》（财库〔2014〕68号）的规定执行。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10.3根据财政部、民政部、中国残疾人联合会《关于促进残疾人就业政府采购政策的通知》（财库〔2017〕141号）的规定执行。 </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10.4绿色采购（本项目不涉及节能环保产品采购）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jc w:val="left"/>
        <w:spacing w:line="360" w:lineRule="auto"/>
        <w:rPr>
          <w:rFonts w:ascii="宋体" w:hAnsi="宋体" w:eastAsia="宋体" w:cs="宋体"/>
          <w:color w:val="auto"/>
          <w:highlight w:val="none"/>
        </w:rPr>
      </w:pPr>
      <w:r>
        <w:rPr>
          <w:rFonts w:hint="eastAsia" w:ascii="宋体" w:hAnsi="宋体" w:eastAsia="宋体" w:cs="宋体"/>
          <w:color w:val="auto"/>
          <w:sz w:val="24"/>
          <w:szCs w:val="24"/>
          <w:highlight w:val="none"/>
        </w:rPr>
        <w:t xml:space="preserve">11、凡涉及采购文件的补充说明和修改，均以政府采购网所发布的公告为准。</w:t>
      </w:r>
      <w:r/>
    </w:p>
    <w:p>
      <w:pPr>
        <w:ind w:firstLine="420"/>
        <w:spacing w:line="360" w:lineRule="auto"/>
        <w:rPr>
          <w:rFonts w:ascii="宋体" w:hAnsi="宋体" w:eastAsia="宋体" w:cs="宋体"/>
          <w:color w:val="auto"/>
          <w:highlight w:val="none"/>
        </w:rPr>
      </w:pPr>
      <w:r>
        <w:rPr>
          <w:rFonts w:hint="eastAsia" w:ascii="宋体" w:hAnsi="宋体" w:eastAsia="宋体" w:cs="宋体"/>
          <w:color w:val="auto"/>
          <w:highlight w:val="none"/>
        </w:rPr>
        <w:br w:type="page" w:clear="all"/>
      </w:r>
      <w:r/>
    </w:p>
    <w:p>
      <w:pPr>
        <w:pStyle w:val="927"/>
        <w:rPr>
          <w:rFonts w:hAnsi="宋体"/>
          <w:color w:val="auto"/>
          <w:highlight w:val="none"/>
        </w:rPr>
      </w:pPr>
      <w:r>
        <w:rPr>
          <w:rFonts w:hAnsi="宋体"/>
          <w:color w:val="auto"/>
          <w:highlight w:val="none"/>
        </w:rPr>
      </w:r>
      <w:r/>
    </w:p>
    <w:p>
      <w:pPr>
        <w:pStyle w:val="73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spacing w:line="360" w:lineRule="auto"/>
        <w:rPr>
          <w:rFonts w:ascii="宋体" w:hAnsi="宋体" w:eastAsia="宋体" w:cs="宋体"/>
          <w:color w:val="auto"/>
          <w:sz w:val="30"/>
          <w:szCs w:val="30"/>
          <w:highlight w:val="none"/>
          <w:shd w:val="clear" w:color="auto" w:fill="ffffff"/>
        </w:rPr>
      </w:pPr>
      <w:r>
        <w:rPr>
          <w:rFonts w:ascii="宋体" w:hAnsi="宋体" w:eastAsia="宋体" w:cs="宋体"/>
          <w:color w:val="auto"/>
          <w:sz w:val="30"/>
          <w:szCs w:val="30"/>
          <w:highlight w:val="none"/>
          <w:shd w:val="clear" w:color="auto" w:fill="ffffff"/>
        </w:rPr>
      </w:r>
      <w:r/>
    </w:p>
    <w:p>
      <w:pPr>
        <w:jc w:val="center"/>
        <w:keepLines/>
        <w:keepNext/>
        <w:spacing w:before="340" w:after="330" w:line="360" w:lineRule="auto"/>
        <w:rPr>
          <w:rFonts w:ascii="宋体" w:hAnsi="宋体" w:eastAsia="宋体" w:cs="宋体"/>
          <w:b/>
          <w:color w:val="auto"/>
          <w:sz w:val="48"/>
          <w:szCs w:val="48"/>
          <w:highlight w:val="none"/>
          <w:shd w:val="clear" w:color="auto" w:fill="ffffff"/>
        </w:rPr>
        <w:outlineLvl w:val="0"/>
      </w:pPr>
      <w:r/>
      <w:bookmarkStart w:id="68" w:name="_Toc396747046"/>
      <w:r/>
      <w:bookmarkStart w:id="69" w:name="_Toc105940241"/>
      <w:r>
        <w:rPr>
          <w:rFonts w:hint="eastAsia" w:ascii="宋体" w:hAnsi="宋体" w:eastAsia="宋体" w:cs="宋体"/>
          <w:b/>
          <w:color w:val="auto"/>
          <w:sz w:val="48"/>
          <w:szCs w:val="48"/>
          <w:highlight w:val="none"/>
          <w:shd w:val="clear" w:color="auto" w:fill="ffffff"/>
        </w:rPr>
        <w:t xml:space="preserve">第五章 合同主要条款</w:t>
      </w:r>
      <w:bookmarkEnd w:id="68"/>
      <w:r/>
      <w:bookmarkEnd w:id="69"/>
      <w:r/>
      <w:r/>
    </w:p>
    <w:p>
      <w:pPr>
        <w:rPr>
          <w:rFonts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bookmarkEnd w:id="65"/>
      <w:r/>
      <w:r/>
    </w:p>
    <w:p>
      <w:pPr>
        <w:jc w:val="left"/>
        <w:spacing w:line="480" w:lineRule="auto"/>
        <w:rPr>
          <w:rFonts w:ascii="宋体" w:hAnsi="宋体" w:eastAsia="宋体" w:cs="宋体"/>
          <w:color w:val="auto"/>
          <w:sz w:val="24"/>
          <w:szCs w:val="24"/>
          <w:highlight w:val="none"/>
        </w:rPr>
      </w:pPr>
      <w:r/>
      <w:bookmarkStart w:id="70" w:name="_Toc13889378"/>
      <w:r/>
      <w:bookmarkStart w:id="71" w:name="_Toc13642118"/>
      <w:r/>
      <w:r/>
    </w:p>
    <w:p>
      <w:pPr>
        <w:jc w:val="center"/>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t xml:space="preserve">合同主要条款</w:t>
      </w:r>
      <w:r/>
    </w:p>
    <w:p>
      <w:pPr>
        <w:ind w:firstLine="425"/>
        <w:spacing w:line="40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5262"/>
        <w:rPr>
          <w:rFonts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合同编号：</w:t>
      </w:r>
      <w:r/>
    </w:p>
    <w:p>
      <w:pPr>
        <w:ind w:firstLine="5262"/>
        <w:rPr>
          <w:rFonts w:ascii="Times New Roman" w:hAnsi="Times New Roman" w:eastAsia="宋体" w:cs="Times New Roman"/>
          <w:b/>
          <w:color w:val="auto"/>
          <w:sz w:val="24"/>
          <w:highlight w:val="none"/>
        </w:rPr>
      </w:pPr>
      <w:r>
        <w:rPr>
          <w:rFonts w:ascii="Times New Roman" w:hAnsi="Times New Roman" w:eastAsia="宋体" w:cs="Times New Roman"/>
          <w:b/>
          <w:color w:val="auto"/>
          <w:sz w:val="24"/>
          <w:highlight w:val="none"/>
        </w:rPr>
      </w:r>
      <w:r/>
    </w:p>
    <w:p>
      <w:pPr>
        <w:ind w:firstLine="425"/>
        <w:spacing w:line="40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lang w:val="zh-CN"/>
        </w:rPr>
        <w:t xml:space="preserve">甲方：</w:t>
      </w:r>
      <w:r>
        <w:rPr>
          <w:rFonts w:hint="eastAsia" w:ascii="Times New Roman" w:hAnsi="Times New Roman" w:eastAsia="宋体" w:cs="Times New Roman"/>
          <w:color w:val="auto"/>
          <w:sz w:val="24"/>
          <w:szCs w:val="24"/>
          <w:highlight w:val="none"/>
          <w:lang w:val="zh-CN"/>
        </w:rPr>
        <w:t xml:space="preserve">苏州大学</w:t>
      </w:r>
      <w:r>
        <w:rPr>
          <w:rFonts w:ascii="Times New Roman" w:hAnsi="Times New Roman" w:eastAsia="宋体" w:cs="Times New Roman"/>
          <w:color w:val="auto"/>
          <w:sz w:val="24"/>
          <w:szCs w:val="24"/>
          <w:highlight w:val="none"/>
          <w:lang w:val="zh-CN"/>
        </w:rPr>
        <w:t xml:space="preserve"> </w:t>
      </w:r>
      <w:r/>
    </w:p>
    <w:p>
      <w:pPr>
        <w:ind w:firstLine="425"/>
        <w:spacing w:line="400" w:lineRule="exact"/>
        <w:rPr>
          <w:rFonts w:ascii="Times New Roman" w:hAnsi="Times New Roman" w:eastAsia="宋体" w:cs="Times New Roman"/>
          <w:color w:val="auto"/>
          <w:sz w:val="24"/>
          <w:szCs w:val="24"/>
          <w:highlight w:val="none"/>
          <w:u w:val="single"/>
        </w:rPr>
      </w:pPr>
      <w:r>
        <w:rPr>
          <w:rFonts w:ascii="Times New Roman" w:hAnsi="宋体" w:eastAsia="宋体" w:cs="Times New Roman"/>
          <w:color w:val="auto"/>
          <w:sz w:val="24"/>
          <w:szCs w:val="24"/>
          <w:highlight w:val="none"/>
          <w:lang w:val="zh-CN"/>
        </w:rPr>
        <w:t xml:space="preserve">乙方：</w:t>
      </w:r>
      <w:r>
        <w:rPr>
          <w:rFonts w:ascii="Times New Roman" w:hAnsi="Times New Roman" w:eastAsia="宋体" w:cs="Times New Roman"/>
          <w:color w:val="auto"/>
          <w:sz w:val="24"/>
          <w:szCs w:val="24"/>
          <w:highlight w:val="none"/>
          <w:u w:val="single"/>
          <w:lang w:val="zh-CN"/>
        </w:rPr>
        <w:t xml:space="preserve">                </w:t>
      </w:r>
      <w:r/>
    </w:p>
    <w:p>
      <w:pPr>
        <w:ind w:firstLine="425"/>
        <w:spacing w:line="400" w:lineRule="exact"/>
        <w:rPr>
          <w:rFonts w:ascii="Times New Roman" w:hAnsi="宋体" w:eastAsia="宋体" w:cs="Times New Roman"/>
          <w:color w:val="auto"/>
          <w:sz w:val="24"/>
          <w:szCs w:val="24"/>
          <w:highlight w:val="none"/>
          <w:lang w:val="zh-CN"/>
        </w:rPr>
      </w:pPr>
      <w:r>
        <w:rPr>
          <w:rFonts w:ascii="Times New Roman" w:hAnsi="宋体" w:eastAsia="宋体" w:cs="Times New Roman"/>
          <w:color w:val="auto"/>
          <w:sz w:val="24"/>
          <w:szCs w:val="24"/>
          <w:highlight w:val="none"/>
          <w:lang w:val="zh-CN"/>
        </w:rPr>
      </w:r>
      <w:r/>
    </w:p>
    <w:p>
      <w:pPr>
        <w:ind w:firstLine="425"/>
        <w:spacing w:line="400" w:lineRule="exact"/>
        <w:rPr>
          <w:rFonts w:ascii="Times New Roman" w:hAnsi="Times New Roman" w:eastAsia="宋体" w:cs="Times New Roman"/>
          <w:color w:val="auto"/>
          <w:sz w:val="24"/>
          <w:szCs w:val="24"/>
          <w:highlight w:val="none"/>
        </w:rPr>
      </w:pPr>
      <w:r>
        <w:rPr>
          <w:rFonts w:ascii="Times New Roman" w:hAnsi="宋体" w:eastAsia="宋体" w:cs="Times New Roman"/>
          <w:color w:val="auto"/>
          <w:sz w:val="24"/>
          <w:szCs w:val="24"/>
          <w:highlight w:val="none"/>
          <w:lang w:val="zh-CN"/>
        </w:rPr>
        <w:t xml:space="preserve">根据政府采购编号</w:t>
      </w:r>
      <w:r>
        <w:rPr>
          <w:rFonts w:hint="eastAsia" w:ascii="Times New Roman" w:hAnsi="宋体"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lang w:val="zh-CN"/>
        </w:rPr>
        <w:t xml:space="preserve">号</w:t>
      </w:r>
      <w:r>
        <w:rPr>
          <w:rFonts w:ascii="Times New Roman" w:hAnsi="宋体" w:eastAsia="宋体" w:cs="Times New Roman"/>
          <w:color w:val="auto"/>
          <w:sz w:val="24"/>
          <w:szCs w:val="24"/>
          <w:highlight w:val="none"/>
          <w:lang w:val="zh-CN"/>
        </w:rPr>
        <w:t xml:space="preserve">采购文件及乙方中标的投标文件和中标通知书，甲乙双方就此次中标的</w:t>
      </w:r>
      <w:r>
        <w:rPr>
          <w:rFonts w:ascii="Times New Roman" w:hAnsi="Times New Roman" w:eastAsia="宋体" w:cs="Times New Roman"/>
          <w:color w:val="auto"/>
          <w:sz w:val="24"/>
          <w:szCs w:val="24"/>
          <w:highlight w:val="none"/>
          <w:u w:val="single"/>
        </w:rPr>
        <w:t xml:space="preserve">                  </w:t>
      </w:r>
      <w:r>
        <w:rPr>
          <w:rFonts w:ascii="Times New Roman" w:hAnsi="宋体" w:eastAsia="宋体" w:cs="Times New Roman"/>
          <w:color w:val="auto"/>
          <w:sz w:val="24"/>
          <w:szCs w:val="24"/>
          <w:highlight w:val="none"/>
          <w:lang w:val="zh-CN"/>
        </w:rPr>
        <w:t xml:space="preserve">事宜，签订本合同书。</w:t>
      </w:r>
      <w:r/>
    </w:p>
    <w:p>
      <w:pPr>
        <w:ind w:left="1325" w:hanging="765"/>
        <w:jc w:val="left"/>
        <w:spacing w:line="360" w:lineRule="auto"/>
        <w:rPr>
          <w:rFonts w:ascii="宋体" w:hAnsi="宋体" w:eastAsia="宋体" w:cs="宋体"/>
          <w:color w:val="auto"/>
          <w:sz w:val="24"/>
          <w:szCs w:val="24"/>
          <w:highlight w:val="none"/>
        </w:rPr>
      </w:pPr>
      <w:r>
        <w:rPr>
          <w:rFonts w:ascii="宋体" w:hAnsi="宋体" w:eastAsia="宋体" w:cs="宋体"/>
          <w:b/>
          <w:color w:val="auto"/>
          <w:sz w:val="24"/>
          <w:szCs w:val="24"/>
          <w:highlight w:val="none"/>
        </w:rPr>
        <w:t xml:space="preserve">第一条</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乙方根据甲方需求提供下列货物：</w:t>
      </w:r>
      <w:r/>
    </w:p>
    <w:tbl>
      <w:tblPr>
        <w:tblStyle w:val="721"/>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31"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701"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型号、规格</w:t>
            </w:r>
            <w:r/>
          </w:p>
        </w:tc>
        <w:tc>
          <w:tcPr>
            <w:tcW w:w="850"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517"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单价（万元人民币）</w:t>
            </w:r>
            <w:r/>
          </w:p>
        </w:tc>
        <w:tc>
          <w:tcPr>
            <w:tcW w:w="1460"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总价（万元人民币）</w:t>
            </w:r>
            <w:r/>
          </w:p>
        </w:tc>
        <w:tc>
          <w:tcPr>
            <w:tcW w:w="709"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099"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r>
      <w:tr>
        <w:trPr>
          <w:trHeight w:val="300"/>
        </w:trPr>
        <w:tc>
          <w:tcPr>
            <w:tcW w:w="649"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31"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01"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7"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6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09"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99"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00"/>
        </w:trPr>
        <w:tc>
          <w:tcPr>
            <w:tcW w:w="649"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31"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701"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85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517"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46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709"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1099"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150"/>
        </w:trPr>
        <w:tc>
          <w:tcPr>
            <w:tcW w:w="649" w:type="dxa"/>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31"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W w:w="1701"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W w:w="850"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W w:w="1517"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W w:w="1460"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W w:w="709"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c>
          <w:tcPr>
            <w:tcW w:w="1099" w:type="dxa"/>
            <w:textDirection w:val="lrTb"/>
            <w:noWrap w:val="false"/>
          </w:tcPr>
          <w:p>
            <w:pPr>
              <w:jc w:val="center"/>
              <w:rPr>
                <w:rFonts w:ascii="宋体" w:hAnsi="宋体" w:eastAsia="宋体" w:cs="宋体"/>
                <w:b/>
                <w:color w:val="auto"/>
                <w:sz w:val="24"/>
                <w:szCs w:val="24"/>
                <w:highlight w:val="none"/>
                <w:u w:val="single"/>
              </w:rPr>
            </w:pPr>
            <w:r>
              <w:rPr>
                <w:rFonts w:ascii="宋体" w:hAnsi="宋体" w:eastAsia="宋体" w:cs="宋体"/>
                <w:b/>
                <w:color w:val="auto"/>
                <w:sz w:val="24"/>
                <w:szCs w:val="24"/>
                <w:highlight w:val="none"/>
                <w:u w:val="single"/>
              </w:rPr>
            </w:r>
            <w:r/>
          </w:p>
        </w:tc>
      </w:tr>
    </w:tbl>
    <w:p>
      <w:pPr>
        <w:ind w:left="1325" w:hanging="765"/>
        <w:jc w:val="left"/>
        <w:spacing w:line="360" w:lineRule="auto"/>
        <w:rPr>
          <w:rFonts w:ascii="宋体" w:hAnsi="宋体" w:eastAsia="宋体" w:cs="宋体"/>
          <w:b/>
          <w:color w:val="auto"/>
          <w:sz w:val="24"/>
          <w:szCs w:val="24"/>
          <w:highlight w:val="none"/>
        </w:rPr>
      </w:pPr>
      <w:r>
        <w:rPr>
          <w:rFonts w:hint="eastAsia" w:ascii="Times New Roman" w:hAnsi="Times New Roman" w:eastAsia="宋体" w:cs="Times New Roman"/>
          <w:color w:val="auto"/>
          <w:sz w:val="24"/>
          <w:highlight w:val="none"/>
        </w:rPr>
        <w:t xml:space="preserve">设备配置、技术指标、安装条件及验收指标等详见附件一技术协议。</w:t>
      </w:r>
      <w:r/>
    </w:p>
    <w:p>
      <w:pPr>
        <w:ind w:left="1325" w:hanging="765"/>
        <w:jc w:val="left"/>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t xml:space="preserve">第二条</w:t>
      </w:r>
      <w:r>
        <w:rPr>
          <w:rFonts w:hint="eastAsia" w:ascii="宋体" w:hAnsi="宋体" w:eastAsia="宋体" w:cs="宋体"/>
          <w:b/>
          <w:color w:val="auto"/>
          <w:sz w:val="24"/>
          <w:szCs w:val="24"/>
          <w:highlight w:val="none"/>
        </w:rPr>
        <w:t xml:space="preserve"> 合同总价款   </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本合同项下货物总价款为人民币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本合同执行期间合同总价款不变。</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第三条  履约保证金</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第四条  权利保证</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第五条  质量保证</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3、设备的质保期为最终验收合格之日起</w:t>
      </w:r>
      <w:r>
        <w:rPr>
          <w:rFonts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个月。质保期内仪器设备本身所发生的问题（人为因素除外），由乙方提供完全无偿的维修服务。</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第六条  包装要求</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2、每一包装单元内应附详细的装箱单、质量合格凭证以及其他必须的相关材料。</w:t>
      </w:r>
      <w:r/>
    </w:p>
    <w:p>
      <w:pPr>
        <w:ind w:firstLine="56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第七条  交货</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1、乙方应当在合同签订    个月内将货物运送至采购人指定实验室（采购方另行约定的时间除外，但最迟不得晚于2027年3月31日）。</w:t>
      </w:r>
      <w:r/>
    </w:p>
    <w:p>
      <w:pPr>
        <w:ind w:firstLine="56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第八条 安装调试、培训和验收</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1、乙方将设备运送至指定实验室</w:t>
      </w:r>
      <w:r>
        <w:rPr>
          <w:rFonts w:ascii="宋体" w:hAnsi="宋体" w:eastAsia="宋体" w:cs="宋体"/>
          <w:color w:val="auto"/>
          <w:sz w:val="24"/>
          <w:szCs w:val="24"/>
          <w:highlight w:val="none"/>
        </w:rPr>
        <w:t xml:space="preserve">后的5</w:t>
      </w:r>
      <w:r>
        <w:rPr>
          <w:rFonts w:hint="eastAsia" w:ascii="宋体" w:hAnsi="宋体" w:eastAsia="宋体" w:cs="宋体"/>
          <w:color w:val="auto"/>
          <w:sz w:val="24"/>
          <w:szCs w:val="24"/>
          <w:highlight w:val="none"/>
        </w:rPr>
        <w:t xml:space="preserve">个</w:t>
      </w:r>
      <w:r>
        <w:rPr>
          <w:rFonts w:ascii="宋体" w:hAnsi="宋体" w:eastAsia="宋体" w:cs="宋体"/>
          <w:color w:val="auto"/>
          <w:sz w:val="24"/>
          <w:szCs w:val="24"/>
          <w:highlight w:val="none"/>
        </w:rPr>
        <w:t xml:space="preserve">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2、验收条款</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安装调试完毕，由甲方组织最终验收，设备配置、所有技术参数须符合招标文件和乙方投标响应文件要求。验收内容还包括资料完整性、设备“三漏”</w:t>
      </w:r>
      <w:r>
        <w:rPr>
          <w:rFonts w:ascii="宋体" w:hAnsi="宋体" w:eastAsia="宋体" w:cs="宋体"/>
          <w:color w:val="auto"/>
          <w:sz w:val="24"/>
          <w:szCs w:val="24"/>
          <w:highlight w:val="none"/>
        </w:rPr>
        <w:t xml:space="preserve">(漏水、漏电、漏气)检查、设备运行稳定性、技术规格</w:t>
      </w:r>
      <w:r>
        <w:rPr>
          <w:rFonts w:hint="eastAsia" w:ascii="宋体" w:hAnsi="宋体" w:eastAsia="宋体" w:cs="宋体"/>
          <w:color w:val="auto"/>
          <w:sz w:val="24"/>
          <w:szCs w:val="24"/>
          <w:highlight w:val="none"/>
        </w:rPr>
        <w:t xml:space="preserve">符合性</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各项指标还应符合国家质量和安全标准，设备可以在现有条件下安全稳定运行。</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验收完成后，应当签署最终验收证明，载明验收是否合格。若验收不合格，验收证明应同时列明不合格的具体原因，乙方应当在</w:t>
      </w:r>
      <w:r>
        <w:rPr>
          <w:rFonts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天内通过免费更换、维修等方式予以补正，双方再次验收。若再次验收仍不合格，乙方应当再次在</w:t>
      </w:r>
      <w:r>
        <w:rPr>
          <w:rFonts w:ascii="宋体" w:hAnsi="宋体" w:eastAsia="宋体" w:cs="宋体"/>
          <w:color w:val="auto"/>
          <w:sz w:val="24"/>
          <w:szCs w:val="24"/>
          <w:highlight w:val="none"/>
        </w:rPr>
        <w:t xml:space="preserve">30</w:t>
      </w:r>
      <w:r>
        <w:rPr>
          <w:rFonts w:hint="eastAsia" w:ascii="宋体" w:hAnsi="宋体" w:eastAsia="宋体" w:cs="宋体"/>
          <w:color w:val="auto"/>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天内向甲方赔偿不足部分。</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第九条  伴随服务／售后服务</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2、除前款规定外，乙方还应提供下列服务：</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（1）货物的现场安装、调试和/或启动监督；</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（2）就货物的安装、启动、运行及维护等对甲方人员进行免费培训。</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4、货物故障报修的响应时间为：工作期间（星期一至星期五8：00-18：00）为</w:t>
      </w:r>
      <w:r>
        <w:rPr>
          <w:rFonts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rPr>
        <w:t xml:space="preserve">小时；非工作期间为</w:t>
      </w:r>
      <w:r>
        <w:rPr>
          <w:rFonts w:ascii="宋体" w:hAnsi="宋体" w:eastAsia="宋体" w:cs="宋体"/>
          <w:color w:val="auto"/>
          <w:sz w:val="24"/>
          <w:szCs w:val="24"/>
          <w:highlight w:val="none"/>
        </w:rPr>
        <w:t xml:space="preserve">48</w:t>
      </w:r>
      <w:r>
        <w:rPr>
          <w:rFonts w:hint="eastAsia" w:ascii="宋体" w:hAnsi="宋体" w:eastAsia="宋体" w:cs="宋体"/>
          <w:color w:val="auto"/>
          <w:sz w:val="24"/>
          <w:szCs w:val="24"/>
          <w:highlight w:val="none"/>
        </w:rPr>
        <w:t xml:space="preserve">小时。</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5、若货物故障在检修48</w:t>
      </w:r>
      <w:r>
        <w:rPr>
          <w:rFonts w:hint="eastAsia" w:ascii="宋体" w:hAnsi="宋体" w:eastAsia="宋体" w:cs="宋体"/>
          <w:color w:val="auto"/>
          <w:sz w:val="24"/>
          <w:szCs w:val="24"/>
          <w:highlight w:val="none"/>
        </w:rPr>
        <w:t xml:space="preserve">小时后仍无法排除，乙方应在</w:t>
      </w:r>
      <w:r>
        <w:rPr>
          <w:rFonts w:ascii="宋体" w:hAnsi="宋体" w:eastAsia="宋体" w:cs="宋体"/>
          <w:color w:val="auto"/>
          <w:sz w:val="24"/>
          <w:szCs w:val="24"/>
          <w:highlight w:val="none"/>
        </w:rPr>
        <w:t xml:space="preserve">72</w:t>
      </w:r>
      <w:r>
        <w:rPr>
          <w:rFonts w:hint="eastAsia" w:ascii="宋体" w:hAnsi="宋体" w:eastAsia="宋体" w:cs="宋体"/>
          <w:color w:val="auto"/>
          <w:sz w:val="24"/>
          <w:szCs w:val="24"/>
          <w:highlight w:val="none"/>
        </w:rPr>
        <w:t xml:space="preserve">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6、质保期后的货物维护由双方协商确定。</w:t>
      </w:r>
      <w:r/>
    </w:p>
    <w:p>
      <w:pPr>
        <w:ind w:firstLine="560"/>
        <w:jc w:val="left"/>
        <w:spacing w:line="360" w:lineRule="auto"/>
        <w:tabs>
          <w:tab w:val="left" w:pos="1620"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货款支付</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1、本合同项下所有款项均以人民币支付。</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2、本合同按照以下付款节点及条件支付：</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（3）每次付款前，乙方均须提供对应金额的、合法有效增值税专用发票。</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乙方开户银行：</w:t>
      </w:r>
      <w:r>
        <w:rPr>
          <w:rFonts w:ascii="宋体" w:hAnsi="宋体" w:eastAsia="宋体" w:cs="宋体"/>
          <w:color w:val="auto"/>
          <w:sz w:val="24"/>
          <w:szCs w:val="24"/>
          <w:highlight w:val="none"/>
          <w:u w:val="single"/>
        </w:rPr>
        <w:t xml:space="preserve">                           </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rFonts w:ascii="宋体" w:hAnsi="宋体" w:eastAsia="宋体" w:cs="宋体"/>
          <w:color w:val="auto"/>
          <w:sz w:val="24"/>
          <w:szCs w:val="24"/>
          <w:highlight w:val="none"/>
          <w:u w:val="single"/>
        </w:rPr>
        <w:t xml:space="preserve">                              </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3、付款方式：银行汇票或转账</w:t>
      </w:r>
      <w:r/>
    </w:p>
    <w:p>
      <w:pPr>
        <w:ind w:firstLine="560"/>
        <w:jc w:val="left"/>
        <w:spacing w:line="360" w:lineRule="auto"/>
        <w:tabs>
          <w:tab w:val="left" w:pos="162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4、增值税专用发票开票信息</w:t>
      </w:r>
      <w:r/>
    </w:p>
    <w:tbl>
      <w:tblPr>
        <w:tblStyle w:val="721"/>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1127125" cy="1096010"/>
                      <wp:effectExtent l="0" t="0" r="15875" b="8890"/>
                      <wp:docPr id="1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第十一条　违约责任</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2、乙方所交付的货物品种、型号、规格不符合合同规定的，甲方有权拒收，乙方应向甲方支付货款总额</w:t>
      </w:r>
      <w:r>
        <w:rPr>
          <w:rFonts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rPr>
        <w:t xml:space="preserve">%的违约金，甲方有权直接从乙方缴纳的履约保证金中扣除上述违约金。</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天内向甲方赔偿不足部分。</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不可抗力</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5、因合同一方延迟履行合同后发生不可抗力的，不能免除延迟履行方的相应责任。</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第十三条　合同的变更和终止</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本合同一经签订，甲乙双方不得擅自变更、中止或终止合同。</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第十四条　合同的转让</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未经甲方书面同意，乙方不得擅自部分或全部转让其应履行的合同义务。</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第十五条  争议的解决</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第十六条   合同生效及其他</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1、下列文件作为本合同不可分割的部分：</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采购文件及其附件；</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乙方的响应文件；</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乙方在采购过程中所作的其他承诺、声明、书面澄清等；</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合同附件等。</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2、本合同自合同双方签字、盖章之日起生效。</w:t>
      </w:r>
      <w:r/>
    </w:p>
    <w:p>
      <w:pPr>
        <w:ind w:firstLine="56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3、本合同一式5 份，甲方执 3 份，乙方执 1 份，代理机构执1份，具有同等法律效力。</w:t>
      </w:r>
      <w:r/>
    </w:p>
    <w:p>
      <w:pPr>
        <w:ind w:firstLine="56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6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6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甲方（盖章）：                   乙方（盖章）：    </w:t>
      </w:r>
      <w:r/>
    </w:p>
    <w:p>
      <w:pPr>
        <w:ind w:firstLine="54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单位地址：                       单位地址： </w:t>
      </w:r>
      <w:r/>
    </w:p>
    <w:p>
      <w:pPr>
        <w:ind w:firstLine="56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设备购置负责人：                 授权代表：</w:t>
      </w:r>
      <w:r/>
    </w:p>
    <w:p>
      <w:pPr>
        <w:ind w:firstLine="56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电话：                           电话：</w:t>
      </w:r>
      <w:r/>
    </w:p>
    <w:p>
      <w:pPr>
        <w:ind w:firstLine="56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采购部门经办人：                 经办人：</w:t>
      </w:r>
      <w:r/>
    </w:p>
    <w:p>
      <w:pPr>
        <w:ind w:firstLine="56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审核人</w:t>
      </w:r>
      <w:r>
        <w:rPr>
          <w:rFonts w:ascii="Times New Roman" w:hAnsi="Times New Roman" w:eastAsia="宋体" w:cs="Times New Roman"/>
          <w:color w:val="auto"/>
          <w:sz w:val="24"/>
          <w:szCs w:val="24"/>
          <w:highlight w:val="none"/>
        </w:rPr>
        <w:t xml:space="preserve">：</w:t>
      </w:r>
      <w:r/>
    </w:p>
    <w:p>
      <w:pPr>
        <w:ind w:firstLine="56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电话：                           电话：                          </w:t>
      </w:r>
      <w:r/>
    </w:p>
    <w:p>
      <w:pPr>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         日期：   年     月    日</w:t>
      </w:r>
      <w:r/>
    </w:p>
    <w:p>
      <w:pPr>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60"/>
        <w:jc w:val="left"/>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特别</w:t>
      </w:r>
      <w:r>
        <w:rPr>
          <w:rFonts w:ascii="Times New Roman" w:hAnsi="Times New Roman" w:eastAsia="宋体" w:cs="Times New Roman"/>
          <w:color w:val="auto"/>
          <w:sz w:val="24"/>
          <w:highlight w:val="none"/>
        </w:rPr>
        <w:t xml:space="preserve">提醒：</w:t>
      </w:r>
      <w:r>
        <w:rPr>
          <w:rFonts w:hint="eastAsia" w:ascii="Times New Roman" w:hAnsi="Times New Roman" w:eastAsia="宋体" w:cs="Times New Roman"/>
          <w:color w:val="auto"/>
          <w:sz w:val="24"/>
          <w:highlight w:val="none"/>
        </w:rPr>
        <w:t xml:space="preserve">合同文本的签字盖章页与合同正文应当同处一面（打印时</w:t>
      </w:r>
      <w:r>
        <w:rPr>
          <w:rFonts w:ascii="Times New Roman" w:hAnsi="Times New Roman" w:eastAsia="宋体" w:cs="Times New Roman"/>
          <w:color w:val="auto"/>
          <w:sz w:val="24"/>
          <w:highlight w:val="none"/>
        </w:rPr>
        <w:t xml:space="preserve">请删除此</w:t>
      </w:r>
      <w:r>
        <w:rPr>
          <w:rFonts w:hint="eastAsia" w:ascii="Times New Roman" w:hAnsi="Times New Roman" w:eastAsia="宋体" w:cs="Times New Roman"/>
          <w:color w:val="auto"/>
          <w:sz w:val="24"/>
          <w:highlight w:val="none"/>
        </w:rPr>
        <w:t xml:space="preserve">行）</w:t>
      </w:r>
      <w:r/>
    </w:p>
    <w:p>
      <w:pPr>
        <w:ind w:firstLine="560"/>
        <w:jc w:val="left"/>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附件一 </w:t>
      </w:r>
      <w:r>
        <w:rPr>
          <w:rFonts w:ascii="宋体" w:hAnsi="宋体" w:eastAsia="宋体" w:cs="宋体"/>
          <w:b/>
          <w:color w:val="auto"/>
          <w:sz w:val="24"/>
          <w:highlight w:val="none"/>
        </w:rPr>
        <w:t xml:space="preserve"> </w:t>
      </w:r>
      <w:r>
        <w:rPr>
          <w:rFonts w:hint="eastAsia" w:ascii="宋体" w:hAnsi="宋体" w:eastAsia="宋体" w:cs="宋体"/>
          <w:b/>
          <w:color w:val="auto"/>
          <w:sz w:val="24"/>
          <w:highlight w:val="none"/>
        </w:rPr>
        <w:t xml:space="preserve">技术协议</w:t>
      </w:r>
      <w:r/>
    </w:p>
    <w:p>
      <w:pPr>
        <w:ind w:firstLine="420"/>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ascii="宋体" w:hAnsi="宋体" w:eastAsia="宋体" w:cs="宋体"/>
          <w:color w:val="auto"/>
          <w:sz w:val="24"/>
          <w:szCs w:val="24"/>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spacing w:line="360" w:lineRule="auto"/>
        <w:rPr>
          <w:rFonts w:ascii="宋体" w:hAnsi="宋体" w:eastAsia="宋体" w:cs="宋体"/>
          <w:color w:val="auto"/>
          <w:sz w:val="26"/>
          <w:szCs w:val="20"/>
          <w:highlight w:val="none"/>
          <w:shd w:val="clear" w:color="auto" w:fill="ffffff"/>
        </w:rPr>
      </w:pPr>
      <w:r>
        <w:rPr>
          <w:rFonts w:ascii="宋体" w:hAnsi="宋体" w:eastAsia="宋体" w:cs="宋体"/>
          <w:color w:val="auto"/>
          <w:sz w:val="26"/>
          <w:szCs w:val="20"/>
          <w:highlight w:val="none"/>
          <w:shd w:val="clear" w:color="auto" w:fill="ffffff"/>
        </w:rPr>
      </w:r>
      <w:r/>
    </w:p>
    <w:p>
      <w:pPr>
        <w:jc w:val="center"/>
        <w:keepLines/>
        <w:keepNext/>
        <w:spacing w:before="340" w:after="330" w:line="360" w:lineRule="auto"/>
        <w:rPr>
          <w:rFonts w:ascii="宋体" w:hAnsi="宋体" w:eastAsia="宋体" w:cs="宋体"/>
          <w:b/>
          <w:color w:val="auto"/>
          <w:sz w:val="52"/>
          <w:szCs w:val="20"/>
          <w:highlight w:val="none"/>
          <w:shd w:val="clear" w:color="auto" w:fill="ffffff"/>
        </w:rPr>
        <w:outlineLvl w:val="0"/>
      </w:pPr>
      <w:r/>
      <w:bookmarkStart w:id="72" w:name="_Toc105940242"/>
      <w:r>
        <w:rPr>
          <w:rFonts w:hint="eastAsia" w:ascii="宋体" w:hAnsi="宋体" w:eastAsia="宋体" w:cs="宋体"/>
          <w:b/>
          <w:color w:val="auto"/>
          <w:sz w:val="52"/>
          <w:szCs w:val="20"/>
          <w:highlight w:val="none"/>
          <w:shd w:val="clear" w:color="auto" w:fill="ffffff"/>
        </w:rPr>
        <w:t xml:space="preserve">第六章 评分</w:t>
      </w:r>
      <w:bookmarkEnd w:id="70"/>
      <w:r/>
      <w:bookmarkEnd w:id="71"/>
      <w:r>
        <w:rPr>
          <w:rFonts w:hint="eastAsia" w:ascii="宋体" w:hAnsi="宋体" w:eastAsia="宋体" w:cs="宋体"/>
          <w:b/>
          <w:color w:val="auto"/>
          <w:sz w:val="52"/>
          <w:szCs w:val="20"/>
          <w:highlight w:val="none"/>
          <w:shd w:val="clear" w:color="auto" w:fill="ffffff"/>
        </w:rPr>
        <w:t xml:space="preserve">标准</w:t>
      </w:r>
      <w:bookmarkEnd w:id="72"/>
      <w:r/>
      <w:r/>
    </w:p>
    <w:p>
      <w:pPr>
        <w:ind w:firstLine="520"/>
        <w:spacing w:line="360" w:lineRule="auto"/>
        <w:rPr>
          <w:rFonts w:ascii="宋体" w:hAnsi="宋体" w:eastAsia="宋体" w:cs="宋体"/>
          <w:color w:val="auto"/>
          <w:sz w:val="24"/>
          <w:szCs w:val="24"/>
          <w:highlight w:val="none"/>
        </w:rPr>
        <w:outlineLvl w:val="1"/>
      </w:pPr>
      <w:r/>
      <w:bookmarkStart w:id="73" w:name="OLE_LINK2"/>
      <w:r>
        <w:rPr>
          <w:rFonts w:hint="eastAsia" w:ascii="宋体" w:hAnsi="宋体" w:eastAsia="宋体" w:cs="宋体"/>
          <w:color w:val="auto"/>
          <w:sz w:val="26"/>
          <w:szCs w:val="20"/>
          <w:highlight w:val="none"/>
          <w:shd w:val="clear" w:color="auto" w:fill="ffffff"/>
        </w:rPr>
        <w:br w:type="page" w:clear="all"/>
      </w:r>
      <w:bookmarkEnd w:id="73"/>
      <w:r>
        <w:rPr>
          <w:rFonts w:hint="eastAsia" w:ascii="宋体" w:hAnsi="宋体" w:eastAsia="宋体" w:cs="宋体"/>
          <w:b/>
          <w:bCs/>
          <w:color w:val="auto"/>
          <w:sz w:val="24"/>
          <w:szCs w:val="24"/>
          <w:highlight w:val="none"/>
        </w:rPr>
        <w:t xml:space="preserve">一、评标办法</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1、评价和比较采用综合评分法，即指投标文件满足招标文件全部实质性要求，且按照评审因素的量化指标评审得分最高的供应商为排名第一的中标候选人的评标方法。</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2、根据财政部《关于推动解决政府采购异常低价问题的通知》（财库〔2026〕2号）规定，实施政府采购异常低价审查：</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（1）评审过程中出现下列情形之一的，评审委员会应当启动异常低价投标(响应)审查程序：</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异常低价投标(响应)审查启动后，相关供应商应在评审现场合理的时间内对投标（响应）价格作出解释，提供项目具体成本测算等与报价合理性相关的书面说明及必要的证明材料，包括但不限于原材料成本、人工成本、制造费用等。</w:t>
      </w:r>
      <w:r/>
    </w:p>
    <w:p>
      <w:pPr>
        <w:pStyle w:val="731"/>
        <w:ind w:left="0" w:firstLine="480"/>
        <w:spacing w:line="360" w:lineRule="auto"/>
        <w:rPr>
          <w:rFonts w:ascii="宋体" w:hAnsi="宋体" w:eastAsia="宋体" w:cs="宋体"/>
          <w:color w:val="auto"/>
          <w:highlight w:val="none"/>
        </w:rPr>
      </w:pPr>
      <w:r>
        <w:rPr>
          <w:rFonts w:hint="eastAsia" w:ascii="宋体" w:hAnsi="宋体" w:eastAsia="宋体" w:cs="宋体"/>
          <w:color w:val="auto"/>
          <w:szCs w:val="24"/>
          <w:highlight w:val="none"/>
        </w:rPr>
        <w:t xml:space="preserve">其中，属于第③项情形，供应商已随投标（响应）文件一并提交相关书面说明及必要的证明材料的，在评审现场可不再重复提交。</w:t>
      </w:r>
      <w:r/>
    </w:p>
    <w:p>
      <w:pPr>
        <w:ind w:firstLine="424"/>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3、评标委员会各成员独立对每个进入打分程序的有效投标单位的标书技术和资质部分以打分的形式进行评审和评价。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代理机构组织以抽签方式确定优先选取顺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5、评标委员会根据采购人的授权，按照中标候选人的顺序在中标候选人中直接确定中标供应商。</w:t>
      </w:r>
      <w:r/>
    </w:p>
    <w:p>
      <w:pPr>
        <w:ind w:firstLine="480"/>
        <w:spacing w:line="360" w:lineRule="auto"/>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rPr>
        <w:t xml:space="preserve"> 30 </w:t>
      </w:r>
      <w:r>
        <w:rPr>
          <w:rFonts w:hint="eastAsia" w:ascii="宋体" w:hAnsi="宋体" w:eastAsia="宋体" w:cs="宋体"/>
          <w:b/>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bookmarkStart w:id="74" w:name="_Hlk193379726"/>
      <w:r>
        <w:rPr>
          <w:rFonts w:hint="eastAsia" w:ascii="宋体" w:hAnsi="宋体" w:eastAsia="宋体" w:cs="宋体"/>
          <w:color w:val="auto"/>
          <w:sz w:val="24"/>
          <w:szCs w:val="24"/>
          <w:highlight w:val="none"/>
        </w:rPr>
        <w:t xml:space="preserve">第一步：投标（响应）报价低于或等于财政预算（最高限价）且符合采购文件要求的，为有效投标（响应）报价。无效投标（响应）报价的投标（响应）文件不参与进一步评审。</w:t>
      </w:r>
      <w:bookmarkEnd w:id="74"/>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75" w:name="_Hlk193380191"/>
      <w:r>
        <w:rPr>
          <w:rFonts w:hint="eastAsia" w:ascii="宋体" w:hAnsi="宋体" w:eastAsia="宋体" w:cs="宋体"/>
          <w:color w:val="auto"/>
          <w:sz w:val="24"/>
          <w:szCs w:val="24"/>
          <w:highlight w:val="none"/>
        </w:rPr>
        <w:t xml:space="preserve">满足招标文件要求，且投标（响应）价格最低的投标（响应）报价为评标基准价</w:t>
      </w:r>
      <w:bookmarkEnd w:id="75"/>
      <w:r>
        <w:rPr>
          <w:rFonts w:hint="eastAsia" w:ascii="宋体" w:hAnsi="宋体" w:eastAsia="宋体" w:cs="宋体"/>
          <w:color w:val="auto"/>
          <w:sz w:val="24"/>
          <w:szCs w:val="24"/>
          <w:highlight w:val="none"/>
        </w:rPr>
        <w:t xml:space="preserve">，</w:t>
      </w:r>
      <w:bookmarkStart w:id="76"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分</w:t>
      </w:r>
      <w:bookmarkEnd w:id="76"/>
      <w:r>
        <w:rPr>
          <w:rFonts w:hint="eastAsia" w:ascii="宋体" w:hAnsi="宋体" w:eastAsia="宋体" w:cs="宋体"/>
          <w:color w:val="auto"/>
          <w:sz w:val="24"/>
          <w:szCs w:val="24"/>
          <w:highlight w:val="none"/>
        </w:rPr>
        <w:t xml:space="preserve">。其他报价得分统一按照下列公式计算（计算结果四舍五入，保留两位小数）：</w:t>
      </w:r>
      <w:r/>
    </w:p>
    <w:p>
      <w:pPr>
        <w:pStyle w:val="730"/>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投标（响应）报价得分=（评标基准价/有效投标（响应）报价）×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%×100</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（二）技术参数及技术方案：</w:t>
      </w:r>
      <w:r>
        <w:rPr>
          <w:rFonts w:hint="eastAsia" w:ascii="宋体" w:hAnsi="宋体" w:eastAsia="宋体" w:cs="宋体"/>
          <w:b/>
          <w:color w:val="auto"/>
          <w:sz w:val="24"/>
          <w:szCs w:val="24"/>
          <w:highlight w:val="none"/>
          <w:u w:val="single"/>
        </w:rPr>
        <w:t xml:space="preserve">39</w:t>
      </w:r>
      <w:r>
        <w:rPr>
          <w:rFonts w:hint="eastAsia" w:ascii="宋体" w:hAnsi="宋体" w:eastAsia="宋体" w:cs="宋体"/>
          <w:b/>
          <w:color w:val="auto"/>
          <w:sz w:val="24"/>
          <w:szCs w:val="24"/>
          <w:highlight w:val="none"/>
        </w:rPr>
        <w:t xml:space="preserve">分</w:t>
      </w:r>
      <w:r/>
    </w:p>
    <w:tbl>
      <w:tblPr>
        <w:tblStyle w:val="721"/>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155"/>
        <w:gridCol w:w="6596"/>
        <w:gridCol w:w="1184"/>
      </w:tblGrid>
      <w:tr>
        <w:trPr>
          <w:jc w:val="center"/>
        </w:trPr>
        <w:tc>
          <w:tcPr>
            <w:shd w:val="clear" w:color="auto" w:fill="auto"/>
            <w:tcW w:w="39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596"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shd w:val="clear" w:color="auto" w:fill="auto"/>
            <w:tcW w:w="3402"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shd w:val="clear" w:color="auto" w:fill="auto"/>
            <w:tcW w:w="61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shd w:val="clear" w:color="auto" w:fill="auto"/>
            <w:tcW w:w="39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shd w:val="clear" w:color="auto" w:fill="auto"/>
            <w:tcW w:w="596"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技术参数及配置</w:t>
            </w:r>
            <w:r/>
          </w:p>
        </w:tc>
        <w:tc>
          <w:tcPr>
            <w:shd w:val="clear" w:color="auto" w:fill="auto"/>
            <w:tcW w:w="3402" w:type="pct"/>
            <w:vAlign w:val="center"/>
            <w:textDirection w:val="lrTb"/>
            <w:noWrap w:val="false"/>
          </w:tcPr>
          <w:p>
            <w:pPr>
              <w:jc w:val="left"/>
              <w:rPr>
                <w:rFonts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以投标人提供的能直接反映该产品技术参数的</w:t>
            </w:r>
            <w:r>
              <w:rPr>
                <w:rFonts w:hint="eastAsia" w:ascii="宋体" w:hAnsi="宋体" w:eastAsia="宋体" w:cs="宋体"/>
                <w:color w:val="auto"/>
                <w:sz w:val="24"/>
                <w:szCs w:val="24"/>
                <w:highlight w:val="none"/>
              </w:rPr>
              <w:t xml:space="preserve">彩页或产品说明书等作为主要评判依据，其他情况由评标委员会根据实际情况进行评判</w:t>
            </w:r>
            <w:r>
              <w:rPr>
                <w:rFonts w:hint="eastAsia" w:ascii="宋体" w:hAnsi="宋体" w:eastAsia="宋体" w:cs="宋体"/>
                <w:bCs/>
                <w:color w:val="auto"/>
                <w:sz w:val="24"/>
                <w:szCs w:val="24"/>
                <w:highlight w:val="none"/>
              </w:rPr>
              <w:t xml:space="preserve">。</w:t>
            </w:r>
            <w:r/>
          </w:p>
          <w:p>
            <w:pPr>
              <w:jc w:val="left"/>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全部响应即满足招标文件功能技术参数要求的得20分。所提供产品不满足招标文件要求（负偏离）、配置不详、技术参数不明确、缺漏项的，每项扣2分，扣完为止。</w:t>
            </w:r>
            <w:r/>
          </w:p>
        </w:tc>
        <w:tc>
          <w:tcPr>
            <w:shd w:val="clear" w:color="auto" w:fill="auto"/>
            <w:tcW w:w="61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w:t>
            </w:r>
            <w:r/>
          </w:p>
        </w:tc>
      </w:tr>
      <w:tr>
        <w:trPr>
          <w:jc w:val="center"/>
        </w:trPr>
        <w:tc>
          <w:tcPr>
            <w:shd w:val="clear" w:color="auto" w:fill="auto"/>
            <w:tcW w:w="39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shd w:val="clear" w:color="auto" w:fill="auto"/>
            <w:tcW w:w="596"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技术方案</w:t>
            </w:r>
            <w:r/>
          </w:p>
        </w:tc>
        <w:tc>
          <w:tcPr>
            <w:shd w:val="clear" w:color="auto" w:fill="auto"/>
            <w:tcW w:w="3402" w:type="pct"/>
            <w:vAlign w:val="center"/>
            <w:textDirection w:val="lrTb"/>
            <w:noWrap w:val="false"/>
          </w:tcPr>
          <w:p>
            <w:pPr>
              <w:jc w:val="left"/>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提供为实现本项目招标文件技术参数要求而制定的技术方案。技术方案详尽、合理、针对性强，能完全符合用户科研需求的得10分；技术方案规范、较合理、针对性一般，能符合用户科研需求的得5分；技术方案有疏漏、合理性一般、没有针对性，部分符合用户科研需求的得2分；技术方案完全不能符合用户科研需求或未提供技术方案的不得分。</w:t>
            </w:r>
            <w:r/>
          </w:p>
        </w:tc>
        <w:tc>
          <w:tcPr>
            <w:shd w:val="clear" w:color="auto" w:fill="auto"/>
            <w:tcW w:w="61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0,2,5,10</w:t>
            </w:r>
            <w:r/>
          </w:p>
        </w:tc>
      </w:tr>
      <w:tr>
        <w:trPr>
          <w:jc w:val="center"/>
        </w:trPr>
        <w:tc>
          <w:tcPr>
            <w:shd w:val="clear" w:color="auto" w:fill="auto"/>
            <w:tcW w:w="39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shd w:val="clear" w:color="auto" w:fill="auto"/>
            <w:tcW w:w="596"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项目实施方案</w:t>
            </w:r>
            <w:r/>
          </w:p>
        </w:tc>
        <w:tc>
          <w:tcPr>
            <w:shd w:val="clear" w:color="auto" w:fill="auto"/>
            <w:tcW w:w="3402" w:type="pct"/>
            <w:vAlign w:val="center"/>
            <w:textDirection w:val="lrTb"/>
            <w:noWrap w:val="false"/>
          </w:tcPr>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应包括但不限于（1）安装调试、系统集成、试运行测试调优等内容；（2）组织机构、工作时间进度表、工作程序和步骤、管理措施；（3）实施协调方法、关键步骤的思路和要点等：</w:t>
            </w:r>
            <w:r/>
          </w:p>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tc>
        <w:tc>
          <w:tcPr>
            <w:shd w:val="clear" w:color="auto" w:fill="auto"/>
            <w:tcW w:w="61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w:t>
            </w:r>
            <w:r/>
          </w:p>
        </w:tc>
      </w:tr>
    </w:tbl>
    <w:p>
      <w:pPr>
        <w:ind w:firstLine="482"/>
        <w:spacing w:line="360" w:lineRule="auto"/>
        <w:rPr>
          <w:color w:val="auto"/>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31 </w:t>
      </w:r>
      <w:r>
        <w:rPr>
          <w:rFonts w:hint="eastAsia" w:ascii="宋体" w:hAnsi="宋体" w:eastAsia="宋体" w:cs="宋体"/>
          <w:b/>
          <w:color w:val="auto"/>
          <w:sz w:val="24"/>
          <w:szCs w:val="24"/>
          <w:highlight w:val="none"/>
        </w:rPr>
        <w:t xml:space="preserve">分</w:t>
      </w:r>
      <w:r/>
    </w:p>
    <w:tbl>
      <w:tblPr>
        <w:tblStyle w:val="721"/>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188"/>
        <w:gridCol w:w="6399"/>
        <w:gridCol w:w="1306"/>
      </w:tblGrid>
      <w:tr>
        <w:trPr>
          <w:jc w:val="center"/>
        </w:trPr>
        <w:tc>
          <w:tcPr>
            <w:tcW w:w="37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1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331"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678"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37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61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tc>
        <w:tc>
          <w:tcPr>
            <w:tcW w:w="3331"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提供投标人的所投产品（同类型设备）自2023年起至今的销售业绩，每提供1份业绩得1分，满分4分。</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注：①提供业绩合同扫描件；②以合同签订日期为准；③同一单位业绩不重复计分。</w:t>
            </w:r>
            <w:r/>
          </w:p>
        </w:tc>
        <w:tc>
          <w:tcPr>
            <w:tcW w:w="678"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r>
      <w:tr>
        <w:trPr>
          <w:jc w:val="center"/>
        </w:trPr>
        <w:tc>
          <w:tcPr>
            <w:tcW w:w="37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61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市场反馈情况</w:t>
            </w:r>
            <w:r/>
          </w:p>
        </w:tc>
        <w:tc>
          <w:tcPr>
            <w:tcW w:w="3331"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提供投标人的所投产品（同型号设备）现有用户反馈情况，每提供1份得1分，满分5分。反馈情况需含项目名称、型号、采购时间、满意度、联系人及电话。注：材料须加盖所属用户单位公章。</w:t>
            </w:r>
            <w:r/>
          </w:p>
        </w:tc>
        <w:tc>
          <w:tcPr>
            <w:tcW w:w="678"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r>
      <w:tr>
        <w:trPr>
          <w:jc w:val="center"/>
        </w:trPr>
        <w:tc>
          <w:tcPr>
            <w:tcW w:w="37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61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售后服务方案</w:t>
            </w:r>
            <w:r/>
          </w:p>
        </w:tc>
        <w:tc>
          <w:tcPr>
            <w:tcW w:w="3331"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包括①针对本项目制定的售后服务响应机制及响应时间；②针对投标人服务体系的完备性；③投入本项目专业技术服务人员及技术力量保障性。</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tc>
        <w:tc>
          <w:tcPr>
            <w:tcW w:w="678"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w:t>
            </w:r>
            <w:r/>
          </w:p>
        </w:tc>
      </w:tr>
      <w:tr>
        <w:trPr>
          <w:jc w:val="center"/>
        </w:trPr>
        <w:tc>
          <w:tcPr>
            <w:tcW w:w="37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61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培训方案</w:t>
            </w:r>
            <w:r/>
          </w:p>
        </w:tc>
        <w:tc>
          <w:tcPr>
            <w:tcW w:w="3331"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包括（1）培训内容、时间、地点、人次、安装维护、调试、配置；（2）使用技能、业务人员培训、应用操作及使用等。</w:t>
            </w:r>
            <w:r/>
          </w:p>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tc>
        <w:tc>
          <w:tcPr>
            <w:tcW w:w="678"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w:t>
            </w:r>
            <w:r/>
          </w:p>
        </w:tc>
      </w:tr>
      <w:tr>
        <w:trPr>
          <w:jc w:val="center"/>
        </w:trPr>
        <w:tc>
          <w:tcPr>
            <w:tcW w:w="370"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619"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其他优惠措施</w:t>
            </w:r>
            <w:r/>
          </w:p>
        </w:tc>
        <w:tc>
          <w:tcPr>
            <w:tcW w:w="3331" w:type="pct"/>
            <w:vAlign w:val="center"/>
            <w:textDirection w:val="lrTb"/>
            <w:noWrap w:val="false"/>
          </w:tcPr>
          <w:p>
            <w:pPr>
              <w:jc w:val="lef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投标人提供的在招标文件要求范围以外，评标委员会认可的优惠措施综合评定。优惠措施内容具体明确，具有实际价值及可行性高的得2分；优惠措施内容较为具体明确，实际价值及可行性较高的得1分；优惠措施内容不够具体明确，实际价值及可行性较低的得0.5分；不具备可行性或未提供具体内容的不得分。</w:t>
            </w:r>
            <w:r/>
          </w:p>
        </w:tc>
        <w:tc>
          <w:tcPr>
            <w:tcW w:w="678" w:type="pct"/>
            <w:vAlign w:val="center"/>
            <w:textDirection w:val="lrTb"/>
            <w:noWrap w:val="false"/>
          </w:tcPr>
          <w:p>
            <w:pPr>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0,0.5,1,2</w:t>
            </w:r>
            <w:r/>
          </w:p>
        </w:tc>
      </w:tr>
    </w:tbl>
    <w:p>
      <w:pPr>
        <w:ind w:firstLine="482"/>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2"/>
        <w:spacing w:line="360" w:lineRule="auto"/>
        <w:rPr>
          <w:rFonts w:ascii="宋体" w:hAnsi="宋体" w:eastAsia="宋体" w:cs="宋体"/>
          <w:b/>
          <w:bCs/>
          <w:color w:val="auto"/>
          <w:sz w:val="24"/>
          <w:szCs w:val="24"/>
          <w:highlight w:val="none"/>
        </w:rPr>
      </w:pPr>
      <w:r/>
      <w:bookmarkStart w:id="77" w:name="_Toc105940243"/>
      <w:r/>
      <w:bookmarkStart w:id="78" w:name="_Toc48723925"/>
      <w:r>
        <w:rPr>
          <w:rFonts w:hint="eastAsia" w:ascii="宋体" w:hAnsi="宋体" w:eastAsia="宋体" w:cs="宋体"/>
          <w:b/>
          <w:bCs/>
          <w:color w:val="auto"/>
          <w:sz w:val="24"/>
          <w:szCs w:val="24"/>
          <w:highlight w:val="none"/>
        </w:rPr>
        <w:t xml:space="preserve">说明：</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numPr>
          <w:ilvl w:val="0"/>
          <w:numId w:val="5"/>
        </w:numPr>
        <w:ind w:firstLine="482"/>
        <w:spacing w:line="360" w:lineRule="auto"/>
        <w:rPr>
          <w:rFonts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政府采购政策</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w:t>
      </w:r>
      <w:r>
        <w:rPr>
          <w:rFonts w:hint="eastAsia" w:ascii="宋体" w:hAnsi="宋体" w:eastAsia="宋体" w:cs="宋体"/>
          <w:color w:val="auto"/>
          <w:sz w:val="24"/>
          <w:szCs w:val="24"/>
          <w:highlight w:val="none"/>
          <w:lang w:val="zh-CN"/>
        </w:rPr>
        <w:t xml:space="preserve">《国务院办公厅关于在政府采购中实施本国产品标准及相关政策的通知》</w:t>
      </w:r>
      <w:bookmarkStart w:id="79" w:name="OLE_LINK13"/>
      <w:r>
        <w:rPr>
          <w:rFonts w:hint="eastAsia" w:ascii="宋体" w:hAnsi="宋体" w:eastAsia="宋体" w:cs="宋体"/>
          <w:color w:val="auto"/>
          <w:sz w:val="24"/>
          <w:szCs w:val="24"/>
          <w:highlight w:val="none"/>
          <w:lang w:val="zh-CN"/>
        </w:rPr>
        <w:t xml:space="preserve">（国办发［2025］34号）</w:t>
      </w:r>
      <w:bookmarkEnd w:id="79"/>
      <w:r>
        <w:rPr>
          <w:rFonts w:hint="eastAsia" w:ascii="宋体" w:hAnsi="宋体" w:eastAsia="宋体" w:cs="宋体"/>
          <w:color w:val="auto"/>
          <w:sz w:val="24"/>
          <w:szCs w:val="24"/>
          <w:highlight w:val="none"/>
          <w:lang w:val="zh-CN"/>
        </w:rPr>
        <w:t xml:space="preserve">（以下简称“本国产品扶持政策”）的规定，</w:t>
      </w:r>
      <w:r>
        <w:rPr>
          <w:rFonts w:hint="eastAsia" w:ascii="宋体" w:hAnsi="宋体" w:eastAsia="宋体" w:cs="宋体"/>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未填写比例数值，或比例数值未达到80%的，将不享受本国产品价格评审优惠。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3、本国产品标准的适用范围</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4、供应商应当提供符合</w:t>
      </w:r>
      <w:r>
        <w:rPr>
          <w:rFonts w:hint="eastAsia" w:ascii="宋体" w:hAnsi="宋体" w:eastAsia="宋体" w:cs="宋体"/>
          <w:color w:val="auto"/>
          <w:sz w:val="24"/>
          <w:szCs w:val="24"/>
          <w:highlight w:val="none"/>
          <w:lang w:val="zh-CN"/>
        </w:rPr>
        <w:t xml:space="preserve">本国产品扶持政策</w:t>
      </w:r>
      <w:r>
        <w:rPr>
          <w:rFonts w:hint="eastAsia" w:ascii="宋体" w:hAnsi="宋体" w:eastAsia="宋体" w:cs="宋体"/>
          <w:color w:val="auto"/>
          <w:sz w:val="24"/>
          <w:szCs w:val="24"/>
          <w:highlight w:val="none"/>
        </w:rPr>
        <w:t xml:space="preserve">附件规定的《关于符合本国产品标准的声明函》（格式见第三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多种产品采购时，还应提供《</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（格式见第三章）。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未按上述要求提供的，不享受本国产品扶持政策。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6、若供应商提供虚假《关于符合本国产品标准的声明函》、《</w:t>
      </w:r>
      <w:r>
        <w:rPr>
          <w:rFonts w:hint="eastAsia" w:ascii="宋体" w:hAnsi="宋体" w:eastAsia="宋体" w:cs="宋体"/>
          <w:color w:val="auto"/>
          <w:sz w:val="24"/>
          <w:szCs w:val="24"/>
          <w:highlight w:val="none"/>
          <w:lang w:val="zh-CN"/>
        </w:rPr>
        <w:t xml:space="preserve">关于本国产品成本占比的声明函》、</w:t>
      </w:r>
      <w:r>
        <w:rPr>
          <w:rFonts w:hint="eastAsia" w:ascii="宋体" w:hAnsi="宋体" w:eastAsia="宋体" w:cs="宋体"/>
          <w:color w:val="auto"/>
          <w:sz w:val="24"/>
          <w:szCs w:val="24"/>
          <w:highlight w:val="none"/>
        </w:rPr>
        <w:t xml:space="preserve">虚假证明文件谋取中标、成交的，依照《中华人民共和国政府采购法》等法律法规规定追究相应责任。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7、供应商提供的《关于符合本国产品标准的声明函》，或财政部会同有关部门规定的有关证明文件将随中标（成交）结果同时公告。</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spacing w:line="360" w:lineRule="auto"/>
        <w:rPr>
          <w:rFonts w:ascii="宋体" w:hAnsi="宋体" w:eastAsia="宋体" w:cs="宋体"/>
          <w:color w:val="auto"/>
          <w:sz w:val="24"/>
          <w:szCs w:val="24"/>
          <w:highlight w:val="none"/>
        </w:rPr>
      </w:pPr>
      <w:r/>
      <w:bookmarkStart w:id="80"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80"/>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、供应商应当出具符合《政府采购促进中小企业发展管理办法》（财库〔2020〕46号）附件规定的《中小企业声明函》，否则不得享受相关中小企业扶持政策。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bookmarkStart w:id="81" w:name="_GoBack"/>
      <w:r/>
      <w:bookmarkEnd w:id="81"/>
      <w:r>
        <w:rPr>
          <w:rFonts w:hint="eastAsia" w:ascii="宋体" w:hAnsi="宋体" w:eastAsia="宋体" w:cs="宋体"/>
          <w:color w:val="auto"/>
          <w:sz w:val="24"/>
          <w:szCs w:val="24"/>
          <w:highlight w:val="none"/>
        </w:rPr>
        <w:t xml:space="preserve">、若供应商提供的《中小企业声明函》内容不实的，属于提供虚假材料谋取中标、成交，按政府采购相关规定处理并报请政府监管部门给予行政处罚。</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（三）残疾人福利性单位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（四）监狱企业</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（五）绿色采购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若有属于《节能产品政府采购品目清单》范围内的强制采购产品，投标响应文件中须提供认证机构出具的、处于有效期之内的节能产品认证证书，未提供或提供不全的将视响应文件为未实质性响应采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次采购产品中若有属于《节能产品政府采购品目清单》范围内优先采购的产品，本次采购产品中若有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bookmarkEnd w:id="77"/>
      <w:r/>
      <w:bookmarkEnd w:id="78"/>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left"/>
        <w:rPr>
          <w:rFonts w:ascii="宋体" w:hAnsi="宋体" w:eastAsia="宋体" w:cs="宋体"/>
          <w:color w:val="auto"/>
          <w:highlight w:val="none"/>
        </w:rPr>
      </w:pPr>
      <w:r>
        <w:rPr>
          <w:rFonts w:ascii="宋体" w:hAnsi="宋体" w:eastAsia="宋体" w:cs="宋体"/>
          <w:color w:val="auto"/>
          <w:highlight w:val="none"/>
        </w:rPr>
      </w:r>
      <w:r/>
    </w:p>
    <w:p>
      <w:pPr>
        <w:jc w:val="center"/>
        <w:keepLines/>
        <w:keepNext/>
        <w:spacing w:before="340" w:after="330" w:line="360" w:lineRule="auto"/>
        <w:rPr>
          <w:rFonts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rPr>
          <w:rFonts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br w:type="page" w:clear="all"/>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63"/>
        <w:ind w:firstLine="0"/>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1.在货物采购项目中，供应商提供的货物由中小企业制造，即货物由中小企业生产且使用该中小企业商号或者注册商标。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spacing w:line="360" w:lineRule="auto"/>
        <w:rPr>
          <w:rFonts w:ascii="宋体" w:hAnsi="宋体" w:eastAsia="宋体" w:cs="宋体"/>
          <w:b/>
          <w:color w:val="auto"/>
          <w:highlight w:val="none"/>
        </w:rPr>
      </w:pPr>
      <w:r>
        <w:rPr>
          <w:rFonts w:hint="eastAsia" w:ascii="宋体" w:hAnsi="宋体" w:eastAsia="宋体" w:cs="宋体"/>
          <w:color w:val="auto"/>
          <w:sz w:val="24"/>
          <w:szCs w:val="24"/>
          <w:highlight w:val="none"/>
        </w:rPr>
        <w:t xml:space="preserve">4.中标（成交）单位为中小企业的，《中小企业声明函》将随中标（成交）结果同时公告。</w:t>
      </w:r>
      <w:r>
        <w:rPr>
          <w:rFonts w:hint="eastAsia" w:ascii="宋体" w:hAnsi="宋体" w:eastAsia="宋体" w:cs="宋体"/>
          <w:b/>
          <w:color w:val="auto"/>
          <w:highlight w:val="none"/>
        </w:rPr>
        <w:br w:type="page" w:clear="all"/>
      </w:r>
      <w:r/>
    </w:p>
    <w:p>
      <w:pPr>
        <w:pStyle w:val="963"/>
        <w:ind w:firstLine="0"/>
        <w:jc w:val="left"/>
        <w:rPr>
          <w:rFonts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963"/>
        <w:ind w:firstLine="0"/>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营业收入20047万元以下的为中小微型企业。其中，营业收入500万元及以上的为中型企业，营业收入50万元及以上的为小型企业，营业收入50万元以下的为微型企业。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40047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80047万元以下或资产总额80047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40047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20047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30047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30047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30047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10047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10047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100470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10047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200470万元以下或资产总额10047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120047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jc w:val="right"/>
        <w:rPr>
          <w:rFonts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p>
      <w:pPr>
        <w:pStyle w:val="730"/>
        <w:rPr>
          <w:rFonts w:ascii="宋体" w:hAnsi="宋体" w:eastAsia="宋体" w:cs="宋体"/>
          <w:color w:val="auto"/>
          <w:highlight w:val="none"/>
        </w:rPr>
      </w:pPr>
      <w:r>
        <w:rPr>
          <w:rFonts w:ascii="宋体" w:hAnsi="宋体" w:eastAsia="宋体" w:cs="宋体"/>
          <w:color w:val="auto"/>
          <w:highlight w:val="none"/>
        </w:rPr>
      </w:r>
      <w:r/>
    </w:p>
    <w:p>
      <w:pPr>
        <w:ind w:right="480"/>
        <w:spacing w:line="360" w:lineRule="auto"/>
        <w:rPr>
          <w:rFonts w:ascii="宋体" w:hAnsi="宋体" w:eastAsia="宋体" w:cs="宋体"/>
          <w:b/>
          <w:bCs/>
          <w:color w:val="auto"/>
          <w:highlight w:val="none"/>
        </w:rPr>
      </w:pPr>
      <w:r>
        <w:rPr>
          <w:rFonts w:ascii="宋体" w:hAnsi="宋体" w:eastAsia="宋体" w:cs="宋体"/>
          <w:b/>
          <w:bCs/>
          <w:color w:val="auto"/>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59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rPr>
        <w:rFonts w:ascii="宋体" w:hAnsi="宋体" w:eastAsia="宋体"/>
      </w:rPr>
    </w:pPr>
    <w:r>
      <w:rPr>
        <w:rFonts w:hint="eastAsia" w:ascii="宋体" w:hAnsi="宋体" w:eastAsia="宋体"/>
      </w:rPr>
      <w:t xml:space="preserve">政府采购招标文件                                                          标号：JSZC-320500-SZCH-G2026-0047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decimal"/>
      <w:pStyle w:val="992"/>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3">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67"/>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0">
    <w:name w:val="Plain Table 1"/>
    <w:basedOn w:val="7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basedOn w:val="7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basedOn w:val="7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basedOn w:val="7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2"/>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3"/>
    <w:basedOn w:val="7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4"/>
    <w:basedOn w:val="7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9">
    <w:name w:val="Grid Table 5 Dark"/>
    <w:basedOn w:val="7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0">
    <w:name w:val="Grid Table 6 Colorful"/>
    <w:basedOn w:val="7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1">
    <w:name w:val="Grid Table 7 Colorful"/>
    <w:basedOn w:val="7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2">
    <w:name w:val="List Table 1 Light"/>
    <w:basedOn w:val="7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3">
    <w:name w:val="List Table 2"/>
    <w:basedOn w:val="7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4">
    <w:name w:val="List Table 3"/>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4"/>
    <w:basedOn w:val="7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5 Dark"/>
    <w:basedOn w:val="7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7">
    <w:name w:val="List Table 6 Colorful"/>
    <w:basedOn w:val="7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8">
    <w:name w:val="List Table 7 Colorful"/>
    <w:basedOn w:val="7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9">
    <w:name w:val="TOC Heading"/>
    <w:uiPriority w:val="39"/>
    <w:unhideWhenUsed/>
  </w:style>
  <w:style w:type="paragraph" w:styleId="71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11">
    <w:name w:val="Heading 1"/>
    <w:basedOn w:val="710"/>
    <w:next w:val="710"/>
    <w:link w:val="929"/>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12">
    <w:name w:val="Heading 2"/>
    <w:basedOn w:val="710"/>
    <w:next w:val="710"/>
    <w:link w:val="930"/>
    <w:uiPriority w:val="0"/>
    <w:qFormat/>
    <w:pPr>
      <w:jc w:val="left"/>
      <w:keepLines/>
      <w:keepNext/>
      <w:outlineLvl w:val="1"/>
    </w:pPr>
    <w:rPr>
      <w:rFonts w:ascii="宋体" w:hAnsi="宋体" w:eastAsia="楷体_GB2312" w:cs="Times New Roman"/>
      <w:b/>
      <w:sz w:val="26"/>
      <w:szCs w:val="20"/>
    </w:rPr>
  </w:style>
  <w:style w:type="paragraph" w:styleId="713">
    <w:name w:val="Heading 3"/>
    <w:basedOn w:val="710"/>
    <w:next w:val="710"/>
    <w:link w:val="931"/>
    <w:uiPriority w:val="0"/>
    <w:qFormat/>
    <w:pPr>
      <w:jc w:val="left"/>
      <w:keepLines/>
      <w:keepNext/>
      <w:outlineLvl w:val="2"/>
    </w:pPr>
    <w:rPr>
      <w:rFonts w:ascii="Calibri" w:hAnsi="Calibri" w:eastAsia="楷体_GB2312" w:cs="Times New Roman"/>
      <w:b/>
      <w:sz w:val="26"/>
      <w:szCs w:val="20"/>
    </w:rPr>
  </w:style>
  <w:style w:type="paragraph" w:styleId="714">
    <w:name w:val="Heading 4"/>
    <w:basedOn w:val="710"/>
    <w:next w:val="710"/>
    <w:link w:val="932"/>
    <w:uiPriority w:val="0"/>
    <w:qFormat/>
    <w:pPr>
      <w:keepLines/>
      <w:keepNext/>
      <w:spacing w:before="280" w:after="290" w:line="376" w:lineRule="auto"/>
      <w:outlineLvl w:val="3"/>
    </w:pPr>
    <w:rPr>
      <w:rFonts w:ascii="Arial" w:hAnsi="Arial" w:eastAsia="黑体" w:cs="Times New Roman"/>
      <w:b/>
      <w:bCs/>
      <w:sz w:val="28"/>
      <w:szCs w:val="28"/>
    </w:rPr>
  </w:style>
  <w:style w:type="paragraph" w:styleId="715">
    <w:name w:val="Heading 5"/>
    <w:basedOn w:val="710"/>
    <w:next w:val="710"/>
    <w:link w:val="933"/>
    <w:uiPriority w:val="0"/>
    <w:qFormat/>
    <w:pPr>
      <w:keepNext/>
      <w:outlineLvl w:val="4"/>
    </w:pPr>
    <w:rPr>
      <w:rFonts w:ascii="宋体" w:hAnsi="宋体" w:eastAsia="宋体" w:cs="Times New Roman"/>
      <w:color w:val="000000"/>
      <w:sz w:val="28"/>
      <w:szCs w:val="20"/>
    </w:rPr>
  </w:style>
  <w:style w:type="paragraph" w:styleId="716">
    <w:name w:val="Heading 6"/>
    <w:basedOn w:val="710"/>
    <w:next w:val="710"/>
    <w:link w:val="934"/>
    <w:uiPriority w:val="0"/>
    <w:qFormat/>
    <w:pPr>
      <w:keepNext/>
      <w:outlineLvl w:val="5"/>
    </w:pPr>
    <w:rPr>
      <w:rFonts w:ascii="宋体" w:hAnsi="宋体" w:eastAsia="宋体" w:cs="Times New Roman"/>
      <w:sz w:val="28"/>
      <w:szCs w:val="20"/>
    </w:rPr>
  </w:style>
  <w:style w:type="paragraph" w:styleId="717">
    <w:name w:val="Heading 7"/>
    <w:basedOn w:val="710"/>
    <w:next w:val="710"/>
    <w:link w:val="805"/>
    <w:uiPriority w:val="9"/>
    <w:unhideWhenUsed/>
    <w:qFormat/>
    <w:pPr>
      <w:keepLines/>
      <w:keepNext/>
      <w:spacing w:before="320" w:after="200"/>
      <w:outlineLvl w:val="6"/>
    </w:pPr>
    <w:rPr>
      <w:rFonts w:ascii="Arial" w:hAnsi="Arial" w:eastAsia="Arial" w:cs="Arial"/>
      <w:b/>
      <w:bCs/>
      <w:i/>
      <w:iCs/>
      <w:sz w:val="22"/>
    </w:rPr>
  </w:style>
  <w:style w:type="paragraph" w:styleId="718">
    <w:name w:val="Heading 8"/>
    <w:basedOn w:val="710"/>
    <w:next w:val="710"/>
    <w:link w:val="806"/>
    <w:uiPriority w:val="9"/>
    <w:unhideWhenUsed/>
    <w:qFormat/>
    <w:pPr>
      <w:keepLines/>
      <w:keepNext/>
      <w:spacing w:before="320" w:after="200"/>
      <w:outlineLvl w:val="7"/>
    </w:pPr>
    <w:rPr>
      <w:rFonts w:ascii="Arial" w:hAnsi="Arial" w:eastAsia="Arial" w:cs="Arial"/>
      <w:i/>
      <w:iCs/>
      <w:sz w:val="22"/>
    </w:rPr>
  </w:style>
  <w:style w:type="paragraph" w:styleId="719">
    <w:name w:val="Heading 9"/>
    <w:basedOn w:val="710"/>
    <w:next w:val="710"/>
    <w:link w:val="807"/>
    <w:uiPriority w:val="9"/>
    <w:unhideWhenUsed/>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0"/>
    <w:qFormat/>
    <w:pPr>
      <w:ind w:left="2520"/>
    </w:pPr>
    <w:rPr>
      <w:rFonts w:ascii="Calibri" w:hAnsi="Calibri" w:eastAsia="楷体_GB2312" w:cs="Times New Roman"/>
      <w:sz w:val="26"/>
      <w:szCs w:val="20"/>
    </w:rPr>
  </w:style>
  <w:style w:type="paragraph" w:styleId="723">
    <w:name w:val="index 8"/>
    <w:basedOn w:val="710"/>
    <w:next w:val="710"/>
    <w:uiPriority w:val="0"/>
    <w:qFormat/>
    <w:pPr>
      <w:ind w:left="2940"/>
    </w:pPr>
    <w:rPr>
      <w:rFonts w:ascii="Calibri" w:hAnsi="Calibri" w:eastAsia="楷体_GB2312" w:cs="Times New Roman"/>
      <w:sz w:val="26"/>
      <w:szCs w:val="20"/>
    </w:rPr>
  </w:style>
  <w:style w:type="paragraph" w:styleId="724">
    <w:name w:val="Normal Indent"/>
    <w:basedOn w:val="710"/>
    <w:link w:val="935"/>
    <w:uiPriority w:val="0"/>
    <w:qFormat/>
    <w:pPr>
      <w:ind w:firstLine="420"/>
      <w:jc w:val="left"/>
    </w:pPr>
    <w:rPr>
      <w:rFonts w:ascii="Calibri" w:hAnsi="Calibri" w:eastAsia="楷体_GB2312" w:cs="Times New Roman"/>
      <w:sz w:val="24"/>
      <w:szCs w:val="20"/>
    </w:r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index 5"/>
    <w:basedOn w:val="710"/>
    <w:next w:val="710"/>
    <w:uiPriority w:val="0"/>
    <w:qFormat/>
    <w:pPr>
      <w:ind w:left="1680"/>
    </w:pPr>
    <w:rPr>
      <w:rFonts w:ascii="Calibri" w:hAnsi="Calibri" w:eastAsia="楷体_GB2312" w:cs="Times New Roman"/>
      <w:sz w:val="26"/>
      <w:szCs w:val="20"/>
    </w:rPr>
  </w:style>
  <w:style w:type="paragraph" w:styleId="727">
    <w:name w:val="Document Map"/>
    <w:basedOn w:val="710"/>
    <w:link w:val="936"/>
    <w:uiPriority w:val="0"/>
    <w:qFormat/>
    <w:pPr>
      <w:shd w:val="clear" w:color="auto" w:fill="000080"/>
    </w:pPr>
    <w:rPr>
      <w:rFonts w:ascii="Calibri" w:hAnsi="Calibri" w:eastAsia="楷体_GB2312" w:cs="Times New Roman"/>
      <w:sz w:val="26"/>
      <w:szCs w:val="20"/>
    </w:rPr>
  </w:style>
  <w:style w:type="paragraph" w:styleId="728">
    <w:name w:val="annotation text"/>
    <w:basedOn w:val="710"/>
    <w:link w:val="937"/>
    <w:uiPriority w:val="0"/>
    <w:qFormat/>
    <w:pPr>
      <w:jc w:val="left"/>
    </w:pPr>
    <w:rPr>
      <w:rFonts w:ascii="Calibri" w:hAnsi="Calibri" w:eastAsia="楷体_GB2312" w:cs="Times New Roman"/>
      <w:sz w:val="26"/>
      <w:szCs w:val="20"/>
    </w:rPr>
  </w:style>
  <w:style w:type="paragraph" w:styleId="729">
    <w:name w:val="index 6"/>
    <w:basedOn w:val="710"/>
    <w:next w:val="710"/>
    <w:uiPriority w:val="0"/>
    <w:qFormat/>
    <w:pPr>
      <w:ind w:left="2100"/>
    </w:pPr>
    <w:rPr>
      <w:rFonts w:ascii="Calibri" w:hAnsi="Calibri" w:eastAsia="楷体_GB2312" w:cs="Times New Roman"/>
      <w:sz w:val="26"/>
      <w:szCs w:val="20"/>
    </w:rPr>
  </w:style>
  <w:style w:type="paragraph" w:styleId="730">
    <w:name w:val="Body Text"/>
    <w:basedOn w:val="710"/>
    <w:link w:val="938"/>
    <w:uiPriority w:val="0"/>
    <w:qFormat/>
    <w:pPr>
      <w:spacing w:line="400" w:lineRule="exact"/>
    </w:pPr>
    <w:rPr>
      <w:rFonts w:ascii="楷体_GB2312" w:hAnsi="Calibri" w:eastAsia="楷体_GB2312" w:cs="Times New Roman"/>
      <w:sz w:val="28"/>
      <w:szCs w:val="20"/>
    </w:rPr>
  </w:style>
  <w:style w:type="paragraph" w:styleId="731">
    <w:name w:val="Body Text Indent"/>
    <w:basedOn w:val="710"/>
    <w:link w:val="939"/>
    <w:uiPriority w:val="99"/>
    <w:qFormat/>
    <w:pPr>
      <w:ind w:left="570"/>
      <w:spacing w:line="520" w:lineRule="exact"/>
    </w:pPr>
    <w:rPr>
      <w:rFonts w:ascii="方正仿宋简体" w:hAnsi="创艺简仿宋" w:eastAsia="方正仿宋简体" w:cs="Times New Roman"/>
      <w:sz w:val="24"/>
      <w:szCs w:val="20"/>
    </w:rPr>
  </w:style>
  <w:style w:type="paragraph" w:styleId="732">
    <w:name w:val="Block Text"/>
    <w:basedOn w:val="710"/>
    <w:next w:val="710"/>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33">
    <w:name w:val="index 4"/>
    <w:basedOn w:val="710"/>
    <w:next w:val="710"/>
    <w:uiPriority w:val="0"/>
    <w:qFormat/>
    <w:pPr>
      <w:ind w:left="1260"/>
    </w:pPr>
    <w:rPr>
      <w:rFonts w:ascii="Calibri" w:hAnsi="Calibri" w:eastAsia="楷体_GB2312" w:cs="Times New Roman"/>
      <w:sz w:val="26"/>
      <w:szCs w:val="20"/>
    </w:rPr>
  </w:style>
  <w:style w:type="paragraph" w:styleId="734">
    <w:name w:val="toc 5"/>
    <w:basedOn w:val="710"/>
    <w:next w:val="710"/>
    <w:uiPriority w:val="0"/>
    <w:qFormat/>
    <w:pPr>
      <w:ind w:left="1680"/>
    </w:pPr>
    <w:rPr>
      <w:rFonts w:ascii="Calibri" w:hAnsi="Calibri" w:eastAsia="楷体_GB2312" w:cs="Times New Roman"/>
      <w:sz w:val="26"/>
      <w:szCs w:val="20"/>
    </w:rPr>
  </w:style>
  <w:style w:type="paragraph" w:styleId="735">
    <w:name w:val="toc 3"/>
    <w:basedOn w:val="710"/>
    <w:next w:val="710"/>
    <w:uiPriority w:val="0"/>
    <w:qFormat/>
    <w:pPr>
      <w:ind w:left="840"/>
    </w:pPr>
    <w:rPr>
      <w:rFonts w:ascii="Calibri" w:hAnsi="Calibri" w:eastAsia="楷体_GB2312" w:cs="Times New Roman"/>
      <w:sz w:val="26"/>
      <w:szCs w:val="20"/>
    </w:rPr>
  </w:style>
  <w:style w:type="paragraph" w:styleId="736">
    <w:name w:val="Plain Text"/>
    <w:basedOn w:val="710"/>
    <w:link w:val="940"/>
    <w:uiPriority w:val="0"/>
    <w:qFormat/>
    <w:rPr>
      <w:rFonts w:ascii="宋体" w:hAnsi="Courier New" w:eastAsia="楷体_GB2312" w:cs="Times New Roman"/>
      <w:sz w:val="26"/>
      <w:szCs w:val="20"/>
    </w:rPr>
  </w:style>
  <w:style w:type="paragraph" w:styleId="737">
    <w:name w:val="toc 8"/>
    <w:basedOn w:val="710"/>
    <w:next w:val="710"/>
    <w:uiPriority w:val="0"/>
    <w:qFormat/>
    <w:pPr>
      <w:ind w:left="2940"/>
    </w:pPr>
    <w:rPr>
      <w:rFonts w:ascii="Calibri" w:hAnsi="Calibri" w:eastAsia="楷体_GB2312" w:cs="Times New Roman"/>
      <w:sz w:val="26"/>
      <w:szCs w:val="20"/>
    </w:rPr>
  </w:style>
  <w:style w:type="paragraph" w:styleId="738">
    <w:name w:val="index 3"/>
    <w:basedOn w:val="710"/>
    <w:next w:val="710"/>
    <w:uiPriority w:val="0"/>
    <w:qFormat/>
    <w:pPr>
      <w:ind w:left="840"/>
    </w:pPr>
    <w:rPr>
      <w:rFonts w:ascii="Calibri" w:hAnsi="Calibri" w:eastAsia="楷体_GB2312" w:cs="Times New Roman"/>
      <w:sz w:val="26"/>
      <w:szCs w:val="20"/>
    </w:rPr>
  </w:style>
  <w:style w:type="paragraph" w:styleId="739">
    <w:name w:val="Date"/>
    <w:basedOn w:val="710"/>
    <w:next w:val="710"/>
    <w:link w:val="941"/>
    <w:uiPriority w:val="0"/>
    <w:qFormat/>
    <w:rPr>
      <w:rFonts w:ascii="宋体" w:hAnsi="宋体" w:eastAsia="楷体_GB2312" w:cs="Times New Roman"/>
      <w:sz w:val="24"/>
      <w:szCs w:val="20"/>
    </w:rPr>
  </w:style>
  <w:style w:type="paragraph" w:styleId="740">
    <w:name w:val="Body Text Indent 2"/>
    <w:basedOn w:val="710"/>
    <w:link w:val="942"/>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741">
    <w:name w:val="endnote text"/>
    <w:basedOn w:val="710"/>
    <w:link w:val="943"/>
    <w:uiPriority w:val="0"/>
    <w:qFormat/>
    <w:pPr>
      <w:jc w:val="left"/>
    </w:pPr>
    <w:rPr>
      <w:rFonts w:ascii="Calibri" w:hAnsi="Calibri" w:eastAsia="楷体_GB2312" w:cs="Times New Roman"/>
      <w:sz w:val="26"/>
      <w:szCs w:val="20"/>
    </w:rPr>
  </w:style>
  <w:style w:type="paragraph" w:styleId="742">
    <w:name w:val="Balloon Text"/>
    <w:basedOn w:val="710"/>
    <w:link w:val="944"/>
    <w:uiPriority w:val="99"/>
    <w:qFormat/>
    <w:rPr>
      <w:rFonts w:ascii="Calibri" w:hAnsi="Calibri" w:eastAsia="楷体_GB2312" w:cs="Times New Roman"/>
      <w:sz w:val="18"/>
      <w:szCs w:val="18"/>
    </w:rPr>
  </w:style>
  <w:style w:type="paragraph" w:styleId="743">
    <w:name w:val="Footer"/>
    <w:basedOn w:val="710"/>
    <w:link w:val="945"/>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744">
    <w:name w:val="Header"/>
    <w:basedOn w:val="710"/>
    <w:link w:val="946"/>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745">
    <w:name w:val="toc 1"/>
    <w:basedOn w:val="710"/>
    <w:next w:val="710"/>
    <w:uiPriority w:val="39"/>
    <w:qFormat/>
    <w:pPr>
      <w:jc w:val="left"/>
    </w:pPr>
    <w:rPr>
      <w:rFonts w:ascii="Calibri" w:hAnsi="Calibri" w:eastAsia="楷体_GB2312" w:cs="Times New Roman"/>
      <w:sz w:val="24"/>
      <w:szCs w:val="20"/>
    </w:rPr>
  </w:style>
  <w:style w:type="paragraph" w:styleId="746">
    <w:name w:val="toc 4"/>
    <w:basedOn w:val="710"/>
    <w:next w:val="710"/>
    <w:uiPriority w:val="0"/>
    <w:qFormat/>
    <w:pPr>
      <w:ind w:left="1260"/>
    </w:pPr>
    <w:rPr>
      <w:rFonts w:ascii="Calibri" w:hAnsi="Calibri" w:eastAsia="楷体_GB2312" w:cs="Times New Roman"/>
      <w:sz w:val="26"/>
      <w:szCs w:val="20"/>
    </w:rPr>
  </w:style>
  <w:style w:type="paragraph" w:styleId="747">
    <w:name w:val="index heading"/>
    <w:basedOn w:val="710"/>
    <w:next w:val="748"/>
    <w:uiPriority w:val="0"/>
    <w:qFormat/>
    <w:rPr>
      <w:rFonts w:ascii="Calibri" w:hAnsi="Calibri" w:eastAsia="楷体_GB2312" w:cs="Times New Roman"/>
      <w:sz w:val="26"/>
      <w:szCs w:val="20"/>
    </w:rPr>
  </w:style>
  <w:style w:type="paragraph" w:styleId="748">
    <w:name w:val="index 1"/>
    <w:basedOn w:val="710"/>
    <w:next w:val="710"/>
    <w:uiPriority w:val="0"/>
    <w:unhideWhenUsed/>
    <w:qFormat/>
  </w:style>
  <w:style w:type="paragraph" w:styleId="749">
    <w:name w:val="Subtitle"/>
    <w:basedOn w:val="710"/>
    <w:next w:val="710"/>
    <w:link w:val="947"/>
    <w:uiPriority w:val="0"/>
    <w:qFormat/>
    <w:pPr>
      <w:jc w:val="left"/>
      <w:spacing w:before="120"/>
      <w:outlineLvl w:val="1"/>
    </w:pPr>
    <w:rPr>
      <w:rFonts w:ascii="Cambria" w:hAnsi="Cambria" w:eastAsia="宋体" w:cs="Times New Roman"/>
      <w:b/>
      <w:bCs/>
      <w:sz w:val="24"/>
      <w:szCs w:val="32"/>
    </w:rPr>
  </w:style>
  <w:style w:type="paragraph" w:styleId="750">
    <w:name w:val="footnote text"/>
    <w:basedOn w:val="710"/>
    <w:link w:val="948"/>
    <w:uiPriority w:val="0"/>
    <w:qFormat/>
    <w:pPr>
      <w:jc w:val="left"/>
    </w:pPr>
    <w:rPr>
      <w:rFonts w:ascii="Calibri" w:hAnsi="Calibri" w:eastAsia="楷体_GB2312" w:cs="Times New Roman"/>
      <w:sz w:val="18"/>
      <w:szCs w:val="20"/>
    </w:rPr>
  </w:style>
  <w:style w:type="paragraph" w:styleId="751">
    <w:name w:val="toc 6"/>
    <w:basedOn w:val="710"/>
    <w:next w:val="710"/>
    <w:uiPriority w:val="0"/>
    <w:qFormat/>
    <w:pPr>
      <w:ind w:left="2100"/>
    </w:pPr>
    <w:rPr>
      <w:rFonts w:ascii="Calibri" w:hAnsi="Calibri" w:eastAsia="楷体_GB2312" w:cs="Times New Roman"/>
      <w:sz w:val="26"/>
      <w:szCs w:val="20"/>
    </w:rPr>
  </w:style>
  <w:style w:type="paragraph" w:styleId="752">
    <w:name w:val="Body Text Indent 3"/>
    <w:basedOn w:val="710"/>
    <w:link w:val="949"/>
    <w:uiPriority w:val="0"/>
    <w:qFormat/>
    <w:pPr>
      <w:ind w:firstLine="617"/>
      <w:spacing w:line="360" w:lineRule="auto"/>
    </w:pPr>
    <w:rPr>
      <w:rFonts w:ascii="Calibri" w:hAnsi="Calibri" w:eastAsia="宋体" w:cs="Times New Roman"/>
      <w:sz w:val="24"/>
      <w:szCs w:val="24"/>
    </w:rPr>
  </w:style>
  <w:style w:type="paragraph" w:styleId="753">
    <w:name w:val="index 7"/>
    <w:basedOn w:val="710"/>
    <w:next w:val="710"/>
    <w:uiPriority w:val="0"/>
    <w:qFormat/>
    <w:pPr>
      <w:ind w:left="2520"/>
    </w:pPr>
    <w:rPr>
      <w:rFonts w:ascii="Calibri" w:hAnsi="Calibri" w:eastAsia="楷体_GB2312" w:cs="Times New Roman"/>
      <w:sz w:val="26"/>
      <w:szCs w:val="20"/>
    </w:rPr>
  </w:style>
  <w:style w:type="paragraph" w:styleId="754">
    <w:name w:val="index 9"/>
    <w:basedOn w:val="710"/>
    <w:next w:val="710"/>
    <w:uiPriority w:val="0"/>
    <w:qFormat/>
    <w:pPr>
      <w:ind w:left="3360"/>
    </w:pPr>
    <w:rPr>
      <w:rFonts w:ascii="Calibri" w:hAnsi="Calibri" w:eastAsia="楷体_GB2312" w:cs="Times New Roman"/>
      <w:sz w:val="26"/>
      <w:szCs w:val="20"/>
    </w:rPr>
  </w:style>
  <w:style w:type="paragraph" w:styleId="755">
    <w:name w:val="table of figures"/>
    <w:basedOn w:val="710"/>
    <w:next w:val="710"/>
    <w:uiPriority w:val="0"/>
    <w:qFormat/>
    <w:pPr>
      <w:ind w:left="420" w:hanging="420"/>
      <w:jc w:val="left"/>
    </w:pPr>
    <w:rPr>
      <w:rFonts w:ascii="Calibri" w:hAnsi="Calibri" w:eastAsia="楷体_GB2312" w:cs="Times New Roman"/>
      <w:smallCaps/>
      <w:sz w:val="24"/>
      <w:szCs w:val="20"/>
    </w:rPr>
  </w:style>
  <w:style w:type="paragraph" w:styleId="756">
    <w:name w:val="toc 2"/>
    <w:basedOn w:val="710"/>
    <w:next w:val="710"/>
    <w:uiPriority w:val="0"/>
    <w:qFormat/>
    <w:pPr>
      <w:ind w:left="420"/>
    </w:pPr>
    <w:rPr>
      <w:rFonts w:ascii="Calibri" w:hAnsi="Calibri" w:eastAsia="楷体_GB2312" w:cs="Times New Roman"/>
      <w:sz w:val="26"/>
      <w:szCs w:val="20"/>
    </w:rPr>
  </w:style>
  <w:style w:type="paragraph" w:styleId="757">
    <w:name w:val="toc 9"/>
    <w:basedOn w:val="710"/>
    <w:next w:val="710"/>
    <w:uiPriority w:val="0"/>
    <w:qFormat/>
    <w:pPr>
      <w:ind w:left="3360"/>
    </w:pPr>
    <w:rPr>
      <w:rFonts w:ascii="Calibri" w:hAnsi="Calibri" w:eastAsia="楷体_GB2312" w:cs="Times New Roman"/>
      <w:sz w:val="26"/>
      <w:szCs w:val="20"/>
    </w:rPr>
  </w:style>
  <w:style w:type="paragraph" w:styleId="758">
    <w:name w:val="HTML Preformatted"/>
    <w:basedOn w:val="710"/>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59">
    <w:name w:val="Normal (Web)"/>
    <w:basedOn w:val="710"/>
    <w:uiPriority w:val="99"/>
    <w:qFormat/>
    <w:pPr>
      <w:jc w:val="left"/>
      <w:spacing w:before="100" w:beforeAutospacing="1" w:after="100" w:afterAutospacing="1"/>
    </w:pPr>
    <w:rPr>
      <w:rFonts w:ascii="Calibri" w:hAnsi="Calibri" w:eastAsia="楷体_GB2312" w:cs="Times New Roman"/>
      <w:sz w:val="24"/>
    </w:rPr>
  </w:style>
  <w:style w:type="paragraph" w:styleId="760">
    <w:name w:val="index 2"/>
    <w:basedOn w:val="710"/>
    <w:next w:val="710"/>
    <w:uiPriority w:val="0"/>
    <w:qFormat/>
    <w:pPr>
      <w:ind w:left="420"/>
    </w:pPr>
    <w:rPr>
      <w:rFonts w:ascii="Calibri" w:hAnsi="Calibri" w:eastAsia="楷体_GB2312" w:cs="Times New Roman"/>
      <w:sz w:val="26"/>
      <w:szCs w:val="20"/>
    </w:rPr>
  </w:style>
  <w:style w:type="paragraph" w:styleId="761">
    <w:name w:val="Title"/>
    <w:basedOn w:val="710"/>
    <w:next w:val="710"/>
    <w:link w:val="951"/>
    <w:uiPriority w:val="0"/>
    <w:qFormat/>
    <w:pPr>
      <w:jc w:val="center"/>
      <w:spacing w:before="240" w:after="60"/>
      <w:outlineLvl w:val="0"/>
    </w:pPr>
    <w:rPr>
      <w:rFonts w:ascii="Cambria" w:hAnsi="Cambria" w:eastAsia="宋体" w:cs="Times New Roman"/>
      <w:b/>
      <w:bCs/>
      <w:sz w:val="32"/>
      <w:szCs w:val="32"/>
    </w:rPr>
  </w:style>
  <w:style w:type="paragraph" w:styleId="762">
    <w:name w:val="annotation subject"/>
    <w:basedOn w:val="728"/>
    <w:next w:val="728"/>
    <w:link w:val="952"/>
    <w:uiPriority w:val="99"/>
    <w:qFormat/>
    <w:rPr>
      <w:b/>
      <w:bCs/>
    </w:rPr>
  </w:style>
  <w:style w:type="paragraph" w:styleId="763">
    <w:name w:val="Body Text First Indent 2"/>
    <w:basedOn w:val="731"/>
    <w:link w:val="953"/>
    <w:uiPriority w:val="0"/>
    <w:qFormat/>
    <w:pPr>
      <w:ind w:left="420" w:firstLine="420"/>
      <w:spacing w:after="120" w:line="240" w:lineRule="auto"/>
    </w:pPr>
    <w:rPr>
      <w:rFonts w:ascii="Calibri" w:hAnsi="Calibri" w:eastAsia="楷体_GB2312"/>
      <w:sz w:val="26"/>
    </w:rPr>
  </w:style>
  <w:style w:type="table" w:styleId="764">
    <w:name w:val="Table Grid"/>
    <w:basedOn w:val="7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basedOn w:val="720"/>
    <w:uiPriority w:val="0"/>
    <w:qFormat/>
    <w:rPr>
      <w:b/>
    </w:rPr>
  </w:style>
  <w:style w:type="character" w:styleId="766">
    <w:name w:val="endnote reference"/>
    <w:uiPriority w:val="0"/>
    <w:qFormat/>
    <w:rPr>
      <w:vertAlign w:val="superscript"/>
    </w:rPr>
  </w:style>
  <w:style w:type="character" w:styleId="767">
    <w:name w:val="page number"/>
    <w:basedOn w:val="720"/>
    <w:uiPriority w:val="0"/>
    <w:qFormat/>
  </w:style>
  <w:style w:type="character" w:styleId="768">
    <w:name w:val="FollowedHyperlink"/>
    <w:uiPriority w:val="99"/>
    <w:unhideWhenUsed/>
    <w:qFormat/>
    <w:rPr>
      <w:color w:val="800080"/>
      <w:u w:val="single"/>
    </w:rPr>
  </w:style>
  <w:style w:type="character" w:styleId="769">
    <w:name w:val="Emphasis"/>
    <w:uiPriority w:val="0"/>
    <w:qFormat/>
    <w:rPr>
      <w:i/>
    </w:rPr>
  </w:style>
  <w:style w:type="character" w:styleId="770">
    <w:name w:val="Hyperlink"/>
    <w:uiPriority w:val="0"/>
    <w:unhideWhenUsed/>
    <w:qFormat/>
    <w:rPr>
      <w:color w:val="0000ff"/>
      <w:u w:val="single"/>
    </w:rPr>
  </w:style>
  <w:style w:type="character" w:styleId="771">
    <w:name w:val="annotation reference"/>
    <w:uiPriority w:val="99"/>
    <w:qFormat/>
    <w:rPr>
      <w:sz w:val="21"/>
      <w:szCs w:val="21"/>
    </w:rPr>
  </w:style>
  <w:style w:type="character" w:styleId="772">
    <w:name w:val="footnote reference"/>
    <w:uiPriority w:val="0"/>
    <w:qFormat/>
    <w:rPr>
      <w:vertAlign w:val="superscript"/>
    </w:rPr>
  </w:style>
  <w:style w:type="table" w:styleId="773" w:customStyle="1">
    <w:name w:val="无格式表格 11"/>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7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7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7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网格表 2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网格表 31"/>
    <w:basedOn w:val="7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网格表 41"/>
    <w:basedOn w:val="7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网格表 5 深色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网格表 6 彩色1"/>
    <w:basedOn w:val="7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网格表 7 彩色1"/>
    <w:basedOn w:val="7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清单表 1 浅色1"/>
    <w:basedOn w:val="7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清单表 21"/>
    <w:basedOn w:val="7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清单表 3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41"/>
    <w:basedOn w:val="7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清单表 5 深色1"/>
    <w:basedOn w:val="7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清单表 6 彩色1"/>
    <w:basedOn w:val="7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清单表 7 彩色1"/>
    <w:basedOn w:val="7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2" w:customStyle="1">
    <w:name w:val="TOC 标题1"/>
    <w:uiPriority w:val="39"/>
    <w:unhideWhenUsed/>
    <w:qFormat/>
    <w:rPr>
      <w:rFonts w:ascii="Times New Roman" w:hAnsi="Times New Roman" w:eastAsia="宋体" w:cs="Times New Roman"/>
      <w:lang w:val="en-US" w:eastAsia="zh-CN" w:bidi="ar-SA"/>
    </w:rPr>
  </w:style>
  <w:style w:type="character" w:styleId="793" w:customStyle="1">
    <w:name w:val="Heading 7 Char"/>
    <w:basedOn w:val="720"/>
    <w:uiPriority w:val="9"/>
    <w:qFormat/>
    <w:rPr>
      <w:rFonts w:ascii="Arial" w:hAnsi="Arial" w:eastAsia="Arial" w:cs="Arial"/>
      <w:b/>
      <w:bCs/>
      <w:i/>
      <w:iCs/>
      <w:sz w:val="22"/>
      <w:szCs w:val="22"/>
    </w:rPr>
  </w:style>
  <w:style w:type="character" w:styleId="794" w:customStyle="1">
    <w:name w:val="Heading 8 Char"/>
    <w:basedOn w:val="720"/>
    <w:uiPriority w:val="9"/>
    <w:qFormat/>
    <w:rPr>
      <w:rFonts w:ascii="Arial" w:hAnsi="Arial" w:eastAsia="Arial" w:cs="Arial"/>
      <w:i/>
      <w:iCs/>
      <w:sz w:val="22"/>
      <w:szCs w:val="22"/>
    </w:rPr>
  </w:style>
  <w:style w:type="character" w:styleId="795" w:customStyle="1">
    <w:name w:val="Heading 9 Char"/>
    <w:basedOn w:val="720"/>
    <w:uiPriority w:val="9"/>
    <w:qFormat/>
    <w:rPr>
      <w:rFonts w:ascii="Arial" w:hAnsi="Arial" w:eastAsia="Arial" w:cs="Arial"/>
      <w:i/>
      <w:iCs/>
      <w:sz w:val="21"/>
      <w:szCs w:val="21"/>
    </w:rPr>
  </w:style>
  <w:style w:type="character" w:styleId="796" w:customStyle="1">
    <w:name w:val="Quote Char"/>
    <w:uiPriority w:val="29"/>
    <w:qFormat/>
    <w:rPr>
      <w:i/>
    </w:rPr>
  </w:style>
  <w:style w:type="character" w:styleId="797" w:customStyle="1">
    <w:name w:val="Intense Quote Char"/>
    <w:uiPriority w:val="30"/>
    <w:qFormat/>
    <w:rPr>
      <w:i/>
    </w:rPr>
  </w:style>
  <w:style w:type="paragraph" w:styleId="798" w:customStyle="1">
    <w:name w:val="TOC 标题111"/>
    <w:uiPriority w:val="39"/>
    <w:unhideWhenUsed/>
    <w:qFormat/>
    <w:rPr>
      <w:rFonts w:ascii="Times New Roman" w:hAnsi="Times New Roman" w:eastAsia="宋体" w:cs="Times New Roman"/>
      <w:lang w:val="en-US" w:eastAsia="zh-CN" w:bidi="ar-SA"/>
    </w:rPr>
  </w:style>
  <w:style w:type="character" w:styleId="799" w:customStyle="1">
    <w:name w:val="Heading 1 Char"/>
    <w:basedOn w:val="720"/>
    <w:uiPriority w:val="9"/>
    <w:qFormat/>
    <w:rPr>
      <w:rFonts w:ascii="Arial" w:hAnsi="Arial" w:eastAsia="Arial" w:cs="Arial"/>
      <w:sz w:val="40"/>
      <w:szCs w:val="40"/>
    </w:rPr>
  </w:style>
  <w:style w:type="character" w:styleId="800" w:customStyle="1">
    <w:name w:val="Heading 2 Char"/>
    <w:basedOn w:val="720"/>
    <w:uiPriority w:val="9"/>
    <w:qFormat/>
    <w:rPr>
      <w:rFonts w:ascii="Arial" w:hAnsi="Arial" w:eastAsia="Arial" w:cs="Arial"/>
      <w:sz w:val="34"/>
    </w:rPr>
  </w:style>
  <w:style w:type="character" w:styleId="801" w:customStyle="1">
    <w:name w:val="Heading 3 Char"/>
    <w:basedOn w:val="720"/>
    <w:uiPriority w:val="9"/>
    <w:qFormat/>
    <w:rPr>
      <w:rFonts w:ascii="Arial" w:hAnsi="Arial" w:eastAsia="Arial" w:cs="Arial"/>
      <w:sz w:val="30"/>
      <w:szCs w:val="30"/>
    </w:rPr>
  </w:style>
  <w:style w:type="character" w:styleId="802" w:customStyle="1">
    <w:name w:val="Heading 4 Char"/>
    <w:basedOn w:val="720"/>
    <w:uiPriority w:val="9"/>
    <w:qFormat/>
    <w:rPr>
      <w:rFonts w:ascii="Arial" w:hAnsi="Arial" w:eastAsia="Arial" w:cs="Arial"/>
      <w:b/>
      <w:bCs/>
      <w:sz w:val="26"/>
      <w:szCs w:val="26"/>
    </w:rPr>
  </w:style>
  <w:style w:type="character" w:styleId="803" w:customStyle="1">
    <w:name w:val="Heading 5 Char"/>
    <w:basedOn w:val="720"/>
    <w:uiPriority w:val="9"/>
    <w:qFormat/>
    <w:rPr>
      <w:rFonts w:ascii="Arial" w:hAnsi="Arial" w:eastAsia="Arial" w:cs="Arial"/>
      <w:b/>
      <w:bCs/>
      <w:sz w:val="24"/>
      <w:szCs w:val="24"/>
    </w:rPr>
  </w:style>
  <w:style w:type="character" w:styleId="804" w:customStyle="1">
    <w:name w:val="Heading 6 Char"/>
    <w:basedOn w:val="720"/>
    <w:uiPriority w:val="9"/>
    <w:qFormat/>
    <w:rPr>
      <w:rFonts w:ascii="Arial" w:hAnsi="Arial" w:eastAsia="Arial" w:cs="Arial"/>
      <w:b/>
      <w:bCs/>
      <w:sz w:val="22"/>
      <w:szCs w:val="22"/>
    </w:rPr>
  </w:style>
  <w:style w:type="character" w:styleId="805" w:customStyle="1">
    <w:name w:val="标题 7 字符"/>
    <w:basedOn w:val="720"/>
    <w:link w:val="717"/>
    <w:uiPriority w:val="9"/>
    <w:qFormat/>
    <w:rPr>
      <w:rFonts w:ascii="Arial" w:hAnsi="Arial" w:eastAsia="Arial" w:cs="Arial"/>
      <w:b/>
      <w:bCs/>
      <w:i/>
      <w:iCs/>
      <w:sz w:val="22"/>
      <w:szCs w:val="22"/>
    </w:rPr>
  </w:style>
  <w:style w:type="character" w:styleId="806" w:customStyle="1">
    <w:name w:val="标题 8 字符"/>
    <w:basedOn w:val="720"/>
    <w:link w:val="718"/>
    <w:uiPriority w:val="9"/>
    <w:qFormat/>
    <w:rPr>
      <w:rFonts w:ascii="Arial" w:hAnsi="Arial" w:eastAsia="Arial" w:cs="Arial"/>
      <w:i/>
      <w:iCs/>
      <w:sz w:val="22"/>
      <w:szCs w:val="22"/>
    </w:rPr>
  </w:style>
  <w:style w:type="character" w:styleId="807" w:customStyle="1">
    <w:name w:val="标题 9 字符"/>
    <w:basedOn w:val="720"/>
    <w:link w:val="719"/>
    <w:uiPriority w:val="9"/>
    <w:qFormat/>
    <w:rPr>
      <w:rFonts w:ascii="Arial" w:hAnsi="Arial" w:eastAsia="Arial" w:cs="Arial"/>
      <w:i/>
      <w:iCs/>
      <w:sz w:val="21"/>
      <w:szCs w:val="21"/>
    </w:rPr>
  </w:style>
  <w:style w:type="paragraph" w:styleId="808">
    <w:name w:val="No Spacing"/>
    <w:uiPriority w:val="1"/>
    <w:qFormat/>
    <w:rPr>
      <w:rFonts w:ascii="Times New Roman" w:hAnsi="Times New Roman" w:eastAsia="宋体" w:cs="Times New Roman"/>
      <w:lang w:val="en-US" w:eastAsia="zh-CN" w:bidi="ar-SA"/>
    </w:rPr>
  </w:style>
  <w:style w:type="character" w:styleId="809" w:customStyle="1">
    <w:name w:val="Title Char"/>
    <w:basedOn w:val="720"/>
    <w:uiPriority w:val="10"/>
    <w:qFormat/>
    <w:rPr>
      <w:sz w:val="48"/>
      <w:szCs w:val="48"/>
    </w:rPr>
  </w:style>
  <w:style w:type="character" w:styleId="810" w:customStyle="1">
    <w:name w:val="Subtitle Char"/>
    <w:basedOn w:val="720"/>
    <w:uiPriority w:val="11"/>
    <w:qFormat/>
    <w:rPr>
      <w:sz w:val="24"/>
      <w:szCs w:val="24"/>
    </w:rPr>
  </w:style>
  <w:style w:type="paragraph" w:styleId="811">
    <w:name w:val="Quote"/>
    <w:basedOn w:val="710"/>
    <w:next w:val="710"/>
    <w:link w:val="812"/>
    <w:uiPriority w:val="29"/>
    <w:qFormat/>
    <w:pPr>
      <w:ind w:left="720" w:right="720"/>
    </w:pPr>
    <w:rPr>
      <w:i/>
    </w:rPr>
  </w:style>
  <w:style w:type="character" w:styleId="812" w:customStyle="1">
    <w:name w:val="引用 字符"/>
    <w:link w:val="811"/>
    <w:uiPriority w:val="29"/>
    <w:qFormat/>
    <w:rPr>
      <w:i/>
    </w:rPr>
  </w:style>
  <w:style w:type="paragraph" w:styleId="813">
    <w:name w:val="Intense Quote"/>
    <w:basedOn w:val="710"/>
    <w:next w:val="710"/>
    <w:link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明显引用 字符"/>
    <w:link w:val="813"/>
    <w:uiPriority w:val="30"/>
    <w:qFormat/>
    <w:rPr>
      <w:i/>
    </w:rPr>
  </w:style>
  <w:style w:type="character" w:styleId="815" w:customStyle="1">
    <w:name w:val="Header Char"/>
    <w:basedOn w:val="720"/>
    <w:uiPriority w:val="99"/>
    <w:qFormat/>
  </w:style>
  <w:style w:type="character" w:styleId="816" w:customStyle="1">
    <w:name w:val="Footer Char"/>
    <w:basedOn w:val="720"/>
    <w:uiPriority w:val="99"/>
    <w:qFormat/>
  </w:style>
  <w:style w:type="character" w:styleId="817" w:customStyle="1">
    <w:name w:val="Caption Char"/>
    <w:uiPriority w:val="99"/>
    <w:qFormat/>
  </w:style>
  <w:style w:type="table" w:styleId="818" w:customStyle="1">
    <w:name w:val="Table Grid Light"/>
    <w:basedOn w:val="7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9" w:customStyle="1">
    <w:name w:val="Grid Table 1 Light - Accent 1"/>
    <w:basedOn w:val="7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 Accent 1"/>
    <w:basedOn w:val="7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basedOn w:val="7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basedOn w:val="7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basedOn w:val="7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basedOn w:val="7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basedOn w:val="7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 Accent 1"/>
    <w:basedOn w:val="7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 Accent 1"/>
    <w:basedOn w:val="7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Accent 1"/>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basedOn w:val="7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 Accent 1"/>
    <w:basedOn w:val="7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basedOn w:val="7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basedOn w:val="7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basedOn w:val="7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basedOn w:val="7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basedOn w:val="7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 Accent 1"/>
    <w:basedOn w:val="7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basedOn w:val="7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basedOn w:val="7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basedOn w:val="7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basedOn w:val="7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basedOn w:val="7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 Accent 1"/>
    <w:basedOn w:val="7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2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2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2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 Accent 1"/>
    <w:basedOn w:val="7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 Accent 1"/>
    <w:basedOn w:val="7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4" w:customStyle="1">
    <w:name w:val="List Table 3 - Accent 2"/>
    <w:basedOn w:val="7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5" w:customStyle="1">
    <w:name w:val="List Table 3 - Accent 3"/>
    <w:basedOn w:val="7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6" w:customStyle="1">
    <w:name w:val="List Table 3 - Accent 4"/>
    <w:basedOn w:val="7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7" w:customStyle="1">
    <w:name w:val="List Table 3 - Accent 5"/>
    <w:basedOn w:val="7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8" w:customStyle="1">
    <w:name w:val="List Table 3 - Accent 6"/>
    <w:basedOn w:val="7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9" w:customStyle="1">
    <w:name w:val="List Table 4 - Accent 1"/>
    <w:basedOn w:val="7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basedOn w:val="7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basedOn w:val="7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basedOn w:val="7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basedOn w:val="7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basedOn w:val="7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 Accent 1"/>
    <w:basedOn w:val="7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basedOn w:val="7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basedOn w:val="7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basedOn w:val="7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basedOn w:val="7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basedOn w:val="7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 Accent 1"/>
    <w:basedOn w:val="72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2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2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 Accent 1"/>
    <w:basedOn w:val="72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2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2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2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2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2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uiPriority w:val="99"/>
    <w:qFormat/>
    <w:rPr>
      <w:sz w:val="18"/>
    </w:rPr>
  </w:style>
  <w:style w:type="character" w:styleId="925" w:customStyle="1">
    <w:name w:val="Endnote Text Char"/>
    <w:uiPriority w:val="99"/>
    <w:qFormat/>
    <w:rPr>
      <w:sz w:val="20"/>
    </w:rPr>
  </w:style>
  <w:style w:type="paragraph" w:styleId="926" w:customStyle="1">
    <w:name w:val="TOC 标题11"/>
    <w:uiPriority w:val="39"/>
    <w:unhideWhenUsed/>
    <w:qFormat/>
    <w:rPr>
      <w:rFonts w:ascii="Times New Roman" w:hAnsi="Times New Roman" w:eastAsia="宋体" w:cs="Times New Roman"/>
      <w:lang w:val="en-US" w:eastAsia="zh-CN" w:bidi="ar-SA"/>
    </w:rPr>
  </w:style>
  <w:style w:type="paragraph" w:styleId="927" w:customStyle="1">
    <w:name w:val="段"/>
    <w:next w:val="710"/>
    <w:uiPriority w:val="0"/>
    <w:qFormat/>
    <w:pPr>
      <w:ind w:firstLine="200"/>
      <w:jc w:val="both"/>
    </w:pPr>
    <w:rPr>
      <w:rFonts w:ascii="宋体" w:hAnsi="Times New Roman" w:eastAsia="宋体" w:cs="宋体"/>
      <w:sz w:val="21"/>
      <w:szCs w:val="21"/>
      <w:lang w:val="en-US" w:eastAsia="zh-CN" w:bidi="ar-SA"/>
    </w:rPr>
  </w:style>
  <w:style w:type="paragraph" w:styleId="928" w:customStyle="1">
    <w:name w:val="首行缩进"/>
    <w:basedOn w:val="710"/>
    <w:uiPriority w:val="0"/>
    <w:qFormat/>
    <w:pPr>
      <w:ind w:firstLine="480"/>
    </w:pPr>
    <w:rPr>
      <w:rFonts w:ascii="Calibri" w:hAnsi="Calibri" w:eastAsia="宋体" w:cs="Times New Roman"/>
      <w:szCs w:val="20"/>
      <w:lang w:val="zh-CN"/>
    </w:rPr>
  </w:style>
  <w:style w:type="character" w:styleId="929" w:customStyle="1">
    <w:name w:val="标题 1 字符"/>
    <w:basedOn w:val="720"/>
    <w:link w:val="711"/>
    <w:uiPriority w:val="0"/>
    <w:qFormat/>
    <w:rPr>
      <w:rFonts w:ascii="Calibri" w:hAnsi="Calibri" w:eastAsia="楷体_GB2312" w:cs="Times New Roman"/>
      <w:b/>
      <w:sz w:val="44"/>
      <w:szCs w:val="20"/>
    </w:rPr>
  </w:style>
  <w:style w:type="character" w:styleId="930" w:customStyle="1">
    <w:name w:val="标题 2 字符"/>
    <w:basedOn w:val="720"/>
    <w:link w:val="712"/>
    <w:uiPriority w:val="0"/>
    <w:qFormat/>
    <w:rPr>
      <w:rFonts w:ascii="宋体" w:hAnsi="宋体" w:eastAsia="楷体_GB2312" w:cs="Times New Roman"/>
      <w:b/>
      <w:sz w:val="26"/>
      <w:szCs w:val="20"/>
    </w:rPr>
  </w:style>
  <w:style w:type="character" w:styleId="931" w:customStyle="1">
    <w:name w:val="标题 3 字符"/>
    <w:basedOn w:val="720"/>
    <w:link w:val="713"/>
    <w:uiPriority w:val="0"/>
    <w:qFormat/>
    <w:rPr>
      <w:rFonts w:ascii="Calibri" w:hAnsi="Calibri" w:eastAsia="楷体_GB2312" w:cs="Times New Roman"/>
      <w:b/>
      <w:sz w:val="26"/>
      <w:szCs w:val="20"/>
    </w:rPr>
  </w:style>
  <w:style w:type="character" w:styleId="932" w:customStyle="1">
    <w:name w:val="标题 4 字符"/>
    <w:basedOn w:val="720"/>
    <w:link w:val="714"/>
    <w:uiPriority w:val="0"/>
    <w:qFormat/>
    <w:rPr>
      <w:rFonts w:ascii="Arial" w:hAnsi="Arial" w:eastAsia="黑体" w:cs="Times New Roman"/>
      <w:b/>
      <w:bCs/>
      <w:sz w:val="28"/>
      <w:szCs w:val="28"/>
    </w:rPr>
  </w:style>
  <w:style w:type="character" w:styleId="933" w:customStyle="1">
    <w:name w:val="标题 5 字符"/>
    <w:basedOn w:val="720"/>
    <w:link w:val="715"/>
    <w:uiPriority w:val="0"/>
    <w:qFormat/>
    <w:rPr>
      <w:rFonts w:ascii="宋体" w:hAnsi="宋体" w:eastAsia="宋体" w:cs="Times New Roman"/>
      <w:color w:val="000000"/>
      <w:sz w:val="28"/>
      <w:szCs w:val="20"/>
    </w:rPr>
  </w:style>
  <w:style w:type="character" w:styleId="934" w:customStyle="1">
    <w:name w:val="标题 6 字符"/>
    <w:basedOn w:val="720"/>
    <w:link w:val="716"/>
    <w:uiPriority w:val="0"/>
    <w:qFormat/>
    <w:rPr>
      <w:rFonts w:ascii="宋体" w:hAnsi="宋体" w:eastAsia="宋体" w:cs="Times New Roman"/>
      <w:sz w:val="28"/>
      <w:szCs w:val="20"/>
    </w:rPr>
  </w:style>
  <w:style w:type="character" w:styleId="935" w:customStyle="1">
    <w:name w:val="正文缩进 字符"/>
    <w:link w:val="724"/>
    <w:uiPriority w:val="0"/>
    <w:qFormat/>
    <w:rPr>
      <w:rFonts w:ascii="Calibri" w:hAnsi="Calibri" w:eastAsia="楷体_GB2312" w:cs="Times New Roman"/>
      <w:sz w:val="24"/>
      <w:szCs w:val="20"/>
    </w:rPr>
  </w:style>
  <w:style w:type="character" w:styleId="936" w:customStyle="1">
    <w:name w:val="文档结构图 字符"/>
    <w:basedOn w:val="720"/>
    <w:link w:val="727"/>
    <w:uiPriority w:val="0"/>
    <w:qFormat/>
    <w:rPr>
      <w:rFonts w:ascii="Calibri" w:hAnsi="Calibri" w:eastAsia="楷体_GB2312" w:cs="Times New Roman"/>
      <w:sz w:val="26"/>
      <w:szCs w:val="20"/>
      <w:shd w:val="clear" w:color="auto" w:fill="000080"/>
    </w:rPr>
  </w:style>
  <w:style w:type="character" w:styleId="937" w:customStyle="1">
    <w:name w:val="批注文字 字符"/>
    <w:basedOn w:val="720"/>
    <w:link w:val="728"/>
    <w:uiPriority w:val="0"/>
    <w:qFormat/>
    <w:rPr>
      <w:rFonts w:ascii="Calibri" w:hAnsi="Calibri" w:eastAsia="楷体_GB2312" w:cs="Times New Roman"/>
      <w:sz w:val="26"/>
      <w:szCs w:val="20"/>
    </w:rPr>
  </w:style>
  <w:style w:type="character" w:styleId="938" w:customStyle="1">
    <w:name w:val="正文文本 字符"/>
    <w:basedOn w:val="720"/>
    <w:link w:val="730"/>
    <w:uiPriority w:val="0"/>
    <w:qFormat/>
    <w:rPr>
      <w:rFonts w:ascii="楷体_GB2312" w:hAnsi="Calibri" w:eastAsia="楷体_GB2312" w:cs="Times New Roman"/>
      <w:sz w:val="28"/>
      <w:szCs w:val="20"/>
    </w:rPr>
  </w:style>
  <w:style w:type="character" w:styleId="939" w:customStyle="1">
    <w:name w:val="正文文本缩进 字符"/>
    <w:basedOn w:val="720"/>
    <w:link w:val="731"/>
    <w:uiPriority w:val="99"/>
    <w:qFormat/>
    <w:rPr>
      <w:rFonts w:ascii="方正仿宋简体" w:hAnsi="创艺简仿宋" w:eastAsia="方正仿宋简体" w:cs="Times New Roman"/>
      <w:sz w:val="24"/>
      <w:szCs w:val="20"/>
    </w:rPr>
  </w:style>
  <w:style w:type="character" w:styleId="940" w:customStyle="1">
    <w:name w:val="纯文本 字符"/>
    <w:basedOn w:val="720"/>
    <w:link w:val="736"/>
    <w:uiPriority w:val="0"/>
    <w:qFormat/>
    <w:rPr>
      <w:rFonts w:ascii="宋体" w:hAnsi="Courier New" w:eastAsia="楷体_GB2312" w:cs="Times New Roman"/>
      <w:sz w:val="26"/>
      <w:szCs w:val="20"/>
    </w:rPr>
  </w:style>
  <w:style w:type="character" w:styleId="941" w:customStyle="1">
    <w:name w:val="日期 字符"/>
    <w:basedOn w:val="720"/>
    <w:link w:val="739"/>
    <w:uiPriority w:val="0"/>
    <w:qFormat/>
    <w:rPr>
      <w:rFonts w:ascii="宋体" w:hAnsi="宋体" w:eastAsia="楷体_GB2312" w:cs="Times New Roman"/>
      <w:sz w:val="24"/>
      <w:szCs w:val="20"/>
    </w:rPr>
  </w:style>
  <w:style w:type="character" w:styleId="942" w:customStyle="1">
    <w:name w:val="正文文本缩进 2 字符"/>
    <w:basedOn w:val="720"/>
    <w:link w:val="740"/>
    <w:uiPriority w:val="0"/>
    <w:qFormat/>
    <w:rPr>
      <w:rFonts w:ascii="宋体" w:hAnsi="Calibri" w:eastAsia="宋体" w:cs="Times New Roman"/>
      <w:b/>
      <w:bCs/>
      <w:sz w:val="24"/>
      <w:szCs w:val="20"/>
    </w:rPr>
  </w:style>
  <w:style w:type="character" w:styleId="943" w:customStyle="1">
    <w:name w:val="尾注文本 字符"/>
    <w:basedOn w:val="720"/>
    <w:link w:val="741"/>
    <w:uiPriority w:val="0"/>
    <w:qFormat/>
    <w:rPr>
      <w:rFonts w:ascii="Calibri" w:hAnsi="Calibri" w:eastAsia="楷体_GB2312" w:cs="Times New Roman"/>
      <w:sz w:val="26"/>
      <w:szCs w:val="20"/>
    </w:rPr>
  </w:style>
  <w:style w:type="character" w:styleId="944" w:customStyle="1">
    <w:name w:val="批注框文本 字符"/>
    <w:basedOn w:val="720"/>
    <w:link w:val="742"/>
    <w:uiPriority w:val="99"/>
    <w:qFormat/>
    <w:rPr>
      <w:rFonts w:ascii="Calibri" w:hAnsi="Calibri" w:eastAsia="楷体_GB2312" w:cs="Times New Roman"/>
      <w:sz w:val="18"/>
      <w:szCs w:val="18"/>
    </w:rPr>
  </w:style>
  <w:style w:type="character" w:styleId="945" w:customStyle="1">
    <w:name w:val="页脚 字符"/>
    <w:basedOn w:val="720"/>
    <w:link w:val="743"/>
    <w:uiPriority w:val="99"/>
    <w:qFormat/>
    <w:rPr>
      <w:rFonts w:ascii="Calibri" w:hAnsi="Calibri" w:eastAsia="楷体_GB2312" w:cs="Times New Roman"/>
      <w:sz w:val="18"/>
      <w:szCs w:val="20"/>
    </w:rPr>
  </w:style>
  <w:style w:type="character" w:styleId="946" w:customStyle="1">
    <w:name w:val="页眉 字符"/>
    <w:basedOn w:val="720"/>
    <w:link w:val="744"/>
    <w:uiPriority w:val="99"/>
    <w:qFormat/>
    <w:rPr>
      <w:rFonts w:ascii="Calibri" w:hAnsi="Calibri" w:eastAsia="楷体_GB2312" w:cs="Times New Roman"/>
      <w:sz w:val="18"/>
      <w:szCs w:val="20"/>
    </w:rPr>
  </w:style>
  <w:style w:type="character" w:styleId="947" w:customStyle="1">
    <w:name w:val="副标题 字符"/>
    <w:basedOn w:val="720"/>
    <w:link w:val="749"/>
    <w:uiPriority w:val="0"/>
    <w:qFormat/>
    <w:rPr>
      <w:rFonts w:ascii="Cambria" w:hAnsi="Cambria" w:eastAsia="宋体" w:cs="Times New Roman"/>
      <w:b/>
      <w:bCs/>
      <w:sz w:val="24"/>
      <w:szCs w:val="32"/>
    </w:rPr>
  </w:style>
  <w:style w:type="character" w:styleId="948" w:customStyle="1">
    <w:name w:val="脚注文本 字符"/>
    <w:basedOn w:val="720"/>
    <w:link w:val="750"/>
    <w:uiPriority w:val="0"/>
    <w:qFormat/>
    <w:rPr>
      <w:rFonts w:ascii="Calibri" w:hAnsi="Calibri" w:eastAsia="楷体_GB2312" w:cs="Times New Roman"/>
      <w:sz w:val="18"/>
      <w:szCs w:val="20"/>
    </w:rPr>
  </w:style>
  <w:style w:type="character" w:styleId="949" w:customStyle="1">
    <w:name w:val="正文文本缩进 3 字符"/>
    <w:basedOn w:val="720"/>
    <w:link w:val="752"/>
    <w:uiPriority w:val="0"/>
    <w:qFormat/>
    <w:rPr>
      <w:rFonts w:ascii="Calibri" w:hAnsi="Calibri" w:eastAsia="宋体" w:cs="Times New Roman"/>
      <w:sz w:val="24"/>
      <w:szCs w:val="24"/>
    </w:rPr>
  </w:style>
  <w:style w:type="character" w:styleId="950" w:customStyle="1">
    <w:name w:val="HTML 预设格式 字符"/>
    <w:basedOn w:val="720"/>
    <w:link w:val="758"/>
    <w:uiPriority w:val="0"/>
    <w:qFormat/>
    <w:rPr>
      <w:rFonts w:ascii="黑体" w:hAnsi="Courier New" w:eastAsia="黑体" w:cs="Times New Roman"/>
      <w:sz w:val="20"/>
      <w:szCs w:val="20"/>
    </w:rPr>
  </w:style>
  <w:style w:type="character" w:styleId="951" w:customStyle="1">
    <w:name w:val="标题 字符"/>
    <w:basedOn w:val="720"/>
    <w:link w:val="761"/>
    <w:uiPriority w:val="0"/>
    <w:qFormat/>
    <w:rPr>
      <w:rFonts w:ascii="Cambria" w:hAnsi="Cambria" w:eastAsia="宋体" w:cs="Times New Roman"/>
      <w:b/>
      <w:bCs/>
      <w:sz w:val="32"/>
      <w:szCs w:val="32"/>
    </w:rPr>
  </w:style>
  <w:style w:type="character" w:styleId="952" w:customStyle="1">
    <w:name w:val="批注主题 字符"/>
    <w:basedOn w:val="937"/>
    <w:link w:val="762"/>
    <w:uiPriority w:val="99"/>
    <w:qFormat/>
    <w:rPr>
      <w:rFonts w:ascii="Calibri" w:hAnsi="Calibri" w:eastAsia="楷体_GB2312" w:cs="Times New Roman"/>
      <w:b/>
      <w:bCs/>
      <w:sz w:val="26"/>
      <w:szCs w:val="20"/>
    </w:rPr>
  </w:style>
  <w:style w:type="character" w:styleId="953" w:customStyle="1">
    <w:name w:val="正文文本首行缩进 2 字符"/>
    <w:basedOn w:val="939"/>
    <w:link w:val="763"/>
    <w:uiPriority w:val="0"/>
    <w:qFormat/>
    <w:rPr>
      <w:rFonts w:ascii="Calibri" w:hAnsi="Calibri" w:eastAsia="楷体_GB2312" w:cs="Times New Roman"/>
      <w:sz w:val="26"/>
      <w:szCs w:val="20"/>
    </w:rPr>
  </w:style>
  <w:style w:type="character" w:styleId="954" w:customStyle="1">
    <w:name w:val="Plain Text Char Char"/>
    <w:link w:val="955"/>
    <w:uiPriority w:val="0"/>
    <w:qFormat/>
    <w:rPr>
      <w:rFonts w:ascii="宋体" w:hAnsi="Courier New" w:eastAsia="楷体_GB2312"/>
      <w:sz w:val="26"/>
    </w:rPr>
  </w:style>
  <w:style w:type="paragraph" w:styleId="955" w:customStyle="1">
    <w:name w:val="纯文本3"/>
    <w:basedOn w:val="710"/>
    <w:link w:val="954"/>
    <w:uiPriority w:val="0"/>
    <w:qFormat/>
    <w:rPr>
      <w:rFonts w:ascii="宋体" w:hAnsi="Courier New" w:eastAsia="楷体_GB2312"/>
      <w:sz w:val="26"/>
    </w:rPr>
  </w:style>
  <w:style w:type="character" w:styleId="956" w:customStyle="1">
    <w:name w:val="styl81"/>
    <w:uiPriority w:val="0"/>
    <w:qFormat/>
    <w:rPr>
      <w:sz w:val="21"/>
    </w:rPr>
  </w:style>
  <w:style w:type="character" w:styleId="957" w:customStyle="1">
    <w:name w:val="Plain Text Char"/>
    <w:link w:val="958"/>
    <w:uiPriority w:val="0"/>
    <w:qFormat/>
    <w:rPr>
      <w:rFonts w:ascii="宋体" w:hAnsi="Courier New" w:eastAsia="楷体_GB2312"/>
      <w:sz w:val="26"/>
    </w:rPr>
  </w:style>
  <w:style w:type="paragraph" w:styleId="958" w:customStyle="1">
    <w:name w:val="纯文本1"/>
    <w:basedOn w:val="710"/>
    <w:link w:val="957"/>
    <w:uiPriority w:val="0"/>
    <w:qFormat/>
    <w:rPr>
      <w:rFonts w:ascii="宋体" w:hAnsi="Courier New" w:eastAsia="楷体_GB2312"/>
      <w:sz w:val="26"/>
    </w:rPr>
  </w:style>
  <w:style w:type="character" w:styleId="959" w:customStyle="1">
    <w:name w:val="表正文 Char1"/>
    <w:uiPriority w:val="0"/>
    <w:qFormat/>
    <w:rPr>
      <w:rFonts w:eastAsia="楷体_GB2312"/>
      <w:sz w:val="24"/>
      <w:lang w:val="en-US" w:eastAsia="zh-CN" w:bidi="ar-SA"/>
    </w:rPr>
  </w:style>
  <w:style w:type="character" w:styleId="960" w:customStyle="1">
    <w:name w:val="_正文段落 Char"/>
    <w:link w:val="961"/>
    <w:uiPriority w:val="0"/>
    <w:qFormat/>
    <w:rPr>
      <w:rFonts w:ascii="宋体" w:hAnsi="宋体"/>
      <w:sz w:val="24"/>
      <w:szCs w:val="24"/>
    </w:rPr>
  </w:style>
  <w:style w:type="paragraph" w:styleId="961" w:customStyle="1">
    <w:name w:val="_正文段落"/>
    <w:basedOn w:val="710"/>
    <w:link w:val="960"/>
    <w:uiPriority w:val="0"/>
    <w:qFormat/>
    <w:pPr>
      <w:ind w:firstLine="480"/>
      <w:spacing w:line="360" w:lineRule="auto"/>
    </w:pPr>
    <w:rPr>
      <w:rFonts w:ascii="宋体" w:hAnsi="宋体"/>
      <w:sz w:val="24"/>
      <w:szCs w:val="24"/>
    </w:rPr>
  </w:style>
  <w:style w:type="character" w:styleId="962" w:customStyle="1">
    <w:name w:val="Andy_正文 Char"/>
    <w:link w:val="963"/>
    <w:uiPriority w:val="0"/>
    <w:qFormat/>
    <w:rPr>
      <w:sz w:val="24"/>
      <w:szCs w:val="24"/>
    </w:rPr>
  </w:style>
  <w:style w:type="paragraph" w:styleId="963" w:customStyle="1">
    <w:name w:val="Andy_正文"/>
    <w:basedOn w:val="710"/>
    <w:link w:val="962"/>
    <w:uiPriority w:val="0"/>
    <w:qFormat/>
    <w:pPr>
      <w:ind w:firstLine="480"/>
      <w:spacing w:line="360" w:lineRule="auto"/>
    </w:pPr>
    <w:rPr>
      <w:sz w:val="24"/>
      <w:szCs w:val="24"/>
    </w:rPr>
  </w:style>
  <w:style w:type="character" w:styleId="964" w:customStyle="1">
    <w:name w:val="正文缩进 Char1"/>
    <w:uiPriority w:val="0"/>
    <w:qFormat/>
    <w:rPr>
      <w:rFonts w:eastAsia="楷体_GB2312"/>
      <w:sz w:val="24"/>
    </w:rPr>
  </w:style>
  <w:style w:type="character" w:styleId="965" w:customStyle="1">
    <w:name w:val="副标题 Char1"/>
    <w:uiPriority w:val="11"/>
    <w:qFormat/>
    <w:rPr>
      <w:rFonts w:ascii="Cambria" w:hAnsi="Cambria" w:cs="Times New Roman"/>
      <w:b/>
      <w:bCs/>
      <w:sz w:val="32"/>
      <w:szCs w:val="32"/>
    </w:rPr>
  </w:style>
  <w:style w:type="character" w:styleId="966" w:customStyle="1">
    <w:name w:val="Andy_2级 Char"/>
    <w:link w:val="967"/>
    <w:uiPriority w:val="0"/>
    <w:qFormat/>
    <w:rPr>
      <w:sz w:val="24"/>
    </w:rPr>
  </w:style>
  <w:style w:type="paragraph" w:styleId="967" w:customStyle="1">
    <w:name w:val="Andy_2级"/>
    <w:basedOn w:val="710"/>
    <w:link w:val="966"/>
    <w:uiPriority w:val="0"/>
    <w:qFormat/>
    <w:pPr>
      <w:numPr>
        <w:ilvl w:val="1"/>
        <w:numId w:val="1"/>
      </w:numPr>
      <w:spacing w:line="360" w:lineRule="auto"/>
    </w:pPr>
    <w:rPr>
      <w:sz w:val="24"/>
    </w:rPr>
  </w:style>
  <w:style w:type="character" w:styleId="968" w:customStyle="1">
    <w:name w:val="副标题 Char2"/>
    <w:uiPriority w:val="0"/>
    <w:qFormat/>
    <w:rPr>
      <w:rFonts w:ascii="Cambria" w:hAnsi="Cambria" w:cs="Times New Roman"/>
      <w:b/>
      <w:bCs/>
      <w:sz w:val="32"/>
      <w:szCs w:val="32"/>
    </w:rPr>
  </w:style>
  <w:style w:type="character" w:styleId="969" w:customStyle="1">
    <w:name w:val="正文首行缩进 2 Char1"/>
    <w:uiPriority w:val="0"/>
    <w:qFormat/>
    <w:rPr>
      <w:rFonts w:ascii="方正仿宋简体" w:hAnsi="创艺简仿宋" w:eastAsia="楷体_GB2312"/>
      <w:sz w:val="26"/>
    </w:rPr>
  </w:style>
  <w:style w:type="character" w:styleId="970" w:customStyle="1">
    <w:name w:val="ca-221"/>
    <w:uiPriority w:val="0"/>
    <w:qFormat/>
    <w:rPr>
      <w:rFonts w:hint="eastAsia" w:ascii="宋体" w:hAnsi="宋体" w:eastAsia="宋体"/>
      <w:color w:val="ff0000"/>
      <w:sz w:val="24"/>
      <w:szCs w:val="24"/>
    </w:rPr>
  </w:style>
  <w:style w:type="paragraph" w:styleId="971" w:customStyle="1">
    <w:name w:val="纯文本11"/>
    <w:basedOn w:val="710"/>
    <w:uiPriority w:val="0"/>
    <w:qFormat/>
    <w:rPr>
      <w:rFonts w:ascii="宋体" w:hAnsi="Courier New" w:eastAsia="楷体_GB2312" w:cs="Times New Roman"/>
      <w:sz w:val="26"/>
      <w:szCs w:val="20"/>
    </w:rPr>
  </w:style>
  <w:style w:type="paragraph" w:styleId="972" w:customStyle="1">
    <w:name w:val="xl7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73" w:customStyle="1">
    <w:name w:val="xl6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74" w:customStyle="1">
    <w:name w:val="xl7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5" w:customStyle="1">
    <w:name w:val="xl8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76" w:customStyle="1">
    <w:name w:val="纯文本2"/>
    <w:basedOn w:val="710"/>
    <w:uiPriority w:val="0"/>
    <w:qFormat/>
    <w:rPr>
      <w:rFonts w:ascii="宋体" w:hAnsi="Courier New" w:eastAsia="楷体_GB2312" w:cs="Times New Roman"/>
      <w:sz w:val="26"/>
      <w:szCs w:val="20"/>
    </w:rPr>
  </w:style>
  <w:style w:type="paragraph" w:styleId="977" w:customStyle="1">
    <w:name w:val="列出段落2"/>
    <w:basedOn w:val="710"/>
    <w:uiPriority w:val="0"/>
    <w:qFormat/>
    <w:pPr>
      <w:ind w:firstLine="420"/>
    </w:pPr>
    <w:rPr>
      <w:rFonts w:ascii="Calibri" w:hAnsi="Calibri" w:eastAsia="宋体" w:cs="Times New Roman"/>
    </w:rPr>
  </w:style>
  <w:style w:type="paragraph" w:styleId="978" w:customStyle="1">
    <w:name w:val="xl7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9" w:customStyle="1">
    <w:name w:val="xl9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0" w:customStyle="1">
    <w:name w:val="Char Char Char Char"/>
    <w:basedOn w:val="727"/>
    <w:uiPriority w:val="0"/>
    <w:qFormat/>
    <w:pPr>
      <w:ind w:left="357"/>
      <w:jc w:val="left"/>
      <w:spacing w:line="436" w:lineRule="exact"/>
      <w:outlineLvl w:val="3"/>
    </w:pPr>
    <w:rPr>
      <w:rFonts w:ascii="Tahoma" w:hAnsi="Tahoma" w:eastAsia="宋体"/>
      <w:b/>
      <w:sz w:val="24"/>
      <w:szCs w:val="24"/>
    </w:rPr>
  </w:style>
  <w:style w:type="paragraph" w:styleId="981" w:customStyle="1">
    <w:name w:val="列出段落1"/>
    <w:basedOn w:val="710"/>
    <w:uiPriority w:val="0"/>
    <w:qFormat/>
    <w:pPr>
      <w:ind w:firstLine="420"/>
    </w:pPr>
    <w:rPr>
      <w:rFonts w:ascii="Calibri" w:hAnsi="Calibri" w:eastAsia="楷体_GB2312" w:cs="Times New Roman"/>
      <w:sz w:val="26"/>
      <w:szCs w:val="20"/>
    </w:rPr>
  </w:style>
  <w:style w:type="paragraph" w:styleId="982" w:customStyle="1">
    <w:name w:val="xl7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83" w:customStyle="1">
    <w:name w:val="纯文本4"/>
    <w:basedOn w:val="710"/>
    <w:uiPriority w:val="0"/>
    <w:qFormat/>
    <w:rPr>
      <w:rFonts w:ascii="宋体" w:hAnsi="Courier New" w:eastAsia="楷体_GB2312" w:cs="Times New Roman"/>
      <w:sz w:val="26"/>
      <w:szCs w:val="20"/>
    </w:rPr>
  </w:style>
  <w:style w:type="paragraph" w:styleId="984" w:customStyle="1">
    <w:name w:val="xl9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5" w:customStyle="1">
    <w:name w:val="xl66"/>
    <w:basedOn w:val="71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6" w:customStyle="1">
    <w:name w:val="xl94"/>
    <w:basedOn w:val="710"/>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87" w:customStyle="1">
    <w:name w:val="Char Char3"/>
    <w:basedOn w:val="710"/>
    <w:uiPriority w:val="0"/>
    <w:qFormat/>
    <w:pPr>
      <w:jc w:val="left"/>
      <w:spacing w:after="160" w:line="240" w:lineRule="exact"/>
      <w:widowControl/>
    </w:pPr>
    <w:rPr>
      <w:rFonts w:ascii="Calibri" w:hAnsi="Calibri" w:eastAsia="宋体" w:cs="Times New Roman"/>
      <w:sz w:val="24"/>
      <w:szCs w:val="24"/>
    </w:rPr>
  </w:style>
  <w:style w:type="paragraph" w:styleId="988" w:customStyle="1">
    <w:name w:val="xl9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89" w:customStyle="1">
    <w:name w:val="xl8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90" w:customStyle="1">
    <w:name w:val="q3"/>
    <w:basedOn w:val="710"/>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91" w:customStyle="1">
    <w:name w:val="xl9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2" w:customStyle="1">
    <w:name w:val="Char Char Char"/>
    <w:basedOn w:val="710"/>
    <w:uiPriority w:val="0"/>
    <w:qFormat/>
    <w:pPr>
      <w:numPr>
        <w:ilvl w:val="0"/>
        <w:numId w:val="2"/>
      </w:numPr>
    </w:pPr>
    <w:rPr>
      <w:rFonts w:ascii="Calibri" w:hAnsi="Calibri" w:eastAsia="宋体" w:cs="Times New Roman"/>
      <w:sz w:val="24"/>
      <w:szCs w:val="24"/>
    </w:rPr>
  </w:style>
  <w:style w:type="paragraph" w:styleId="993" w:customStyle="1">
    <w:name w:val="xl8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4" w:customStyle="1">
    <w:name w:val="修订1"/>
    <w:uiPriority w:val="99"/>
    <w:unhideWhenUsed/>
    <w:qFormat/>
    <w:rPr>
      <w:rFonts w:ascii="Calibri" w:hAnsi="Calibri" w:eastAsia="楷体_GB2312" w:cs="Times New Roman"/>
      <w:sz w:val="26"/>
      <w:lang w:val="en-US" w:eastAsia="zh-CN" w:bidi="ar-SA"/>
    </w:rPr>
  </w:style>
  <w:style w:type="paragraph" w:styleId="995" w:customStyle="1">
    <w:name w:val="xl7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96"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97" w:customStyle="1">
    <w:name w:val="纯文本111"/>
    <w:basedOn w:val="710"/>
    <w:uiPriority w:val="0"/>
    <w:qFormat/>
    <w:rPr>
      <w:rFonts w:ascii="宋体" w:hAnsi="Courier New" w:eastAsia="楷体_GB2312" w:cs="Times New Roman"/>
      <w:sz w:val="26"/>
      <w:szCs w:val="20"/>
    </w:rPr>
  </w:style>
  <w:style w:type="paragraph" w:styleId="998" w:customStyle="1">
    <w:name w:val="xl93"/>
    <w:basedOn w:val="7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99"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00" w:customStyle="1">
    <w:name w:val="xl7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01" w:customStyle="1">
    <w:name w:val="xl87"/>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02" w:customStyle="1">
    <w:name w:val="Char"/>
    <w:basedOn w:val="710"/>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3" w:customStyle="1">
    <w:name w:val="xl67"/>
    <w:basedOn w:val="710"/>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04" w:customStyle="1">
    <w:name w:val="xl8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05" w:customStyle="1">
    <w:name w:val="xl7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06" w:customStyle="1">
    <w:name w:val="xl68"/>
    <w:basedOn w:val="710"/>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07" w:customStyle="1">
    <w:name w:val="正文1"/>
    <w:basedOn w:val="710"/>
    <w:next w:val="710"/>
    <w:uiPriority w:val="0"/>
    <w:qFormat/>
    <w:pPr>
      <w:ind w:left="420" w:firstLine="527"/>
      <w:spacing w:before="120" w:line="360" w:lineRule="auto"/>
    </w:pPr>
    <w:rPr>
      <w:rFonts w:ascii="宋体" w:hAnsi="宋体" w:eastAsia="宋体" w:cs="Times New Roman"/>
      <w:sz w:val="24"/>
      <w:szCs w:val="24"/>
    </w:rPr>
  </w:style>
  <w:style w:type="paragraph" w:styleId="1008" w:customStyle="1">
    <w:name w:val="xl9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9" w:customStyle="1">
    <w:name w:val="xl8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10" w:customStyle="1">
    <w:name w:val="xl7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1" w:customStyle="1">
    <w:name w:val="xl8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12">
    <w:name w:val="List Paragraph"/>
    <w:basedOn w:val="710"/>
    <w:uiPriority w:val="34"/>
    <w:qFormat/>
    <w:pPr>
      <w:ind w:firstLine="420"/>
    </w:pPr>
    <w:rPr>
      <w:rFonts w:ascii="Calibri" w:hAnsi="Calibri" w:eastAsia="楷体_GB2312" w:cs="Times New Roman"/>
      <w:sz w:val="26"/>
      <w:szCs w:val="20"/>
    </w:rPr>
  </w:style>
  <w:style w:type="paragraph" w:styleId="1013" w:customStyle="1">
    <w:name w:val="纯文本5"/>
    <w:basedOn w:val="710"/>
    <w:uiPriority w:val="0"/>
    <w:qFormat/>
    <w:rPr>
      <w:rFonts w:ascii="宋体" w:hAnsi="Courier New" w:eastAsia="楷体_GB2312" w:cs="Times New Roman"/>
      <w:sz w:val="26"/>
      <w:szCs w:val="20"/>
    </w:rPr>
  </w:style>
  <w:style w:type="paragraph" w:styleId="1014" w:customStyle="1">
    <w:name w:val="xl8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15" w:customStyle="1">
    <w:name w:val="xl8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016" w:customStyle="1">
    <w:name w:val="xl7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17" w:customStyle="1">
    <w:name w:val="xl9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18" w:customStyle="1">
    <w:name w:val="xl7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19" w:customStyle="1">
    <w:name w:val="xl8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020" w:customStyle="1">
    <w:name w:val="网格型1"/>
    <w:basedOn w:val="7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21" w:customStyle="1">
    <w:name w:val="Plain Text1"/>
    <w:basedOn w:val="710"/>
    <w:uiPriority w:val="0"/>
    <w:qFormat/>
    <w:rPr>
      <w:rFonts w:ascii="宋体" w:hAnsi="Courier New" w:eastAsia="楷体_GB2312" w:cs="Times New Roman"/>
      <w:sz w:val="26"/>
      <w:szCs w:val="20"/>
    </w:rPr>
  </w:style>
  <w:style w:type="paragraph" w:styleId="1022"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23"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024"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25"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26"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27"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28" w:customStyle="1">
    <w:name w:val="font81"/>
    <w:basedOn w:val="720"/>
    <w:uiPriority w:val="0"/>
    <w:qFormat/>
    <w:rPr>
      <w:rFonts w:hint="eastAsia" w:ascii="宋体" w:hAnsi="宋体" w:eastAsia="宋体" w:cs="宋体"/>
      <w:color w:val="000000"/>
      <w:sz w:val="18"/>
      <w:szCs w:val="18"/>
      <w:u w:val="none"/>
    </w:rPr>
  </w:style>
  <w:style w:type="character" w:styleId="1029" w:customStyle="1">
    <w:name w:val="font91"/>
    <w:basedOn w:val="720"/>
    <w:uiPriority w:val="0"/>
    <w:qFormat/>
    <w:rPr>
      <w:rFonts w:hint="eastAsia" w:ascii="宋体" w:hAnsi="宋体" w:eastAsia="宋体" w:cs="宋体"/>
      <w:b/>
      <w:bCs/>
      <w:color w:val="ff0000"/>
      <w:sz w:val="18"/>
      <w:szCs w:val="18"/>
      <w:u w:val="none"/>
    </w:rPr>
  </w:style>
  <w:style w:type="character" w:styleId="1030" w:customStyle="1">
    <w:name w:val="font21"/>
    <w:basedOn w:val="720"/>
    <w:uiPriority w:val="0"/>
    <w:qFormat/>
    <w:rPr>
      <w:rFonts w:hint="eastAsia" w:ascii="宋体" w:hAnsi="宋体" w:eastAsia="宋体" w:cs="宋体"/>
      <w:b/>
      <w:bCs/>
      <w:color w:val="000000"/>
      <w:sz w:val="22"/>
      <w:szCs w:val="22"/>
      <w:u w:val="none"/>
    </w:rPr>
  </w:style>
  <w:style w:type="character" w:styleId="1031" w:customStyle="1">
    <w:name w:val="font51"/>
    <w:basedOn w:val="720"/>
    <w:uiPriority w:val="0"/>
    <w:qFormat/>
    <w:rPr>
      <w:rFonts w:hint="eastAsia" w:ascii="宋体" w:hAnsi="宋体" w:eastAsia="宋体" w:cs="宋体"/>
      <w:b/>
      <w:bCs/>
      <w:color w:val="ff0000"/>
      <w:sz w:val="22"/>
      <w:szCs w:val="22"/>
      <w:u w:val="none"/>
    </w:rPr>
  </w:style>
  <w:style w:type="character" w:styleId="1032" w:customStyle="1">
    <w:name w:val="font31"/>
    <w:basedOn w:val="720"/>
    <w:uiPriority w:val="0"/>
    <w:qFormat/>
    <w:rPr>
      <w:rFonts w:hint="eastAsia" w:ascii="宋体" w:hAnsi="宋体" w:eastAsia="宋体" w:cs="宋体"/>
      <w:color w:val="000000"/>
      <w:sz w:val="22"/>
      <w:szCs w:val="22"/>
      <w:u w:val="none"/>
    </w:rPr>
  </w:style>
  <w:style w:type="character" w:styleId="1033" w:customStyle="1">
    <w:name w:val="font61"/>
    <w:basedOn w:val="720"/>
    <w:uiPriority w:val="0"/>
    <w:qFormat/>
    <w:rPr>
      <w:rFonts w:hint="eastAsia" w:ascii="宋体" w:hAnsi="宋体" w:eastAsia="宋体" w:cs="宋体"/>
      <w:color w:val="ff0000"/>
      <w:sz w:val="22"/>
      <w:szCs w:val="22"/>
      <w:u w:val="none"/>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customStyle="1">
    <w:name w:val="纯文本6"/>
    <w:basedOn w:val="710"/>
    <w:uiPriority w:val="0"/>
    <w:qFormat/>
    <w:rPr>
      <w:rFonts w:ascii="宋体" w:hAnsi="Courier New"/>
    </w:rPr>
  </w:style>
  <w:style w:type="character" w:styleId="1036" w:customStyle="1">
    <w:name w:val="NormalCharacter"/>
    <w:uiPriority w:val="0"/>
    <w:semiHidden/>
    <w:qFormat/>
  </w:style>
  <w:style w:type="paragraph" w:styleId="1037" w:customStyle="1">
    <w:name w:val="正文缩进1"/>
    <w:basedOn w:val="710"/>
    <w:next w:val="710"/>
    <w:uiPriority w:val="0"/>
    <w:qFormat/>
    <w:pPr>
      <w:ind w:firstLine="420"/>
      <w:jc w:val="left"/>
    </w:pPr>
    <w:rPr>
      <w:sz w:val="24"/>
    </w:rPr>
  </w:style>
  <w:style w:type="paragraph" w:styleId="1038" w:customStyle="1">
    <w:name w:val="修订6"/>
    <w:hidden/>
    <w:uiPriority w:val="99"/>
    <w:unhideWhenUsed/>
    <w:qFormat/>
    <w:rPr>
      <w:rFonts w:asciiTheme="minorHAnsi" w:hAnsiTheme="minorHAnsi" w:eastAsiaTheme="minorEastAsia" w:cstheme="minorBidi"/>
      <w:sz w:val="21"/>
      <w:szCs w:val="22"/>
      <w:lang w:val="en-US" w:eastAsia="zh-CN" w:bidi="ar-SA"/>
    </w:rPr>
  </w:style>
  <w:style w:type="paragraph" w:styleId="1039" w:customStyle="1">
    <w:name w:val="修订7"/>
    <w:hidden/>
    <w:uiPriority w:val="99"/>
    <w:unhideWhenUsed/>
    <w:qFormat/>
    <w:rPr>
      <w:rFonts w:asciiTheme="minorHAnsi" w:hAnsiTheme="minorHAnsi" w:eastAsiaTheme="minorEastAsia" w:cstheme="minorBidi"/>
      <w:sz w:val="21"/>
      <w:szCs w:val="22"/>
      <w:lang w:val="en-US" w:eastAsia="zh-CN" w:bidi="ar-SA"/>
    </w:rPr>
  </w:style>
  <w:style w:type="paragraph" w:styleId="1040" w:customStyle="1">
    <w:name w:val="p_text_indent_2"/>
    <w:basedOn w:val="710"/>
    <w:uiPriority w:val="0"/>
    <w:qFormat/>
    <w:pPr>
      <w:jc w:val="left"/>
      <w:spacing w:before="100" w:beforeAutospacing="1" w:after="100" w:afterAutospacing="1"/>
      <w:widowControl/>
    </w:pPr>
    <w:rPr>
      <w:rFonts w:ascii="宋体" w:hAnsi="宋体" w:eastAsia="宋体" w:cs="宋体"/>
      <w:sz w:val="24"/>
      <w:szCs w:val="24"/>
    </w:rPr>
  </w:style>
  <w:style w:type="paragraph" w:styleId="1041" w:customStyle="1">
    <w:name w:val="修订8"/>
    <w:hidden/>
    <w:uiPriority w:val="99"/>
    <w:unhideWhenUsed/>
    <w:qFormat/>
    <w:rPr>
      <w:rFonts w:asciiTheme="minorHAnsi" w:hAnsiTheme="minorHAnsi" w:eastAsiaTheme="minorEastAsia" w:cstheme="minorBidi"/>
      <w:sz w:val="21"/>
      <w:szCs w:val="22"/>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281F77D-FEA6-4222-A39F-222A6207E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6</cp:revision>
  <dcterms:created xsi:type="dcterms:W3CDTF">2026-09-23T03:16:00Z</dcterms:created>
  <dcterms:modified xsi:type="dcterms:W3CDTF">2026-09-24T04:57:56Z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B81243F081DB40F2A247298C0FE4175B_13</vt:lpwstr>
  </property>
  <property fmtid="{D5CDD505-2E9C-101B-9397-08002B2CF9AE}" pid="4" name="KSOTemplateDocerSaveRecord">
    <vt:lpwstr>eyJoZGlkIjoiNDVmYTA0YWJmNzNiNTM5MGQ1NjBlOWMyMjVkMzE2NjMiLCJ1c2VySWQiOiIzOTQ4NDE0MjYifQ==</vt:lpwstr>
  </property>
</Properties>
</file>