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olor w:val="auto"/>
          <w:sz w:val="36"/>
          <w:highlight w:val="none"/>
        </w:rPr>
      </w:pPr>
      <w:r>
        <w:rPr>
          <w:rFonts w:ascii="宋体" w:hAnsi="宋体"/>
          <w:color w:val="auto"/>
          <w:sz w:val="36"/>
          <w:highlight w:val="none"/>
        </w:rPr>
      </w:r>
      <w:r/>
    </w:p>
    <w:p>
      <w:pPr>
        <w:jc w:val="right"/>
        <w:spacing w:line="360" w:lineRule="auto"/>
        <w:rPr>
          <w:rFonts w:hint="eastAsia" w:ascii="宋体" w:hAnsi="宋体" w:eastAsia="宋体"/>
          <w:b/>
          <w:bCs/>
          <w:color w:val="auto"/>
          <w:sz w:val="36"/>
          <w:highlight w:val="none"/>
          <w:lang w:eastAsia="zh-CN"/>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JSZC-321002-YZLZ-G2026-0008号</w:t>
      </w:r>
      <w:r/>
    </w:p>
    <w:p>
      <w:pPr>
        <w:jc w:val="center"/>
        <w:spacing w:line="360" w:lineRule="auto"/>
        <w:rPr>
          <w:rFonts w:ascii="宋体" w:hAnsi="宋体"/>
          <w:b/>
          <w:bCs/>
          <w:color w:val="auto"/>
          <w:sz w:val="36"/>
          <w:highlight w:val="none"/>
        </w:rPr>
      </w:pPr>
      <w:r>
        <w:rPr>
          <w:rFonts w:ascii="宋体" w:hAnsi="宋体"/>
          <w:b/>
          <w:bCs/>
          <w:color w:val="auto"/>
          <w:sz w:val="36"/>
          <w:highlight w:val="none"/>
        </w:rPr>
      </w:r>
      <w:r/>
    </w:p>
    <w:p>
      <w:pPr>
        <w:jc w:val="center"/>
        <w:spacing w:line="360" w:lineRule="auto"/>
        <w:rPr>
          <w:rFonts w:ascii="宋体" w:hAnsi="宋体" w:cs="Times New Roman"/>
          <w:b/>
          <w:bCs/>
          <w:color w:val="auto"/>
          <w:sz w:val="36"/>
          <w:highlight w:val="none"/>
        </w:rPr>
      </w:pPr>
      <w:r>
        <w:rPr>
          <w:rFonts w:ascii="宋体" w:hAnsi="宋体" w:cs="Times New Roman"/>
          <w:b/>
          <w:bCs/>
          <w:color w:val="auto"/>
          <w:sz w:val="36"/>
          <w:highlight w:val="none"/>
        </w:rPr>
      </w:r>
      <w:r/>
    </w:p>
    <w:p>
      <w:pPr>
        <w:jc w:val="center"/>
        <w:spacing w:line="360" w:lineRule="auto"/>
        <w:rPr>
          <w:rFonts w:hint="eastAsia" w:ascii="宋体" w:hAnsi="宋体" w:cs="Times New Roman"/>
          <w:b/>
          <w:bCs/>
          <w:color w:val="auto"/>
          <w:sz w:val="36"/>
          <w:highlight w:val="none"/>
          <w:lang w:eastAsia="zh-CN"/>
        </w:rPr>
      </w:pPr>
      <w:r/>
      <w:bookmarkStart w:id="78" w:name="_GoBack"/>
      <w:r>
        <w:rPr>
          <w:rFonts w:hint="eastAsia" w:ascii="宋体" w:hAnsi="宋体" w:cs="Times New Roman"/>
          <w:b/>
          <w:bCs/>
          <w:color w:val="auto"/>
          <w:sz w:val="36"/>
          <w:highlight w:val="none"/>
          <w:lang w:eastAsia="zh-CN"/>
        </w:rPr>
        <w:t xml:space="preserve">2026年广陵区公园综合管理服务项目</w:t>
      </w:r>
      <w:bookmarkEnd w:id="78"/>
      <w:r/>
      <w:r/>
    </w:p>
    <w:p>
      <w:pPr>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rPr>
        <w:t xml:space="preserve">公开招标文件</w:t>
      </w:r>
      <w:r/>
    </w:p>
    <w:p>
      <w:pPr>
        <w:pStyle w:val="746"/>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jc w:val="center"/>
        <w:spacing w:line="360" w:lineRule="auto"/>
        <w:rPr>
          <w:color w:val="auto"/>
          <w:highlight w:val="none"/>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5433060" cy="3623310"/>
                <wp:effectExtent l="0" t="0" r="15240" b="1524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r/>
                      </pic:nvPicPr>
                      <pic:blipFill>
                        <a:blip r:embed="rId14"/>
                        <a:stretch/>
                      </pic:blipFill>
                      <pic:spPr bwMode="auto">
                        <a:xfrm>
                          <a:off x="0" y="0"/>
                          <a:ext cx="5433060" cy="3623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7.8pt;height:285.3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  购  人 ：</w:t>
      </w:r>
      <w:r>
        <w:rPr>
          <w:rFonts w:hint="eastAsia" w:ascii="宋体" w:hAnsi="宋体"/>
          <w:b/>
          <w:bCs/>
          <w:color w:val="auto"/>
          <w:sz w:val="32"/>
          <w:szCs w:val="32"/>
          <w:highlight w:val="none"/>
          <w:lang w:eastAsia="zh-CN"/>
        </w:rPr>
        <w:t xml:space="preserve">扬州市广陵区住房和城乡建设局</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采购代理机构：扬州览众建设工程咨询服务有限公司</w:t>
      </w:r>
      <w:r/>
    </w:p>
    <w:p>
      <w:pPr>
        <w:jc w:val="center"/>
        <w:spacing w:line="360" w:lineRule="auto"/>
        <w:rPr>
          <w:rFonts w:ascii="宋体" w:hAnsi="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期：2026年</w:t>
      </w:r>
      <w:r>
        <w:rPr>
          <w:rFonts w:hint="eastAsia" w:ascii="宋体" w:hAnsi="宋体"/>
          <w:b/>
          <w:bCs/>
          <w:color w:val="auto"/>
          <w:sz w:val="32"/>
          <w:szCs w:val="32"/>
          <w:highlight w:val="none"/>
          <w:lang w:val="en-US" w:eastAsia="zh-CN"/>
        </w:rPr>
        <w:t xml:space="preserve">10</w:t>
      </w:r>
      <w:r>
        <w:rPr>
          <w:rFonts w:hint="eastAsia" w:ascii="宋体" w:hAnsi="宋体"/>
          <w:b/>
          <w:bCs/>
          <w:color w:val="auto"/>
          <w:sz w:val="32"/>
          <w:szCs w:val="32"/>
          <w:highlight w:val="none"/>
        </w:rPr>
        <w:t xml:space="preserve">月</w:t>
      </w:r>
      <w:r>
        <w:rPr>
          <w:rFonts w:hint="eastAsia" w:ascii="宋体" w:hAnsi="宋体"/>
          <w:b/>
          <w:bCs/>
          <w:color w:val="auto"/>
          <w:sz w:val="32"/>
          <w:szCs w:val="32"/>
          <w:highlight w:val="none"/>
          <w:lang w:val="en-US" w:eastAsia="zh-CN"/>
        </w:rPr>
        <w:t xml:space="preserve">12</w:t>
      </w:r>
      <w:r>
        <w:rPr>
          <w:rFonts w:hint="eastAsia" w:ascii="宋体" w:hAnsi="宋体"/>
          <w:b/>
          <w:bCs/>
          <w:color w:val="auto"/>
          <w:sz w:val="32"/>
          <w:szCs w:val="32"/>
          <w:highlight w:val="none"/>
        </w:rPr>
        <w:t xml:space="preserve">日</w:t>
      </w:r>
      <w:r/>
    </w:p>
    <w:p>
      <w:pPr>
        <w:jc w:val="center"/>
        <w:spacing w:line="360" w:lineRule="auto"/>
        <w:rPr>
          <w:rFonts w:ascii="宋体" w:hAnsi="宋体"/>
          <w:color w:val="auto"/>
          <w:sz w:val="32"/>
          <w:highlight w:val="none"/>
        </w:rPr>
      </w:pPr>
      <w:r>
        <w:rPr>
          <w:rFonts w:hint="eastAsia" w:ascii="宋体" w:hAnsi="宋体"/>
          <w:color w:val="auto"/>
          <w:sz w:val="32"/>
          <w:highlight w:val="none"/>
        </w:rPr>
        <w:t xml:space="preserve">目 录</w:t>
      </w:r>
      <w:r/>
    </w:p>
    <w:p>
      <w:pPr>
        <w:pStyle w:val="732"/>
        <w:keepLines w:val="0"/>
        <w:keepNext w:val="0"/>
        <w:pageBreakBefore w:val="0"/>
        <w:spacing w:line="600" w:lineRule="exact"/>
        <w:widowControl w:val="off"/>
        <w:tabs>
          <w:tab w:val="right" w:pos="830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szCs w:val="28"/>
          <w:highlight w:val="none"/>
        </w:rPr>
        <w:t xml:space="preserve">第一章 采购公告</w:t>
      </w:r>
      <w:r>
        <w:rPr>
          <w:color w:val="auto"/>
          <w:highlight w:val="none"/>
        </w:rPr>
        <w:tab/>
      </w:r>
      <w:r>
        <w:rPr>
          <w:color w:val="auto"/>
          <w:highlight w:val="none"/>
        </w:rPr>
        <w:fldChar w:fldCharType="begin"/>
      </w:r>
      <w:r>
        <w:rPr>
          <w:color w:val="auto"/>
          <w:highlight w:val="none"/>
        </w:rPr>
        <w:instrText xml:space="preserve"> PAGEREF _Toc19223 \h </w:instrText>
      </w:r>
      <w:r>
        <w:rPr>
          <w:color w:val="auto"/>
          <w:highlight w:val="none"/>
        </w:rPr>
        <w:fldChar w:fldCharType="separate"/>
      </w:r>
      <w:r>
        <w:rPr>
          <w:color w:val="auto"/>
          <w:highlight w:val="none"/>
        </w:rPr>
        <w:t xml:space="preserve">3</w:t>
      </w:r>
      <w:r>
        <w:rPr>
          <w:color w:val="auto"/>
          <w:highlight w:val="none"/>
        </w:rPr>
        <w:fldChar w:fldCharType="end"/>
      </w:r>
      <w:r/>
    </w:p>
    <w:p>
      <w:pPr>
        <w:pStyle w:val="732"/>
        <w:keepLines w:val="0"/>
        <w:keepNext w:val="0"/>
        <w:pageBreakBefore w:val="0"/>
        <w:spacing w:line="600" w:lineRule="exact"/>
        <w:widowControl w:val="off"/>
        <w:tabs>
          <w:tab w:val="right" w:pos="8306" w:leader="dot"/>
        </w:tabs>
        <w:rPr>
          <w:color w:val="auto"/>
          <w:highlight w:val="none"/>
        </w:rPr>
      </w:pPr>
      <w:r>
        <w:rPr>
          <w:rFonts w:hint="eastAsia" w:ascii="宋体" w:hAnsi="宋体"/>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_Toc15439 \h </w:instrText>
      </w:r>
      <w:r>
        <w:rPr>
          <w:color w:val="auto"/>
          <w:highlight w:val="none"/>
        </w:rPr>
        <w:fldChar w:fldCharType="separate"/>
      </w:r>
      <w:r>
        <w:rPr>
          <w:color w:val="auto"/>
          <w:highlight w:val="none"/>
        </w:rPr>
        <w:t xml:space="preserve">7</w:t>
      </w:r>
      <w:r>
        <w:rPr>
          <w:color w:val="auto"/>
          <w:highlight w:val="none"/>
        </w:rPr>
        <w:fldChar w:fldCharType="end"/>
      </w:r>
      <w:r/>
    </w:p>
    <w:p>
      <w:pPr>
        <w:pStyle w:val="732"/>
        <w:keepLines w:val="0"/>
        <w:keepNext w:val="0"/>
        <w:pageBreakBefore w:val="0"/>
        <w:spacing w:line="600" w:lineRule="exact"/>
        <w:widowControl w:val="off"/>
        <w:tabs>
          <w:tab w:val="right" w:pos="8306" w:leader="dot"/>
        </w:tabs>
        <w:rPr>
          <w:color w:val="auto"/>
          <w:highlight w:val="none"/>
        </w:rPr>
      </w:pPr>
      <w:r>
        <w:rPr>
          <w:rFonts w:hint="eastAsia" w:ascii="宋体" w:hAnsi="宋体"/>
          <w:color w:val="auto"/>
          <w:szCs w:val="36"/>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_Toc6097 \h </w:instrText>
      </w:r>
      <w:r>
        <w:rPr>
          <w:color w:val="auto"/>
          <w:highlight w:val="none"/>
        </w:rPr>
        <w:fldChar w:fldCharType="separate"/>
      </w:r>
      <w:r>
        <w:rPr>
          <w:color w:val="auto"/>
          <w:highlight w:val="none"/>
        </w:rPr>
        <w:t xml:space="preserve">18</w:t>
      </w:r>
      <w:r>
        <w:rPr>
          <w:color w:val="auto"/>
          <w:highlight w:val="none"/>
        </w:rPr>
        <w:fldChar w:fldCharType="end"/>
      </w:r>
      <w:r/>
    </w:p>
    <w:p>
      <w:pPr>
        <w:pStyle w:val="732"/>
        <w:keepLines w:val="0"/>
        <w:keepNext w:val="0"/>
        <w:pageBreakBefore w:val="0"/>
        <w:spacing w:line="600" w:lineRule="exact"/>
        <w:widowControl w:val="off"/>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_Toc2110 \h </w:instrText>
      </w:r>
      <w:r>
        <w:rPr>
          <w:color w:val="auto"/>
          <w:highlight w:val="none"/>
        </w:rPr>
        <w:fldChar w:fldCharType="separate"/>
      </w:r>
      <w:r>
        <w:rPr>
          <w:color w:val="auto"/>
          <w:highlight w:val="none"/>
        </w:rPr>
        <w:t xml:space="preserve">23</w:t>
      </w:r>
      <w:r>
        <w:rPr>
          <w:color w:val="auto"/>
          <w:highlight w:val="none"/>
        </w:rPr>
        <w:fldChar w:fldCharType="end"/>
      </w:r>
      <w:r/>
    </w:p>
    <w:p>
      <w:pPr>
        <w:pStyle w:val="732"/>
        <w:keepLines w:val="0"/>
        <w:keepNext w:val="0"/>
        <w:pageBreakBefore w:val="0"/>
        <w:spacing w:line="600" w:lineRule="exact"/>
        <w:widowControl w:val="off"/>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color w:val="auto"/>
          <w:highlight w:val="none"/>
        </w:rPr>
        <w:fldChar w:fldCharType="begin"/>
      </w:r>
      <w:r>
        <w:rPr>
          <w:color w:val="auto"/>
          <w:highlight w:val="none"/>
        </w:rPr>
        <w:instrText xml:space="preserve"> PAGEREF _Toc15564 \h </w:instrText>
      </w:r>
      <w:r>
        <w:rPr>
          <w:color w:val="auto"/>
          <w:highlight w:val="none"/>
        </w:rPr>
        <w:fldChar w:fldCharType="separate"/>
      </w:r>
      <w:r>
        <w:rPr>
          <w:color w:val="auto"/>
          <w:highlight w:val="none"/>
        </w:rPr>
        <w:t xml:space="preserve">32</w:t>
      </w:r>
      <w:r>
        <w:rPr>
          <w:color w:val="auto"/>
          <w:highlight w:val="none"/>
        </w:rPr>
        <w:fldChar w:fldCharType="end"/>
      </w:r>
      <w:r/>
    </w:p>
    <w:p>
      <w:pPr>
        <w:pStyle w:val="732"/>
        <w:keepLines w:val="0"/>
        <w:keepNext w:val="0"/>
        <w:pageBreakBefore w:val="0"/>
        <w:spacing w:line="600" w:lineRule="exact"/>
        <w:widowControl w:val="off"/>
        <w:tabs>
          <w:tab w:val="right" w:pos="8306" w:leader="dot"/>
        </w:tabs>
        <w:rPr>
          <w:color w:val="auto"/>
          <w:highlight w:val="none"/>
        </w:rPr>
      </w:pPr>
      <w:r>
        <w:rPr>
          <w:rFonts w:hint="eastAsia" w:ascii="宋体" w:hAnsi="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_Toc8596 \h </w:instrText>
      </w:r>
      <w:r>
        <w:rPr>
          <w:color w:val="auto"/>
          <w:highlight w:val="none"/>
        </w:rPr>
        <w:fldChar w:fldCharType="separate"/>
      </w:r>
      <w:r>
        <w:rPr>
          <w:color w:val="auto"/>
          <w:highlight w:val="none"/>
        </w:rPr>
        <w:t xml:space="preserve">36</w:t>
      </w:r>
      <w:r>
        <w:rPr>
          <w:color w:val="auto"/>
          <w:highlight w:val="none"/>
        </w:rPr>
        <w:fldChar w:fldCharType="end"/>
      </w:r>
      <w:r/>
    </w:p>
    <w:p>
      <w:pPr>
        <w:keepLines w:val="0"/>
        <w:keepNext w:val="0"/>
        <w:pageBreakBefore w:val="0"/>
        <w:spacing w:line="600" w:lineRule="exact"/>
        <w:widowControl w:val="off"/>
        <w:rPr>
          <w:rFonts w:ascii="宋体" w:hAnsi="宋体"/>
          <w:color w:val="auto"/>
          <w:sz w:val="28"/>
          <w:highlight w:val="none"/>
        </w:rPr>
      </w:pPr>
      <w:r>
        <w:rPr>
          <w:rFonts w:hint="eastAsia" w:ascii="宋体" w:hAnsi="宋体"/>
          <w:color w:val="auto"/>
          <w:highlight w:val="none"/>
        </w:rPr>
        <w:fldChar w:fldCharType="end"/>
      </w:r>
      <w:r/>
    </w:p>
    <w:p>
      <w:pPr>
        <w:spacing w:line="360" w:lineRule="auto"/>
        <w:rPr>
          <w:color w:val="auto"/>
          <w:highlight w:val="none"/>
        </w:rPr>
      </w:pPr>
      <w:r>
        <w:rPr>
          <w:rFonts w:hint="eastAsia" w:ascii="宋体" w:hAnsi="宋体"/>
          <w:color w:val="auto"/>
          <w:sz w:val="28"/>
          <w:highlight w:val="none"/>
        </w:rPr>
        <w:br w:type="page" w:clear="all"/>
      </w:r>
      <w:r/>
    </w:p>
    <w:p>
      <w:pPr>
        <w:pStyle w:val="932"/>
        <w:numPr>
          <w:ilvl w:val="0"/>
          <w:numId w:val="1"/>
        </w:numPr>
        <w:jc w:val="center"/>
        <w:spacing w:line="360" w:lineRule="auto"/>
        <w:rPr>
          <w:rFonts w:ascii="宋体" w:hAnsi="宋体"/>
          <w:color w:val="auto"/>
          <w:sz w:val="36"/>
          <w:szCs w:val="28"/>
          <w:highlight w:val="none"/>
        </w:rPr>
      </w:pPr>
      <w:r/>
      <w:bookmarkStart w:id="0" w:name="_Toc19223"/>
      <w:r/>
      <w:bookmarkStart w:id="1" w:name="_Toc55204177"/>
      <w:r>
        <w:rPr>
          <w:rFonts w:hint="eastAsia" w:ascii="宋体" w:hAnsi="宋体"/>
          <w:color w:val="auto"/>
          <w:sz w:val="36"/>
          <w:szCs w:val="28"/>
          <w:highlight w:val="none"/>
          <w:lang w:eastAsia="zh-CN"/>
        </w:rPr>
        <w:t xml:space="preserve">2026年广陵区公园综合管理服务项目</w:t>
      </w:r>
      <w:r>
        <w:rPr>
          <w:rFonts w:hint="eastAsia" w:ascii="宋体" w:hAnsi="宋体"/>
          <w:color w:val="auto"/>
          <w:sz w:val="36"/>
          <w:szCs w:val="28"/>
          <w:highlight w:val="none"/>
        </w:rPr>
        <w:t xml:space="preserve">采购公告</w:t>
      </w:r>
      <w:bookmarkEnd w:id="0"/>
      <w:r/>
      <w:bookmarkEnd w:id="1"/>
      <w:r/>
      <w:r/>
    </w:p>
    <w:p>
      <w:pPr>
        <w:ind w:firstLine="422"/>
        <w:spacing w:line="360" w:lineRule="auto"/>
        <w:rPr>
          <w:rFonts w:ascii="宋体" w:hAnsi="宋体" w:cs="宋体"/>
          <w:b/>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2026年广陵区公园综合管理服务项目</w:t>
      </w:r>
      <w:r>
        <w:rPr>
          <w:rFonts w:hint="eastAsia" w:ascii="宋体" w:hAnsi="宋体" w:cs="宋体"/>
          <w:color w:val="auto"/>
          <w:szCs w:val="21"/>
          <w:highlight w:val="none"/>
        </w:rPr>
        <w:t xml:space="preserve">的潜在投标人可在</w:t>
      </w:r>
      <w:r>
        <w:rPr>
          <w:rFonts w:hint="eastAsia" w:ascii="宋体" w:hAnsi="宋体" w:cs="宋体"/>
          <w:color w:val="auto"/>
          <w:szCs w:val="21"/>
          <w:highlight w:val="none"/>
          <w:u w:val="single"/>
        </w:rPr>
        <w:t xml:space="preserve">“扬州市政府采购网”、“江苏省政府采购网”“中国政府采购网”</w:t>
      </w:r>
      <w:r>
        <w:rPr>
          <w:rFonts w:hint="eastAsia" w:ascii="宋体" w:hAnsi="宋体" w:cs="宋体"/>
          <w:color w:val="auto"/>
          <w:szCs w:val="21"/>
          <w:highlight w:val="none"/>
        </w:rPr>
        <w:t xml:space="preserve">自行免费下载招标文件，并于</w:t>
      </w:r>
      <w:r>
        <w:rPr>
          <w:rFonts w:hint="eastAsia" w:ascii="宋体" w:hAnsi="宋体" w:cs="宋体"/>
          <w:bCs/>
          <w:color w:val="auto"/>
          <w:szCs w:val="21"/>
          <w:highlight w:val="none"/>
          <w:u w:val="single"/>
        </w:rPr>
        <w:t xml:space="preserve">2026年</w:t>
      </w:r>
      <w:r>
        <w:rPr>
          <w:rFonts w:hint="eastAsia" w:ascii="宋体" w:hAnsi="宋体" w:cs="宋体"/>
          <w:bCs/>
          <w:color w:val="auto"/>
          <w:szCs w:val="21"/>
          <w:highlight w:val="none"/>
          <w:u w:val="single"/>
          <w:lang w:val="en-US" w:eastAsia="zh-CN"/>
        </w:rPr>
        <w:t xml:space="preserve">11</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w:t>
      </w:r>
      <w:r>
        <w:rPr>
          <w:rFonts w:hint="eastAsia" w:ascii="宋体" w:hAnsi="宋体" w:cs="宋体"/>
          <w:bCs/>
          <w:color w:val="auto"/>
          <w:szCs w:val="21"/>
          <w:highlight w:val="none"/>
          <w:u w:val="single"/>
        </w:rPr>
        <w:t xml:space="preserve">日14:30</w:t>
      </w:r>
      <w:r>
        <w:rPr>
          <w:rFonts w:hint="eastAsia" w:ascii="宋体" w:hAnsi="宋体" w:cs="宋体"/>
          <w:bCs/>
          <w:color w:val="auto"/>
          <w:szCs w:val="21"/>
          <w:highlight w:val="none"/>
        </w:rPr>
        <w:t xml:space="preserve">（北京时间）前提交投标文件</w:t>
      </w:r>
      <w:r>
        <w:rPr>
          <w:rFonts w:hint="eastAsia" w:ascii="宋体" w:hAnsi="宋体" w:cs="宋体"/>
          <w:color w:val="auto"/>
          <w:szCs w:val="21"/>
          <w:highlight w:val="none"/>
        </w:rPr>
        <w:t xml:space="preserve">。</w:t>
      </w:r>
      <w:r/>
    </w:p>
    <w:p>
      <w:pPr>
        <w:spacing w:line="360" w:lineRule="auto"/>
        <w:tabs>
          <w:tab w:val="left" w:pos="266" w:leader="none"/>
        </w:tabs>
        <w:rPr>
          <w:rFonts w:ascii="宋体" w:hAnsi="宋体" w:cs="宋体"/>
          <w:b/>
          <w:bCs/>
          <w:color w:val="auto"/>
          <w:szCs w:val="21"/>
          <w:highlight w:val="none"/>
        </w:rPr>
      </w:pPr>
      <w:r/>
      <w:bookmarkStart w:id="2" w:name="_Toc35393621"/>
      <w:r/>
      <w:bookmarkStart w:id="3" w:name="_Toc28359079"/>
      <w:r/>
      <w:bookmarkStart w:id="4" w:name="_Toc28359002"/>
      <w:r/>
      <w:bookmarkStart w:id="5" w:name="_Toc38985263"/>
      <w:r/>
      <w:bookmarkStart w:id="6" w:name="_Toc35393790"/>
      <w:r/>
      <w:bookmarkStart w:id="7" w:name="_Hlk24379207"/>
      <w:r>
        <w:rPr>
          <w:rFonts w:hint="eastAsia" w:ascii="宋体" w:hAnsi="宋体" w:cs="宋体"/>
          <w:b/>
          <w:bCs/>
          <w:color w:val="auto"/>
          <w:szCs w:val="21"/>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JSZC-321002-YZLZ-G2026-0008号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bookmarkEnd w:id="7"/>
      <w:r>
        <w:rPr>
          <w:rFonts w:hint="eastAsia" w:ascii="宋体" w:hAnsi="宋体" w:cs="宋体"/>
          <w:color w:val="auto"/>
          <w:szCs w:val="21"/>
          <w:highlight w:val="none"/>
          <w:lang w:eastAsia="zh-CN"/>
        </w:rPr>
        <w:t xml:space="preserve">2026年广陵区公园综合管理服务项目</w:t>
      </w:r>
      <w:r/>
    </w:p>
    <w:p>
      <w:pPr>
        <w:ind w:firstLine="420"/>
        <w:spacing w:line="360" w:lineRule="auto"/>
        <w:rPr>
          <w:rFonts w:hint="eastAsia" w:ascii="宋体" w:hAnsi="宋体" w:eastAsia="宋体" w:cs="宋体"/>
          <w:color w:val="auto"/>
          <w:szCs w:val="21"/>
          <w:highlight w:val="none"/>
          <w:lang w:eastAsia="zh-CN"/>
        </w:rPr>
      </w:pPr>
      <w:r/>
      <w:bookmarkStart w:id="8" w:name="_Toc35393622"/>
      <w:r/>
      <w:bookmarkStart w:id="9" w:name="_Toc35393791"/>
      <w:r/>
      <w:bookmarkStart w:id="10" w:name="_Toc28359080"/>
      <w:r/>
      <w:bookmarkStart w:id="11" w:name="_Toc28359003"/>
      <w:r/>
      <w:bookmarkStart w:id="12" w:name="_Toc38985264"/>
      <w:r>
        <w:rPr>
          <w:rFonts w:hint="eastAsia" w:ascii="宋体" w:hAnsi="宋体" w:cs="宋体"/>
          <w:color w:val="auto"/>
          <w:szCs w:val="21"/>
          <w:highlight w:val="none"/>
        </w:rPr>
        <w:t xml:space="preserve">3.预算金额：</w:t>
      </w:r>
      <w:r>
        <w:rPr>
          <w:rFonts w:hint="eastAsia" w:ascii="宋体" w:hAnsi="宋体" w:cs="宋体"/>
          <w:color w:val="auto"/>
          <w:szCs w:val="21"/>
          <w:highlight w:val="none"/>
          <w:lang w:eastAsia="zh-CN"/>
        </w:rPr>
        <w:t xml:space="preserve">588万元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4.本项目设置最高限价：</w:t>
      </w:r>
      <w:r>
        <w:rPr>
          <w:rFonts w:hint="eastAsia" w:ascii="宋体" w:hAnsi="宋体" w:cs="宋体"/>
          <w:color w:val="auto"/>
          <w:szCs w:val="21"/>
          <w:highlight w:val="none"/>
          <w:lang w:eastAsia="zh-CN"/>
        </w:rPr>
        <w:t xml:space="preserve">587.96万元，本项目设定最高限价，报价超过最高限价的为无效报价，按照无效响应处理。</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5.采购需求：扬州市广陵区各公园内环境管理、安全管理、公园水域管护等服务，公园服务范围面积约100.88万平方（详细内容见本招标文件第四章）。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6.合同履行期限：</w:t>
      </w:r>
      <w:r>
        <w:rPr>
          <w:rFonts w:hint="eastAsia" w:asciiTheme="minorEastAsia" w:hAnsiTheme="minorEastAsia" w:eastAsiaTheme="minorEastAsia" w:cstheme="minorEastAsia"/>
          <w:color w:val="auto"/>
          <w:szCs w:val="21"/>
          <w:highlight w:val="none"/>
        </w:rPr>
        <w:t xml:space="preserve">本项目服务期限为一年，起始日期以合同约定为准</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7.本项目不接受联合体投标</w:t>
      </w:r>
      <w:r/>
    </w:p>
    <w:p>
      <w:pPr>
        <w:spacing w:line="360" w:lineRule="auto"/>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81"/>
      <w:r/>
      <w:bookmarkStart w:id="14" w:name="_Toc35393792"/>
      <w:r/>
      <w:bookmarkStart w:id="15" w:name="_Toc28359004"/>
      <w:r/>
      <w:bookmarkStart w:id="16" w:name="_Toc38985265"/>
      <w:r/>
      <w:bookmarkStart w:id="17" w:name="_Toc35393623"/>
      <w:r>
        <w:rPr>
          <w:rFonts w:hint="eastAsia" w:ascii="宋体" w:hAnsi="宋体" w:cs="宋体"/>
          <w:color w:val="auto"/>
          <w:szCs w:val="21"/>
          <w:highlight w:val="none"/>
        </w:rPr>
        <w:t xml:space="preserve">1.满足《中华人民共和国政府采购法》第二十二条规定： </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w:t>
      </w:r>
      <w:r>
        <w:rPr>
          <w:rFonts w:hint="eastAsia" w:ascii="宋体" w:hAnsi="宋体" w:cs="宋体"/>
          <w:b/>
          <w:bCs/>
          <w:i/>
          <w:iCs/>
          <w:color w:val="auto"/>
          <w:szCs w:val="21"/>
          <w:highlight w:val="none"/>
          <w:u w:val="single"/>
          <w:lang w:eastAsia="zh-CN"/>
        </w:rPr>
        <w:t xml:space="preserve">投标人</w:t>
      </w:r>
      <w:r>
        <w:rPr>
          <w:rFonts w:hint="eastAsia" w:ascii="宋体" w:hAnsi="宋体" w:cs="宋体"/>
          <w:b/>
          <w:bCs/>
          <w:i/>
          <w:iCs/>
          <w:color w:val="auto"/>
          <w:szCs w:val="21"/>
          <w:highlight w:val="none"/>
          <w:u w:val="single"/>
        </w:rPr>
        <w:t xml:space="preserve">依法享受缓缴、免缴税收、社会保障资金的提供证明材料。）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2025年度的财务状况报告</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w:t>
      </w:r>
      <w:r>
        <w:rPr>
          <w:rFonts w:hint="eastAsia" w:ascii="宋体" w:hAnsi="宋体" w:cs="宋体"/>
          <w:i/>
          <w:iCs/>
          <w:color w:val="auto"/>
          <w:szCs w:val="21"/>
          <w:highlight w:val="none"/>
          <w:u w:val="single"/>
          <w:lang w:eastAsia="zh-CN"/>
        </w:rPr>
        <w:t xml:space="preserve">投标人信用承诺书</w:t>
      </w:r>
      <w:r/>
    </w:p>
    <w:p>
      <w:pPr>
        <w:ind w:firstLine="420"/>
        <w:spacing w:line="360" w:lineRule="auto"/>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1.8投标函</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1.9法人授权书</w:t>
      </w:r>
      <w:r/>
    </w:p>
    <w:p>
      <w:pPr>
        <w:numPr>
          <w:ilvl w:val="0"/>
          <w:numId w:val="2"/>
        </w:numPr>
        <w:ind w:firstLine="420"/>
        <w:spacing w:line="360" w:lineRule="auto"/>
        <w:rPr>
          <w:rFonts w:ascii="宋体" w:hAnsi="宋体" w:cs="宋体"/>
          <w:i/>
          <w:iCs/>
          <w:color w:val="auto"/>
          <w:szCs w:val="21"/>
          <w:highlight w:val="none"/>
          <w:u w:val="single"/>
        </w:rPr>
      </w:pPr>
      <w:r>
        <w:rPr>
          <w:rFonts w:hint="eastAsia" w:ascii="宋体" w:hAnsi="宋体" w:cs="宋体"/>
          <w:color w:val="auto"/>
          <w:szCs w:val="21"/>
          <w:highlight w:val="none"/>
        </w:rPr>
        <w:t xml:space="preserve">落实政府采购政策需满足的资格要求：</w:t>
      </w:r>
      <w:r>
        <w:rPr>
          <w:rFonts w:hint="eastAsia" w:ascii="宋体" w:hAnsi="宋体" w:cs="宋体"/>
          <w:i/>
          <w:color w:val="auto"/>
          <w:szCs w:val="21"/>
          <w:highlight w:val="none"/>
          <w:u w:val="single"/>
          <w:lang w:bidi="ar"/>
        </w:rPr>
        <w:t xml:space="preserve">本项目专门面向中小企业采购。残疾人福利性单位、监狱和戒毒企业（简称监狱企业）视同小型、微型企业。（</w:t>
      </w:r>
      <w:r>
        <w:rPr>
          <w:rFonts w:hint="eastAsia" w:ascii="宋体" w:hAnsi="宋体" w:cs="宋体"/>
          <w:i/>
          <w:color w:val="auto"/>
          <w:szCs w:val="21"/>
          <w:highlight w:val="none"/>
          <w:u w:val="single"/>
          <w:lang w:eastAsia="zh-CN" w:bidi="ar"/>
        </w:rPr>
        <w:t xml:space="preserve">投标人</w:t>
      </w:r>
      <w:r>
        <w:rPr>
          <w:rFonts w:hint="eastAsia" w:ascii="宋体" w:hAnsi="宋体" w:cs="宋体"/>
          <w:i/>
          <w:color w:val="auto"/>
          <w:szCs w:val="21"/>
          <w:highlight w:val="none"/>
          <w:u w:val="single"/>
          <w:lang w:bidi="ar"/>
        </w:rPr>
        <w:t xml:space="preserve">按要求填写并提供《中小企业声明函》或《残疾人福利性单位声明函》，或提供由省级以上监狱管理局、戒毒管理局(含新疆生产建设兵团)出具的属于监狱企业的证明文件。）（原件扫描上传）</w:t>
      </w:r>
      <w:r/>
    </w:p>
    <w:p>
      <w:pPr>
        <w:numPr>
          <w:ilvl w:val="0"/>
          <w:numId w:val="0"/>
        </w:numPr>
        <w:ind w:firstLine="420"/>
        <w:spacing w:line="360" w:lineRule="auto"/>
        <w:rPr>
          <w:rFonts w:ascii="宋体" w:hAnsi="宋体" w:cs="宋体"/>
          <w:i/>
          <w:iCs/>
          <w:color w:val="auto"/>
          <w:szCs w:val="21"/>
          <w:highlight w:val="none"/>
          <w:u w:val="single"/>
        </w:rPr>
      </w:pPr>
      <w:r>
        <w:rPr>
          <w:rFonts w:hint="eastAsia" w:ascii="宋体" w:hAnsi="宋体" w:cs="宋体"/>
          <w:i/>
          <w:color w:val="auto"/>
          <w:szCs w:val="21"/>
          <w:highlight w:val="none"/>
          <w:u w:val="single"/>
          <w:lang w:bidi="ar"/>
        </w:rPr>
        <w:t xml:space="preserve">本项目采购标的按中小企业划分标准所属行业区分为：</w:t>
      </w:r>
      <w:r>
        <w:rPr>
          <w:rFonts w:hint="eastAsia" w:ascii="宋体" w:hAnsi="宋体" w:cs="宋体"/>
          <w:b/>
          <w:bCs/>
          <w:i/>
          <w:color w:val="auto"/>
          <w:szCs w:val="21"/>
          <w:highlight w:val="none"/>
          <w:u w:val="single"/>
          <w:lang w:bidi="ar"/>
        </w:rPr>
        <w:t xml:space="preserve">其他未列明行业</w:t>
      </w:r>
      <w:r>
        <w:rPr>
          <w:rFonts w:hint="eastAsia" w:ascii="宋体" w:hAnsi="宋体" w:cs="宋体"/>
          <w:i/>
          <w:color w:val="auto"/>
          <w:szCs w:val="21"/>
          <w:highlight w:val="none"/>
          <w:u w:val="single"/>
          <w:lang w:bidi="ar"/>
        </w:rPr>
        <w:t xml:space="preserve">（中小微企业划型标准网http://www.ccgp.gov.cn/zcfg/mof/201310/t20131029_3587674.htm）。</w:t>
      </w:r>
      <w:r/>
    </w:p>
    <w:p>
      <w:pPr>
        <w:numPr>
          <w:ilvl w:val="0"/>
          <w:numId w:val="2"/>
        </w:numPr>
        <w:ind w:firstLine="420"/>
        <w:spacing w:line="360" w:lineRule="auto"/>
        <w:rPr>
          <w:rFonts w:ascii="宋体" w:hAnsi="宋体" w:cs="宋体"/>
          <w:b/>
          <w:i/>
          <w:color w:val="auto"/>
          <w:szCs w:val="21"/>
          <w:highlight w:val="none"/>
          <w:u w:val="single"/>
        </w:rPr>
      </w:pPr>
      <w:r>
        <w:rPr>
          <w:rFonts w:hint="eastAsia" w:ascii="宋体" w:hAnsi="宋体" w:cs="宋体"/>
          <w:color w:val="auto"/>
          <w:szCs w:val="21"/>
          <w:highlight w:val="none"/>
        </w:rPr>
        <w:t xml:space="preserve">本项目的特定资格要求：</w:t>
      </w:r>
      <w:r>
        <w:rPr>
          <w:rFonts w:hint="eastAsia" w:ascii="宋体" w:hAnsi="宋体" w:cs="宋体"/>
          <w:i/>
          <w:color w:val="auto"/>
          <w:szCs w:val="21"/>
          <w:highlight w:val="none"/>
          <w:u w:val="single"/>
          <w:lang w:bidi="ar"/>
        </w:rPr>
        <w:t xml:space="preserve"> </w:t>
      </w:r>
      <w:r>
        <w:rPr>
          <w:rFonts w:hint="eastAsia" w:ascii="宋体" w:hAnsi="宋体" w:cs="宋体"/>
          <w:bCs/>
          <w:i/>
          <w:color w:val="auto"/>
          <w:szCs w:val="21"/>
          <w:highlight w:val="none"/>
          <w:u w:val="single"/>
          <w:lang w:bidi="ar"/>
        </w:rPr>
        <w:t xml:space="preserve">无。</w:t>
      </w:r>
      <w:r/>
    </w:p>
    <w:p>
      <w:pPr>
        <w:spacing w:line="360" w:lineRule="auto"/>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3"/>
      <w:r/>
      <w:bookmarkEnd w:id="14"/>
      <w:r/>
      <w:bookmarkEnd w:id="15"/>
      <w:r/>
      <w:bookmarkEnd w:id="16"/>
      <w:r/>
      <w:bookmarkEnd w:id="17"/>
      <w:r/>
      <w:r/>
    </w:p>
    <w:p>
      <w:pPr>
        <w:ind w:firstLine="540"/>
        <w:spacing w:line="360" w:lineRule="auto"/>
        <w:rPr>
          <w:rFonts w:ascii="宋体" w:hAnsi="宋体" w:cs="宋体"/>
          <w:b w:val="0"/>
          <w:bCs w:val="0"/>
          <w:color w:val="auto"/>
          <w:szCs w:val="21"/>
          <w:highlight w:val="none"/>
        </w:rPr>
      </w:pPr>
      <w:r/>
      <w:bookmarkStart w:id="18" w:name="_Toc28359005"/>
      <w:r/>
      <w:bookmarkStart w:id="19" w:name="_Toc35393624"/>
      <w:r/>
      <w:bookmarkStart w:id="20" w:name="_Toc28359082"/>
      <w:r/>
      <w:bookmarkStart w:id="21" w:name="_Toc38985266"/>
      <w:r/>
      <w:bookmarkStart w:id="22" w:name="_Toc35393793"/>
      <w:r>
        <w:rPr>
          <w:rFonts w:hint="eastAsia" w:ascii="宋体" w:hAnsi="宋体" w:cs="宋体"/>
          <w:b w:val="0"/>
          <w:bCs w:val="0"/>
          <w:color w:val="auto"/>
          <w:szCs w:val="21"/>
          <w:highlight w:val="none"/>
        </w:rPr>
        <w:t xml:space="preserve">时间：自招标文件公告发布之日起5个工作日。</w:t>
      </w:r>
      <w:bookmarkEnd w:id="18"/>
      <w:r/>
      <w:bookmarkEnd w:id="19"/>
      <w:r/>
      <w:bookmarkEnd w:id="20"/>
      <w:r/>
      <w:bookmarkEnd w:id="21"/>
      <w:r/>
      <w:bookmarkEnd w:id="22"/>
      <w:r/>
      <w:r/>
    </w:p>
    <w:p>
      <w:pPr>
        <w:ind w:firstLine="540"/>
        <w:spacing w:line="360" w:lineRule="auto"/>
        <w:rPr>
          <w:rFonts w:hint="eastAsia" w:ascii="宋体" w:hAnsi="宋体" w:cs="宋体"/>
          <w:b w:val="0"/>
          <w:bCs w:val="0"/>
          <w:color w:val="auto"/>
          <w:szCs w:val="21"/>
          <w:highlight w:val="none"/>
        </w:rPr>
      </w:pPr>
      <w:r/>
      <w:bookmarkStart w:id="23" w:name="_Toc28359084"/>
      <w:r/>
      <w:bookmarkStart w:id="24" w:name="_Toc28359007"/>
      <w:r/>
      <w:bookmarkStart w:id="25" w:name="_Toc38985267"/>
      <w:r/>
      <w:bookmarkStart w:id="26" w:name="_Toc35393625"/>
      <w:r/>
      <w:bookmarkStart w:id="27" w:name="_Toc35393794"/>
      <w:r>
        <w:rPr>
          <w:rFonts w:hint="eastAsia" w:ascii="宋体" w:hAnsi="宋体" w:cs="宋体"/>
          <w:b w:val="0"/>
          <w:bCs w:val="0"/>
          <w:color w:val="auto"/>
          <w:szCs w:val="21"/>
          <w:highlight w:val="none"/>
        </w:rPr>
        <w:t xml:space="preserve">地点：“扬州市政府采购网”、“江苏省政府采购网”、“中国政府采购网”</w:t>
      </w:r>
      <w:r/>
    </w:p>
    <w:p>
      <w:pPr>
        <w:ind w:firstLine="54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方式：“苏采云”系统（网址： http://jszfcg.jsczt.cn/）</w:t>
      </w:r>
      <w:r/>
    </w:p>
    <w:p>
      <w:pPr>
        <w:ind w:firstLine="54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售价：0.00元</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四、提交投标文件截止时间、开标时间和地点</w:t>
      </w:r>
      <w:bookmarkEnd w:id="23"/>
      <w:r/>
      <w:bookmarkEnd w:id="24"/>
      <w:r/>
      <w:bookmarkEnd w:id="25"/>
      <w:r/>
      <w:bookmarkEnd w:id="26"/>
      <w:r/>
      <w:bookmarkEnd w:id="27"/>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截止时间：2026-</w:t>
      </w:r>
      <w:r>
        <w:rPr>
          <w:rFonts w:hint="eastAsia" w:ascii="宋体" w:hAnsi="宋体" w:cs="宋体"/>
          <w:b w:val="0"/>
          <w:bCs/>
          <w:color w:val="auto"/>
          <w:szCs w:val="21"/>
          <w:highlight w:val="none"/>
          <w:lang w:val="en-US" w:eastAsia="zh-CN"/>
        </w:rPr>
        <w:t xml:space="preserve">11</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  14:30（北京时间）</w:t>
      </w:r>
      <w:r/>
    </w:p>
    <w:p>
      <w:pPr>
        <w:ind w:firstLine="420"/>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 xml:space="preserve">地点：“苏采云”系统（网址： http://jszfcg.jsczt.cn/）</w:t>
      </w:r>
      <w:r/>
    </w:p>
    <w:p>
      <w:pPr>
        <w:spacing w:line="360" w:lineRule="auto"/>
        <w:tabs>
          <w:tab w:val="left" w:pos="266" w:leader="none"/>
        </w:tabs>
        <w:rPr>
          <w:rFonts w:ascii="宋体" w:hAnsi="宋体" w:cs="宋体"/>
          <w:b/>
          <w:bCs/>
          <w:color w:val="auto"/>
          <w:szCs w:val="21"/>
          <w:highlight w:val="none"/>
        </w:rPr>
      </w:pPr>
      <w:r/>
      <w:bookmarkStart w:id="28" w:name="_Toc35393795"/>
      <w:r/>
      <w:bookmarkStart w:id="29" w:name="_Toc38985268"/>
      <w:r/>
      <w:bookmarkStart w:id="30" w:name="_Toc35393626"/>
      <w:r>
        <w:rPr>
          <w:rFonts w:hint="eastAsia" w:ascii="宋体" w:hAnsi="宋体" w:cs="宋体"/>
          <w:b/>
          <w:bCs/>
          <w:color w:val="auto"/>
          <w:szCs w:val="21"/>
          <w:highlight w:val="none"/>
        </w:rPr>
        <w:t xml:space="preserve">五、公告期限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numPr>
          <w:ilvl w:val="0"/>
          <w:numId w:val="3"/>
        </w:numPr>
        <w:spacing w:line="360" w:lineRule="auto"/>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其他补充事宜</w:t>
      </w:r>
      <w:bookmarkEnd w:id="28"/>
      <w:r/>
      <w:bookmarkEnd w:id="29"/>
      <w:r/>
      <w:bookmarkEnd w:id="30"/>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1.时间：自招标文件公告发布之日起5个工作日。5个工作日后仍可下载招标文件，但不作为</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权益受到损害的证明材料和依据。</w:t>
      </w:r>
      <w:r/>
    </w:p>
    <w:p>
      <w:pPr>
        <w:ind w:firstLine="422"/>
        <w:spacing w:line="360" w:lineRule="auto"/>
        <w:rPr>
          <w:rFonts w:ascii="宋体" w:hAnsi="宋体" w:cs="宋体"/>
          <w:b/>
          <w:bCs/>
          <w:color w:val="auto"/>
          <w:szCs w:val="21"/>
          <w:highlight w:val="none"/>
        </w:rPr>
      </w:pPr>
      <w:r/>
      <w:bookmarkStart w:id="31" w:name="_Toc28359085"/>
      <w:r/>
      <w:bookmarkStart w:id="32" w:name="_Toc35393796"/>
      <w:r/>
      <w:bookmarkStart w:id="33" w:name="_Toc35393627"/>
      <w:r/>
      <w:bookmarkStart w:id="34" w:name="_Toc28359008"/>
      <w:r/>
      <w:bookmarkStart w:id="35" w:name="_Toc38985269"/>
      <w:r>
        <w:rPr>
          <w:rFonts w:hint="eastAsia" w:ascii="宋体" w:hAnsi="宋体" w:cs="宋体"/>
          <w:b/>
          <w:bCs/>
          <w:color w:val="auto"/>
          <w:szCs w:val="21"/>
          <w:highlight w:val="none"/>
        </w:rPr>
        <w:t xml:space="preserve">2.本次采购采用“政府采购管理交易系统（苏采云）”，招标、投标、评标和中标结果发布全程电子化，开标方式为不见面开标。</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应当按照《“苏采云”系统</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操作手册》参加投标活动。如</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未按要求操作，由此所产生的风险由</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自行承担。</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如确定参加投标，可自行下载采购文件及有关资料，按照《操作手册》进行注册，领取CA和办理电子签章，并按《操作手册》要求制作、上传电子投标文件，技术支持联系方式：13813140731。</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4.潜在</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访问政府采购管理交易系统（苏采云）的网络地址和方法：</w:t>
      </w:r>
      <w:r/>
    </w:p>
    <w:p>
      <w:pPr>
        <w:ind w:firstLine="422"/>
        <w:spacing w:line="360" w:lineRule="auto"/>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需办理CA锁，“苏采云”系统目前仅支持“苏采云”系统下的政务CA，省内各地区办理的“苏采云”系统下的政务CA全省通用。</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操作手册详见：</w:t>
      </w:r>
      <w:r/>
    </w:p>
    <w:p>
      <w:pPr>
        <w:ind w:firstLine="54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fldChar w:fldCharType="begin"/>
      </w:r>
      <w:r>
        <w:rPr>
          <w:rFonts w:hint="eastAsia" w:ascii="宋体" w:hAnsi="宋体" w:cs="宋体"/>
          <w:b/>
          <w:bCs/>
          <w:color w:val="auto"/>
          <w:szCs w:val="21"/>
          <w:highlight w:val="none"/>
        </w:rPr>
        <w:instrText xml:space="preserve"> HYPERLINK "http://zfcg.yangzhou.gov.cn/zfcg/xzzx/202309/4d7de1f7865f4a2894fc22bc452f94d8.shtml。" </w:instrText>
      </w:r>
      <w:r>
        <w:rPr>
          <w:rFonts w:hint="eastAsia" w:ascii="宋体" w:hAnsi="宋体" w:cs="宋体"/>
          <w:b/>
          <w:bCs/>
          <w:color w:val="auto"/>
          <w:szCs w:val="21"/>
          <w:highlight w:val="none"/>
        </w:rPr>
        <w:fldChar w:fldCharType="separate"/>
      </w:r>
      <w:r>
        <w:rPr>
          <w:rStyle w:val="743"/>
          <w:rFonts w:hint="eastAsia" w:ascii="宋体" w:hAnsi="宋体" w:cs="宋体"/>
          <w:b/>
          <w:bCs/>
          <w:color w:val="auto"/>
          <w:szCs w:val="21"/>
          <w:highlight w:val="none"/>
        </w:rPr>
        <w:t xml:space="preserve">http://zfcg.yangzhou.gov.cn/zfcg/xzzx/202309/4d7de1f7865f4a2894fc22bc452f94d8.shtml。</w:t>
      </w:r>
      <w:r>
        <w:rPr>
          <w:rFonts w:hint="eastAsia" w:ascii="宋体" w:hAnsi="宋体" w:cs="宋体"/>
          <w:b/>
          <w:bCs/>
          <w:color w:val="auto"/>
          <w:szCs w:val="21"/>
          <w:highlight w:val="none"/>
        </w:rPr>
        <w:fldChar w:fldCharType="end"/>
      </w:r>
      <w:r/>
    </w:p>
    <w:p>
      <w:pPr>
        <w:ind w:firstLine="54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（4）潜在</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访问“苏采云”系统的网络地址和方法：“苏采云”系统的网址：http://jszfcg.jsczt.cn/。</w:t>
      </w:r>
      <w:r/>
    </w:p>
    <w:p>
      <w:pPr>
        <w:ind w:firstLine="54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操作手册及政府采购客户端工具也可通过“苏采云”系统--已报名项目--报名详情页面内相应链接进行下载。</w:t>
      </w:r>
      <w:r/>
    </w:p>
    <w:p>
      <w:pPr>
        <w:ind w:firstLine="54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w:t>
      </w:r>
      <w:r>
        <w:rPr>
          <w:rFonts w:hint="eastAsia" w:ascii="宋体" w:hAnsi="宋体" w:cs="宋体"/>
          <w:b/>
          <w:bCs/>
          <w:color w:val="auto"/>
          <w:szCs w:val="21"/>
          <w:highlight w:val="none"/>
          <w:lang w:eastAsia="zh-CN"/>
        </w:rPr>
        <w:t xml:space="preserve">投标人</w:t>
      </w:r>
      <w:r>
        <w:rPr>
          <w:rFonts w:hint="eastAsia" w:ascii="宋体" w:hAnsi="宋体" w:cs="宋体"/>
          <w:b/>
          <w:bCs/>
          <w:color w:val="auto"/>
          <w:szCs w:val="21"/>
          <w:highlight w:val="none"/>
        </w:rPr>
        <w:t xml:space="preserve">下载或者查阅。</w:t>
      </w:r>
      <w:r/>
    </w:p>
    <w:p>
      <w:pPr>
        <w:ind w:firstLine="54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有关本次招标的事项若存在变动或修改，敬请及时关注</w:t>
      </w:r>
      <w:r>
        <w:rPr>
          <w:rFonts w:hint="eastAsia" w:ascii="宋体" w:hAnsi="宋体" w:cs="宋体"/>
          <w:color w:val="auto"/>
          <w:szCs w:val="21"/>
          <w:highlight w:val="none"/>
        </w:rPr>
        <w:t xml:space="preserve">“扬州市政府采购网”、“江苏省政府采购网”“中国政府采购网”</w:t>
      </w:r>
      <w:r>
        <w:rPr>
          <w:rFonts w:hint="eastAsia" w:ascii="宋体" w:hAnsi="宋体" w:cs="宋体"/>
          <w:bCs/>
          <w:color w:val="auto"/>
          <w:szCs w:val="21"/>
          <w:highlight w:val="none"/>
        </w:rPr>
        <w:t xml:space="preserve">发布的信息。</w:t>
      </w:r>
      <w:r/>
    </w:p>
    <w:p>
      <w:pPr>
        <w:ind w:firstLine="422"/>
        <w:spacing w:line="360" w:lineRule="auto"/>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7.本项目招标文件中所有斜体下划线部分为实质性条款，如不满足，则为无效投标。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8.如在开标时间发生系统崩溃等不可预见的情况，造成开评标活动无法正常进行的，将延迟开评标，具体开评标时间另行通知。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9.为落实好政府采购履约资金扶持政策，中标/成交</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可凭政府采购合同办理融资贷款，详见江苏政府采购网“政采贷”专栏。</w:t>
      </w:r>
      <w:r/>
    </w:p>
    <w:p>
      <w:pPr>
        <w:ind w:firstLine="420"/>
        <w:spacing w:line="360" w:lineRule="auto"/>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10.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扬州市广陵区住房和城乡建设局</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址：江苏省扬州市广陵区文昌东路12号泰达Y-MSD12栋15层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联系人：顾菁菁</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联系方式：17712353363</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2.代理机构信息</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称：扬州览众建设工程咨询服务有限公司</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地　址：</w:t>
      </w:r>
      <w:r>
        <w:rPr>
          <w:rFonts w:hint="eastAsia" w:ascii="宋体" w:hAnsi="宋体" w:cs="宋体"/>
          <w:color w:val="auto"/>
          <w:szCs w:val="21"/>
          <w:highlight w:val="none"/>
          <w:shd w:val="clear" w:color="auto" w:fill="ffffff"/>
        </w:rPr>
        <w:t xml:space="preserve">扬州市蜀冈—瘦西湖风景名胜区黄金坝路47号瘦西湖名苑22幢办公3楼</w:t>
      </w:r>
      <w:bookmarkStart w:id="36" w:name="_Toc28359010"/>
      <w:r/>
      <w:bookmarkStart w:id="37" w:name="_Toc2835908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联系人：殷梦秋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w:t>
      </w:r>
      <w:bookmarkEnd w:id="36"/>
      <w:r/>
      <w:bookmarkEnd w:id="37"/>
      <w:r>
        <w:rPr>
          <w:rFonts w:hint="eastAsia" w:ascii="宋体" w:hAnsi="宋体" w:cs="宋体"/>
          <w:color w:val="auto"/>
          <w:szCs w:val="21"/>
          <w:highlight w:val="none"/>
        </w:rPr>
        <w:t xml:space="preserve">13912131736</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932"/>
        <w:numPr>
          <w:ilvl w:val="0"/>
          <w:numId w:val="1"/>
        </w:numPr>
        <w:jc w:val="center"/>
        <w:spacing w:line="360" w:lineRule="auto"/>
        <w:rPr>
          <w:rFonts w:ascii="宋体" w:hAnsi="宋体"/>
          <w:color w:val="auto"/>
          <w:szCs w:val="36"/>
          <w:highlight w:val="none"/>
        </w:rPr>
      </w:pPr>
      <w:r/>
      <w:bookmarkStart w:id="38" w:name="_Toc15439"/>
      <w:r/>
      <w:bookmarkStart w:id="39" w:name="_Toc55204178"/>
      <w:r>
        <w:rPr>
          <w:rFonts w:hint="eastAsia" w:ascii="宋体" w:hAnsi="宋体"/>
          <w:color w:val="auto"/>
          <w:szCs w:val="36"/>
          <w:highlight w:val="none"/>
        </w:rPr>
        <w:t xml:space="preserve">投标人须知</w:t>
      </w:r>
      <w:bookmarkEnd w:id="38"/>
      <w:r/>
      <w:bookmarkEnd w:id="39"/>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JSZC-321002-YZLZ-G2026-0008号</w:t>
      </w:r>
      <w:r>
        <w:rPr>
          <w:rFonts w:hint="eastAsia" w:ascii="宋体" w:hAnsi="宋体" w:cs="宋体"/>
          <w:bCs/>
          <w:color w:val="auto"/>
          <w:szCs w:val="21"/>
          <w:highlight w:val="none"/>
        </w:rPr>
        <w:t xml:space="preserve">项目。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 本招标文件中“</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”，即“投标人”，是指参加投标竞争，并符合招标文件规定资格条件的法人、其他组织或者自然人。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 满足招标公告中</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的资格条件要求的规定。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4.2</w:t>
      </w:r>
      <w:r>
        <w:rPr>
          <w:rFonts w:hint="eastAsia" w:ascii="宋体" w:hAnsi="宋体" w:cs="宋体"/>
          <w:b/>
          <w:bCs/>
          <w:color w:val="auto"/>
          <w:szCs w:val="21"/>
          <w:highlight w:val="none"/>
        </w:rPr>
        <w:t xml:space="preserve">本次采购由中标人在领取中标通知书前按照国家计委印发的《招标代理服务收费管理暂行办法》(计价格〔2002〕1980号文）</w:t>
      </w:r>
      <w:r>
        <w:rPr>
          <w:rFonts w:hint="eastAsia" w:ascii="宋体" w:hAnsi="宋体" w:cs="宋体"/>
          <w:b/>
          <w:bCs/>
          <w:color w:val="auto"/>
          <w:szCs w:val="21"/>
          <w:highlight w:val="none"/>
          <w:lang w:eastAsia="zh-CN"/>
        </w:rPr>
        <w:t xml:space="preserve">、发改价格[2011]534号文件</w:t>
      </w:r>
      <w:r>
        <w:rPr>
          <w:rFonts w:hint="eastAsia" w:ascii="宋体" w:hAnsi="宋体" w:cs="宋体"/>
          <w:b/>
          <w:bCs/>
          <w:color w:val="auto"/>
          <w:szCs w:val="21"/>
          <w:highlight w:val="none"/>
        </w:rPr>
        <w:t xml:space="preserve">服务类</w:t>
      </w:r>
      <w:r>
        <w:rPr>
          <w:rFonts w:hint="eastAsia" w:ascii="宋体" w:hAnsi="宋体" w:cs="宋体"/>
          <w:b/>
          <w:bCs/>
          <w:color w:val="auto"/>
          <w:szCs w:val="21"/>
          <w:highlight w:val="none"/>
          <w:lang w:val="en-US" w:eastAsia="zh-CN"/>
        </w:rPr>
        <w:t xml:space="preserve">*35</w:t>
      </w:r>
      <w:r>
        <w:rPr>
          <w:rFonts w:hint="eastAsia" w:ascii="宋体" w:hAnsi="宋体" w:cs="宋体"/>
          <w:b/>
          <w:bCs/>
          <w:color w:val="auto"/>
          <w:szCs w:val="21"/>
          <w:highlight w:val="none"/>
        </w:rPr>
        <w:t xml:space="preserve">%的标准一次性支付给招标代理机构代理服务费。 </w:t>
      </w:r>
      <w:r/>
    </w:p>
    <w:p>
      <w:pPr>
        <w:ind w:firstLine="42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（3）招标代理服务费不在投标报价中单列，包含在投标总价中，由中标单位支付给代理机构。</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对要求提供的服务不得部分投标；招标服务数量及技术要求中已经分包的，应当以包为单位投标。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6.3 招标文件如果要求</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提交备选投标方案的，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可以提交备选方案；否则，备选方案将被拒绝。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11.4投标人应提交根据合同要求提供的证明服务质量合格以及符合招标文件规定的证明文件。</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11.5证明投标人所提供服务与招标文件的要求相一致的文件可以是手册、图纸、文字资料和数据。</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分项报价表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招标文件未列明，而投标人认为必需的费用也需列入报价。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12.4投标货币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14.1投标人的服务承诺应按不低于招标文件中商务要求的标准。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highlight w:val="none"/>
        </w:rPr>
      </w:pPr>
      <w:r/>
      <w:bookmarkStart w:id="40" w:name="_Toc513029225"/>
      <w:r/>
      <w:bookmarkStart w:id="41" w:name="_Toc16938541"/>
      <w:r/>
      <w:bookmarkStart w:id="42" w:name="_Toc462564084"/>
      <w:r/>
      <w:bookmarkStart w:id="43" w:name="_Toc20823297"/>
      <w:r>
        <w:rPr>
          <w:rFonts w:hint="eastAsia" w:ascii="宋体" w:hAnsi="宋体" w:cs="宋体"/>
          <w:b/>
          <w:color w:val="auto"/>
          <w:szCs w:val="21"/>
          <w:highlight w:val="none"/>
        </w:rPr>
        <w:t xml:space="preserve">17、投标文件</w:t>
      </w:r>
      <w:bookmarkEnd w:id="40"/>
      <w:r/>
      <w:bookmarkEnd w:id="41"/>
      <w:r/>
      <w:bookmarkEnd w:id="42"/>
      <w:r/>
      <w:bookmarkEnd w:id="43"/>
      <w:r>
        <w:rPr>
          <w:rFonts w:hint="eastAsia" w:ascii="宋体" w:hAnsi="宋体" w:cs="宋体"/>
          <w:b/>
          <w:color w:val="auto"/>
          <w:szCs w:val="21"/>
          <w:highlight w:val="none"/>
        </w:rPr>
        <w:t xml:space="preserve">的递交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4" w:name="_Toc513029226"/>
      <w:r/>
      <w:bookmarkStart w:id="45" w:name="_Toc20823298"/>
      <w:r/>
      <w:bookmarkStart w:id="46" w:name="_Toc16938542"/>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4"/>
      <w:r/>
      <w:bookmarkEnd w:id="45"/>
      <w:r/>
      <w:bookmarkEnd w:id="46"/>
      <w:r/>
      <w:r/>
    </w:p>
    <w:p>
      <w:pPr>
        <w:ind w:firstLine="420"/>
        <w:spacing w:line="360" w:lineRule="auto"/>
        <w:rPr>
          <w:rFonts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color w:val="auto"/>
          <w:szCs w:val="21"/>
          <w:highlight w:val="none"/>
        </w:rPr>
      </w:pPr>
      <w:r/>
      <w:bookmarkStart w:id="47" w:name="_Toc16938543"/>
      <w:r/>
      <w:bookmarkStart w:id="48" w:name="_Toc20823299"/>
      <w:r/>
      <w:bookmarkStart w:id="49" w:name="_Toc513029227"/>
      <w:r>
        <w:rPr>
          <w:rFonts w:hint="eastAsia" w:ascii="宋体" w:hAnsi="宋体" w:cs="宋体"/>
          <w:b/>
          <w:color w:val="auto"/>
          <w:szCs w:val="21"/>
          <w:highlight w:val="none"/>
        </w:rPr>
        <w:t xml:space="preserve">19、投标文件</w:t>
      </w:r>
      <w:bookmarkEnd w:id="47"/>
      <w:r/>
      <w:bookmarkEnd w:id="48"/>
      <w:r/>
      <w:bookmarkEnd w:id="49"/>
      <w:r>
        <w:rPr>
          <w:rFonts w:hint="eastAsia" w:ascii="宋体" w:hAnsi="宋体" w:cs="宋体"/>
          <w:b/>
          <w:color w:val="auto"/>
          <w:szCs w:val="21"/>
          <w:highlight w:val="none"/>
        </w:rPr>
        <w:t xml:space="preserve">的拒收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cs="宋体"/>
          <w:b/>
          <w:color w:val="auto"/>
          <w:szCs w:val="21"/>
          <w:highlight w:val="none"/>
        </w:rPr>
      </w:pPr>
      <w:r/>
      <w:bookmarkStart w:id="50" w:name="_Toc513029228"/>
      <w:r/>
      <w:bookmarkStart w:id="51" w:name="_Toc16938544"/>
      <w:r/>
      <w:bookmarkStart w:id="52" w:name="_Toc20823300"/>
      <w:r>
        <w:rPr>
          <w:rFonts w:hint="eastAsia" w:ascii="宋体" w:hAnsi="宋体" w:cs="宋体"/>
          <w:b/>
          <w:color w:val="auto"/>
          <w:szCs w:val="21"/>
          <w:highlight w:val="none"/>
        </w:rPr>
        <w:t xml:space="preserve">20、投标文件的撤回和修改</w:t>
      </w:r>
      <w:bookmarkEnd w:id="50"/>
      <w:r/>
      <w:bookmarkEnd w:id="51"/>
      <w:r/>
      <w:bookmarkEnd w:id="52"/>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22.1 开标后，代理机构将立即组织评标委员会（以下简称评委会）进行评标。</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22.3评委会独立工作，负责评审所有投标文件并确定中标候选人。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的身份共同参加政府采购活动的,联合体成员存在不良信用记录的，视同联合体存在不良信用记录。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25.7 投标人在开、评标全过程中应保持通讯畅通，并安排专人与代理机构及评委会联系。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的身份共同参加政府采购活动的，联合体成员存在不良信用记录的，视同联合体存在不良应用记录。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26.1.10 政府采购评审中出现下列情形之一的，评审委员会应当启动异常低价投标（响应）审查程序：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（1）.投标（响应）报价低于全部通过符合性审查</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投标（响应）报价平均值</w:t>
      </w:r>
      <w:r>
        <w:rPr>
          <w:rFonts w:hint="eastAsia" w:ascii="宋体" w:hAnsi="宋体" w:cs="宋体"/>
          <w:bCs/>
          <w:color w:val="auto"/>
          <w:szCs w:val="21"/>
          <w:highlight w:val="none"/>
          <w:lang w:val="en-US" w:eastAsia="zh-CN"/>
        </w:rPr>
        <w:t xml:space="preserve">65</w:t>
      </w:r>
      <w:r>
        <w:rPr>
          <w:rFonts w:hint="eastAsia" w:ascii="宋体" w:hAnsi="宋体" w:cs="宋体"/>
          <w:bCs/>
          <w:color w:val="auto"/>
          <w:szCs w:val="21"/>
          <w:highlight w:val="none"/>
        </w:rPr>
        <w:t xml:space="preserve">%的，即投标（响应）报价&lt;全部通过符合性审查</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投标（响应）报价平均值×</w:t>
      </w:r>
      <w:r>
        <w:rPr>
          <w:rFonts w:hint="eastAsia" w:ascii="宋体" w:hAnsi="宋体" w:cs="宋体"/>
          <w:bCs/>
          <w:color w:val="auto"/>
          <w:szCs w:val="21"/>
          <w:highlight w:val="none"/>
          <w:lang w:val="en-US" w:eastAsia="zh-CN"/>
        </w:rPr>
        <w:t xml:space="preserve">65</w:t>
      </w:r>
      <w:r>
        <w:rPr>
          <w:rFonts w:hint="eastAsia" w:ascii="宋体" w:hAnsi="宋体" w:cs="宋体"/>
          <w:bCs/>
          <w:color w:val="auto"/>
          <w:szCs w:val="21"/>
          <w:highlight w:val="none"/>
        </w:rPr>
        <w:t xml:space="preserve">%；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（2）.投标（响应）报价低于通过符合性审查的次低报价</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投标（响应）报价</w:t>
      </w:r>
      <w:r>
        <w:rPr>
          <w:rFonts w:hint="eastAsia" w:ascii="宋体" w:hAnsi="宋体" w:cs="宋体"/>
          <w:bCs/>
          <w:color w:val="auto"/>
          <w:szCs w:val="21"/>
          <w:highlight w:val="none"/>
          <w:lang w:val="en-US" w:eastAsia="zh-CN"/>
        </w:rPr>
        <w:t xml:space="preserve">65</w:t>
      </w:r>
      <w:r>
        <w:rPr>
          <w:rFonts w:hint="eastAsia" w:ascii="宋体" w:hAnsi="宋体" w:cs="宋体"/>
          <w:bCs/>
          <w:color w:val="auto"/>
          <w:szCs w:val="21"/>
          <w:highlight w:val="none"/>
        </w:rPr>
        <w:t xml:space="preserve">%的，即投标（响应）报价&lt;通过符合性审查的次低报价</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投标（响应）报价×</w:t>
      </w:r>
      <w:r>
        <w:rPr>
          <w:rFonts w:hint="eastAsia" w:ascii="宋体" w:hAnsi="宋体" w:cs="宋体"/>
          <w:bCs/>
          <w:color w:val="auto"/>
          <w:szCs w:val="21"/>
          <w:highlight w:val="none"/>
          <w:lang w:val="en-US" w:eastAsia="zh-CN"/>
        </w:rPr>
        <w:t xml:space="preserve">65</w:t>
      </w:r>
      <w:r>
        <w:rPr>
          <w:rFonts w:hint="eastAsia" w:ascii="宋体" w:hAnsi="宋体" w:cs="宋体"/>
          <w:bCs/>
          <w:color w:val="auto"/>
          <w:szCs w:val="21"/>
          <w:highlight w:val="none"/>
        </w:rPr>
        <w:t xml:space="preserve">%；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（3）.投标（响应）报价低于采购项目最高限价</w:t>
      </w:r>
      <w:r>
        <w:rPr>
          <w:rFonts w:hint="eastAsia" w:ascii="宋体" w:hAnsi="宋体" w:cs="宋体"/>
          <w:bCs/>
          <w:color w:val="auto"/>
          <w:szCs w:val="21"/>
          <w:highlight w:val="none"/>
          <w:lang w:val="en-US" w:eastAsia="zh-CN"/>
        </w:rPr>
        <w:t xml:space="preserve">65</w:t>
      </w:r>
      <w:r>
        <w:rPr>
          <w:rFonts w:hint="eastAsia" w:ascii="宋体" w:hAnsi="宋体" w:cs="宋体"/>
          <w:bCs/>
          <w:color w:val="auto"/>
          <w:szCs w:val="21"/>
          <w:highlight w:val="none"/>
        </w:rPr>
        <w:t xml:space="preserve">%的，即投标（响应）报价&lt;采购项目最高限价×</w:t>
      </w:r>
      <w:r>
        <w:rPr>
          <w:rFonts w:hint="eastAsia" w:ascii="宋体" w:hAnsi="宋体" w:cs="宋体"/>
          <w:bCs/>
          <w:color w:val="auto"/>
          <w:szCs w:val="21"/>
          <w:highlight w:val="none"/>
          <w:lang w:val="en-US" w:eastAsia="zh-CN"/>
        </w:rPr>
        <w:t xml:space="preserve">65</w:t>
      </w:r>
      <w:r>
        <w:rPr>
          <w:rFonts w:hint="eastAsia" w:ascii="宋体" w:hAnsi="宋体" w:cs="宋体"/>
          <w:bCs/>
          <w:color w:val="auto"/>
          <w:szCs w:val="21"/>
          <w:highlight w:val="none"/>
        </w:rPr>
        <w:t xml:space="preserve">%；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（4）.评审委员会基于专业判断，认为</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报价过低，有可能影响产品质量或者不能诚信履约的其他情形。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评审委员会启动异常低价投标（响应）审查后，属于前述第1项至第4项情形的，应当要求相关</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的合理时间一般不少于30分钟。其中，属于第3项情形，</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已随投标（响应）文件一并提交相关书面说明及必要的证明材料的，在评审现场可不再重复提交。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提供的相关书面说明及证明材料，以及评审委员会有关互联网浏览、查询历史一并归档。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26.1.13其他法律、法规及本招标文件规定的属无效投标的情形。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或者对招标文件作实质响应的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或者在评标期间对招标文件做出实质性响应的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不足三家情况，按政府采购相关规定执行。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27.3代理机构将在“扬州市政府采购网”、“江苏省政府采购网”、“中国政府采购网”发布中标公告，公告期限为1个工作日。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28.1提出质疑的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应当是参与所质疑项目采购活动的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。潜在</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依法获取其可质疑的采购文件的，可以对采购文件提出质疑。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应向采购人提出，由采购人负责答复。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28.2.2对采购过程提出质疑的，为各采购程序环节结束之日起7个工作日内提出。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28.2.3对中标结果提出质疑的，为中标结果公告期限届满之日起7个工作日内提出。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应在法定质疑期内一次性提出针对同一采购程序环节的质疑。</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如在法定期限内对同一采购程序环节提出多次质疑的，代理机构、采购人将只对</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第一次质疑作出答复。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如组成联合体参加投标，则《质疑函范本》及《授权委托书》中要求签字、盖章、加盖公章之处，联合体各方均须按要求签字、盖章、加盖公章。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w:t>
      </w:r>
      <w:r>
        <w:rPr>
          <w:rFonts w:hint="eastAsia" w:ascii="宋体" w:hAnsi="宋体" w:cs="宋体"/>
          <w:b/>
          <w:color w:val="auto"/>
          <w:szCs w:val="21"/>
          <w:highlight w:val="none"/>
          <w:u w:val="single"/>
        </w:rPr>
        <w:t xml:space="preserve">同时需与采购代理机构经办人确认是否收到《质疑函》，如</w:t>
      </w:r>
      <w:r>
        <w:rPr>
          <w:rFonts w:hint="eastAsia" w:ascii="宋体" w:hAnsi="宋体" w:cs="宋体"/>
          <w:b/>
          <w:color w:val="auto"/>
          <w:szCs w:val="21"/>
          <w:highlight w:val="none"/>
          <w:u w:val="single"/>
          <w:lang w:eastAsia="zh-CN"/>
        </w:rPr>
        <w:t xml:space="preserve">投标人</w:t>
      </w:r>
      <w:r>
        <w:rPr>
          <w:rFonts w:hint="eastAsia" w:ascii="宋体" w:hAnsi="宋体" w:cs="宋体"/>
          <w:b/>
          <w:color w:val="auto"/>
          <w:szCs w:val="21"/>
          <w:highlight w:val="none"/>
          <w:u w:val="single"/>
        </w:rPr>
        <w:t xml:space="preserve">未按上述要求去做，将自行承担所产生的风险。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28.8.4 未参加投标活动的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或在投标活动中自身权益未受到损害的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所提出的质疑。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28.8.5</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组成联合体参加投标，联合体中任何一方或多方未按要求签字、盖章、加盖公章的质疑。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28.9 </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进行相应的行政处罚和记录该</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的失信信息。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的书面质疑后7个工作日内作出答复，并以书面形式通知质疑</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和其他有关</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，但答复的内容不得涉及商业秘密。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31、其他</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    31.1 依据《政府采购促进中小企业发展管理办法》享受享受扶持政策获得政府采购合同的，小微企业不得将合同分包给大中型企业，中型企业不得将合同分包给大型企业。</w:t>
      </w:r>
      <w:r/>
    </w:p>
    <w:p>
      <w:pPr>
        <w:pStyle w:val="932"/>
        <w:jc w:val="center"/>
        <w:spacing w:line="360" w:lineRule="auto"/>
        <w:rPr>
          <w:rFonts w:ascii="宋体" w:hAnsi="宋体"/>
          <w:color w:val="auto"/>
          <w:szCs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53" w:name="_Toc55204179"/>
      <w:r/>
      <w:bookmarkStart w:id="54" w:name="_Hlk69392822"/>
      <w:r/>
      <w:r/>
    </w:p>
    <w:p>
      <w:pPr>
        <w:pStyle w:val="932"/>
        <w:jc w:val="center"/>
        <w:spacing w:line="360" w:lineRule="auto"/>
        <w:rPr>
          <w:rFonts w:ascii="宋体" w:hAnsi="宋体"/>
          <w:color w:val="auto"/>
          <w:szCs w:val="36"/>
          <w:highlight w:val="none"/>
        </w:rPr>
      </w:pPr>
      <w:r/>
      <w:bookmarkStart w:id="55" w:name="_Toc6097"/>
      <w:r>
        <w:rPr>
          <w:rFonts w:hint="eastAsia" w:ascii="宋体" w:hAnsi="宋体"/>
          <w:color w:val="auto"/>
          <w:szCs w:val="36"/>
          <w:highlight w:val="none"/>
        </w:rPr>
        <w:t xml:space="preserve">第三章 合同条款及格式</w:t>
      </w:r>
      <w:bookmarkEnd w:id="53"/>
      <w:r/>
      <w:bookmarkEnd w:id="55"/>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以下为中标后签定本项目合同的通用条款，具体内容以合同签订为准。</w:t>
      </w:r>
      <w:r/>
    </w:p>
    <w:p>
      <w:pPr>
        <w:pStyle w:val="959"/>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项目名称：</w:t>
      </w:r>
      <w:r>
        <w:rPr>
          <w:rFonts w:hint="eastAsia" w:hAnsi="宋体"/>
          <w:color w:val="auto"/>
          <w:sz w:val="21"/>
          <w:highlight w:val="none"/>
          <w:lang w:eastAsia="zh-CN"/>
        </w:rPr>
        <w:t xml:space="preserve">2026年广陵区公园综合管理服务项目</w:t>
      </w:r>
      <w:r>
        <w:rPr>
          <w:rFonts w:hint="eastAsia" w:hAnsi="宋体"/>
          <w:color w:val="auto"/>
          <w:sz w:val="21"/>
          <w:highlight w:val="none"/>
        </w:rPr>
        <w:t xml:space="preserve">               </w:t>
      </w:r>
      <w:r/>
    </w:p>
    <w:p>
      <w:pPr>
        <w:pStyle w:val="959"/>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JSZC-321002-YZLZ-G2026-0008号</w:t>
      </w:r>
      <w:r/>
    </w:p>
    <w:p>
      <w:pPr>
        <w:pStyle w:val="959"/>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甲方（采购人）：</w:t>
      </w:r>
      <w:r>
        <w:rPr>
          <w:rFonts w:hint="eastAsia" w:hAnsi="宋体"/>
          <w:color w:val="auto"/>
          <w:sz w:val="21"/>
          <w:highlight w:val="none"/>
          <w:lang w:eastAsia="zh-CN"/>
        </w:rPr>
        <w:t xml:space="preserve">扬州市广陵区住房和城乡建设局</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乙方（中标人）：</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见证方：扬州览众建设工程咨询服务有限公司</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甲、乙双方根据扬州览众建设工程咨询服务有限公司</w:t>
      </w:r>
      <w:r>
        <w:rPr>
          <w:rFonts w:hint="eastAsia" w:hAnsi="宋体"/>
          <w:color w:val="auto"/>
          <w:sz w:val="21"/>
          <w:highlight w:val="none"/>
          <w:u w:val="single"/>
          <w:lang w:eastAsia="zh-CN"/>
        </w:rPr>
        <w:t xml:space="preserve">2026年广陵区公园综合管理服务项目</w:t>
      </w:r>
      <w:r>
        <w:rPr>
          <w:rFonts w:hint="eastAsia" w:hAnsi="宋体"/>
          <w:color w:val="auto"/>
          <w:sz w:val="21"/>
          <w:highlight w:val="none"/>
        </w:rPr>
        <w:t xml:space="preserve">公开招标的结果，签署本合同。</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一、服务内容</w:t>
      </w:r>
      <w:r/>
    </w:p>
    <w:p>
      <w:pPr>
        <w:pStyle w:val="959"/>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1.1 项目名称：</w:t>
      </w:r>
      <w:r>
        <w:rPr>
          <w:rFonts w:hint="eastAsia" w:hAnsi="宋体"/>
          <w:color w:val="auto"/>
          <w:sz w:val="21"/>
          <w:highlight w:val="none"/>
          <w:lang w:eastAsia="zh-CN"/>
        </w:rPr>
        <w:t xml:space="preserve">2026年广陵区公园综合管理服务项目</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1.2 项目服务内容：详见招标文件项目需求</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2.1 本合同金额为（大写）：____________________圆（_______________元）人民币。</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959"/>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5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履约保证金收取：无</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59"/>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959"/>
        <w:ind w:firstLine="420"/>
        <w:spacing w:before="120" w:after="120" w:line="360" w:lineRule="auto"/>
        <w:rPr>
          <w:rFonts w:hAnsi="宋体"/>
          <w:color w:val="auto"/>
          <w:sz w:val="21"/>
          <w:highlight w:val="none"/>
          <w:u w:val="single"/>
        </w:rPr>
      </w:pPr>
      <w:r>
        <w:rPr>
          <w:rFonts w:hint="eastAsia" w:hAnsi="宋体"/>
          <w:color w:val="auto"/>
          <w:sz w:val="21"/>
          <w:highlight w:val="none"/>
        </w:rPr>
        <w:t xml:space="preserve">8.1 服务期：</w:t>
      </w:r>
      <w:r>
        <w:rPr>
          <w:rFonts w:hint="eastAsia" w:hAnsi="宋体"/>
          <w:color w:val="auto"/>
          <w:sz w:val="21"/>
          <w:highlight w:val="none"/>
          <w:u w:val="single"/>
        </w:rPr>
        <w:t xml:space="preserve">自合同签订之日起一年。</w:t>
      </w:r>
      <w:r/>
    </w:p>
    <w:p>
      <w:pPr>
        <w:pStyle w:val="975"/>
        <w:ind w:firstLine="422"/>
        <w:spacing w:line="360" w:lineRule="auto"/>
        <w:rPr>
          <w:rFonts w:hAnsi="宋体"/>
          <w:b/>
          <w:bCs/>
          <w:color w:val="auto"/>
          <w:sz w:val="21"/>
          <w:highlight w:val="none"/>
        </w:rPr>
      </w:pPr>
      <w:r>
        <w:rPr>
          <w:rFonts w:hint="eastAsia" w:hAnsi="宋体"/>
          <w:b/>
          <w:bCs/>
          <w:color w:val="auto"/>
          <w:sz w:val="21"/>
          <w:highlight w:val="none"/>
        </w:rPr>
        <w:t xml:space="preserve">九、服务方式及地点</w:t>
      </w:r>
      <w:r/>
    </w:p>
    <w:p>
      <w:pPr>
        <w:pStyle w:val="975"/>
        <w:ind w:firstLine="420"/>
        <w:spacing w:line="360" w:lineRule="auto"/>
        <w:rPr>
          <w:rFonts w:hAnsi="宋体"/>
          <w:color w:val="auto"/>
          <w:sz w:val="21"/>
          <w:highlight w:val="none"/>
        </w:rPr>
      </w:pPr>
      <w:r>
        <w:rPr>
          <w:rFonts w:hint="eastAsia" w:hAnsi="宋体"/>
          <w:color w:val="auto"/>
          <w:sz w:val="21"/>
          <w:highlight w:val="none"/>
        </w:rPr>
        <w:t xml:space="preserve">9.</w:t>
      </w:r>
      <w:r>
        <w:rPr>
          <w:rFonts w:hAnsi="宋体"/>
          <w:color w:val="auto"/>
          <w:sz w:val="21"/>
          <w:highlight w:val="none"/>
        </w:rPr>
        <w:t xml:space="preserve">1</w:t>
      </w:r>
      <w:r>
        <w:rPr>
          <w:rFonts w:hint="eastAsia" w:hAnsi="宋体"/>
          <w:color w:val="auto"/>
          <w:sz w:val="21"/>
          <w:highlight w:val="none"/>
        </w:rPr>
        <w:t xml:space="preserve"> 服务方式：</w:t>
      </w:r>
      <w:r>
        <w:rPr>
          <w:rFonts w:hint="eastAsia" w:hAnsi="宋体"/>
          <w:bCs/>
          <w:color w:val="auto"/>
          <w:sz w:val="21"/>
          <w:highlight w:val="none"/>
          <w:u w:val="single"/>
        </w:rPr>
        <w:t xml:space="preserve">按照招标文件及甲方要求</w:t>
      </w:r>
      <w:r/>
    </w:p>
    <w:p>
      <w:pPr>
        <w:pStyle w:val="975"/>
        <w:ind w:firstLine="420"/>
        <w:spacing w:line="360" w:lineRule="auto"/>
        <w:rPr>
          <w:rFonts w:hAnsi="宋体"/>
          <w:color w:val="auto"/>
          <w:sz w:val="21"/>
          <w:highlight w:val="none"/>
        </w:rPr>
      </w:pPr>
      <w:r>
        <w:rPr>
          <w:rFonts w:hint="eastAsia" w:hAnsi="宋体"/>
          <w:color w:val="auto"/>
          <w:sz w:val="21"/>
          <w:highlight w:val="none"/>
        </w:rPr>
        <w:t xml:space="preserve">9.</w:t>
      </w:r>
      <w:r>
        <w:rPr>
          <w:rFonts w:hAnsi="宋体"/>
          <w:color w:val="auto"/>
          <w:sz w:val="21"/>
          <w:highlight w:val="none"/>
        </w:rPr>
        <w:t xml:space="preserve">2</w:t>
      </w:r>
      <w:r>
        <w:rPr>
          <w:rFonts w:hint="eastAsia" w:hAnsi="宋体"/>
          <w:color w:val="auto"/>
          <w:sz w:val="21"/>
          <w:highlight w:val="none"/>
        </w:rPr>
        <w:t xml:space="preserve"> 服务地点：</w:t>
      </w:r>
      <w:r>
        <w:rPr>
          <w:rFonts w:hint="eastAsia" w:hAnsi="宋体"/>
          <w:color w:val="auto"/>
          <w:sz w:val="21"/>
          <w:highlight w:val="none"/>
          <w:u w:val="single"/>
        </w:rPr>
        <w:t xml:space="preserve">甲方指定地点</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 付款方式</w:t>
      </w:r>
      <w:r/>
    </w:p>
    <w:p>
      <w:pPr>
        <w:ind w:firstLine="420"/>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中标价即合同价，服务费按季度支付。合同签订后，甲方收到乙方开具发票15日内支付合同总价10%的预付款，剩余合同金额均摊到每个季度进行结算。第二季度起始甲方收到乙方开具发票15日内支付上一季度服务费，每季度的考核费用在本季度服务费中扣除，结算时乙方提供正式发票。</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乙方应按招标文件规定及投标文件承诺的技术性能、技术要求、质量标准向甲方提供服务；若无特殊说明，则按国家有关部门最新颁布的标准及规范为准。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color w:val="auto"/>
          <w:highlight w:val="none"/>
        </w:rPr>
      </w:pPr>
      <w:r>
        <w:rPr>
          <w:rFonts w:hint="eastAsia" w:ascii="宋体" w:hAnsi="宋体" w:cs="宋体"/>
          <w:color w:val="auto"/>
          <w:szCs w:val="21"/>
          <w:highlight w:val="none"/>
        </w:rPr>
        <w:t xml:space="preserve">12.3 如在使用过程中发生质量问题，乙方在接到甲方通知后在1小时内到达甲方现场。</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十三、交付和验收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13.1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13.2乙方交付前应对服务或产品作出全面检查和对验收文件进行整理，并列出清单，作为甲方交付验收和使用的技术条件依据，检验的结果应随服务或产品交甲方。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13.3甲方对乙方提供的服务或产品在使用前进行调试时，乙方需负责安装并培训甲方的使用操作人员，并协助甲方一起调试，直到符合技术要求，甲方才做最终验收。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13.4对技术复杂的服务或产品，甲方可请国家认可的专业检测机构参与初步验收及最终验收，并由其出具质量检测报告。</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13.5 验收时乙方必须在现场，验收完毕后作出验收结果报告；验收费用由甲乙双方协商解决。</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十四、</w:t>
      </w:r>
      <w:r>
        <w:rPr>
          <w:rFonts w:hint="eastAsia" w:ascii="宋体" w:hAnsi="宋体"/>
          <w:b/>
          <w:bCs/>
          <w:color w:val="auto"/>
          <w:highlight w:val="none"/>
        </w:rPr>
        <w:t xml:space="preserve">服务或产品包装、发运及运输</w:t>
      </w:r>
      <w:r/>
    </w:p>
    <w:p>
      <w:pPr>
        <w:pStyle w:val="975"/>
        <w:ind w:firstLine="420"/>
        <w:spacing w:line="360" w:lineRule="auto"/>
        <w:rPr>
          <w:rFonts w:hAnsi="宋体"/>
          <w:color w:val="auto"/>
          <w:sz w:val="21"/>
          <w:highlight w:val="none"/>
        </w:rPr>
      </w:pPr>
      <w:r>
        <w:rPr>
          <w:rFonts w:hint="eastAsia" w:hAnsi="宋体"/>
          <w:color w:val="auto"/>
          <w:sz w:val="21"/>
          <w:highlight w:val="none"/>
        </w:rPr>
        <w:t xml:space="preserve">14.1乙方应在服务或产品发运前对其进行满足运输距离、防潮、防震、防锈和防破损装卸等要求包装，以保证服务或产品安全运达甲方指定地点。</w:t>
      </w:r>
      <w:r/>
    </w:p>
    <w:p>
      <w:pPr>
        <w:pStyle w:val="975"/>
        <w:ind w:firstLine="420"/>
        <w:spacing w:line="360" w:lineRule="auto"/>
        <w:rPr>
          <w:rFonts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975"/>
        <w:ind w:firstLine="420"/>
        <w:spacing w:line="360" w:lineRule="auto"/>
        <w:rPr>
          <w:rFonts w:hAnsi="宋体"/>
          <w:color w:val="auto"/>
          <w:sz w:val="21"/>
          <w:highlight w:val="none"/>
        </w:rPr>
      </w:pPr>
      <w:r>
        <w:rPr>
          <w:rFonts w:hint="eastAsia" w:hAnsi="宋体"/>
          <w:color w:val="auto"/>
          <w:sz w:val="21"/>
          <w:highlight w:val="none"/>
        </w:rPr>
        <w:t xml:space="preserve">14.3乙方在服务或产品发运手续办理完毕后24小时内或交付到甲方48小时前通知甲方，以准备接受交付。</w:t>
      </w:r>
      <w:r/>
    </w:p>
    <w:p>
      <w:pPr>
        <w:pStyle w:val="975"/>
        <w:ind w:firstLine="42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975"/>
        <w:ind w:firstLine="420"/>
        <w:spacing w:line="360" w:lineRule="auto"/>
        <w:rPr>
          <w:rFonts w:hAnsi="宋体"/>
          <w:color w:val="auto"/>
          <w:sz w:val="21"/>
          <w:highlight w:val="none"/>
        </w:rPr>
      </w:pPr>
      <w:r>
        <w:rPr>
          <w:rFonts w:hint="eastAsia" w:hAnsi="宋体"/>
          <w:color w:val="auto"/>
          <w:sz w:val="21"/>
          <w:highlight w:val="none"/>
        </w:rPr>
        <w:t xml:space="preserve">14.5服务或产品在规定的交付期限内由乙方送达甲方指定的地点视为交付，乙方同时需通知甲方服务或产品已送达。</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p>
    <w:p>
      <w:pPr>
        <w:pStyle w:val="95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合同经双方法定代表人签章并加盖单位公章，并经扬州览众建设工程咨询服务有限公司见证盖章后生效。</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959"/>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本合同正本一式伍份，具有同等法律效力，甲方、乙方各执两份、见证方执一份。  </w:t>
      </w:r>
      <w:r/>
    </w:p>
    <w:tbl>
      <w:tblPr>
        <w:tblStyle w:val="720"/>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 </w:t>
            </w:r>
            <w:r>
              <w:rPr>
                <w:rFonts w:hint="eastAsia" w:hAnsi="宋体"/>
                <w:color w:val="auto"/>
                <w:sz w:val="21"/>
                <w:highlight w:val="none"/>
                <w:lang w:eastAsia="zh-CN"/>
              </w:rPr>
              <w:t xml:space="preserve">扬州市广陵区住房和城乡建设局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见证方：扬州览众建设工程咨询服务有限公司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olor w:val="auto"/>
                <w:sz w:val="21"/>
                <w:highlight w:val="none"/>
              </w:rPr>
            </w:pPr>
            <w:r>
              <w:rPr>
                <w:rFonts w:hAnsi="宋体"/>
                <w:color w:val="auto"/>
                <w:sz w:val="21"/>
                <w:highlight w:val="none"/>
              </w:rPr>
            </w:r>
            <w:r/>
          </w:p>
        </w:tc>
      </w:tr>
    </w:tbl>
    <w:p>
      <w:pPr>
        <w:pStyle w:val="959"/>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59"/>
        <w:spacing w:before="120" w:after="120" w:line="360" w:lineRule="auto"/>
        <w:rPr>
          <w:rFonts w:hAnsi="宋体"/>
          <w:color w:val="auto"/>
          <w:sz w:val="21"/>
          <w:highlight w:val="none"/>
        </w:rPr>
      </w:pPr>
      <w:r>
        <w:rPr>
          <w:rFonts w:hint="eastAsia" w:hAnsi="宋体"/>
          <w:color w:val="auto"/>
          <w:sz w:val="21"/>
          <w:highlight w:val="none"/>
        </w:rPr>
        <w:t xml:space="preserve">  </w:t>
      </w:r>
      <w:r/>
    </w:p>
    <w:p>
      <w:pPr>
        <w:spacing w:line="360" w:lineRule="auto"/>
        <w:rPr>
          <w:color w:val="auto"/>
          <w:highlight w:val="none"/>
        </w:rPr>
      </w:pPr>
      <w:r>
        <w:rPr>
          <w:color w:val="auto"/>
          <w:highlight w:val="none"/>
        </w:rPr>
        <w:br w:type="page" w:clear="all"/>
      </w:r>
      <w:bookmarkEnd w:id="54"/>
      <w:r/>
      <w:r/>
    </w:p>
    <w:p>
      <w:pPr>
        <w:pStyle w:val="932"/>
        <w:jc w:val="center"/>
        <w:spacing w:line="360" w:lineRule="auto"/>
        <w:rPr>
          <w:color w:val="auto"/>
          <w:highlight w:val="none"/>
        </w:rPr>
      </w:pPr>
      <w:r/>
      <w:bookmarkStart w:id="56" w:name="_Toc2110"/>
      <w:r>
        <w:rPr>
          <w:rFonts w:hint="eastAsia"/>
          <w:color w:val="auto"/>
          <w:highlight w:val="none"/>
        </w:rPr>
        <w:t xml:space="preserve">第四章 项目需求</w:t>
      </w:r>
      <w:bookmarkEnd w:id="56"/>
      <w:r/>
      <w:r/>
    </w:p>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一、项目属性：服务类项目</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3.采购标的清单</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3810"/>
        <w:gridCol w:w="35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right="0" w:firstLine="42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right="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2026年广陵区公园综合管理服务项目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42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其他未列明行业</w:t>
            </w:r>
            <w:r/>
          </w:p>
        </w:tc>
      </w:tr>
    </w:tbl>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二、商务要求</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w:t>
      </w:r>
      <w:r>
        <w:rPr>
          <w:rFonts w:hint="eastAsia" w:ascii="宋体" w:hAnsi="宋体" w:cs="宋体"/>
          <w:color w:val="auto"/>
          <w:sz w:val="21"/>
          <w:szCs w:val="21"/>
          <w:highlight w:val="none"/>
          <w:lang w:val="en-US" w:eastAsia="zh-CN"/>
        </w:rPr>
        <w:t xml:space="preserve">2026年广陵区公园综合管理服务项目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w:t>
      </w:r>
      <w:r>
        <w:rPr>
          <w:rFonts w:hint="eastAsia" w:ascii="宋体" w:hAnsi="宋体" w:cs="宋体"/>
          <w:color w:val="auto"/>
          <w:sz w:val="21"/>
          <w:szCs w:val="21"/>
          <w:highlight w:val="none"/>
          <w:lang w:val="en-US" w:eastAsia="zh-CN"/>
        </w:rPr>
        <w:t xml:space="preserve">588</w:t>
      </w:r>
      <w:r>
        <w:rPr>
          <w:rFonts w:hint="eastAsia" w:ascii="宋体" w:hAnsi="宋体" w:eastAsia="宋体" w:cs="宋体"/>
          <w:color w:val="auto"/>
          <w:sz w:val="21"/>
          <w:szCs w:val="21"/>
          <w:highlight w:val="none"/>
          <w:lang w:val="en-US" w:eastAsia="zh-CN"/>
        </w:rPr>
        <w:t xml:space="preserve">万元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最高限价：587.96万元，报价超过最高限价的为无效报价，按照无效响应处理。</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合同履行期限：本项目服务期限为</w:t>
      </w:r>
      <w:r>
        <w:rPr>
          <w:rFonts w:hint="eastAsia" w:ascii="宋体" w:hAnsi="宋体" w:cs="宋体"/>
          <w:b w:val="0"/>
          <w:bCs w:val="0"/>
          <w:color w:val="auto"/>
          <w:sz w:val="21"/>
          <w:szCs w:val="21"/>
          <w:highlight w:val="none"/>
          <w:lang w:val="en-US" w:eastAsia="zh-CN" w:bidi="ar-SA"/>
        </w:rPr>
        <w:t xml:space="preserve">一</w:t>
      </w:r>
      <w:r>
        <w:rPr>
          <w:rFonts w:hint="eastAsia" w:ascii="宋体" w:hAnsi="宋体" w:eastAsia="宋体" w:cs="宋体"/>
          <w:b w:val="0"/>
          <w:bCs w:val="0"/>
          <w:color w:val="auto"/>
          <w:sz w:val="21"/>
          <w:szCs w:val="21"/>
          <w:highlight w:val="none"/>
          <w:lang w:val="en-US" w:eastAsia="zh-CN" w:bidi="ar-SA"/>
        </w:rPr>
        <w:t xml:space="preserve">年，起始日期以合同约定为准</w:t>
      </w:r>
      <w:r>
        <w:rPr>
          <w:rFonts w:hint="eastAsia" w:ascii="宋体" w:hAnsi="宋体" w:cs="宋体"/>
          <w:b w:val="0"/>
          <w:bCs w:val="0"/>
          <w:color w:val="auto"/>
          <w:sz w:val="21"/>
          <w:szCs w:val="21"/>
          <w:highlight w:val="none"/>
          <w:lang w:val="en-US" w:eastAsia="zh-CN" w:bidi="ar-SA"/>
        </w:rPr>
        <w:t xml:space="preserve">。</w:t>
      </w:r>
      <w:r/>
    </w:p>
    <w:p>
      <w:pPr>
        <w:ind w:left="0" w:right="0" w:firstLine="420"/>
        <w:jc w:val="both"/>
        <w:keepLines w:val="0"/>
        <w:keepNext w:val="0"/>
        <w:pageBreakBefore w:val="0"/>
        <w:spacing w:line="360" w:lineRule="auto"/>
        <w:widowControl w:val="off"/>
        <w:rPr>
          <w:rFonts w:hint="default" w:ascii="宋体" w:hAnsi="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bidi="ar-SA"/>
        </w:rPr>
        <w:t xml:space="preserve">付款方式：</w:t>
      </w:r>
      <w:r>
        <w:rPr>
          <w:rFonts w:hint="eastAsia" w:ascii="宋体" w:hAnsi="宋体" w:eastAsia="宋体" w:cs="宋体"/>
          <w:b w:val="0"/>
          <w:bCs w:val="0"/>
          <w:color w:val="auto"/>
          <w:sz w:val="21"/>
          <w:szCs w:val="21"/>
          <w:highlight w:val="none"/>
        </w:rPr>
        <w:t xml:space="preserve">中标价即合同价，服务费按季度支付。合同签订后，甲方收到乙方开具发票15日内支付合同总价</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%的预付款，剩余合同金额均摊到每个季度进行结算。第二季度起始甲方收到乙方开具发票15日内支付上一季度服务费，每季度的考核费用在本季度服务费中扣除，结算时乙方提供正式发票。</w:t>
      </w:r>
      <w:r/>
    </w:p>
    <w:p>
      <w:pPr>
        <w:numPr>
          <w:ilvl w:val="0"/>
          <w:numId w:val="0"/>
        </w:num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w:t>
      </w:r>
      <w:r>
        <w:rPr>
          <w:rFonts w:hint="eastAsia" w:ascii="宋体" w:hAnsi="宋体" w:cs="宋体"/>
          <w:b/>
          <w:bCs/>
          <w:color w:val="auto"/>
          <w:sz w:val="21"/>
          <w:szCs w:val="21"/>
          <w:highlight w:val="none"/>
          <w:lang w:val="en-US" w:eastAsia="zh-CN"/>
        </w:rPr>
        <w:t xml:space="preserve">范围</w:t>
      </w:r>
      <w:r/>
    </w:p>
    <w:p>
      <w:pPr>
        <w:ind w:firstLine="420"/>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本项目为</w:t>
      </w:r>
      <w:r>
        <w:rPr>
          <w:rFonts w:hint="eastAsia" w:ascii="宋体" w:hAnsi="宋体" w:cs="宋体"/>
          <w:b w:val="0"/>
          <w:bCs w:val="0"/>
          <w:color w:val="auto"/>
          <w:sz w:val="21"/>
          <w:szCs w:val="21"/>
          <w:highlight w:val="none"/>
          <w:lang w:val="en-US" w:eastAsia="zh-CN" w:bidi="ar-SA"/>
        </w:rPr>
        <w:t xml:space="preserve">2026年广陵区公园综合管理服务项目</w:t>
      </w:r>
      <w:r>
        <w:rPr>
          <w:rFonts w:hint="eastAsia" w:ascii="宋体" w:hAnsi="宋体" w:eastAsia="宋体" w:cs="宋体"/>
          <w:b w:val="0"/>
          <w:bCs w:val="0"/>
          <w:color w:val="auto"/>
          <w:sz w:val="21"/>
          <w:szCs w:val="21"/>
          <w:highlight w:val="none"/>
          <w:lang w:val="en-US" w:eastAsia="zh-CN" w:bidi="ar-SA"/>
        </w:rPr>
        <w:t xml:space="preserve">，服务面积约为1008800平方米,其中包含7</w:t>
      </w:r>
      <w:r>
        <w:rPr>
          <w:rFonts w:hint="eastAsia" w:ascii="宋体" w:hAnsi="宋体" w:eastAsia="宋体" w:cs="宋体"/>
          <w:b w:val="0"/>
          <w:bCs w:val="0"/>
          <w:color w:val="auto"/>
          <w:sz w:val="21"/>
          <w:szCs w:val="21"/>
          <w:highlight w:val="none"/>
          <w:lang w:val="en-US" w:eastAsia="zh-CN" w:bidi="ar-SA"/>
        </w:rPr>
        <w:t xml:space="preserve">9个公园、26 个公共厕所。本次招标范围中79个公园为附中北口袋公园（淮海路与盐阜路交叉口西南角）、红园对面口袋公园（东岳巷与盐阜路交叉口东南角）、育才小学东侧口袋公园（南通东路北侧，育才小学东侧）、1912 北侧口袋公园（长城花园东侧，泰州路西侧，1912 北侧）、东方小商品市场东侧口袋公园（毓贤街南侧，东方小商品市场东侧）、正谊巷口袋公园（四望亭东北、广陵区文化局北）、沙施河边口袋公园（沙施河边）、个园北门两侧口袋公园（个园北门两侧）、恩寺巷西北角口袋公园（泰州路与恩寺巷交叉口西北角）、沙北三村门口口袋</w:t>
      </w:r>
      <w:r>
        <w:rPr>
          <w:rFonts w:hint="eastAsia" w:ascii="宋体" w:hAnsi="宋体" w:eastAsia="宋体" w:cs="宋体"/>
          <w:b w:val="0"/>
          <w:bCs w:val="0"/>
          <w:color w:val="auto"/>
          <w:sz w:val="21"/>
          <w:szCs w:val="21"/>
          <w:highlight w:val="none"/>
          <w:lang w:val="en-US" w:eastAsia="zh-CN" w:bidi="ar-SA"/>
        </w:rPr>
        <w:t xml:space="preserve">公园（沙北三村门口）、老市政府西南角口袋公园（老市政府西南角）、通扬桥西南侧、西北侧口袋公园（通扬桥西南侧）、东岳大酒店口袋公园（东岳巷东岳大酒店）、江阳路渡江南路口袋公园（江阳路与渡江南路交叉口西南角）、扬大原商学院门口口袋公园（盐阜东路扬州大学原商学院门口两侧）、龙头关社区北侧口袋公园（龙头关社区北侧，南门新村南侧）、石塔菜场北口袋公园（四望亭路与二道河交叉口东南角）、珍园北口袋公园（十巷与秦淮河沿河道路交叉口西北角）、阮家大院对面口袋公园（大东门桥南阮家大院 2 号对面）、仙鹤寺南口袋公园（仙鹤寺南八</w:t>
      </w:r>
      <w:r>
        <w:rPr>
          <w:rFonts w:hint="eastAsia" w:ascii="宋体" w:hAnsi="宋体" w:eastAsia="宋体" w:cs="宋体"/>
          <w:b w:val="0"/>
          <w:bCs w:val="0"/>
          <w:color w:val="auto"/>
          <w:sz w:val="21"/>
          <w:szCs w:val="21"/>
          <w:highlight w:val="none"/>
          <w:lang w:val="en-US" w:eastAsia="zh-CN" w:bidi="ar-SA"/>
        </w:rPr>
        <w:t xml:space="preserve">分饱饭店东北角）、旌忠巷西门口袋公园（史巷东侧，旌忠巷北）、旌忠巷南侧口袋公园（南门街东侧，旌忠巷南侧）、三义阁 66 号口袋公园（三义阁 66 号）、大准提寺东侧口袋公园（大准提寺东侧，治淮新村西侧）、引市街 113 号口袋公园（引市街 113 号）、河边巷南口袋公园（小秦淮河东侧，河边巷与盐阜路交叉口南 100 米）、南讲经墩沿线口袋公园（小秦淮河东侧，彩衣街南，南讲经墩 7-22 号）、东圈门 44 号对面口袋公园（东圈门与大方巷交叉口西南角）、上新桥东侧口袋公园（小秦淮河上新桥东侧）、彩衣街沿线口袋</w:t>
      </w:r>
      <w:r>
        <w:rPr>
          <w:rFonts w:hint="eastAsia" w:ascii="宋体" w:hAnsi="宋体" w:eastAsia="宋体" w:cs="宋体"/>
          <w:b w:val="0"/>
          <w:bCs w:val="0"/>
          <w:color w:val="auto"/>
          <w:sz w:val="21"/>
          <w:szCs w:val="21"/>
          <w:highlight w:val="none"/>
          <w:lang w:val="en-US" w:eastAsia="zh-CN" w:bidi="ar-SA"/>
        </w:rPr>
        <w:t xml:space="preserve">公园（国庆路西侧，彩衣街沿线）、渡江社区北口袋公园（水仓巷与埂子街交叉口东南角）、徐凝门路南通路口袋公园（徐凝门路与南通路交叉口西北角）、畅园口袋公园（曾公祠巷西侧畅园）、皮市街芝麻巷口袋公园（皮市街东侧，小芝麻巷与大芝麻巷之间）、汪氏小苑北口袋公园（汪氏小苑北，古井两侧）、大准提寺西侧口袋公园（后安家巷，大准提寺西侧）、石榴巷口袋公园（石榴巷 8、10 号）、祗驼林南侧口袋公园（引市街东侧，祗驼林南侧）、湾子街灯草行口袋公园（湾子街与灯草行交叉口南侧）、三益巷当典巷口袋公园（小秦淮河东侧，三益巷与当典巷之</w:t>
      </w:r>
      <w:r>
        <w:rPr>
          <w:rFonts w:hint="eastAsia" w:ascii="宋体" w:hAnsi="宋体" w:eastAsia="宋体" w:cs="宋体"/>
          <w:b w:val="0"/>
          <w:bCs w:val="0"/>
          <w:color w:val="auto"/>
          <w:sz w:val="21"/>
          <w:szCs w:val="21"/>
          <w:highlight w:val="none"/>
          <w:lang w:val="en-US" w:eastAsia="zh-CN" w:bidi="ar-SA"/>
        </w:rPr>
        <w:t xml:space="preserve">间）、长庆巷北侧口袋公园（小秦淮河东侧，长庆巷北侧）、平价饭店口袋公园（平价饭店旁）、南门遗址口袋公园（南门遗址）、大东门桥南口袋公园（大东门桥南）、五台口袋公园（五台片区）、古运南苑口袋公园（古运南苑）、万福路沿线口袋公园（万福路高职校、加油站、桃李春风）、魏源故居口袋公园（新仓巷南侧魏源故居内）、杨氏住宅门口口袋公园（厨子巷与狮子巷交叉口西南角）、育婴巷口袋公园（育婴巷）、曲江公园（曲江片区）、万福锦园（万福路沿线）、广陵湾公园（广陵湾片区）、施井路公园（施井路沿线）、中海九玺公园（中海九玺小区旁）、大</w:t>
      </w:r>
      <w:r>
        <w:rPr>
          <w:rFonts w:hint="eastAsia" w:ascii="宋体" w:hAnsi="宋体" w:eastAsia="宋体" w:cs="宋体"/>
          <w:b w:val="0"/>
          <w:bCs w:val="0"/>
          <w:color w:val="auto"/>
          <w:sz w:val="21"/>
          <w:szCs w:val="21"/>
          <w:highlight w:val="none"/>
          <w:lang w:val="en-US" w:eastAsia="zh-CN" w:bidi="ar-SA"/>
        </w:rPr>
        <w:t xml:space="preserve">水湾公园（大水湾片区）、文峰小学公园（文峰小学旁）、七里河公园一期（七里河沿线）、文峰寺公园（文峰寺周边）、同心河公园一、二期（同心河沿线）、汤汪花园中心广场公园（汤汪花园区间）、跃进河公园（跃进河沿线）、盐阜路 - 绿杨城郭（盐阜路沿线）、国防主题公园（广陵区内）、树人苑肯特园（树人苑片区）、文峰河公园（文峰河沿线）、北城河（滨河公园）（西起瘦西湖路，东南至古运河）、施井路路口口袋公园（施井路路口江阳路交叉口）、跃进河二期公园（328 国道北侧，跃进河沿线）、影园春公园（荷花池公园以北、苏北医院以西）、江</w:t>
      </w:r>
      <w:r>
        <w:rPr>
          <w:rFonts w:hint="eastAsia" w:ascii="宋体" w:hAnsi="宋体" w:eastAsia="宋体" w:cs="宋体"/>
          <w:b w:val="0"/>
          <w:bCs w:val="0"/>
          <w:color w:val="auto"/>
          <w:sz w:val="21"/>
          <w:szCs w:val="21"/>
          <w:highlight w:val="none"/>
          <w:lang w:val="en-US" w:eastAsia="zh-CN" w:bidi="ar-SA"/>
        </w:rPr>
        <w:t xml:space="preserve">都路口袋公园（江都路与安康路交叉口西南侧）、院士广场（扬州中学东侧，淮海路以东）、小运河路体育休闲公园（连运路-汤汪花园）、小秦淮河园路北段公园（北起盐阜路，南至文昌中路）、江阳路与渡江南路交叉口公园（江阳路与渡江南路交叉口西南角）、古运河东岸公园（古运河东岸沿线）、君悦首府沙施河边公园（君悦首府小区旁，沙施河畔）、联谊路与江阳路交叉口公园。26个公共厕所为曲江公园内4个公厕、同心河公园内4个公厕、国防主题公园内4个公厕、七里河公园内4个公厕、万福路沿线4个公厕、广陵湾公园内4个公厕、跃进河公园内2个公厕。</w:t>
      </w:r>
      <w:r/>
    </w:p>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技术要求</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为实质性要求</w:t>
      </w:r>
      <w:r>
        <w:rPr>
          <w:rFonts w:hint="eastAsia" w:ascii="宋体" w:hAnsi="宋体" w:cs="宋体"/>
          <w:b/>
          <w:bCs/>
          <w:color w:val="auto"/>
          <w:sz w:val="24"/>
          <w:szCs w:val="24"/>
          <w:highlight w:val="none"/>
          <w:lang w:val="en-US"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val="en-US" w:eastAsia="zh-CN"/>
        </w:rPr>
        <w:t xml:space="preserve">总体服务基本要求</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Cs w:val="21"/>
          <w:highlight w:val="none"/>
        </w:rPr>
        <w:t xml:space="preserve">人员配备要求</w:t>
      </w:r>
      <w:r>
        <w:rPr>
          <w:rFonts w:hint="eastAsia" w:ascii="宋体" w:hAnsi="宋体" w:eastAsia="宋体" w:cs="宋体"/>
          <w:b/>
          <w:color w:val="auto"/>
          <w:szCs w:val="21"/>
          <w:highlight w:val="none"/>
          <w:lang w:val="en-US" w:eastAsia="zh-CN"/>
        </w:rPr>
        <w:t xml:space="preserve">及</w:t>
      </w:r>
      <w:r>
        <w:rPr>
          <w:rFonts w:hint="eastAsia" w:ascii="宋体" w:hAnsi="宋体" w:eastAsia="宋体" w:cs="宋体"/>
          <w:b/>
          <w:color w:val="auto"/>
          <w:szCs w:val="21"/>
          <w:highlight w:val="none"/>
        </w:rPr>
        <w:t xml:space="preserve">项目作业时间</w:t>
      </w:r>
      <w:r>
        <w:rPr>
          <w:rFonts w:hint="eastAsia" w:ascii="宋体" w:hAnsi="宋体" w:eastAsia="宋体" w:cs="宋体"/>
          <w:b/>
          <w:color w:val="auto"/>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（1）环境管理人员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严格执行</w:t>
      </w:r>
      <w:r>
        <w:rPr>
          <w:rFonts w:hint="eastAsia" w:ascii="宋体" w:hAnsi="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rPr>
        <w:t xml:space="preserve">时间：周一至周日，上午7：00-11：30 下午13:00-17:00，如遇创建文明城等特殊活动，按实际情况调整。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在规定服务时间内，全体</w:t>
      </w:r>
      <w:r>
        <w:rPr>
          <w:rFonts w:hint="eastAsia" w:ascii="宋体" w:hAnsi="宋体" w:eastAsia="宋体" w:cs="宋体"/>
          <w:color w:val="auto"/>
          <w:sz w:val="21"/>
          <w:szCs w:val="21"/>
          <w:highlight w:val="none"/>
          <w:lang w:val="en-US" w:eastAsia="zh-CN"/>
        </w:rPr>
        <w:t xml:space="preserve">环境管理人员</w:t>
      </w:r>
      <w:r>
        <w:rPr>
          <w:rFonts w:hint="eastAsia" w:ascii="宋体" w:hAnsi="宋体" w:eastAsia="宋体" w:cs="宋体"/>
          <w:color w:val="auto"/>
          <w:sz w:val="21"/>
          <w:szCs w:val="21"/>
          <w:highlight w:val="none"/>
        </w:rPr>
        <w:t xml:space="preserve">着装统一，按切实可行的计划流程实施</w:t>
      </w:r>
      <w:r>
        <w:rPr>
          <w:rFonts w:hint="eastAsia" w:ascii="宋体" w:hAnsi="宋体" w:cs="宋体"/>
          <w:color w:val="auto"/>
          <w:sz w:val="21"/>
          <w:szCs w:val="21"/>
          <w:highlight w:val="none"/>
          <w:lang w:val="en-US" w:eastAsia="zh-CN"/>
        </w:rPr>
        <w:t xml:space="preserve">作业</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Cs w:val="21"/>
          <w:highlight w:val="none"/>
        </w:rPr>
        <w:t xml:space="preserve">环境管理</w:t>
      </w:r>
      <w:r>
        <w:rPr>
          <w:rFonts w:hint="eastAsia" w:ascii="宋体" w:hAnsi="宋体" w:eastAsia="宋体" w:cs="宋体"/>
          <w:color w:val="auto"/>
          <w:sz w:val="21"/>
          <w:szCs w:val="21"/>
          <w:highlight w:val="none"/>
        </w:rPr>
        <w:t xml:space="preserve">设备、工具、药剂齐全</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Cs w:val="21"/>
          <w:highlight w:val="none"/>
        </w:rPr>
        <w:t xml:space="preserve">环境管理</w:t>
      </w:r>
      <w:r>
        <w:rPr>
          <w:rFonts w:hint="eastAsia" w:ascii="宋体" w:hAnsi="宋体" w:eastAsia="宋体" w:cs="宋体"/>
          <w:color w:val="auto"/>
          <w:sz w:val="21"/>
          <w:szCs w:val="21"/>
          <w:highlight w:val="none"/>
        </w:rPr>
        <w:t xml:space="preserve">工具摆放有序，不随意乱丢。</w:t>
      </w:r>
      <w:r/>
    </w:p>
    <w:p>
      <w:pPr>
        <w:ind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（2）秩序维护人员</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严格执行</w:t>
      </w:r>
      <w:r>
        <w:rPr>
          <w:rFonts w:hint="eastAsia" w:ascii="宋体" w:hAnsi="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rPr>
        <w:t xml:space="preserve">时间：周一至周日，上午6：30-14：30 下午14:30-</w:t>
      </w: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:30，如遇创建文明城等特殊活动，按实际情况调整。</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i/>
          <w:iCs/>
          <w:color w:val="auto"/>
          <w:sz w:val="21"/>
          <w:szCs w:val="21"/>
          <w:highlight w:val="none"/>
          <w:u w:val="single"/>
        </w:rPr>
        <w:t xml:space="preserve">各大型公园配备定岗人员，小型社区公园和口袋公园定人每日巡查。</w:t>
      </w:r>
      <w:r>
        <w:rPr>
          <w:rFonts w:hint="eastAsia" w:ascii="宋体" w:hAnsi="宋体" w:eastAsia="宋体" w:cs="宋体"/>
          <w:i/>
          <w:iCs/>
          <w:color w:val="auto"/>
          <w:sz w:val="21"/>
          <w:szCs w:val="21"/>
          <w:highlight w:val="none"/>
          <w:u w:val="single"/>
          <w:lang w:val="en-US" w:eastAsia="zh-CN"/>
        </w:rPr>
        <w:t xml:space="preserve">配置25名秩序维护人员，实行弹性调配、机动巡查，确保秩序维护</w:t>
      </w:r>
      <w:r>
        <w:rPr>
          <w:rFonts w:hint="eastAsia" w:ascii="宋体" w:hAnsi="宋体" w:cs="宋体"/>
          <w:i/>
          <w:iCs/>
          <w:color w:val="auto"/>
          <w:sz w:val="21"/>
          <w:szCs w:val="21"/>
          <w:highlight w:val="none"/>
          <w:u w:val="single"/>
          <w:lang w:val="en-US" w:eastAsia="zh-CN"/>
        </w:rPr>
        <w:t xml:space="preserve">人员</w:t>
      </w:r>
      <w:r>
        <w:rPr>
          <w:rFonts w:hint="eastAsia" w:ascii="宋体" w:hAnsi="宋体" w:eastAsia="宋体" w:cs="宋体"/>
          <w:i/>
          <w:iCs/>
          <w:color w:val="auto"/>
          <w:sz w:val="21"/>
          <w:szCs w:val="21"/>
          <w:highlight w:val="none"/>
          <w:u w:val="single"/>
          <w:lang w:val="en-US" w:eastAsia="zh-CN"/>
        </w:rPr>
        <w:t xml:space="preserve">服务全覆盖达到</w:t>
      </w:r>
      <w:r>
        <w:rPr>
          <w:rFonts w:hint="eastAsia" w:ascii="宋体" w:hAnsi="宋体" w:cs="宋体"/>
          <w:i/>
          <w:iCs/>
          <w:color w:val="auto"/>
          <w:sz w:val="21"/>
          <w:szCs w:val="21"/>
          <w:highlight w:val="none"/>
          <w:u w:val="single"/>
          <w:lang w:val="en-US" w:eastAsia="zh-CN"/>
        </w:rPr>
        <w:t xml:space="preserve">采购人</w:t>
      </w:r>
      <w:r>
        <w:rPr>
          <w:rFonts w:hint="eastAsia" w:ascii="宋体" w:hAnsi="宋体" w:eastAsia="宋体" w:cs="宋体"/>
          <w:i/>
          <w:iCs/>
          <w:color w:val="auto"/>
          <w:sz w:val="21"/>
          <w:szCs w:val="21"/>
          <w:highlight w:val="none"/>
          <w:u w:val="single"/>
          <w:lang w:val="en-US" w:eastAsia="zh-CN"/>
        </w:rPr>
        <w:t xml:space="preserve">要求（提供承诺函）。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在规定服务时间内，全体</w:t>
      </w:r>
      <w:r>
        <w:rPr>
          <w:rFonts w:hint="eastAsia" w:ascii="宋体" w:hAnsi="宋体" w:eastAsia="宋体" w:cs="宋体"/>
          <w:color w:val="auto"/>
          <w:sz w:val="21"/>
          <w:szCs w:val="21"/>
          <w:highlight w:val="none"/>
          <w:lang w:val="en-US" w:eastAsia="zh-CN"/>
        </w:rPr>
        <w:t xml:space="preserve">秩序维护人员</w:t>
      </w:r>
      <w:r>
        <w:rPr>
          <w:rFonts w:hint="eastAsia" w:ascii="宋体" w:hAnsi="宋体" w:eastAsia="宋体" w:cs="宋体"/>
          <w:color w:val="auto"/>
          <w:sz w:val="21"/>
          <w:szCs w:val="21"/>
          <w:highlight w:val="none"/>
        </w:rPr>
        <w:t xml:space="preserve">着装统一，按切实可行的计划流程实施巡查</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从事</w:t>
      </w:r>
      <w:r>
        <w:rPr>
          <w:rFonts w:hint="eastAsia" w:ascii="宋体" w:hAnsi="宋体" w:eastAsia="宋体" w:cs="宋体"/>
          <w:color w:val="auto"/>
          <w:sz w:val="21"/>
          <w:szCs w:val="21"/>
          <w:highlight w:val="none"/>
          <w:lang w:val="en-US" w:eastAsia="zh-CN"/>
        </w:rPr>
        <w:t xml:space="preserve">秩序维护人员</w:t>
      </w:r>
      <w:r>
        <w:rPr>
          <w:rFonts w:hint="eastAsia" w:ascii="宋体" w:hAnsi="宋体" w:eastAsia="宋体" w:cs="宋体"/>
          <w:color w:val="auto"/>
          <w:sz w:val="21"/>
          <w:szCs w:val="21"/>
          <w:highlight w:val="none"/>
        </w:rPr>
        <w:t xml:space="preserve">应身体健康、无酗酒嗜好、会应用水印相机等智能设备。</w:t>
      </w:r>
      <w:r/>
    </w:p>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lang w:val="zh-CN" w:eastAsia="zh-CN"/>
        </w:rPr>
        <w:t xml:space="preserve">环境管护内容及作业标准</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广场、园路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目视地面无垃圾杂物、污渍、积水、泥沙，每天巡回清扫清洁。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人行步道无杂物、烟蒂、垃圾和痰迹，每天巡回清扫清洁。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绿化带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草坪表面、绿篱内无瓜果皮壳、枯叶、饮料盒、纸屑、碎石等杂物，每天巡回清扫清洁。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垃圾桶、垃圾楼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地面干净、干燥无异味，每天2次清扫清洁。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墙面无污迹、粘附物，每天2次清扫清洁。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垃圾桶表面无积灰、污迹，冲洗空桶内壁无异味，每天2次清扫清洁。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垃圾桶消杀，每天1次清扫清洁。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假山水池、小品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目视水池清澈见底，池底无沉淀物、杂物，水面无漂浮物、枯树叶，每天巡回清扫清洁。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池边地面无垃圾、杂物、积水， 每天巡回清扫清洁。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小品雕塑无污物 ，每天巡回清扫清洁。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坐凳、健身器材、栏杆、扶手、儿童游乐设施表面无积灰、污渍。每周2次清扫清洁。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宣传栏、阅报栏、布告栏玻璃干净无灰尘，框架干净无污迹。 每周2次清扫清洁。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卫生间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地面干燥、干净，无垃圾、杂物，每天巡回清扫清洁。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墙面、隔屏无污渍，顶</w:t>
      </w:r>
      <w:r>
        <w:rPr>
          <w:rFonts w:hint="eastAsia" w:ascii="宋体" w:hAnsi="宋体" w:cs="宋体"/>
          <w:color w:val="auto"/>
          <w:sz w:val="21"/>
          <w:szCs w:val="21"/>
          <w:highlight w:val="none"/>
          <w:lang w:val="en-US" w:eastAsia="zh-CN"/>
        </w:rPr>
        <w:t xml:space="preserve">面</w:t>
      </w:r>
      <w:r>
        <w:rPr>
          <w:rFonts w:hint="eastAsia" w:ascii="宋体" w:hAnsi="宋体" w:eastAsia="宋体" w:cs="宋体"/>
          <w:color w:val="auto"/>
          <w:sz w:val="21"/>
          <w:szCs w:val="21"/>
          <w:highlight w:val="none"/>
        </w:rPr>
        <w:t xml:space="preserve">无蜘蛛网，每周1次清扫清洁。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小便斗、坐便器无黄渍、污渍，每天巡回清扫清洁</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小便斗、坐便器、洗手盆消杀，每天1次清扫清洁。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空气清新无异味，清洁球、斗香不间断更新，每天巡回清扫清洁。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洗手盆无污迹，每天1次清扫清洁。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水面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公园水面无白色垃圾、漂浮物，每天巡回清扫清洁。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项目物资与设备配置保障要求</w:t>
      </w:r>
      <w:r>
        <w:rPr>
          <w:rFonts w:hint="eastAsia" w:ascii="宋体" w:hAnsi="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垃圾袋3650个</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小便池清洁球1460 个</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盘式蚊香360 个</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消毒液48 瓶</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洁厕灵48 瓶</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杀虫喷雾剂24 瓶</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CN" w:eastAsia="zh-CN"/>
        </w:rPr>
        <w:t xml:space="preserve">进退场交接</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中标</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eastAsia="zh-CN"/>
        </w:rPr>
        <w:t xml:space="preserve">签订合同后3日内组建交接专班，对接原</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eastAsia="zh-CN"/>
        </w:rPr>
        <w:t xml:space="preserve">负责人，完成全园点位、设施、物资、台账全覆盖现场交底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保证管护无空档、无服务断档。</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秩序维护</w:t>
      </w:r>
      <w:r>
        <w:rPr>
          <w:rFonts w:hint="eastAsia" w:ascii="宋体" w:hAnsi="宋体" w:cs="宋体"/>
          <w:b/>
          <w:bCs/>
          <w:color w:val="auto"/>
          <w:sz w:val="21"/>
          <w:szCs w:val="21"/>
          <w:highlight w:val="none"/>
          <w:lang w:val="en-US" w:eastAsia="zh-CN"/>
        </w:rPr>
        <w:t xml:space="preserve">内容及</w:t>
      </w:r>
      <w:r>
        <w:rPr>
          <w:rFonts w:hint="eastAsia" w:ascii="宋体" w:hAnsi="宋体" w:cs="宋体"/>
          <w:b/>
          <w:bCs/>
          <w:color w:val="auto"/>
          <w:sz w:val="21"/>
          <w:szCs w:val="21"/>
          <w:highlight w:val="none"/>
          <w:lang w:val="zh-CN" w:eastAsia="zh-CN"/>
        </w:rPr>
        <w:t xml:space="preserve">作业标准</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巡查标准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定时和不定时到各岗位巡查（每班每岗位不少于4次）。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每日巡查公园厕所设施、桥梁设施、儿童游乐设施、健身器材、篮球场、足球场等设施，发现损坏的及时上报。（每日一次）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辅助</w:t>
      </w:r>
      <w:r>
        <w:rPr>
          <w:rFonts w:hint="eastAsia" w:ascii="宋体" w:hAnsi="宋体" w:cs="宋体"/>
          <w:color w:val="auto"/>
          <w:sz w:val="21"/>
          <w:szCs w:val="21"/>
          <w:highlight w:val="none"/>
          <w:lang w:val="en-US" w:eastAsia="zh-CN"/>
        </w:rPr>
        <w:t xml:space="preserve">环境管护</w:t>
      </w:r>
      <w:r>
        <w:rPr>
          <w:rFonts w:hint="eastAsia" w:ascii="宋体" w:hAnsi="宋体" w:eastAsia="宋体" w:cs="宋体"/>
          <w:color w:val="auto"/>
          <w:sz w:val="21"/>
          <w:szCs w:val="21"/>
          <w:highlight w:val="none"/>
        </w:rPr>
        <w:t xml:space="preserve">、绿化日常巡查工作，发现问题及时上报，上报时备注问题准确地点</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巡查中发现游客有争吵、谩骂、斗殴现象需立即制止</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巡查中发现游客遛狗不牵绳现场，应立即劝导</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巡查中发现公园内有骑车、滑板等现象，应立即制止</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发现公园内有商业行为应立即制止劝离，如：小商贩、地摊</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停车场如车辆停放杂乱、应引导劝导游客有序停放</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晚间巡查注意亮化设施是否正常照明，如有损坏及时上报。</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项目物资与设备配置保障要求</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各大型社区公园配备灭火器各4个；</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配备4个救生圈；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4条安全绳；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配备对讲机6个；</w:t>
      </w:r>
      <w:r/>
    </w:p>
    <w:p>
      <w:pPr>
        <w:ind w:firstLine="422"/>
        <w:rPr>
          <w:rFonts w:hint="default"/>
          <w:b/>
          <w:bCs/>
          <w:color w:val="auto"/>
          <w:highlight w:val="none"/>
          <w:lang w:val="en-US" w:eastAsia="zh-CN"/>
        </w:rPr>
      </w:pPr>
      <w:r>
        <w:rPr>
          <w:rFonts w:hint="eastAsia"/>
          <w:b/>
          <w:bCs/>
          <w:color w:val="auto"/>
          <w:highlight w:val="none"/>
          <w:lang w:val="en-US" w:eastAsia="zh-CN"/>
        </w:rPr>
        <w:t xml:space="preserve">（四）公共类活动现场管理</w:t>
      </w:r>
      <w:r>
        <w:rPr>
          <w:rFonts w:hint="eastAsia" w:ascii="宋体" w:hAnsi="宋体" w:cs="宋体"/>
          <w:b/>
          <w:bCs/>
          <w:color w:val="auto"/>
          <w:sz w:val="21"/>
          <w:szCs w:val="21"/>
          <w:highlight w:val="none"/>
          <w:lang w:val="zh-CN" w:eastAsia="zh-CN"/>
        </w:rPr>
        <w:t xml:space="preserve">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如</w:t>
      </w:r>
      <w:r>
        <w:rPr>
          <w:rFonts w:hint="eastAsia" w:ascii="宋体" w:hAnsi="宋体" w:eastAsia="宋体" w:cs="宋体"/>
          <w:color w:val="auto"/>
          <w:sz w:val="21"/>
          <w:szCs w:val="21"/>
          <w:highlight w:val="none"/>
        </w:rPr>
        <w:t xml:space="preserve">遇文明城市创建、重大节庆、文体演艺、公益宣传、上级视察、节假日人流高峰等各类公共活动，</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须无条件配合</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做好现场绿化保障及现场管理服务</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活动期间安排专人定点值守、巡回</w:t>
      </w:r>
      <w:r>
        <w:rPr>
          <w:rFonts w:hint="eastAsia" w:ascii="宋体" w:hAnsi="宋体" w:cs="宋体"/>
          <w:color w:val="auto"/>
          <w:sz w:val="21"/>
          <w:szCs w:val="21"/>
          <w:highlight w:val="none"/>
          <w:lang w:val="en-US" w:eastAsia="zh-CN"/>
        </w:rPr>
        <w:t xml:space="preserve">清理</w:t>
      </w:r>
      <w:r>
        <w:rPr>
          <w:rFonts w:hint="eastAsia" w:ascii="宋体" w:hAnsi="宋体" w:eastAsia="宋体" w:cs="宋体"/>
          <w:color w:val="auto"/>
          <w:sz w:val="21"/>
          <w:szCs w:val="21"/>
          <w:highlight w:val="none"/>
        </w:rPr>
        <w:t xml:space="preserve">，实时清理白色垃圾、果皮纸屑、废弃物，保持活动现场及周边绿化区域干净整洁</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做好活动现场苗木、绿篱、草坪防护，严禁人员踩踏绿地、攀折花木、损坏设施，发现不文明行为及时劝导制止</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活动期间随时做好突发应急准备，遇树木断枝、倒伏、绿植损坏、绿化设施破损等情况，第一时间到场处置、清理、围挡防护，消除安全隐患</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活动结束后第一时间开展现场清场、落叶杂物清运、绿植扶正、场地复原等工作，快速恢复原有绿化景观面貌</w:t>
      </w:r>
      <w:r>
        <w:rPr>
          <w:rFonts w:hint="eastAsia" w:ascii="宋体" w:hAnsi="宋体" w:cs="宋体"/>
          <w:color w:val="auto"/>
          <w:sz w:val="21"/>
          <w:szCs w:val="21"/>
          <w:highlight w:val="none"/>
          <w:lang w:eastAsia="zh-CN"/>
        </w:rPr>
        <w:t xml:space="preserve">。</w:t>
      </w:r>
      <w:r/>
    </w:p>
    <w:p>
      <w:pPr>
        <w:numPr>
          <w:ilvl w:val="0"/>
          <w:numId w:val="0"/>
        </w:numPr>
        <w:rPr>
          <w:rFonts w:hint="default"/>
          <w:b/>
          <w:bCs/>
          <w:color w:val="auto"/>
          <w:highlight w:val="none"/>
          <w:lang w:val="en-US" w:eastAsia="zh-CN"/>
        </w:rPr>
      </w:pPr>
      <w:r>
        <w:rPr>
          <w:rFonts w:hint="eastAsia"/>
          <w:b/>
          <w:bCs/>
          <w:color w:val="auto"/>
          <w:highlight w:val="none"/>
          <w:lang w:val="en-US" w:eastAsia="zh-CN"/>
        </w:rPr>
        <w:t xml:space="preserve">（五）项目内部管理</w:t>
      </w:r>
      <w:r>
        <w:rPr>
          <w:rFonts w:hint="eastAsia" w:ascii="宋体" w:hAnsi="宋体" w:cs="宋体"/>
          <w:b/>
          <w:bCs/>
          <w:color w:val="auto"/>
          <w:sz w:val="21"/>
          <w:szCs w:val="21"/>
          <w:highlight w:val="none"/>
          <w:lang w:val="zh-CN" w:eastAsia="zh-CN"/>
        </w:rPr>
        <w:t xml:space="preserve">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1、环境管护</w:t>
      </w:r>
      <w:r>
        <w:rPr>
          <w:rFonts w:hint="eastAsia" w:ascii="宋体" w:hAnsi="宋体" w:eastAsia="宋体" w:cs="宋体"/>
          <w:color w:val="auto"/>
          <w:sz w:val="21"/>
          <w:szCs w:val="21"/>
          <w:highlight w:val="none"/>
        </w:rPr>
        <w:t xml:space="preserve">工作有计划流程，留有</w:t>
      </w:r>
      <w:r>
        <w:rPr>
          <w:rFonts w:hint="eastAsia" w:ascii="宋体" w:hAnsi="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记录，形成相关台账资料,每半个月例会提交一次；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巡查工作有计划流程，留有巡查记录，形成相关台账资料，每半个月例会提交一次；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建立层级化内部监督体系，实行管理人员日常巡查、不定期抽查、片区互查相结合模式；同步对接</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日常检查考核，对作业不规范、卫生不达标、履职不到位问题建立台账，限时整改、闭环管理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全体作业人员须严格遵守上下班作息、岗位职责、作业规范及文明服务准则，统一着装、规范言行，自觉做到不脱岗、不串岗、不消极怠工，主动维护园区环境卫生与服务形象。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制定常态化培训计划，开展新员工岗前全员培训、在岗人员定期轮训，培训内容包含作业标准、</w:t>
      </w:r>
      <w:r>
        <w:rPr>
          <w:rFonts w:hint="eastAsia" w:ascii="宋体" w:hAnsi="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流程、药剂规范使用、安全作业、文明服务、应急处置等，留存培训签到、影像及台账资料。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val="en-US" w:eastAsia="zh-CN"/>
        </w:rPr>
        <w:t xml:space="preserve">严格执行人员录用标准，入职须开展健康体检；实行日常考勤、月度考核、季度综合考评制度；对屡次违规违纪、服务态度恶劣、考核长期不合格、整改拒不落实的人员，实行待岗再培训、劝退及清退淘汰机制，保障服务队伍整体素质与服务质量。</w:t>
      </w:r>
      <w:r/>
    </w:p>
    <w:p>
      <w:pPr>
        <w:numPr>
          <w:ilvl w:val="0"/>
          <w:numId w:val="0"/>
        </w:numPr>
        <w:rPr>
          <w:rFonts w:hint="default"/>
          <w:b/>
          <w:bCs/>
          <w:color w:val="auto"/>
          <w:highlight w:val="none"/>
          <w:lang w:val="en-US" w:eastAsia="zh-CN"/>
        </w:rPr>
      </w:pPr>
      <w:r>
        <w:rPr>
          <w:rFonts w:hint="eastAsia"/>
          <w:b/>
          <w:bCs/>
          <w:color w:val="auto"/>
          <w:highlight w:val="none"/>
          <w:lang w:val="en-US" w:eastAsia="zh-CN"/>
        </w:rPr>
        <w:t xml:space="preserve">（六）安全、文明作业</w:t>
      </w:r>
      <w:r>
        <w:rPr>
          <w:rFonts w:hint="eastAsia" w:ascii="宋体" w:hAnsi="宋体" w:cs="宋体"/>
          <w:b/>
          <w:bCs/>
          <w:color w:val="auto"/>
          <w:sz w:val="21"/>
          <w:szCs w:val="21"/>
          <w:highlight w:val="none"/>
          <w:lang w:val="zh-CN" w:eastAsia="zh-CN"/>
        </w:rPr>
        <w:t xml:space="preserve">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环境管理人员</w:t>
      </w:r>
      <w:r>
        <w:rPr>
          <w:rFonts w:hint="eastAsia" w:ascii="宋体" w:hAnsi="宋体" w:eastAsia="宋体" w:cs="宋体"/>
          <w:color w:val="auto"/>
          <w:sz w:val="21"/>
          <w:szCs w:val="21"/>
          <w:highlight w:val="none"/>
        </w:rPr>
        <w:t xml:space="preserve">规范作业，工具摆放有序，不随意乱丢，设备药剂齐全规范使用。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全体</w:t>
      </w:r>
      <w:r>
        <w:rPr>
          <w:rFonts w:hint="eastAsia" w:ascii="宋体" w:hAnsi="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rPr>
        <w:t xml:space="preserve">人员服务时间内着装统一，按计划流程规范作业、文明值守。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巡查人员身体健康、无酗酒嗜好，规范使用水印相机等智能设备开展巡查工作。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文明劝导游客不牵绳遛狗、园内骑车滑板、占道摆摊等不文明行为，及时制止游客争吵斗殴等不文明现象。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配备灭火器、救生圈、安全绳、对讲机等安全防护及作业物资，保障作业及安全。</w:t>
      </w:r>
      <w:r/>
    </w:p>
    <w:p>
      <w:pPr>
        <w:numPr>
          <w:ilvl w:val="0"/>
          <w:numId w:val="0"/>
        </w:numPr>
        <w:rPr>
          <w:rFonts w:hint="eastAsia"/>
          <w:b/>
          <w:bCs/>
          <w:color w:val="auto"/>
          <w:highlight w:val="none"/>
          <w:lang w:val="en-US" w:eastAsia="zh-CN"/>
        </w:rPr>
      </w:pPr>
      <w:r>
        <w:rPr>
          <w:rFonts w:hint="eastAsia"/>
          <w:b/>
          <w:bCs/>
          <w:color w:val="auto"/>
          <w:highlight w:val="none"/>
          <w:lang w:val="en-US" w:eastAsia="zh-CN"/>
        </w:rPr>
        <w:t xml:space="preserve">（七）安全事故处理</w:t>
      </w:r>
      <w:r>
        <w:rPr>
          <w:rFonts w:hint="eastAsia" w:ascii="宋体" w:hAnsi="宋体" w:cs="宋体"/>
          <w:b/>
          <w:bCs/>
          <w:color w:val="auto"/>
          <w:sz w:val="21"/>
          <w:szCs w:val="21"/>
          <w:highlight w:val="none"/>
          <w:lang w:val="zh-CN" w:eastAsia="zh-CN"/>
        </w:rPr>
        <w:t xml:space="preserve">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秩序维护人员</w:t>
      </w:r>
      <w:r>
        <w:rPr>
          <w:rFonts w:hint="eastAsia" w:ascii="宋体" w:hAnsi="宋体" w:eastAsia="宋体" w:cs="宋体"/>
          <w:color w:val="auto"/>
          <w:sz w:val="21"/>
          <w:szCs w:val="21"/>
          <w:highlight w:val="none"/>
        </w:rPr>
        <w:t xml:space="preserve">每日巡查公园厕所、桥梁、游乐、健身、亮化等各类设施，发现损坏、故障及时上报，规避安全事故。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配备救生圈、安全绳，应对公园水域人员落水等突发安全事件处置。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配置足量灭火器，防范公园消防火灾安全隐患。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巡查发现各类安全隐患、设施破损、场地风险问题，第一时间精准定位并上报，提前规避安全事故发生。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员工因工作产生工伤、劳务纠纷，由</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全程负责处理、理赔、安抚，不得推诿至</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不得聚众上访、闹事影响园区秩序</w:t>
      </w:r>
      <w:r>
        <w:rPr>
          <w:rFonts w:hint="eastAsia" w:ascii="宋体" w:hAnsi="宋体" w:cs="宋体"/>
          <w:color w:val="auto"/>
          <w:sz w:val="21"/>
          <w:szCs w:val="21"/>
          <w:highlight w:val="none"/>
          <w:lang w:eastAsia="zh-CN"/>
        </w:rPr>
        <w:t xml:space="preserve">。</w:t>
      </w:r>
      <w:r/>
    </w:p>
    <w:p>
      <w:pPr>
        <w:numPr>
          <w:ilvl w:val="0"/>
          <w:numId w:val="0"/>
        </w:numPr>
        <w:rPr>
          <w:rFonts w:hint="eastAsia"/>
          <w:b/>
          <w:bCs/>
          <w:color w:val="auto"/>
          <w:highlight w:val="none"/>
          <w:lang w:val="en-US" w:eastAsia="zh-CN"/>
        </w:rPr>
      </w:pPr>
      <w:r>
        <w:rPr>
          <w:rFonts w:hint="eastAsia"/>
          <w:b/>
          <w:bCs/>
          <w:color w:val="auto"/>
          <w:highlight w:val="none"/>
          <w:lang w:val="en-US" w:eastAsia="zh-CN"/>
        </w:rPr>
        <w:t xml:space="preserve">（八）应急预案</w:t>
      </w:r>
      <w:r>
        <w:rPr>
          <w:rFonts w:hint="eastAsia" w:ascii="宋体" w:hAnsi="宋体" w:cs="宋体"/>
          <w:b/>
          <w:bCs/>
          <w:color w:val="auto"/>
          <w:sz w:val="21"/>
          <w:szCs w:val="21"/>
          <w:highlight w:val="none"/>
          <w:lang w:val="zh-CN" w:eastAsia="zh-CN"/>
        </w:rPr>
        <w:t xml:space="preserve">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遇创建文明城、重大节假日、突发专项任务等特殊情况，随时调整服务值守时间，适配应急保障需求。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巡查遇游客争吵、谩骂、斗殴等突发冲突事件，立即现场制止、疏导处置。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发现设施损坏、亮化故障、安全隐患等突发问题，第一时间上报。</w:t>
      </w:r>
      <w:r/>
    </w:p>
    <w:p>
      <w:pPr>
        <w:ind w:firstLine="48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cs="宋体"/>
          <w:b/>
          <w:color w:val="auto"/>
          <w:sz w:val="24"/>
          <w:szCs w:val="24"/>
          <w:highlight w:val="none"/>
          <w:lang w:val="en-US" w:eastAsia="zh-CN"/>
        </w:rPr>
        <w:t xml:space="preserve">考核办法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考核严格参照《广陵区公园养护管理办法》开展，建立月度常态化督查、季度综合考评机制，考核基准合格分值为90分。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对月度检查排查发现的问题，服务单位须在收到整改通知后7个工作日内全部整改到位，并提交正式书面整改报告及佐证资料备查。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季度综合考评得分低于90分的，按照每分3000元标准扣减对应季度服务经费；季度考核得分低于80分的，对服务单位负责人进行约谈提醒。连续两个季度综合考核得分低于90分的，</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eastAsia="zh-CN"/>
        </w:rPr>
        <w:t xml:space="preserve">有权依据合同约定解除服务合同。</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考核结果同步作为后续服务续约、项目招投标信用评价重要参考依据。</w:t>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附表1</w:t>
      </w:r>
      <w:r/>
    </w:p>
    <w:p>
      <w:pPr>
        <w:ind w:firstLine="42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公园面积明细</w:t>
      </w:r>
      <w:r/>
    </w:p>
    <w:tbl>
      <w:tblPr>
        <w:tblStyle w:val="720"/>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2"/>
        <w:gridCol w:w="2709"/>
        <w:gridCol w:w="4134"/>
        <w:gridCol w:w="1107"/>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地址</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附中北口袋公园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淮海路与盐阜路交叉口西南角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红园对面口袋公园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东岳巷与盐阜路交叉口东南角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育才小学东侧口袋公园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南通东路北侧，育才小学东侧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1912北侧口袋公园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长城花园东侧，泰州路西侧，1912北侧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东方小商品市场东侧口袋公园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毓贤街南侧，东方小商品市场东侧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正谊巷口袋公园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四望亭东北、广陵区文化局北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沙施河边口袋公园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沙施河边</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个园北门两侧口袋公园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个园北门两侧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恩寺巷西北角口袋公园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泰州路与恩寺巷交叉口西北角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沙北三村门口口袋公园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沙北三村门口</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老市政府西南角口袋公园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老市政府西南角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通扬桥西南侧、西北侧口袋公园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通扬桥西南侧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东岳大酒店口袋公园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东岳巷东岳大酒店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江阳路渡江南路口袋公园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江阳路与渡江南路交叉口西南角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扬大原商学院门口口袋公园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盐阜东路扬州大学原商学院门口两侧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龙头关社区北侧口袋公园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龙头关社区北侧，南门新村南侧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石塔菜场北口袋公园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四望亭路与二道河交叉口东南角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珍园北口袋公园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十巷与秦淮河沿河道路交叉口西北角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阮家大院对面口袋公园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大东门桥南（阮家大院 2 号对面）</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仙鹤寺南口袋公园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仙鹤寺南（八分饱饭店东北角）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旌忠巷西门口袋公园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史巷东侧，旌忠巷北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旌忠巷南侧口袋公园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南门街东侧，旌忠巷南侧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三义阁66号口袋公园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三义阁66号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大准提寺东侧口袋公园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大准提寺东侧，治淮新村西侧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引市街113号口袋公园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引市街113号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河边巷南口袋公园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小秦淮河东侧（河边巷与盐阜路交叉口南100米）</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南讲经墩沿线口袋公园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小秦淮河东侧，彩衣街南，南讲经墩 7-22号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东圈门44号对面口袋公园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东圈门与大方巷交叉口西南角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上新桥东侧口袋公园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小秦淮河上新桥东侧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彩衣街沿线口袋公园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国庆路西侧，彩衣街沿线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渡江社区北口袋公园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水仓巷与埂子街交叉口东南角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徐凝门路南通路口袋公园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徐凝门路与南通路交叉口西北角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畅园口袋公园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曾公祠巷西侧（畅园）</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皮市街芝麻巷口袋公园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皮市街东侧，小芝麻巷与大芝麻巷之间</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汪氏小苑北口袋公园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汪氏小苑北，古井两侧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大准提寺西侧口袋公园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后安家巷，大准提寺西侧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石榴巷口袋公园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石榴巷8、10号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祗驼林南侧口袋公园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引市街东侧，祗驼林南侧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269</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湾子街灯草行口袋公园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湾子街与灯草行交叉口南侧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三益巷当典巷口袋公园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小秦淮河东侧，三益巷与当典巷之间</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长庆巷北侧口袋公园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小秦淮河东侧，长庆巷北侧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平价饭店口袋公园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平价饭店旁</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南门遗址口袋公园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南门遗址</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大东门桥南口袋公园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大东门桥南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五台口袋公园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五台片区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古运南苑口袋公园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古运南苑</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万福路沿线口袋公园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万福路（高职校、加油站、桃李春风）</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魏源故居口袋公园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新仓巷南侧（魏源故居内）</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杨氏住宅门口口袋公园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厨子巷与狮子巷交叉口西南角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育婴巷口袋公园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育婴巷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曲江公园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曲江片区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万福锦园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万福路沿线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广陵湾公园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广陵湾片区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中海九玺公园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中海九玺小区旁</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大水湾公园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大水湾片区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文峰小学公园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文峰小学旁</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七里河公园一期</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七里河沿线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文峰寺公园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文峰寺周边</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同心河公园一、二期</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同心河沿线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汤汪花园中心广场公园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汤汪花园区间</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跃进河公园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跃进河沿线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盐阜路-绿杨城郭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盐阜路沿线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国防主题公园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广陵区内</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树人苑肯特园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树人苑片区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北城河（滨河公园）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西起瘦西湖路，东南至古运河</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施井路路口口袋公园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施井路路口（江阳路交叉口）</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跃进河二期（公园）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 国道北侧，跃进河沿线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影园春公园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荷花池公园以北、苏北医院以西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江都路与安康路交叉口西南侧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院士广场</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扬州中学东侧，淮海路以东</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小运河路（体育休闲公园）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连运路-汤汪花园</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小秦淮河园路（北段）</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北起盐阜路，南至文昌中路</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江阳路与渡江南路交叉口</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江阳路与渡江南路交叉口西南角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古运河东岸（公园）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古运河东岸（沿线）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君悦首府沙施河边</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君悦首府小区旁，沙施河畔</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联谊路与江阳路交叉口</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联谊路与江阳路交叉口</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1008800</w:t>
            </w:r>
            <w:r/>
          </w:p>
        </w:tc>
      </w:tr>
    </w:tbl>
    <w:p>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附表2</w:t>
      </w:r>
      <w:r/>
    </w:p>
    <w:p>
      <w:pPr>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环境管护使用</w:t>
      </w:r>
      <w:r>
        <w:rPr>
          <w:rFonts w:hint="eastAsia" w:ascii="宋体" w:hAnsi="宋体" w:eastAsia="宋体" w:cs="宋体"/>
          <w:b/>
          <w:bCs/>
          <w:color w:val="auto"/>
          <w:sz w:val="21"/>
          <w:szCs w:val="21"/>
          <w:highlight w:val="none"/>
          <w:lang w:val="en-US" w:eastAsia="zh-CN"/>
        </w:rPr>
        <w:t xml:space="preserve">耗材明细</w:t>
      </w:r>
      <w:r/>
    </w:p>
    <w:tbl>
      <w:tblPr>
        <w:tblStyle w:val="720"/>
        <w:tblW w:w="502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0"/>
        <w:gridCol w:w="1844"/>
        <w:gridCol w:w="786"/>
        <w:gridCol w:w="800"/>
        <w:gridCol w:w="4608"/>
      </w:tblGrid>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3650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一座厕所考虑10个垃圾桶，每日一更换</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小便池清洁球</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1460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一座厕所考虑4个小便斗，每日一更换</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盘式蚊香</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一座厕所每日用量考虑4盘，只考虑夏季3个月使用</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消毒液</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一座厕所每月考虑4瓶用量</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一座厕所每月考虑4瓶用量</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杀虫喷雾剂</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一座厕所每月考虑2瓶用量</w:t>
            </w:r>
            <w:r/>
          </w:p>
        </w:tc>
      </w:tr>
    </w:tbl>
    <w:p>
      <w:pPr>
        <w:rPr>
          <w:color w:val="auto"/>
          <w:highlight w:val="none"/>
        </w:rPr>
      </w:pPr>
      <w:r>
        <w:rPr>
          <w:rFonts w:hint="eastAsia" w:ascii="宋体" w:hAnsi="宋体" w:eastAsia="宋体" w:cs="宋体"/>
          <w:color w:val="auto"/>
          <w:sz w:val="21"/>
          <w:szCs w:val="21"/>
          <w:highlight w:val="none"/>
        </w:rPr>
        <w:br w:type="page" w:clear="all"/>
      </w:r>
      <w:r/>
    </w:p>
    <w:p>
      <w:pPr>
        <w:pStyle w:val="932"/>
        <w:jc w:val="center"/>
        <w:spacing w:line="360" w:lineRule="auto"/>
        <w:rPr>
          <w:rFonts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57" w:name="_Toc55204181"/>
      <w:r/>
      <w:r/>
    </w:p>
    <w:p>
      <w:pPr>
        <w:pStyle w:val="932"/>
        <w:jc w:val="center"/>
        <w:spacing w:line="360" w:lineRule="auto"/>
        <w:rPr>
          <w:color w:val="auto"/>
          <w:highlight w:val="none"/>
        </w:rPr>
      </w:pPr>
      <w:r/>
      <w:bookmarkStart w:id="58" w:name="_Toc15564"/>
      <w:r>
        <w:rPr>
          <w:rFonts w:hint="eastAsia"/>
          <w:color w:val="auto"/>
          <w:highlight w:val="none"/>
        </w:rPr>
        <w:t xml:space="preserve">第五章 评标方法及评标标准</w:t>
      </w:r>
      <w:bookmarkEnd w:id="57"/>
      <w:r/>
      <w:bookmarkEnd w:id="58"/>
      <w:r/>
      <w:r/>
    </w:p>
    <w:p>
      <w:pPr>
        <w:pStyle w:val="973"/>
        <w:ind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7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highlight w:val="none"/>
        </w:rPr>
      </w:pPr>
      <w:r/>
      <w:bookmarkStart w:id="59" w:name="_Toc449017024"/>
      <w:r/>
      <w:bookmarkStart w:id="60" w:name="_Toc449016388"/>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59"/>
      <w:r/>
      <w:bookmarkEnd w:id="60"/>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3"/>
        <w:ind w:left="315" w:firstLine="105"/>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973"/>
        <w:ind w:firstLine="420"/>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973"/>
        <w:ind w:firstLine="420"/>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hint="eastAsia" w:ascii="Times New Roman" w:hAnsi="Times New Roman"/>
          <w:color w:val="auto"/>
          <w:sz w:val="21"/>
          <w:szCs w:val="21"/>
          <w:highlight w:val="none"/>
          <w:lang w:eastAsia="zh-CN"/>
        </w:rPr>
        <w:t xml:space="preserve">投标人</w:t>
      </w:r>
      <w:r>
        <w:rPr>
          <w:rFonts w:ascii="Times New Roman" w:hAnsi="Times New Roman"/>
          <w:color w:val="auto"/>
          <w:sz w:val="21"/>
          <w:szCs w:val="21"/>
          <w:highlight w:val="none"/>
        </w:rPr>
        <w:t xml:space="preserve">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973"/>
        <w:ind w:left="420" w:firstLine="0"/>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973"/>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73"/>
        <w:ind w:left="420" w:firstLine="0"/>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973"/>
        <w:ind w:firstLine="420"/>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973"/>
        <w:ind w:left="420" w:firstLine="0"/>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973"/>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73"/>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w:t>
      </w:r>
      <w:r>
        <w:rPr>
          <w:rFonts w:hint="eastAsia" w:ascii="Times New Roman" w:hAnsi="Times New Roman"/>
          <w:color w:val="auto"/>
          <w:sz w:val="21"/>
          <w:szCs w:val="21"/>
          <w:highlight w:val="none"/>
          <w:lang w:eastAsia="zh-CN"/>
        </w:rPr>
        <w:t xml:space="preserve">投标人</w:t>
      </w:r>
      <w:r>
        <w:rPr>
          <w:rFonts w:ascii="Times New Roman" w:hAnsi="Times New Roman"/>
          <w:color w:val="auto"/>
          <w:sz w:val="21"/>
          <w:szCs w:val="21"/>
          <w:highlight w:val="none"/>
        </w:rPr>
        <w:t xml:space="preserve">如不提供上述证明文件，价格将不做相应扣除。</w:t>
      </w:r>
      <w:r/>
    </w:p>
    <w:p>
      <w:pPr>
        <w:pStyle w:val="973"/>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973"/>
        <w:ind w:firstLine="420"/>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973"/>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973"/>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211"/>
        <w:spacing w:line="360" w:lineRule="auto"/>
        <w:rPr>
          <w:rFonts w:ascii="宋体" w:hAnsi="宋体"/>
          <w:b/>
          <w:color w:val="auto"/>
          <w:szCs w:val="21"/>
          <w:highlight w:val="none"/>
        </w:rPr>
      </w:pPr>
      <w:r>
        <w:rPr>
          <w:rFonts w:hint="eastAsia" w:ascii="宋体" w:hAnsi="宋体"/>
          <w:b/>
          <w:color w:val="auto"/>
          <w:szCs w:val="21"/>
          <w:highlight w:val="none"/>
        </w:rPr>
        <w:t xml:space="preserve">三、评标标准</w:t>
      </w:r>
      <w:r/>
    </w:p>
    <w:tbl>
      <w:tblPr>
        <w:tblStyle w:val="720"/>
        <w:tblW w:w="9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1264"/>
        <w:gridCol w:w="6671"/>
      </w:tblGrid>
      <w:tr>
        <w:trPr>
          <w:jc w:val="center"/>
          <w:tblHeader/>
        </w:trPr>
        <w:tc>
          <w:tcPr>
            <w:tcW w:w="1201"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项  目</w:t>
            </w:r>
            <w:r/>
          </w:p>
        </w:tc>
        <w:tc>
          <w:tcPr>
            <w:gridSpan w:val="2"/>
            <w:tcW w:w="7935" w:type="dxa"/>
            <w:vAlign w:val="center"/>
            <w:textDirection w:val="lrTb"/>
            <w:noWrap w:val="false"/>
          </w:tcPr>
          <w:p>
            <w:pPr>
              <w:ind w:right="0" w:firstLine="422"/>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评  分  标  准</w:t>
            </w:r>
            <w:r/>
          </w:p>
        </w:tc>
      </w:tr>
      <w:tr>
        <w:trPr>
          <w:jc w:val="center"/>
          <w:trHeight w:val="436"/>
        </w:trPr>
        <w:tc>
          <w:tcPr>
            <w:tcW w:w="1201"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投标报价</w:t>
            </w:r>
            <w:r/>
          </w:p>
          <w:p>
            <w:pPr>
              <w:ind w:right="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lang w:val="zh-CN"/>
              </w:rPr>
              <w:t xml:space="preserve">分）</w:t>
            </w:r>
            <w:r/>
          </w:p>
        </w:tc>
        <w:tc>
          <w:tcPr>
            <w:gridSpan w:val="2"/>
            <w:tcW w:w="7935"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采用低价优先法计算，以满足招标文件要求的最低投标报价为评标基准价，得满分15分，其他投标报价得分=（评标基准价/其他投标报价）×15×100%。</w:t>
            </w:r>
            <w:r/>
          </w:p>
        </w:tc>
      </w:tr>
      <w:tr>
        <w:trPr>
          <w:jc w:val="center"/>
          <w:trHeight w:val="1223"/>
        </w:trPr>
        <w:tc>
          <w:tcPr>
            <w:tcW w:w="1201" w:type="dxa"/>
            <w:vAlign w:val="center"/>
            <w:vMerge w:val="restart"/>
            <w:textDirection w:val="lrTb"/>
            <w:noWrap w:val="false"/>
          </w:tcPr>
          <w:p>
            <w:pPr>
              <w:ind w:right="0"/>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项目实施方案（</w:t>
            </w:r>
            <w:r>
              <w:rPr>
                <w:rFonts w:hint="eastAsia" w:ascii="宋体" w:hAnsi="宋体" w:eastAsia="宋体" w:cs="宋体"/>
                <w:b/>
                <w:bCs/>
                <w:color w:val="auto"/>
                <w:sz w:val="21"/>
                <w:szCs w:val="21"/>
                <w:highlight w:val="none"/>
                <w:lang w:val="en-US" w:eastAsia="zh-CN"/>
              </w:rPr>
              <w:t xml:space="preserve">50</w:t>
            </w:r>
            <w:r/>
          </w:p>
          <w:p>
            <w:pPr>
              <w:ind w:right="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分）</w:t>
            </w:r>
            <w:r/>
          </w:p>
        </w:tc>
        <w:tc>
          <w:tcPr>
            <w:tcW w:w="1264"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服务设想和总体服务目标（</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val="zh-CN"/>
              </w:rPr>
              <w:t xml:space="preserve">）</w:t>
            </w:r>
            <w:r/>
          </w:p>
        </w:tc>
        <w:tc>
          <w:tcPr>
            <w:tcW w:w="6671" w:type="dxa"/>
            <w:vAlign w:val="center"/>
            <w:textDirection w:val="lrTb"/>
            <w:noWrap w:val="false"/>
          </w:tcPr>
          <w:p>
            <w:pPr>
              <w:ind w:right="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1、服务设想是否符合项目实情，目标是否满足招标文件要求；</w:t>
            </w:r>
            <w:r/>
          </w:p>
          <w:p>
            <w:pPr>
              <w:ind w:right="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方案完整、细致，符合项目需求，操作性强得6分；</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方案较为完整、细致，基本符合项目需求，操作性较强得4分；</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方案不完整、不细致，与项目需求响应度低，操作性差得2分；</w:t>
            </w:r>
            <w:r/>
          </w:p>
          <w:p>
            <w:pPr>
              <w:ind w:right="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264"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环境管护</w:t>
            </w: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lang w:val="en-US" w:eastAsia="zh-CN"/>
              </w:rPr>
              <w:t xml:space="preserve">7分</w:t>
            </w:r>
            <w:r>
              <w:rPr>
                <w:rFonts w:hint="eastAsia" w:ascii="宋体" w:hAnsi="宋体" w:eastAsia="宋体" w:cs="宋体"/>
                <w:color w:val="auto"/>
                <w:sz w:val="21"/>
                <w:szCs w:val="21"/>
                <w:highlight w:val="none"/>
                <w:lang w:val="zh-CN"/>
              </w:rPr>
              <w:t xml:space="preserve">）</w:t>
            </w:r>
            <w:r/>
          </w:p>
        </w:tc>
        <w:tc>
          <w:tcPr>
            <w:tcW w:w="6671" w:type="dxa"/>
            <w:vAlign w:val="center"/>
            <w:textDirection w:val="lrTb"/>
            <w:noWrap w:val="false"/>
          </w:tcPr>
          <w:p>
            <w:pPr>
              <w:ind w:right="0"/>
              <w:jc w:val="left"/>
              <w:keepLines w:val="0"/>
              <w:keepNext w:val="0"/>
              <w:pageBreakBefore w:val="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eastAsia="zh-CN"/>
              </w:rPr>
              <w:t xml:space="preserve">根据投标文件中提出的进退场交接措施、工作流程、</w:t>
            </w:r>
            <w:r>
              <w:rPr>
                <w:rFonts w:hint="eastAsia" w:ascii="宋体" w:hAnsi="宋体" w:eastAsia="宋体" w:cs="宋体"/>
                <w:b/>
                <w:bCs/>
                <w:color w:val="auto"/>
                <w:sz w:val="21"/>
                <w:szCs w:val="21"/>
                <w:highlight w:val="none"/>
                <w:lang w:val="en-US" w:eastAsia="zh-CN"/>
              </w:rPr>
              <w:t xml:space="preserve">环境</w:t>
            </w:r>
            <w:r>
              <w:rPr>
                <w:rFonts w:hint="eastAsia" w:ascii="宋体" w:hAnsi="宋体" w:eastAsia="宋体" w:cs="宋体"/>
                <w:b/>
                <w:bCs/>
                <w:color w:val="auto"/>
                <w:sz w:val="21"/>
                <w:szCs w:val="21"/>
                <w:highlight w:val="none"/>
                <w:lang w:val="zh-CN" w:eastAsia="zh-CN"/>
              </w:rPr>
              <w:t xml:space="preserve">管理措施(道路</w:t>
            </w:r>
            <w:r>
              <w:rPr>
                <w:rFonts w:hint="eastAsia" w:ascii="宋体" w:hAnsi="宋体" w:eastAsia="宋体" w:cs="宋体"/>
                <w:b/>
                <w:bCs/>
                <w:color w:val="auto"/>
                <w:sz w:val="21"/>
                <w:szCs w:val="21"/>
                <w:highlight w:val="none"/>
                <w:lang w:val="en-US" w:eastAsia="zh-CN"/>
              </w:rPr>
              <w:t xml:space="preserve">环境</w:t>
            </w:r>
            <w:r>
              <w:rPr>
                <w:rFonts w:hint="eastAsia" w:ascii="宋体" w:hAnsi="宋体" w:eastAsia="宋体" w:cs="宋体"/>
                <w:b/>
                <w:bCs/>
                <w:color w:val="auto"/>
                <w:sz w:val="21"/>
                <w:szCs w:val="21"/>
                <w:highlight w:val="none"/>
                <w:lang w:val="zh-CN" w:eastAsia="zh-CN"/>
              </w:rPr>
              <w:t xml:space="preserve">、公厕</w:t>
            </w:r>
            <w:r>
              <w:rPr>
                <w:rFonts w:hint="eastAsia" w:ascii="宋体" w:hAnsi="宋体" w:eastAsia="宋体" w:cs="宋体"/>
                <w:b/>
                <w:bCs/>
                <w:color w:val="auto"/>
                <w:sz w:val="21"/>
                <w:szCs w:val="21"/>
                <w:highlight w:val="none"/>
                <w:lang w:val="en-US" w:eastAsia="zh-CN"/>
              </w:rPr>
              <w:t xml:space="preserve">环境</w:t>
            </w:r>
            <w:r>
              <w:rPr>
                <w:rFonts w:hint="eastAsia" w:ascii="宋体" w:hAnsi="宋体" w:eastAsia="宋体" w:cs="宋体"/>
                <w:b/>
                <w:bCs/>
                <w:color w:val="auto"/>
                <w:sz w:val="21"/>
                <w:szCs w:val="21"/>
                <w:highlight w:val="none"/>
                <w:lang w:val="zh-CN" w:eastAsia="zh-CN"/>
              </w:rPr>
              <w:t xml:space="preserve">、绿化带</w:t>
            </w:r>
            <w:r>
              <w:rPr>
                <w:rFonts w:hint="eastAsia" w:ascii="宋体" w:hAnsi="宋体" w:eastAsia="宋体" w:cs="宋体"/>
                <w:b/>
                <w:bCs/>
                <w:color w:val="auto"/>
                <w:sz w:val="21"/>
                <w:szCs w:val="21"/>
                <w:highlight w:val="none"/>
                <w:lang w:val="en-US" w:eastAsia="zh-CN"/>
              </w:rPr>
              <w:t xml:space="preserve">的环境管理</w:t>
            </w:r>
            <w:r>
              <w:rPr>
                <w:rFonts w:hint="eastAsia" w:ascii="宋体" w:hAnsi="宋体" w:eastAsia="宋体" w:cs="宋体"/>
                <w:b/>
                <w:bCs/>
                <w:color w:val="auto"/>
                <w:sz w:val="21"/>
                <w:szCs w:val="21"/>
                <w:highlight w:val="none"/>
                <w:lang w:val="zh-CN" w:eastAsia="zh-CN"/>
              </w:rPr>
              <w:t xml:space="preserve">服务方案）</w:t>
            </w:r>
            <w:r>
              <w:rPr>
                <w:rFonts w:hint="eastAsia" w:ascii="宋体" w:hAnsi="宋体" w:eastAsia="宋体" w:cs="宋体"/>
                <w:b/>
                <w:bCs/>
                <w:color w:val="auto"/>
                <w:sz w:val="21"/>
                <w:szCs w:val="21"/>
                <w:highlight w:val="none"/>
                <w:lang w:val="en-US" w:eastAsia="zh-CN"/>
              </w:rPr>
              <w:t xml:space="preserve">等</w:t>
            </w:r>
            <w:r>
              <w:rPr>
                <w:rFonts w:hint="eastAsia" w:ascii="宋体" w:hAnsi="宋体" w:eastAsia="宋体" w:cs="宋体"/>
                <w:b/>
                <w:bCs/>
                <w:color w:val="auto"/>
                <w:sz w:val="21"/>
                <w:szCs w:val="21"/>
                <w:highlight w:val="none"/>
                <w:lang w:val="zh-CN" w:eastAsia="zh-CN"/>
              </w:rPr>
              <w:t xml:space="preserve">具体方案及措施；</w:t>
            </w:r>
            <w:r/>
          </w:p>
          <w:p>
            <w:pPr>
              <w:ind w:right="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各类方案措施完整齐全，整体架构科学严谨、贴合项目实际，合理性与可操作性极强，内容阐述详实具体，针对性十足</w:t>
            </w:r>
            <w:r>
              <w:rPr>
                <w:rFonts w:hint="eastAsia" w:ascii="宋体" w:hAnsi="宋体" w:eastAsia="宋体" w:cs="宋体"/>
                <w:color w:val="auto"/>
                <w:sz w:val="21"/>
                <w:szCs w:val="21"/>
                <w:highlight w:val="none"/>
                <w:lang w:val="en-US" w:eastAsia="zh-CN"/>
              </w:rPr>
              <w:t xml:space="preserve">的得7分；</w:t>
            </w:r>
            <w:r/>
          </w:p>
          <w:p>
            <w:pPr>
              <w:ind w:right="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各项方案措施齐全，整体规划合理规范，具备良好落地实操性，内容描述较为细致，具备对应针对性</w:t>
            </w:r>
            <w:r>
              <w:rPr>
                <w:rFonts w:hint="eastAsia" w:ascii="宋体" w:hAnsi="宋体" w:eastAsia="宋体" w:cs="宋体"/>
                <w:color w:val="auto"/>
                <w:sz w:val="21"/>
                <w:szCs w:val="21"/>
                <w:highlight w:val="none"/>
                <w:lang w:val="en-US" w:eastAsia="zh-CN"/>
              </w:rPr>
              <w:t xml:space="preserve">的得5分；</w:t>
            </w:r>
            <w:r/>
          </w:p>
          <w:p>
            <w:pPr>
              <w:ind w:right="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部分措施存在瑕疵欠妥之处，实际可操作性一般，内容表述偏简略，针对性存在明显欠缺</w:t>
            </w:r>
            <w:r>
              <w:rPr>
                <w:rFonts w:hint="eastAsia" w:ascii="宋体" w:hAnsi="宋体" w:eastAsia="宋体" w:cs="宋体"/>
                <w:color w:val="auto"/>
                <w:sz w:val="21"/>
                <w:szCs w:val="21"/>
                <w:highlight w:val="none"/>
                <w:lang w:val="en-US" w:eastAsia="zh-CN"/>
              </w:rPr>
              <w:t xml:space="preserve">的得3分；</w:t>
            </w:r>
            <w:r/>
          </w:p>
          <w:p>
            <w:pPr>
              <w:ind w:right="0"/>
              <w:jc w:val="left"/>
              <w:keepLines w:val="0"/>
              <w:keepNext w:val="0"/>
              <w:pageBreakBefore w:val="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zh-CN"/>
              </w:rPr>
              <w:t xml:space="preserve">相关方案内容缺失较多，流程及</w:t>
            </w:r>
            <w:r>
              <w:rPr>
                <w:rFonts w:hint="eastAsia" w:ascii="宋体" w:hAnsi="宋体" w:eastAsia="宋体" w:cs="宋体"/>
                <w:color w:val="auto"/>
                <w:sz w:val="21"/>
                <w:szCs w:val="21"/>
                <w:highlight w:val="none"/>
                <w:lang w:val="en-US" w:eastAsia="zh-CN"/>
              </w:rPr>
              <w:t xml:space="preserve">卫生</w:t>
            </w:r>
            <w:r>
              <w:rPr>
                <w:rFonts w:hint="eastAsia" w:ascii="宋体" w:hAnsi="宋体" w:eastAsia="宋体" w:cs="宋体"/>
                <w:color w:val="auto"/>
                <w:sz w:val="21"/>
                <w:szCs w:val="21"/>
                <w:highlight w:val="none"/>
                <w:lang w:val="zh-CN"/>
              </w:rPr>
              <w:t xml:space="preserve">管控措施漏洞突出，整体合理性差、难以落地执行，内容表述笼统敷衍，无实际服务针对性</w:t>
            </w:r>
            <w:r>
              <w:rPr>
                <w:rFonts w:hint="eastAsia" w:ascii="宋体" w:hAnsi="宋体" w:eastAsia="宋体" w:cs="宋体"/>
                <w:color w:val="auto"/>
                <w:sz w:val="21"/>
                <w:szCs w:val="21"/>
                <w:highlight w:val="none"/>
                <w:lang w:val="en-US" w:eastAsia="zh-CN"/>
              </w:rPr>
              <w:t xml:space="preserve">的得1分，</w:t>
            </w:r>
            <w:r>
              <w:rPr>
                <w:rFonts w:hint="eastAsia" w:ascii="宋体" w:hAnsi="宋体" w:eastAsia="宋体" w:cs="宋体"/>
                <w:color w:val="auto"/>
                <w:sz w:val="21"/>
                <w:szCs w:val="21"/>
                <w:highlight w:val="none"/>
                <w:lang w:val="zh-CN"/>
              </w:rPr>
              <w:t xml:space="preserve">其余不得分</w:t>
            </w:r>
            <w:r>
              <w:rPr>
                <w:rFonts w:hint="eastAsia" w:ascii="宋体" w:hAnsi="宋体" w:eastAsia="宋体" w:cs="宋体"/>
                <w:color w:val="auto"/>
                <w:sz w:val="21"/>
                <w:szCs w:val="21"/>
                <w:highlight w:val="none"/>
                <w:lang w:val="en-US" w:eastAsia="zh-CN"/>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264"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eastAsia="zh-CN"/>
              </w:rPr>
              <w:t xml:space="preserve">秩序维护</w:t>
            </w:r>
            <w:r>
              <w:rPr>
                <w:rFonts w:hint="eastAsia" w:ascii="宋体" w:hAnsi="宋体" w:eastAsia="宋体" w:cs="宋体"/>
                <w:color w:val="auto"/>
                <w:sz w:val="21"/>
                <w:szCs w:val="21"/>
                <w:highlight w:val="none"/>
              </w:rPr>
              <w:t xml:space="preserve">管理方案</w:t>
            </w:r>
            <w:r>
              <w:rPr>
                <w:rFonts w:hint="eastAsia" w:ascii="宋体" w:hAnsi="宋体" w:eastAsia="宋体" w:cs="宋体"/>
                <w:color w:val="auto"/>
                <w:sz w:val="21"/>
                <w:szCs w:val="21"/>
                <w:highlight w:val="none"/>
                <w:lang w:val="en-US" w:eastAsia="zh-CN" w:bidi="ar"/>
              </w:rPr>
              <w:t xml:space="preserve">（7分）</w:t>
            </w:r>
            <w:r/>
          </w:p>
        </w:tc>
        <w:tc>
          <w:tcPr>
            <w:tcW w:w="6671" w:type="dxa"/>
            <w:vAlign w:val="center"/>
            <w:textDirection w:val="lrTb"/>
            <w:noWrap w:val="false"/>
          </w:tcPr>
          <w:p>
            <w:pPr>
              <w:ind w:right="0"/>
              <w:jc w:val="left"/>
              <w:keepLines w:val="0"/>
              <w:keepNext w:val="0"/>
              <w:pageBreakBefore w:val="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3、根</w:t>
            </w:r>
            <w:r>
              <w:rPr>
                <w:rFonts w:hint="eastAsia" w:ascii="宋体" w:hAnsi="宋体" w:eastAsia="宋体" w:cs="宋体"/>
                <w:b/>
                <w:bCs/>
                <w:color w:val="auto"/>
                <w:sz w:val="21"/>
                <w:szCs w:val="21"/>
                <w:highlight w:val="none"/>
                <w:lang w:val="zh-CN" w:eastAsia="zh-CN"/>
              </w:rPr>
              <w:t xml:space="preserve">据供应商提供</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zh-CN" w:eastAsia="zh-CN"/>
              </w:rPr>
              <w:t xml:space="preserve">公园安保</w:t>
            </w:r>
            <w:r>
              <w:rPr>
                <w:rFonts w:hint="eastAsia" w:ascii="宋体" w:hAnsi="宋体" w:eastAsia="宋体" w:cs="宋体"/>
                <w:b/>
                <w:bCs/>
                <w:color w:val="auto"/>
                <w:sz w:val="21"/>
                <w:szCs w:val="21"/>
                <w:highlight w:val="none"/>
                <w:lang w:val="en-US" w:eastAsia="zh-CN"/>
              </w:rPr>
              <w:t xml:space="preserve">秩序维护服务方案</w:t>
            </w:r>
            <w:r>
              <w:rPr>
                <w:rFonts w:hint="eastAsia" w:ascii="宋体" w:hAnsi="宋体" w:eastAsia="宋体" w:cs="宋体"/>
                <w:b/>
                <w:bCs/>
                <w:color w:val="auto"/>
                <w:sz w:val="21"/>
                <w:szCs w:val="21"/>
                <w:highlight w:val="none"/>
                <w:lang w:val="zh-CN" w:eastAsia="zh-CN"/>
              </w:rPr>
              <w:t xml:space="preserve">；</w:t>
            </w:r>
            <w:r/>
          </w:p>
          <w:p>
            <w:p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方案体系完整、内容极致细致，完全契合项目实际需求与场景特点，涵盖人员配置、岗位职责、作业流程、应急处置、考核监督等全流程设计，针对性极强，可直接落地执行且操作性极强</w:t>
            </w:r>
            <w:r>
              <w:rPr>
                <w:rFonts w:hint="eastAsia" w:ascii="宋体" w:hAnsi="宋体" w:eastAsia="宋体" w:cs="宋体"/>
                <w:color w:val="auto"/>
                <w:sz w:val="21"/>
                <w:szCs w:val="21"/>
                <w:highlight w:val="none"/>
                <w:lang w:val="en-US" w:eastAsia="zh-CN"/>
              </w:rPr>
              <w:t xml:space="preserve">的得7分；</w:t>
            </w:r>
            <w:r/>
          </w:p>
          <w:p>
            <w:p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方案结构完整、细节较为详实，基本贴合项目核心需求，关键环节（如值守安排、应急响应、日常管控）设计合理，具备良好的实操性</w:t>
            </w:r>
            <w:r>
              <w:rPr>
                <w:rFonts w:hint="eastAsia" w:ascii="宋体" w:hAnsi="宋体" w:eastAsia="宋体" w:cs="宋体"/>
                <w:color w:val="auto"/>
                <w:sz w:val="21"/>
                <w:szCs w:val="21"/>
                <w:highlight w:val="none"/>
                <w:lang w:val="en-US" w:eastAsia="zh-CN"/>
              </w:rPr>
              <w:t xml:space="preserve">的得5分；</w:t>
            </w:r>
            <w:r/>
          </w:p>
          <w:p>
            <w:p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方案具备基础框架，核心内容不够细致全面，与项目需求契合度一般，部分关键流程（如应急处置、人员管理）存在瑕疵，操作性一般</w:t>
            </w:r>
            <w:r>
              <w:rPr>
                <w:rFonts w:hint="eastAsia" w:ascii="宋体" w:hAnsi="宋体" w:eastAsia="宋体" w:cs="宋体"/>
                <w:color w:val="auto"/>
                <w:sz w:val="21"/>
                <w:szCs w:val="21"/>
                <w:highlight w:val="none"/>
                <w:lang w:val="en-US" w:eastAsia="zh-CN"/>
              </w:rPr>
              <w:t xml:space="preserve">的得3分；</w:t>
            </w:r>
            <w:r/>
          </w:p>
          <w:p>
            <w:p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方案核心内容缺失严重、表述笼统粗糙，与项目需求响应度极低，关键环节设计漏洞突出，缺乏基本可操作性，难以支撑实际秩序维护工作</w:t>
            </w:r>
            <w:r>
              <w:rPr>
                <w:rFonts w:hint="eastAsia" w:ascii="宋体" w:hAnsi="宋体" w:eastAsia="宋体" w:cs="宋体"/>
                <w:color w:val="auto"/>
                <w:sz w:val="21"/>
                <w:szCs w:val="21"/>
                <w:highlight w:val="none"/>
                <w:lang w:val="en-US" w:eastAsia="zh-CN"/>
              </w:rPr>
              <w:t xml:space="preserve">的得1分；</w:t>
            </w:r>
            <w:r>
              <w:rPr>
                <w:rFonts w:hint="eastAsia" w:ascii="宋体" w:hAnsi="宋体" w:eastAsia="宋体" w:cs="宋体"/>
                <w:color w:val="auto"/>
                <w:sz w:val="21"/>
                <w:szCs w:val="21"/>
                <w:highlight w:val="none"/>
                <w:lang w:val="zh-CN"/>
              </w:rPr>
              <w:t xml:space="preserve">其余不得分</w:t>
            </w:r>
            <w:r>
              <w:rPr>
                <w:rFonts w:hint="eastAsia" w:ascii="宋体" w:hAnsi="宋体" w:eastAsia="宋体" w:cs="宋体"/>
                <w:color w:val="auto"/>
                <w:sz w:val="21"/>
                <w:szCs w:val="21"/>
                <w:highlight w:val="none"/>
                <w:lang w:val="en-US" w:eastAsia="zh-CN"/>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264"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公共类活动现场管理服务方案（6分）</w:t>
            </w:r>
            <w:r/>
          </w:p>
        </w:tc>
        <w:tc>
          <w:tcPr>
            <w:tcW w:w="6671" w:type="dxa"/>
            <w:vAlign w:val="center"/>
            <w:textDirection w:val="lrTb"/>
            <w:noWrap w:val="false"/>
          </w:tcPr>
          <w:p>
            <w:pPr>
              <w:ind w:right="0"/>
              <w:jc w:val="left"/>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4、根</w:t>
            </w:r>
            <w:r>
              <w:rPr>
                <w:rFonts w:hint="eastAsia" w:ascii="宋体" w:hAnsi="宋体" w:eastAsia="宋体" w:cs="宋体"/>
                <w:b/>
                <w:bCs/>
                <w:color w:val="auto"/>
                <w:sz w:val="21"/>
                <w:szCs w:val="21"/>
                <w:highlight w:val="none"/>
                <w:lang w:val="zh-CN" w:eastAsia="zh-CN"/>
              </w:rPr>
              <w:t xml:space="preserve">据供应商提供</w:t>
            </w:r>
            <w:r>
              <w:rPr>
                <w:rFonts w:hint="eastAsia" w:ascii="宋体" w:hAnsi="宋体" w:eastAsia="宋体" w:cs="宋体"/>
                <w:b/>
                <w:bCs/>
                <w:color w:val="auto"/>
                <w:sz w:val="21"/>
                <w:szCs w:val="21"/>
                <w:highlight w:val="none"/>
                <w:lang w:val="en-US" w:eastAsia="zh-CN"/>
              </w:rPr>
              <w:t xml:space="preserve">的公共类活动现场管理服务方案：</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方案完整、细致，符合项目需求，操作性强得6分；</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方案较为完整、细致，基本符合项目需求，操作性较强得4分；</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方案不完整、不细致，与项目需求响应度低，操作性差得2分；</w:t>
            </w:r>
            <w:r/>
          </w:p>
          <w:p>
            <w:pPr>
              <w:ind w:right="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90"/>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264"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en-US" w:eastAsia="zh-CN" w:bidi="ar"/>
              </w:rPr>
              <w:t xml:space="preserve">项目内部管理制度（6分）</w:t>
            </w:r>
            <w:r/>
          </w:p>
        </w:tc>
        <w:tc>
          <w:tcPr>
            <w:tcW w:w="6671" w:type="dxa"/>
            <w:vAlign w:val="center"/>
            <w:textDirection w:val="lrTb"/>
            <w:noWrap w:val="false"/>
          </w:tcPr>
          <w:p>
            <w:pPr>
              <w:ind w:right="0"/>
              <w:jc w:val="left"/>
              <w:keepLines w:val="0"/>
              <w:keepNext w:val="0"/>
              <w:pageBreakBefore w:val="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CN" w:eastAsia="zh-CN"/>
              </w:rPr>
              <w:t xml:space="preserve">从激励机制、监督机制、自我约束机制、信息反馈处理机制、</w:t>
            </w:r>
            <w:r>
              <w:rPr>
                <w:rFonts w:hint="eastAsia" w:ascii="宋体" w:hAnsi="宋体" w:eastAsia="宋体" w:cs="宋体"/>
                <w:b/>
                <w:bCs/>
                <w:color w:val="auto"/>
                <w:sz w:val="21"/>
                <w:szCs w:val="21"/>
                <w:highlight w:val="none"/>
                <w:lang w:val="en-US" w:eastAsia="zh-CN"/>
              </w:rPr>
              <w:t xml:space="preserve">环境管护</w:t>
            </w:r>
            <w:r>
              <w:rPr>
                <w:rFonts w:hint="eastAsia" w:ascii="宋体" w:hAnsi="宋体" w:eastAsia="宋体" w:cs="宋体"/>
                <w:b/>
                <w:bCs/>
                <w:color w:val="auto"/>
                <w:sz w:val="21"/>
                <w:szCs w:val="21"/>
                <w:highlight w:val="none"/>
                <w:lang w:val="zh-CN" w:eastAsia="zh-CN"/>
              </w:rPr>
              <w:t xml:space="preserve">人员的培训计划、人员录用与考核及淘汰机制等方面综合比较；</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管理方案完整性、合理性、可操作性。制度合理，描述详细且具有针对性的得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分，</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较合理、严密、描述较为详细，得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措施具有不合理项、描述略欠缺得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分，其余不得分。</w:t>
            </w:r>
            <w:r/>
          </w:p>
        </w:tc>
      </w:tr>
      <w:tr>
        <w:trPr>
          <w:jc w:val="center"/>
          <w:trHeight w:val="270"/>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264"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安全、</w:t>
            </w:r>
            <w:r>
              <w:rPr>
                <w:rFonts w:hint="eastAsia" w:ascii="宋体" w:hAnsi="宋体" w:eastAsia="宋体" w:cs="宋体"/>
                <w:color w:val="auto"/>
                <w:sz w:val="21"/>
                <w:szCs w:val="21"/>
                <w:highlight w:val="none"/>
                <w:lang w:val="zh-CN"/>
              </w:rPr>
              <w:t xml:space="preserve">文明作业保障措施</w:t>
            </w:r>
            <w:r>
              <w:rPr>
                <w:rFonts w:hint="eastAsia" w:ascii="宋体" w:hAnsi="宋体" w:eastAsia="宋体" w:cs="宋体"/>
                <w:color w:val="auto"/>
                <w:sz w:val="21"/>
                <w:szCs w:val="21"/>
                <w:highlight w:val="none"/>
                <w:lang w:val="en-US" w:eastAsia="zh-CN" w:bidi="ar"/>
              </w:rPr>
              <w:t xml:space="preserve">（6分）</w:t>
            </w:r>
            <w:r/>
          </w:p>
        </w:tc>
        <w:tc>
          <w:tcPr>
            <w:tcW w:w="6671" w:type="dxa"/>
            <w:vAlign w:val="center"/>
            <w:textDirection w:val="lrTb"/>
            <w:noWrap w:val="false"/>
          </w:tcPr>
          <w:p>
            <w:pPr>
              <w:ind w:right="0"/>
              <w:jc w:val="left"/>
              <w:keepLines w:val="0"/>
              <w:keepNext w:val="0"/>
              <w:pageBreakBefore w:val="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根据投标文件中提出的</w:t>
            </w:r>
            <w:r>
              <w:rPr>
                <w:rFonts w:hint="eastAsia" w:ascii="宋体" w:hAnsi="宋体" w:eastAsia="宋体" w:cs="宋体"/>
                <w:b/>
                <w:bCs/>
                <w:color w:val="auto"/>
                <w:sz w:val="21"/>
                <w:szCs w:val="21"/>
                <w:highlight w:val="none"/>
                <w:lang w:val="en-US" w:eastAsia="zh-CN"/>
              </w:rPr>
              <w:t xml:space="preserve">安全、</w:t>
            </w:r>
            <w:r>
              <w:rPr>
                <w:rFonts w:hint="eastAsia" w:ascii="宋体" w:hAnsi="宋体" w:eastAsia="宋体" w:cs="宋体"/>
                <w:b/>
                <w:bCs/>
                <w:color w:val="auto"/>
                <w:sz w:val="21"/>
                <w:szCs w:val="21"/>
                <w:highlight w:val="none"/>
                <w:lang w:val="zh-CN" w:eastAsia="zh-CN"/>
              </w:rPr>
              <w:t xml:space="preserve">文明作业保障措施细节综合比较其合理性、可操作性等；</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措施完善、合理性强得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分；</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措施较完善、合理性较强得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措施应对一般、合理性一般得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措施应对差、合理性差不得分。其余不得分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264"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安全事故处理措施</w:t>
            </w:r>
            <w:r>
              <w:rPr>
                <w:rFonts w:hint="eastAsia" w:ascii="宋体" w:hAnsi="宋体" w:eastAsia="宋体" w:cs="宋体"/>
                <w:color w:val="auto"/>
                <w:sz w:val="21"/>
                <w:szCs w:val="21"/>
                <w:highlight w:val="none"/>
                <w:lang w:val="en-US" w:eastAsia="zh-CN" w:bidi="ar"/>
              </w:rPr>
              <w:t xml:space="preserve">（6分）</w:t>
            </w:r>
            <w:r/>
          </w:p>
        </w:tc>
        <w:tc>
          <w:tcPr>
            <w:tcW w:w="6671" w:type="dxa"/>
            <w:vAlign w:val="center"/>
            <w:textDirection w:val="lrTb"/>
            <w:noWrap w:val="false"/>
          </w:tcPr>
          <w:p>
            <w:pPr>
              <w:ind w:right="0"/>
              <w:jc w:val="left"/>
              <w:keepLines w:val="0"/>
              <w:keepNext w:val="0"/>
              <w:pageBreakBefore w:val="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zh-CN" w:eastAsia="zh-CN"/>
              </w:rPr>
              <w:t xml:space="preserve">根据供应商对本项目服务要求，制定完善、合理的意外伤害赔偿措施、工伤赔偿措施、风险规避措施等；</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措施完善、合理性强得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分；</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措施较完善、合理性较强得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措施应对一般、合理性一般得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措施应对差、合理性差不得分。其余不得分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264"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应急预案</w:t>
            </w:r>
            <w:r>
              <w:rPr>
                <w:rFonts w:hint="eastAsia" w:ascii="宋体" w:hAnsi="宋体" w:eastAsia="宋体" w:cs="宋体"/>
                <w:color w:val="auto"/>
                <w:sz w:val="21"/>
                <w:szCs w:val="21"/>
                <w:highlight w:val="none"/>
                <w:lang w:val="en-US" w:eastAsia="zh-CN" w:bidi="ar"/>
              </w:rPr>
              <w:t xml:space="preserve">（6分）</w:t>
            </w:r>
            <w:r/>
          </w:p>
        </w:tc>
        <w:tc>
          <w:tcPr>
            <w:tcW w:w="6671" w:type="dxa"/>
            <w:vAlign w:val="center"/>
            <w:textDirection w:val="lrTb"/>
            <w:noWrap w:val="false"/>
          </w:tcPr>
          <w:p>
            <w:pPr>
              <w:ind w:right="0"/>
              <w:jc w:val="left"/>
              <w:keepLines w:val="0"/>
              <w:keepNext w:val="0"/>
              <w:pageBreakBefore w:val="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zh-CN" w:eastAsia="zh-CN"/>
              </w:rPr>
              <w:t xml:space="preserve">根据供应商提供重大活动、突发事件应急处理预案；</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方案科学、严密、合理，描述详细且具有针对性的</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分，</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较合理、严密、描述较为详细，得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措施具有不合理项、描述略欠缺得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分，其余不得分。</w:t>
            </w:r>
            <w:r/>
          </w:p>
        </w:tc>
      </w:tr>
      <w:tr>
        <w:trPr>
          <w:jc w:val="center"/>
          <w:trHeight w:val="663"/>
        </w:trPr>
        <w:tc>
          <w:tcPr>
            <w:tcW w:w="1201"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机械设备（20分）</w:t>
            </w:r>
            <w:r/>
          </w:p>
        </w:tc>
        <w:tc>
          <w:tcPr>
            <w:gridSpan w:val="2"/>
            <w:tcW w:w="793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）配备4方侧挂三轮收集车，每有1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rPr>
              <w:t xml:space="preserve">分，最高得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分；</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zh-CN" w:eastAsia="zh-CN" w:bidi="ar-SA"/>
              </w:rPr>
              <w:t xml:space="preserve">）配备三轮后高位自装卸垃圾收集车，每有1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zh-CN" w:eastAsia="zh-CN" w:bidi="ar-SA"/>
              </w:rPr>
              <w:t xml:space="preserve">分，最高得</w:t>
            </w: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zh-CN" w:eastAsia="zh-CN" w:bidi="ar-SA"/>
              </w:rPr>
              <w:t xml:space="preserve">分；</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zh-CN" w:eastAsia="zh-CN" w:bidi="ar-SA"/>
              </w:rPr>
              <w:t xml:space="preserve">）微四轮高压清洗车（纯电动），每有1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zh-CN" w:eastAsia="zh-CN" w:bidi="ar-SA"/>
              </w:rPr>
              <w:t xml:space="preserve">分，最高得</w:t>
            </w: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zh-CN" w:eastAsia="zh-CN" w:bidi="ar-SA"/>
              </w:rPr>
              <w:t xml:space="preserve">分；</w:t>
            </w:r>
            <w:r/>
          </w:p>
          <w:p>
            <w:pPr>
              <w:ind w:right="0"/>
              <w:jc w:val="left"/>
              <w:keepLines w:val="0"/>
              <w:keepNext w:val="0"/>
              <w:pageBreakBefore w:val="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 xml:space="preserve">（4）纯吸式扫地车</w:t>
            </w:r>
            <w:r>
              <w:rPr>
                <w:rFonts w:hint="eastAsia" w:ascii="宋体" w:hAnsi="宋体" w:eastAsia="宋体" w:cs="宋体"/>
                <w:b w:val="0"/>
                <w:bCs w:val="0"/>
                <w:color w:val="auto"/>
                <w:sz w:val="21"/>
                <w:szCs w:val="21"/>
                <w:highlight w:val="none"/>
                <w:lang w:val="zh-CN" w:eastAsia="zh-CN" w:bidi="ar-SA"/>
              </w:rPr>
              <w:t xml:space="preserve">，每有1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zh-CN" w:eastAsia="zh-CN" w:bidi="ar-SA"/>
              </w:rPr>
              <w:t xml:space="preserve">分，最高得</w:t>
            </w: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zh-CN" w:eastAsia="zh-CN" w:bidi="ar-SA"/>
              </w:rPr>
              <w:t xml:space="preserve">分；</w:t>
            </w:r>
            <w:r/>
          </w:p>
          <w:p>
            <w:pPr>
              <w:numPr>
                <w:ilvl w:val="0"/>
                <w:numId w:val="0"/>
              </w:numPr>
              <w:ind w:right="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lang w:val="zh-CN" w:eastAsia="zh-CN"/>
              </w:rPr>
              <w:t xml:space="preserve">如供应商提供的车辆为自有，须提供购车发票（凭证）、整车出厂合格证；如为租赁，则需提供整车出厂合格证</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eastAsia="zh-CN"/>
              </w:rPr>
              <w:t xml:space="preserve">租赁合同。</w:t>
            </w:r>
            <w:r>
              <w:rPr>
                <w:rFonts w:hint="eastAsia" w:ascii="宋体" w:hAnsi="宋体" w:eastAsia="宋体" w:cs="宋体"/>
                <w:b/>
                <w:bCs/>
                <w:color w:val="auto"/>
                <w:sz w:val="21"/>
                <w:szCs w:val="21"/>
                <w:highlight w:val="none"/>
                <w:lang w:val="zh-CN"/>
              </w:rPr>
              <w:t xml:space="preserve">以上</w:t>
            </w:r>
            <w:r>
              <w:rPr>
                <w:rFonts w:hint="eastAsia" w:ascii="宋体" w:hAnsi="宋体" w:eastAsia="宋体" w:cs="宋体"/>
                <w:b/>
                <w:bCs/>
                <w:color w:val="auto"/>
                <w:sz w:val="21"/>
                <w:szCs w:val="21"/>
                <w:highlight w:val="none"/>
                <w:lang w:val="en-US" w:eastAsia="zh-CN"/>
              </w:rPr>
              <w:t xml:space="preserve">相关资料</w:t>
            </w:r>
            <w:r>
              <w:rPr>
                <w:rFonts w:hint="eastAsia" w:ascii="宋体" w:hAnsi="宋体" w:eastAsia="宋体" w:cs="宋体"/>
                <w:b/>
                <w:bCs/>
                <w:color w:val="auto"/>
                <w:sz w:val="21"/>
                <w:szCs w:val="21"/>
                <w:highlight w:val="none"/>
                <w:lang w:val="zh-CN"/>
              </w:rPr>
              <w:t xml:space="preserve">须提供原件扫描上传,未按要求提供或不提供不得分。</w:t>
            </w:r>
            <w:r/>
          </w:p>
        </w:tc>
      </w:tr>
      <w:tr>
        <w:trPr>
          <w:jc w:val="center"/>
          <w:trHeight w:val="804"/>
        </w:trPr>
        <w:tc>
          <w:tcPr>
            <w:tcW w:w="1201"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企业</w:t>
            </w:r>
            <w:r>
              <w:rPr>
                <w:rFonts w:hint="eastAsia" w:ascii="宋体" w:hAnsi="宋体" w:eastAsia="宋体" w:cs="宋体"/>
                <w:b/>
                <w:bCs/>
                <w:color w:val="auto"/>
                <w:sz w:val="21"/>
                <w:szCs w:val="21"/>
                <w:highlight w:val="none"/>
                <w:lang w:val="zh-CN"/>
              </w:rPr>
              <w:t xml:space="preserve">业绩（</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val="zh-CN"/>
              </w:rPr>
              <w:t xml:space="preserve">分）</w:t>
            </w:r>
            <w:r/>
          </w:p>
        </w:tc>
        <w:tc>
          <w:tcPr>
            <w:gridSpan w:val="2"/>
            <w:tcW w:w="7935" w:type="dxa"/>
            <w:vAlign w:val="center"/>
            <w:textDirection w:val="lrTb"/>
            <w:noWrap w:val="false"/>
          </w:tcPr>
          <w:p>
            <w:pPr>
              <w:ind w:right="0"/>
              <w:jc w:val="left"/>
              <w:keepLines w:val="0"/>
              <w:keepNext w:val="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en-US" w:eastAsia="zh-CN"/>
              </w:rPr>
              <w:t xml:space="preserve">2022</w:t>
            </w:r>
            <w:r>
              <w:rPr>
                <w:rFonts w:hint="eastAsia" w:ascii="宋体" w:hAnsi="宋体" w:eastAsia="宋体" w:cs="宋体"/>
                <w:b w:val="0"/>
                <w:bCs w:val="0"/>
                <w:color w:val="auto"/>
                <w:sz w:val="21"/>
                <w:szCs w:val="21"/>
                <w:highlight w:val="none"/>
                <w:lang w:val="zh-CN"/>
              </w:rPr>
              <w:t xml:space="preserve">年1月1日至今承担过类似项目</w:t>
            </w:r>
            <w:r>
              <w:rPr>
                <w:rFonts w:hint="eastAsia" w:ascii="宋体" w:hAnsi="宋体" w:eastAsia="宋体" w:cs="宋体"/>
                <w:b w:val="0"/>
                <w:bCs w:val="0"/>
                <w:color w:val="auto"/>
                <w:sz w:val="21"/>
                <w:szCs w:val="21"/>
                <w:highlight w:val="none"/>
                <w:lang w:val="en-US" w:eastAsia="zh-CN"/>
              </w:rPr>
              <w:t xml:space="preserve">业绩</w:t>
            </w:r>
            <w:r>
              <w:rPr>
                <w:rFonts w:hint="eastAsia" w:ascii="宋体" w:hAnsi="宋体" w:eastAsia="宋体" w:cs="宋体"/>
                <w:b w:val="0"/>
                <w:bCs w:val="0"/>
                <w:color w:val="auto"/>
                <w:sz w:val="21"/>
                <w:szCs w:val="21"/>
                <w:highlight w:val="none"/>
                <w:lang w:val="zh-CN"/>
              </w:rPr>
              <w:t xml:space="preserve">，有一项得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分，最多得</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zh-CN"/>
              </w:rPr>
              <w:t xml:space="preserve">分。</w:t>
            </w:r>
            <w:r/>
          </w:p>
          <w:p>
            <w:pPr>
              <w:ind w:right="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注：需</w:t>
            </w:r>
            <w:r>
              <w:rPr>
                <w:rFonts w:hint="eastAsia" w:ascii="宋体" w:hAnsi="宋体" w:eastAsia="宋体" w:cs="宋体"/>
                <w:b/>
                <w:bCs/>
                <w:color w:val="auto"/>
                <w:sz w:val="21"/>
                <w:szCs w:val="21"/>
                <w:highlight w:val="none"/>
                <w:lang w:val="zh-CN"/>
              </w:rPr>
              <w:t xml:space="preserve">提供合同</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lang w:val="zh-CN"/>
              </w:rPr>
              <w:t xml:space="preserve">，业绩认定时间以</w:t>
            </w:r>
            <w:r>
              <w:rPr>
                <w:rFonts w:hint="eastAsia" w:ascii="宋体" w:hAnsi="宋体" w:eastAsia="宋体" w:cs="宋体"/>
                <w:b/>
                <w:bCs/>
                <w:color w:val="auto"/>
                <w:sz w:val="21"/>
                <w:szCs w:val="21"/>
                <w:highlight w:val="none"/>
                <w:lang w:val="en-US" w:eastAsia="zh-CN"/>
              </w:rPr>
              <w:t xml:space="preserve">合同签订</w:t>
            </w:r>
            <w:r>
              <w:rPr>
                <w:rFonts w:hint="eastAsia" w:ascii="宋体" w:hAnsi="宋体" w:eastAsia="宋体" w:cs="宋体"/>
                <w:b/>
                <w:bCs/>
                <w:color w:val="auto"/>
                <w:sz w:val="21"/>
                <w:szCs w:val="21"/>
                <w:highlight w:val="none"/>
                <w:lang w:val="zh-CN"/>
              </w:rPr>
              <w:t xml:space="preserve">时间为准。</w:t>
            </w:r>
            <w:r/>
          </w:p>
        </w:tc>
      </w:tr>
      <w:tr>
        <w:trPr>
          <w:jc w:val="center"/>
          <w:trHeight w:val="944"/>
        </w:trPr>
        <w:tc>
          <w:tcPr>
            <w:tcW w:w="120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服务</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lang w:val="zh-CN" w:eastAsia="zh-CN"/>
              </w:rPr>
              <w:t xml:space="preserve">承诺</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CN"/>
              </w:rPr>
              <w:t xml:space="preserve">分）</w:t>
            </w:r>
            <w:r/>
          </w:p>
        </w:tc>
        <w:tc>
          <w:tcPr>
            <w:gridSpan w:val="2"/>
            <w:tcW w:w="79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）承诺提供</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24小时电话服务支持</w:t>
            </w:r>
            <w:r>
              <w:rPr>
                <w:rFonts w:hint="eastAsia" w:ascii="宋体" w:hAnsi="宋体" w:eastAsia="宋体" w:cs="宋体"/>
                <w:color w:val="auto"/>
                <w:sz w:val="21"/>
                <w:szCs w:val="21"/>
                <w:highlight w:val="none"/>
                <w:lang w:val="en-US" w:eastAsia="zh-CN"/>
              </w:rPr>
              <w:t xml:space="preserve">得2分</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提供承诺函原件，格式自拟</w:t>
            </w:r>
            <w:r>
              <w:rPr>
                <w:rFonts w:hint="eastAsia" w:ascii="宋体" w:hAnsi="宋体" w:eastAsia="宋体" w:cs="宋体"/>
                <w:color w:val="auto"/>
                <w:sz w:val="21"/>
                <w:szCs w:val="21"/>
                <w:highlight w:val="none"/>
                <w:lang w:val="zh-CN" w:eastAsia="zh-CN" w:bidi="ar-SA"/>
              </w:rPr>
              <w:t xml:space="preserve">）</w:t>
            </w:r>
            <w:r/>
          </w:p>
          <w:p>
            <w:pPr>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）接到</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任务电话或书面通知后，1小时内</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rPr>
              <w:t xml:space="preserve">到达并提供解决方案的得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分，2小时内</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rPr>
              <w:t xml:space="preserve">到达并提供解决方案的得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小时内</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rPr>
              <w:t xml:space="preserve">到达并提供解决方案的得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lang w:val="zh-CN"/>
              </w:rPr>
              <w:t xml:space="preserve">不得分。</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提供满足要求的响应时效承诺函原件，格式自拟</w:t>
            </w:r>
            <w:r>
              <w:rPr>
                <w:rFonts w:hint="eastAsia" w:ascii="宋体" w:hAnsi="宋体" w:eastAsia="宋体" w:cs="宋体"/>
                <w:color w:val="auto"/>
                <w:sz w:val="21"/>
                <w:szCs w:val="21"/>
                <w:highlight w:val="none"/>
                <w:lang w:val="zh-CN" w:eastAsia="zh-CN" w:bidi="ar-SA"/>
              </w:rPr>
              <w:t xml:space="preserve">）</w:t>
            </w:r>
            <w:r/>
          </w:p>
          <w:p>
            <w:pPr>
              <w:numPr>
                <w:ilvl w:val="0"/>
                <w:numId w:val="0"/>
              </w:numPr>
              <w:ind w:right="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en-US" w:eastAsia="zh-CN" w:bidi="ar-SA"/>
              </w:rPr>
              <w:t xml:space="preserve">注：原件上传，</w:t>
            </w:r>
            <w:r>
              <w:rPr>
                <w:rFonts w:hint="eastAsia" w:ascii="宋体" w:hAnsi="宋体" w:eastAsia="宋体" w:cs="宋体"/>
                <w:b/>
                <w:bCs/>
                <w:color w:val="auto"/>
                <w:sz w:val="21"/>
                <w:szCs w:val="21"/>
                <w:highlight w:val="none"/>
                <w:lang w:val="zh-CN"/>
              </w:rPr>
              <w:t xml:space="preserve">未按要求提供</w:t>
            </w:r>
            <w:r>
              <w:rPr>
                <w:rFonts w:hint="eastAsia" w:ascii="宋体" w:hAnsi="宋体" w:eastAsia="宋体" w:cs="宋体"/>
                <w:b/>
                <w:bCs/>
                <w:color w:val="auto"/>
                <w:sz w:val="21"/>
                <w:szCs w:val="21"/>
                <w:highlight w:val="none"/>
                <w:lang w:val="en-US" w:eastAsia="zh-CN"/>
              </w:rPr>
              <w:t xml:space="preserve">响应时效承诺函</w:t>
            </w:r>
            <w:r>
              <w:rPr>
                <w:rFonts w:hint="eastAsia" w:ascii="宋体" w:hAnsi="宋体" w:eastAsia="宋体" w:cs="宋体"/>
                <w:b/>
                <w:bCs/>
                <w:color w:val="auto"/>
                <w:sz w:val="21"/>
                <w:szCs w:val="21"/>
                <w:highlight w:val="none"/>
                <w:lang w:val="zh-CN"/>
              </w:rPr>
              <w:t xml:space="preserve">或不提供不得分</w:t>
            </w:r>
            <w:r/>
          </w:p>
        </w:tc>
      </w:tr>
    </w:tbl>
    <w:p>
      <w:pPr>
        <w:pStyle w:val="932"/>
        <w:jc w:val="center"/>
        <w:spacing w:line="360" w:lineRule="auto"/>
        <w:rPr>
          <w:rFonts w:ascii="宋体" w:hAnsi="宋体"/>
          <w:color w:val="auto"/>
          <w:highlight w:val="none"/>
        </w:rPr>
        <w:outlineLvl w:val="9"/>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pStyle w:val="932"/>
        <w:jc w:val="center"/>
        <w:spacing w:line="360" w:lineRule="auto"/>
        <w:rPr>
          <w:rFonts w:ascii="宋体" w:hAnsi="宋体"/>
          <w:color w:val="auto"/>
          <w:highlight w:val="none"/>
        </w:rPr>
      </w:pPr>
      <w:r/>
      <w:bookmarkStart w:id="61" w:name="_Toc8596"/>
      <w:r>
        <w:rPr>
          <w:rFonts w:hint="eastAsia" w:ascii="宋体" w:hAnsi="宋体"/>
          <w:color w:val="auto"/>
          <w:highlight w:val="none"/>
        </w:rPr>
        <w:t xml:space="preserve">第六章 投标文件格式</w:t>
      </w:r>
      <w:bookmarkEnd w:id="61"/>
      <w:r>
        <w:rPr>
          <w:rFonts w:hint="eastAsia" w:ascii="宋体" w:hAnsi="宋体"/>
          <w:color w:val="auto"/>
          <w:highlight w:val="none"/>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spacing w:line="360" w:lineRule="auto"/>
        <w:rPr>
          <w:rFonts w:ascii="黑体" w:eastAsia="黑体"/>
          <w:bCs/>
          <w:color w:val="auto"/>
          <w:sz w:val="44"/>
          <w:highlight w:val="none"/>
        </w:rPr>
      </w:pPr>
      <w:r>
        <w:rPr>
          <w:rFonts w:ascii="黑体" w:eastAsia="黑体"/>
          <w:bCs/>
          <w:color w:val="auto"/>
          <w:sz w:val="44"/>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both"/>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933"/>
        <w:jc w:val="center"/>
        <w:spacing w:line="360" w:lineRule="auto"/>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bookmarkStart w:id="62" w:name="_Toc28691"/>
      <w:r>
        <w:rPr>
          <w:rFonts w:hint="eastAsia" w:ascii="宋体" w:hAnsi="宋体" w:eastAsia="宋体"/>
          <w:color w:val="auto"/>
          <w:sz w:val="32"/>
          <w:highlight w:val="none"/>
        </w:rPr>
        <w:t xml:space="preserve">一、资格审查响应对照表</w:t>
      </w:r>
      <w:bookmarkEnd w:id="62"/>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依法享受缓缴、免缴税收、社会保障资金的提供证明材料。）</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2025年度的财务状况报告（成立不满一年不需提供）</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投标人信用承诺书</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gridSpan w:val="3"/>
            <w:tcW w:w="825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trHeight w:val="1098"/>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本项目专门面向中小企业采购。残疾人福利性单位、监狱和戒毒企业（简称监狱企业）视同小型、微型企业。（</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按要求填写并提供《中小企业声明函》或《残疾人福利性单位声明函》，或提供由省级以上监狱管理局、戒毒管理局(含新疆生产建设兵团)出具的属于监狱企业的证明文件。）（原件扫描上传）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本项目采购标的按中小企业划分标准所属行业区分为：其他未列明行业（中小微企业划型标准网http://www.ccgp.gov.cn/zcfg/mof/201310/t20131029_3587674.htm）。</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5447" w:type="dxa"/>
            <w:vAlign w:val="center"/>
            <w:textDirection w:val="lrTb"/>
            <w:noWrap w:val="false"/>
          </w:tcPr>
          <w:p>
            <w:pPr>
              <w:jc w:val="both"/>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trHeight w:val="54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5447" w:type="dxa"/>
            <w:vAlign w:val="center"/>
            <w:textDirection w:val="lrTb"/>
            <w:noWrap w:val="false"/>
          </w:tcPr>
          <w:p>
            <w:pPr>
              <w:jc w:val="left"/>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投标函</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5447" w:type="dxa"/>
            <w:vAlign w:val="center"/>
            <w:textDirection w:val="lrTb"/>
            <w:noWrap w:val="false"/>
          </w:tcPr>
          <w:p>
            <w:pPr>
              <w:jc w:val="left"/>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法人授权书</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w:t>
      </w:r>
      <w:r>
        <w:rPr>
          <w:rFonts w:hint="eastAsia" w:ascii="宋体" w:hAnsi="宋体"/>
          <w:bCs/>
          <w:color w:val="auto"/>
          <w:highlight w:val="none"/>
          <w:lang w:eastAsia="zh-CN"/>
        </w:rPr>
        <w:t xml:space="preserve">投标人</w:t>
      </w:r>
      <w:r>
        <w:rPr>
          <w:rFonts w:hint="eastAsia" w:ascii="宋体" w:hAnsi="宋体"/>
          <w:bCs/>
          <w:color w:val="auto"/>
          <w:highlight w:val="none"/>
        </w:rPr>
        <w:t xml:space="preserve">名称（公章）：</w:t>
      </w:r>
      <w:r/>
    </w:p>
    <w:p>
      <w:pPr>
        <w:spacing w:line="360" w:lineRule="auto"/>
        <w:rPr>
          <w:rFonts w:hint="eastAsia" w:ascii="宋体" w:hAnsi="宋体" w:eastAsia="宋体"/>
          <w:bCs/>
          <w:color w:val="auto"/>
          <w:highlight w:val="none"/>
          <w:lang w:eastAsia="zh-CN"/>
        </w:rPr>
      </w:pPr>
      <w:r>
        <w:rPr>
          <w:rFonts w:hint="eastAsia" w:ascii="宋体" w:hAnsi="宋体"/>
          <w:bCs/>
          <w:color w:val="auto"/>
          <w:highlight w:val="none"/>
        </w:rPr>
        <w:t xml:space="preserve">                               法定代表人签章：</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lang w:eastAsia="zh-CN"/>
        </w:rPr>
        <w:t xml:space="preserve">投标人</w:t>
      </w:r>
      <w:r>
        <w:rPr>
          <w:rFonts w:hint="eastAsia" w:ascii="宋体" w:hAnsi="宋体"/>
          <w:b/>
          <w:color w:val="auto"/>
          <w:szCs w:val="21"/>
          <w:highlight w:val="none"/>
        </w:rPr>
        <w:t xml:space="preserve">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973"/>
        <w:ind w:firstLine="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扬州览众建设工程咨询服务有限公司</w:t>
      </w:r>
      <w:r/>
    </w:p>
    <w:p>
      <w:pPr>
        <w:pStyle w:val="973"/>
        <w:ind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73"/>
        <w:ind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73"/>
        <w:ind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73"/>
        <w:ind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73"/>
        <w:ind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73"/>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73"/>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73"/>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73"/>
        <w:ind w:left="425" w:firstLine="105"/>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73"/>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73"/>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73"/>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73"/>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73"/>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73"/>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73"/>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73"/>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54"/>
        <w:ind w:left="0" w:firstLine="0"/>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5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5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5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5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5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5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54"/>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54"/>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w:t>
      </w:r>
      <w:r/>
    </w:p>
    <w:p>
      <w:pPr>
        <w:pStyle w:val="933"/>
        <w:jc w:val="center"/>
        <w:spacing w:line="360" w:lineRule="auto"/>
        <w:rPr>
          <w:rFonts w:ascii="宋体" w:hAnsi="宋体" w:eastAsia="宋体"/>
          <w:color w:val="auto"/>
          <w:sz w:val="32"/>
          <w:highlight w:val="none"/>
        </w:rPr>
      </w:pPr>
      <w:r/>
      <w:bookmarkStart w:id="63" w:name="_Toc16771"/>
      <w:r>
        <w:rPr>
          <w:rFonts w:hint="eastAsia" w:ascii="宋体" w:hAnsi="宋体" w:eastAsia="宋体"/>
          <w:color w:val="auto"/>
          <w:sz w:val="32"/>
          <w:highlight w:val="none"/>
        </w:rPr>
        <w:t xml:space="preserve">二、符合性审查响应对照表</w:t>
      </w:r>
      <w:bookmarkEnd w:id="63"/>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33"/>
        <w:spacing w:line="360" w:lineRule="auto"/>
        <w:rPr>
          <w:rFonts w:ascii="宋体" w:hAnsi="宋体" w:eastAsia="宋体"/>
          <w:color w:val="auto"/>
          <w:sz w:val="32"/>
          <w:highlight w:val="none"/>
        </w:rPr>
      </w:pPr>
      <w:r/>
      <w:bookmarkStart w:id="64" w:name="_Toc15386"/>
      <w:r>
        <w:rPr>
          <w:rFonts w:hint="eastAsia" w:ascii="宋体" w:hAnsi="宋体" w:eastAsia="宋体"/>
          <w:color w:val="auto"/>
          <w:sz w:val="32"/>
          <w:highlight w:val="none"/>
        </w:rPr>
        <w:t xml:space="preserve">三、非实质性响应对照表</w:t>
      </w:r>
      <w:bookmarkEnd w:id="64"/>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both"/>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（其他未列明行业）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（其他未列明行业）（不得对行业类别修改）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eastAsia="zh-CN"/>
        </w:rPr>
        <w:t xml:space="preserve">投标人</w:t>
      </w:r>
      <w:r>
        <w:rPr>
          <w:rFonts w:hint="eastAsia" w:ascii="宋体" w:hAnsi="宋体"/>
          <w:color w:val="auto"/>
          <w:highlight w:val="none"/>
        </w:rPr>
        <w:t xml:space="preserve">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rFonts w:ascii="宋体" w:hAnsi="宋体" w:cs="微软雅黑"/>
          <w:color w:val="auto"/>
          <w:szCs w:val="21"/>
          <w:highlight w:val="none"/>
        </w:rPr>
      </w:pPr>
      <w:r>
        <w:rPr>
          <w:rFonts w:hint="eastAsia"/>
          <w:color w:val="auto"/>
          <w:highlight w:val="none"/>
        </w:rPr>
        <w:t xml:space="preserve">日 期：</w:t>
      </w:r>
      <w:r/>
    </w:p>
    <w:p>
      <w:pPr>
        <w:pStyle w:val="933"/>
        <w:spacing w:before="300" w:after="300" w:line="360" w:lineRule="auto"/>
        <w:widowControl/>
        <w:rPr>
          <w:rFonts w:ascii="宋体" w:hAnsi="宋体" w:eastAsia="宋体"/>
          <w:color w:val="auto"/>
          <w:sz w:val="21"/>
          <w:szCs w:val="21"/>
          <w:highlight w:val="none"/>
        </w:rPr>
        <w:outlineLvl w:val="9"/>
      </w:pPr>
      <w:r/>
      <w:bookmarkStart w:id="65" w:name="_Toc20114"/>
      <w:r>
        <w:rPr>
          <w:rFonts w:hint="eastAsia" w:ascii="宋体" w:hAnsi="宋体" w:eastAsia="宋体" w:cs="微软雅黑"/>
          <w:bCs w:val="0"/>
          <w:color w:val="auto"/>
          <w:sz w:val="21"/>
          <w:szCs w:val="21"/>
          <w:highlight w:val="none"/>
        </w:rPr>
        <w:t xml:space="preserve">中小微企业划型标准</w:t>
      </w:r>
      <w:bookmarkEnd w:id="65"/>
      <w:r/>
      <w:r/>
    </w:p>
    <w:p>
      <w:pPr>
        <w:pStyle w:val="960"/>
        <w:spacing w:before="300" w:after="452" w:line="36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中小微企业划型标准如下：</w:t>
      </w:r>
      <w:r/>
    </w:p>
    <w:tbl>
      <w:tblPr>
        <w:tblStyle w:val="720"/>
        <w:tblW w:w="8704"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5" w:type="dxa"/>
          <w:top w:w="0" w:type="dxa"/>
          <w:right w:w="105" w:type="dxa"/>
          <w:bottom w:w="0" w:type="dxa"/>
        </w:tblCellMar>
        <w:tblLook w:val="04A0" w:firstRow="1" w:lastRow="0" w:firstColumn="1" w:lastColumn="0" w:noHBand="0" w:noVBand="1"/>
      </w:tblPr>
      <w:tblGrid>
        <w:gridCol w:w="2061"/>
        <w:gridCol w:w="1217"/>
        <w:gridCol w:w="1203"/>
        <w:gridCol w:w="1651"/>
        <w:gridCol w:w="1458"/>
        <w:gridCol w:w="1114"/>
      </w:tblGrid>
      <w:tr>
        <w:trPr>
          <w:jc w:val="center"/>
          <w:tblCellSpacing w:w="15" w:type="dxa"/>
          <w:trHeight w:val="0"/>
          <w:tblHeader/>
        </w:trPr>
        <w:tc>
          <w:tcPr>
            <w:tcMar>
              <w:left w:w="105" w:type="dxa"/>
              <w:top w:w="-1" w:type="dxa"/>
              <w:right w:w="105" w:type="dxa"/>
              <w:bottom w:w="-1" w:type="dxa"/>
            </w:tcMar>
            <w:tcW w:w="2016" w:type="dxa"/>
            <w:vAlign w:val="center"/>
            <w:textDirection w:val="lrTb"/>
            <w:noWrap w:val="false"/>
          </w:tcPr>
          <w:p>
            <w:pPr>
              <w:pStyle w:val="960"/>
              <w:ind w:left="0" w:right="0" w:firstLine="0"/>
              <w:jc w:val="center"/>
              <w:spacing w:after="150" w:line="240" w:lineRule="auto"/>
              <w:widowControl/>
              <w:rPr>
                <w:rFonts w:ascii="宋体" w:hAnsi="宋体"/>
                <w:b/>
                <w:color w:val="auto"/>
                <w:sz w:val="21"/>
                <w:szCs w:val="21"/>
                <w:highlight w:val="none"/>
              </w:rPr>
            </w:pPr>
            <w:r>
              <w:rPr>
                <w:rStyle w:val="938"/>
                <w:rFonts w:hint="eastAsia" w:ascii="宋体" w:hAnsi="宋体" w:cs="仿宋"/>
                <w:b/>
                <w:color w:val="auto"/>
                <w:sz w:val="21"/>
                <w:szCs w:val="21"/>
                <w:highlight w:val="none"/>
              </w:rPr>
              <w:t xml:space="preserve">行业名称</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b/>
                <w:color w:val="auto"/>
                <w:sz w:val="21"/>
                <w:szCs w:val="21"/>
                <w:highlight w:val="none"/>
              </w:rPr>
            </w:pPr>
            <w:r>
              <w:rPr>
                <w:rStyle w:val="938"/>
                <w:rFonts w:hint="eastAsia" w:ascii="宋体" w:hAnsi="宋体" w:cs="仿宋"/>
                <w:b/>
                <w:color w:val="auto"/>
                <w:sz w:val="21"/>
                <w:szCs w:val="21"/>
                <w:highlight w:val="none"/>
              </w:rPr>
              <w:t xml:space="preserve">指标名称</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b/>
                <w:color w:val="auto"/>
                <w:sz w:val="21"/>
                <w:szCs w:val="21"/>
                <w:highlight w:val="none"/>
              </w:rPr>
            </w:pPr>
            <w:r>
              <w:rPr>
                <w:rStyle w:val="938"/>
                <w:rFonts w:hint="eastAsia" w:ascii="宋体" w:hAnsi="宋体" w:cs="仿宋"/>
                <w:b/>
                <w:color w:val="auto"/>
                <w:sz w:val="21"/>
                <w:szCs w:val="21"/>
                <w:highlight w:val="none"/>
              </w:rPr>
              <w:t xml:space="preserve">计量单位</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b/>
                <w:color w:val="auto"/>
                <w:sz w:val="21"/>
                <w:szCs w:val="21"/>
                <w:highlight w:val="none"/>
              </w:rPr>
            </w:pPr>
            <w:r>
              <w:rPr>
                <w:rStyle w:val="938"/>
                <w:rFonts w:hint="eastAsia" w:ascii="宋体" w:hAnsi="宋体" w:cs="仿宋"/>
                <w:b/>
                <w:color w:val="auto"/>
                <w:sz w:val="21"/>
                <w:szCs w:val="21"/>
                <w:highlight w:val="none"/>
              </w:rPr>
              <w:t xml:space="preserve">中型</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b/>
                <w:color w:val="auto"/>
                <w:sz w:val="21"/>
                <w:szCs w:val="21"/>
                <w:highlight w:val="none"/>
              </w:rPr>
            </w:pPr>
            <w:r>
              <w:rPr>
                <w:rStyle w:val="938"/>
                <w:rFonts w:hint="eastAsia" w:ascii="宋体" w:hAnsi="宋体" w:cs="仿宋"/>
                <w:b/>
                <w:color w:val="auto"/>
                <w:sz w:val="21"/>
                <w:szCs w:val="21"/>
                <w:highlight w:val="none"/>
              </w:rPr>
              <w:t xml:space="preserve">小型</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b/>
                <w:color w:val="auto"/>
                <w:sz w:val="21"/>
                <w:szCs w:val="21"/>
                <w:highlight w:val="none"/>
              </w:rPr>
            </w:pPr>
            <w:r>
              <w:rPr>
                <w:rStyle w:val="938"/>
                <w:rFonts w:hint="eastAsia" w:ascii="宋体" w:hAnsi="宋体" w:cs="仿宋"/>
                <w:b/>
                <w:color w:val="auto"/>
                <w:sz w:val="21"/>
                <w:szCs w:val="21"/>
                <w:highlight w:val="none"/>
              </w:rPr>
              <w:t xml:space="preserve">微型</w:t>
            </w:r>
            <w:r/>
          </w:p>
        </w:tc>
      </w:tr>
      <w:tr>
        <w:trPr>
          <w:jc w:val="center"/>
          <w:tblCellSpacing w:w="15" w:type="dxa"/>
          <w:trHeight w:val="0"/>
        </w:trPr>
        <w:tc>
          <w:tcPr>
            <w:tcMar>
              <w:left w:w="105" w:type="dxa"/>
              <w:top w:w="-1" w:type="dxa"/>
              <w:right w:w="105" w:type="dxa"/>
              <w:bottom w:w="-1" w:type="dxa"/>
            </w:tcMar>
            <w:tcW w:w="2016"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农、林、牧、渔</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500≤Y＜20000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50≤Y＜500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Y＜50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工业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300≤X＜1000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20≤X＜300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X＜20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2000≤Y＜40000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300≤Y＜2000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Y＜300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建筑业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6000≤Y＜80000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300≤Y＜6000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Y＜300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资产总额（Z）</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5000≤Z＜80000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300≤Z＜5000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Z＜300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批发业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20≤X＜200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5≤X＜20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X＜5</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5000≤Y＜40000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1000≤Y＜5000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Y＜1000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零售业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50≤X＜300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10≤X＜50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X＜10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500≤Y＜20000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100≤Y＜500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Y＜100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交通运输业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300≤X＜1000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20≤X＜300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X＜20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3000≤Y＜30000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200≤Y＜3000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Y＜200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仓储业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100≤X＜200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20≤X＜100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X＜20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1000≤Y＜30000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100≤Y＜1000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Y＜100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邮政业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300≤X＜1000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20≤X＜300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X＜20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2000≤Y＜30000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100≤Y＜2000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Y＜100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住宿业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100≤X＜300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10≤X＜100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X＜10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2000≤Y＜10000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100≤Y＜2000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Y＜100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餐饮业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100≤X＜300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10≤X＜100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X＜10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2000≤Y＜10000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100≤Y＜2000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Y＜100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信息传输业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100≤X＜2000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10≤X＜100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X＜10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1000≤Y＜100000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100≤Y＜1000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Y＜100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软件和信息技术服务业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100≤X＜300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10≤X＜100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X＜10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1000≤Y＜10000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50≤Y＜1000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Y＜50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房地产开发经营</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1000≤Y＜200000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100≤X＜1000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X＜100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资产总额（Z）</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5000≤Z＜10000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2000≤Y＜5000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Y＜2000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物业管理</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300≤X＜1000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100≤X＜300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X＜100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营业收入（Y）</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1000≤Y＜5000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500≤Y＜1000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Y＜500</w:t>
            </w:r>
            <w:r/>
          </w:p>
        </w:tc>
      </w:tr>
      <w:tr>
        <w:trPr>
          <w:jc w:val="center"/>
          <w:tblCellSpacing w:w="15" w:type="dxa"/>
          <w:trHeight w:val="0"/>
        </w:trPr>
        <w:tc>
          <w:tcPr>
            <w:tcMar>
              <w:left w:w="105" w:type="dxa"/>
              <w:top w:w="-1" w:type="dxa"/>
              <w:right w:w="105" w:type="dxa"/>
              <w:bottom w:w="-1" w:type="dxa"/>
            </w:tcMar>
            <w:tcW w:w="2016" w:type="dxa"/>
            <w:vAlign w:val="center"/>
            <w:vMerge w:val="restart"/>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租赁和商务服务业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100≤X＜300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10≤X＜100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X＜10</w:t>
            </w:r>
            <w:r/>
          </w:p>
        </w:tc>
      </w:tr>
      <w:tr>
        <w:trPr>
          <w:jc w:val="center"/>
          <w:tblCellSpacing w:w="15" w:type="dxa"/>
          <w:trHeight w:val="0"/>
        </w:trPr>
        <w:tc>
          <w:tcPr>
            <w:tcMar>
              <w:left w:w="-1" w:type="dxa"/>
              <w:top w:w="-1" w:type="dxa"/>
              <w:right w:w="-1" w:type="dxa"/>
              <w:bottom w:w="-1" w:type="dxa"/>
            </w:tcMar>
            <w:tcW w:w="2016" w:type="dxa"/>
            <w:vAlign w:val="center"/>
            <w:vMerge w:val="continue"/>
            <w:textDirection w:val="lrTb"/>
            <w:noWrap w:val="false"/>
          </w:tcPr>
          <w:p>
            <w:pPr>
              <w:ind w:left="0" w:right="0" w:firstLine="0"/>
              <w:jc w:val="center"/>
              <w:spacing w:line="24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资产总额（Z）</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万元</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8000≤Z＜120000</w:t>
            </w:r>
            <w:r/>
          </w:p>
        </w:tc>
        <w:tc>
          <w:tcPr>
            <w:tcMar>
              <w:left w:w="105" w:type="dxa"/>
              <w:top w:w="-1" w:type="dxa"/>
              <w:right w:w="105" w:type="dxa"/>
              <w:bottom w:w="-1" w:type="dxa"/>
            </w:tcMar>
            <w:tcW w:w="0" w:type="auto"/>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100≤Z＜8000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Y＜100</w:t>
            </w:r>
            <w:r/>
          </w:p>
        </w:tc>
      </w:tr>
      <w:tr>
        <w:trPr>
          <w:jc w:val="center"/>
          <w:tblCellSpacing w:w="15" w:type="dxa"/>
          <w:trHeight w:val="0"/>
        </w:trPr>
        <w:tc>
          <w:tcPr>
            <w:tcMar>
              <w:left w:w="105" w:type="dxa"/>
              <w:top w:w="-1" w:type="dxa"/>
              <w:right w:w="105" w:type="dxa"/>
              <w:bottom w:w="-1" w:type="dxa"/>
            </w:tcMar>
            <w:tcW w:w="2016"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其他未列明行业</w:t>
            </w:r>
            <w:r/>
          </w:p>
        </w:tc>
        <w:tc>
          <w:tcPr>
            <w:tcMar>
              <w:left w:w="105" w:type="dxa"/>
              <w:top w:w="-1" w:type="dxa"/>
              <w:right w:w="105" w:type="dxa"/>
              <w:bottom w:w="-1" w:type="dxa"/>
            </w:tcMar>
            <w:tcW w:w="1187"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从业人员（X）</w:t>
            </w:r>
            <w:r/>
          </w:p>
        </w:tc>
        <w:tc>
          <w:tcPr>
            <w:tcMar>
              <w:left w:w="105" w:type="dxa"/>
              <w:top w:w="-1" w:type="dxa"/>
              <w:right w:w="105" w:type="dxa"/>
              <w:bottom w:w="-1" w:type="dxa"/>
            </w:tcMar>
            <w:tcW w:w="1173"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人</w:t>
            </w:r>
            <w:r/>
          </w:p>
        </w:tc>
        <w:tc>
          <w:tcPr>
            <w:tcMar>
              <w:left w:w="105" w:type="dxa"/>
              <w:top w:w="-1" w:type="dxa"/>
              <w:right w:w="105" w:type="dxa"/>
              <w:bottom w:w="-1" w:type="dxa"/>
            </w:tcMar>
            <w:tcW w:w="1621"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100≤X＜300</w:t>
            </w:r>
            <w:r/>
          </w:p>
        </w:tc>
        <w:tc>
          <w:tcPr>
            <w:tcMar>
              <w:left w:w="105" w:type="dxa"/>
              <w:top w:w="-1" w:type="dxa"/>
              <w:right w:w="105" w:type="dxa"/>
              <w:bottom w:w="-1" w:type="dxa"/>
            </w:tcMar>
            <w:tcW w:w="1428"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10≤X＜100</w:t>
            </w:r>
            <w:r/>
          </w:p>
        </w:tc>
        <w:tc>
          <w:tcPr>
            <w:tcMar>
              <w:left w:w="105" w:type="dxa"/>
              <w:top w:w="-1" w:type="dxa"/>
              <w:right w:w="105" w:type="dxa"/>
              <w:bottom w:w="-1" w:type="dxa"/>
            </w:tcMar>
            <w:tcW w:w="1069" w:type="dxa"/>
            <w:vAlign w:val="center"/>
            <w:textDirection w:val="lrTb"/>
            <w:noWrap w:val="false"/>
          </w:tcPr>
          <w:p>
            <w:pPr>
              <w:pStyle w:val="960"/>
              <w:ind w:left="0" w:right="0" w:firstLine="0"/>
              <w:jc w:val="center"/>
              <w:spacing w:after="150" w:line="240" w:lineRule="auto"/>
              <w:widowControl/>
              <w:rPr>
                <w:rFonts w:ascii="宋体" w:hAnsi="宋体"/>
                <w:color w:val="auto"/>
                <w:sz w:val="21"/>
                <w:szCs w:val="21"/>
                <w:highlight w:val="none"/>
              </w:rPr>
            </w:pPr>
            <w:r>
              <w:rPr>
                <w:rStyle w:val="938"/>
                <w:rFonts w:hint="eastAsia" w:ascii="宋体" w:hAnsi="宋体" w:cs="仿宋"/>
                <w:color w:val="auto"/>
                <w:sz w:val="21"/>
                <w:szCs w:val="21"/>
                <w:highlight w:val="none"/>
              </w:rPr>
              <w:t xml:space="preserve">X＜10</w:t>
            </w:r>
            <w:r/>
          </w:p>
        </w:tc>
      </w:tr>
    </w:tbl>
    <w:p>
      <w:pPr>
        <w:pStyle w:val="960"/>
        <w:ind w:firstLine="810"/>
        <w:spacing w:before="300" w:after="452" w:line="360" w:lineRule="auto"/>
        <w:widowControl/>
        <w:rPr>
          <w:rFonts w:ascii="宋体" w:hAnsi="宋体" w:cs="Arial"/>
          <w:b/>
          <w:bCs/>
          <w:color w:val="auto"/>
          <w:highlight w:val="none"/>
        </w:rPr>
      </w:pPr>
      <w:r>
        <w:rPr>
          <w:rStyle w:val="93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35"/>
        <w:spacing w:line="360" w:lineRule="auto"/>
        <w:rPr>
          <w:rStyle w:val="938"/>
          <w:rFonts w:cs="仿宋"/>
          <w:b w:val="0"/>
          <w:color w:val="auto"/>
          <w:sz w:val="21"/>
          <w:szCs w:val="21"/>
          <w:highlight w:val="none"/>
        </w:rPr>
        <w:outlineLvl w:val="9"/>
      </w:pPr>
      <w:r>
        <w:rPr>
          <w:rStyle w:val="938"/>
          <w:rFonts w:ascii="宋体" w:hAnsi="宋体" w:cs="仿宋"/>
          <w:b w:val="0"/>
          <w:color w:val="auto"/>
          <w:sz w:val="21"/>
          <w:szCs w:val="21"/>
          <w:highlight w:val="none"/>
        </w:rPr>
        <w:br w:type="page" w:clear="all"/>
      </w:r>
      <w:r/>
    </w:p>
    <w:p>
      <w:pPr>
        <w:jc w:val="center"/>
        <w:spacing w:line="360" w:lineRule="auto"/>
        <w:rPr>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如不提供此声明函，价格将不做相应扣除。2、中标</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pStyle w:val="933"/>
        <w:ind w:firstLine="3213"/>
        <w:jc w:val="both"/>
        <w:spacing w:line="360" w:lineRule="auto"/>
        <w:rPr>
          <w:rFonts w:ascii="宋体" w:hAnsi="宋体" w:eastAsia="宋体" w:cs="宋体"/>
          <w:color w:val="auto"/>
          <w:sz w:val="24"/>
          <w:szCs w:val="20"/>
          <w:highlight w:val="none"/>
        </w:rPr>
      </w:pPr>
      <w:r/>
      <w:bookmarkStart w:id="66" w:name="_Toc25512"/>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bookmarkEnd w:id="66"/>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投标人全称（加盖CA电子签章）：</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7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4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3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94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131" w:type="dxa"/>
            <w:vAlign w:val="center"/>
            <w:textDirection w:val="lrTb"/>
            <w:noWrap w:val="false"/>
          </w:tcPr>
          <w:p>
            <w:pPr>
              <w:pStyle w:val="973"/>
              <w:ind w:firstLine="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973"/>
              <w:ind w:firstLine="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33"/>
        <w:ind w:firstLine="3213"/>
        <w:jc w:val="both"/>
        <w:spacing w:line="360" w:lineRule="auto"/>
        <w:rPr>
          <w:rFonts w:ascii="宋体" w:hAnsi="宋体" w:eastAsia="宋体" w:cs="Times New Roman"/>
          <w:bCs w:val="0"/>
          <w:color w:val="auto"/>
          <w:sz w:val="32"/>
          <w:szCs w:val="32"/>
          <w:highlight w:val="none"/>
        </w:rPr>
        <w:outlineLvl w:val="9"/>
      </w:pPr>
      <w:r>
        <w:rPr>
          <w:rFonts w:ascii="宋体" w:hAnsi="宋体" w:eastAsia="宋体" w:cs="Times New Roman"/>
          <w:bCs w:val="0"/>
          <w:color w:val="auto"/>
          <w:sz w:val="32"/>
          <w:szCs w:val="32"/>
          <w:highlight w:val="none"/>
        </w:rPr>
      </w:r>
      <w:r/>
    </w:p>
    <w:p>
      <w:pPr>
        <w:pStyle w:val="934"/>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33"/>
        <w:numPr>
          <w:ilvl w:val="0"/>
          <w:numId w:val="4"/>
        </w:numPr>
        <w:ind w:firstLine="3213"/>
        <w:jc w:val="both"/>
        <w:spacing w:line="360" w:lineRule="auto"/>
        <w:rPr>
          <w:rFonts w:ascii="宋体" w:hAnsi="宋体" w:eastAsia="宋体" w:cs="Times New Roman"/>
          <w:bCs w:val="0"/>
          <w:color w:val="auto"/>
          <w:sz w:val="32"/>
          <w:szCs w:val="32"/>
          <w:highlight w:val="none"/>
        </w:rPr>
      </w:pPr>
      <w:r/>
      <w:bookmarkStart w:id="67" w:name="_Toc1367"/>
      <w:r/>
      <w:bookmarkStart w:id="68" w:name="_Toc113352361"/>
      <w:r>
        <w:rPr>
          <w:rFonts w:hint="eastAsia" w:ascii="宋体" w:hAnsi="宋体" w:eastAsia="宋体" w:cs="Times New Roman"/>
          <w:bCs w:val="0"/>
          <w:color w:val="auto"/>
          <w:sz w:val="32"/>
          <w:szCs w:val="32"/>
          <w:highlight w:val="none"/>
        </w:rPr>
        <w:t xml:space="preserve">分项报价表</w:t>
      </w:r>
      <w:bookmarkEnd w:id="67"/>
      <w:r/>
      <w:bookmarkEnd w:id="68"/>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投标人全称（加盖CA电子签章）：</w:t>
      </w:r>
      <w:r/>
    </w:p>
    <w:p>
      <w:pPr>
        <w:ind w:firstLine="420"/>
        <w:spacing w:line="360" w:lineRule="auto"/>
        <w:rPr>
          <w:rFonts w:ascii="宋体" w:hAnsi="宋体"/>
          <w:bCs/>
          <w:color w:val="auto"/>
          <w:highlight w:val="none"/>
        </w:rPr>
      </w:pPr>
      <w:r>
        <w:rPr>
          <w:rFonts w:hint="eastAsia" w:ascii="宋体" w:hAnsi="宋体"/>
          <w:color w:val="auto"/>
          <w:szCs w:val="21"/>
          <w:highlight w:val="none"/>
        </w:rPr>
        <w:t xml:space="preserve">项目名称：</w:t>
      </w:r>
      <w:r/>
    </w:p>
    <w:p>
      <w:pPr>
        <w:ind w:firstLine="420"/>
        <w:spacing w:line="360" w:lineRule="auto"/>
        <w:rPr>
          <w:rFonts w:ascii="宋体" w:hAnsi="宋体"/>
          <w:color w:val="auto"/>
          <w:sz w:val="32"/>
          <w:highlight w:val="none"/>
        </w:rPr>
      </w:pPr>
      <w:r>
        <w:rPr>
          <w:rFonts w:hint="eastAsia" w:ascii="宋体" w:hAnsi="宋体"/>
          <w:color w:val="auto"/>
          <w:szCs w:val="21"/>
          <w:highlight w:val="none"/>
        </w:rPr>
        <w:t xml:space="preserve">项目编号：</w:t>
      </w:r>
      <w:r/>
    </w:p>
    <w:tbl>
      <w:tblPr>
        <w:tblStyle w:val="720"/>
        <w:tblW w:w="103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1549"/>
        <w:gridCol w:w="2711"/>
        <w:gridCol w:w="799"/>
        <w:gridCol w:w="755"/>
        <w:gridCol w:w="1110"/>
        <w:gridCol w:w="990"/>
        <w:gridCol w:w="1660"/>
      </w:tblGrid>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1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备注</w:t>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公园</w:t>
            </w:r>
            <w:r>
              <w:rPr>
                <w:rFonts w:hint="eastAsia" w:ascii="宋体" w:hAnsi="宋体" w:cs="宋体"/>
                <w:b w:val="0"/>
                <w:bCs w:val="0"/>
                <w:i w:val="0"/>
                <w:iCs w:val="0"/>
                <w:color w:val="auto"/>
                <w:sz w:val="21"/>
                <w:szCs w:val="21"/>
                <w:highlight w:val="none"/>
                <w:u w:val="none"/>
                <w:lang w:val="en-US" w:eastAsia="zh-CN" w:bidi="ar"/>
              </w:rPr>
              <w:t xml:space="preserve">环境管理</w:t>
            </w:r>
            <w:r/>
          </w:p>
        </w:tc>
        <w:tc>
          <w:tcPr>
            <w:shd w:val="clear" w:color="auto" w:fill="auto"/>
            <w:tcBorders>
              <w:top w:val="single" w:color="000000" w:sz="4" w:space="0"/>
              <w:left w:val="single" w:color="000000" w:sz="4" w:space="0"/>
              <w:bottom w:val="single" w:color="000000" w:sz="4" w:space="0"/>
              <w:right w:val="single" w:color="000000" w:sz="4" w:space="0"/>
            </w:tcBorders>
            <w:tcW w:w="271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1、包括不限于公园范围内的园路、广场、健身步道、亭台、廊架、绿化带等清扫及垃圾清理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2、做到无有色垃圾、无枯枝败叶等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w:t>
            </w:r>
            <w:r>
              <w:rPr>
                <w:rFonts w:hint="eastAsia" w:ascii="宋体" w:hAnsi="宋体" w:cs="宋体"/>
                <w:b w:val="0"/>
                <w:bCs w:val="0"/>
                <w:i w:val="0"/>
                <w:iCs w:val="0"/>
                <w:color w:val="auto"/>
                <w:sz w:val="21"/>
                <w:szCs w:val="21"/>
                <w:highlight w:val="none"/>
                <w:u w:val="none"/>
                <w:lang w:val="en-US" w:eastAsia="zh-CN" w:bidi="ar"/>
              </w:rPr>
              <w:t xml:space="preserve">服务期</w:t>
            </w:r>
            <w:r>
              <w:rPr>
                <w:rFonts w:hint="eastAsia" w:ascii="宋体" w:hAnsi="宋体" w:eastAsia="宋体" w:cs="宋体"/>
                <w:b w:val="0"/>
                <w:bCs w:val="0"/>
                <w:i w:val="0"/>
                <w:iCs w:val="0"/>
                <w:color w:val="auto"/>
                <w:sz w:val="21"/>
                <w:szCs w:val="21"/>
                <w:highlight w:val="none"/>
                <w:u w:val="none"/>
                <w:lang w:val="en-US" w:eastAsia="zh-CN" w:bidi="ar"/>
              </w:rPr>
              <w:t xml:space="preserve">一年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4、质量需满足相关规定及</w:t>
            </w:r>
            <w:r>
              <w:rPr>
                <w:rFonts w:hint="eastAsia" w:ascii="宋体" w:hAnsi="宋体" w:cs="宋体"/>
                <w:b w:val="0"/>
                <w:bCs w:val="0"/>
                <w:i w:val="0"/>
                <w:iCs w:val="0"/>
                <w:color w:val="auto"/>
                <w:sz w:val="21"/>
                <w:szCs w:val="21"/>
                <w:highlight w:val="none"/>
                <w:u w:val="none"/>
                <w:lang w:val="en-US" w:eastAsia="zh-CN" w:bidi="ar"/>
              </w:rPr>
              <w:t xml:space="preserve">采购人</w:t>
            </w:r>
            <w:r>
              <w:rPr>
                <w:rFonts w:hint="eastAsia" w:ascii="宋体" w:hAnsi="宋体" w:eastAsia="宋体" w:cs="宋体"/>
                <w:b w:val="0"/>
                <w:bCs w:val="0"/>
                <w:i w:val="0"/>
                <w:iCs w:val="0"/>
                <w:color w:val="auto"/>
                <w:sz w:val="21"/>
                <w:szCs w:val="21"/>
                <w:highlight w:val="none"/>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1008800</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各公园面积见附表1</w:t>
            </w:r>
            <w:r/>
          </w:p>
        </w:tc>
      </w:tr>
      <w:tr>
        <w:trPr>
          <w:jc w:val="center"/>
          <w:trHeight w:val="116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公园厕所</w:t>
            </w:r>
            <w:r>
              <w:rPr>
                <w:rFonts w:hint="eastAsia" w:ascii="宋体" w:hAnsi="宋体" w:cs="宋体"/>
                <w:b w:val="0"/>
                <w:bCs w:val="0"/>
                <w:i w:val="0"/>
                <w:iCs w:val="0"/>
                <w:color w:val="auto"/>
                <w:sz w:val="21"/>
                <w:szCs w:val="21"/>
                <w:highlight w:val="none"/>
                <w:u w:val="none"/>
                <w:lang w:val="en-US" w:eastAsia="zh-CN" w:bidi="ar"/>
              </w:rPr>
              <w:t xml:space="preserve">环境管理</w:t>
            </w:r>
            <w:r/>
          </w:p>
        </w:tc>
        <w:tc>
          <w:tcPr>
            <w:shd w:val="clear" w:color="auto" w:fill="auto"/>
            <w:tcBorders>
              <w:top w:val="single" w:color="000000" w:sz="4" w:space="0"/>
              <w:left w:val="single" w:color="000000" w:sz="4" w:space="0"/>
              <w:bottom w:val="single" w:color="000000" w:sz="4" w:space="0"/>
              <w:right w:val="single" w:color="000000" w:sz="4" w:space="0"/>
            </w:tcBorders>
            <w:tcW w:w="271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1、厕所无异味；大、小便器无污渍；纸篓及时清理；洗手台面干净整洁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w:t>
            </w:r>
            <w:r>
              <w:rPr>
                <w:rFonts w:hint="eastAsia" w:ascii="宋体" w:hAnsi="宋体" w:cs="宋体"/>
                <w:b w:val="0"/>
                <w:bCs w:val="0"/>
                <w:i w:val="0"/>
                <w:iCs w:val="0"/>
                <w:color w:val="auto"/>
                <w:sz w:val="21"/>
                <w:szCs w:val="21"/>
                <w:highlight w:val="none"/>
                <w:u w:val="none"/>
                <w:lang w:val="en-US" w:eastAsia="zh-CN" w:bidi="ar"/>
              </w:rPr>
              <w:t xml:space="preserve">服务期</w:t>
            </w:r>
            <w:r>
              <w:rPr>
                <w:rFonts w:hint="eastAsia" w:ascii="宋体" w:hAnsi="宋体" w:eastAsia="宋体" w:cs="宋体"/>
                <w:b w:val="0"/>
                <w:bCs w:val="0"/>
                <w:i w:val="0"/>
                <w:iCs w:val="0"/>
                <w:color w:val="auto"/>
                <w:sz w:val="21"/>
                <w:szCs w:val="21"/>
                <w:highlight w:val="none"/>
                <w:u w:val="none"/>
                <w:lang w:val="en-US" w:eastAsia="zh-CN" w:bidi="ar"/>
              </w:rPr>
              <w:t xml:space="preserve">一年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3、质量需满足相关规定及</w:t>
            </w:r>
            <w:r>
              <w:rPr>
                <w:rFonts w:hint="eastAsia" w:ascii="宋体" w:hAnsi="宋体" w:cs="宋体"/>
                <w:b w:val="0"/>
                <w:bCs w:val="0"/>
                <w:i w:val="0"/>
                <w:iCs w:val="0"/>
                <w:color w:val="auto"/>
                <w:sz w:val="21"/>
                <w:szCs w:val="21"/>
                <w:highlight w:val="none"/>
                <w:u w:val="none"/>
                <w:lang w:val="en-US" w:eastAsia="zh-CN" w:bidi="ar"/>
              </w:rPr>
              <w:t xml:space="preserve">采购人</w:t>
            </w:r>
            <w:r>
              <w:rPr>
                <w:rFonts w:hint="eastAsia" w:ascii="宋体" w:hAnsi="宋体" w:eastAsia="宋体" w:cs="宋体"/>
                <w:b w:val="0"/>
                <w:bCs w:val="0"/>
                <w:i w:val="0"/>
                <w:iCs w:val="0"/>
                <w:color w:val="auto"/>
                <w:sz w:val="21"/>
                <w:szCs w:val="21"/>
                <w:highlight w:val="none"/>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本项目共计26个厕所，根据实际使用情况灵活调配，确保环境卫生达到</w:t>
            </w:r>
            <w:r>
              <w:rPr>
                <w:rFonts w:hint="eastAsia" w:ascii="宋体" w:hAnsi="宋体" w:cs="宋体"/>
                <w:b w:val="0"/>
                <w:bCs w:val="0"/>
                <w:i w:val="0"/>
                <w:iCs w:val="0"/>
                <w:color w:val="auto"/>
                <w:sz w:val="21"/>
                <w:szCs w:val="21"/>
                <w:highlight w:val="none"/>
                <w:u w:val="none"/>
                <w:lang w:val="en-US" w:eastAsia="zh-CN" w:bidi="ar"/>
              </w:rPr>
              <w:t xml:space="preserve">采购人</w:t>
            </w:r>
            <w:r>
              <w:rPr>
                <w:rFonts w:hint="eastAsia" w:ascii="宋体" w:hAnsi="宋体" w:eastAsia="宋体" w:cs="宋体"/>
                <w:b w:val="0"/>
                <w:bCs w:val="0"/>
                <w:i w:val="0"/>
                <w:iCs w:val="0"/>
                <w:color w:val="auto"/>
                <w:sz w:val="21"/>
                <w:szCs w:val="21"/>
                <w:highlight w:val="none"/>
                <w:u w:val="none"/>
                <w:lang w:val="en-US" w:eastAsia="zh-CN" w:bidi="ar"/>
              </w:rPr>
              <w:t xml:space="preserve">要求</w:t>
            </w:r>
            <w:r/>
          </w:p>
        </w:tc>
      </w:tr>
      <w:tr>
        <w:trPr>
          <w:jc w:val="center"/>
          <w:trHeight w:val="116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6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厕所</w:t>
            </w:r>
            <w:r>
              <w:rPr>
                <w:rFonts w:hint="eastAsia" w:ascii="宋体" w:hAnsi="宋体" w:cs="宋体"/>
                <w:b w:val="0"/>
                <w:bCs w:val="0"/>
                <w:i w:val="0"/>
                <w:iCs w:val="0"/>
                <w:color w:val="auto"/>
                <w:sz w:val="21"/>
                <w:szCs w:val="21"/>
                <w:highlight w:val="none"/>
                <w:u w:val="none"/>
                <w:lang w:val="en-US" w:eastAsia="zh-CN" w:bidi="ar"/>
              </w:rPr>
              <w:t xml:space="preserve">环境管理</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116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r>
            <w:r/>
          </w:p>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环境管护使用耗材</w:t>
            </w:r>
            <w:r/>
          </w:p>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各公园厕所一年</w:t>
            </w:r>
            <w:r>
              <w:rPr>
                <w:rFonts w:hint="eastAsia" w:ascii="宋体" w:hAnsi="宋体" w:eastAsia="宋体" w:cs="宋体"/>
                <w:b w:val="0"/>
                <w:bCs w:val="0"/>
                <w:i w:val="0"/>
                <w:iCs w:val="0"/>
                <w:color w:val="auto"/>
                <w:sz w:val="21"/>
                <w:szCs w:val="21"/>
                <w:highlight w:val="none"/>
                <w:u w:val="none"/>
                <w:lang w:val="en-US" w:eastAsia="zh-CN"/>
              </w:rPr>
              <w:t xml:space="preserve">环境管护</w:t>
            </w:r>
            <w:r>
              <w:rPr>
                <w:rFonts w:hint="eastAsia" w:ascii="宋体" w:hAnsi="宋体" w:cs="宋体"/>
                <w:b w:val="0"/>
                <w:bCs w:val="0"/>
                <w:i w:val="0"/>
                <w:iCs w:val="0"/>
                <w:color w:val="auto"/>
                <w:sz w:val="21"/>
                <w:szCs w:val="21"/>
                <w:highlight w:val="none"/>
                <w:u w:val="none"/>
                <w:lang w:val="en-US" w:eastAsia="zh-CN" w:bidi="ar"/>
              </w:rPr>
              <w:t xml:space="preserve">耗材</w:t>
            </w:r>
            <w:r>
              <w:rPr>
                <w:rFonts w:hint="eastAsia" w:ascii="宋体" w:hAnsi="宋体" w:eastAsia="宋体" w:cs="宋体"/>
                <w:b w:val="0"/>
                <w:bCs w:val="0"/>
                <w:i w:val="0"/>
                <w:iCs w:val="0"/>
                <w:color w:val="auto"/>
                <w:sz w:val="21"/>
                <w:szCs w:val="21"/>
                <w:highlight w:val="none"/>
                <w:u w:val="none"/>
                <w:lang w:val="en-US" w:eastAsia="zh-CN" w:bidi="ar"/>
              </w:rPr>
              <w:t xml:space="preserve">包括但不限于各类消杀用品、蚊香、清洁球、垃圾袋等损耗品，</w:t>
            </w:r>
            <w:r>
              <w:rPr>
                <w:rFonts w:hint="eastAsia" w:ascii="宋体" w:hAnsi="宋体" w:cs="宋体"/>
                <w:b w:val="0"/>
                <w:bCs w:val="0"/>
                <w:i w:val="0"/>
                <w:iCs w:val="0"/>
                <w:color w:val="auto"/>
                <w:sz w:val="21"/>
                <w:szCs w:val="21"/>
                <w:highlight w:val="none"/>
                <w:u w:val="none"/>
                <w:lang w:val="en-US" w:eastAsia="zh-CN" w:bidi="ar"/>
              </w:rPr>
              <w:t xml:space="preserve">详</w:t>
            </w:r>
            <w:r>
              <w:rPr>
                <w:rFonts w:hint="eastAsia" w:ascii="宋体" w:hAnsi="宋体" w:eastAsia="宋体" w:cs="宋体"/>
                <w:b w:val="0"/>
                <w:bCs w:val="0"/>
                <w:i w:val="0"/>
                <w:iCs w:val="0"/>
                <w:color w:val="auto"/>
                <w:sz w:val="21"/>
                <w:szCs w:val="21"/>
                <w:highlight w:val="none"/>
                <w:u w:val="none"/>
                <w:lang w:val="en-US" w:eastAsia="zh-CN" w:bidi="ar"/>
              </w:rPr>
              <w:t xml:space="preserve">见附表2</w:t>
            </w:r>
            <w:r/>
          </w:p>
        </w:tc>
      </w:tr>
      <w:tr>
        <w:trPr>
          <w:jc w:val="center"/>
          <w:trHeight w:val="256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公园秩序维护人员</w:t>
            </w:r>
            <w:r/>
          </w:p>
        </w:tc>
        <w:tc>
          <w:tcPr>
            <w:shd w:val="clear" w:color="auto" w:fill="auto"/>
            <w:tcBorders>
              <w:top w:val="single" w:color="000000" w:sz="4" w:space="0"/>
              <w:left w:val="single" w:color="000000" w:sz="4" w:space="0"/>
              <w:bottom w:val="single" w:color="000000" w:sz="4" w:space="0"/>
              <w:right w:val="single" w:color="000000" w:sz="4" w:space="0"/>
            </w:tcBorders>
            <w:tcW w:w="271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1、公园内治安巡查、秩序维护</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w:t>
            </w:r>
            <w:r>
              <w:rPr>
                <w:rFonts w:hint="eastAsia" w:ascii="宋体" w:hAnsi="宋体" w:cs="宋体"/>
                <w:b w:val="0"/>
                <w:bCs w:val="0"/>
                <w:i w:val="0"/>
                <w:iCs w:val="0"/>
                <w:color w:val="auto"/>
                <w:sz w:val="21"/>
                <w:szCs w:val="21"/>
                <w:highlight w:val="none"/>
                <w:u w:val="none"/>
                <w:lang w:val="en-US" w:eastAsia="zh-CN" w:bidi="ar"/>
              </w:rPr>
              <w:t xml:space="preserve">服务</w:t>
            </w:r>
            <w:r>
              <w:rPr>
                <w:rFonts w:hint="eastAsia" w:ascii="宋体" w:hAnsi="宋体" w:eastAsia="宋体" w:cs="宋体"/>
                <w:b w:val="0"/>
                <w:bCs w:val="0"/>
                <w:i w:val="0"/>
                <w:iCs w:val="0"/>
                <w:color w:val="auto"/>
                <w:sz w:val="21"/>
                <w:szCs w:val="21"/>
                <w:highlight w:val="none"/>
                <w:u w:val="none"/>
                <w:lang w:val="en-US" w:eastAsia="zh-CN" w:bidi="ar"/>
              </w:rPr>
              <w:t xml:space="preserve">期一年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3、质量需满足相关规定及</w:t>
            </w:r>
            <w:r>
              <w:rPr>
                <w:rFonts w:hint="eastAsia" w:ascii="宋体" w:hAnsi="宋体" w:cs="宋体"/>
                <w:b w:val="0"/>
                <w:bCs w:val="0"/>
                <w:i w:val="0"/>
                <w:iCs w:val="0"/>
                <w:color w:val="auto"/>
                <w:sz w:val="21"/>
                <w:szCs w:val="21"/>
                <w:highlight w:val="none"/>
                <w:u w:val="none"/>
                <w:lang w:val="en-US" w:eastAsia="zh-CN" w:bidi="ar"/>
              </w:rPr>
              <w:t xml:space="preserve">采购人</w:t>
            </w:r>
            <w:r>
              <w:rPr>
                <w:rFonts w:hint="eastAsia" w:ascii="宋体" w:hAnsi="宋体" w:eastAsia="宋体" w:cs="宋体"/>
                <w:b w:val="0"/>
                <w:bCs w:val="0"/>
                <w:i w:val="0"/>
                <w:iCs w:val="0"/>
                <w:color w:val="auto"/>
                <w:sz w:val="21"/>
                <w:szCs w:val="21"/>
                <w:highlight w:val="none"/>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本项目共计79个公园，结合各公园面积、秩序维护人员需求差异及实际人员流动状况，配置25名秩序维护人员，实行弹性调配、机动巡查，确保秩序维护人员服务全覆盖达到</w:t>
            </w:r>
            <w:r>
              <w:rPr>
                <w:rFonts w:hint="eastAsia" w:ascii="宋体" w:hAnsi="宋体" w:cs="宋体"/>
                <w:b w:val="0"/>
                <w:bCs w:val="0"/>
                <w:i w:val="0"/>
                <w:iCs w:val="0"/>
                <w:color w:val="auto"/>
                <w:sz w:val="21"/>
                <w:szCs w:val="21"/>
                <w:highlight w:val="none"/>
                <w:u w:val="none"/>
                <w:lang w:val="en-US" w:eastAsia="zh-CN" w:bidi="ar"/>
              </w:rPr>
              <w:t xml:space="preserve">采购人</w:t>
            </w:r>
            <w:r>
              <w:rPr>
                <w:rFonts w:hint="eastAsia" w:ascii="宋体" w:hAnsi="宋体" w:eastAsia="宋体" w:cs="宋体"/>
                <w:b w:val="0"/>
                <w:bCs w:val="0"/>
                <w:i w:val="0"/>
                <w:iCs w:val="0"/>
                <w:color w:val="auto"/>
                <w:sz w:val="21"/>
                <w:szCs w:val="21"/>
                <w:highlight w:val="none"/>
                <w:u w:val="none"/>
                <w:lang w:val="en-US" w:eastAsia="zh-CN" w:bidi="ar"/>
              </w:rPr>
              <w:t xml:space="preserve">要求，该项总价为25名秩序维护人员一年费用之和</w:t>
            </w:r>
            <w:r/>
          </w:p>
        </w:tc>
      </w:tr>
      <w:tr>
        <w:trPr>
          <w:jc w:val="center"/>
          <w:trHeight w:val="112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秩序维护人员工资</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不得低于</w:t>
            </w:r>
            <w:r>
              <w:rPr>
                <w:rFonts w:hint="eastAsia" w:ascii="宋体" w:hAnsi="宋体" w:eastAsia="宋体" w:cs="宋体"/>
                <w:b w:val="0"/>
                <w:bCs w:val="0"/>
                <w:i w:val="0"/>
                <w:iCs w:val="0"/>
                <w:color w:val="auto"/>
                <w:sz w:val="21"/>
                <w:szCs w:val="21"/>
                <w:highlight w:val="none"/>
                <w:u w:val="none"/>
                <w:lang w:val="en-US" w:eastAsia="zh-CN" w:bidi="ar"/>
              </w:rPr>
              <w:t xml:space="preserve">扬州市最低标准</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社会保险费</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含养老、工伤、失业、医疗、大病补助</w:t>
            </w:r>
            <w:r>
              <w:rPr>
                <w:rFonts w:hint="eastAsia" w:ascii="宋体" w:hAnsi="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不</w:t>
            </w:r>
            <w:r>
              <w:rPr>
                <w:rFonts w:hint="eastAsia" w:ascii="宋体" w:hAnsi="宋体" w:cs="宋体"/>
                <w:b w:val="0"/>
                <w:bCs w:val="0"/>
                <w:i w:val="0"/>
                <w:iCs w:val="0"/>
                <w:color w:val="auto"/>
                <w:sz w:val="21"/>
                <w:szCs w:val="21"/>
                <w:highlight w:val="none"/>
                <w:u w:val="none"/>
                <w:lang w:val="en-US" w:eastAsia="zh-CN" w:bidi="ar"/>
              </w:rPr>
              <w:t xml:space="preserve">得</w:t>
            </w:r>
            <w:r>
              <w:rPr>
                <w:rFonts w:hint="eastAsia" w:ascii="宋体" w:hAnsi="宋体" w:eastAsia="宋体" w:cs="宋体"/>
                <w:b w:val="0"/>
                <w:bCs w:val="0"/>
                <w:i w:val="0"/>
                <w:iCs w:val="0"/>
                <w:color w:val="auto"/>
                <w:sz w:val="21"/>
                <w:szCs w:val="21"/>
                <w:highlight w:val="none"/>
                <w:u w:val="none"/>
                <w:lang w:val="en-US" w:eastAsia="zh-CN" w:bidi="ar"/>
              </w:rPr>
              <w:t xml:space="preserve">低于扬州市最低标准</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意外保险费</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一年意外伤害险费用</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高温补贴</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高温补贴不低于国家相关规定标准300元/月，计4个月/年/人</w:t>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考虑春装、夏装、冬装各一套</w:t>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过节福利费</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考虑中秋节和春节两个节日福利费</w:t>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总</w:t>
            </w:r>
            <w:r>
              <w:rPr>
                <w:rFonts w:hint="eastAsia" w:ascii="宋体" w:hAnsi="宋体" w:eastAsia="宋体" w:cs="宋体"/>
                <w:b w:val="0"/>
                <w:bCs w:val="0"/>
                <w:i w:val="0"/>
                <w:iCs w:val="0"/>
                <w:color w:val="auto"/>
                <w:sz w:val="21"/>
                <w:szCs w:val="21"/>
                <w:highlight w:val="none"/>
                <w:u w:val="none"/>
                <w:lang w:val="en-US" w:eastAsia="zh-CN" w:bidi="ar"/>
              </w:rPr>
              <w:t xml:space="preserve">计</w:t>
            </w:r>
            <w:r/>
          </w:p>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（一项+二项+三项）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bl>
    <w:p>
      <w:pPr>
        <w:pStyle w:val="934"/>
        <w:ind w:firstLine="0"/>
        <w:spacing w:line="360" w:lineRule="auto"/>
        <w:rPr>
          <w:rFonts w:ascii="宋体" w:hAnsi="宋体"/>
          <w:color w:val="auto"/>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pStyle w:val="933"/>
        <w:spacing w:line="360" w:lineRule="auto"/>
        <w:rPr>
          <w:rFonts w:ascii="宋体" w:hAnsi="宋体" w:eastAsia="宋体"/>
          <w:color w:val="auto"/>
          <w:sz w:val="32"/>
          <w:highlight w:val="none"/>
        </w:rPr>
      </w:pPr>
      <w:r/>
      <w:bookmarkStart w:id="69" w:name="_Toc27169"/>
      <w:r>
        <w:rPr>
          <w:rFonts w:hint="eastAsia" w:ascii="宋体" w:hAnsi="宋体" w:eastAsia="宋体"/>
          <w:color w:val="auto"/>
          <w:sz w:val="32"/>
          <w:highlight w:val="none"/>
        </w:rPr>
        <w:t xml:space="preserve">六、技术参数响应及偏离表</w:t>
      </w:r>
      <w:bookmarkEnd w:id="69"/>
      <w:r/>
      <w:r/>
    </w:p>
    <w:tbl>
      <w:tblPr>
        <w:tblStyle w:val="7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568"/>
        <w:gridCol w:w="1912"/>
        <w:gridCol w:w="1405"/>
        <w:gridCol w:w="1998"/>
      </w:tblGrid>
      <w:tr>
        <w:trPr>
          <w:cantSplit/>
        </w:trPr>
        <w:tc>
          <w:tcPr>
            <w:tcW w:w="36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09" w:type="pct"/>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项目名称</w:t>
            </w:r>
            <w:r/>
          </w:p>
        </w:tc>
        <w:tc>
          <w:tcPr>
            <w:tcW w:w="1124"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技术要求</w:t>
            </w:r>
            <w:r/>
          </w:p>
        </w:tc>
        <w:tc>
          <w:tcPr>
            <w:tcW w:w="826"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1174"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365"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509" w:type="pct"/>
            <w:textDirection w:val="lrTb"/>
            <w:noWrap w:val="false"/>
          </w:tcPr>
          <w:p>
            <w:pPr>
              <w:jc w:val="both"/>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总体服务基本要求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1509"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rPr>
              <w:t xml:space="preserve">环境管护内容及作业标准</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09" w:type="pct"/>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zh-CN" w:eastAsia="zh-CN"/>
              </w:rPr>
              <w:t xml:space="preserve">秩序维护</w:t>
            </w:r>
            <w:r>
              <w:rPr>
                <w:rFonts w:hint="eastAsia" w:ascii="宋体" w:hAnsi="宋体" w:cs="宋体"/>
                <w:color w:val="auto"/>
                <w:sz w:val="21"/>
                <w:szCs w:val="21"/>
                <w:highlight w:val="none"/>
                <w:lang w:val="en-US" w:eastAsia="zh-CN"/>
              </w:rPr>
              <w:t xml:space="preserve">内容及</w:t>
            </w:r>
            <w:r>
              <w:rPr>
                <w:rFonts w:hint="eastAsia" w:ascii="宋体" w:hAnsi="宋体" w:cs="宋体"/>
                <w:color w:val="auto"/>
                <w:sz w:val="21"/>
                <w:szCs w:val="21"/>
                <w:highlight w:val="none"/>
                <w:lang w:val="zh-CN" w:eastAsia="zh-CN"/>
              </w:rPr>
              <w:t xml:space="preserve">作业标准</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公共类活动现场管理</w:t>
            </w:r>
            <w:r>
              <w:rPr>
                <w:rFonts w:hint="eastAsia" w:ascii="宋体" w:hAnsi="宋体" w:cs="宋体"/>
                <w:color w:val="auto"/>
                <w:sz w:val="21"/>
                <w:szCs w:val="21"/>
                <w:highlight w:val="none"/>
                <w:lang w:val="zh-CN" w:eastAsia="zh-CN"/>
              </w:rPr>
              <w:t xml:space="preserve">标准</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项目内部管理</w:t>
            </w:r>
            <w:r>
              <w:rPr>
                <w:rFonts w:hint="eastAsia" w:ascii="宋体" w:hAnsi="宋体" w:cs="宋体"/>
                <w:color w:val="auto"/>
                <w:sz w:val="21"/>
                <w:szCs w:val="21"/>
                <w:highlight w:val="none"/>
                <w:lang w:val="zh-CN" w:eastAsia="zh-CN"/>
              </w:rPr>
              <w:t xml:space="preserve">标准</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安全、文明作业</w:t>
            </w:r>
            <w:r>
              <w:rPr>
                <w:rFonts w:hint="eastAsia" w:ascii="宋体" w:hAnsi="宋体" w:cs="宋体"/>
                <w:color w:val="auto"/>
                <w:sz w:val="21"/>
                <w:szCs w:val="21"/>
                <w:highlight w:val="none"/>
                <w:lang w:val="zh-CN" w:eastAsia="zh-CN"/>
              </w:rPr>
              <w:t xml:space="preserve">标准</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1509" w:type="pct"/>
            <w:textDirection w:val="lrTb"/>
            <w:noWrap w:val="false"/>
          </w:tcPr>
          <w:p>
            <w:pPr>
              <w:jc w:val="both"/>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安全事故处理</w:t>
            </w:r>
            <w:r>
              <w:rPr>
                <w:rFonts w:hint="eastAsia" w:ascii="宋体" w:hAnsi="宋体" w:cs="宋体"/>
                <w:color w:val="auto"/>
                <w:sz w:val="21"/>
                <w:szCs w:val="21"/>
                <w:highlight w:val="none"/>
                <w:lang w:val="zh-CN" w:eastAsia="zh-CN"/>
              </w:rPr>
              <w:t xml:space="preserve">标准</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ind w:firstLine="210"/>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应急预案</w:t>
            </w:r>
            <w:r>
              <w:rPr>
                <w:rFonts w:hint="eastAsia" w:ascii="宋体" w:hAnsi="宋体" w:cs="宋体"/>
                <w:color w:val="auto"/>
                <w:sz w:val="21"/>
                <w:szCs w:val="21"/>
                <w:highlight w:val="none"/>
                <w:lang w:val="zh-CN" w:eastAsia="zh-CN"/>
              </w:rPr>
              <w:t xml:space="preserve">标准</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ind w:firstLine="210"/>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ind w:firstLine="210"/>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509" w:type="pct"/>
            <w:textDirection w:val="lrTb"/>
            <w:noWrap w:val="false"/>
          </w:tcPr>
          <w:p>
            <w:pPr>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spacing w:line="360" w:lineRule="auto"/>
        <w:rPr>
          <w:rFonts w:ascii="黑体" w:hAnsi="Arial" w:eastAsia="黑体"/>
          <w:color w:val="auto"/>
          <w:sz w:val="32"/>
          <w:highlight w:val="none"/>
        </w:rPr>
      </w:pPr>
      <w:r>
        <w:rPr>
          <w:rFonts w:ascii="黑体" w:hAnsi="Arial" w:eastAsia="黑体"/>
          <w:color w:val="auto"/>
          <w:sz w:val="32"/>
          <w:highlight w:val="none"/>
        </w:rPr>
      </w:r>
      <w:r/>
    </w:p>
    <w:p>
      <w:pPr>
        <w:spacing w:line="360" w:lineRule="auto"/>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33"/>
        <w:spacing w:line="360" w:lineRule="auto"/>
        <w:rPr>
          <w:rFonts w:ascii="宋体" w:hAnsi="宋体" w:eastAsia="宋体" w:cs="Times New Roman"/>
          <w:bCs w:val="0"/>
          <w:color w:val="auto"/>
          <w:sz w:val="32"/>
          <w:szCs w:val="32"/>
          <w:highlight w:val="none"/>
        </w:rPr>
      </w:pPr>
      <w:r/>
      <w:bookmarkStart w:id="70" w:name="_Hlt26955054"/>
      <w:r/>
      <w:bookmarkEnd w:id="70"/>
      <w:r/>
      <w:bookmarkStart w:id="71" w:name="_Toc113352363"/>
      <w:r/>
      <w:bookmarkStart w:id="72" w:name="_Toc22578"/>
      <w:r>
        <w:rPr>
          <w:rFonts w:hint="eastAsia" w:ascii="宋体" w:hAnsi="宋体" w:eastAsia="宋体" w:cs="Times New Roman"/>
          <w:bCs w:val="0"/>
          <w:color w:val="auto"/>
          <w:sz w:val="32"/>
          <w:szCs w:val="32"/>
          <w:highlight w:val="none"/>
        </w:rPr>
        <w:t xml:space="preserve">七、商务条款响应及偏离表</w:t>
      </w:r>
      <w:bookmarkEnd w:id="71"/>
      <w:r/>
      <w:bookmarkEnd w:id="72"/>
      <w:r/>
      <w:r/>
    </w:p>
    <w:tbl>
      <w:tblPr>
        <w:tblStyle w:val="7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2023"/>
        <w:gridCol w:w="2023"/>
        <w:gridCol w:w="2301"/>
        <w:gridCol w:w="1506"/>
      </w:tblGrid>
      <w:tr>
        <w:trPr>
          <w:cantSplit/>
        </w:trPr>
        <w:tc>
          <w:tcPr>
            <w:tcW w:w="391"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87" w:type="pct"/>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项目名称</w:t>
            </w:r>
            <w:r/>
          </w:p>
        </w:tc>
        <w:tc>
          <w:tcPr>
            <w:tcW w:w="118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商务要求</w:t>
            </w:r>
            <w:r/>
          </w:p>
        </w:tc>
        <w:tc>
          <w:tcPr>
            <w:tcW w:w="1350"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88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391"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项目概况</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1187"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服务范围</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合同履行期限</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付款方式</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1187"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1187"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其他</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仿宋_GB2312" w:hAnsi="Arial"/>
          <w:color w:val="auto"/>
          <w:sz w:val="30"/>
          <w:highlight w:val="none"/>
        </w:rPr>
      </w:pPr>
      <w:r>
        <w:rPr>
          <w:rFonts w:ascii="仿宋_GB2312" w:hAnsi="Arial"/>
          <w:color w:val="auto"/>
          <w:sz w:val="30"/>
          <w:highlight w:val="none"/>
        </w:rPr>
      </w:r>
      <w:r/>
    </w:p>
    <w:p>
      <w:pPr>
        <w:pStyle w:val="934"/>
        <w:ind w:firstLine="480"/>
        <w:spacing w:line="360" w:lineRule="auto"/>
        <w:rPr>
          <w:rFonts w:ascii="宋体" w:hAnsi="宋体"/>
          <w:color w:val="auto"/>
          <w:sz w:val="24"/>
          <w:highlight w:val="none"/>
        </w:rPr>
      </w:pPr>
      <w:r/>
      <w:bookmarkStart w:id="73" w:name="_Hlt26609389"/>
      <w:r/>
      <w:bookmarkEnd w:id="73"/>
      <w:r/>
      <w:bookmarkStart w:id="74" w:name="_Hlt26955066"/>
      <w:r/>
      <w:bookmarkEnd w:id="74"/>
      <w:r/>
      <w:bookmarkStart w:id="75" w:name="_Hlt26671374"/>
      <w:r/>
      <w:bookmarkEnd w:id="75"/>
      <w:r/>
      <w:bookmarkStart w:id="76" w:name="_Toc462564146"/>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firstLine="480"/>
        <w:spacing w:line="360" w:lineRule="auto"/>
        <w:rPr>
          <w:rFonts w:ascii="宋体" w:hAnsi="宋体"/>
          <w:color w:val="auto"/>
          <w:sz w:val="24"/>
          <w:highlight w:val="none"/>
        </w:rPr>
      </w:pPr>
      <w:r>
        <w:rPr>
          <w:rFonts w:ascii="宋体" w:hAnsi="宋体"/>
          <w:color w:val="auto"/>
          <w:sz w:val="24"/>
          <w:highlight w:val="none"/>
        </w:rPr>
      </w:r>
      <w:bookmarkEnd w:id="76"/>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left="0" w:firstLine="0"/>
        <w:spacing w:line="360" w:lineRule="auto"/>
        <w:rPr>
          <w:rFonts w:ascii="宋体" w:hAnsi="宋体"/>
          <w:color w:val="auto"/>
          <w:sz w:val="24"/>
          <w:highlight w:val="none"/>
        </w:rPr>
      </w:pPr>
      <w:r>
        <w:rPr>
          <w:rFonts w:ascii="宋体" w:hAnsi="宋体"/>
          <w:color w:val="auto"/>
          <w:sz w:val="24"/>
          <w:highlight w:val="none"/>
        </w:rPr>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firstLine="480"/>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widowControl/>
        <w:rPr>
          <w:rFonts w:ascii="宋体" w:hAnsi="宋体"/>
          <w:b/>
          <w:color w:val="auto"/>
          <w:highlight w:val="none"/>
        </w:rPr>
      </w:pPr>
      <w:r/>
      <w:bookmarkStart w:id="77" w:name="_格式2__法定代表人授权书"/>
      <w:r/>
      <w:bookmarkEnd w:id="77"/>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20"/>
        <w:tblW w:w="87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0"/>
      </w:tblGrid>
      <w:tr>
        <w:trPr>
          <w:trHeight w:val="453"/>
        </w:trPr>
        <w:tc>
          <w:tcPr>
            <w:tcW w:w="870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4154"/>
        </w:trPr>
        <w:tc>
          <w:tcPr>
            <w:tcW w:w="870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pStyle w:val="746"/>
        <w:ind w:left="0" w:firstLine="0"/>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拟投入人员一览表</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2"/>
        <w:spacing w:line="360" w:lineRule="auto"/>
        <w:rPr>
          <w:rFonts w:ascii="宋体" w:hAnsi="宋体"/>
          <w:color w:val="auto"/>
          <w:szCs w:val="21"/>
          <w:highlight w:val="none"/>
        </w:rPr>
      </w:pPr>
      <w:r>
        <w:rPr>
          <w:rFonts w:hint="eastAsia" w:ascii="宋体" w:hAnsi="宋体"/>
          <w:color w:val="auto"/>
          <w:szCs w:val="21"/>
          <w:highlight w:val="none"/>
        </w:rPr>
        <w:t xml:space="preserve">投标人全称（加盖CA电子签章）：</w:t>
      </w:r>
      <w:r/>
    </w:p>
    <w:p>
      <w:pPr>
        <w:ind w:firstLine="482"/>
        <w:spacing w:line="360" w:lineRule="auto"/>
        <w:rPr>
          <w:rFonts w:ascii="宋体" w:hAnsi="宋体"/>
          <w:bCs/>
          <w:color w:val="auto"/>
          <w:highlight w:val="none"/>
        </w:rPr>
      </w:pPr>
      <w:r>
        <w:rPr>
          <w:rFonts w:hint="eastAsia" w:ascii="宋体" w:hAnsi="宋体"/>
          <w:color w:val="auto"/>
          <w:szCs w:val="21"/>
          <w:highlight w:val="none"/>
        </w:rPr>
        <w:t xml:space="preserve">项目名称：</w:t>
      </w:r>
      <w:r/>
    </w:p>
    <w:p>
      <w:pPr>
        <w:ind w:firstLine="482"/>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74"/>
        <w:gridCol w:w="1276"/>
        <w:gridCol w:w="992"/>
        <w:gridCol w:w="994"/>
        <w:gridCol w:w="1274"/>
        <w:gridCol w:w="1276"/>
        <w:gridCol w:w="1418"/>
      </w:tblGrid>
      <w:tr>
        <w:trPr>
          <w:jc w:val="center"/>
          <w:trHeight w:val="510"/>
        </w:trPr>
        <w:tc>
          <w:tcPr>
            <w:tcW w:w="69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序号</w:t>
            </w:r>
            <w:r/>
          </w:p>
        </w:tc>
        <w:tc>
          <w:tcPr>
            <w:tcW w:w="127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岗位</w:t>
            </w:r>
            <w:r/>
          </w:p>
        </w:tc>
        <w:tc>
          <w:tcPr>
            <w:tcW w:w="127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姓名</w:t>
            </w:r>
            <w:r/>
          </w:p>
        </w:tc>
        <w:tc>
          <w:tcPr>
            <w:tcW w:w="99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性别</w:t>
            </w:r>
            <w:r/>
          </w:p>
        </w:tc>
        <w:tc>
          <w:tcPr>
            <w:tcW w:w="99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年龄</w:t>
            </w:r>
            <w:r/>
          </w:p>
        </w:tc>
        <w:tc>
          <w:tcPr>
            <w:tcW w:w="127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职称</w:t>
            </w:r>
            <w:r/>
          </w:p>
        </w:tc>
        <w:tc>
          <w:tcPr>
            <w:tcW w:w="127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执业资格</w:t>
            </w:r>
            <w:r/>
          </w:p>
        </w:tc>
        <w:tc>
          <w:tcPr>
            <w:tcW w:w="141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备注</w:t>
            </w:r>
            <w:r/>
          </w:p>
        </w:tc>
      </w:tr>
      <w:tr>
        <w:trPr>
          <w:jc w:val="center"/>
          <w:trHeight w:val="510"/>
        </w:trPr>
        <w:tc>
          <w:tcPr>
            <w:tcW w:w="69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992"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99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jc w:val="center"/>
          <w:trHeight w:val="510"/>
        </w:trPr>
        <w:tc>
          <w:tcPr>
            <w:tcW w:w="69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992"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99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jc w:val="center"/>
          <w:trHeight w:val="510"/>
        </w:trPr>
        <w:tc>
          <w:tcPr>
            <w:tcW w:w="69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992"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99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jc w:val="center"/>
          <w:trHeight w:val="510"/>
        </w:trPr>
        <w:tc>
          <w:tcPr>
            <w:tcW w:w="69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992"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99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jc w:val="center"/>
          <w:trHeight w:val="510"/>
        </w:trPr>
        <w:tc>
          <w:tcPr>
            <w:tcW w:w="69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992"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99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27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bl>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color w:val="auto"/>
          <w:highlight w:val="none"/>
        </w:rPr>
      </w:pPr>
      <w:r>
        <w:rPr>
          <w:rFonts w:hint="eastAsia" w:ascii="宋体" w:hAnsi="宋体"/>
          <w:b/>
          <w:color w:val="auto"/>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w:t>
      </w:r>
      <w:r>
        <w:rPr>
          <w:rFonts w:hint="eastAsia" w:ascii="宋体" w:hAnsi="宋体"/>
          <w:color w:val="auto"/>
          <w:highlight w:val="none"/>
          <w:lang w:eastAsia="zh-CN"/>
        </w:rPr>
        <w:t xml:space="preserve">投标人</w:t>
      </w:r>
      <w:r>
        <w:rPr>
          <w:rFonts w:hint="eastAsia" w:ascii="宋体" w:hAnsi="宋体"/>
          <w:color w:val="auto"/>
          <w:highlight w:val="none"/>
        </w:rPr>
        <w:t xml:space="preserve">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w:t>
      </w:r>
      <w:r>
        <w:rPr>
          <w:rFonts w:hint="eastAsia" w:ascii="宋体" w:hAnsi="宋体"/>
          <w:color w:val="auto"/>
          <w:highlight w:val="none"/>
          <w:lang w:eastAsia="zh-CN"/>
        </w:rPr>
        <w:t xml:space="preserve">投标人</w:t>
      </w:r>
      <w:r>
        <w:rPr>
          <w:rFonts w:hint="eastAsia" w:ascii="宋体" w:hAnsi="宋体"/>
          <w:color w:val="auto"/>
          <w:highlight w:val="none"/>
        </w:rPr>
        <w:t xml:space="preserve">单位1全称）实施项目中（工作内容）部分工作，并承担相应的责任。（</w:t>
      </w:r>
      <w:r>
        <w:rPr>
          <w:rFonts w:hint="eastAsia" w:ascii="宋体" w:hAnsi="宋体"/>
          <w:color w:val="auto"/>
          <w:highlight w:val="none"/>
          <w:lang w:eastAsia="zh-CN"/>
        </w:rPr>
        <w:t xml:space="preserve">投标人</w:t>
      </w:r>
      <w:r>
        <w:rPr>
          <w:rFonts w:hint="eastAsia" w:ascii="宋体" w:hAnsi="宋体"/>
          <w:color w:val="auto"/>
          <w:highlight w:val="none"/>
        </w:rPr>
        <w:t xml:space="preserve">单位2全称）实施项目中（工作内容）部分工作，并承担相应的责任……。（注：联合体中各</w:t>
      </w:r>
      <w:r>
        <w:rPr>
          <w:rFonts w:hint="eastAsia" w:ascii="宋体" w:hAnsi="宋体"/>
          <w:color w:val="auto"/>
          <w:highlight w:val="none"/>
          <w:lang w:eastAsia="zh-CN"/>
        </w:rPr>
        <w:t xml:space="preserve">投标人</w:t>
      </w:r>
      <w:r>
        <w:rPr>
          <w:rFonts w:hint="eastAsia" w:ascii="宋体" w:hAnsi="宋体"/>
          <w:color w:val="auto"/>
          <w:highlight w:val="none"/>
        </w:rPr>
        <w:t xml:space="preserve">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w:t>
      </w:r>
      <w:r>
        <w:rPr>
          <w:rFonts w:hint="eastAsia" w:ascii="宋体" w:hAnsi="宋体"/>
          <w:color w:val="auto"/>
          <w:highlight w:val="none"/>
          <w:lang w:eastAsia="zh-CN"/>
        </w:rPr>
        <w:t xml:space="preserve">投标人</w:t>
      </w:r>
      <w:r>
        <w:rPr>
          <w:rFonts w:hint="eastAsia" w:ascii="宋体" w:hAnsi="宋体"/>
          <w:color w:val="auto"/>
          <w:highlight w:val="none"/>
        </w:rPr>
        <w:t xml:space="preserve">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br w:type="page" w:clear="all"/>
      </w:r>
      <w:r/>
    </w:p>
    <w:p>
      <w:pPr>
        <w:pStyle w:val="746"/>
        <w:ind w:firstLine="420"/>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其他</w:t>
      </w:r>
      <w:r/>
    </w:p>
    <w:p>
      <w:pPr>
        <w:jc w:val="center"/>
        <w:spacing w:after="312"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投标人认为有必要提供的声明和文件，如有自拟并自行添加</w:t>
      </w:r>
      <w:r>
        <w:rPr>
          <w:rFonts w:hint="eastAsia" w:ascii="宋体" w:hAnsi="宋体"/>
          <w:color w:val="auto"/>
          <w:szCs w:val="21"/>
          <w:highlight w:val="none"/>
        </w:rPr>
        <w:t xml:space="preserve">）</w:t>
      </w:r>
      <w:r/>
    </w:p>
    <w:p>
      <w:pPr>
        <w:pStyle w:val="746"/>
        <w:spacing w:line="360" w:lineRule="auto"/>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fldChar w:fldCharType="begin"/>
    </w:r>
    <w:r>
      <w:instrText xml:space="preserve">PAGE   \* MERGEFORMAT</w:instrText>
    </w:r>
    <w:r>
      <w:fldChar w:fldCharType="separate"/>
    </w:r>
    <w:r>
      <w:rPr>
        <w:lang w:val="zh-CN"/>
      </w:rPr>
      <w:t xml:space="preserve">25</w:t>
    </w:r>
    <w:r>
      <w:rPr>
        <w:lang w:val="zh-CN"/>
      </w:rP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Pr>
        <w:rFonts w:hint="eastAsia"/>
        <w:lang w:eastAsia="zh-CN"/>
      </w:rPr>
      <w:t xml:space="preserve">JSZC-321002-YZLZ-G2026-0008号</w:t>
    </w:r>
    <w:r>
      <w:rPr>
        <w:rFonts w:hint="eastAsia"/>
      </w:rPr>
      <w:t xml:space="preserve">                               扬州览众建设工程咨询服务有限公司</w:t>
    </w:r>
    <w:r/>
  </w:p>
  <w:p>
    <w:pPr>
      <w:pStyle w:val="94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Pr>
        <w:rFonts w:hint="eastAsia"/>
        <w:lang w:eastAsia="zh-CN"/>
      </w:rPr>
      <w:t xml:space="preserve">JSZC-321002-YZLZ-G2026-0008号</w:t>
    </w:r>
    <w:r>
      <w:rPr>
        <w:rFonts w:hint="eastAsia"/>
      </w:rPr>
      <w:t xml:space="preserve">                                扬州览众建设工程咨询服务有限公司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Pr>
        <w:rFonts w:hint="eastAsia"/>
        <w:color w:val="000000"/>
        <w:lang w:eastAsia="zh-CN"/>
      </w:rPr>
      <w:t xml:space="preserve">JSZC-321002-YZLZ-G2026-0008号</w:t>
    </w:r>
    <w:r>
      <w:rPr>
        <w:color w:val="000000"/>
      </w:rPr>
      <w:tab/>
    </w:r>
    <w:r>
      <w:rPr>
        <w:rFonts w:hint="eastAsia"/>
        <w:color w:val="ff0000"/>
      </w:rPr>
      <w:t xml:space="preserve"> </w:t>
    </w:r>
    <w:r>
      <w:rPr>
        <w:rFonts w:hint="eastAsia"/>
      </w:rPr>
      <w:t xml:space="preserve">                               扬州览众建设工程咨询服务有限公司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pPr>
      <w:jc w:val="both"/>
      <w:widowControl w:val="off"/>
    </w:pPr>
    <w:rPr>
      <w:rFonts w:hint="default" w:ascii="Calibri" w:hAnsi="Calibri" w:eastAsia="宋体" w:cs="Calibri"/>
      <w:sz w:val="21"/>
      <w:szCs w:val="22"/>
      <w:lang w:val="en-US" w:eastAsia="zh-CN" w:bidi="ar-SA"/>
    </w:rPr>
  </w:style>
  <w:style w:type="paragraph" w:styleId="710">
    <w:name w:val="Heading 1"/>
    <w:basedOn w:val="709"/>
    <w:next w:val="709"/>
    <w:link w:val="784"/>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85"/>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86"/>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87"/>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88"/>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89"/>
    <w:uiPriority w:val="9"/>
    <w:unhideWhenUsed/>
    <w:qFormat/>
    <w:pPr>
      <w:keepLines/>
      <w:keepNext/>
      <w:spacing w:before="320" w:after="200"/>
      <w:outlineLvl w:val="5"/>
    </w:pPr>
    <w:rPr>
      <w:rFonts w:ascii="Arial" w:hAnsi="Arial" w:eastAsia="Arial" w:cs="Arial"/>
      <w:b/>
      <w:bCs/>
      <w:sz w:val="22"/>
    </w:rPr>
  </w:style>
  <w:style w:type="paragraph" w:styleId="716">
    <w:name w:val="Heading 7"/>
    <w:basedOn w:val="709"/>
    <w:next w:val="709"/>
    <w:link w:val="790"/>
    <w:uiPriority w:val="9"/>
    <w:unhideWhenUsed/>
    <w:qFormat/>
    <w:pPr>
      <w:keepLines/>
      <w:keepNext/>
      <w:spacing w:before="320" w:after="200"/>
      <w:outlineLvl w:val="6"/>
    </w:pPr>
    <w:rPr>
      <w:rFonts w:ascii="Arial" w:hAnsi="Arial" w:eastAsia="Arial" w:cs="Arial"/>
      <w:b/>
      <w:bCs/>
      <w:i/>
      <w:iCs/>
      <w:sz w:val="22"/>
    </w:rPr>
  </w:style>
  <w:style w:type="paragraph" w:styleId="717">
    <w:name w:val="Heading 8"/>
    <w:basedOn w:val="709"/>
    <w:next w:val="709"/>
    <w:link w:val="791"/>
    <w:uiPriority w:val="9"/>
    <w:unhideWhenUsed/>
    <w:qFormat/>
    <w:pPr>
      <w:keepLines/>
      <w:keepNext/>
      <w:spacing w:before="320" w:after="200"/>
      <w:outlineLvl w:val="7"/>
    </w:pPr>
    <w:rPr>
      <w:rFonts w:ascii="Arial" w:hAnsi="Arial" w:eastAsia="Arial" w:cs="Arial"/>
      <w:i/>
      <w:iCs/>
      <w:sz w:val="22"/>
    </w:rPr>
  </w:style>
  <w:style w:type="paragraph" w:styleId="718">
    <w:name w:val="Heading 9"/>
    <w:basedOn w:val="709"/>
    <w:next w:val="709"/>
    <w:link w:val="792"/>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spacing w:after="57"/>
    </w:pPr>
  </w:style>
  <w:style w:type="paragraph" w:styleId="722">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Body Text"/>
    <w:basedOn w:val="709"/>
    <w:link w:val="984"/>
    <w:uiPriority w:val="99"/>
    <w:semiHidden/>
    <w:unhideWhenUsed/>
    <w:qFormat/>
    <w:pPr>
      <w:spacing w:after="120"/>
    </w:pPr>
  </w:style>
  <w:style w:type="paragraph" w:styleId="724">
    <w:name w:val="Body Text Indent"/>
    <w:basedOn w:val="709"/>
    <w:next w:val="709"/>
    <w:uiPriority w:val="0"/>
    <w:qFormat/>
    <w:pPr>
      <w:ind w:firstLine="314"/>
      <w:jc w:val="left"/>
      <w:spacing w:line="720" w:lineRule="exact"/>
    </w:pPr>
    <w:rPr>
      <w:rFonts w:ascii="楷体_GB2312" w:hAnsi="宋体" w:eastAsia="楷体_GB2312"/>
      <w:sz w:val="28"/>
      <w:szCs w:val="28"/>
    </w:rPr>
  </w:style>
  <w:style w:type="paragraph" w:styleId="725">
    <w:name w:val="toc 5"/>
    <w:basedOn w:val="709"/>
    <w:next w:val="709"/>
    <w:uiPriority w:val="39"/>
    <w:unhideWhenUsed/>
    <w:qFormat/>
    <w:pPr>
      <w:ind w:left="1134"/>
      <w:spacing w:after="57"/>
    </w:pPr>
  </w:style>
  <w:style w:type="paragraph" w:styleId="726">
    <w:name w:val="toc 3"/>
    <w:basedOn w:val="709"/>
    <w:next w:val="709"/>
    <w:uiPriority w:val="39"/>
    <w:unhideWhenUsed/>
    <w:qFormat/>
    <w:pPr>
      <w:ind w:left="567"/>
      <w:spacing w:after="57"/>
    </w:pPr>
  </w:style>
  <w:style w:type="paragraph" w:styleId="727">
    <w:name w:val="toc 8"/>
    <w:basedOn w:val="709"/>
    <w:next w:val="709"/>
    <w:uiPriority w:val="39"/>
    <w:unhideWhenUsed/>
    <w:qFormat/>
    <w:pPr>
      <w:ind w:left="1984"/>
      <w:spacing w:after="57"/>
    </w:pPr>
  </w:style>
  <w:style w:type="paragraph" w:styleId="728">
    <w:name w:val="endnote text"/>
    <w:basedOn w:val="709"/>
    <w:link w:val="930"/>
    <w:uiPriority w:val="99"/>
    <w:semiHidden/>
    <w:unhideWhenUsed/>
    <w:qFormat/>
    <w:rPr>
      <w:sz w:val="20"/>
    </w:rPr>
  </w:style>
  <w:style w:type="paragraph" w:styleId="729">
    <w:name w:val="Balloon Text"/>
    <w:basedOn w:val="709"/>
    <w:link w:val="983"/>
    <w:uiPriority w:val="99"/>
    <w:semiHidden/>
    <w:unhideWhenUsed/>
    <w:qFormat/>
    <w:rPr>
      <w:sz w:val="18"/>
      <w:szCs w:val="18"/>
    </w:rPr>
  </w:style>
  <w:style w:type="paragraph" w:styleId="730">
    <w:name w:val="Footer"/>
    <w:basedOn w:val="709"/>
    <w:link w:val="803"/>
    <w:uiPriority w:val="99"/>
    <w:unhideWhenUsed/>
    <w:qFormat/>
    <w:pPr>
      <w:tabs>
        <w:tab w:val="center" w:pos="7143" w:leader="none"/>
        <w:tab w:val="right" w:pos="14287" w:leader="none"/>
      </w:tabs>
    </w:pPr>
  </w:style>
  <w:style w:type="paragraph" w:styleId="731">
    <w:name w:val="Header"/>
    <w:basedOn w:val="709"/>
    <w:link w:val="801"/>
    <w:uiPriority w:val="99"/>
    <w:unhideWhenUsed/>
    <w:qFormat/>
    <w:pPr>
      <w:tabs>
        <w:tab w:val="center" w:pos="7143" w:leader="none"/>
        <w:tab w:val="right" w:pos="14287" w:leader="none"/>
      </w:tabs>
    </w:pPr>
  </w:style>
  <w:style w:type="paragraph" w:styleId="732">
    <w:name w:val="toc 1"/>
    <w:basedOn w:val="709"/>
    <w:next w:val="709"/>
    <w:uiPriority w:val="39"/>
    <w:unhideWhenUsed/>
    <w:qFormat/>
    <w:pPr>
      <w:spacing w:after="57"/>
    </w:pPr>
  </w:style>
  <w:style w:type="paragraph" w:styleId="733">
    <w:name w:val="toc 4"/>
    <w:basedOn w:val="709"/>
    <w:next w:val="709"/>
    <w:uiPriority w:val="39"/>
    <w:unhideWhenUsed/>
    <w:qFormat/>
    <w:pPr>
      <w:ind w:left="850"/>
      <w:spacing w:after="57"/>
    </w:pPr>
  </w:style>
  <w:style w:type="paragraph" w:styleId="734">
    <w:name w:val="Subtitle"/>
    <w:basedOn w:val="709"/>
    <w:next w:val="709"/>
    <w:link w:val="796"/>
    <w:uiPriority w:val="11"/>
    <w:qFormat/>
    <w:pPr>
      <w:spacing w:before="200" w:after="200"/>
    </w:pPr>
    <w:rPr>
      <w:sz w:val="24"/>
      <w:szCs w:val="24"/>
    </w:rPr>
  </w:style>
  <w:style w:type="paragraph" w:styleId="735">
    <w:name w:val="footnote text"/>
    <w:basedOn w:val="709"/>
    <w:link w:val="929"/>
    <w:uiPriority w:val="99"/>
    <w:semiHidden/>
    <w:unhideWhenUsed/>
    <w:qFormat/>
    <w:pPr>
      <w:spacing w:after="40"/>
    </w:pPr>
    <w:rPr>
      <w:sz w:val="18"/>
    </w:rPr>
  </w:style>
  <w:style w:type="paragraph" w:styleId="736">
    <w:name w:val="toc 6"/>
    <w:basedOn w:val="709"/>
    <w:next w:val="709"/>
    <w:uiPriority w:val="39"/>
    <w:unhideWhenUsed/>
    <w:qFormat/>
    <w:pPr>
      <w:ind w:left="1417"/>
      <w:spacing w:after="57"/>
    </w:pPr>
  </w:style>
  <w:style w:type="paragraph" w:styleId="737">
    <w:name w:val="table of figures"/>
    <w:basedOn w:val="709"/>
    <w:next w:val="709"/>
    <w:uiPriority w:val="99"/>
    <w:unhideWhenUsed/>
    <w:qFormat/>
  </w:style>
  <w:style w:type="paragraph" w:styleId="738">
    <w:name w:val="toc 2"/>
    <w:basedOn w:val="709"/>
    <w:next w:val="709"/>
    <w:uiPriority w:val="39"/>
    <w:unhideWhenUsed/>
    <w:qFormat/>
    <w:pPr>
      <w:ind w:left="283"/>
      <w:spacing w:after="57"/>
    </w:pPr>
  </w:style>
  <w:style w:type="paragraph" w:styleId="739">
    <w:name w:val="toc 9"/>
    <w:basedOn w:val="709"/>
    <w:next w:val="709"/>
    <w:uiPriority w:val="39"/>
    <w:unhideWhenUsed/>
    <w:qFormat/>
    <w:pPr>
      <w:ind w:left="2268"/>
      <w:spacing w:after="57"/>
    </w:pPr>
  </w:style>
  <w:style w:type="paragraph" w:styleId="740">
    <w:name w:val="Title"/>
    <w:basedOn w:val="709"/>
    <w:next w:val="709"/>
    <w:link w:val="795"/>
    <w:uiPriority w:val="10"/>
    <w:qFormat/>
    <w:pPr>
      <w:contextualSpacing/>
      <w:spacing w:before="300" w:after="200"/>
    </w:pPr>
    <w:rPr>
      <w:sz w:val="48"/>
      <w:szCs w:val="48"/>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paragraph" w:styleId="745" w:customStyle="1">
    <w:name w:val="TOC Heading"/>
    <w:uiPriority w:val="39"/>
    <w:unhideWhenUsed/>
    <w:qFormat/>
    <w:rPr>
      <w:rFonts w:hint="default" w:ascii="Times New Roman" w:hAnsi="Times New Roman" w:eastAsia="宋体" w:cs="Times New Roman"/>
    </w:rPr>
  </w:style>
  <w:style w:type="paragraph" w:styleId="746" w:customStyle="1">
    <w:name w:val="正文（缩进）"/>
    <w:basedOn w:val="709"/>
    <w:uiPriority w:val="0"/>
    <w:qFormat/>
    <w:pPr>
      <w:ind w:firstLine="480"/>
      <w:spacing w:before="156" w:after="156"/>
    </w:pPr>
  </w:style>
  <w:style w:type="character" w:styleId="747" w:customStyle="1">
    <w:name w:val="Heading 1 Char"/>
    <w:basedOn w:val="719"/>
    <w:uiPriority w:val="9"/>
    <w:qFormat/>
    <w:rPr>
      <w:rFonts w:ascii="Arial" w:hAnsi="Arial" w:eastAsia="Arial" w:cs="Arial"/>
      <w:sz w:val="40"/>
      <w:szCs w:val="40"/>
    </w:rPr>
  </w:style>
  <w:style w:type="character" w:styleId="748" w:customStyle="1">
    <w:name w:val="Heading 2 Char"/>
    <w:basedOn w:val="719"/>
    <w:uiPriority w:val="9"/>
    <w:qFormat/>
    <w:rPr>
      <w:rFonts w:ascii="Arial" w:hAnsi="Arial" w:eastAsia="Arial" w:cs="Arial"/>
      <w:sz w:val="34"/>
    </w:rPr>
  </w:style>
  <w:style w:type="character" w:styleId="749" w:customStyle="1">
    <w:name w:val="Heading 3 Char"/>
    <w:basedOn w:val="719"/>
    <w:uiPriority w:val="9"/>
    <w:qFormat/>
    <w:rPr>
      <w:rFonts w:ascii="Arial" w:hAnsi="Arial" w:eastAsia="Arial" w:cs="Arial"/>
      <w:sz w:val="30"/>
      <w:szCs w:val="30"/>
    </w:rPr>
  </w:style>
  <w:style w:type="character" w:styleId="750" w:customStyle="1">
    <w:name w:val="Heading 4 Char"/>
    <w:basedOn w:val="719"/>
    <w:uiPriority w:val="9"/>
    <w:qFormat/>
    <w:rPr>
      <w:rFonts w:ascii="Arial" w:hAnsi="Arial" w:eastAsia="Arial" w:cs="Arial"/>
      <w:b/>
      <w:bCs/>
      <w:sz w:val="26"/>
      <w:szCs w:val="26"/>
    </w:rPr>
  </w:style>
  <w:style w:type="character" w:styleId="751" w:customStyle="1">
    <w:name w:val="Heading 5 Char"/>
    <w:basedOn w:val="719"/>
    <w:uiPriority w:val="9"/>
    <w:qFormat/>
    <w:rPr>
      <w:rFonts w:ascii="Arial" w:hAnsi="Arial" w:eastAsia="Arial" w:cs="Arial"/>
      <w:b/>
      <w:bCs/>
      <w:sz w:val="24"/>
      <w:szCs w:val="24"/>
    </w:rPr>
  </w:style>
  <w:style w:type="character" w:styleId="752" w:customStyle="1">
    <w:name w:val="Heading 6 Char"/>
    <w:basedOn w:val="719"/>
    <w:uiPriority w:val="9"/>
    <w:qFormat/>
    <w:rPr>
      <w:rFonts w:ascii="Arial" w:hAnsi="Arial" w:eastAsia="Arial" w:cs="Arial"/>
      <w:b/>
      <w:bCs/>
      <w:sz w:val="22"/>
      <w:szCs w:val="22"/>
    </w:rPr>
  </w:style>
  <w:style w:type="character" w:styleId="753" w:customStyle="1">
    <w:name w:val="Heading 7 Char"/>
    <w:basedOn w:val="719"/>
    <w:uiPriority w:val="9"/>
    <w:qFormat/>
    <w:rPr>
      <w:rFonts w:ascii="Arial" w:hAnsi="Arial" w:eastAsia="Arial" w:cs="Arial"/>
      <w:b/>
      <w:bCs/>
      <w:i/>
      <w:iCs/>
      <w:sz w:val="22"/>
      <w:szCs w:val="22"/>
    </w:rPr>
  </w:style>
  <w:style w:type="character" w:styleId="754" w:customStyle="1">
    <w:name w:val="Heading 8 Char"/>
    <w:basedOn w:val="719"/>
    <w:uiPriority w:val="9"/>
    <w:qFormat/>
    <w:rPr>
      <w:rFonts w:ascii="Arial" w:hAnsi="Arial" w:eastAsia="Arial" w:cs="Arial"/>
      <w:i/>
      <w:iCs/>
      <w:sz w:val="22"/>
      <w:szCs w:val="22"/>
    </w:rPr>
  </w:style>
  <w:style w:type="character" w:styleId="755" w:customStyle="1">
    <w:name w:val="Heading 9 Char"/>
    <w:basedOn w:val="719"/>
    <w:uiPriority w:val="9"/>
    <w:qFormat/>
    <w:rPr>
      <w:rFonts w:ascii="Arial" w:hAnsi="Arial" w:eastAsia="Arial" w:cs="Arial"/>
      <w:i/>
      <w:iCs/>
      <w:sz w:val="21"/>
      <w:szCs w:val="21"/>
    </w:rPr>
  </w:style>
  <w:style w:type="character" w:styleId="756" w:customStyle="1">
    <w:name w:val="Title Char"/>
    <w:basedOn w:val="719"/>
    <w:uiPriority w:val="10"/>
    <w:qFormat/>
    <w:rPr>
      <w:sz w:val="48"/>
      <w:szCs w:val="48"/>
    </w:rPr>
  </w:style>
  <w:style w:type="character" w:styleId="757" w:customStyle="1">
    <w:name w:val="Subtitle Char"/>
    <w:basedOn w:val="719"/>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Header Char"/>
    <w:basedOn w:val="719"/>
    <w:uiPriority w:val="99"/>
    <w:qFormat/>
  </w:style>
  <w:style w:type="character" w:styleId="761" w:customStyle="1">
    <w:name w:val="Caption Char"/>
    <w:uiPriority w:val="99"/>
    <w:qFormat/>
  </w:style>
  <w:style w:type="table" w:styleId="762" w:customStyle="1">
    <w:name w:val="Plain Table 1"/>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3"/>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7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5 Dark"/>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6 Colorful"/>
    <w:basedOn w:val="7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7 Colorful"/>
    <w:basedOn w:val="7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List Table 1 Light"/>
    <w:basedOn w:val="72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2"/>
    <w:basedOn w:val="7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3"/>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5 Dark"/>
    <w:basedOn w:val="7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6 Colorful"/>
    <w:basedOn w:val="72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List Table 7 Colorful"/>
    <w:basedOn w:val="72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标题1"/>
    <w:uiPriority w:val="39"/>
    <w:unhideWhenUsed/>
    <w:qFormat/>
    <w:rPr>
      <w:rFonts w:hint="default" w:ascii="Times New Roman" w:hAnsi="Times New Roman" w:eastAsia="宋体" w:cs="Times New Roman"/>
      <w:lang w:val="en-US" w:eastAsia="zh-CN" w:bidi="ar-SA"/>
    </w:rPr>
  </w:style>
  <w:style w:type="character" w:styleId="784" w:customStyle="1">
    <w:name w:val="标题 1 Char"/>
    <w:link w:val="710"/>
    <w:uiPriority w:val="9"/>
    <w:qFormat/>
    <w:rPr>
      <w:rFonts w:ascii="Arial" w:hAnsi="Arial" w:eastAsia="Arial" w:cs="Arial"/>
      <w:sz w:val="40"/>
      <w:szCs w:val="40"/>
    </w:rPr>
  </w:style>
  <w:style w:type="character" w:styleId="785" w:customStyle="1">
    <w:name w:val="标题 2 Char"/>
    <w:link w:val="711"/>
    <w:uiPriority w:val="9"/>
    <w:qFormat/>
    <w:rPr>
      <w:rFonts w:ascii="Arial" w:hAnsi="Arial" w:eastAsia="Arial" w:cs="Arial"/>
      <w:sz w:val="34"/>
    </w:rPr>
  </w:style>
  <w:style w:type="character" w:styleId="786" w:customStyle="1">
    <w:name w:val="标题 3 Char"/>
    <w:link w:val="712"/>
    <w:uiPriority w:val="9"/>
    <w:qFormat/>
    <w:rPr>
      <w:rFonts w:ascii="Arial" w:hAnsi="Arial" w:eastAsia="Arial" w:cs="Arial"/>
      <w:sz w:val="30"/>
      <w:szCs w:val="30"/>
    </w:rPr>
  </w:style>
  <w:style w:type="character" w:styleId="787" w:customStyle="1">
    <w:name w:val="标题 4 Char"/>
    <w:link w:val="713"/>
    <w:uiPriority w:val="9"/>
    <w:qFormat/>
    <w:rPr>
      <w:rFonts w:ascii="Arial" w:hAnsi="Arial" w:eastAsia="Arial" w:cs="Arial"/>
      <w:b/>
      <w:bCs/>
      <w:sz w:val="26"/>
      <w:szCs w:val="26"/>
    </w:rPr>
  </w:style>
  <w:style w:type="character" w:styleId="788" w:customStyle="1">
    <w:name w:val="标题 5 Char"/>
    <w:link w:val="714"/>
    <w:uiPriority w:val="9"/>
    <w:qFormat/>
    <w:rPr>
      <w:rFonts w:ascii="Arial" w:hAnsi="Arial" w:eastAsia="Arial" w:cs="Arial"/>
      <w:b/>
      <w:bCs/>
      <w:sz w:val="24"/>
      <w:szCs w:val="24"/>
    </w:rPr>
  </w:style>
  <w:style w:type="character" w:styleId="789" w:customStyle="1">
    <w:name w:val="标题 6 Char"/>
    <w:link w:val="715"/>
    <w:uiPriority w:val="9"/>
    <w:qFormat/>
    <w:rPr>
      <w:rFonts w:ascii="Arial" w:hAnsi="Arial" w:eastAsia="Arial" w:cs="Arial"/>
      <w:b/>
      <w:bCs/>
      <w:sz w:val="22"/>
      <w:szCs w:val="22"/>
    </w:rPr>
  </w:style>
  <w:style w:type="character" w:styleId="790" w:customStyle="1">
    <w:name w:val="标题 7 Char"/>
    <w:link w:val="716"/>
    <w:uiPriority w:val="9"/>
    <w:qFormat/>
    <w:rPr>
      <w:rFonts w:ascii="Arial" w:hAnsi="Arial" w:eastAsia="Arial" w:cs="Arial"/>
      <w:b/>
      <w:bCs/>
      <w:i/>
      <w:iCs/>
      <w:sz w:val="22"/>
      <w:szCs w:val="22"/>
    </w:rPr>
  </w:style>
  <w:style w:type="character" w:styleId="791" w:customStyle="1">
    <w:name w:val="标题 8 Char"/>
    <w:link w:val="717"/>
    <w:uiPriority w:val="9"/>
    <w:qFormat/>
    <w:rPr>
      <w:rFonts w:ascii="Arial" w:hAnsi="Arial" w:eastAsia="Arial" w:cs="Arial"/>
      <w:i/>
      <w:iCs/>
      <w:sz w:val="22"/>
      <w:szCs w:val="22"/>
    </w:rPr>
  </w:style>
  <w:style w:type="character" w:styleId="792" w:customStyle="1">
    <w:name w:val="标题 9 Char"/>
    <w:link w:val="718"/>
    <w:uiPriority w:val="9"/>
    <w:qFormat/>
    <w:rPr>
      <w:rFonts w:ascii="Arial" w:hAnsi="Arial" w:eastAsia="Arial" w:cs="Arial"/>
      <w:i/>
      <w:iCs/>
      <w:sz w:val="21"/>
      <w:szCs w:val="21"/>
    </w:rPr>
  </w:style>
  <w:style w:type="paragraph" w:styleId="793">
    <w:name w:val="List Paragraph"/>
    <w:basedOn w:val="709"/>
    <w:uiPriority w:val="34"/>
    <w:qFormat/>
    <w:pPr>
      <w:contextualSpacing/>
      <w:ind w:left="720"/>
    </w:pPr>
  </w:style>
  <w:style w:type="paragraph" w:styleId="794">
    <w:name w:val="No Spacing"/>
    <w:uiPriority w:val="1"/>
    <w:qFormat/>
    <w:rPr>
      <w:rFonts w:hint="default" w:ascii="Calibri" w:hAnsi="Calibri" w:eastAsia="宋体" w:cs="Calibri"/>
      <w:lang w:val="en-US" w:eastAsia="zh-CN" w:bidi="ar-SA"/>
    </w:rPr>
  </w:style>
  <w:style w:type="character" w:styleId="795" w:customStyle="1">
    <w:name w:val="标题 Char"/>
    <w:link w:val="740"/>
    <w:uiPriority w:val="10"/>
    <w:qFormat/>
    <w:rPr>
      <w:sz w:val="48"/>
      <w:szCs w:val="48"/>
    </w:rPr>
  </w:style>
  <w:style w:type="character" w:styleId="796" w:customStyle="1">
    <w:name w:val="副标题 Char"/>
    <w:link w:val="734"/>
    <w:uiPriority w:val="11"/>
    <w:qFormat/>
    <w:rPr>
      <w:sz w:val="24"/>
      <w:szCs w:val="24"/>
    </w:rPr>
  </w:style>
  <w:style w:type="paragraph" w:styleId="797">
    <w:name w:val="Quote"/>
    <w:basedOn w:val="709"/>
    <w:next w:val="709"/>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09"/>
    <w:next w:val="709"/>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页眉 Char"/>
    <w:link w:val="731"/>
    <w:uiPriority w:val="99"/>
    <w:qFormat/>
  </w:style>
  <w:style w:type="character" w:styleId="802" w:customStyle="1">
    <w:name w:val="Footer Char"/>
    <w:uiPriority w:val="99"/>
    <w:qFormat/>
  </w:style>
  <w:style w:type="character" w:styleId="803" w:customStyle="1">
    <w:name w:val="页脚 Char"/>
    <w:link w:val="730"/>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Char"/>
    <w:link w:val="735"/>
    <w:uiPriority w:val="99"/>
    <w:qFormat/>
    <w:rPr>
      <w:sz w:val="18"/>
    </w:rPr>
  </w:style>
  <w:style w:type="character" w:styleId="930" w:customStyle="1">
    <w:name w:val="尾注文本 Char"/>
    <w:link w:val="728"/>
    <w:uiPriority w:val="99"/>
    <w:qFormat/>
    <w:rPr>
      <w:sz w:val="20"/>
    </w:rPr>
  </w:style>
  <w:style w:type="paragraph" w:styleId="931" w:customStyle="1">
    <w:name w:val="TOC 标题11"/>
    <w:uiPriority w:val="39"/>
    <w:unhideWhenUsed/>
    <w:qFormat/>
    <w:rPr>
      <w:rFonts w:hint="default" w:ascii="Calibri" w:hAnsi="Calibri" w:eastAsia="宋体" w:cs="Calibri"/>
      <w:lang w:val="en-US" w:eastAsia="zh-CN" w:bidi="ar-SA"/>
    </w:rPr>
  </w:style>
  <w:style w:type="paragraph" w:styleId="932" w:customStyle="1">
    <w:name w:val="标题 111"/>
    <w:basedOn w:val="709"/>
    <w:next w:val="709"/>
    <w:uiPriority w:val="9"/>
    <w:qFormat/>
    <w:pPr>
      <w:keepLines/>
      <w:keepNext/>
      <w:spacing w:before="340" w:after="330" w:line="578" w:lineRule="auto"/>
      <w:outlineLvl w:val="0"/>
    </w:pPr>
    <w:rPr>
      <w:b/>
      <w:bCs/>
      <w:sz w:val="44"/>
      <w:szCs w:val="44"/>
    </w:rPr>
  </w:style>
  <w:style w:type="paragraph" w:styleId="933" w:customStyle="1">
    <w:name w:val="标题 21"/>
    <w:basedOn w:val="709"/>
    <w:next w:val="93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4" w:customStyle="1">
    <w:name w:val="正文缩进1"/>
    <w:basedOn w:val="709"/>
    <w:uiPriority w:val="0"/>
    <w:unhideWhenUsed/>
    <w:qFormat/>
    <w:pPr>
      <w:ind w:firstLine="420"/>
    </w:pPr>
  </w:style>
  <w:style w:type="paragraph" w:styleId="935" w:customStyle="1">
    <w:name w:val="标题 31"/>
    <w:basedOn w:val="709"/>
    <w:next w:val="709"/>
    <w:uiPriority w:val="0"/>
    <w:qFormat/>
    <w:pPr>
      <w:keepLines/>
      <w:keepNext/>
      <w:spacing w:before="260" w:after="260" w:line="416" w:lineRule="auto"/>
      <w:outlineLvl w:val="2"/>
    </w:pPr>
    <w:rPr>
      <w:b/>
      <w:bCs/>
      <w:sz w:val="32"/>
      <w:szCs w:val="32"/>
    </w:rPr>
  </w:style>
  <w:style w:type="character" w:styleId="936" w:customStyle="1">
    <w:name w:val="默认段落字体1"/>
    <w:uiPriority w:val="1"/>
    <w:unhideWhenUsed/>
    <w:qFormat/>
  </w:style>
  <w:style w:type="table" w:styleId="937" w:customStyle="1">
    <w:name w:val="普通表格1"/>
    <w:uiPriority w:val="99"/>
    <w:unhideWhenUsed/>
    <w:qFormat/>
    <w:tblPr>
      <w:tblCellMar>
        <w:left w:w="0" w:type="dxa"/>
        <w:top w:w="0" w:type="dxa"/>
        <w:right w:w="0" w:type="dxa"/>
        <w:bottom w:w="0" w:type="dxa"/>
      </w:tblCellMar>
    </w:tblPr>
  </w:style>
  <w:style w:type="character" w:styleId="938" w:customStyle="1">
    <w:name w:val="要点1"/>
    <w:uiPriority w:val="0"/>
    <w:qFormat/>
    <w:rPr>
      <w:b/>
    </w:rPr>
  </w:style>
  <w:style w:type="character" w:styleId="939" w:customStyle="1">
    <w:name w:val="超链接1"/>
    <w:uiPriority w:val="0"/>
    <w:qFormat/>
    <w:rPr>
      <w:color w:val="0000ff"/>
      <w:u w:val="single"/>
    </w:rPr>
  </w:style>
  <w:style w:type="character" w:styleId="940" w:customStyle="1">
    <w:name w:val="批注引用1"/>
    <w:uiPriority w:val="0"/>
    <w:qFormat/>
    <w:rPr>
      <w:sz w:val="21"/>
      <w:szCs w:val="21"/>
    </w:rPr>
  </w:style>
  <w:style w:type="character" w:styleId="941" w:customStyle="1">
    <w:name w:val="正文文本 字符"/>
    <w:link w:val="942"/>
    <w:uiPriority w:val="0"/>
    <w:qFormat/>
    <w:rPr>
      <w:rFonts w:ascii="Times New Roman" w:hAnsi="Times New Roman" w:cs="Times New Roman"/>
      <w:sz w:val="21"/>
      <w:szCs w:val="22"/>
    </w:rPr>
  </w:style>
  <w:style w:type="paragraph" w:styleId="942" w:customStyle="1">
    <w:name w:val="正文文本11"/>
    <w:basedOn w:val="709"/>
    <w:next w:val="943"/>
    <w:link w:val="941"/>
    <w:uiPriority w:val="0"/>
    <w:qFormat/>
    <w:rPr>
      <w:rFonts w:ascii="楷体_GB2312" w:hAnsi="Arial" w:eastAsia="楷体_GB2312"/>
      <w:sz w:val="28"/>
      <w:szCs w:val="28"/>
    </w:rPr>
  </w:style>
  <w:style w:type="paragraph" w:styleId="943" w:customStyle="1">
    <w:name w:val="正文文本 211"/>
    <w:basedOn w:val="709"/>
    <w:uiPriority w:val="0"/>
    <w:qFormat/>
    <w:pPr>
      <w:spacing w:after="120" w:line="480" w:lineRule="auto"/>
    </w:pPr>
  </w:style>
  <w:style w:type="character" w:styleId="944" w:customStyle="1">
    <w:name w:val="批注框文本 字符"/>
    <w:link w:val="945"/>
    <w:uiPriority w:val="0"/>
    <w:qFormat/>
    <w:rPr>
      <w:sz w:val="18"/>
      <w:szCs w:val="18"/>
    </w:rPr>
  </w:style>
  <w:style w:type="paragraph" w:styleId="945" w:customStyle="1">
    <w:name w:val="批注框文本1"/>
    <w:basedOn w:val="709"/>
    <w:link w:val="944"/>
    <w:uiPriority w:val="0"/>
    <w:qFormat/>
    <w:rPr>
      <w:sz w:val="18"/>
      <w:szCs w:val="18"/>
    </w:rPr>
  </w:style>
  <w:style w:type="paragraph" w:styleId="946" w:customStyle="1">
    <w:name w:val="目录 91"/>
    <w:basedOn w:val="709"/>
    <w:next w:val="709"/>
    <w:uiPriority w:val="99"/>
    <w:qFormat/>
    <w:pPr>
      <w:ind w:left="3360"/>
    </w:pPr>
  </w:style>
  <w:style w:type="paragraph" w:styleId="947" w:customStyle="1">
    <w:name w:val="页眉1"/>
    <w:basedOn w:val="70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8" w:customStyle="1">
    <w:name w:val="Table Paragraph"/>
    <w:basedOn w:val="709"/>
    <w:uiPriority w:val="1"/>
    <w:qFormat/>
    <w:rPr>
      <w:rFonts w:ascii="宋体" w:hAnsi="宋体" w:cs="宋体"/>
      <w:lang w:val="zh-CN" w:bidi="zh-CN"/>
    </w:rPr>
  </w:style>
  <w:style w:type="paragraph" w:styleId="949" w:customStyle="1">
    <w:name w:val="正文 New New New New New New New New New New New New New New"/>
    <w:next w:val="946"/>
    <w:uiPriority w:val="99"/>
    <w:qFormat/>
    <w:pPr>
      <w:ind w:firstLine="2048"/>
      <w:jc w:val="both"/>
      <w:widowControl w:val="off"/>
    </w:pPr>
    <w:rPr>
      <w:rFonts w:hint="default" w:ascii="Calibri" w:hAnsi="Calibri" w:eastAsia="宋体" w:cs="Calibri"/>
      <w:lang w:val="en-US" w:eastAsia="zh-CN" w:bidi="ar-SA"/>
    </w:rPr>
  </w:style>
  <w:style w:type="paragraph" w:styleId="950" w:customStyle="1">
    <w:name w:val="正文文本 21"/>
    <w:basedOn w:val="709"/>
    <w:next w:val="951"/>
    <w:uiPriority w:val="99"/>
    <w:qFormat/>
    <w:pPr>
      <w:ind w:left="720" w:firstLine="5680"/>
      <w:widowControl/>
    </w:pPr>
  </w:style>
  <w:style w:type="paragraph" w:styleId="951" w:customStyle="1">
    <w:name w:val="默认段落字体 Para Char Char Char Char Char Char Char"/>
    <w:basedOn w:val="709"/>
    <w:next w:val="952"/>
    <w:uiPriority w:val="99"/>
    <w:qFormat/>
    <w:pPr>
      <w:ind w:firstLine="200"/>
    </w:pPr>
    <w:rPr>
      <w:rFonts w:cs="Arial"/>
    </w:rPr>
  </w:style>
  <w:style w:type="paragraph" w:styleId="952" w:customStyle="1">
    <w:name w:val="样式 首行缩进:  2 字符"/>
    <w:basedOn w:val="709"/>
    <w:next w:val="953"/>
    <w:uiPriority w:val="99"/>
    <w:qFormat/>
    <w:pPr>
      <w:ind w:left="480" w:firstLine="5856"/>
      <w:spacing w:line="360" w:lineRule="auto"/>
    </w:pPr>
  </w:style>
  <w:style w:type="paragraph" w:styleId="953" w:customStyle="1">
    <w:name w:val="样式 段后: 0.25 行"/>
    <w:basedOn w:val="709"/>
    <w:next w:val="949"/>
    <w:uiPriority w:val="99"/>
    <w:qFormat/>
    <w:pPr>
      <w:ind w:left="420" w:firstLine="5796"/>
      <w:spacing w:line="300" w:lineRule="auto"/>
      <w:widowControl/>
    </w:pPr>
  </w:style>
  <w:style w:type="paragraph" w:styleId="954" w:customStyle="1">
    <w:name w:val="Char"/>
    <w:basedOn w:val="709"/>
    <w:uiPriority w:val="0"/>
    <w:qFormat/>
    <w:pPr>
      <w:ind w:firstLine="200"/>
      <w:tabs>
        <w:tab w:val="left" w:pos="360" w:leader="none"/>
      </w:tabs>
    </w:pPr>
    <w:rPr>
      <w:rFonts w:ascii="Times New Roman" w:hAnsi="Times New Roman"/>
      <w:sz w:val="28"/>
      <w:szCs w:val="30"/>
    </w:rPr>
  </w:style>
  <w:style w:type="paragraph" w:styleId="955" w:customStyle="1">
    <w:name w:val="Char Char Char Char Char Char Char Char Char"/>
    <w:basedOn w:val="709"/>
    <w:next w:val="950"/>
    <w:uiPriority w:val="99"/>
    <w:qFormat/>
    <w:pPr>
      <w:ind w:left="360" w:firstLine="5784"/>
    </w:pPr>
  </w:style>
  <w:style w:type="paragraph" w:styleId="956" w:customStyle="1">
    <w:name w:val="正文空2格  1."/>
    <w:basedOn w:val="709"/>
    <w:uiPriority w:val="0"/>
    <w:qFormat/>
    <w:pPr>
      <w:ind w:firstLine="480"/>
    </w:pPr>
    <w:rPr>
      <w:rFonts w:cs="宋体"/>
      <w:sz w:val="28"/>
      <w:szCs w:val="20"/>
    </w:rPr>
  </w:style>
  <w:style w:type="paragraph" w:styleId="957" w:customStyle="1">
    <w:name w:val="目录 11"/>
    <w:basedOn w:val="709"/>
    <w:next w:val="709"/>
    <w:uiPriority w:val="39"/>
    <w:unhideWhenUsed/>
    <w:qFormat/>
  </w:style>
  <w:style w:type="paragraph" w:styleId="958" w:customStyle="1">
    <w:name w:val="页脚1"/>
    <w:basedOn w:val="709"/>
    <w:uiPriority w:val="99"/>
    <w:unhideWhenUsed/>
    <w:qFormat/>
    <w:pPr>
      <w:jc w:val="left"/>
      <w:tabs>
        <w:tab w:val="center" w:pos="4153" w:leader="none"/>
        <w:tab w:val="right" w:pos="8306" w:leader="none"/>
      </w:tabs>
    </w:pPr>
    <w:rPr>
      <w:sz w:val="18"/>
      <w:szCs w:val="18"/>
    </w:rPr>
  </w:style>
  <w:style w:type="paragraph" w:styleId="959" w:customStyle="1">
    <w:name w:val="纯文本11"/>
    <w:basedOn w:val="709"/>
    <w:uiPriority w:val="99"/>
    <w:qFormat/>
    <w:rPr>
      <w:rFonts w:ascii="宋体" w:hAnsi="Courier New"/>
      <w:sz w:val="20"/>
      <w:szCs w:val="21"/>
    </w:rPr>
  </w:style>
  <w:style w:type="paragraph" w:styleId="960" w:customStyle="1">
    <w:name w:val="普通(网站)1"/>
    <w:basedOn w:val="709"/>
    <w:uiPriority w:val="0"/>
    <w:qFormat/>
    <w:rPr>
      <w:rFonts w:ascii="Times New Roman" w:hAnsi="Times New Roman"/>
      <w:sz w:val="24"/>
    </w:rPr>
  </w:style>
  <w:style w:type="paragraph" w:styleId="961" w:customStyle="1">
    <w:name w:val="正文文本缩进1"/>
    <w:basedOn w:val="709"/>
    <w:next w:val="962"/>
    <w:uiPriority w:val="99"/>
    <w:unhideWhenUsed/>
    <w:qFormat/>
    <w:pPr>
      <w:ind w:firstLine="540"/>
      <w:spacing w:line="400" w:lineRule="exact"/>
    </w:pPr>
    <w:rPr>
      <w:sz w:val="24"/>
    </w:rPr>
  </w:style>
  <w:style w:type="paragraph" w:styleId="962" w:customStyle="1">
    <w:name w:val="寄信人地址1"/>
    <w:basedOn w:val="709"/>
    <w:uiPriority w:val="99"/>
    <w:unhideWhenUsed/>
    <w:qFormat/>
    <w:rPr>
      <w:rFonts w:ascii="Arial" w:hAnsi="Arial"/>
    </w:rPr>
  </w:style>
  <w:style w:type="paragraph" w:styleId="963" w:customStyle="1">
    <w:name w:val="批注文字1"/>
    <w:basedOn w:val="709"/>
    <w:uiPriority w:val="0"/>
    <w:qFormat/>
    <w:pPr>
      <w:jc w:val="left"/>
    </w:pPr>
  </w:style>
  <w:style w:type="paragraph" w:styleId="964" w:customStyle="1">
    <w:name w:val="信息标题1"/>
    <w:basedOn w:val="70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5" w:customStyle="1">
    <w:name w:val="正文首行缩进 21"/>
    <w:basedOn w:val="961"/>
    <w:next w:val="709"/>
    <w:uiPriority w:val="0"/>
    <w:qFormat/>
    <w:pPr>
      <w:ind w:firstLine="420"/>
      <w:spacing w:before="100" w:beforeAutospacing="1"/>
    </w:pPr>
    <w:rPr>
      <w:rFonts w:ascii="Times New Roman" w:hAnsi="Times New Roman"/>
      <w:sz w:val="20"/>
      <w:szCs w:val="21"/>
    </w:rPr>
  </w:style>
  <w:style w:type="paragraph" w:styleId="966" w:customStyle="1">
    <w:name w:val="一级条标题"/>
    <w:basedOn w:val="967"/>
    <w:next w:val="9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7" w:customStyle="1">
    <w:name w:val="章标题"/>
    <w:next w:val="709"/>
    <w:uiPriority w:val="0"/>
    <w:qFormat/>
    <w:pPr>
      <w:ind w:left="810" w:hanging="810"/>
      <w:jc w:val="both"/>
      <w:spacing w:before="50" w:after="50"/>
      <w:tabs>
        <w:tab w:val="left" w:pos="810" w:leader="none"/>
        <w:tab w:val="left" w:pos="1265" w:leader="none"/>
      </w:tabs>
      <w:outlineLvl w:val="1"/>
    </w:pPr>
    <w:rPr>
      <w:rFonts w:hint="default" w:ascii="黑体" w:hAnsi="Calibri" w:eastAsia="黑体" w:cs="Calibri"/>
      <w:sz w:val="21"/>
      <w:szCs w:val="22"/>
      <w:lang w:val="en-US" w:eastAsia="zh-CN" w:bidi="ar-SA"/>
    </w:rPr>
  </w:style>
  <w:style w:type="paragraph" w:styleId="968" w:customStyle="1">
    <w:name w:val="段"/>
    <w:basedOn w:val="969"/>
    <w:next w:val="709"/>
    <w:uiPriority w:val="0"/>
    <w:qFormat/>
    <w:pPr>
      <w:ind w:firstLine="200"/>
      <w:widowControl/>
    </w:pPr>
    <w:rPr>
      <w:sz w:val="20"/>
    </w:rPr>
  </w:style>
  <w:style w:type="paragraph" w:styleId="969" w:customStyle="1">
    <w:name w:val="正文1"/>
    <w:basedOn w:val="709"/>
    <w:next w:val="970"/>
    <w:uiPriority w:val="0"/>
    <w:qFormat/>
    <w:pPr>
      <w:jc w:val="left"/>
      <w:spacing w:line="360" w:lineRule="atLeast"/>
    </w:pPr>
    <w:rPr>
      <w:rFonts w:ascii="宋体" w:cs="Times New Roman"/>
      <w:sz w:val="24"/>
      <w:szCs w:val="20"/>
    </w:rPr>
  </w:style>
  <w:style w:type="paragraph" w:styleId="970" w:customStyle="1">
    <w:name w:val="正文文本1"/>
    <w:basedOn w:val="969"/>
    <w:next w:val="966"/>
    <w:uiPriority w:val="0"/>
    <w:qFormat/>
    <w:pPr>
      <w:spacing w:after="120"/>
    </w:pPr>
    <w:rPr>
      <w:lang w:eastAsia="en-US"/>
    </w:rPr>
  </w:style>
  <w:style w:type="paragraph" w:styleId="971" w:customStyle="1">
    <w:name w:val="Default"/>
    <w:uiPriority w:val="0"/>
    <w:qFormat/>
    <w:pPr>
      <w:widowControl w:val="off"/>
    </w:pPr>
    <w:rPr>
      <w:rFonts w:hint="default" w:ascii="黑体" w:hAnsi="Calibri" w:eastAsia="黑体" w:cs="Calibri"/>
      <w:lang w:val="en-US" w:eastAsia="zh-CN" w:bidi="ar-SA"/>
    </w:rPr>
  </w:style>
  <w:style w:type="paragraph" w:styleId="972" w:customStyle="1">
    <w:name w:val="列表段落1"/>
    <w:basedOn w:val="709"/>
    <w:uiPriority w:val="99"/>
    <w:qFormat/>
    <w:pPr>
      <w:ind w:firstLine="420"/>
    </w:pPr>
    <w:rPr>
      <w:rFonts w:ascii="Times New Roman" w:hAnsi="Times New Roman" w:cs="Times New Roman"/>
      <w:szCs w:val="21"/>
    </w:rPr>
  </w:style>
  <w:style w:type="paragraph" w:styleId="973"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974" w:customStyle="1">
    <w:name w:val="标题 11"/>
    <w:basedOn w:val="709"/>
    <w:next w:val="709"/>
    <w:uiPriority w:val="9"/>
    <w:qFormat/>
    <w:pPr>
      <w:keepLines/>
      <w:keepNext/>
      <w:spacing w:before="340" w:after="330" w:line="578" w:lineRule="auto"/>
      <w:outlineLvl w:val="0"/>
    </w:pPr>
    <w:rPr>
      <w:b/>
      <w:bCs/>
      <w:sz w:val="44"/>
      <w:szCs w:val="44"/>
    </w:rPr>
  </w:style>
  <w:style w:type="paragraph" w:styleId="975" w:customStyle="1">
    <w:name w:val="纯文本1"/>
    <w:basedOn w:val="709"/>
    <w:uiPriority w:val="99"/>
    <w:qFormat/>
    <w:rPr>
      <w:rFonts w:ascii="宋体" w:hAnsi="Courier New"/>
      <w:sz w:val="20"/>
      <w:szCs w:val="21"/>
    </w:rPr>
  </w:style>
  <w:style w:type="table" w:styleId="976" w:customStyle="1">
    <w:name w:val="网格型1"/>
    <w:basedOn w:val="937"/>
    <w:uiPriority w:val="59"/>
    <w:qFormat/>
    <w:tblPr>
      <w:tblCellMar>
        <w:left w:w="0" w:type="dxa"/>
        <w:top w:w="0" w:type="dxa"/>
        <w:right w:w="0" w:type="dxa"/>
        <w:bottom w:w="0" w:type="dxa"/>
      </w:tblCellMar>
    </w:tblPr>
  </w:style>
  <w:style w:type="paragraph" w:styleId="977" w:customStyle="1">
    <w:name w:val="Table Text"/>
    <w:basedOn w:val="709"/>
    <w:uiPriority w:val="0"/>
    <w:semiHidden/>
    <w:qFormat/>
    <w:rPr>
      <w:rFonts w:ascii="宋体" w:hAnsi="宋体" w:cs="宋体"/>
      <w:sz w:val="19"/>
      <w:szCs w:val="19"/>
      <w:lang w:eastAsia="en-US"/>
    </w:rPr>
  </w:style>
  <w:style w:type="table" w:styleId="978" w:customStyle="1">
    <w:name w:val="Table Normal"/>
    <w:uiPriority w:val="0"/>
    <w:semiHidden/>
    <w:unhideWhenUsed/>
    <w:qFormat/>
    <w:tblPr>
      <w:tblCellMar>
        <w:left w:w="0" w:type="dxa"/>
        <w:top w:w="0" w:type="dxa"/>
        <w:right w:w="0" w:type="dxa"/>
        <w:bottom w:w="0" w:type="dxa"/>
      </w:tblCellMar>
    </w:tblPr>
  </w:style>
  <w:style w:type="character" w:styleId="979" w:customStyle="1">
    <w:name w:val="font01"/>
    <w:basedOn w:val="719"/>
    <w:uiPriority w:val="0"/>
    <w:qFormat/>
    <w:rPr>
      <w:rFonts w:hint="eastAsia" w:ascii="宋体" w:hAnsi="宋体" w:eastAsia="宋体" w:cs="宋体"/>
      <w:color w:val="000000"/>
      <w:sz w:val="22"/>
      <w:szCs w:val="22"/>
      <w:u w:val="none"/>
    </w:rPr>
  </w:style>
  <w:style w:type="character" w:styleId="980" w:customStyle="1">
    <w:name w:val="font11"/>
    <w:basedOn w:val="719"/>
    <w:uiPriority w:val="0"/>
    <w:qFormat/>
    <w:rPr>
      <w:rFonts w:hint="eastAsia" w:ascii="宋体" w:hAnsi="宋体" w:eastAsia="宋体" w:cs="宋体"/>
      <w:color w:val="0070c0"/>
      <w:sz w:val="22"/>
      <w:szCs w:val="22"/>
      <w:u w:val="none"/>
    </w:rPr>
  </w:style>
  <w:style w:type="character" w:styleId="981" w:customStyle="1">
    <w:name w:val="font21"/>
    <w:basedOn w:val="719"/>
    <w:uiPriority w:val="0"/>
    <w:qFormat/>
    <w:rPr>
      <w:rFonts w:hint="eastAsia" w:ascii="宋体" w:hAnsi="宋体" w:eastAsia="宋体" w:cs="宋体"/>
      <w:color w:val="ff0000"/>
      <w:sz w:val="22"/>
      <w:szCs w:val="22"/>
      <w:u w:val="none"/>
    </w:rPr>
  </w:style>
  <w:style w:type="paragraph" w:styleId="982" w:customStyle="1">
    <w:name w:val="样式"/>
    <w:uiPriority w:val="0"/>
    <w:qFormat/>
    <w:pPr>
      <w:widowControl w:val="off"/>
    </w:pPr>
    <w:rPr>
      <w:rFonts w:hint="default" w:ascii="宋体" w:hAnsi="宋体" w:eastAsia="宋体" w:cs="宋体"/>
      <w:sz w:val="24"/>
      <w:szCs w:val="24"/>
      <w:lang w:val="en-US" w:eastAsia="zh-CN" w:bidi="ar-SA"/>
    </w:rPr>
  </w:style>
  <w:style w:type="character" w:styleId="983" w:customStyle="1">
    <w:name w:val="批注框文本 Char"/>
    <w:basedOn w:val="719"/>
    <w:link w:val="729"/>
    <w:uiPriority w:val="99"/>
    <w:semiHidden/>
    <w:qFormat/>
    <w:rPr>
      <w:rFonts w:ascii="Calibri" w:hAnsi="Calibri" w:cs="Calibri"/>
      <w:sz w:val="18"/>
      <w:szCs w:val="18"/>
    </w:rPr>
  </w:style>
  <w:style w:type="character" w:styleId="984" w:customStyle="1">
    <w:name w:val="正文文本 Char"/>
    <w:basedOn w:val="719"/>
    <w:link w:val="723"/>
    <w:uiPriority w:val="99"/>
    <w:semiHidden/>
    <w:qFormat/>
    <w:rPr>
      <w:rFonts w:ascii="Calibri" w:hAnsi="Calibri" w:cs="Calibri"/>
      <w:sz w:val="21"/>
      <w:szCs w:val="22"/>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许诚哲</cp:lastModifiedBy>
  <cp:revision>40</cp:revision>
  <dcterms:created xsi:type="dcterms:W3CDTF">2025-09-25T09:02:00Z</dcterms:created>
  <dcterms:modified xsi:type="dcterms:W3CDTF">2026-10-09T06:39:21Z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D11CAFE9E4AD49D7ABECC4C4B63C0D6D_13</vt:lpwstr>
  </property>
  <property fmtid="{D5CDD505-2E9C-101B-9397-08002B2CF9AE}" pid="4" name="KSOTemplateDocerSaveRecord">
    <vt:lpwstr>eyJoZGlkIjoiOGJmMDA2NGQyMzZlNjM5MzA0YmFjNTc5NjdkZmMxODQiLCJ1c2VySWQiOiIxODI3NDk5MSJ9</vt:lpwstr>
  </property>
</Properties>
</file>