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t xml:space="preserve"> </w:t>
      </w:r>
      <w:r/>
    </w:p>
    <w:p>
      <w:pPr>
        <w:pStyle w:val="928"/>
        <w:ind w:firstLine="0"/>
        <w:jc w:val="center"/>
        <w:spacing w:line="360" w:lineRule="auto"/>
        <w:rPr>
          <w:rFonts w:ascii="宋体" w:hAnsi="宋体" w:cs="宋体"/>
        </w:rPr>
      </w:pPr>
      <w:r>
        <w:rPr>
          <w:rFonts w:ascii="宋体" w:hAnsi="宋体" w:cs="宋体"/>
        </w:rPr>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rPr>
        <w:t xml:space="preserve">采购编号：</w:t>
      </w:r>
      <w:r>
        <w:rPr>
          <w:rFonts w:hint="eastAsia" w:ascii="宋体" w:hAnsi="宋体" w:eastAsia="宋体" w:cs="宋体"/>
          <w:b/>
          <w:bCs/>
          <w:sz w:val="32"/>
          <w:szCs w:val="20"/>
          <w:shd w:val="clear" w:color="auto" w:fill="ffffff"/>
          <w:lang w:eastAsia="zh-CN"/>
        </w:rPr>
        <w:t xml:space="preserve">JSZC-320500-SZCH-G2026-0045</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采购内容：高效液相色谱</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44"/>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44"/>
        <w:ind w:left="0" w:firstLine="0"/>
        <w:jc w:val="center"/>
        <w:rPr>
          <w:rFonts w:ascii="宋体" w:hAnsi="宋体" w:eastAsia="宋体" w:cs="宋体"/>
        </w:rPr>
      </w:pPr>
      <w:r>
        <w:rPr>
          <w:rFonts w:ascii="宋体" w:hAnsi="宋体" w:eastAsia="宋体" w:cs="宋体"/>
        </w:rPr>
      </w:r>
      <w:r/>
    </w:p>
    <w:p>
      <w:pPr>
        <w:pStyle w:val="744"/>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w:t>
      </w:r>
      <w:r>
        <w:rPr>
          <w:rFonts w:hint="eastAsia" w:ascii="宋体" w:hAnsi="宋体" w:eastAsia="宋体" w:cs="宋体"/>
          <w:b/>
          <w:sz w:val="32"/>
          <w:szCs w:val="20"/>
          <w:shd w:val="clear" w:color="auto" w:fill="ffffff"/>
          <w:lang w:val="en-US" w:eastAsia="zh-CN"/>
        </w:rPr>
        <w:t xml:space="preserve">九</w:t>
      </w:r>
      <w:r>
        <w:rPr>
          <w:rFonts w:hint="eastAsia" w:ascii="宋体" w:hAnsi="宋体" w:eastAsia="宋体" w:cs="宋体"/>
          <w:b/>
          <w:sz w:val="32"/>
          <w:szCs w:val="20"/>
          <w:shd w:val="clear" w:color="auto" w:fill="ffffff"/>
        </w:rPr>
        <w:t xml:space="preserve">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0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采购内容：高效液相色谱</w:t>
            </w:r>
            <w:r/>
          </w:p>
        </w:tc>
      </w:tr>
      <w:tr>
        <w:trPr>
          <w:jc w:val="center"/>
          <w:trHeight w:val="3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不需提交，招标文件中有关投标保证金的规定均不适用。</w:t>
            </w:r>
            <w:r/>
          </w:p>
          <w:p>
            <w:pPr>
              <w:pStyle w:val="712"/>
              <w:ind w:left="0"/>
              <w:spacing w:line="240" w:lineRule="auto"/>
              <w:rPr>
                <w:rFonts w:ascii="宋体" w:hAnsi="宋体" w:eastAsia="宋体" w:cs="宋体"/>
              </w:rPr>
            </w:pPr>
            <w:r>
              <w:rPr>
                <w:rFonts w:ascii="Wingdings" w:hAnsi="Wingdings" w:eastAsia="Wingdings" w:cs="Wingdings"/>
                <w:bCs/>
                <w:szCs w:val="24"/>
              </w:rPr>
              <w:t xml:space="preserve"></w:t>
            </w:r>
            <w:r>
              <w:rPr>
                <w:rFonts w:hint="eastAsia" w:ascii="宋体" w:hAnsi="宋体" w:eastAsia="宋体" w:cs="宋体"/>
                <w:sz w:val="21"/>
                <w:szCs w:val="21"/>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rPr>
                <w:rFonts w:ascii="宋体" w:hAnsi="宋体" w:eastAsia="宋体" w:cs="宋体"/>
              </w:rPr>
            </w:pPr>
            <w:r>
              <w:rPr>
                <w:rFonts w:hint="eastAsia" w:ascii="宋体" w:hAnsi="宋体" w:eastAsia="宋体" w:cs="宋体"/>
                <w:szCs w:val="21"/>
                <w:shd w:val="clear" w:color="auto" w:fill="ffffff"/>
              </w:rPr>
              <w:t xml:space="preserve">投标文件：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开标信息</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r>
              <w:rPr>
                <w:rFonts w:hint="eastAsia" w:ascii="宋体" w:hAnsi="宋体" w:eastAsia="宋体" w:cs="宋体"/>
                <w:szCs w:val="21"/>
                <w:shd w:val="clear" w:color="auto" w:fill="ffffff"/>
                <w:lang w:eastAsia="zh-CN"/>
              </w:rPr>
              <w:t xml:space="preserve">2026年10月8日13</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lang w:eastAsia="zh-CN"/>
              </w:rPr>
              <w:t xml:space="preserve">2026年10月8日</w:t>
            </w:r>
            <w:r>
              <w:rPr>
                <w:rFonts w:hint="eastAsia" w:ascii="宋体" w:hAnsi="宋体" w:eastAsia="宋体" w:cs="宋体"/>
                <w:szCs w:val="21"/>
                <w:shd w:val="clear" w:color="auto" w:fill="ffffff"/>
                <w:lang w:val="en-US" w:eastAsia="zh-CN"/>
              </w:rPr>
              <w:t xml:space="preserve">13</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jc w:val="left"/>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widowControl/>
              <w:rPr>
                <w:rFonts w:ascii="宋体" w:hAnsi="宋体" w:eastAsia="宋体" w:cs="宋体"/>
                <w:szCs w:val="21"/>
                <w:shd w:val="clear" w:color="auto" w:fill="ffffff"/>
              </w:rPr>
            </w:pPr>
            <w:r>
              <w:rPr>
                <w:rFonts w:ascii="Wingdings" w:hAnsi="Wingdings" w:eastAsia="Wingdings" w:cs="Wingdings"/>
                <w:bCs/>
                <w:sz w:val="24"/>
                <w:szCs w:val="24"/>
              </w:rPr>
              <w:t xml:space="preserve">þ</w:t>
            </w:r>
            <w:r>
              <w:rPr>
                <w:rFonts w:hint="eastAsia" w:ascii="宋体" w:hAnsi="宋体" w:eastAsia="宋体" w:cs="宋体"/>
                <w:szCs w:val="21"/>
                <w:shd w:val="clear" w:color="auto" w:fill="ffffff"/>
              </w:rPr>
              <w:t xml:space="preserve">需提交，中标合同金额的10%。</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rPr>
              <w:t xml:space="preserve">代理服务费:</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rPr>
              <w:t xml:space="preserve">由采购人承担并直接支付</w:t>
            </w:r>
            <w:r>
              <w:rPr>
                <w:rFonts w:hint="eastAsia" w:ascii="宋体" w:hAnsi="宋体" w:eastAsia="宋体" w:cs="宋体"/>
                <w:szCs w:val="21"/>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Cs w:val="21"/>
              </w:rPr>
            </w:pPr>
            <w:r>
              <w:rPr>
                <w:rFonts w:ascii="Wingdings" w:hAnsi="Wingdings" w:eastAsia="Wingdings" w:cs="Wingdings"/>
                <w:bCs/>
                <w:sz w:val="24"/>
                <w:szCs w:val="24"/>
              </w:rPr>
              <w:t xml:space="preserve"></w:t>
            </w:r>
            <w:r>
              <w:rPr>
                <w:rFonts w:hint="eastAsia" w:ascii="宋体" w:hAnsi="宋体" w:eastAsia="宋体" w:cs="宋体"/>
                <w:szCs w:val="21"/>
              </w:rPr>
              <w:t xml:space="preserve">由中标（成交）供应商承担并支付：</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收费标准：代理服务费收费按以下标准的</w:t>
            </w:r>
            <w:r>
              <w:rPr>
                <w:rFonts w:hint="eastAsia" w:ascii="宋体" w:hAnsi="宋体" w:eastAsia="宋体" w:cs="宋体"/>
                <w:szCs w:val="21"/>
                <w:u w:val="single"/>
              </w:rPr>
              <w:t xml:space="preserve"> 28 %</w:t>
            </w:r>
            <w:r>
              <w:rPr>
                <w:rFonts w:hint="eastAsia" w:ascii="宋体" w:hAnsi="宋体" w:eastAsia="宋体" w:cs="宋体"/>
                <w:szCs w:val="21"/>
              </w:rPr>
              <w:t xml:space="preserve">收取：</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本项目代理服务费：</w:t>
            </w:r>
            <w:r>
              <w:rPr>
                <w:rFonts w:hint="eastAsia" w:ascii="宋体" w:hAnsi="宋体" w:eastAsia="宋体" w:cs="宋体"/>
                <w:sz w:val="24"/>
                <w:szCs w:val="20"/>
              </w:rPr>
              <w:t xml:space="preserve">¥</w:t>
            </w:r>
            <w:r>
              <w:rPr>
                <w:rFonts w:hint="eastAsia" w:ascii="宋体" w:hAnsi="宋体" w:eastAsia="宋体" w:cs="宋体"/>
                <w:szCs w:val="21"/>
              </w:rPr>
              <w:t xml:space="preserve">5,425.00</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付款方式：银行转账、现金解款</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服务费收款账号：8314122601346</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7</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41</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49</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57</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60</w:t>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bookmarkStart w:id="85" w:name="_GoBack"/>
      <w:r/>
      <w:bookmarkEnd w:id="85"/>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0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高效液相色谱</w:t>
            </w:r>
            <w:r>
              <w:rPr>
                <w:rFonts w:hint="eastAsia" w:ascii="宋体" w:hAnsi="宋体" w:eastAsia="宋体" w:cs="宋体"/>
                <w:sz w:val="24"/>
                <w:lang w:eastAsia="zh-CN"/>
              </w:rPr>
              <w:t xml:space="preserve">JSZC-320500-SZCH-G2026-0045</w:t>
            </w:r>
            <w:r>
              <w:rPr>
                <w:rFonts w:hint="eastAsia" w:ascii="宋体" w:hAnsi="宋体" w:eastAsia="宋体" w:cs="宋体"/>
                <w:sz w:val="24"/>
              </w:rPr>
              <w:t xml:space="preserve">的潜在投标人应在江苏省政府采购一体化平台“苏采云”系统自行免费下载招标（采购）文件，并于</w:t>
            </w:r>
            <w:r>
              <w:rPr>
                <w:rFonts w:hint="eastAsia" w:ascii="宋体" w:hAnsi="宋体" w:eastAsia="宋体" w:cs="宋体"/>
                <w:sz w:val="24"/>
                <w:lang w:eastAsia="zh-CN"/>
              </w:rPr>
              <w:t xml:space="preserve">2026年10月8日</w:t>
            </w:r>
            <w:r>
              <w:rPr>
                <w:rFonts w:hint="eastAsia" w:ascii="宋体" w:hAnsi="宋体" w:eastAsia="宋体" w:cs="宋体"/>
                <w:sz w:val="24"/>
                <w:lang w:val="en-US" w:eastAsia="zh-CN"/>
              </w:rPr>
              <w:t xml:space="preserve">13</w:t>
            </w:r>
            <w:r>
              <w:rPr>
                <w:rFonts w:hint="eastAsia" w:ascii="宋体" w:hAnsi="宋体" w:eastAsia="宋体" w:cs="宋体"/>
                <w:sz w:val="24"/>
              </w:rPr>
              <w:t xml:space="preserve">点30分（北京时间）前递交投标文件。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JSZC-320500-SZCH-G2026-0045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项目名称：高效液相色谱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1" w:name="_Hlk193370935"/>
      <w:r>
        <w:rPr>
          <w:rFonts w:hint="eastAsia" w:ascii="宋体" w:hAnsi="宋体" w:eastAsia="宋体" w:cs="宋体"/>
          <w:sz w:val="24"/>
          <w:szCs w:val="24"/>
        </w:rPr>
        <w:t xml:space="preserve">预算金额：</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人民币（大写）：壹佰叁拾玖万捌仟元整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人民币（小写）：¥1,398,000.00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bookmarkEnd w:id="1"/>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人民币（大写）：壹佰叁拾玖万捌仟元整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人民币（小写）：¥1,398,000.00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采购需求：高效液相色谱3套。本项目不接受进口产品投标。具体采购需求详见招标文件。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合同履行期限：合同签订后</w:t>
      </w:r>
      <w:r>
        <w:rPr>
          <w:rFonts w:ascii="宋体" w:hAnsi="宋体" w:eastAsia="宋体" w:cs="宋体"/>
          <w:sz w:val="24"/>
          <w:szCs w:val="24"/>
        </w:rPr>
        <w:t xml:space="preserve">60</w:t>
      </w:r>
      <w:r>
        <w:rPr>
          <w:rFonts w:hint="eastAsia" w:ascii="宋体" w:hAnsi="宋体" w:eastAsia="宋体" w:cs="宋体"/>
          <w:sz w:val="24"/>
          <w:szCs w:val="24"/>
        </w:rPr>
        <w:t xml:space="preserve">天内将货物运送至甲方指定仓库并进行</w:t>
      </w:r>
      <w:r>
        <w:rPr>
          <w:rFonts w:hint="eastAsia" w:ascii="宋体" w:hAnsi="宋体" w:eastAsia="宋体" w:cs="宋体"/>
          <w:bCs/>
          <w:sz w:val="24"/>
          <w:szCs w:val="24"/>
        </w:rPr>
        <w:t xml:space="preserve">预验收。预验收合格后，乙方应在接到甲方通知后5天内，约定</w:t>
      </w:r>
      <w:r>
        <w:rPr>
          <w:rFonts w:hint="eastAsia" w:ascii="宋体" w:hAnsi="宋体" w:eastAsia="宋体" w:cs="宋体"/>
          <w:sz w:val="24"/>
          <w:szCs w:val="24"/>
        </w:rPr>
        <w:t xml:space="preserve">二次运输日期（最晚不晚于合同签订后一年），二次运输后的5个工作日内甲方与乙方确认安装调试日期。</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05"/>
        <w:ind w:firstLine="480"/>
        <w:spacing w:line="360" w:lineRule="auto"/>
        <w:rPr>
          <w:rFonts w:ascii="宋体" w:hAnsi="宋体" w:eastAsia="宋体" w:cs="宋体"/>
          <w:szCs w:val="24"/>
        </w:rPr>
      </w:pPr>
      <w:r/>
      <w:bookmarkStart w:id="2" w:name="_Hlk193371023"/>
      <w:r>
        <w:rPr>
          <w:rFonts w:hint="eastAsia" w:ascii="宋体" w:hAnsi="宋体" w:eastAsia="宋体" w:cs="宋体"/>
          <w:szCs w:val="24"/>
        </w:rPr>
        <w:t xml:space="preserve">1.具有独立承担民事责任的能力；</w:t>
      </w:r>
      <w:r/>
    </w:p>
    <w:p>
      <w:pPr>
        <w:pStyle w:val="705"/>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05"/>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05"/>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05"/>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2"/>
      <w:r/>
      <w:r/>
    </w:p>
    <w:p>
      <w:pPr>
        <w:pStyle w:val="740"/>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1、未被“信用中国”网站（</w:t>
      </w:r>
      <w:r>
        <w:fldChar w:fldCharType="begin"/>
      </w:r>
      <w:r>
        <w:instrText xml:space="preserve"> HYPERLINK "https://www.creditchina.gov.cn"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3"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3"/>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2026年10月8日</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点30分（北京时间）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fldChar w:fldCharType="begin"/>
      </w:r>
      <w:r>
        <w:instrText xml:space="preserve"> HYPERLINK "http://jszfcg.jsczt.cn/）" </w:instrText>
      </w:r>
      <w:r>
        <w:fldChar w:fldCharType="separate"/>
      </w:r>
      <w:r>
        <w:rPr>
          <w:rStyle w:val="749"/>
          <w:rFonts w:hint="eastAsia" w:ascii="宋体" w:hAnsi="宋体" w:eastAsia="宋体" w:cs="宋体"/>
          <w:color w:val="auto"/>
          <w:sz w:val="24"/>
          <w:szCs w:val="24"/>
        </w:rPr>
        <w:t xml:space="preserve">http://jszfcg.jsczt.cn/）</w:t>
      </w:r>
      <w:r>
        <w:rPr>
          <w:rStyle w:val="749"/>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5"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6"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7"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联系人：秦老师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联系电话：0512-67504198</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1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1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1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1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1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1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8" w:name="_Toc105940238"/>
      <w:r>
        <w:rPr>
          <w:rFonts w:hint="eastAsia" w:ascii="宋体" w:hAnsi="宋体" w:eastAsia="宋体" w:cs="宋体"/>
          <w:b/>
          <w:sz w:val="52"/>
          <w:szCs w:val="20"/>
          <w:shd w:val="clear" w:color="auto" w:fill="ffffff"/>
        </w:rPr>
        <w:t xml:space="preserve">第二章供应商须知</w:t>
      </w:r>
      <w:bookmarkEnd w:id="8"/>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9"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0" w:name="_Hlk193372108"/>
      <w:r>
        <w:rPr>
          <w:rFonts w:hint="eastAsia" w:ascii="宋体" w:hAnsi="宋体" w:eastAsia="宋体" w:cs="宋体"/>
          <w:sz w:val="24"/>
          <w:szCs w:val="24"/>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shd w:val="clear" w:color="auto" w:fill="ffffff"/>
        </w:rPr>
        <w:t xml:space="preserve">详见统一格式</w:t>
      </w:r>
      <w:bookmarkEnd w:id="11"/>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2"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3"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02"/>
        <w:tblW w:w="46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167"/>
        <w:gridCol w:w="4386"/>
      </w:tblGrid>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bookmarkStart w:id="19" w:name="_Hlk193373287"/>
            <w:r>
              <w:rPr>
                <w:rFonts w:hint="eastAsia" w:ascii="宋体" w:hAnsi="宋体" w:eastAsia="宋体" w:cs="宋体"/>
                <w:sz w:val="21"/>
              </w:rPr>
              <w:t xml:space="preserve">序号</w:t>
            </w:r>
            <w:r/>
          </w:p>
        </w:tc>
        <w:tc>
          <w:tcPr>
            <w:tcW w:w="2324"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43"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43"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43"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w:t>
            </w:r>
            <w:r>
              <w:rPr>
                <w:rFonts w:hint="eastAsia" w:ascii="宋体" w:hAnsi="宋体" w:eastAsia="宋体" w:cs="宋体"/>
                <w:b/>
                <w:bCs/>
                <w:sz w:val="21"/>
                <w:szCs w:val="21"/>
              </w:rPr>
              <w:t xml:space="preserve">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43"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43" w:type="pct"/>
            <w:vAlign w:val="center"/>
            <w:textDirection w:val="lrTb"/>
            <w:noWrap w:val="false"/>
          </w:tcPr>
          <w:p>
            <w:pPr>
              <w:jc w:val="left"/>
              <w:rPr>
                <w:rFonts w:ascii="宋体" w:hAnsi="宋体" w:eastAsia="宋体" w:cs="宋体"/>
              </w:rPr>
            </w:pPr>
            <w:r>
              <w:rPr>
                <w:rFonts w:hint="eastAsia" w:ascii="宋体" w:hAnsi="宋体" w:eastAsia="宋体" w:cs="宋体"/>
                <w:color w:val="auto"/>
                <w:szCs w:val="21"/>
              </w:rPr>
              <w:t xml:space="preserve">供应商提供</w:t>
            </w:r>
            <w:r>
              <w:rPr>
                <w:rFonts w:hint="eastAsia" w:ascii="宋体" w:hAnsi="宋体" w:eastAsia="宋体" w:cs="宋体"/>
                <w:color w:val="auto"/>
                <w:szCs w:val="21"/>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color w:val="auto"/>
                <w:szCs w:val="21"/>
              </w:rPr>
              <w:t xml:space="preserve">供应商</w:t>
            </w:r>
            <w:r>
              <w:rPr>
                <w:rFonts w:hint="eastAsia" w:ascii="宋体" w:hAnsi="宋体" w:eastAsia="宋体" w:cs="宋体"/>
                <w:color w:val="auto"/>
                <w:szCs w:val="21"/>
                <w:shd w:val="clear" w:color="auto" w:fill="ffffff"/>
              </w:rPr>
              <w:t xml:space="preserve">，应提供相应证明资料证明其依法免税或不需要缴纳社会保障资金。</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43"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43"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43" w:type="pct"/>
            <w:textDirection w:val="lrTb"/>
            <w:noWrap w:val="false"/>
          </w:tcPr>
          <w:p>
            <w:pPr>
              <w:pStyle w:val="711"/>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231" w:type="pct"/>
            <w:vAlign w:val="center"/>
            <w:textDirection w:val="lrTb"/>
            <w:noWrap w:val="false"/>
          </w:tcPr>
          <w:p>
            <w:pPr>
              <w:pStyle w:val="71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324"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43"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9"/>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02"/>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9"/>
        <w:gridCol w:w="2670"/>
        <w:gridCol w:w="6288"/>
      </w:tblGrid>
      <w:tr>
        <w:trPr>
          <w:trHeight w:val="23"/>
        </w:trPr>
        <w:tc>
          <w:tcPr>
            <w:tcW w:w="239" w:type="pct"/>
            <w:vAlign w:val="center"/>
            <w:textDirection w:val="lrTb"/>
            <w:noWrap w:val="false"/>
          </w:tcPr>
          <w:p>
            <w:pPr>
              <w:pStyle w:val="711"/>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19" w:type="pct"/>
            <w:vAlign w:val="center"/>
            <w:textDirection w:val="lrTb"/>
            <w:noWrap w:val="false"/>
          </w:tcPr>
          <w:p>
            <w:pPr>
              <w:pStyle w:val="711"/>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3340" w:type="pct"/>
            <w:vAlign w:val="center"/>
            <w:textDirection w:val="lrTb"/>
            <w:noWrap w:val="false"/>
          </w:tcPr>
          <w:p>
            <w:pPr>
              <w:pStyle w:val="711"/>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11"/>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39"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19" w:type="pct"/>
            <w:vAlign w:val="center"/>
            <w:textDirection w:val="lrTb"/>
            <w:noWrap w:val="false"/>
          </w:tcPr>
          <w:p>
            <w:pPr>
              <w:pStyle w:val="711"/>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239"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19"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239" w:type="pct"/>
            <w:vAlign w:val="center"/>
            <w:textDirection w:val="lrTb"/>
            <w:noWrap w:val="false"/>
          </w:tcPr>
          <w:p>
            <w:pPr>
              <w:pStyle w:val="71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419" w:type="pct"/>
            <w:vAlign w:val="center"/>
            <w:textDirection w:val="lrTb"/>
            <w:noWrap w:val="false"/>
          </w:tcPr>
          <w:p>
            <w:pPr>
              <w:pStyle w:val="71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1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419" w:type="pct"/>
            <w:vAlign w:val="center"/>
            <w:textDirection w:val="lrTb"/>
            <w:noWrap w:val="false"/>
          </w:tcPr>
          <w:p>
            <w:pPr>
              <w:pStyle w:val="71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1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419" w:type="pct"/>
            <w:vAlign w:val="center"/>
            <w:textDirection w:val="lrTb"/>
            <w:noWrap w:val="false"/>
          </w:tcPr>
          <w:p>
            <w:pPr>
              <w:pStyle w:val="711"/>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239" w:type="pct"/>
            <w:vAlign w:val="center"/>
            <w:textDirection w:val="lrTb"/>
            <w:noWrap w:val="false"/>
          </w:tcPr>
          <w:p>
            <w:pPr>
              <w:pStyle w:val="71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419" w:type="pct"/>
            <w:vAlign w:val="center"/>
            <w:textDirection w:val="lrTb"/>
            <w:noWrap w:val="false"/>
          </w:tcPr>
          <w:p>
            <w:pPr>
              <w:pStyle w:val="711"/>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1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419" w:type="pct"/>
            <w:vAlign w:val="center"/>
            <w:textDirection w:val="lrTb"/>
            <w:noWrap w:val="false"/>
          </w:tcPr>
          <w:p>
            <w:pPr>
              <w:pStyle w:val="711"/>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39" w:type="pct"/>
            <w:vAlign w:val="center"/>
            <w:textDirection w:val="lrTb"/>
            <w:noWrap w:val="false"/>
          </w:tcPr>
          <w:p>
            <w:pPr>
              <w:pStyle w:val="71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419"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1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419" w:type="pct"/>
            <w:vAlign w:val="center"/>
            <w:textDirection w:val="lrTb"/>
            <w:noWrap w:val="false"/>
          </w:tcPr>
          <w:p>
            <w:pPr>
              <w:pStyle w:val="71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39"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19"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19"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11"/>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19"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39" w:type="pct"/>
            <w:vAlign w:val="center"/>
            <w:textDirection w:val="lrTb"/>
            <w:noWrap w:val="false"/>
          </w:tcPr>
          <w:p>
            <w:pPr>
              <w:pStyle w:val="711"/>
              <w:jc w:val="center"/>
              <w:spacing w:line="240" w:lineRule="auto"/>
              <w:rPr>
                <w:rFonts w:ascii="宋体" w:hAnsi="宋体" w:eastAsia="宋体" w:cs="宋体"/>
                <w:sz w:val="21"/>
                <w:szCs w:val="21"/>
              </w:rPr>
            </w:pPr>
            <w:r/>
            <w:bookmarkStart w:id="20" w:name="_Hlk193373412"/>
            <w:r>
              <w:rPr>
                <w:rFonts w:hint="eastAsia" w:ascii="宋体" w:hAnsi="宋体" w:eastAsia="宋体" w:cs="宋体"/>
                <w:sz w:val="21"/>
                <w:szCs w:val="21"/>
              </w:rPr>
              <w:t xml:space="preserve">4</w:t>
            </w:r>
            <w:r/>
          </w:p>
        </w:tc>
        <w:tc>
          <w:tcPr>
            <w:tcW w:w="1419"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3340" w:type="pct"/>
            <w:vAlign w:val="center"/>
            <w:textDirection w:val="lrTb"/>
            <w:noWrap w:val="false"/>
          </w:tcPr>
          <w:p>
            <w:pPr>
              <w:pStyle w:val="71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0"/>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2" w:name="_Hlk158131259"/>
      <w:r/>
      <w:bookmarkStart w:id="23"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12"/>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17.1中标单位应按前附表的规定提交履约保证金。履约保证金形式：以支票、汇票、本票或者金融机构、担保机构出具的见索即付保函等非现金形式提交（保函内容须经学校认可）。</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17.2中标单位须在签订合同前向采购方缴纳合同金额的10%作为履约保证金，至双方签署最终验收合格证明之日起稳定运行1年后无息退还。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bookmarkEnd w:id="27"/>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29" w:name="_Hlk116314345"/>
      <w:r/>
      <w:bookmarkStart w:id="30" w:name="_Hlk117242692"/>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lang w:eastAsia="zh-CN"/>
        </w:rPr>
        <w:t xml:space="preserve">JSZC-320500-SZCH-G2026-0045</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对应采购包所有相关工作可能发生的一切费用，包括全部所投货物及备品、备件、辅配件和专用工具费用、税费及包装、仓储、运至最终目的地的运输、保险、检测验收、安装、调试、技术支持与培训、伴随服务/售后服务与维保及相关劳务支出等工作所发生的全部费用以及投标人企业利润、税金和政策性文件规定及合同包含的所有风险、责任等各项应有费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11"/>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05"/>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21"/>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4" w:name="FBH"/>
      <w:r/>
      <w:bookmarkEnd w:id="54"/>
      <w:r/>
      <w:r/>
    </w:p>
    <w:tbl>
      <w:tblPr>
        <w:tblStyle w:val="702"/>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rPr>
            </w:pPr>
            <w:r/>
            <w:bookmarkStart w:id="57" w:name="JEDX"/>
            <w:r/>
            <w:bookmarkEnd w:id="57"/>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13"/>
        <w:ind w:left="0" w:right="-607"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02"/>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w:t>
            </w:r>
            <w:r>
              <w:rPr>
                <w:rFonts w:hint="eastAsia" w:ascii="宋体" w:hAnsi="宋体" w:eastAsia="宋体" w:cs="宋体"/>
                <w:sz w:val="24"/>
                <w:szCs w:val="20"/>
              </w:rPr>
              <w:t xml:space="preserve">¥</w:t>
            </w:r>
            <w:r>
              <w:rPr>
                <w:rFonts w:hint="eastAsia" w:ascii="宋体" w:hAnsi="宋体" w:eastAsia="宋体" w:cs="宋体"/>
                <w:b/>
                <w:szCs w:val="21"/>
              </w:rPr>
              <w:t xml:space="preserve">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05"/>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0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sz w:val="21"/>
                <w:szCs w:val="21"/>
              </w:rPr>
            </w:pPr>
            <w:r>
              <w:rPr>
                <w:rFonts w:hAnsi="宋体" w:eastAsia="宋体" w:cs="宋体"/>
                <w:sz w:val="21"/>
                <w:szCs w:val="21"/>
              </w:rPr>
            </w:r>
            <w:r/>
          </w:p>
        </w:tc>
      </w:tr>
    </w:tbl>
    <w:p>
      <w:pPr>
        <w:pStyle w:val="705"/>
        <w:ind w:firstLine="0"/>
        <w:jc w:val="both"/>
        <w:spacing w:line="360" w:lineRule="auto"/>
        <w:rPr>
          <w:rFonts w:ascii="宋体" w:hAnsi="宋体" w:eastAsia="宋体" w:cs="宋体"/>
          <w:b/>
          <w:szCs w:val="24"/>
        </w:rPr>
      </w:pPr>
      <w:r>
        <w:rPr>
          <w:rFonts w:ascii="宋体" w:hAnsi="宋体" w:eastAsia="宋体" w:cs="宋体"/>
          <w:b/>
          <w:szCs w:val="24"/>
        </w:rPr>
      </w:r>
      <w:r/>
    </w:p>
    <w:p>
      <w:pPr>
        <w:pStyle w:val="1035"/>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0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12"/>
        <w:ind w:left="0"/>
        <w:jc w:val="center"/>
        <w:spacing w:line="360" w:lineRule="auto"/>
        <w:rPr>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44"/>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7"/>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7"/>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02"/>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02"/>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13"/>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0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8" w:name="OLE_LINK5"/>
      <w:r/>
      <w:bookmarkEnd w:id="58"/>
      <w:r/>
      <w:bookmarkStart w:id="59" w:name="OLE_LINK6"/>
      <w:r/>
      <w:bookmarkEnd w:id="59"/>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40"/>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0"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5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5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5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5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5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5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50"/>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1"/>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40"/>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11"/>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0"/>
      <w:r/>
      <w:r/>
    </w:p>
    <w:p>
      <w:pPr>
        <w:pStyle w:val="711"/>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05"/>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高效液相色谱</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11"/>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05"/>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02"/>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12"/>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21"/>
        <w:ind w:firstLine="480"/>
        <w:jc w:val="left"/>
        <w:spacing w:line="360" w:lineRule="auto"/>
        <w:rPr>
          <w:rFonts w:hAnsi="宋体" w:eastAsia="宋体" w:cs="宋体"/>
          <w:sz w:val="24"/>
          <w:szCs w:val="24"/>
        </w:rPr>
      </w:pPr>
      <w:r>
        <w:rPr>
          <w:rFonts w:hAnsi="宋体" w:eastAsia="宋体" w:cs="宋体"/>
          <w:sz w:val="24"/>
          <w:szCs w:val="24"/>
        </w:rPr>
      </w:r>
      <w:r/>
    </w:p>
    <w:p>
      <w:pPr>
        <w:pStyle w:val="1021"/>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21"/>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13"/>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13"/>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2" w:name="_Toc13642115"/>
      <w:r/>
      <w:bookmarkStart w:id="63" w:name="_Toc105940240"/>
      <w:r>
        <w:rPr>
          <w:rFonts w:hint="eastAsia" w:ascii="宋体" w:hAnsi="宋体" w:eastAsia="宋体" w:cs="宋体"/>
          <w:b/>
          <w:sz w:val="52"/>
          <w:szCs w:val="20"/>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shd w:val="clear" w:color="auto" w:fill="ffffff"/>
        </w:rPr>
      </w:pPr>
      <w:r/>
      <w:bookmarkStart w:id="64"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4"/>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苏州诚和招投标咨询有限公司受苏州大学的委托，就其所需的高效液相色谱进行国内公开招标。欢迎有资格的供应商前来参加投标（响应）。</w:t>
      </w:r>
      <w:r/>
    </w:p>
    <w:p>
      <w:pPr>
        <w:ind w:firstLine="482"/>
        <w:jc w:val="left"/>
        <w:spacing w:line="360" w:lineRule="auto"/>
        <w:rPr>
          <w:rFonts w:hint="eastAsia" w:ascii="宋体" w:hAnsi="宋体" w:eastAsia="宋体" w:cs="宋体"/>
          <w:b/>
          <w:sz w:val="24"/>
          <w:szCs w:val="24"/>
          <w:shd w:val="clear" w:color="auto" w:fill="ffffff"/>
          <w:lang w:eastAsia="zh-CN"/>
        </w:rPr>
        <w:outlineLvl w:val="1"/>
      </w:pPr>
      <w:r>
        <w:rPr>
          <w:rFonts w:hint="eastAsia" w:ascii="宋体" w:hAnsi="宋体" w:eastAsia="宋体" w:cs="宋体"/>
          <w:b/>
          <w:sz w:val="24"/>
          <w:szCs w:val="24"/>
          <w:shd w:val="clear" w:color="auto" w:fill="ffffff"/>
        </w:rPr>
        <w:t xml:space="preserve">一、招标编号：</w:t>
      </w:r>
      <w:bookmarkStart w:id="65" w:name="OLE_LINK1"/>
      <w:r>
        <w:rPr>
          <w:rFonts w:hint="eastAsia" w:ascii="宋体" w:hAnsi="宋体" w:eastAsia="宋体" w:cs="宋体"/>
          <w:sz w:val="24"/>
          <w:lang w:eastAsia="zh-CN"/>
        </w:rPr>
        <w:t xml:space="preserve">JSZC-320500-SZCH-G2026-0045</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shd w:val="clear" w:color="auto" w:fill="ffffff"/>
        </w:rPr>
        <w:t xml:space="preserve">高效液相色谱 </w:t>
      </w:r>
      <w:r>
        <w:rPr>
          <w:rFonts w:ascii="宋体" w:hAnsi="宋体" w:eastAsia="宋体" w:cs="宋体"/>
          <w:b/>
          <w:bCs/>
          <w:sz w:val="24"/>
          <w:szCs w:val="24"/>
          <w:shd w:val="clear" w:color="auto" w:fill="ffffff"/>
        </w:rPr>
        <w:t xml:space="preserve">  3</w:t>
      </w:r>
      <w:r>
        <w:rPr>
          <w:rFonts w:hint="eastAsia" w:ascii="宋体" w:hAnsi="宋体" w:eastAsia="宋体" w:cs="宋体"/>
          <w:b/>
          <w:bCs/>
          <w:sz w:val="24"/>
          <w:szCs w:val="24"/>
          <w:shd w:val="clear" w:color="auto" w:fill="ffffff"/>
        </w:rPr>
        <w:t xml:space="preserve">套</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（一）主要技术参数要求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1、工作条件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环境温度：4℃～35℃；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 相对湿度：20%～85%；</w:t>
      </w:r>
      <w:r>
        <w:rPr>
          <w:rFonts w:ascii="宋体" w:hAnsi="宋体" w:eastAsia="宋体" w:cs="宋体"/>
          <w:sz w:val="24"/>
          <w:szCs w:val="24"/>
        </w:rPr>
        <w:tab/>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 供电电源：220～240V，50～60Hz。</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2、技术指标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 输液泵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2.1.1 泵类型：串联或并联双柱塞往复式高压输液泵（非一体化泵），采用皮带传动方式，避免机械磨损；</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2.1.2 流速范围：0.001-10.000 mL/min（1.0-44 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2.1.3 流速准确度：± 2% 或 ± 2µL/min（其中较大值）；</w:t>
      </w:r>
      <w:r/>
    </w:p>
    <w:p>
      <w:pPr>
        <w:ind w:firstLine="480"/>
        <w:jc w:val="left"/>
        <w:spacing w:line="360" w:lineRule="auto"/>
        <w:rPr>
          <w:rFonts w:ascii="宋体" w:hAnsi="宋体" w:eastAsia="宋体" w:cs="宋体"/>
          <w:sz w:val="24"/>
          <w:szCs w:val="24"/>
        </w:rPr>
      </w:pPr>
      <w:r>
        <w:rPr>
          <w:rFonts w:ascii="Segoe UI" w:hAnsi="Segoe UI" w:eastAsia="Segoe UI" w:cs="Segoe UI"/>
          <w:color w:val="0f1115"/>
          <w:sz w:val="24"/>
          <w:szCs w:val="24"/>
          <w:shd w:val="clear" w:color="auto" w:fill="ffffff"/>
        </w:rPr>
        <w:t xml:space="preserve">★</w:t>
      </w:r>
      <w:r>
        <w:rPr>
          <w:rFonts w:hint="eastAsia" w:ascii="宋体" w:hAnsi="宋体" w:eastAsia="宋体" w:cs="宋体"/>
          <w:sz w:val="24"/>
          <w:szCs w:val="24"/>
        </w:rPr>
        <w:t xml:space="preserve">2.1.4 流速精确度：</w:t>
      </w:r>
      <w:r>
        <w:rPr>
          <w:rFonts w:ascii="宋体" w:hAnsi="宋体" w:eastAsia="宋体" w:cs="宋体"/>
          <w:sz w:val="24"/>
          <w:szCs w:val="24"/>
        </w:rPr>
        <w:t xml:space="preserve">RSD</w:t>
      </w:r>
      <w:r>
        <w:rPr>
          <w:rFonts w:hint="eastAsia" w:ascii="宋体" w:hAnsi="宋体" w:eastAsia="宋体" w:cs="宋体"/>
          <w:sz w:val="24"/>
          <w:szCs w:val="24"/>
        </w:rPr>
        <w:t xml:space="preserve">≤</w:t>
      </w:r>
      <w:r>
        <w:rPr>
          <w:rFonts w:ascii="宋体" w:hAnsi="宋体" w:eastAsia="宋体" w:cs="宋体"/>
          <w:sz w:val="24"/>
          <w:szCs w:val="24"/>
        </w:rPr>
        <w:t xml:space="preserve">0.075%</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2.1.5 工作压力：最大耐压＞40MPa；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2.1.6 梯度曲线：不少于10组梯度文件，单文件梯度段数≥100 段；支持任意曲线梯度编程（线性、步进、凹/凸曲线等）；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2.1.7 梯度组成范围：0.0</w:t>
      </w:r>
      <w:bookmarkStart w:id="66" w:name="OLE_LINK3"/>
      <w:r>
        <w:rPr>
          <w:rFonts w:hint="eastAsia" w:ascii="宋体" w:hAnsi="宋体" w:eastAsia="宋体" w:cs="宋体"/>
          <w:sz w:val="24"/>
          <w:szCs w:val="24"/>
        </w:rPr>
        <w:t xml:space="preserve">～</w:t>
      </w:r>
      <w:bookmarkEnd w:id="66"/>
      <w:r>
        <w:rPr>
          <w:rFonts w:hint="eastAsia" w:ascii="宋体" w:hAnsi="宋体" w:eastAsia="宋体" w:cs="宋体"/>
          <w:sz w:val="24"/>
          <w:szCs w:val="24"/>
        </w:rPr>
        <w:t xml:space="preserve">100.0%，0.1%步进；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2.1.8 梯度混合准确度：高压梯度≤±1.5%；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2.1.9 高压梯度混合，溶剂通道数≥2路。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 自动进样器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 进样方式：全量进样,进样量可变式；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2.2.2 最大耐压：≥40MPa；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2.2.3 进样量设定范围：0.1</w:t>
      </w:r>
      <w:r>
        <w:rPr>
          <w:rFonts w:ascii="Symbol" w:hAnsi="Symbol" w:eastAsia="Symbol" w:cs="Symbol"/>
          <w:sz w:val="24"/>
          <w:szCs w:val="24"/>
        </w:rPr>
        <w:t xml:space="preserve">m</w:t>
      </w:r>
      <w:r>
        <w:rPr>
          <w:rFonts w:hint="eastAsia" w:ascii="宋体" w:hAnsi="宋体" w:eastAsia="宋体" w:cs="宋体"/>
          <w:sz w:val="24"/>
          <w:szCs w:val="24"/>
        </w:rPr>
        <w:t xml:space="preserve">L ～ 50</w:t>
      </w:r>
      <w:r>
        <w:rPr>
          <w:rFonts w:ascii="Symbol" w:hAnsi="Symbol" w:eastAsia="Symbol" w:cs="Symbol"/>
          <w:sz w:val="24"/>
          <w:szCs w:val="24"/>
        </w:rPr>
        <w:t xml:space="preserve">m</w:t>
      </w:r>
      <w:r>
        <w:rPr>
          <w:rFonts w:hint="eastAsia" w:ascii="宋体" w:hAnsi="宋体" w:eastAsia="宋体" w:cs="宋体"/>
          <w:sz w:val="24"/>
          <w:szCs w:val="24"/>
        </w:rPr>
        <w:t xml:space="preserve">L；</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2.2.4 样品瓶数目：样品瓶≥80个(1.5mL样品瓶)；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2.2.5 反复进样次数：1-30次/1个样品；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2.2.6 进样精度＜0.8%RSD；</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2.2.7 进样量准确度：1%以下；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2.2.8 交叉污染＜0.0</w:t>
      </w:r>
      <w:r>
        <w:rPr>
          <w:rFonts w:ascii="宋体" w:hAnsi="宋体" w:eastAsia="宋体" w:cs="宋体"/>
          <w:sz w:val="24"/>
          <w:szCs w:val="24"/>
        </w:rPr>
        <w:t xml:space="preserve">5</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2.2.9 吸样速度： 0.1 ～ 15 </w:t>
      </w:r>
      <w:r>
        <w:rPr>
          <w:rFonts w:ascii="Symbol" w:hAnsi="Symbol" w:eastAsia="Symbol" w:cs="Symbol"/>
          <w:sz w:val="24"/>
          <w:szCs w:val="24"/>
        </w:rPr>
        <w:t xml:space="preserve">m</w:t>
      </w:r>
      <w:r>
        <w:rPr>
          <w:rFonts w:hint="eastAsia" w:ascii="宋体" w:hAnsi="宋体" w:eastAsia="宋体" w:cs="宋体"/>
          <w:sz w:val="24"/>
          <w:szCs w:val="24"/>
        </w:rPr>
        <w:t xml:space="preserve">L/sec；</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2.2.10 进样针清洗：在进样前后任意设定/内外清洗功能/清洗液，有在线自动脱气；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2.2.11 使用pH范围： pH1 ～ pH13。</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 脱气单元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2.3.1 流路数≥3 个；</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2.3.2 单流路最大流速</w:t>
      </w:r>
      <w:bookmarkStart w:id="67" w:name="OLE_LINK7"/>
      <w:r>
        <w:rPr>
          <w:rFonts w:hint="eastAsia" w:ascii="宋体" w:hAnsi="宋体" w:eastAsia="宋体" w:cs="宋体"/>
          <w:sz w:val="24"/>
          <w:szCs w:val="24"/>
        </w:rPr>
        <w:t xml:space="preserve">≥</w:t>
      </w:r>
      <w:bookmarkEnd w:id="67"/>
      <w:r>
        <w:rPr>
          <w:rFonts w:hint="eastAsia" w:ascii="宋体" w:hAnsi="宋体" w:eastAsia="宋体" w:cs="宋体"/>
          <w:sz w:val="24"/>
          <w:szCs w:val="24"/>
        </w:rPr>
        <w:t xml:space="preserve">10mL/min；</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2.3.3 单流路内部容量≥ 400μL；</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2.3.4 压力阻力：±0.1MPa。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 柱温箱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2.4.1 容量：可放置≥4根常规规格色谱柱和两个手动进样器, 梯度混合器、柱切换阀等；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2.4.2 温度控制范围：(室温+10)℃ ～ 85℃；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2.4.3 温度设定范围包括4℃ ～ 85℃（步距为 1℃）；</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2.4.4 控温方式：强制空气循环；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2.4.5 温度稳定性：±0.2℃；</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2.4.6 安全措施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a.为防止过热，可设定使用最高温度保护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b.内装温度保险丝；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c.内装可燃溶剂漏液传感器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2.4.7 时间程序功能：温度设定变更，温度控制启动、停止。≥200 步，0.1-999.9分，支持线性控温；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2.4.8 控制方式：软件控制、面板控制。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 紫外检测器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 波长范围：190～700nm；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2.5.2 波长准确度：±2nm；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2.5.3 波长精密度：±0.1nm；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2.5.4 噪音（AU）：0.5 ×10</w:t>
      </w:r>
      <w:r>
        <w:rPr>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AU（250nm，室温恒定，池内空气）；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2.5.5 双通道功能：有；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2.5.6 漂移：0.5×10</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 AU/0.5h（250nm，室温恒定，池内空气）；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2.5.7 线性范围：0.0001～2.5AU；</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2.5.8 谱带宽：8nm；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2.5.9 标准流通池：光程10mm，池体积12</w:t>
      </w:r>
      <w:r>
        <w:rPr>
          <w:rFonts w:ascii="Symbol" w:hAnsi="Symbol" w:eastAsia="Symbol" w:cs="Symbol"/>
          <w:sz w:val="24"/>
          <w:szCs w:val="24"/>
        </w:rPr>
        <w:t xml:space="preserve">m</w:t>
      </w:r>
      <w:r>
        <w:rPr>
          <w:rFonts w:hint="eastAsia" w:ascii="宋体" w:hAnsi="宋体" w:eastAsia="宋体" w:cs="宋体"/>
          <w:sz w:val="24"/>
          <w:szCs w:val="24"/>
        </w:rPr>
        <w:t xml:space="preserve">L，池压上限12MPa；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2.5.10 池温控制：可以，室温＋5～50℃；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2.5.11 扫描（储存）：可停泵作UV光谱图扫描（寻找最大吸收波长）；</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2.5.12 极性切换：可以。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 荧光检测器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2.6.1 光源：氙灯；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2.6.2 波长范围： 200～640nm；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2.6.3 光谱带宽：20nm；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2.6.4 波长准确度：±2nm；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2.6.5 波长精度：±0.2nm；</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2.6.6 S/N：水的拉曼峰＞S/N1200，暗背景下＞S/N8000；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2.6.7 检测池：体积12μL，最大耐压2MPa。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2.7系统控制器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2.7.1 可控制模块数量：8个（可扩展到12个）；</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2.7.2 扩展板：2个。</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 工作站软件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2.8.1 功能构成：图形化工作界面，含仪器控制、数据采集、数据处理、PDF报告等功能；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2.8.2 连接方式：支持大容量接口卡、TCP/IP 网卡连接；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2.8.3 语言：中文/英文/日文；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2.8.4 操作系统：Windows 10 64位专业版；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2.8.5 支持系统适用性测试功能（SST）；</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2.8.6 支持手机等智能终端监测/操作/分析；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2.8.7 GMP合规功能：符合数据完整性功能要求，如用户管理、权限分级管理、审计追踪、日志记录等功能，数据完整性支持：所有分析数据，包括实验计划、设计空间和色谱图及报告等，通过同一数据库进行管理；</w:t>
      </w:r>
      <w:r/>
    </w:p>
    <w:p>
      <w:pPr>
        <w:numPr>
          <w:ilvl w:val="0"/>
          <w:numId w:val="4"/>
        </w:numPr>
        <w:ind w:firstLine="480"/>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配置清单（单套配置）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配置一（2套，每套配置如下）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1、输液泵  2套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2、自动进样器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3、色谱柱温箱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4、紫外可见光检测器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5、系统控制器   1套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6、原厂色谱控制软件  1 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7、计算工作站  1台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配置二（1套，每套配置如下）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1、输液泵  2套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2、自动进样器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3、色谱柱温箱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4、紫外可见光检测器  1套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5、荧光检测器   1套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6、系统控制器   1套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7、原厂色谱控制软件  1 套 </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、计算工作站  1台</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1、交付流程：供应商应当在合同签订后</w:t>
      </w:r>
      <w:r>
        <w:rPr>
          <w:rFonts w:ascii="宋体" w:hAnsi="宋体" w:eastAsia="宋体" w:cs="宋体"/>
          <w:bCs/>
          <w:sz w:val="24"/>
          <w:szCs w:val="24"/>
        </w:rPr>
        <w:t xml:space="preserve">60</w:t>
      </w:r>
      <w:r>
        <w:rPr>
          <w:rFonts w:hint="eastAsia" w:ascii="宋体" w:hAnsi="宋体" w:eastAsia="宋体" w:cs="宋体"/>
          <w:bCs/>
          <w:sz w:val="24"/>
          <w:szCs w:val="24"/>
        </w:rPr>
        <w:t xml:space="preserve">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安装、调试及培训：供应商完成二次运输后的5个工作日内，采购方与供应商应确认安装调试日期，采购方应根据供应商要求准备好安装调试条件，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（四）验收标准</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1、预验收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货物到达采购方指定的仓库后，对货物包装是否完好进行验收。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2、最终验收</w:t>
      </w:r>
      <w:r/>
    </w:p>
    <w:p>
      <w:pPr>
        <w:ind w:firstLine="482"/>
        <w:jc w:val="left"/>
        <w:spacing w:line="360" w:lineRule="auto"/>
        <w:rPr>
          <w:rFonts w:ascii="宋体" w:hAnsi="宋体" w:eastAsia="宋体" w:cs="宋体"/>
          <w:bCs/>
          <w:sz w:val="24"/>
          <w:szCs w:val="24"/>
        </w:rPr>
        <w:outlineLvl w:val="1"/>
      </w:pPr>
      <w:r/>
      <w:bookmarkStart w:id="68" w:name="_Hlk234652762"/>
      <w:r>
        <w:rPr>
          <w:rFonts w:hint="eastAsia" w:ascii="宋体" w:hAnsi="宋体" w:eastAsia="宋体" w:cs="宋体"/>
          <w:bCs/>
          <w:sz w:val="24"/>
          <w:szCs w:val="24"/>
        </w:rPr>
        <w:t xml:space="preserve">货物安装调试完成后，按招标文件及中标单位的投标文件中的技术指标进行验收，其他指标应按国际、国家相关标准、行业通行标准及厂方出厂标准进行验收。</w:t>
      </w:r>
      <w:bookmarkEnd w:id="68"/>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（五）质保服务要求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1、设备免费质保期不少于5年，自最终验收完成合格之日起算。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（六）付款条款</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1、合同签订且采购人收到中标单位缴纳的履约保证金后支付10%预付款；设备运至采购人指定仓库且预验收合格后支付40%货款；</w:t>
      </w:r>
      <w:bookmarkStart w:id="69" w:name="_Hlk234655163"/>
      <w:r>
        <w:rPr>
          <w:rFonts w:hint="eastAsia" w:ascii="宋体" w:hAnsi="宋体" w:eastAsia="宋体" w:cs="宋体"/>
          <w:bCs/>
          <w:sz w:val="24"/>
          <w:szCs w:val="24"/>
        </w:rPr>
        <w:t xml:space="preserve">设备完成二次运输、安装、调试，双方签署最终验收合格证明后支付50%货款。</w:t>
      </w:r>
      <w:bookmarkEnd w:id="69"/>
      <w:r>
        <w:rPr>
          <w:rFonts w:hint="eastAsia" w:ascii="宋体" w:hAnsi="宋体" w:eastAsia="宋体" w:cs="宋体"/>
          <w:bCs/>
          <w:sz w:val="24"/>
          <w:szCs w:val="24"/>
        </w:rPr>
        <w:t xml:space="preserve">每次付款前，中标单位均须提供对应的等额增值税专用发票。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82"/>
        <w:jc w:val="left"/>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（七）采购主要标的物数量、交付期及交付方式、付款方式、质保期、质保方式及★参数属于实质性响应要求，不得出现负偏离，否则视为无效投标。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4、售后服务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质保期内根据采购人需要提供免费保养服务，质保期满后每年提供一次免费保养，软件终身免费升级，保证零配件的供给。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5、报价要求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（1）报价币种为人民币。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共一个采购包，投标总报价一次报定，投标总报价应包括完成对应采购包所有相关工作可能发生的一切费用，包括全部所投货物及备品、备件、辅配件和专用工具费用、税费及包装、仓储、运至最终目的地的运输、保险、检测验收、安装、调试、技术支持与培训、伴随服务/售后服务与维保及相关劳务支出等工作所发生的全部费用以及投标人企业利润、税金和政策性文件规定及合同包含的所有风险、责任等各项应有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（3）报价为固定价格，在合同执行过程中不因交货时间更改、物价变动、政策变动、投标人漏项或少报等风险因素而调整。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8、为本项目提供整体设计、规范编制或者项目管理、监理、监测等服务的供应商，不得再参加该采购项目的其他采购活动。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10、采购项目需要落实的政府采购政策：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10.1根据财政部、工业和信息化部关于印发《政府采购促进中小企业发展管理办法》的规定执行。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10.2根据财政部、司法部《关于政府采购支持监狱企业发展有关问题的通知》（财库〔2014〕68号）的规定执行。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10.4绿色采购（本项目不涉及节能环保产品采购）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11、凡涉及采购文件的补充说明和修改，均以政府采购网所发布的公告为准。</w:t>
      </w:r>
      <w:r/>
    </w:p>
    <w:p>
      <w:pPr>
        <w:ind w:firstLine="420"/>
        <w:spacing w:line="360" w:lineRule="auto"/>
        <w:rPr>
          <w:rFonts w:ascii="宋体" w:hAnsi="宋体" w:eastAsia="宋体" w:cs="宋体"/>
        </w:rPr>
      </w:pPr>
      <w:r>
        <w:rPr>
          <w:rFonts w:hint="eastAsia" w:ascii="宋体" w:hAnsi="宋体" w:eastAsia="宋体" w:cs="宋体"/>
        </w:rPr>
        <w:br w:type="page" w:clear="all"/>
      </w:r>
      <w:r/>
    </w:p>
    <w:p>
      <w:pPr>
        <w:pStyle w:val="927"/>
        <w:rPr>
          <w:rFonts w:hAnsi="宋体"/>
        </w:rPr>
      </w:pPr>
      <w:r>
        <w:rPr>
          <w:rFonts w:hAnsi="宋体"/>
        </w:rPr>
      </w:r>
      <w:r/>
    </w:p>
    <w:p>
      <w:pPr>
        <w:pStyle w:val="71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70" w:name="_Toc105940241"/>
      <w:r/>
      <w:bookmarkStart w:id="71" w:name="_Toc396747046"/>
      <w:r>
        <w:rPr>
          <w:rFonts w:hint="eastAsia" w:ascii="宋体" w:hAnsi="宋体" w:eastAsia="宋体" w:cs="宋体"/>
          <w:b/>
          <w:sz w:val="48"/>
          <w:szCs w:val="48"/>
          <w:shd w:val="clear" w:color="auto" w:fill="ffffff"/>
        </w:rPr>
        <w:t xml:space="preserve">第五章 合同主要条款</w:t>
      </w:r>
      <w:bookmarkEnd w:id="70"/>
      <w:r/>
      <w:bookmarkEnd w:id="71"/>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5"/>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72" w:name="_Toc13642118"/>
      <w:r/>
      <w:bookmarkStart w:id="73" w:name="_Toc13889378"/>
      <w:r>
        <w:rPr>
          <w:rFonts w:hint="eastAsia" w:ascii="宋体" w:hAnsi="宋体" w:eastAsia="宋体" w:cs="宋体"/>
          <w:b/>
          <w:sz w:val="44"/>
        </w:rPr>
        <w:t xml:space="preserve">政府采购合同书</w:t>
      </w:r>
      <w:r/>
    </w:p>
    <w:p>
      <w:pPr>
        <w:jc w:val="right"/>
        <w:spacing w:line="360" w:lineRule="auto"/>
        <w:rPr>
          <w:b/>
          <w:sz w:val="24"/>
        </w:rPr>
      </w:pP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1325" w:hanging="765"/>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乙方根据甲方需求提供下列货物：</w:t>
      </w:r>
      <w:r/>
    </w:p>
    <w:tbl>
      <w:tblPr>
        <w:tblStyle w:val="70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型号、规格</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w:t>
            </w:r>
            <w:r/>
          </w:p>
        </w:tc>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00"/>
        </w:trPr>
        <w:tc>
          <w:tcPr>
            <w:tcBorders>
              <w:bottom w:val="single" w:color="auto" w:sz="4" w:space="0"/>
              <w:right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bottom w:val="single" w:color="auto" w:sz="4" w:space="0"/>
              <w:right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50"/>
        </w:trPr>
        <w:tc>
          <w:tcPr>
            <w:tcBorders>
              <w:top w:val="single" w:color="auto" w:sz="4" w:space="0"/>
              <w:right w:val="single" w:color="auto" w:sz="4" w:space="0"/>
            </w:tcBorders>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517"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46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tcBorders>
            <w:tcW w:w="109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r>
    </w:tbl>
    <w:p>
      <w:pPr>
        <w:ind w:left="1325" w:hanging="765"/>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第二条 合同总价款   </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包括完成对应采购包所有相关工作可能发生的一切费用，包括全部所投货物及备品、备件、辅配件和专用工具费用、税费及包装、仓储、运至最终目的地的运输、保险、检测验收、安装、调试、技术支持与培训、伴随服务/售后服务与维保及相关劳务支出等工作所发生的全部费用以及投标人企业利润、税金和政策性文件规定及合同包含的所有风险、责任等各项应有费用。</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第三条  履约保证金</w:t>
      </w:r>
      <w:r/>
    </w:p>
    <w:p>
      <w:pPr>
        <w:ind w:firstLine="560"/>
        <w:jc w:val="left"/>
        <w:spacing w:line="360" w:lineRule="auto"/>
        <w:rPr>
          <w:rFonts w:ascii="宋体" w:hAnsi="宋体" w:eastAsia="宋体" w:cs="宋体"/>
          <w:b/>
          <w:sz w:val="24"/>
          <w:szCs w:val="24"/>
        </w:rPr>
      </w:pPr>
      <w:r>
        <w:rPr>
          <w:rFonts w:hint="eastAsia" w:ascii="宋体" w:hAnsi="宋体" w:eastAsia="宋体" w:cs="宋体"/>
          <w:sz w:val="24"/>
          <w:szCs w:val="24"/>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第四条  权利保证</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第五条  质量保证</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3、设备的质保期为甲乙双方最终验收合格之日起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个月。质保期内仪器设备本身所发生的问题（人为因素除外），由乙方提供完全无偿的维修服务。</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第六条  包装要求</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第七条  交货</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1、乙方应在本合同生效后</w:t>
      </w:r>
      <w:r>
        <w:rPr>
          <w:rFonts w:hint="eastAsia" w:ascii="宋体" w:hAnsi="宋体" w:eastAsia="宋体" w:cs="宋体"/>
          <w:sz w:val="24"/>
          <w:szCs w:val="24"/>
          <w:u w:val="single"/>
        </w:rPr>
        <w:t xml:space="preserve">60</w:t>
      </w:r>
      <w:r>
        <w:rPr>
          <w:rFonts w:hint="eastAsia" w:ascii="宋体" w:hAnsi="宋体" w:eastAsia="宋体" w:cs="宋体"/>
          <w:sz w:val="24"/>
          <w:szCs w:val="24"/>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第八条 安装调试、培训和验收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3、验收条款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（1）预验收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货物到达采购方指定的仓库后，对货物包装是否完好进行验收。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（2）最终验收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货物安装调试完成后，按如下指标进行逐项测试：</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液相色谱系统验收：流速范围0.001-10.000mL/min，最高耐压＞40MPa；流速精密度≤0.075%RSD，高压梯度混合准确度≤±1.5%；进样量0.1-50μL全量可变，进样精密度＜0.8%RSD，交叉污染＜0.05%；样品位≥80位；管路兼容pH1~13，连续进样无堵针、残留异常。</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2.柱温箱及脱气单元验收：温控范围4-85℃（可低至室温以下10℃），控温精度≤±0.2℃；可放置≥4根色谱柱，具备三重安全防护；3路独立脱气流路，脱气压力波动≤±0.1MPa，基线无气泡干扰。</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3.检测系统验收：紫外检测器波长190-700nm，基线噪音≤0.5×10</w:t>
      </w:r>
      <w:r>
        <w:rPr>
          <w:rFonts w:ascii="宋体" w:hAnsi="宋体" w:eastAsia="宋体" w:cs="宋体"/>
          <w:sz w:val="24"/>
          <w:szCs w:val="24"/>
          <w:vertAlign w:val="superscript"/>
        </w:rPr>
        <w:t xml:space="preserve">-5</w:t>
      </w:r>
      <w:r>
        <w:rPr>
          <w:rFonts w:hint="eastAsia" w:ascii="宋体" w:hAnsi="宋体" w:eastAsia="宋体" w:cs="宋体"/>
          <w:sz w:val="24"/>
          <w:szCs w:val="24"/>
        </w:rPr>
        <w:t xml:space="preserve">AU，漂移≤0.5×10</w:t>
      </w:r>
      <w:r>
        <w:rPr>
          <w:rFonts w:ascii="宋体" w:hAnsi="宋体" w:eastAsia="宋体" w:cs="宋体"/>
          <w:sz w:val="24"/>
          <w:szCs w:val="24"/>
          <w:vertAlign w:val="superscript"/>
        </w:rPr>
        <w:t xml:space="preserve">-4</w:t>
      </w:r>
      <w:r>
        <w:rPr>
          <w:rFonts w:hint="eastAsia" w:ascii="宋体" w:hAnsi="宋体" w:eastAsia="宋体" w:cs="宋体"/>
          <w:sz w:val="24"/>
          <w:szCs w:val="24"/>
        </w:rPr>
        <w:t xml:space="preserve">AU/0.5h；荧光检测器波长200-640nm，纯水拉曼信噪比＞1200；双检测器协同工作正常，标准品测试峰形稳定。</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软件系统验收：图形化中文界面，具备仪器控制、数据采集、谱图处理、报告输出全套功能；内置分级权限、审计追踪、完整日志，满足GMP数据完整性要求；支持LIMS对接；批量运行无崩溃，数据自动保存可追溯。</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5.整机联机运行与售后验收：泵、进样器、柱温箱、双检测器连续8小时序列进样，各模块协同稳定，无报警、压力漂移、基线抬升、残留超标等异常；可提供IQ、OQ验证报告及现场装机培训。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第九条  伴随服务／售后服务</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560"/>
        <w:jc w:val="left"/>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第十条   货款支付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（2）设备运至甲方指定仓库且预验收合格后支付合同总金额的40%；</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（3）设备完成二次运输、安装、调试，双方签署最终验收合格证明后支付合同总金额的50%。 </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（4）每次付款前，乙方均须提供对应的等额增值税专用发票。</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乙方开户银行：</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0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第十一条　违约责任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1、乙方逾期将货物运送至甲方指定仓库的，每逾期1周（不足1周按1周计算），乙方向甲方偿付逾期交货部分合同总价的5‰的滞纳金。如乙方逾期</w:t>
      </w:r>
      <w:r>
        <w:rPr>
          <w:rFonts w:hint="eastAsia" w:ascii="宋体" w:hAnsi="宋体" w:eastAsia="宋体" w:cs="宋体"/>
          <w:sz w:val="24"/>
          <w:szCs w:val="24"/>
          <w:u w:val="single"/>
        </w:rPr>
        <w:t xml:space="preserve">15</w:t>
      </w:r>
      <w:r>
        <w:rPr>
          <w:rFonts w:hint="eastAsia" w:ascii="宋体" w:hAnsi="宋体" w:eastAsia="宋体" w:cs="宋体"/>
          <w:sz w:val="24"/>
          <w:szCs w:val="24"/>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2、乙方所交付的货物品种、型号、规格不符合合同规定的，甲方有权拒收，乙方应向甲方支付合同总价10%的违约金，甲方有权直接从乙方缴纳的履约保证金中扣除上述违约金。</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合同总价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第十二条  不可抗力</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2、因不可抗力致使完全不能履行合同的，本协议终止，双方无须承担任何责任，但本协议另有规定的除外。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5、因合同一方延迟履行合同后发生不可抗力的，不能免除延迟履行方的相应责任。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　合同的变更和终止</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本合同一经签订，甲乙双方不得擅自变更、中止或终止合同。</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第十四条　合同的转让</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未经甲方书面同意，乙方不得擅自部分或全部转让其应履行的合同义务。</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争议的解决</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第十六条   合同生效及其他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1、下列文件作为本合同不可分割的部分：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采购文件及其附件；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乙方的响应文件；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乙方在采购过程中所作的其他承诺、声明、书面澄清等；</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合同附件等。</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2、本合同自合同双方签字、盖章之日起生效。</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3、本合同一式5 份，甲方执 3 份，乙方执 1 份，代理机构执1份，具有同等法律效力。</w:t>
      </w:r>
      <w:r/>
    </w:p>
    <w:p>
      <w:pPr>
        <w:ind w:firstLine="56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设备购置负责人：                 授权代表：</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电话：                           电话：</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采购部门经办人：                 经办人：</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        审核人：</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           </w:t>
      </w:r>
      <w:r/>
    </w:p>
    <w:p>
      <w:pPr>
        <w:jc w:val="left"/>
        <w:spacing w:line="48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br w:type="page" w:clear="all"/>
      </w:r>
      <w:r>
        <w:rPr>
          <w:rFonts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4" w:name="_Toc105940242"/>
      <w:r>
        <w:rPr>
          <w:rFonts w:hint="eastAsia" w:ascii="宋体" w:hAnsi="宋体" w:eastAsia="宋体" w:cs="宋体"/>
          <w:b/>
          <w:sz w:val="52"/>
          <w:szCs w:val="20"/>
          <w:shd w:val="clear" w:color="auto" w:fill="ffffff"/>
        </w:rPr>
        <w:t xml:space="preserve">第六章 评分</w:t>
      </w:r>
      <w:bookmarkEnd w:id="72"/>
      <w:r/>
      <w:bookmarkEnd w:id="73"/>
      <w:r>
        <w:rPr>
          <w:rFonts w:hint="eastAsia" w:ascii="宋体" w:hAnsi="宋体" w:eastAsia="宋体" w:cs="宋体"/>
          <w:b/>
          <w:sz w:val="52"/>
          <w:szCs w:val="20"/>
          <w:shd w:val="clear" w:color="auto" w:fill="ffffff"/>
        </w:rPr>
        <w:t xml:space="preserve">标准</w:t>
      </w:r>
      <w:bookmarkEnd w:id="74"/>
      <w:r/>
      <w:r/>
    </w:p>
    <w:p>
      <w:pPr>
        <w:ind w:firstLine="520"/>
        <w:spacing w:line="360" w:lineRule="auto"/>
        <w:rPr>
          <w:rFonts w:ascii="宋体" w:hAnsi="宋体" w:eastAsia="宋体" w:cs="宋体"/>
          <w:sz w:val="24"/>
          <w:szCs w:val="24"/>
        </w:rPr>
        <w:outlineLvl w:val="1"/>
      </w:pPr>
      <w:r/>
      <w:bookmarkStart w:id="75" w:name="OLE_LINK2"/>
      <w:r>
        <w:rPr>
          <w:rFonts w:hint="eastAsia" w:ascii="宋体" w:hAnsi="宋体" w:eastAsia="宋体" w:cs="宋体"/>
          <w:sz w:val="26"/>
          <w:szCs w:val="20"/>
          <w:shd w:val="clear" w:color="auto" w:fill="ffffff"/>
        </w:rPr>
        <w:br w:type="page" w:clear="all"/>
      </w:r>
      <w:bookmarkEnd w:id="75"/>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12"/>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6"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7" w:name="_Hlk193380191"/>
      <w:r>
        <w:rPr>
          <w:rFonts w:hint="eastAsia" w:ascii="宋体" w:hAnsi="宋体" w:eastAsia="宋体" w:cs="宋体"/>
          <w:sz w:val="24"/>
          <w:szCs w:val="24"/>
        </w:rPr>
        <w:t xml:space="preserve">满足招标文件要求，且投标（响应）价格最低的投标（响应）报价为评标基准价</w:t>
      </w:r>
      <w:bookmarkEnd w:id="77"/>
      <w:r>
        <w:rPr>
          <w:rFonts w:hint="eastAsia" w:ascii="宋体" w:hAnsi="宋体" w:eastAsia="宋体" w:cs="宋体"/>
          <w:sz w:val="24"/>
          <w:szCs w:val="24"/>
        </w:rPr>
        <w:t xml:space="preserve">，</w:t>
      </w:r>
      <w:bookmarkStart w:id="78"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8"/>
      <w:r>
        <w:rPr>
          <w:rFonts w:hint="eastAsia" w:ascii="宋体" w:hAnsi="宋体" w:eastAsia="宋体" w:cs="宋体"/>
          <w:sz w:val="24"/>
          <w:szCs w:val="24"/>
        </w:rPr>
        <w:t xml:space="preserve">。其他报价得分统一按照下列公式计算（计算结果四舍五入，保留两位小数）：</w:t>
      </w:r>
      <w:r/>
    </w:p>
    <w:p>
      <w:pPr>
        <w:pStyle w:val="71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（二）技术参数及技术方案：</w:t>
      </w:r>
      <w:r>
        <w:rPr>
          <w:rFonts w:hint="eastAsia" w:ascii="宋体" w:hAnsi="宋体" w:eastAsia="宋体" w:cs="宋体"/>
          <w:b/>
          <w:sz w:val="24"/>
          <w:szCs w:val="24"/>
          <w:u w:val="single"/>
        </w:rPr>
        <w:t xml:space="preserve">39</w:t>
      </w:r>
      <w:r>
        <w:rPr>
          <w:rFonts w:hint="eastAsia" w:ascii="宋体" w:hAnsi="宋体" w:eastAsia="宋体" w:cs="宋体"/>
          <w:b/>
          <w:sz w:val="24"/>
          <w:szCs w:val="24"/>
        </w:rPr>
        <w:t xml:space="preserve">分</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817"/>
        <w:gridCol w:w="7110"/>
        <w:gridCol w:w="1184"/>
      </w:tblGrid>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以投标人提供的能直接反映该产品技术参数的官网或彩页或产品说明书或具有检验（检测）资质的第三方检测机构出具的有效检验（检测）报告等相关佐证材料作为主要评判依据。</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全部响应即满足招标文件功能技术参数要求的得20分。所提供产品不满足招标文件要求（负偏离）、配置不详、技术参数不明确、缺漏项的，每项扣</w:t>
            </w:r>
            <w:r>
              <w:rPr>
                <w:rFonts w:ascii="宋体" w:hAnsi="宋体" w:eastAsia="宋体" w:cs="宋体"/>
                <w:bCs/>
                <w:sz w:val="24"/>
                <w:szCs w:val="24"/>
              </w:rPr>
              <w:t xml:space="preserve">1</w:t>
            </w:r>
            <w:r>
              <w:rPr>
                <w:rFonts w:hint="eastAsia" w:ascii="宋体" w:hAnsi="宋体" w:eastAsia="宋体" w:cs="宋体"/>
                <w:bCs/>
                <w:sz w:val="24"/>
                <w:szCs w:val="24"/>
              </w:rPr>
              <w:t xml:space="preserve">分，扣完为止。</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7374" w:type="dxa"/>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投标人提供为实现本项目招标文件技术参数要求而制定的技术方案。技术方案详尽合理、针对性强，能完全符合用户科研需求的得10分。技术方案基本规范合理、具有较强针对性，能基本符合用户科研需求的得</w:t>
            </w:r>
            <w:r>
              <w:rPr>
                <w:rFonts w:ascii="宋体" w:hAnsi="宋体" w:eastAsia="宋体" w:cs="宋体"/>
                <w:bCs/>
                <w:sz w:val="24"/>
                <w:szCs w:val="24"/>
              </w:rPr>
              <w:t xml:space="preserve">6</w:t>
            </w:r>
            <w:r>
              <w:rPr>
                <w:rFonts w:hint="eastAsia" w:ascii="宋体" w:hAnsi="宋体" w:eastAsia="宋体" w:cs="宋体"/>
                <w:bCs/>
                <w:sz w:val="24"/>
                <w:szCs w:val="24"/>
              </w:rPr>
              <w:t xml:space="preserve">分。技术方案有疏漏、合理性及针对性较差，仅能符合用户部分科研需求的得2分。技术方案完全不能符合用户科研需求或未提供技术方案的不得分。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10,6,2,0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31 </w:t>
      </w:r>
      <w:r>
        <w:rPr>
          <w:rFonts w:hint="eastAsia" w:ascii="宋体" w:hAnsi="宋体" w:eastAsia="宋体" w:cs="宋体"/>
          <w:b/>
          <w:sz w:val="24"/>
          <w:szCs w:val="24"/>
        </w:rPr>
        <w:t xml:space="preserve">分</w:t>
      </w:r>
      <w:r/>
    </w:p>
    <w:tbl>
      <w:tblPr>
        <w:tblStyle w:val="702"/>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3"/>
        <w:gridCol w:w="1391"/>
        <w:gridCol w:w="6817"/>
        <w:gridCol w:w="731"/>
      </w:tblGrid>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63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提供投标人的所投产品（同型号设备）自2023年7月1日起至今的销售业绩，每提供1份业绩得1分，满分4分。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注：①提供业绩合同复印件；②以合同签订日期为准；③同一单位业绩不重复计分。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市场反馈情况</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提供投标人的所投产品（同型号设备）现有用户反馈情况，每提供1份得1分，满分5分。反馈情况需含项目名称、型号、采购时间、满意度、联系人及电话。注：材料须加盖所属用户单位公章。</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培训方案</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2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636"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投标人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9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2,1,0.5,0</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9" w:name="_Toc105940243"/>
      <w:r/>
      <w:bookmarkStart w:id="80" w:name="_Toc48723925"/>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5"/>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81" w:name="OLE_LINK13"/>
      <w:r>
        <w:rPr>
          <w:rFonts w:hint="eastAsia" w:ascii="宋体" w:hAnsi="宋体" w:eastAsia="宋体" w:cs="宋体"/>
          <w:sz w:val="24"/>
          <w:szCs w:val="24"/>
          <w:lang w:val="zh-CN"/>
        </w:rPr>
        <w:t xml:space="preserve">（国办发［2025］34号）</w:t>
      </w:r>
      <w:bookmarkEnd w:id="81"/>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82"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82"/>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12"/>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83" w:name="OLE_LINK8"/>
      <w:r/>
      <w:bookmarkStart w:id="84" w:name="OLE_LINK9"/>
      <w:r>
        <w:rPr>
          <w:rFonts w:hint="eastAsia" w:ascii="宋体" w:hAnsi="宋体" w:eastAsia="宋体" w:cs="宋体"/>
          <w:szCs w:val="24"/>
        </w:rPr>
        <w:t xml:space="preserve">接受供应商为联合体投标（响应）</w:t>
      </w:r>
      <w:bookmarkEnd w:id="83"/>
      <w:r/>
      <w:bookmarkEnd w:id="84"/>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9"/>
      <w:r/>
      <w:bookmarkEnd w:id="80"/>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63"/>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63"/>
        <w:ind w:firstLine="0"/>
        <w:jc w:val="left"/>
        <w:rPr>
          <w:rFonts w:ascii="宋体" w:hAnsi="宋体" w:eastAsia="宋体" w:cs="宋体"/>
          <w:b/>
          <w:bCs/>
        </w:rPr>
      </w:pPr>
      <w:r>
        <w:rPr>
          <w:rFonts w:hint="eastAsia" w:ascii="宋体" w:hAnsi="宋体" w:eastAsia="宋体" w:cs="宋体"/>
          <w:b/>
          <w:bCs/>
        </w:rPr>
        <w:t xml:space="preserve">附件3：</w:t>
      </w:r>
      <w:r/>
    </w:p>
    <w:p>
      <w:pPr>
        <w:pStyle w:val="963"/>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11"/>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JSZC-320500-SZCH-G2026-0045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9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7"/>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2">
    <w:name w:val="Heading 1"/>
    <w:basedOn w:val="691"/>
    <w:next w:val="691"/>
    <w:link w:val="929"/>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693">
    <w:name w:val="Heading 2"/>
    <w:basedOn w:val="691"/>
    <w:next w:val="691"/>
    <w:link w:val="930"/>
    <w:uiPriority w:val="0"/>
    <w:qFormat/>
    <w:pPr>
      <w:jc w:val="left"/>
      <w:keepLines/>
      <w:keepNext/>
      <w:outlineLvl w:val="1"/>
    </w:pPr>
    <w:rPr>
      <w:rFonts w:ascii="宋体" w:hAnsi="宋体" w:eastAsia="楷体_GB2312" w:cs="Times New Roman"/>
      <w:b/>
      <w:sz w:val="26"/>
      <w:szCs w:val="20"/>
    </w:rPr>
  </w:style>
  <w:style w:type="paragraph" w:styleId="694">
    <w:name w:val="Heading 3"/>
    <w:basedOn w:val="691"/>
    <w:next w:val="691"/>
    <w:link w:val="931"/>
    <w:uiPriority w:val="0"/>
    <w:qFormat/>
    <w:pPr>
      <w:jc w:val="left"/>
      <w:keepLines/>
      <w:keepNext/>
      <w:outlineLvl w:val="2"/>
    </w:pPr>
    <w:rPr>
      <w:rFonts w:ascii="Calibri" w:hAnsi="Calibri" w:eastAsia="楷体_GB2312" w:cs="Times New Roman"/>
      <w:b/>
      <w:sz w:val="26"/>
      <w:szCs w:val="20"/>
    </w:rPr>
  </w:style>
  <w:style w:type="paragraph" w:styleId="695">
    <w:name w:val="Heading 4"/>
    <w:basedOn w:val="691"/>
    <w:next w:val="691"/>
    <w:link w:val="932"/>
    <w:uiPriority w:val="0"/>
    <w:qFormat/>
    <w:pPr>
      <w:keepLines/>
      <w:keepNext/>
      <w:spacing w:before="280" w:after="290" w:line="376" w:lineRule="auto"/>
      <w:outlineLvl w:val="3"/>
    </w:pPr>
    <w:rPr>
      <w:rFonts w:ascii="Arial" w:hAnsi="Arial" w:eastAsia="黑体" w:cs="Times New Roman"/>
      <w:b/>
      <w:bCs/>
      <w:sz w:val="28"/>
      <w:szCs w:val="28"/>
    </w:rPr>
  </w:style>
  <w:style w:type="paragraph" w:styleId="696">
    <w:name w:val="Heading 5"/>
    <w:basedOn w:val="691"/>
    <w:next w:val="691"/>
    <w:link w:val="933"/>
    <w:uiPriority w:val="0"/>
    <w:qFormat/>
    <w:pPr>
      <w:keepNext/>
      <w:outlineLvl w:val="4"/>
    </w:pPr>
    <w:rPr>
      <w:rFonts w:ascii="宋体" w:hAnsi="宋体" w:eastAsia="宋体" w:cs="Times New Roman"/>
      <w:color w:val="000000"/>
      <w:sz w:val="28"/>
      <w:szCs w:val="20"/>
    </w:rPr>
  </w:style>
  <w:style w:type="paragraph" w:styleId="697">
    <w:name w:val="Heading 6"/>
    <w:basedOn w:val="691"/>
    <w:next w:val="691"/>
    <w:link w:val="934"/>
    <w:uiPriority w:val="0"/>
    <w:qFormat/>
    <w:pPr>
      <w:keepNext/>
      <w:outlineLvl w:val="5"/>
    </w:pPr>
    <w:rPr>
      <w:rFonts w:ascii="宋体" w:hAnsi="宋体" w:eastAsia="宋体" w:cs="Times New Roman"/>
      <w:sz w:val="28"/>
      <w:szCs w:val="20"/>
    </w:rPr>
  </w:style>
  <w:style w:type="paragraph" w:styleId="698">
    <w:name w:val="Heading 7"/>
    <w:basedOn w:val="691"/>
    <w:next w:val="691"/>
    <w:link w:val="805"/>
    <w:uiPriority w:val="9"/>
    <w:unhideWhenUsed/>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806"/>
    <w:uiPriority w:val="9"/>
    <w:unhideWhenUsed/>
    <w:qFormat/>
    <w:pPr>
      <w:keepLines/>
      <w:keepNext/>
      <w:spacing w:before="320" w:after="200"/>
      <w:outlineLvl w:val="7"/>
    </w:pPr>
    <w:rPr>
      <w:rFonts w:ascii="Arial" w:hAnsi="Arial" w:eastAsia="Arial" w:cs="Arial"/>
      <w:i/>
      <w:iCs/>
      <w:sz w:val="22"/>
    </w:rPr>
  </w:style>
  <w:style w:type="paragraph" w:styleId="700">
    <w:name w:val="Heading 9"/>
    <w:basedOn w:val="691"/>
    <w:next w:val="691"/>
    <w:link w:val="807"/>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0"/>
    <w:qFormat/>
    <w:pPr>
      <w:ind w:left="2520"/>
    </w:pPr>
    <w:rPr>
      <w:rFonts w:ascii="Calibri" w:hAnsi="Calibri" w:eastAsia="楷体_GB2312" w:cs="Times New Roman"/>
      <w:sz w:val="26"/>
      <w:szCs w:val="20"/>
    </w:rPr>
  </w:style>
  <w:style w:type="paragraph" w:styleId="704">
    <w:name w:val="index 8"/>
    <w:basedOn w:val="691"/>
    <w:next w:val="691"/>
    <w:uiPriority w:val="0"/>
    <w:qFormat/>
    <w:pPr>
      <w:ind w:left="2940"/>
    </w:pPr>
    <w:rPr>
      <w:rFonts w:ascii="Calibri" w:hAnsi="Calibri" w:eastAsia="楷体_GB2312" w:cs="Times New Roman"/>
      <w:sz w:val="26"/>
      <w:szCs w:val="20"/>
    </w:rPr>
  </w:style>
  <w:style w:type="paragraph" w:styleId="705">
    <w:name w:val="Normal Indent"/>
    <w:basedOn w:val="691"/>
    <w:next w:val="691"/>
    <w:link w:val="935"/>
    <w:uiPriority w:val="0"/>
    <w:qFormat/>
    <w:pPr>
      <w:ind w:firstLine="420"/>
      <w:jc w:val="left"/>
    </w:pPr>
    <w:rPr>
      <w:rFonts w:ascii="Calibri" w:hAnsi="Calibri" w:eastAsia="楷体_GB2312" w:cs="Times New Roman"/>
      <w:sz w:val="24"/>
      <w:szCs w:val="20"/>
    </w:rPr>
  </w:style>
  <w:style w:type="paragraph" w:styleId="706">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index 5"/>
    <w:basedOn w:val="691"/>
    <w:next w:val="691"/>
    <w:uiPriority w:val="0"/>
    <w:qFormat/>
    <w:pPr>
      <w:ind w:left="1680"/>
    </w:pPr>
    <w:rPr>
      <w:rFonts w:ascii="Calibri" w:hAnsi="Calibri" w:eastAsia="楷体_GB2312" w:cs="Times New Roman"/>
      <w:sz w:val="26"/>
      <w:szCs w:val="20"/>
    </w:rPr>
  </w:style>
  <w:style w:type="paragraph" w:styleId="708">
    <w:name w:val="Document Map"/>
    <w:basedOn w:val="691"/>
    <w:link w:val="936"/>
    <w:uiPriority w:val="0"/>
    <w:qFormat/>
    <w:pPr>
      <w:shd w:val="clear" w:color="auto" w:fill="000080"/>
    </w:pPr>
    <w:rPr>
      <w:rFonts w:ascii="Calibri" w:hAnsi="Calibri" w:eastAsia="楷体_GB2312" w:cs="Times New Roman"/>
      <w:sz w:val="26"/>
      <w:szCs w:val="20"/>
    </w:rPr>
  </w:style>
  <w:style w:type="paragraph" w:styleId="709">
    <w:name w:val="annotation text"/>
    <w:basedOn w:val="691"/>
    <w:link w:val="937"/>
    <w:uiPriority w:val="0"/>
    <w:qFormat/>
    <w:pPr>
      <w:jc w:val="left"/>
    </w:pPr>
    <w:rPr>
      <w:rFonts w:ascii="Calibri" w:hAnsi="Calibri" w:eastAsia="楷体_GB2312" w:cs="Times New Roman"/>
      <w:sz w:val="26"/>
      <w:szCs w:val="20"/>
    </w:rPr>
  </w:style>
  <w:style w:type="paragraph" w:styleId="710">
    <w:name w:val="index 6"/>
    <w:basedOn w:val="691"/>
    <w:next w:val="691"/>
    <w:uiPriority w:val="0"/>
    <w:qFormat/>
    <w:pPr>
      <w:ind w:left="2100"/>
    </w:pPr>
    <w:rPr>
      <w:rFonts w:ascii="Calibri" w:hAnsi="Calibri" w:eastAsia="楷体_GB2312" w:cs="Times New Roman"/>
      <w:sz w:val="26"/>
      <w:szCs w:val="20"/>
    </w:rPr>
  </w:style>
  <w:style w:type="paragraph" w:styleId="711">
    <w:name w:val="Body Text"/>
    <w:basedOn w:val="691"/>
    <w:link w:val="938"/>
    <w:uiPriority w:val="0"/>
    <w:qFormat/>
    <w:pPr>
      <w:spacing w:line="400" w:lineRule="exact"/>
    </w:pPr>
    <w:rPr>
      <w:rFonts w:ascii="楷体_GB2312" w:hAnsi="Calibri" w:eastAsia="楷体_GB2312" w:cs="Times New Roman"/>
      <w:sz w:val="28"/>
      <w:szCs w:val="20"/>
    </w:rPr>
  </w:style>
  <w:style w:type="paragraph" w:styleId="712">
    <w:name w:val="Body Text Indent"/>
    <w:basedOn w:val="691"/>
    <w:link w:val="939"/>
    <w:uiPriority w:val="99"/>
    <w:qFormat/>
    <w:pPr>
      <w:ind w:left="570"/>
      <w:spacing w:line="520" w:lineRule="exact"/>
    </w:pPr>
    <w:rPr>
      <w:rFonts w:ascii="方正仿宋简体" w:hAnsi="创艺简仿宋" w:eastAsia="方正仿宋简体" w:cs="Times New Roman"/>
      <w:sz w:val="24"/>
      <w:szCs w:val="20"/>
    </w:rPr>
  </w:style>
  <w:style w:type="paragraph" w:styleId="713">
    <w:name w:val="Block Text"/>
    <w:basedOn w:val="691"/>
    <w:next w:val="69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14">
    <w:name w:val="index 4"/>
    <w:basedOn w:val="691"/>
    <w:next w:val="691"/>
    <w:uiPriority w:val="0"/>
    <w:qFormat/>
    <w:pPr>
      <w:ind w:left="1260"/>
    </w:pPr>
    <w:rPr>
      <w:rFonts w:ascii="Calibri" w:hAnsi="Calibri" w:eastAsia="楷体_GB2312" w:cs="Times New Roman"/>
      <w:sz w:val="26"/>
      <w:szCs w:val="20"/>
    </w:rPr>
  </w:style>
  <w:style w:type="paragraph" w:styleId="715">
    <w:name w:val="toc 5"/>
    <w:basedOn w:val="691"/>
    <w:next w:val="691"/>
    <w:uiPriority w:val="0"/>
    <w:qFormat/>
    <w:pPr>
      <w:ind w:left="1680"/>
    </w:pPr>
    <w:rPr>
      <w:rFonts w:ascii="Calibri" w:hAnsi="Calibri" w:eastAsia="楷体_GB2312" w:cs="Times New Roman"/>
      <w:sz w:val="26"/>
      <w:szCs w:val="20"/>
    </w:rPr>
  </w:style>
  <w:style w:type="paragraph" w:styleId="716">
    <w:name w:val="toc 3"/>
    <w:basedOn w:val="691"/>
    <w:next w:val="691"/>
    <w:uiPriority w:val="0"/>
    <w:qFormat/>
    <w:pPr>
      <w:ind w:left="840"/>
    </w:pPr>
    <w:rPr>
      <w:rFonts w:ascii="Calibri" w:hAnsi="Calibri" w:eastAsia="楷体_GB2312" w:cs="Times New Roman"/>
      <w:sz w:val="26"/>
      <w:szCs w:val="20"/>
    </w:rPr>
  </w:style>
  <w:style w:type="paragraph" w:styleId="717">
    <w:name w:val="Plain Text"/>
    <w:basedOn w:val="691"/>
    <w:link w:val="940"/>
    <w:uiPriority w:val="0"/>
    <w:qFormat/>
    <w:rPr>
      <w:rFonts w:ascii="宋体" w:hAnsi="Courier New" w:eastAsia="楷体_GB2312" w:cs="Times New Roman"/>
      <w:sz w:val="26"/>
      <w:szCs w:val="20"/>
    </w:rPr>
  </w:style>
  <w:style w:type="paragraph" w:styleId="718">
    <w:name w:val="toc 8"/>
    <w:basedOn w:val="691"/>
    <w:next w:val="691"/>
    <w:uiPriority w:val="0"/>
    <w:qFormat/>
    <w:pPr>
      <w:ind w:left="2940"/>
    </w:pPr>
    <w:rPr>
      <w:rFonts w:ascii="Calibri" w:hAnsi="Calibri" w:eastAsia="楷体_GB2312" w:cs="Times New Roman"/>
      <w:sz w:val="26"/>
      <w:szCs w:val="20"/>
    </w:rPr>
  </w:style>
  <w:style w:type="paragraph" w:styleId="719">
    <w:name w:val="index 3"/>
    <w:basedOn w:val="691"/>
    <w:next w:val="691"/>
    <w:uiPriority w:val="0"/>
    <w:qFormat/>
    <w:pPr>
      <w:ind w:left="840"/>
    </w:pPr>
    <w:rPr>
      <w:rFonts w:ascii="Calibri" w:hAnsi="Calibri" w:eastAsia="楷体_GB2312" w:cs="Times New Roman"/>
      <w:sz w:val="26"/>
      <w:szCs w:val="20"/>
    </w:rPr>
  </w:style>
  <w:style w:type="paragraph" w:styleId="720">
    <w:name w:val="Date"/>
    <w:basedOn w:val="691"/>
    <w:next w:val="691"/>
    <w:link w:val="941"/>
    <w:uiPriority w:val="0"/>
    <w:qFormat/>
    <w:rPr>
      <w:rFonts w:ascii="宋体" w:hAnsi="宋体" w:eastAsia="楷体_GB2312" w:cs="Times New Roman"/>
      <w:sz w:val="24"/>
      <w:szCs w:val="20"/>
    </w:rPr>
  </w:style>
  <w:style w:type="paragraph" w:styleId="721">
    <w:name w:val="Body Text Indent 2"/>
    <w:basedOn w:val="691"/>
    <w:link w:val="942"/>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22">
    <w:name w:val="endnote text"/>
    <w:basedOn w:val="691"/>
    <w:link w:val="943"/>
    <w:uiPriority w:val="0"/>
    <w:qFormat/>
    <w:pPr>
      <w:jc w:val="left"/>
    </w:pPr>
    <w:rPr>
      <w:rFonts w:ascii="Calibri" w:hAnsi="Calibri" w:eastAsia="楷体_GB2312" w:cs="Times New Roman"/>
      <w:sz w:val="26"/>
      <w:szCs w:val="20"/>
    </w:rPr>
  </w:style>
  <w:style w:type="paragraph" w:styleId="723">
    <w:name w:val="Balloon Text"/>
    <w:basedOn w:val="691"/>
    <w:link w:val="944"/>
    <w:uiPriority w:val="99"/>
    <w:qFormat/>
    <w:rPr>
      <w:rFonts w:ascii="Calibri" w:hAnsi="Calibri" w:eastAsia="楷体_GB2312" w:cs="Times New Roman"/>
      <w:sz w:val="18"/>
      <w:szCs w:val="18"/>
    </w:rPr>
  </w:style>
  <w:style w:type="paragraph" w:styleId="724">
    <w:name w:val="Footer"/>
    <w:basedOn w:val="691"/>
    <w:link w:val="945"/>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25">
    <w:name w:val="Header"/>
    <w:basedOn w:val="691"/>
    <w:link w:val="946"/>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26">
    <w:name w:val="toc 1"/>
    <w:basedOn w:val="691"/>
    <w:next w:val="691"/>
    <w:uiPriority w:val="39"/>
    <w:qFormat/>
    <w:pPr>
      <w:jc w:val="left"/>
    </w:pPr>
    <w:rPr>
      <w:rFonts w:ascii="Calibri" w:hAnsi="Calibri" w:eastAsia="楷体_GB2312" w:cs="Times New Roman"/>
      <w:sz w:val="24"/>
      <w:szCs w:val="20"/>
    </w:rPr>
  </w:style>
  <w:style w:type="paragraph" w:styleId="727">
    <w:name w:val="toc 4"/>
    <w:basedOn w:val="691"/>
    <w:next w:val="691"/>
    <w:uiPriority w:val="0"/>
    <w:qFormat/>
    <w:pPr>
      <w:ind w:left="1260"/>
    </w:pPr>
    <w:rPr>
      <w:rFonts w:ascii="Calibri" w:hAnsi="Calibri" w:eastAsia="楷体_GB2312" w:cs="Times New Roman"/>
      <w:sz w:val="26"/>
      <w:szCs w:val="20"/>
    </w:rPr>
  </w:style>
  <w:style w:type="paragraph" w:styleId="728">
    <w:name w:val="index heading"/>
    <w:basedOn w:val="691"/>
    <w:next w:val="729"/>
    <w:uiPriority w:val="0"/>
    <w:qFormat/>
    <w:rPr>
      <w:rFonts w:ascii="Calibri" w:hAnsi="Calibri" w:eastAsia="楷体_GB2312" w:cs="Times New Roman"/>
      <w:sz w:val="26"/>
      <w:szCs w:val="20"/>
    </w:rPr>
  </w:style>
  <w:style w:type="paragraph" w:styleId="729">
    <w:name w:val="index 1"/>
    <w:basedOn w:val="691"/>
    <w:next w:val="691"/>
    <w:uiPriority w:val="0"/>
    <w:unhideWhenUsed/>
    <w:qFormat/>
  </w:style>
  <w:style w:type="paragraph" w:styleId="730">
    <w:name w:val="Subtitle"/>
    <w:basedOn w:val="691"/>
    <w:next w:val="691"/>
    <w:link w:val="947"/>
    <w:uiPriority w:val="0"/>
    <w:qFormat/>
    <w:pPr>
      <w:jc w:val="left"/>
      <w:spacing w:before="120"/>
      <w:outlineLvl w:val="1"/>
    </w:pPr>
    <w:rPr>
      <w:rFonts w:ascii="Cambria" w:hAnsi="Cambria" w:eastAsia="宋体" w:cs="Times New Roman"/>
      <w:b/>
      <w:bCs/>
      <w:sz w:val="24"/>
      <w:szCs w:val="32"/>
    </w:rPr>
  </w:style>
  <w:style w:type="paragraph" w:styleId="731">
    <w:name w:val="footnote text"/>
    <w:basedOn w:val="691"/>
    <w:link w:val="948"/>
    <w:uiPriority w:val="0"/>
    <w:qFormat/>
    <w:pPr>
      <w:jc w:val="left"/>
    </w:pPr>
    <w:rPr>
      <w:rFonts w:ascii="Calibri" w:hAnsi="Calibri" w:eastAsia="楷体_GB2312" w:cs="Times New Roman"/>
      <w:sz w:val="18"/>
      <w:szCs w:val="20"/>
    </w:rPr>
  </w:style>
  <w:style w:type="paragraph" w:styleId="732">
    <w:name w:val="toc 6"/>
    <w:basedOn w:val="691"/>
    <w:next w:val="691"/>
    <w:uiPriority w:val="0"/>
    <w:qFormat/>
    <w:pPr>
      <w:ind w:left="2100"/>
    </w:pPr>
    <w:rPr>
      <w:rFonts w:ascii="Calibri" w:hAnsi="Calibri" w:eastAsia="楷体_GB2312" w:cs="Times New Roman"/>
      <w:sz w:val="26"/>
      <w:szCs w:val="20"/>
    </w:rPr>
  </w:style>
  <w:style w:type="paragraph" w:styleId="733">
    <w:name w:val="Body Text Indent 3"/>
    <w:basedOn w:val="691"/>
    <w:link w:val="949"/>
    <w:uiPriority w:val="0"/>
    <w:qFormat/>
    <w:pPr>
      <w:ind w:firstLine="617"/>
      <w:spacing w:line="360" w:lineRule="auto"/>
    </w:pPr>
    <w:rPr>
      <w:rFonts w:ascii="Calibri" w:hAnsi="Calibri" w:eastAsia="宋体" w:cs="Times New Roman"/>
      <w:sz w:val="24"/>
      <w:szCs w:val="24"/>
    </w:rPr>
  </w:style>
  <w:style w:type="paragraph" w:styleId="734">
    <w:name w:val="index 7"/>
    <w:basedOn w:val="691"/>
    <w:next w:val="691"/>
    <w:uiPriority w:val="0"/>
    <w:qFormat/>
    <w:pPr>
      <w:ind w:left="2520"/>
    </w:pPr>
    <w:rPr>
      <w:rFonts w:ascii="Calibri" w:hAnsi="Calibri" w:eastAsia="楷体_GB2312" w:cs="Times New Roman"/>
      <w:sz w:val="26"/>
      <w:szCs w:val="20"/>
    </w:rPr>
  </w:style>
  <w:style w:type="paragraph" w:styleId="735">
    <w:name w:val="index 9"/>
    <w:basedOn w:val="691"/>
    <w:next w:val="691"/>
    <w:uiPriority w:val="0"/>
    <w:qFormat/>
    <w:pPr>
      <w:ind w:left="3360"/>
    </w:pPr>
    <w:rPr>
      <w:rFonts w:ascii="Calibri" w:hAnsi="Calibri" w:eastAsia="楷体_GB2312" w:cs="Times New Roman"/>
      <w:sz w:val="26"/>
      <w:szCs w:val="20"/>
    </w:rPr>
  </w:style>
  <w:style w:type="paragraph" w:styleId="736">
    <w:name w:val="table of figures"/>
    <w:basedOn w:val="691"/>
    <w:next w:val="691"/>
    <w:uiPriority w:val="0"/>
    <w:qFormat/>
    <w:pPr>
      <w:ind w:left="420" w:hanging="420"/>
      <w:jc w:val="left"/>
    </w:pPr>
    <w:rPr>
      <w:rFonts w:ascii="Calibri" w:hAnsi="Calibri" w:eastAsia="楷体_GB2312" w:cs="Times New Roman"/>
      <w:smallCaps/>
      <w:sz w:val="24"/>
      <w:szCs w:val="20"/>
    </w:rPr>
  </w:style>
  <w:style w:type="paragraph" w:styleId="737">
    <w:name w:val="toc 2"/>
    <w:basedOn w:val="691"/>
    <w:next w:val="691"/>
    <w:uiPriority w:val="0"/>
    <w:qFormat/>
    <w:pPr>
      <w:ind w:left="420"/>
    </w:pPr>
    <w:rPr>
      <w:rFonts w:ascii="Calibri" w:hAnsi="Calibri" w:eastAsia="楷体_GB2312" w:cs="Times New Roman"/>
      <w:sz w:val="26"/>
      <w:szCs w:val="20"/>
    </w:rPr>
  </w:style>
  <w:style w:type="paragraph" w:styleId="738">
    <w:name w:val="toc 9"/>
    <w:basedOn w:val="691"/>
    <w:next w:val="691"/>
    <w:uiPriority w:val="0"/>
    <w:qFormat/>
    <w:pPr>
      <w:ind w:left="3360"/>
    </w:pPr>
    <w:rPr>
      <w:rFonts w:ascii="Calibri" w:hAnsi="Calibri" w:eastAsia="楷体_GB2312" w:cs="Times New Roman"/>
      <w:sz w:val="26"/>
      <w:szCs w:val="20"/>
    </w:rPr>
  </w:style>
  <w:style w:type="paragraph" w:styleId="739">
    <w:name w:val="HTML Preformatted"/>
    <w:basedOn w:val="691"/>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40">
    <w:name w:val="Normal (Web)"/>
    <w:basedOn w:val="691"/>
    <w:uiPriority w:val="99"/>
    <w:qFormat/>
    <w:pPr>
      <w:jc w:val="left"/>
      <w:spacing w:before="100" w:beforeAutospacing="1" w:after="100" w:afterAutospacing="1"/>
    </w:pPr>
    <w:rPr>
      <w:rFonts w:ascii="Calibri" w:hAnsi="Calibri" w:eastAsia="楷体_GB2312" w:cs="Times New Roman"/>
      <w:sz w:val="24"/>
    </w:rPr>
  </w:style>
  <w:style w:type="paragraph" w:styleId="741">
    <w:name w:val="index 2"/>
    <w:basedOn w:val="691"/>
    <w:next w:val="691"/>
    <w:uiPriority w:val="0"/>
    <w:qFormat/>
    <w:pPr>
      <w:ind w:left="420"/>
    </w:pPr>
    <w:rPr>
      <w:rFonts w:ascii="Calibri" w:hAnsi="Calibri" w:eastAsia="楷体_GB2312" w:cs="Times New Roman"/>
      <w:sz w:val="26"/>
      <w:szCs w:val="20"/>
    </w:rPr>
  </w:style>
  <w:style w:type="paragraph" w:styleId="742">
    <w:name w:val="Title"/>
    <w:basedOn w:val="691"/>
    <w:next w:val="691"/>
    <w:link w:val="951"/>
    <w:uiPriority w:val="0"/>
    <w:qFormat/>
    <w:pPr>
      <w:jc w:val="center"/>
      <w:spacing w:before="240" w:after="60"/>
      <w:outlineLvl w:val="0"/>
    </w:pPr>
    <w:rPr>
      <w:rFonts w:ascii="Cambria" w:hAnsi="Cambria" w:eastAsia="宋体" w:cs="Times New Roman"/>
      <w:b/>
      <w:bCs/>
      <w:sz w:val="32"/>
      <w:szCs w:val="32"/>
    </w:rPr>
  </w:style>
  <w:style w:type="paragraph" w:styleId="743">
    <w:name w:val="annotation subject"/>
    <w:basedOn w:val="709"/>
    <w:next w:val="709"/>
    <w:link w:val="952"/>
    <w:uiPriority w:val="99"/>
    <w:qFormat/>
    <w:rPr>
      <w:b/>
      <w:bCs/>
    </w:rPr>
  </w:style>
  <w:style w:type="paragraph" w:styleId="744">
    <w:name w:val="Body Text First Indent 2"/>
    <w:basedOn w:val="712"/>
    <w:link w:val="953"/>
    <w:uiPriority w:val="0"/>
    <w:qFormat/>
    <w:pPr>
      <w:ind w:left="420" w:firstLine="420"/>
      <w:spacing w:after="120" w:line="240" w:lineRule="auto"/>
    </w:pPr>
    <w:rPr>
      <w:rFonts w:ascii="Calibri" w:hAnsi="Calibri" w:eastAsia="楷体_GB2312"/>
      <w:sz w:val="26"/>
    </w:rPr>
  </w:style>
  <w:style w:type="table" w:styleId="745">
    <w:name w:val="Table Grid"/>
    <w:basedOn w:val="70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basedOn w:val="701"/>
    <w:uiPriority w:val="0"/>
    <w:qFormat/>
    <w:rPr>
      <w:b/>
    </w:rPr>
  </w:style>
  <w:style w:type="character" w:styleId="747">
    <w:name w:val="endnote reference"/>
    <w:uiPriority w:val="0"/>
    <w:qFormat/>
    <w:rPr>
      <w:vertAlign w:val="superscript"/>
    </w:rPr>
  </w:style>
  <w:style w:type="character" w:styleId="748">
    <w:name w:val="page number"/>
    <w:basedOn w:val="701"/>
    <w:uiPriority w:val="0"/>
    <w:qFormat/>
  </w:style>
  <w:style w:type="character" w:styleId="749">
    <w:name w:val="FollowedHyperlink"/>
    <w:uiPriority w:val="99"/>
    <w:unhideWhenUsed/>
    <w:qFormat/>
    <w:rPr>
      <w:color w:val="800080"/>
      <w:u w:val="single"/>
    </w:rPr>
  </w:style>
  <w:style w:type="character" w:styleId="750">
    <w:name w:val="Emphasis"/>
    <w:uiPriority w:val="0"/>
    <w:qFormat/>
    <w:rPr>
      <w:i/>
    </w:rPr>
  </w:style>
  <w:style w:type="character" w:styleId="751">
    <w:name w:val="Hyperlink"/>
    <w:uiPriority w:val="0"/>
    <w:unhideWhenUsed/>
    <w:qFormat/>
    <w:rPr>
      <w:color w:val="0000ff"/>
      <w:u w:val="single"/>
    </w:rPr>
  </w:style>
  <w:style w:type="character" w:styleId="752">
    <w:name w:val="annotation reference"/>
    <w:uiPriority w:val="99"/>
    <w:qFormat/>
    <w:rPr>
      <w:sz w:val="21"/>
      <w:szCs w:val="21"/>
    </w:rPr>
  </w:style>
  <w:style w:type="character" w:styleId="753">
    <w:name w:val="footnote reference"/>
    <w:uiPriority w:val="0"/>
    <w:qFormat/>
    <w:rPr>
      <w:vertAlign w:val="superscript"/>
    </w:rPr>
  </w:style>
  <w:style w:type="table" w:styleId="754" w:customStyle="1">
    <w:name w:val="Plain Table 1"/>
    <w:basedOn w:val="70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0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0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0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70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7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0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70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3" w:customStyle="1">
    <w:name w:val="TOC Heading"/>
    <w:uiPriority w:val="39"/>
    <w:unhideWhenUsed/>
    <w:rPr>
      <w:rFonts w:hint="default" w:ascii="Times New Roman" w:hAnsi="Times New Roman" w:eastAsia="宋体" w:cs="Times New Roman"/>
    </w:rPr>
  </w:style>
  <w:style w:type="character" w:styleId="774" w:customStyle="1">
    <w:name w:val="Heading 7 Char"/>
    <w:basedOn w:val="701"/>
    <w:uiPriority w:val="9"/>
    <w:qFormat/>
    <w:rPr>
      <w:rFonts w:ascii="Arial" w:hAnsi="Arial" w:eastAsia="Arial" w:cs="Arial"/>
      <w:b/>
      <w:bCs/>
      <w:i/>
      <w:iCs/>
      <w:sz w:val="22"/>
      <w:szCs w:val="22"/>
    </w:rPr>
  </w:style>
  <w:style w:type="character" w:styleId="775" w:customStyle="1">
    <w:name w:val="Heading 8 Char"/>
    <w:basedOn w:val="701"/>
    <w:uiPriority w:val="9"/>
    <w:rPr>
      <w:rFonts w:ascii="Arial" w:hAnsi="Arial" w:eastAsia="Arial" w:cs="Arial"/>
      <w:i/>
      <w:iCs/>
      <w:sz w:val="22"/>
      <w:szCs w:val="22"/>
    </w:rPr>
  </w:style>
  <w:style w:type="character" w:styleId="776" w:customStyle="1">
    <w:name w:val="Heading 9 Char"/>
    <w:basedOn w:val="701"/>
    <w:uiPriority w:val="9"/>
    <w:qFormat/>
    <w:rPr>
      <w:rFonts w:ascii="Arial" w:hAnsi="Arial" w:eastAsia="Arial" w:cs="Arial"/>
      <w:i/>
      <w:iCs/>
      <w:sz w:val="21"/>
      <w:szCs w:val="21"/>
    </w:rPr>
  </w:style>
  <w:style w:type="character" w:styleId="777" w:customStyle="1">
    <w:name w:val="Quote Char"/>
    <w:uiPriority w:val="29"/>
    <w:qFormat/>
    <w:rPr>
      <w:i/>
    </w:rPr>
  </w:style>
  <w:style w:type="character" w:styleId="778" w:customStyle="1">
    <w:name w:val="Intense Quote Char"/>
    <w:uiPriority w:val="30"/>
    <w:qFormat/>
    <w:rPr>
      <w:i/>
    </w:rPr>
  </w:style>
  <w:style w:type="table" w:styleId="779" w:customStyle="1">
    <w:name w:val="无格式表格 1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hint="default" w:ascii="Times New Roman" w:hAnsi="Times New Roman" w:eastAsia="宋体" w:cs="Times New Roman"/>
      <w:lang w:val="en-US" w:eastAsia="zh-CN" w:bidi="ar-SA"/>
    </w:rPr>
  </w:style>
  <w:style w:type="character" w:styleId="799" w:customStyle="1">
    <w:name w:val="Heading 1 Char"/>
    <w:basedOn w:val="701"/>
    <w:uiPriority w:val="9"/>
    <w:qFormat/>
    <w:rPr>
      <w:rFonts w:ascii="Arial" w:hAnsi="Arial" w:eastAsia="Arial" w:cs="Arial"/>
      <w:sz w:val="40"/>
      <w:szCs w:val="40"/>
    </w:rPr>
  </w:style>
  <w:style w:type="character" w:styleId="800" w:customStyle="1">
    <w:name w:val="Heading 2 Char"/>
    <w:basedOn w:val="701"/>
    <w:uiPriority w:val="9"/>
    <w:qFormat/>
    <w:rPr>
      <w:rFonts w:ascii="Arial" w:hAnsi="Arial" w:eastAsia="Arial" w:cs="Arial"/>
      <w:sz w:val="34"/>
    </w:rPr>
  </w:style>
  <w:style w:type="character" w:styleId="801" w:customStyle="1">
    <w:name w:val="Heading 3 Char"/>
    <w:basedOn w:val="701"/>
    <w:uiPriority w:val="9"/>
    <w:qFormat/>
    <w:rPr>
      <w:rFonts w:ascii="Arial" w:hAnsi="Arial" w:eastAsia="Arial" w:cs="Arial"/>
      <w:sz w:val="30"/>
      <w:szCs w:val="30"/>
    </w:rPr>
  </w:style>
  <w:style w:type="character" w:styleId="802" w:customStyle="1">
    <w:name w:val="Heading 4 Char"/>
    <w:basedOn w:val="701"/>
    <w:uiPriority w:val="9"/>
    <w:qFormat/>
    <w:rPr>
      <w:rFonts w:ascii="Arial" w:hAnsi="Arial" w:eastAsia="Arial" w:cs="Arial"/>
      <w:b/>
      <w:bCs/>
      <w:sz w:val="26"/>
      <w:szCs w:val="26"/>
    </w:rPr>
  </w:style>
  <w:style w:type="character" w:styleId="803" w:customStyle="1">
    <w:name w:val="Heading 5 Char"/>
    <w:basedOn w:val="701"/>
    <w:uiPriority w:val="9"/>
    <w:qFormat/>
    <w:rPr>
      <w:rFonts w:ascii="Arial" w:hAnsi="Arial" w:eastAsia="Arial" w:cs="Arial"/>
      <w:b/>
      <w:bCs/>
      <w:sz w:val="24"/>
      <w:szCs w:val="24"/>
    </w:rPr>
  </w:style>
  <w:style w:type="character" w:styleId="804" w:customStyle="1">
    <w:name w:val="Heading 6 Char"/>
    <w:basedOn w:val="701"/>
    <w:uiPriority w:val="9"/>
    <w:qFormat/>
    <w:rPr>
      <w:rFonts w:ascii="Arial" w:hAnsi="Arial" w:eastAsia="Arial" w:cs="Arial"/>
      <w:b/>
      <w:bCs/>
      <w:sz w:val="22"/>
      <w:szCs w:val="22"/>
    </w:rPr>
  </w:style>
  <w:style w:type="character" w:styleId="805" w:customStyle="1">
    <w:name w:val="标题 7 字符"/>
    <w:basedOn w:val="701"/>
    <w:link w:val="698"/>
    <w:uiPriority w:val="9"/>
    <w:qFormat/>
    <w:rPr>
      <w:rFonts w:ascii="Arial" w:hAnsi="Arial" w:eastAsia="Arial" w:cs="Arial"/>
      <w:b/>
      <w:bCs/>
      <w:i/>
      <w:iCs/>
      <w:sz w:val="22"/>
      <w:szCs w:val="22"/>
    </w:rPr>
  </w:style>
  <w:style w:type="character" w:styleId="806" w:customStyle="1">
    <w:name w:val="标题 8 字符"/>
    <w:basedOn w:val="701"/>
    <w:link w:val="699"/>
    <w:uiPriority w:val="9"/>
    <w:qFormat/>
    <w:rPr>
      <w:rFonts w:ascii="Arial" w:hAnsi="Arial" w:eastAsia="Arial" w:cs="Arial"/>
      <w:i/>
      <w:iCs/>
      <w:sz w:val="22"/>
      <w:szCs w:val="22"/>
    </w:rPr>
  </w:style>
  <w:style w:type="character" w:styleId="807" w:customStyle="1">
    <w:name w:val="标题 9 字符"/>
    <w:basedOn w:val="701"/>
    <w:link w:val="700"/>
    <w:uiPriority w:val="9"/>
    <w:qFormat/>
    <w:rPr>
      <w:rFonts w:ascii="Arial" w:hAnsi="Arial" w:eastAsia="Arial" w:cs="Arial"/>
      <w:i/>
      <w:iCs/>
      <w:sz w:val="21"/>
      <w:szCs w:val="21"/>
    </w:rPr>
  </w:style>
  <w:style w:type="paragraph" w:styleId="808">
    <w:name w:val="No Spacing"/>
    <w:uiPriority w:val="1"/>
    <w:qFormat/>
    <w:rPr>
      <w:rFonts w:hint="default" w:ascii="Times New Roman" w:hAnsi="Times New Roman" w:eastAsia="宋体" w:cs="Times New Roman"/>
      <w:lang w:val="en-US" w:eastAsia="zh-CN" w:bidi="ar-SA"/>
    </w:rPr>
  </w:style>
  <w:style w:type="character" w:styleId="809" w:customStyle="1">
    <w:name w:val="Title Char"/>
    <w:basedOn w:val="701"/>
    <w:uiPriority w:val="10"/>
    <w:qFormat/>
    <w:rPr>
      <w:sz w:val="48"/>
      <w:szCs w:val="48"/>
    </w:rPr>
  </w:style>
  <w:style w:type="character" w:styleId="810" w:customStyle="1">
    <w:name w:val="Subtitle Char"/>
    <w:basedOn w:val="701"/>
    <w:uiPriority w:val="11"/>
    <w:qFormat/>
    <w:rPr>
      <w:sz w:val="24"/>
      <w:szCs w:val="24"/>
    </w:rPr>
  </w:style>
  <w:style w:type="paragraph" w:styleId="811">
    <w:name w:val="Quote"/>
    <w:basedOn w:val="691"/>
    <w:next w:val="691"/>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691"/>
    <w:next w:val="691"/>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01"/>
    <w:uiPriority w:val="99"/>
    <w:qFormat/>
  </w:style>
  <w:style w:type="character" w:styleId="816" w:customStyle="1">
    <w:name w:val="Footer Char"/>
    <w:basedOn w:val="701"/>
    <w:uiPriority w:val="99"/>
    <w:qFormat/>
  </w:style>
  <w:style w:type="character" w:styleId="817" w:customStyle="1">
    <w:name w:val="Caption Char"/>
    <w:uiPriority w:val="99"/>
    <w:qFormat/>
  </w:style>
  <w:style w:type="table" w:styleId="818"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Grid Table 1 Light - Accent 1"/>
    <w:basedOn w:val="7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basedOn w:val="7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0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0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basedOn w:val="7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0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0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basedOn w:val="70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basedOn w:val="70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basedOn w:val="70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basedOn w:val="70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0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0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basedOn w:val="70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0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basedOn w:val="7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0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0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 Accent 1"/>
    <w:basedOn w:val="70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0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0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0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0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0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basedOn w:val="70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0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0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0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0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0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basedOn w:val="70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0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0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0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0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0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basedOn w:val="70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basedOn w:val="7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0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0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0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basedOn w:val="70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0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0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0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0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0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basedOn w:val="70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0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0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0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0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0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 Accent 1"/>
    <w:basedOn w:val="70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0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0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0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0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0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 Accent 1"/>
    <w:basedOn w:val="70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0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0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0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0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0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0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0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0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0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0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0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uiPriority w:val="99"/>
    <w:qFormat/>
    <w:rPr>
      <w:sz w:val="18"/>
    </w:rPr>
  </w:style>
  <w:style w:type="character" w:styleId="925" w:customStyle="1">
    <w:name w:val="Endnote Text Char"/>
    <w:uiPriority w:val="99"/>
    <w:qFormat/>
    <w:rPr>
      <w:sz w:val="20"/>
    </w:rPr>
  </w:style>
  <w:style w:type="paragraph" w:styleId="926" w:customStyle="1">
    <w:name w:val="TOC 标题11"/>
    <w:uiPriority w:val="39"/>
    <w:unhideWhenUsed/>
    <w:qFormat/>
    <w:rPr>
      <w:rFonts w:hint="default" w:ascii="Times New Roman" w:hAnsi="Times New Roman" w:eastAsia="宋体" w:cs="Times New Roman"/>
      <w:lang w:val="en-US" w:eastAsia="zh-CN" w:bidi="ar-SA"/>
    </w:rPr>
  </w:style>
  <w:style w:type="paragraph" w:styleId="927" w:customStyle="1">
    <w:name w:val="段"/>
    <w:next w:val="691"/>
    <w:uiPriority w:val="0"/>
    <w:qFormat/>
    <w:pPr>
      <w:ind w:firstLine="200"/>
      <w:jc w:val="both"/>
    </w:pPr>
    <w:rPr>
      <w:rFonts w:hint="default" w:ascii="宋体" w:hAnsi="Times New Roman" w:eastAsia="宋体" w:cs="宋体"/>
      <w:sz w:val="21"/>
      <w:szCs w:val="21"/>
      <w:lang w:val="en-US" w:eastAsia="zh-CN" w:bidi="ar-SA"/>
    </w:rPr>
  </w:style>
  <w:style w:type="paragraph" w:styleId="928" w:customStyle="1">
    <w:name w:val="首行缩进"/>
    <w:basedOn w:val="691"/>
    <w:uiPriority w:val="0"/>
    <w:qFormat/>
    <w:pPr>
      <w:ind w:firstLine="480"/>
    </w:pPr>
    <w:rPr>
      <w:rFonts w:ascii="Calibri" w:hAnsi="Calibri" w:eastAsia="宋体" w:cs="Times New Roman"/>
      <w:szCs w:val="20"/>
      <w:lang w:val="zh-CN"/>
    </w:rPr>
  </w:style>
  <w:style w:type="character" w:styleId="929" w:customStyle="1">
    <w:name w:val="标题 1 字符"/>
    <w:basedOn w:val="701"/>
    <w:link w:val="692"/>
    <w:uiPriority w:val="0"/>
    <w:qFormat/>
    <w:rPr>
      <w:rFonts w:ascii="Calibri" w:hAnsi="Calibri" w:eastAsia="楷体_GB2312" w:cs="Times New Roman"/>
      <w:b/>
      <w:sz w:val="44"/>
      <w:szCs w:val="20"/>
    </w:rPr>
  </w:style>
  <w:style w:type="character" w:styleId="930" w:customStyle="1">
    <w:name w:val="标题 2 字符"/>
    <w:basedOn w:val="701"/>
    <w:link w:val="693"/>
    <w:uiPriority w:val="0"/>
    <w:qFormat/>
    <w:rPr>
      <w:rFonts w:ascii="宋体" w:hAnsi="宋体" w:eastAsia="楷体_GB2312" w:cs="Times New Roman"/>
      <w:b/>
      <w:sz w:val="26"/>
      <w:szCs w:val="20"/>
    </w:rPr>
  </w:style>
  <w:style w:type="character" w:styleId="931" w:customStyle="1">
    <w:name w:val="标题 3 字符"/>
    <w:basedOn w:val="701"/>
    <w:link w:val="694"/>
    <w:uiPriority w:val="0"/>
    <w:qFormat/>
    <w:rPr>
      <w:rFonts w:ascii="Calibri" w:hAnsi="Calibri" w:eastAsia="楷体_GB2312" w:cs="Times New Roman"/>
      <w:b/>
      <w:sz w:val="26"/>
      <w:szCs w:val="20"/>
    </w:rPr>
  </w:style>
  <w:style w:type="character" w:styleId="932" w:customStyle="1">
    <w:name w:val="标题 4 字符"/>
    <w:basedOn w:val="701"/>
    <w:link w:val="695"/>
    <w:uiPriority w:val="0"/>
    <w:qFormat/>
    <w:rPr>
      <w:rFonts w:ascii="Arial" w:hAnsi="Arial" w:eastAsia="黑体" w:cs="Times New Roman"/>
      <w:b/>
      <w:bCs/>
      <w:sz w:val="28"/>
      <w:szCs w:val="28"/>
    </w:rPr>
  </w:style>
  <w:style w:type="character" w:styleId="933" w:customStyle="1">
    <w:name w:val="标题 5 字符"/>
    <w:basedOn w:val="701"/>
    <w:link w:val="696"/>
    <w:uiPriority w:val="0"/>
    <w:qFormat/>
    <w:rPr>
      <w:rFonts w:ascii="宋体" w:hAnsi="宋体" w:eastAsia="宋体" w:cs="Times New Roman"/>
      <w:color w:val="000000"/>
      <w:sz w:val="28"/>
      <w:szCs w:val="20"/>
    </w:rPr>
  </w:style>
  <w:style w:type="character" w:styleId="934" w:customStyle="1">
    <w:name w:val="标题 6 字符"/>
    <w:basedOn w:val="701"/>
    <w:link w:val="697"/>
    <w:uiPriority w:val="0"/>
    <w:qFormat/>
    <w:rPr>
      <w:rFonts w:ascii="宋体" w:hAnsi="宋体" w:eastAsia="宋体" w:cs="Times New Roman"/>
      <w:sz w:val="28"/>
      <w:szCs w:val="20"/>
    </w:rPr>
  </w:style>
  <w:style w:type="character" w:styleId="935" w:customStyle="1">
    <w:name w:val="正文缩进 字符"/>
    <w:link w:val="705"/>
    <w:uiPriority w:val="0"/>
    <w:qFormat/>
    <w:rPr>
      <w:rFonts w:ascii="Calibri" w:hAnsi="Calibri" w:eastAsia="楷体_GB2312" w:cs="Times New Roman"/>
      <w:sz w:val="24"/>
      <w:szCs w:val="20"/>
    </w:rPr>
  </w:style>
  <w:style w:type="character" w:styleId="936" w:customStyle="1">
    <w:name w:val="文档结构图 字符"/>
    <w:basedOn w:val="701"/>
    <w:link w:val="708"/>
    <w:uiPriority w:val="0"/>
    <w:qFormat/>
    <w:rPr>
      <w:rFonts w:ascii="Calibri" w:hAnsi="Calibri" w:eastAsia="楷体_GB2312" w:cs="Times New Roman"/>
      <w:sz w:val="26"/>
      <w:szCs w:val="20"/>
      <w:shd w:val="clear" w:color="auto" w:fill="000080"/>
    </w:rPr>
  </w:style>
  <w:style w:type="character" w:styleId="937" w:customStyle="1">
    <w:name w:val="批注文字 字符"/>
    <w:basedOn w:val="701"/>
    <w:link w:val="709"/>
    <w:uiPriority w:val="0"/>
    <w:qFormat/>
    <w:rPr>
      <w:rFonts w:ascii="Calibri" w:hAnsi="Calibri" w:eastAsia="楷体_GB2312" w:cs="Times New Roman"/>
      <w:sz w:val="26"/>
      <w:szCs w:val="20"/>
    </w:rPr>
  </w:style>
  <w:style w:type="character" w:styleId="938" w:customStyle="1">
    <w:name w:val="正文文本 字符"/>
    <w:basedOn w:val="701"/>
    <w:link w:val="711"/>
    <w:uiPriority w:val="0"/>
    <w:qFormat/>
    <w:rPr>
      <w:rFonts w:ascii="楷体_GB2312" w:hAnsi="Calibri" w:eastAsia="楷体_GB2312" w:cs="Times New Roman"/>
      <w:sz w:val="28"/>
      <w:szCs w:val="20"/>
    </w:rPr>
  </w:style>
  <w:style w:type="character" w:styleId="939" w:customStyle="1">
    <w:name w:val="正文文本缩进 字符"/>
    <w:basedOn w:val="701"/>
    <w:link w:val="712"/>
    <w:uiPriority w:val="99"/>
    <w:qFormat/>
    <w:rPr>
      <w:rFonts w:ascii="方正仿宋简体" w:hAnsi="创艺简仿宋" w:eastAsia="方正仿宋简体" w:cs="Times New Roman"/>
      <w:sz w:val="24"/>
      <w:szCs w:val="20"/>
    </w:rPr>
  </w:style>
  <w:style w:type="character" w:styleId="940" w:customStyle="1">
    <w:name w:val="纯文本 字符"/>
    <w:basedOn w:val="701"/>
    <w:link w:val="717"/>
    <w:uiPriority w:val="0"/>
    <w:qFormat/>
    <w:rPr>
      <w:rFonts w:ascii="宋体" w:hAnsi="Courier New" w:eastAsia="楷体_GB2312" w:cs="Times New Roman"/>
      <w:sz w:val="26"/>
      <w:szCs w:val="20"/>
    </w:rPr>
  </w:style>
  <w:style w:type="character" w:styleId="941" w:customStyle="1">
    <w:name w:val="日期 字符"/>
    <w:basedOn w:val="701"/>
    <w:link w:val="720"/>
    <w:uiPriority w:val="0"/>
    <w:qFormat/>
    <w:rPr>
      <w:rFonts w:ascii="宋体" w:hAnsi="宋体" w:eastAsia="楷体_GB2312" w:cs="Times New Roman"/>
      <w:sz w:val="24"/>
      <w:szCs w:val="20"/>
    </w:rPr>
  </w:style>
  <w:style w:type="character" w:styleId="942" w:customStyle="1">
    <w:name w:val="正文文本缩进 2 字符"/>
    <w:basedOn w:val="701"/>
    <w:link w:val="721"/>
    <w:uiPriority w:val="0"/>
    <w:qFormat/>
    <w:rPr>
      <w:rFonts w:ascii="宋体" w:hAnsi="Calibri" w:eastAsia="宋体" w:cs="Times New Roman"/>
      <w:b/>
      <w:bCs/>
      <w:sz w:val="24"/>
      <w:szCs w:val="20"/>
    </w:rPr>
  </w:style>
  <w:style w:type="character" w:styleId="943" w:customStyle="1">
    <w:name w:val="尾注文本 字符"/>
    <w:basedOn w:val="701"/>
    <w:link w:val="722"/>
    <w:uiPriority w:val="0"/>
    <w:qFormat/>
    <w:rPr>
      <w:rFonts w:ascii="Calibri" w:hAnsi="Calibri" w:eastAsia="楷体_GB2312" w:cs="Times New Roman"/>
      <w:sz w:val="26"/>
      <w:szCs w:val="20"/>
    </w:rPr>
  </w:style>
  <w:style w:type="character" w:styleId="944" w:customStyle="1">
    <w:name w:val="批注框文本 字符"/>
    <w:basedOn w:val="701"/>
    <w:link w:val="723"/>
    <w:uiPriority w:val="99"/>
    <w:qFormat/>
    <w:rPr>
      <w:rFonts w:ascii="Calibri" w:hAnsi="Calibri" w:eastAsia="楷体_GB2312" w:cs="Times New Roman"/>
      <w:sz w:val="18"/>
      <w:szCs w:val="18"/>
    </w:rPr>
  </w:style>
  <w:style w:type="character" w:styleId="945" w:customStyle="1">
    <w:name w:val="页脚 字符"/>
    <w:basedOn w:val="701"/>
    <w:link w:val="724"/>
    <w:uiPriority w:val="99"/>
    <w:qFormat/>
    <w:rPr>
      <w:rFonts w:ascii="Calibri" w:hAnsi="Calibri" w:eastAsia="楷体_GB2312" w:cs="Times New Roman"/>
      <w:sz w:val="18"/>
      <w:szCs w:val="20"/>
    </w:rPr>
  </w:style>
  <w:style w:type="character" w:styleId="946" w:customStyle="1">
    <w:name w:val="页眉 字符"/>
    <w:basedOn w:val="701"/>
    <w:link w:val="725"/>
    <w:uiPriority w:val="99"/>
    <w:qFormat/>
    <w:rPr>
      <w:rFonts w:ascii="Calibri" w:hAnsi="Calibri" w:eastAsia="楷体_GB2312" w:cs="Times New Roman"/>
      <w:sz w:val="18"/>
      <w:szCs w:val="20"/>
    </w:rPr>
  </w:style>
  <w:style w:type="character" w:styleId="947" w:customStyle="1">
    <w:name w:val="副标题 字符"/>
    <w:basedOn w:val="701"/>
    <w:link w:val="730"/>
    <w:uiPriority w:val="0"/>
    <w:qFormat/>
    <w:rPr>
      <w:rFonts w:ascii="Cambria" w:hAnsi="Cambria" w:eastAsia="宋体" w:cs="Times New Roman"/>
      <w:b/>
      <w:bCs/>
      <w:sz w:val="24"/>
      <w:szCs w:val="32"/>
    </w:rPr>
  </w:style>
  <w:style w:type="character" w:styleId="948" w:customStyle="1">
    <w:name w:val="脚注文本 字符"/>
    <w:basedOn w:val="701"/>
    <w:link w:val="731"/>
    <w:uiPriority w:val="0"/>
    <w:qFormat/>
    <w:rPr>
      <w:rFonts w:ascii="Calibri" w:hAnsi="Calibri" w:eastAsia="楷体_GB2312" w:cs="Times New Roman"/>
      <w:sz w:val="18"/>
      <w:szCs w:val="20"/>
    </w:rPr>
  </w:style>
  <w:style w:type="character" w:styleId="949" w:customStyle="1">
    <w:name w:val="正文文本缩进 3 字符"/>
    <w:basedOn w:val="701"/>
    <w:link w:val="733"/>
    <w:uiPriority w:val="0"/>
    <w:qFormat/>
    <w:rPr>
      <w:rFonts w:ascii="Calibri" w:hAnsi="Calibri" w:eastAsia="宋体" w:cs="Times New Roman"/>
      <w:sz w:val="24"/>
      <w:szCs w:val="24"/>
    </w:rPr>
  </w:style>
  <w:style w:type="character" w:styleId="950" w:customStyle="1">
    <w:name w:val="HTML 预设格式 字符"/>
    <w:basedOn w:val="701"/>
    <w:link w:val="739"/>
    <w:uiPriority w:val="0"/>
    <w:qFormat/>
    <w:rPr>
      <w:rFonts w:ascii="黑体" w:hAnsi="Courier New" w:eastAsia="黑体" w:cs="Times New Roman"/>
      <w:sz w:val="20"/>
      <w:szCs w:val="20"/>
    </w:rPr>
  </w:style>
  <w:style w:type="character" w:styleId="951" w:customStyle="1">
    <w:name w:val="标题 字符"/>
    <w:basedOn w:val="701"/>
    <w:link w:val="742"/>
    <w:uiPriority w:val="0"/>
    <w:qFormat/>
    <w:rPr>
      <w:rFonts w:ascii="Cambria" w:hAnsi="Cambria" w:eastAsia="宋体" w:cs="Times New Roman"/>
      <w:b/>
      <w:bCs/>
      <w:sz w:val="32"/>
      <w:szCs w:val="32"/>
    </w:rPr>
  </w:style>
  <w:style w:type="character" w:styleId="952" w:customStyle="1">
    <w:name w:val="批注主题 字符"/>
    <w:basedOn w:val="937"/>
    <w:link w:val="743"/>
    <w:uiPriority w:val="99"/>
    <w:qFormat/>
    <w:rPr>
      <w:rFonts w:ascii="Calibri" w:hAnsi="Calibri" w:eastAsia="楷体_GB2312" w:cs="Times New Roman"/>
      <w:b/>
      <w:bCs/>
      <w:sz w:val="26"/>
      <w:szCs w:val="20"/>
    </w:rPr>
  </w:style>
  <w:style w:type="character" w:styleId="953" w:customStyle="1">
    <w:name w:val="正文文本首行缩进 2 字符"/>
    <w:basedOn w:val="939"/>
    <w:link w:val="744"/>
    <w:uiPriority w:val="0"/>
    <w:qFormat/>
    <w:rPr>
      <w:rFonts w:ascii="Calibri" w:hAnsi="Calibri" w:eastAsia="楷体_GB2312" w:cs="Times New Roman"/>
      <w:sz w:val="26"/>
      <w:szCs w:val="20"/>
    </w:rPr>
  </w:style>
  <w:style w:type="character" w:styleId="954" w:customStyle="1">
    <w:name w:val="Plain Text Char Char"/>
    <w:link w:val="955"/>
    <w:uiPriority w:val="0"/>
    <w:qFormat/>
    <w:rPr>
      <w:rFonts w:ascii="宋体" w:hAnsi="Courier New" w:eastAsia="楷体_GB2312"/>
      <w:sz w:val="26"/>
    </w:rPr>
  </w:style>
  <w:style w:type="paragraph" w:styleId="955" w:customStyle="1">
    <w:name w:val="纯文本3"/>
    <w:basedOn w:val="691"/>
    <w:link w:val="954"/>
    <w:uiPriority w:val="0"/>
    <w:qFormat/>
    <w:rPr>
      <w:rFonts w:ascii="宋体" w:hAnsi="Courier New" w:eastAsia="楷体_GB2312"/>
      <w:sz w:val="26"/>
    </w:rPr>
  </w:style>
  <w:style w:type="character" w:styleId="956" w:customStyle="1">
    <w:name w:val="styl81"/>
    <w:uiPriority w:val="0"/>
    <w:qFormat/>
    <w:rPr>
      <w:sz w:val="21"/>
    </w:rPr>
  </w:style>
  <w:style w:type="character" w:styleId="957" w:customStyle="1">
    <w:name w:val="Plain Text Char"/>
    <w:link w:val="958"/>
    <w:uiPriority w:val="0"/>
    <w:qFormat/>
    <w:rPr>
      <w:rFonts w:ascii="宋体" w:hAnsi="Courier New" w:eastAsia="楷体_GB2312"/>
      <w:sz w:val="26"/>
    </w:rPr>
  </w:style>
  <w:style w:type="paragraph" w:styleId="958" w:customStyle="1">
    <w:name w:val="纯文本1"/>
    <w:basedOn w:val="691"/>
    <w:link w:val="957"/>
    <w:uiPriority w:val="0"/>
    <w:qFormat/>
    <w:rPr>
      <w:rFonts w:ascii="宋体" w:hAnsi="Courier New" w:eastAsia="楷体_GB2312"/>
      <w:sz w:val="26"/>
    </w:rPr>
  </w:style>
  <w:style w:type="character" w:styleId="959" w:customStyle="1">
    <w:name w:val="表正文 Char1"/>
    <w:uiPriority w:val="0"/>
    <w:qFormat/>
    <w:rPr>
      <w:rFonts w:eastAsia="楷体_GB2312"/>
      <w:sz w:val="24"/>
      <w:lang w:val="en-US" w:eastAsia="zh-CN" w:bidi="ar-SA"/>
    </w:rPr>
  </w:style>
  <w:style w:type="character" w:styleId="960" w:customStyle="1">
    <w:name w:val="_正文段落 Char"/>
    <w:link w:val="961"/>
    <w:uiPriority w:val="0"/>
    <w:qFormat/>
    <w:rPr>
      <w:rFonts w:ascii="宋体" w:hAnsi="宋体"/>
      <w:sz w:val="24"/>
      <w:szCs w:val="24"/>
    </w:rPr>
  </w:style>
  <w:style w:type="paragraph" w:styleId="961" w:customStyle="1">
    <w:name w:val="_正文段落"/>
    <w:basedOn w:val="691"/>
    <w:link w:val="960"/>
    <w:uiPriority w:val="0"/>
    <w:qFormat/>
    <w:pPr>
      <w:ind w:firstLine="480"/>
      <w:spacing w:line="360" w:lineRule="auto"/>
    </w:pPr>
    <w:rPr>
      <w:rFonts w:ascii="宋体" w:hAnsi="宋体"/>
      <w:sz w:val="24"/>
      <w:szCs w:val="24"/>
    </w:rPr>
  </w:style>
  <w:style w:type="character" w:styleId="962" w:customStyle="1">
    <w:name w:val="Andy_正文 Char"/>
    <w:link w:val="963"/>
    <w:uiPriority w:val="0"/>
    <w:qFormat/>
    <w:rPr>
      <w:sz w:val="24"/>
      <w:szCs w:val="24"/>
    </w:rPr>
  </w:style>
  <w:style w:type="paragraph" w:styleId="963" w:customStyle="1">
    <w:name w:val="Andy_正文"/>
    <w:basedOn w:val="691"/>
    <w:link w:val="962"/>
    <w:uiPriority w:val="0"/>
    <w:qFormat/>
    <w:pPr>
      <w:ind w:firstLine="480"/>
      <w:spacing w:line="360" w:lineRule="auto"/>
    </w:pPr>
    <w:rPr>
      <w:sz w:val="24"/>
      <w:szCs w:val="24"/>
    </w:rPr>
  </w:style>
  <w:style w:type="character" w:styleId="964" w:customStyle="1">
    <w:name w:val="正文缩进 Char1"/>
    <w:uiPriority w:val="0"/>
    <w:qFormat/>
    <w:rPr>
      <w:rFonts w:eastAsia="楷体_GB2312"/>
      <w:sz w:val="24"/>
    </w:rPr>
  </w:style>
  <w:style w:type="character" w:styleId="965" w:customStyle="1">
    <w:name w:val="副标题 Char1"/>
    <w:uiPriority w:val="11"/>
    <w:qFormat/>
    <w:rPr>
      <w:rFonts w:ascii="Cambria" w:hAnsi="Cambria" w:cs="Times New Roman"/>
      <w:b/>
      <w:bCs/>
      <w:sz w:val="32"/>
      <w:szCs w:val="32"/>
    </w:rPr>
  </w:style>
  <w:style w:type="character" w:styleId="966" w:customStyle="1">
    <w:name w:val="Andy_2级 Char"/>
    <w:link w:val="967"/>
    <w:uiPriority w:val="0"/>
    <w:qFormat/>
    <w:rPr>
      <w:sz w:val="24"/>
    </w:rPr>
  </w:style>
  <w:style w:type="paragraph" w:styleId="967" w:customStyle="1">
    <w:name w:val="Andy_2级"/>
    <w:basedOn w:val="691"/>
    <w:link w:val="966"/>
    <w:uiPriority w:val="0"/>
    <w:qFormat/>
    <w:pPr>
      <w:numPr>
        <w:ilvl w:val="1"/>
        <w:numId w:val="1"/>
      </w:numPr>
      <w:spacing w:line="360" w:lineRule="auto"/>
    </w:pPr>
    <w:rPr>
      <w:sz w:val="24"/>
    </w:rPr>
  </w:style>
  <w:style w:type="character" w:styleId="968" w:customStyle="1">
    <w:name w:val="副标题 Char2"/>
    <w:uiPriority w:val="0"/>
    <w:qFormat/>
    <w:rPr>
      <w:rFonts w:ascii="Cambria" w:hAnsi="Cambria" w:cs="Times New Roman"/>
      <w:b/>
      <w:bCs/>
      <w:sz w:val="32"/>
      <w:szCs w:val="32"/>
    </w:rPr>
  </w:style>
  <w:style w:type="character" w:styleId="969" w:customStyle="1">
    <w:name w:val="正文首行缩进 2 Char1"/>
    <w:uiPriority w:val="0"/>
    <w:qFormat/>
    <w:rPr>
      <w:rFonts w:ascii="方正仿宋简体" w:hAnsi="创艺简仿宋" w:eastAsia="楷体_GB2312"/>
      <w:sz w:val="26"/>
    </w:rPr>
  </w:style>
  <w:style w:type="character" w:styleId="970" w:customStyle="1">
    <w:name w:val="ca-221"/>
    <w:uiPriority w:val="0"/>
    <w:qFormat/>
    <w:rPr>
      <w:rFonts w:hint="eastAsia" w:ascii="宋体" w:hAnsi="宋体" w:eastAsia="宋体"/>
      <w:color w:val="ff0000"/>
      <w:sz w:val="24"/>
      <w:szCs w:val="24"/>
    </w:rPr>
  </w:style>
  <w:style w:type="paragraph" w:styleId="971" w:customStyle="1">
    <w:name w:val="纯文本11"/>
    <w:basedOn w:val="691"/>
    <w:uiPriority w:val="0"/>
    <w:qFormat/>
    <w:rPr>
      <w:rFonts w:ascii="宋体" w:hAnsi="Courier New" w:eastAsia="楷体_GB2312" w:cs="Times New Roman"/>
      <w:sz w:val="26"/>
      <w:szCs w:val="20"/>
    </w:rPr>
  </w:style>
  <w:style w:type="paragraph" w:styleId="972" w:customStyle="1">
    <w:name w:val="xl70"/>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3" w:customStyle="1">
    <w:name w:val="xl69"/>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4" w:customStyle="1">
    <w:name w:val="xl79"/>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5" w:customStyle="1">
    <w:name w:val="xl86"/>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6" w:customStyle="1">
    <w:name w:val="纯文本2"/>
    <w:basedOn w:val="691"/>
    <w:uiPriority w:val="0"/>
    <w:qFormat/>
    <w:rPr>
      <w:rFonts w:ascii="宋体" w:hAnsi="Courier New" w:eastAsia="楷体_GB2312" w:cs="Times New Roman"/>
      <w:sz w:val="26"/>
      <w:szCs w:val="20"/>
    </w:rPr>
  </w:style>
  <w:style w:type="paragraph" w:styleId="977" w:customStyle="1">
    <w:name w:val="列出段落2"/>
    <w:basedOn w:val="691"/>
    <w:uiPriority w:val="0"/>
    <w:qFormat/>
    <w:pPr>
      <w:ind w:firstLine="420"/>
    </w:pPr>
    <w:rPr>
      <w:rFonts w:ascii="Calibri" w:hAnsi="Calibri" w:eastAsia="宋体" w:cs="Times New Roman"/>
    </w:rPr>
  </w:style>
  <w:style w:type="paragraph" w:styleId="978" w:customStyle="1">
    <w:name w:val="xl78"/>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9" w:customStyle="1">
    <w:name w:val="xl96"/>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0" w:customStyle="1">
    <w:name w:val="Char Char Char Char"/>
    <w:basedOn w:val="708"/>
    <w:uiPriority w:val="0"/>
    <w:qFormat/>
    <w:pPr>
      <w:ind w:left="357"/>
      <w:jc w:val="left"/>
      <w:spacing w:line="436" w:lineRule="exact"/>
      <w:outlineLvl w:val="3"/>
    </w:pPr>
    <w:rPr>
      <w:rFonts w:ascii="Tahoma" w:hAnsi="Tahoma" w:eastAsia="宋体"/>
      <w:b/>
      <w:sz w:val="24"/>
      <w:szCs w:val="24"/>
    </w:rPr>
  </w:style>
  <w:style w:type="paragraph" w:styleId="981" w:customStyle="1">
    <w:name w:val="列出段落1"/>
    <w:basedOn w:val="691"/>
    <w:uiPriority w:val="0"/>
    <w:qFormat/>
    <w:pPr>
      <w:ind w:firstLine="420"/>
    </w:pPr>
    <w:rPr>
      <w:rFonts w:ascii="Calibri" w:hAnsi="Calibri" w:eastAsia="楷体_GB2312" w:cs="Times New Roman"/>
      <w:sz w:val="26"/>
      <w:szCs w:val="20"/>
    </w:rPr>
  </w:style>
  <w:style w:type="paragraph" w:styleId="982" w:customStyle="1">
    <w:name w:val="xl74"/>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3" w:customStyle="1">
    <w:name w:val="纯文本4"/>
    <w:basedOn w:val="691"/>
    <w:uiPriority w:val="0"/>
    <w:qFormat/>
    <w:rPr>
      <w:rFonts w:ascii="宋体" w:hAnsi="Courier New" w:eastAsia="楷体_GB2312" w:cs="Times New Roman"/>
      <w:sz w:val="26"/>
      <w:szCs w:val="20"/>
    </w:rPr>
  </w:style>
  <w:style w:type="paragraph" w:styleId="984" w:customStyle="1">
    <w:name w:val="xl92"/>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5" w:customStyle="1">
    <w:name w:val="xl66"/>
    <w:basedOn w:val="6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6" w:customStyle="1">
    <w:name w:val="xl94"/>
    <w:basedOn w:val="69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7" w:customStyle="1">
    <w:name w:val="Char Char3"/>
    <w:basedOn w:val="691"/>
    <w:uiPriority w:val="0"/>
    <w:qFormat/>
    <w:pPr>
      <w:jc w:val="left"/>
      <w:spacing w:after="160" w:line="240" w:lineRule="exact"/>
      <w:widowControl/>
    </w:pPr>
    <w:rPr>
      <w:rFonts w:ascii="Calibri" w:hAnsi="Calibri" w:eastAsia="宋体" w:cs="Times New Roman"/>
      <w:sz w:val="24"/>
      <w:szCs w:val="24"/>
    </w:rPr>
  </w:style>
  <w:style w:type="paragraph" w:styleId="988" w:customStyle="1">
    <w:name w:val="xl95"/>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9" w:customStyle="1">
    <w:name w:val="xl85"/>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0" w:customStyle="1">
    <w:name w:val="q3"/>
    <w:basedOn w:val="69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91" w:customStyle="1">
    <w:name w:val="xl91"/>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2" w:customStyle="1">
    <w:name w:val="Char Char Char"/>
    <w:basedOn w:val="691"/>
    <w:uiPriority w:val="0"/>
    <w:qFormat/>
    <w:pPr>
      <w:numPr>
        <w:ilvl w:val="0"/>
        <w:numId w:val="2"/>
      </w:numPr>
    </w:pPr>
    <w:rPr>
      <w:rFonts w:ascii="Calibri" w:hAnsi="Calibri" w:eastAsia="宋体" w:cs="Times New Roman"/>
      <w:sz w:val="24"/>
      <w:szCs w:val="24"/>
    </w:rPr>
  </w:style>
  <w:style w:type="paragraph" w:styleId="993" w:customStyle="1">
    <w:name w:val="xl80"/>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4" w:customStyle="1">
    <w:name w:val="修订1"/>
    <w:uiPriority w:val="99"/>
    <w:unhideWhenUsed/>
    <w:qFormat/>
    <w:rPr>
      <w:rFonts w:hint="default" w:ascii="Calibri" w:hAnsi="Calibri" w:eastAsia="楷体_GB2312" w:cs="Times New Roman"/>
      <w:sz w:val="26"/>
      <w:lang w:val="en-US" w:eastAsia="zh-CN" w:bidi="ar-SA"/>
    </w:rPr>
  </w:style>
  <w:style w:type="paragraph" w:styleId="995" w:customStyle="1">
    <w:name w:val="xl72"/>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6" w:customStyle="1">
    <w:name w:val="正文 New New New New"/>
    <w:uiPriority w:val="0"/>
    <w:qFormat/>
    <w:pPr>
      <w:jc w:val="both"/>
      <w:widowControl w:val="off"/>
    </w:pPr>
    <w:rPr>
      <w:rFonts w:hint="default" w:ascii="Calibri" w:hAnsi="Calibri" w:eastAsia="宋体" w:cs="Times New Roman"/>
      <w:szCs w:val="24"/>
      <w:lang w:val="en-US" w:eastAsia="zh-CN" w:bidi="ar-SA"/>
    </w:rPr>
  </w:style>
  <w:style w:type="paragraph" w:styleId="997" w:customStyle="1">
    <w:name w:val="纯文本111"/>
    <w:basedOn w:val="691"/>
    <w:uiPriority w:val="0"/>
    <w:qFormat/>
    <w:rPr>
      <w:rFonts w:ascii="宋体" w:hAnsi="Courier New" w:eastAsia="楷体_GB2312" w:cs="Times New Roman"/>
      <w:sz w:val="26"/>
      <w:szCs w:val="20"/>
    </w:rPr>
  </w:style>
  <w:style w:type="paragraph" w:styleId="998" w:customStyle="1">
    <w:name w:val="xl93"/>
    <w:basedOn w:val="6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9" w:customStyle="1">
    <w:name w:val="_Style 84"/>
    <w:uiPriority w:val="99"/>
    <w:unhideWhenUsed/>
    <w:qFormat/>
    <w:pPr>
      <w:jc w:val="both"/>
      <w:widowControl w:val="off"/>
    </w:pPr>
    <w:rPr>
      <w:rFonts w:hint="default" w:ascii="Calibri" w:hAnsi="Calibri" w:eastAsia="楷体_GB2312" w:cs="Times New Roman"/>
      <w:sz w:val="26"/>
      <w:lang w:val="en-US" w:eastAsia="zh-CN" w:bidi="ar-SA"/>
    </w:rPr>
  </w:style>
  <w:style w:type="paragraph" w:styleId="1000" w:customStyle="1">
    <w:name w:val="xl71"/>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1" w:customStyle="1">
    <w:name w:val="xl87"/>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2" w:customStyle="1">
    <w:name w:val="Char"/>
    <w:basedOn w:val="69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3" w:customStyle="1">
    <w:name w:val="xl67"/>
    <w:basedOn w:val="69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4" w:customStyle="1">
    <w:name w:val="xl81"/>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5" w:customStyle="1">
    <w:name w:val="xl73"/>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6" w:customStyle="1">
    <w:name w:val="xl68"/>
    <w:basedOn w:val="6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7" w:customStyle="1">
    <w:name w:val="正文1"/>
    <w:basedOn w:val="691"/>
    <w:next w:val="691"/>
    <w:uiPriority w:val="0"/>
    <w:qFormat/>
    <w:pPr>
      <w:ind w:left="420" w:firstLine="527"/>
      <w:spacing w:before="120" w:line="360" w:lineRule="auto"/>
    </w:pPr>
    <w:rPr>
      <w:rFonts w:ascii="宋体" w:hAnsi="宋体" w:eastAsia="宋体" w:cs="Times New Roman"/>
      <w:sz w:val="24"/>
      <w:szCs w:val="24"/>
    </w:rPr>
  </w:style>
  <w:style w:type="paragraph" w:styleId="1008" w:customStyle="1">
    <w:name w:val="xl90"/>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9" w:customStyle="1">
    <w:name w:val="xl83"/>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10" w:customStyle="1">
    <w:name w:val="xl76"/>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1" w:customStyle="1">
    <w:name w:val="xl82"/>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2">
    <w:name w:val="List Paragraph"/>
    <w:basedOn w:val="691"/>
    <w:uiPriority w:val="34"/>
    <w:qFormat/>
    <w:pPr>
      <w:ind w:firstLine="420"/>
    </w:pPr>
    <w:rPr>
      <w:rFonts w:ascii="Calibri" w:hAnsi="Calibri" w:eastAsia="楷体_GB2312" w:cs="Times New Roman"/>
      <w:sz w:val="26"/>
      <w:szCs w:val="20"/>
    </w:rPr>
  </w:style>
  <w:style w:type="paragraph" w:styleId="1013" w:customStyle="1">
    <w:name w:val="纯文本5"/>
    <w:basedOn w:val="691"/>
    <w:uiPriority w:val="0"/>
    <w:qFormat/>
    <w:rPr>
      <w:rFonts w:ascii="宋体" w:hAnsi="Courier New" w:eastAsia="楷体_GB2312" w:cs="Times New Roman"/>
      <w:sz w:val="26"/>
      <w:szCs w:val="20"/>
    </w:rPr>
  </w:style>
  <w:style w:type="paragraph" w:styleId="1014" w:customStyle="1">
    <w:name w:val="xl84"/>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5" w:customStyle="1">
    <w:name w:val="xl88"/>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6" w:customStyle="1">
    <w:name w:val="xl75"/>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7" w:customStyle="1">
    <w:name w:val="xl97"/>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8" w:customStyle="1">
    <w:name w:val="xl77"/>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9" w:customStyle="1">
    <w:name w:val="xl89"/>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20" w:customStyle="1">
    <w:name w:val="网格型1"/>
    <w:basedOn w:val="70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1" w:customStyle="1">
    <w:name w:val="Plain Text1"/>
    <w:basedOn w:val="691"/>
    <w:uiPriority w:val="0"/>
    <w:qFormat/>
    <w:rPr>
      <w:rFonts w:ascii="宋体" w:hAnsi="Courier New" w:eastAsia="楷体_GB2312" w:cs="Times New Roman"/>
      <w:sz w:val="26"/>
      <w:szCs w:val="20"/>
    </w:rPr>
  </w:style>
  <w:style w:type="paragraph" w:styleId="1022" w:customStyle="1">
    <w:name w:val="正文3"/>
    <w:uiPriority w:val="0"/>
    <w:qFormat/>
    <w:pPr>
      <w:jc w:val="both"/>
      <w:spacing w:line="315" w:lineRule="atLeast"/>
      <w:widowControl w:val="off"/>
    </w:pPr>
    <w:rPr>
      <w:rFonts w:hint="default" w:ascii="宋体" w:hAnsi="Calibri" w:eastAsia="宋体" w:cs="Times New Roman"/>
      <w:sz w:val="24"/>
      <w:lang w:val="en-US" w:eastAsia="zh-CN" w:bidi="ar-SA"/>
    </w:rPr>
  </w:style>
  <w:style w:type="paragraph" w:styleId="1023" w:customStyle="1">
    <w:name w:val="修订2"/>
    <w:hidden/>
    <w:uiPriority w:val="99"/>
    <w:semiHidden/>
    <w:qFormat/>
    <w:rPr>
      <w:rFonts w:hint="default" w:asciiTheme="minorHAnsi" w:hAnsiTheme="minorHAnsi" w:eastAsiaTheme="minorEastAsia" w:cstheme="minorBidi"/>
      <w:sz w:val="21"/>
      <w:szCs w:val="22"/>
      <w:lang w:val="en-US" w:eastAsia="zh-CN" w:bidi="ar-SA"/>
    </w:rPr>
  </w:style>
  <w:style w:type="paragraph" w:styleId="1024" w:customStyle="1">
    <w:name w:val="修订3"/>
    <w:hidden/>
    <w:uiPriority w:val="99"/>
    <w:semiHidden/>
    <w:qFormat/>
    <w:rPr>
      <w:rFonts w:hint="default" w:asciiTheme="minorHAnsi" w:hAnsiTheme="minorHAnsi" w:eastAsiaTheme="minorEastAsia" w:cstheme="minorBidi"/>
      <w:sz w:val="21"/>
      <w:szCs w:val="22"/>
      <w:lang w:val="en-US" w:eastAsia="zh-CN" w:bidi="ar-SA"/>
    </w:rPr>
  </w:style>
  <w:style w:type="paragraph" w:styleId="102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6" w:customStyle="1">
    <w:name w:val="修订4"/>
    <w:hidden/>
    <w:uiPriority w:val="99"/>
    <w:semiHidden/>
    <w:qFormat/>
    <w:rPr>
      <w:rFonts w:hint="default" w:asciiTheme="minorHAnsi" w:hAnsiTheme="minorHAnsi" w:eastAsiaTheme="minorEastAsia" w:cstheme="minorBidi"/>
      <w:sz w:val="21"/>
      <w:szCs w:val="22"/>
      <w:lang w:val="en-US" w:eastAsia="zh-CN" w:bidi="ar-SA"/>
    </w:rPr>
  </w:style>
  <w:style w:type="paragraph" w:styleId="1027" w:customStyle="1">
    <w:name w:val="修订5"/>
    <w:hidden/>
    <w:uiPriority w:val="99"/>
    <w:semiHidden/>
    <w:qFormat/>
    <w:rPr>
      <w:rFonts w:hint="default" w:asciiTheme="minorHAnsi" w:hAnsiTheme="minorHAnsi" w:eastAsiaTheme="minorEastAsia" w:cstheme="minorBidi"/>
      <w:sz w:val="21"/>
      <w:szCs w:val="22"/>
      <w:lang w:val="en-US" w:eastAsia="zh-CN" w:bidi="ar-SA"/>
    </w:rPr>
  </w:style>
  <w:style w:type="character" w:styleId="1028" w:customStyle="1">
    <w:name w:val="font81"/>
    <w:basedOn w:val="701"/>
    <w:uiPriority w:val="0"/>
    <w:qFormat/>
    <w:rPr>
      <w:rFonts w:hint="eastAsia" w:ascii="宋体" w:hAnsi="宋体" w:eastAsia="宋体" w:cs="宋体"/>
      <w:color w:val="000000"/>
      <w:sz w:val="18"/>
      <w:szCs w:val="18"/>
      <w:u w:val="none"/>
    </w:rPr>
  </w:style>
  <w:style w:type="character" w:styleId="1029" w:customStyle="1">
    <w:name w:val="font91"/>
    <w:basedOn w:val="701"/>
    <w:uiPriority w:val="0"/>
    <w:qFormat/>
    <w:rPr>
      <w:rFonts w:hint="eastAsia" w:ascii="宋体" w:hAnsi="宋体" w:eastAsia="宋体" w:cs="宋体"/>
      <w:b/>
      <w:bCs/>
      <w:color w:val="ff0000"/>
      <w:sz w:val="18"/>
      <w:szCs w:val="18"/>
      <w:u w:val="none"/>
    </w:rPr>
  </w:style>
  <w:style w:type="character" w:styleId="1030" w:customStyle="1">
    <w:name w:val="font21"/>
    <w:basedOn w:val="701"/>
    <w:uiPriority w:val="0"/>
    <w:qFormat/>
    <w:rPr>
      <w:rFonts w:hint="eastAsia" w:ascii="宋体" w:hAnsi="宋体" w:eastAsia="宋体" w:cs="宋体"/>
      <w:b/>
      <w:bCs/>
      <w:color w:val="000000"/>
      <w:sz w:val="22"/>
      <w:szCs w:val="22"/>
      <w:u w:val="none"/>
    </w:rPr>
  </w:style>
  <w:style w:type="character" w:styleId="1031" w:customStyle="1">
    <w:name w:val="font51"/>
    <w:basedOn w:val="701"/>
    <w:uiPriority w:val="0"/>
    <w:qFormat/>
    <w:rPr>
      <w:rFonts w:hint="eastAsia" w:ascii="宋体" w:hAnsi="宋体" w:eastAsia="宋体" w:cs="宋体"/>
      <w:b/>
      <w:bCs/>
      <w:color w:val="ff0000"/>
      <w:sz w:val="22"/>
      <w:szCs w:val="22"/>
      <w:u w:val="none"/>
    </w:rPr>
  </w:style>
  <w:style w:type="character" w:styleId="1032" w:customStyle="1">
    <w:name w:val="font31"/>
    <w:basedOn w:val="701"/>
    <w:uiPriority w:val="0"/>
    <w:qFormat/>
    <w:rPr>
      <w:rFonts w:hint="eastAsia" w:ascii="宋体" w:hAnsi="宋体" w:eastAsia="宋体" w:cs="宋体"/>
      <w:color w:val="000000"/>
      <w:sz w:val="22"/>
      <w:szCs w:val="22"/>
      <w:u w:val="none"/>
    </w:rPr>
  </w:style>
  <w:style w:type="character" w:styleId="1033" w:customStyle="1">
    <w:name w:val="font61"/>
    <w:basedOn w:val="701"/>
    <w:uiPriority w:val="0"/>
    <w:qFormat/>
    <w:rPr>
      <w:rFonts w:hint="eastAsia" w:ascii="宋体" w:hAnsi="宋体" w:eastAsia="宋体" w:cs="宋体"/>
      <w:color w:val="ff0000"/>
      <w:sz w:val="22"/>
      <w:szCs w:val="22"/>
      <w:u w:val="none"/>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customStyle="1">
    <w:name w:val="纯文本6"/>
    <w:basedOn w:val="691"/>
    <w:uiPriority w:val="0"/>
    <w:qFormat/>
    <w:rPr>
      <w:rFonts w:ascii="宋体" w:hAnsi="Courier New"/>
    </w:rPr>
  </w:style>
  <w:style w:type="character" w:styleId="1036" w:customStyle="1">
    <w:name w:val="NormalCharacter"/>
    <w:uiPriority w:val="0"/>
    <w:semiHidden/>
    <w:qFormat/>
  </w:style>
  <w:style w:type="paragraph" w:styleId="1037" w:customStyle="1">
    <w:name w:val="正文缩进1"/>
    <w:basedOn w:val="691"/>
    <w:next w:val="691"/>
    <w:uiPriority w:val="0"/>
    <w:qFormat/>
    <w:pPr>
      <w:ind w:firstLine="420"/>
      <w:jc w:val="left"/>
    </w:pPr>
    <w:rPr>
      <w:sz w:val="24"/>
    </w:rPr>
  </w:style>
  <w:style w:type="paragraph" w:styleId="1038" w:customStyle="1">
    <w:name w:val="修订6"/>
    <w:hidden/>
    <w:uiPriority w:val="99"/>
    <w:unhideWhenUsed/>
    <w:qFormat/>
    <w:rPr>
      <w:rFonts w:hint="default" w:asciiTheme="minorHAnsi" w:hAnsiTheme="minorHAnsi" w:eastAsiaTheme="minorEastAsia" w:cstheme="minorBidi"/>
      <w:sz w:val="21"/>
      <w:szCs w:val="22"/>
      <w:lang w:val="en-US" w:eastAsia="zh-CN" w:bidi="ar-SA"/>
    </w:rPr>
  </w:style>
  <w:style w:type="paragraph" w:styleId="1039" w:customStyle="1">
    <w:name w:val="修订7"/>
    <w:hidden/>
    <w:uiPriority w:val="99"/>
    <w:unhideWhenUsed/>
    <w:qFormat/>
    <w:rPr>
      <w:rFonts w:hint="default" w:asciiTheme="minorHAnsi" w:hAnsiTheme="minorHAnsi" w:eastAsiaTheme="minorEastAsia" w:cstheme="minorBidi"/>
      <w:sz w:val="21"/>
      <w:szCs w:val="22"/>
      <w:lang w:val="en-US" w:eastAsia="zh-CN" w:bidi="ar-SA"/>
    </w:rPr>
  </w:style>
  <w:style w:type="paragraph" w:styleId="1040" w:customStyle="1">
    <w:name w:val="p_text_indent_2"/>
    <w:basedOn w:val="691"/>
    <w:uiPriority w:val="0"/>
    <w:qFormat/>
    <w:pPr>
      <w:jc w:val="left"/>
      <w:spacing w:before="100" w:beforeAutospacing="1" w:after="100" w:afterAutospacing="1"/>
      <w:widowControl/>
    </w:pPr>
    <w:rPr>
      <w:rFonts w:ascii="宋体" w:hAnsi="宋体" w:eastAsia="宋体" w:cs="宋体"/>
      <w:sz w:val="24"/>
      <w:szCs w:val="24"/>
    </w:rPr>
  </w:style>
  <w:style w:type="paragraph" w:styleId="1041" w:customStyle="1">
    <w:name w:val="修订8"/>
    <w:hidden/>
    <w:uiPriority w:val="99"/>
    <w:unhideWhenUsed/>
    <w:qFormat/>
    <w:rPr>
      <w:rFonts w:hint="default" w:asciiTheme="minorHAnsi" w:hAnsiTheme="minorHAnsi" w:eastAsiaTheme="minorEastAsia" w:cstheme="minorBidi"/>
      <w:sz w:val="21"/>
      <w:szCs w:val="22"/>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203</cp:revision>
  <dcterms:created xsi:type="dcterms:W3CDTF">2026-07-16T03:06:00Z</dcterms:created>
  <dcterms:modified xsi:type="dcterms:W3CDTF">2026-09-14T03:12:54Z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CA7B609B7165468A87CB5206D280567C_13</vt:lpwstr>
  </property>
  <property fmtid="{D5CDD505-2E9C-101B-9397-08002B2CF9AE}" pid="4" name="KSOTemplateDocerSaveRecord">
    <vt:lpwstr>eyJoZGlkIjoiNDcyOTY2ZDg2ZWQ5ZmU4ZTI4MDIxMTM2NjJiNDA2MzYiLCJ1c2VySWQiOiIzMjk1NDQ3OTEifQ==</vt:lpwstr>
  </property>
</Properties>
</file>