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shd w:val="clear" w:color="auto" w:fill="auto"/>
        <w:rPr>
          <w:rFonts w:hint="eastAsia" w:ascii="宋体" w:hAnsi="宋体" w:cs="宋体"/>
          <w:b/>
          <w:sz w:val="72"/>
          <w:highlight w:val="none"/>
        </w:rPr>
      </w:pPr>
      <w:r>
        <w:rPr>
          <w:rFonts w:hint="eastAsia" w:ascii="宋体" w:hAnsi="宋体" w:cs="宋体"/>
          <w:b/>
          <w:sz w:val="72"/>
          <w:highlight w:val="none"/>
        </w:rPr>
      </w:r>
      <w:r/>
    </w:p>
    <w:p>
      <w:pPr>
        <w:pStyle w:val="995"/>
        <w:shd w:val="clear" w:color="auto" w:fill="auto"/>
        <w:rPr>
          <w:rFonts w:hint="eastAsia" w:ascii="宋体" w:hAnsi="宋体" w:cs="宋体"/>
          <w:b/>
          <w:sz w:val="72"/>
          <w:highlight w:val="none"/>
        </w:rPr>
      </w:pPr>
      <w:r>
        <w:rPr>
          <w:rFonts w:hint="eastAsia" w:ascii="宋体" w:hAnsi="宋体" w:cs="宋体"/>
          <w:b/>
          <w:sz w:val="72"/>
          <w:highlight w:val="none"/>
        </w:rPr>
      </w:r>
      <w:r/>
    </w:p>
    <w:p>
      <w:pPr>
        <w:pStyle w:val="995"/>
        <w:jc w:val="center"/>
        <w:shd w:val="clear" w:color="auto" w:fill="auto"/>
        <w:rPr>
          <w:rFonts w:hint="eastAsia" w:ascii="宋体" w:hAnsi="宋体"/>
          <w:b/>
          <w:sz w:val="72"/>
          <w:highlight w:val="none"/>
        </w:rPr>
      </w:pPr>
      <w:r>
        <w:rPr>
          <w:rFonts w:hint="eastAsia" w:ascii="宋体" w:hAnsi="宋体"/>
          <w:b/>
          <w:sz w:val="72"/>
          <w:highlight w:val="none"/>
        </w:rPr>
        <w:t xml:space="preserve">苏 州 政 府 采 购</w:t>
      </w:r>
      <w:r>
        <w:rPr>
          <w:rFonts w:hint="eastAsia" w:ascii="宋体" w:hAnsi="宋体"/>
          <w:b/>
          <w:sz w:val="72"/>
          <w:highlight w:val="none"/>
        </w:rPr>
      </w:r>
      <w:r/>
    </w:p>
    <w:p>
      <w:pPr>
        <w:pStyle w:val="995"/>
        <w:jc w:val="center"/>
        <w:shd w:val="clear" w:color="auto" w:fill="auto"/>
        <w:rPr>
          <w:rFonts w:ascii="宋体" w:hAnsi="宋体"/>
          <w:b/>
          <w:sz w:val="72"/>
          <w:highlight w:val="none"/>
        </w:rPr>
      </w:pPr>
      <w:r>
        <w:rPr>
          <w:rFonts w:hint="eastAsia" w:ascii="宋体" w:hAnsi="宋体"/>
          <w:b/>
          <w:sz w:val="72"/>
          <w:highlight w:val="none"/>
        </w:rPr>
        <w:t xml:space="preserve">竞争性磋商文件</w:t>
      </w:r>
      <w:r>
        <w:rPr>
          <w:rFonts w:ascii="宋体" w:hAnsi="宋体"/>
          <w:b/>
          <w:sz w:val="72"/>
          <w:highlight w:val="none"/>
        </w:rPr>
      </w:r>
      <w:r/>
    </w:p>
    <w:p>
      <w:pPr>
        <w:pStyle w:val="995"/>
        <w:shd w:val="clear" w:color="auto" w:fill="auto"/>
        <w:rPr>
          <w:rFonts w:hint="eastAsia" w:ascii="宋体" w:hAnsi="宋体" w:cs="宋体"/>
          <w:b/>
          <w:sz w:val="48"/>
          <w:highlight w:val="none"/>
        </w:rPr>
      </w:pPr>
      <w:r>
        <w:rPr>
          <w:rFonts w:hint="eastAsia" w:ascii="宋体" w:hAnsi="宋体" w:cs="宋体"/>
          <w:b/>
          <w:sz w:val="48"/>
          <w:highlight w:val="none"/>
        </w:rPr>
      </w:r>
      <w:r/>
    </w:p>
    <w:p>
      <w:pPr>
        <w:pStyle w:val="995"/>
        <w:shd w:val="clear" w:color="auto" w:fill="auto"/>
        <w:rPr>
          <w:rFonts w:hint="eastAsia" w:ascii="宋体" w:hAnsi="宋体" w:cs="宋体"/>
          <w:b/>
          <w:sz w:val="48"/>
          <w:highlight w:val="none"/>
        </w:rPr>
      </w:pPr>
      <w:r>
        <w:rPr>
          <w:rFonts w:hint="eastAsia" w:ascii="宋体" w:hAnsi="宋体" w:cs="宋体"/>
          <w:b/>
          <w:sz w:val="48"/>
          <w:highlight w:val="none"/>
        </w:rPr>
      </w:r>
      <w:r/>
    </w:p>
    <w:p>
      <w:pPr>
        <w:pStyle w:val="995"/>
        <w:shd w:val="clear" w:color="auto" w:fill="auto"/>
        <w:rPr>
          <w:rFonts w:hint="eastAsia" w:ascii="宋体" w:hAnsi="宋体" w:cs="宋体"/>
          <w:b/>
          <w:sz w:val="48"/>
          <w:highlight w:val="none"/>
        </w:rPr>
      </w:pPr>
      <w:r>
        <w:rPr>
          <w:rFonts w:hint="eastAsia" w:ascii="宋体" w:hAnsi="宋体" w:cs="宋体"/>
          <w:b/>
          <w:sz w:val="48"/>
          <w:highlight w:val="none"/>
        </w:rPr>
      </w:r>
      <w:r/>
    </w:p>
    <w:p>
      <w:pPr>
        <w:pStyle w:val="1074"/>
        <w:ind w:firstLine="964"/>
        <w:shd w:val="clear" w:color="auto" w:fill="auto"/>
        <w:rPr>
          <w:rFonts w:hint="eastAsia" w:hAnsi="宋体" w:cs="宋体"/>
          <w:b/>
          <w:sz w:val="48"/>
          <w:highlight w:val="none"/>
        </w:rPr>
      </w:pPr>
      <w:r>
        <w:rPr>
          <w:rFonts w:hint="eastAsia" w:hAnsi="宋体" w:cs="宋体"/>
          <w:b/>
          <w:sz w:val="48"/>
          <w:highlight w:val="none"/>
        </w:rPr>
      </w:r>
      <w:r/>
    </w:p>
    <w:p>
      <w:pPr>
        <w:pStyle w:val="995"/>
        <w:shd w:val="clear" w:color="auto" w:fill="auto"/>
        <w:rPr>
          <w:rFonts w:hint="eastAsia" w:ascii="宋体" w:hAnsi="宋体" w:cs="宋体"/>
          <w:b/>
          <w:sz w:val="48"/>
          <w:highlight w:val="none"/>
        </w:rPr>
      </w:pPr>
      <w:r>
        <w:rPr>
          <w:rFonts w:hint="eastAsia" w:ascii="宋体" w:hAnsi="宋体" w:cs="宋体"/>
          <w:b/>
          <w:sz w:val="48"/>
          <w:highlight w:val="none"/>
        </w:rPr>
      </w:r>
      <w:r/>
    </w:p>
    <w:p>
      <w:pPr>
        <w:pStyle w:val="1074"/>
        <w:ind w:firstLine="480"/>
        <w:shd w:val="clear" w:color="auto" w:fill="auto"/>
        <w:rPr>
          <w:rFonts w:hAnsi="宋体" w:cs="宋体"/>
          <w:highlight w:val="none"/>
        </w:rPr>
      </w:pPr>
      <w:r>
        <w:rPr>
          <w:rFonts w:hint="eastAsia" w:hAnsi="宋体" w:cs="宋体"/>
          <w:highlight w:val="none"/>
        </w:rPr>
        <w:t xml:space="preserve">       </w:t>
      </w:r>
      <w:r>
        <w:rPr>
          <w:rFonts w:hAnsi="宋体" w:cs="宋体"/>
          <w:highlight w:val="none"/>
        </w:rPr>
      </w:r>
      <w:r/>
    </w:p>
    <w:p>
      <w:pPr>
        <w:pStyle w:val="995"/>
        <w:ind w:firstLine="1928"/>
        <w:spacing w:line="360" w:lineRule="auto"/>
        <w:shd w:val="clear" w:color="auto" w:fill="auto"/>
        <w:rPr>
          <w:rFonts w:hint="eastAsia" w:ascii="宋体" w:hAnsi="宋体" w:eastAsia="宋体"/>
          <w:b/>
          <w:spacing w:val="-6"/>
          <w:sz w:val="32"/>
          <w:highlight w:val="none"/>
          <w:lang w:eastAsia="zh-CN"/>
        </w:rPr>
      </w:pPr>
      <w:r>
        <w:rPr>
          <w:rFonts w:hint="eastAsia" w:ascii="宋体" w:hAnsi="宋体" w:cs="宋体"/>
          <w:b/>
          <w:sz w:val="32"/>
          <w:szCs w:val="32"/>
          <w:highlight w:val="none"/>
        </w:rPr>
        <w:t xml:space="preserve">磋商编号：</w:t>
      </w:r>
      <w:r>
        <w:rPr>
          <w:rFonts w:hint="eastAsia" w:ascii="宋体" w:hAnsi="宋体"/>
          <w:b/>
          <w:spacing w:val="-6"/>
          <w:sz w:val="32"/>
          <w:highlight w:val="none"/>
          <w:lang w:eastAsia="zh-CN"/>
        </w:rPr>
        <w:t xml:space="preserve">JSZC-320505-SZHQ-C2026-0025</w:t>
      </w:r>
      <w:r>
        <w:rPr>
          <w:rFonts w:hint="eastAsia" w:ascii="宋体" w:hAnsi="宋体" w:eastAsia="宋体"/>
          <w:b/>
          <w:spacing w:val="-6"/>
          <w:sz w:val="32"/>
          <w:highlight w:val="none"/>
          <w:lang w:eastAsia="zh-CN"/>
        </w:rPr>
      </w:r>
      <w:r/>
    </w:p>
    <w:p>
      <w:pPr>
        <w:pStyle w:val="995"/>
        <w:ind w:firstLine="1928"/>
        <w:spacing w:line="360" w:lineRule="auto"/>
        <w:shd w:val="clear" w:color="auto" w:fill="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采购单位：</w:t>
      </w:r>
      <w:r>
        <w:rPr>
          <w:rFonts w:hint="eastAsia" w:ascii="宋体" w:hAnsi="宋体"/>
          <w:b/>
          <w:spacing w:val="-6"/>
          <w:sz w:val="32"/>
          <w:highlight w:val="none"/>
          <w:lang w:eastAsia="zh-CN"/>
        </w:rPr>
        <w:t xml:space="preserve">苏州国家高新技术产业开发区镇湖街道办事处</w:t>
      </w:r>
      <w:r>
        <w:rPr>
          <w:rFonts w:hint="eastAsia" w:ascii="宋体" w:hAnsi="宋体" w:eastAsia="宋体" w:cs="宋体"/>
          <w:b/>
          <w:sz w:val="32"/>
          <w:szCs w:val="32"/>
          <w:highlight w:val="none"/>
          <w:lang w:eastAsia="zh-CN"/>
        </w:rPr>
      </w:r>
      <w:r/>
    </w:p>
    <w:p>
      <w:pPr>
        <w:pStyle w:val="995"/>
        <w:ind w:left="3565" w:hanging="1622"/>
        <w:spacing w:line="360" w:lineRule="auto"/>
        <w:shd w:val="clear" w:color="auto" w:fill="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磋商内容：</w:t>
      </w:r>
      <w:r>
        <w:rPr>
          <w:rFonts w:hint="eastAsia" w:ascii="宋体" w:hAnsi="宋体"/>
          <w:b/>
          <w:spacing w:val="-6"/>
          <w:sz w:val="32"/>
          <w:highlight w:val="none"/>
          <w:lang w:eastAsia="zh-CN"/>
        </w:rPr>
        <w:t xml:space="preserve">镇湖街道四期动迁房安置小区（锦湖花园四期）项目审计协审服务</w:t>
      </w:r>
      <w:r>
        <w:rPr>
          <w:rFonts w:hint="eastAsia" w:ascii="宋体" w:hAnsi="宋体" w:eastAsia="宋体" w:cs="宋体"/>
          <w:b/>
          <w:sz w:val="32"/>
          <w:szCs w:val="32"/>
          <w:highlight w:val="none"/>
          <w:lang w:eastAsia="zh-CN"/>
        </w:rPr>
      </w:r>
      <w:r/>
    </w:p>
    <w:p>
      <w:pPr>
        <w:pStyle w:val="995"/>
        <w:ind w:firstLine="1928"/>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rPr>
        <w:t xml:space="preserve">采购类别：服务类</w:t>
      </w:r>
      <w:r>
        <w:rPr>
          <w:rFonts w:hint="eastAsia" w:ascii="宋体" w:hAnsi="宋体" w:cs="宋体"/>
          <w:b/>
          <w:sz w:val="32"/>
          <w:szCs w:val="32"/>
          <w:highlight w:val="none"/>
        </w:rPr>
      </w:r>
      <w:r/>
    </w:p>
    <w:p>
      <w:pPr>
        <w:pStyle w:val="995"/>
        <w:spacing w:line="360" w:lineRule="auto"/>
        <w:shd w:val="clear" w:color="auto" w:fill="auto"/>
        <w:rPr>
          <w:rFonts w:hint="eastAsia" w:ascii="宋体" w:hAnsi="宋体" w:cs="宋体"/>
          <w:b/>
          <w:sz w:val="28"/>
          <w:highlight w:val="none"/>
        </w:rPr>
      </w:pPr>
      <w:r>
        <w:rPr>
          <w:rFonts w:hint="eastAsia" w:ascii="宋体" w:hAnsi="宋体" w:cs="宋体"/>
          <w:b/>
          <w:sz w:val="28"/>
          <w:highlight w:val="none"/>
        </w:rPr>
      </w:r>
      <w:r/>
    </w:p>
    <w:p>
      <w:pPr>
        <w:pStyle w:val="995"/>
        <w:shd w:val="clear" w:color="auto" w:fill="auto"/>
        <w:rPr>
          <w:rFonts w:hint="eastAsia" w:ascii="宋体" w:hAnsi="宋体" w:cs="宋体"/>
          <w:sz w:val="28"/>
          <w:highlight w:val="none"/>
        </w:rPr>
      </w:pPr>
      <w:r>
        <w:rPr>
          <w:rFonts w:hint="eastAsia" w:ascii="宋体" w:hAnsi="宋体" w:cs="宋体"/>
          <w:sz w:val="28"/>
          <w:highlight w:val="none"/>
        </w:rPr>
      </w:r>
      <w:r/>
    </w:p>
    <w:p>
      <w:pPr>
        <w:pStyle w:val="995"/>
        <w:jc w:val="center"/>
        <w:shd w:val="clear" w:color="auto" w:fill="auto"/>
        <w:rPr>
          <w:rFonts w:hint="eastAsia" w:ascii="宋体" w:hAnsi="宋体" w:eastAsia="宋体" w:cs="宋体"/>
          <w:b/>
          <w:sz w:val="32"/>
          <w:highlight w:val="none"/>
          <w:lang w:eastAsia="zh-CN"/>
        </w:rPr>
      </w:pPr>
      <w:r>
        <w:rPr>
          <w:rFonts w:hint="eastAsia" w:ascii="宋体" w:hAnsi="宋体" w:cs="宋体"/>
          <w:b/>
          <w:sz w:val="32"/>
          <w:highlight w:val="none"/>
          <w:lang w:eastAsia="zh-CN"/>
        </w:rPr>
        <w:t xml:space="preserve">苏州海企国际工程咨询有限公司</w:t>
      </w:r>
      <w:r>
        <w:rPr>
          <w:rFonts w:hint="eastAsia" w:ascii="宋体" w:hAnsi="宋体" w:eastAsia="宋体" w:cs="宋体"/>
          <w:b/>
          <w:sz w:val="32"/>
          <w:highlight w:val="none"/>
          <w:lang w:eastAsia="zh-CN"/>
        </w:rPr>
      </w:r>
      <w:r/>
    </w:p>
    <w:p>
      <w:pPr>
        <w:pStyle w:val="995"/>
        <w:jc w:val="center"/>
        <w:shd w:val="clear" w:color="auto" w:fill="auto"/>
        <w:rPr>
          <w:rFonts w:hint="eastAsia" w:ascii="宋体" w:hAnsi="宋体" w:cs="宋体"/>
          <w:b/>
          <w:sz w:val="32"/>
          <w:highlight w:val="none"/>
        </w:rPr>
      </w:pPr>
      <w:r>
        <w:rPr>
          <w:rFonts w:hint="eastAsia" w:ascii="宋体" w:hAnsi="宋体" w:cs="宋体"/>
          <w:b/>
          <w:sz w:val="32"/>
          <w:highlight w:val="none"/>
        </w:rPr>
        <w:t xml:space="preserve">202</w:t>
      </w:r>
      <w:r>
        <w:rPr>
          <w:rFonts w:hint="eastAsia" w:ascii="宋体" w:hAnsi="宋体" w:cs="宋体"/>
          <w:b/>
          <w:sz w:val="32"/>
          <w:highlight w:val="none"/>
          <w:lang w:val="en-US" w:eastAsia="zh-CN"/>
        </w:rPr>
        <w:t xml:space="preserve">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1</w:t>
      </w:r>
      <w:r>
        <w:rPr>
          <w:rFonts w:hint="eastAsia" w:ascii="宋体" w:hAnsi="宋体" w:cs="宋体"/>
          <w:b/>
          <w:sz w:val="32"/>
          <w:highlight w:val="none"/>
          <w:lang w:val="en-US" w:eastAsia="zh-CN"/>
        </w:rPr>
        <w:t xml:space="preserve">0</w:t>
      </w:r>
      <w:r>
        <w:rPr>
          <w:rFonts w:hint="eastAsia" w:ascii="宋体" w:hAnsi="宋体" w:cs="宋体"/>
          <w:b/>
          <w:sz w:val="32"/>
          <w:highlight w:val="none"/>
        </w:rPr>
        <w:t xml:space="preserve">月</w:t>
      </w:r>
      <w:r>
        <w:rPr>
          <w:rFonts w:hint="eastAsia" w:ascii="宋体" w:hAnsi="宋体" w:cs="宋体"/>
          <w:b/>
          <w:sz w:val="32"/>
          <w:highlight w:val="none"/>
        </w:rPr>
      </w:r>
      <w:r/>
    </w:p>
    <w:p>
      <w:pPr>
        <w:pStyle w:val="995"/>
        <w:shd w:val="clear" w:color="auto" w:fill="auto"/>
        <w:rPr>
          <w:rFonts w:hint="eastAsia" w:ascii="宋体" w:hAnsi="宋体" w:cs="宋体"/>
          <w:b/>
          <w:highlight w:val="none"/>
        </w:rPr>
      </w:pPr>
      <w:r>
        <w:rPr>
          <w:rFonts w:hint="eastAsia" w:ascii="宋体" w:hAnsi="宋体" w:cs="宋体"/>
          <w:b/>
          <w:highlight w:val="none"/>
        </w:rPr>
      </w:r>
      <w:r/>
    </w:p>
    <w:p>
      <w:pPr>
        <w:pStyle w:val="995"/>
        <w:jc w:val="center"/>
        <w:spacing w:line="360" w:lineRule="auto"/>
        <w:shd w:val="clear" w:color="auto" w:fill="auto"/>
        <w:rPr>
          <w:rFonts w:hint="eastAsia" w:ascii="宋体" w:hAnsi="宋体" w:cs="宋体"/>
          <w:b/>
          <w:sz w:val="36"/>
          <w:highlight w:val="none"/>
        </w:rPr>
        <w:sectPr>
          <w:footnotePr/>
          <w:endnotePr/>
          <w:type w:val="nextPage"/>
          <w:pgSz w:w="11906" w:h="16838" w:orient="portrait"/>
          <w:pgMar w:top="1440" w:right="907" w:bottom="1440" w:left="964" w:header="851" w:footer="992" w:gutter="0"/>
          <w:cols w:num="1" w:sep="0" w:space="1701" w:equalWidth="1"/>
          <w:docGrid w:linePitch="360"/>
        </w:sectPr>
      </w:pPr>
      <w:r>
        <w:rPr>
          <w:rFonts w:hint="eastAsia" w:ascii="宋体" w:hAnsi="宋体" w:cs="宋体"/>
          <w:b/>
          <w:sz w:val="36"/>
          <w:highlight w:val="none"/>
        </w:rPr>
      </w:r>
      <w:r/>
    </w:p>
    <w:p>
      <w:pPr>
        <w:pStyle w:val="995"/>
        <w:jc w:val="center"/>
        <w:spacing w:line="360" w:lineRule="auto"/>
        <w:shd w:val="clear" w:color="auto" w:fill="auto"/>
        <w:rPr>
          <w:rFonts w:hint="eastAsia" w:ascii="宋体" w:hAnsi="宋体" w:cs="宋体"/>
          <w:b/>
          <w:sz w:val="36"/>
          <w:highlight w:val="none"/>
        </w:rPr>
      </w:pPr>
      <w:r>
        <w:rPr>
          <w:rFonts w:hint="eastAsia" w:ascii="宋体" w:hAnsi="宋体" w:cs="宋体"/>
          <w:b/>
          <w:sz w:val="36"/>
          <w:highlight w:val="none"/>
        </w:rPr>
        <w:t xml:space="preserve">前附表</w:t>
      </w:r>
      <w:r>
        <w:rPr>
          <w:rFonts w:hint="eastAsia" w:ascii="宋体" w:hAnsi="宋体" w:cs="宋体"/>
          <w:b/>
          <w:sz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pStyle w:val="995"/>
              <w:jc w:val="center"/>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2505" w:type="dxa"/>
            <w:vAlign w:val="center"/>
            <w:textDirection w:val="lrTb"/>
            <w:noWrap w:val="false"/>
          </w:tcPr>
          <w:p>
            <w:pPr>
              <w:pStyle w:val="995"/>
              <w:jc w:val="center"/>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内容</w:t>
            </w:r>
            <w:r>
              <w:rPr>
                <w:rFonts w:hint="eastAsia" w:ascii="宋体" w:hAnsi="宋体" w:cs="宋体"/>
                <w:b/>
                <w:sz w:val="24"/>
                <w:szCs w:val="24"/>
                <w:highlight w:val="none"/>
              </w:rPr>
            </w:r>
            <w:r/>
          </w:p>
        </w:tc>
        <w:tc>
          <w:tcPr>
            <w:tcW w:w="6574" w:type="dxa"/>
            <w:vAlign w:val="center"/>
            <w:textDirection w:val="lrTb"/>
            <w:noWrap w:val="false"/>
          </w:tcPr>
          <w:p>
            <w:pPr>
              <w:pStyle w:val="995"/>
              <w:jc w:val="center"/>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规定</w:t>
            </w:r>
            <w:r>
              <w:rPr>
                <w:rFonts w:hint="eastAsia" w:ascii="宋体" w:hAnsi="宋体" w:cs="宋体"/>
                <w:b/>
                <w:sz w:val="24"/>
                <w:szCs w:val="24"/>
                <w:highlight w:val="none"/>
              </w:rPr>
            </w:r>
            <w:r/>
          </w:p>
        </w:tc>
      </w:tr>
      <w:tr>
        <w:trPr>
          <w:trHeight w:val="378"/>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505" w:type="dxa"/>
            <w:vAlign w:val="center"/>
            <w:textDirection w:val="lrTb"/>
            <w:noWrap w:val="false"/>
          </w:tcPr>
          <w:p>
            <w:pPr>
              <w:pStyle w:val="995"/>
              <w:jc w:val="both"/>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eastAsia="宋体" w:cs="宋体"/>
                <w:sz w:val="24"/>
                <w:szCs w:val="24"/>
                <w:highlight w:val="none"/>
                <w:lang w:eastAsia="zh-CN"/>
              </w:rPr>
            </w:pPr>
            <w:r>
              <w:rPr>
                <w:rFonts w:hint="eastAsia" w:ascii="宋体" w:hAnsi="宋体"/>
                <w:sz w:val="24"/>
                <w:szCs w:val="24"/>
                <w:highlight w:val="none"/>
                <w:lang w:eastAsia="zh-CN"/>
              </w:rPr>
              <w:t xml:space="preserve">镇湖街道四期动迁房安置小区（锦湖花园四期）项目审计协审服务</w:t>
            </w:r>
            <w:r>
              <w:rPr>
                <w:rFonts w:hint="eastAsia" w:ascii="宋体" w:hAnsi="宋体" w:eastAsia="宋体" w:cs="宋体"/>
                <w:sz w:val="24"/>
                <w:szCs w:val="24"/>
                <w:highlight w:val="none"/>
                <w:lang w:eastAsia="zh-CN"/>
              </w:rPr>
            </w:r>
            <w:r/>
          </w:p>
        </w:tc>
      </w:tr>
      <w:tr>
        <w:trPr>
          <w:trHeight w:val="378"/>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505" w:type="dxa"/>
            <w:vAlign w:val="bottom"/>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服务期限</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合同签订之日起至所有项目协审完成</w:t>
            </w:r>
            <w:r>
              <w:rPr>
                <w:rFonts w:hint="eastAsia" w:ascii="宋体" w:hAnsi="宋体" w:eastAsia="宋体" w:cs="宋体"/>
                <w:sz w:val="24"/>
                <w:szCs w:val="24"/>
                <w:highlight w:val="none"/>
                <w:lang w:eastAsia="zh-CN"/>
              </w:rPr>
            </w:r>
            <w:r/>
          </w:p>
        </w:tc>
      </w:tr>
      <w:tr>
        <w:trPr>
          <w:trHeight w:val="378"/>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采购预算</w:t>
            </w:r>
            <w:r>
              <w:rPr>
                <w:rFonts w:hint="eastAsia" w:ascii="宋体" w:hAnsi="宋体" w:cs="宋体"/>
                <w:sz w:val="24"/>
                <w:szCs w:val="24"/>
                <w:highlight w:val="none"/>
              </w:rPr>
            </w:r>
            <w:r/>
          </w:p>
        </w:tc>
        <w:tc>
          <w:tcPr>
            <w:tcW w:w="6574" w:type="dxa"/>
            <w:vAlign w:val="center"/>
            <w:textDirection w:val="lrTb"/>
            <w:noWrap w:val="false"/>
          </w:tcPr>
          <w:p>
            <w:pPr>
              <w:pStyle w:val="1100"/>
              <w:ind w:firstLine="0"/>
              <w:shd w:val="clear" w:color="auto" w:fill="auto"/>
              <w:tabs>
                <w:tab w:val="left" w:pos="808" w:leader="none"/>
              </w:tabs>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val="en-US" w:eastAsia="zh-CN"/>
              </w:rPr>
              <w:t xml:space="preserve">145</w:t>
            </w:r>
            <w:r>
              <w:rPr>
                <w:rFonts w:hint="eastAsia" w:ascii="宋体" w:hAnsi="宋体" w:cs="宋体"/>
                <w:sz w:val="24"/>
                <w:szCs w:val="24"/>
                <w:highlight w:val="none"/>
              </w:rPr>
              <w:t xml:space="preserve">万元</w:t>
            </w:r>
            <w:r>
              <w:rPr>
                <w:rFonts w:hint="eastAsia" w:ascii="宋体" w:hAnsi="宋体" w:cs="宋体"/>
                <w:sz w:val="24"/>
                <w:szCs w:val="24"/>
                <w:highlight w:val="none"/>
              </w:rPr>
            </w:r>
            <w:r/>
          </w:p>
          <w:p>
            <w:pPr>
              <w:pStyle w:val="1036"/>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rPr>
            </w:r>
            <w:r/>
          </w:p>
          <w:p>
            <w:pPr>
              <w:pStyle w:val="1036"/>
              <w:spacing w:line="360" w:lineRule="auto"/>
              <w:shd w:val="clear" w:color="auto" w:fill="auto"/>
              <w:rPr>
                <w:highlight w:val="none"/>
              </w:rPr>
            </w:pPr>
            <w:r>
              <w:rPr>
                <w:rFonts w:hint="eastAsia" w:ascii="宋体" w:hAnsi="宋体" w:cs="宋体"/>
                <w:sz w:val="24"/>
                <w:szCs w:val="24"/>
                <w:highlight w:val="none"/>
                <w:lang w:eastAsia="zh-CN"/>
              </w:rPr>
              <w:t xml:space="preserve">采购包1</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70</w:t>
            </w:r>
            <w:r>
              <w:rPr>
                <w:rFonts w:hint="eastAsia" w:ascii="宋体" w:hAnsi="宋体" w:cs="宋体"/>
                <w:sz w:val="24"/>
                <w:szCs w:val="24"/>
                <w:highlight w:val="none"/>
              </w:rPr>
              <w:t xml:space="preserve">万元</w:t>
            </w:r>
            <w:r>
              <w:rPr>
                <w:highlight w:val="none"/>
              </w:rPr>
            </w:r>
            <w:r/>
          </w:p>
          <w:p>
            <w:pPr>
              <w:pStyle w:val="995"/>
              <w:spacing w:line="360" w:lineRule="auto"/>
              <w:shd w:val="clear" w:color="auto" w:fill="auto"/>
              <w:rPr>
                <w:highlight w:val="none"/>
              </w:rPr>
            </w:pPr>
            <w:r>
              <w:rPr>
                <w:rFonts w:hint="eastAsia" w:ascii="宋体" w:hAnsi="宋体" w:cs="宋体"/>
                <w:sz w:val="24"/>
                <w:szCs w:val="24"/>
                <w:highlight w:val="none"/>
                <w:lang w:eastAsia="zh-CN"/>
              </w:rPr>
              <w:t xml:space="preserve">采购包2</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75</w:t>
            </w:r>
            <w:r>
              <w:rPr>
                <w:rFonts w:hint="eastAsia" w:ascii="宋体" w:hAnsi="宋体" w:cs="宋体"/>
                <w:sz w:val="24"/>
                <w:szCs w:val="24"/>
                <w:highlight w:val="none"/>
              </w:rPr>
              <w:t xml:space="preserve">万元</w:t>
            </w:r>
            <w:r>
              <w:rPr>
                <w:highlight w:val="none"/>
              </w:rPr>
            </w:r>
            <w:r/>
          </w:p>
        </w:tc>
      </w:tr>
      <w:tr>
        <w:trPr>
          <w:trHeight w:val="378"/>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供应商特定资格条件</w:t>
            </w:r>
            <w:r>
              <w:rPr>
                <w:rFonts w:hint="eastAsia" w:ascii="宋体" w:hAnsi="宋体" w:cs="宋体"/>
                <w:sz w:val="24"/>
                <w:szCs w:val="24"/>
                <w:highlight w:val="none"/>
              </w:rPr>
            </w:r>
            <w:r/>
          </w:p>
        </w:tc>
        <w:tc>
          <w:tcPr>
            <w:tcW w:w="6574" w:type="dxa"/>
            <w:vAlign w:val="center"/>
            <w:textDirection w:val="lrTb"/>
            <w:noWrap w:val="false"/>
          </w:tcPr>
          <w:p>
            <w:pPr>
              <w:pStyle w:val="1013"/>
              <w:ind w:firstLine="0"/>
              <w:shd w:val="clear" w:color="auto" w:fill="auto"/>
              <w:rPr>
                <w:rFonts w:hint="eastAsia" w:eastAsia="宋体"/>
                <w:sz w:val="20"/>
                <w:highlight w:val="none"/>
                <w:lang w:val="en-US" w:eastAsia="zh-CN"/>
              </w:rPr>
            </w:pPr>
            <w:r>
              <w:rPr>
                <w:rFonts w:hint="eastAsia"/>
                <w:sz w:val="24"/>
                <w:szCs w:val="24"/>
                <w:highlight w:val="none"/>
                <w:lang w:val="en-US" w:eastAsia="zh-CN"/>
              </w:rPr>
              <w:t xml:space="preserve">无</w:t>
            </w:r>
            <w:r>
              <w:rPr>
                <w:rFonts w:hint="eastAsia" w:eastAsia="宋体"/>
                <w:sz w:val="20"/>
                <w:highlight w:val="none"/>
                <w:lang w:val="en-US" w:eastAsia="zh-CN"/>
              </w:rPr>
            </w:r>
            <w:r/>
          </w:p>
        </w:tc>
      </w:tr>
      <w:tr>
        <w:trPr>
          <w:trHeight w:val="445"/>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联合体磋商</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不接受</w:t>
            </w:r>
            <w:r>
              <w:rPr>
                <w:rFonts w:hint="eastAsia" w:ascii="宋体" w:hAnsi="宋体" w:cs="宋体"/>
                <w:sz w:val="24"/>
                <w:szCs w:val="24"/>
                <w:highlight w:val="none"/>
              </w:rPr>
            </w:r>
            <w:r/>
          </w:p>
        </w:tc>
      </w:tr>
      <w:tr>
        <w:trPr>
          <w:trHeight w:val="446"/>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现场考察</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不组织，自行考察</w:t>
            </w:r>
            <w:r>
              <w:rPr>
                <w:rFonts w:hint="eastAsia" w:ascii="宋体" w:hAnsi="宋体" w:cs="宋体"/>
                <w:sz w:val="24"/>
                <w:szCs w:val="24"/>
                <w:highlight w:val="none"/>
              </w:rPr>
            </w:r>
            <w:r/>
          </w:p>
        </w:tc>
      </w:tr>
      <w:tr>
        <w:trPr>
          <w:trHeight w:val="503"/>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响应文件份数</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成交单位</w:t>
            </w:r>
            <w:r>
              <w:rPr>
                <w:rFonts w:hint="eastAsia" w:ascii="宋体" w:hAnsi="宋体" w:cs="宋体"/>
                <w:b/>
                <w:bCs/>
                <w:sz w:val="24"/>
                <w:szCs w:val="24"/>
                <w:highlight w:val="none"/>
              </w:rPr>
              <w:t xml:space="preserve">成交后</w:t>
            </w:r>
            <w:r>
              <w:rPr>
                <w:rFonts w:hint="eastAsia" w:ascii="宋体" w:hAnsi="宋体" w:cs="宋体"/>
                <w:sz w:val="24"/>
                <w:szCs w:val="24"/>
                <w:highlight w:val="none"/>
              </w:rPr>
              <w:t xml:space="preserve">，提供三份响应文件副本，送至</w:t>
            </w:r>
            <w:r>
              <w:rPr>
                <w:rFonts w:hint="eastAsia" w:ascii="宋体" w:hAnsi="宋体" w:cs="宋体"/>
                <w:sz w:val="24"/>
                <w:szCs w:val="24"/>
                <w:highlight w:val="none"/>
                <w:lang w:eastAsia="zh-CN"/>
              </w:rPr>
              <w:t xml:space="preserve">采购代理</w:t>
            </w:r>
            <w:r>
              <w:rPr>
                <w:rFonts w:hint="eastAsia" w:ascii="宋体" w:hAnsi="宋体" w:cs="宋体"/>
                <w:sz w:val="24"/>
                <w:szCs w:val="24"/>
                <w:highlight w:val="none"/>
              </w:rPr>
              <w:t xml:space="preserve">机构。</w:t>
            </w:r>
            <w:r>
              <w:rPr>
                <w:rFonts w:hint="eastAsia" w:ascii="宋体" w:hAnsi="宋体" w:cs="宋体"/>
                <w:sz w:val="24"/>
                <w:szCs w:val="24"/>
                <w:highlight w:val="none"/>
              </w:rPr>
            </w:r>
            <w:r/>
          </w:p>
        </w:tc>
      </w:tr>
      <w:tr>
        <w:trPr>
          <w:cantSplit/>
          <w:trHeight w:val="454"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磋商响应货币</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p>
        </w:tc>
      </w:tr>
      <w:tr>
        <w:trPr>
          <w:trHeight w:val="1461"/>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代理服务费</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代理服务费收费标准：</w:t>
            </w:r>
            <w:r>
              <w:rPr>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依据《关于进一步规范政府采购活动相关费用管理的通知》（苏财规〔2026〕1号）相关规定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本项目收取代理服务费的要求如下：</w:t>
            </w:r>
            <w:r>
              <w:rPr>
                <w:rFonts w:hint="eastAsia" w:ascii="宋体" w:hAnsi="宋体" w:eastAsia="宋体" w:cs="宋体"/>
                <w:color w:val="000000"/>
                <w:sz w:val="24"/>
                <w:szCs w:val="24"/>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支付主体：本项目代理服务费由</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（成交）供应商支付。</w:t>
            </w:r>
            <w:r>
              <w:rPr>
                <w:rFonts w:hint="eastAsia" w:ascii="宋体" w:hAnsi="宋体" w:eastAsia="宋体" w:cs="宋体"/>
                <w:color w:val="000000"/>
                <w:sz w:val="24"/>
                <w:szCs w:val="24"/>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支付原因：结合本项目实际情况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采购预算中已包含该项代理服务费，供应商</w:t>
            </w:r>
            <w:r>
              <w:rPr>
                <w:rFonts w:hint="eastAsia" w:ascii="宋体" w:hAnsi="宋体" w:eastAsia="宋体" w:cs="宋体"/>
                <w:color w:val="000000"/>
                <w:sz w:val="24"/>
                <w:szCs w:val="24"/>
                <w:highlight w:val="none"/>
                <w:lang w:val="en-US" w:eastAsia="zh-CN"/>
              </w:rPr>
              <w:t xml:space="preserve">报价应当包含代理服务费</w:t>
            </w:r>
            <w:r>
              <w:rPr>
                <w:rFonts w:hint="eastAsia" w:ascii="宋体" w:hAnsi="宋体" w:eastAsia="宋体" w:cs="宋体"/>
                <w:color w:val="000000"/>
                <w:sz w:val="24"/>
                <w:szCs w:val="24"/>
                <w:highlight w:val="none"/>
              </w:rPr>
              <w:t xml:space="preserve">，但无需单独列明。</w:t>
            </w:r>
            <w:r>
              <w:rPr>
                <w:rFonts w:hint="eastAsia" w:ascii="宋体" w:hAnsi="宋体" w:eastAsia="宋体" w:cs="宋体"/>
                <w:color w:val="000000"/>
                <w:sz w:val="24"/>
                <w:szCs w:val="24"/>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收取方式：</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（成交）供应商在领取</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（成交）通知书前，须向采购代理机构一次性付清代理服务费。</w:t>
            </w:r>
            <w:r>
              <w:rPr>
                <w:rFonts w:hint="eastAsia" w:ascii="宋体" w:hAnsi="宋体" w:eastAsia="宋体" w:cs="宋体"/>
                <w:color w:val="000000"/>
                <w:sz w:val="24"/>
                <w:szCs w:val="24"/>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收费标准：本项目</w:t>
            </w:r>
            <w:r>
              <w:rPr>
                <w:rFonts w:hint="eastAsia" w:ascii="宋体" w:hAnsi="宋体" w:eastAsia="宋体" w:cs="宋体"/>
                <w:color w:val="000000"/>
                <w:sz w:val="24"/>
                <w:szCs w:val="24"/>
                <w:highlight w:val="none"/>
                <w:lang w:eastAsia="zh-CN"/>
              </w:rPr>
              <w:t xml:space="preserve">采购代理</w:t>
            </w:r>
            <w:r>
              <w:rPr>
                <w:rFonts w:hint="eastAsia" w:ascii="宋体" w:hAnsi="宋体" w:eastAsia="宋体" w:cs="宋体"/>
                <w:color w:val="000000"/>
                <w:sz w:val="24"/>
                <w:szCs w:val="24"/>
                <w:highlight w:val="none"/>
              </w:rPr>
              <w:t xml:space="preserve">服务费参照</w:t>
            </w:r>
            <w:r>
              <w:rPr>
                <w:rFonts w:hint="eastAsia" w:ascii="宋体" w:hAnsi="宋体" w:eastAsia="宋体" w:cs="宋体"/>
                <w:color w:val="000000"/>
                <w:sz w:val="24"/>
                <w:szCs w:val="24"/>
                <w:highlight w:val="none"/>
                <w:lang w:eastAsia="zh-CN"/>
              </w:rPr>
              <w:t xml:space="preserve">“苏州市级政府采购代理服务收费公告信息表第一批（苏财购告【2016】31号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规定的收费标准</w:t>
            </w:r>
            <w:r>
              <w:rPr>
                <w:rFonts w:hint="eastAsia" w:ascii="宋体" w:hAnsi="宋体" w:eastAsia="宋体" w:cs="宋体"/>
                <w:color w:val="000000"/>
                <w:sz w:val="24"/>
                <w:szCs w:val="24"/>
                <w:highlight w:val="none"/>
                <w:lang w:val="en-US" w:eastAsia="zh-CN"/>
              </w:rPr>
              <w:t xml:space="preserve">，以项目预算为基数，采用</w:t>
            </w:r>
            <w:r>
              <w:rPr>
                <w:rFonts w:hint="eastAsia" w:ascii="宋体" w:hAnsi="宋体" w:eastAsia="宋体" w:cs="宋体"/>
                <w:color w:val="000000"/>
                <w:sz w:val="24"/>
                <w:szCs w:val="24"/>
                <w:highlight w:val="none"/>
              </w:rPr>
              <w:t xml:space="preserve">“比例差额定率累进法计算”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具体如下：</w:t>
            </w:r>
            <w:r>
              <w:rPr>
                <w:rFonts w:hint="eastAsia" w:ascii="宋体" w:hAnsi="宋体" w:eastAsia="宋体" w:cs="宋体"/>
                <w:color w:val="000000"/>
                <w:sz w:val="24"/>
                <w:szCs w:val="24"/>
                <w:highlight w:val="none"/>
              </w:rPr>
            </w:r>
            <w:r/>
          </w:p>
          <w:p>
            <w:pPr>
              <w:pStyle w:val="995"/>
              <w:ind w:firstLine="0"/>
              <w:keepLines w:val="0"/>
              <w:keepNext w:val="0"/>
              <w:pageBreakBefore w:val="0"/>
              <w:spacing w:line="48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预算金额100万元以下部分，费率为该部分预算金额的1.5%；</w:t>
            </w:r>
            <w:r>
              <w:rPr>
                <w:rFonts w:hint="eastAsia" w:ascii="宋体" w:hAnsi="宋体" w:eastAsia="宋体" w:cs="宋体"/>
                <w:color w:val="000000"/>
                <w:sz w:val="24"/>
                <w:szCs w:val="24"/>
                <w:highlight w:val="none"/>
              </w:rPr>
            </w:r>
            <w:r/>
          </w:p>
          <w:p>
            <w:pPr>
              <w:pStyle w:val="995"/>
              <w:spacing w:line="360" w:lineRule="auto"/>
              <w:shd w:val="clear" w:color="auto" w:fill="auto"/>
              <w:rPr>
                <w:rFonts w:hint="eastAsia" w:ascii="宋体" w:hAnsi="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预算金额100万元（含）－500万元部分，费率为该部分预算金额的1.1%</w:t>
            </w:r>
            <w:r>
              <w:rPr>
                <w:rFonts w:hint="eastAsia" w:ascii="宋体" w:hAnsi="宋体" w:eastAsia="宋体" w:cs="宋体"/>
                <w:color w:val="000000"/>
                <w:sz w:val="24"/>
                <w:szCs w:val="24"/>
                <w:highlight w:val="none"/>
                <w:lang w:eastAsia="zh-CN"/>
              </w:rPr>
              <w:t xml:space="preserve">。</w:t>
            </w:r>
            <w:r>
              <w:rPr>
                <w:rFonts w:hint="eastAsia" w:ascii="宋体" w:hAnsi="宋体" w:cs="宋体"/>
                <w:sz w:val="24"/>
                <w:szCs w:val="24"/>
                <w:highlight w:val="none"/>
              </w:rPr>
            </w:r>
            <w:r/>
          </w:p>
        </w:tc>
      </w:tr>
      <w:tr>
        <w:trPr>
          <w:trHeight w:val="461"/>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保证金</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u w:val="single"/>
              </w:rPr>
            </w:pPr>
            <w:r>
              <w:rPr>
                <w:rFonts w:hint="eastAsia" w:ascii="宋体" w:hAnsi="宋体" w:cs="宋体"/>
                <w:sz w:val="24"/>
                <w:szCs w:val="24"/>
                <w:highlight w:val="none"/>
              </w:rPr>
              <w:t xml:space="preserve">无需提交，采购文件中关于保证金的规定均不适用于本项目。</w:t>
            </w:r>
            <w:r>
              <w:rPr>
                <w:rFonts w:hint="eastAsia" w:ascii="宋体" w:hAnsi="宋体" w:cs="宋体"/>
                <w:sz w:val="24"/>
                <w:szCs w:val="24"/>
                <w:highlight w:val="none"/>
                <w:u w:val="single"/>
              </w:rPr>
            </w:r>
            <w:r/>
          </w:p>
        </w:tc>
      </w:tr>
      <w:tr>
        <w:trPr>
          <w:trHeight w:val="633"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响应文件有效期</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日历天（从提交响应文件截止时间当日起算）</w:t>
            </w:r>
            <w:r>
              <w:rPr>
                <w:rFonts w:hint="eastAsia" w:ascii="宋体" w:hAnsi="宋体" w:cs="宋体"/>
                <w:sz w:val="24"/>
                <w:szCs w:val="24"/>
                <w:highlight w:val="none"/>
              </w:rPr>
            </w:r>
            <w:r/>
          </w:p>
        </w:tc>
      </w:tr>
      <w:tr>
        <w:trPr>
          <w:trHeight w:val="923"/>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响应文件提交（上传）截止时间</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月21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:30 </w:t>
            </w:r>
            <w:r>
              <w:rPr>
                <w:rFonts w:hint="eastAsia" w:ascii="宋体" w:hAnsi="宋体" w:cs="宋体"/>
                <w:sz w:val="24"/>
                <w:szCs w:val="24"/>
                <w:highlight w:val="none"/>
              </w:rPr>
            </w:r>
            <w:r/>
          </w:p>
        </w:tc>
      </w:tr>
      <w:tr>
        <w:trPr>
          <w:trHeight w:val="436"/>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13</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磋商时间和地点</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时间：</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rPr>
              <w:t xml:space="preserve">10月</w:t>
            </w:r>
            <w:r>
              <w:rPr>
                <w:rFonts w:hint="eastAsia" w:ascii="宋体" w:hAnsi="宋体" w:cs="宋体"/>
                <w:sz w:val="24"/>
                <w:szCs w:val="24"/>
                <w:highlight w:val="none"/>
                <w:lang w:val="en-US" w:eastAsia="zh-CN"/>
              </w:rPr>
              <w:t xml:space="preserve">21</w:t>
            </w:r>
            <w:r>
              <w:rPr>
                <w:rFonts w:hint="eastAsia" w:ascii="宋体" w:hAnsi="宋体" w:cs="宋体"/>
                <w:sz w:val="24"/>
                <w:szCs w:val="24"/>
                <w:highlight w:val="none"/>
              </w:rPr>
              <w:t xml:space="preserve">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:30</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苏采云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系统（网址：http://jszfcg.jsczt.cn/）</w:t>
            </w:r>
            <w:r>
              <w:rPr>
                <w:rFonts w:hint="eastAsia" w:ascii="宋体" w:hAnsi="宋体" w:cs="宋体"/>
                <w:sz w:val="24"/>
                <w:szCs w:val="24"/>
                <w:highlight w:val="none"/>
              </w:rPr>
            </w:r>
            <w:r/>
          </w:p>
        </w:tc>
      </w:tr>
      <w:tr>
        <w:trPr>
          <w:trHeight w:val="1330"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成交原则</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采用综合评分法，即在响应文件满足磋商文件全部实质性要求且按评审因素的量化指标评审得分最高的供应商为成交供应商。</w:t>
            </w:r>
            <w:r>
              <w:rPr>
                <w:rFonts w:hint="eastAsia" w:ascii="宋体" w:hAnsi="宋体" w:cs="宋体"/>
                <w:sz w:val="24"/>
                <w:szCs w:val="24"/>
                <w:highlight w:val="none"/>
              </w:rPr>
            </w:r>
            <w:r/>
          </w:p>
        </w:tc>
      </w:tr>
      <w:tr>
        <w:trPr>
          <w:trHeight w:val="639"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rPr>
            </w:r>
            <w:r/>
          </w:p>
        </w:tc>
        <w:tc>
          <w:tcPr>
            <w:tcW w:w="2505" w:type="dxa"/>
            <w:vAlign w:val="center"/>
            <w:textDirection w:val="lrTb"/>
            <w:noWrap w:val="false"/>
          </w:tcPr>
          <w:p>
            <w:pPr>
              <w:pStyle w:val="995"/>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评审办法</w:t>
            </w:r>
            <w:r>
              <w:rPr>
                <w:rFonts w:hint="eastAsia" w:ascii="宋体" w:hAnsi="宋体" w:cs="宋体"/>
                <w:sz w:val="24"/>
                <w:szCs w:val="24"/>
                <w:highlight w:val="none"/>
              </w:rPr>
            </w:r>
            <w:r/>
          </w:p>
        </w:tc>
        <w:tc>
          <w:tcPr>
            <w:tcW w:w="6574" w:type="dxa"/>
            <w:vAlign w:val="center"/>
            <w:textDirection w:val="lrTb"/>
            <w:noWrap w:val="false"/>
          </w:tcPr>
          <w:p>
            <w:pPr>
              <w:pStyle w:val="995"/>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详见第三章</w:t>
            </w:r>
            <w:r>
              <w:rPr>
                <w:rFonts w:hint="eastAsia" w:ascii="宋体" w:hAnsi="宋体" w:cs="宋体"/>
                <w:sz w:val="24"/>
                <w:szCs w:val="24"/>
                <w:highlight w:val="none"/>
              </w:rPr>
            </w:r>
            <w:r/>
          </w:p>
        </w:tc>
      </w:tr>
      <w:tr>
        <w:trPr>
          <w:trHeight w:val="563"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签订合同</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成交通知书发出之日起15日内。</w:t>
            </w:r>
            <w:r>
              <w:rPr>
                <w:rFonts w:hint="eastAsia" w:ascii="宋体" w:hAnsi="宋体" w:cs="宋体"/>
                <w:sz w:val="24"/>
                <w:szCs w:val="24"/>
                <w:highlight w:val="none"/>
              </w:rPr>
            </w:r>
            <w:r/>
          </w:p>
        </w:tc>
      </w:tr>
      <w:tr>
        <w:trPr>
          <w:trHeight w:val="5406" w:hRule="exact"/>
        </w:trPr>
        <w:tc>
          <w:tcPr>
            <w:tcW w:w="1059" w:type="dxa"/>
            <w:vAlign w:val="center"/>
            <w:textDirection w:val="lrTb"/>
            <w:noWrap w:val="false"/>
          </w:tcPr>
          <w:p>
            <w:pPr>
              <w:pStyle w:val="995"/>
              <w:jc w:val="center"/>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履约保证金</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olor w:val="000000"/>
                <w:sz w:val="24"/>
                <w:highlight w:val="none"/>
              </w:rPr>
            </w:pPr>
            <w:r>
              <w:rPr>
                <w:rFonts w:hint="eastAsia" w:ascii="宋体" w:hAnsi="宋体" w:cs="宋体"/>
                <w:color w:val="000000"/>
                <w:sz w:val="24"/>
                <w:highlight w:val="none"/>
              </w:rPr>
              <w:t xml:space="preserve">☑</w:t>
            </w:r>
            <w:r>
              <w:rPr>
                <w:rFonts w:hint="eastAsia" w:ascii="宋体" w:hAnsi="宋体"/>
                <w:color w:val="000000"/>
                <w:sz w:val="24"/>
                <w:highlight w:val="none"/>
              </w:rPr>
              <w:t xml:space="preserve">不提交</w:t>
            </w:r>
            <w:r>
              <w:rPr>
                <w:rFonts w:hint="eastAsia" w:ascii="宋体" w:hAnsi="宋体"/>
                <w:color w:val="000000"/>
                <w:sz w:val="24"/>
                <w:highlight w:val="none"/>
              </w:rPr>
            </w:r>
            <w:r/>
          </w:p>
          <w:p>
            <w:pPr>
              <w:pStyle w:val="1118"/>
              <w:ind w:left="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995"/>
              <w:spacing w:line="360" w:lineRule="auto"/>
              <w:shd w:val="clear" w:color="auto" w:fill="auto"/>
              <w:rPr>
                <w:rFonts w:hint="eastAsia" w:ascii="宋体" w:hAnsi="宋体" w:cs="宋体"/>
                <w:sz w:val="24"/>
                <w:szCs w:val="24"/>
                <w:highlight w:val="none"/>
              </w:rPr>
            </w:pPr>
            <w:r>
              <w:rPr>
                <w:rFonts w:hint="eastAsia" w:ascii="宋体" w:hAnsi="宋体"/>
                <w:color w:val="000000"/>
                <w:sz w:val="24"/>
                <w:szCs w:val="24"/>
                <w:highlight w:val="none"/>
              </w:rPr>
              <w:t xml:space="preserve">如需提交履约保证金，</w:t>
            </w:r>
            <w:r>
              <w:rPr>
                <w:rFonts w:ascii="宋体" w:hAnsi="宋体"/>
                <w:color w:val="000000"/>
                <w:sz w:val="24"/>
                <w:szCs w:val="24"/>
                <w:highlight w:val="none"/>
              </w:rPr>
              <w:t xml:space="preserve">根据《关于在全省政府采购领域推行电子履约保函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的通知</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苏财购【2023】150号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》规定，</w:t>
            </w:r>
            <w:r>
              <w:rPr>
                <w:rFonts w:hint="eastAsia" w:ascii="宋体" w:hAnsi="宋体"/>
                <w:color w:val="000000"/>
                <w:sz w:val="24"/>
                <w:szCs w:val="24"/>
                <w:highlight w:val="none"/>
                <w:lang w:eastAsia="zh-CN"/>
              </w:rPr>
              <w:t xml:space="preserve">成交</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成交</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供应商可以自愿选择，使用以电子履约保函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形式代替提供履约保证金。供应商可通过江苏省政府采购网、“苏采云”系统链接访问登录“政府采购电子履约保函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平台”，选择第三方机构并提交保函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申请。详见</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江苏政府采购网“资料下载”栏目</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网址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www.ccgp-jiangsu.gov.cn/jiangsu/zlxz</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下载“政府采购电子履约保函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保险</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操作手册”</w:t>
            </w:r>
            <w:r>
              <w:rPr>
                <w:rFonts w:hint="eastAsia" w:ascii="宋体" w:hAnsi="宋体"/>
                <w:color w:val="000000"/>
                <w:sz w:val="24"/>
                <w:szCs w:val="24"/>
                <w:highlight w:val="none"/>
              </w:rPr>
              <w:t xml:space="preserve">。</w:t>
            </w:r>
            <w:r>
              <w:rPr>
                <w:rFonts w:hint="eastAsia" w:ascii="宋体" w:hAnsi="宋体" w:cs="宋体"/>
                <w:sz w:val="24"/>
                <w:szCs w:val="24"/>
                <w:highlight w:val="none"/>
              </w:rPr>
            </w:r>
            <w:r/>
          </w:p>
        </w:tc>
      </w:tr>
      <w:tr>
        <w:trPr>
          <w:trHeight w:val="563" w:hRule="exact"/>
        </w:trPr>
        <w:tc>
          <w:tcPr>
            <w:tcW w:w="1059" w:type="dxa"/>
            <w:vAlign w:val="center"/>
            <w:textDirection w:val="lrTb"/>
            <w:noWrap w:val="false"/>
          </w:tcPr>
          <w:p>
            <w:pPr>
              <w:pStyle w:val="995"/>
              <w:jc w:val="center"/>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18</w:t>
            </w:r>
            <w:r>
              <w:rPr>
                <w:rFonts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定标办法</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sz w:val="24"/>
                <w:szCs w:val="24"/>
                <w:highlight w:val="none"/>
              </w:rPr>
              <w:t xml:space="preserve">采购人授权磋商小组每</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直接确定1名成交供应商</w:t>
            </w:r>
            <w:r>
              <w:rPr>
                <w:rFonts w:hint="eastAsia" w:ascii="宋体" w:hAnsi="宋体" w:cs="宋体"/>
                <w:sz w:val="24"/>
                <w:szCs w:val="24"/>
                <w:highlight w:val="none"/>
              </w:rPr>
            </w:r>
            <w:r/>
          </w:p>
        </w:tc>
      </w:tr>
      <w:tr>
        <w:trPr>
          <w:trHeight w:val="2988" w:hRule="exact"/>
        </w:trPr>
        <w:tc>
          <w:tcPr>
            <w:tcW w:w="1059" w:type="dxa"/>
            <w:vAlign w:val="center"/>
            <w:textDirection w:val="lrTb"/>
            <w:noWrap w:val="false"/>
          </w:tcPr>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19</w:t>
            </w:r>
            <w:r>
              <w:rPr>
                <w:rFonts w:hint="eastAsia" w:ascii="宋体" w:hAnsi="宋体" w:cs="宋体"/>
                <w:sz w:val="24"/>
                <w:szCs w:val="24"/>
                <w:highlight w:val="none"/>
              </w:rPr>
            </w:r>
            <w:r/>
          </w:p>
        </w:tc>
        <w:tc>
          <w:tcPr>
            <w:tcW w:w="2505" w:type="dxa"/>
            <w:vAlign w:val="center"/>
            <w:textDirection w:val="lrTb"/>
            <w:noWrap w:val="false"/>
          </w:tcPr>
          <w:p>
            <w:pPr>
              <w:pStyle w:val="995"/>
              <w:spacing w:line="360" w:lineRule="auto"/>
              <w:shd w:val="clear" w:color="auto" w:fill="auto"/>
              <w:rPr>
                <w:rFonts w:hint="eastAsia" w:ascii="宋体" w:hAnsi="宋体" w:cs="宋体"/>
                <w:sz w:val="24"/>
                <w:szCs w:val="24"/>
                <w:highlight w:val="none"/>
              </w:rPr>
            </w:pPr>
            <w:r>
              <w:rPr>
                <w:rFonts w:hint="eastAsia" w:ascii="宋体" w:hAnsi="宋体" w:cs="宋体"/>
                <w:b/>
                <w:bCs/>
                <w:sz w:val="24"/>
                <w:szCs w:val="24"/>
                <w:highlight w:val="none"/>
              </w:rPr>
              <w:t xml:space="preserve">特别提醒</w:t>
            </w:r>
            <w:r>
              <w:rPr>
                <w:rFonts w:hint="eastAsia" w:ascii="宋体" w:hAnsi="宋体" w:cs="宋体"/>
                <w:sz w:val="24"/>
                <w:szCs w:val="24"/>
                <w:highlight w:val="none"/>
              </w:rPr>
            </w:r>
            <w:r/>
          </w:p>
        </w:tc>
        <w:tc>
          <w:tcPr>
            <w:tcW w:w="6574" w:type="dxa"/>
            <w:vAlign w:val="center"/>
            <w:textDirection w:val="lrTb"/>
            <w:noWrap w:val="false"/>
          </w:tcPr>
          <w:p>
            <w:pPr>
              <w:pStyle w:val="995"/>
              <w:spacing w:line="360" w:lineRule="auto"/>
              <w:shd w:val="clear" w:color="auto" w:fill="auto"/>
              <w:rPr>
                <w:rFonts w:hint="eastAsia" w:ascii="宋体" w:hAnsi="宋体" w:cs="宋体"/>
                <w:b/>
                <w:bCs/>
                <w:sz w:val="24"/>
                <w:highlight w:val="none"/>
              </w:rPr>
            </w:pPr>
            <w:r>
              <w:rPr>
                <w:rFonts w:hint="eastAsia" w:ascii="宋体" w:hAnsi="宋体" w:cs="宋体"/>
                <w:b/>
                <w:bCs/>
                <w:sz w:val="24"/>
                <w:highlight w:val="none"/>
              </w:rPr>
              <w:t xml:space="preserve">本项目采用电子网上招投标。</w:t>
            </w:r>
            <w:r>
              <w:rPr>
                <w:rFonts w:hint="eastAsia" w:ascii="宋体" w:hAnsi="宋体" w:cs="宋体"/>
                <w:b/>
                <w:bCs/>
                <w:sz w:val="24"/>
                <w:highlight w:val="none"/>
              </w:rPr>
            </w:r>
            <w:r/>
          </w:p>
          <w:p>
            <w:pPr>
              <w:pStyle w:val="995"/>
              <w:spacing w:line="360" w:lineRule="auto"/>
              <w:shd w:val="clear" w:color="auto" w:fill="auto"/>
              <w:rPr>
                <w:rFonts w:hint="eastAsia" w:ascii="宋体" w:hAnsi="宋体" w:cs="宋体"/>
                <w:sz w:val="24"/>
                <w:highlight w:val="none"/>
              </w:rPr>
            </w:pPr>
            <w:r>
              <w:rPr>
                <w:rFonts w:hint="eastAsia" w:ascii="宋体" w:hAnsi="宋体" w:cs="宋体"/>
                <w:sz w:val="24"/>
                <w:highlight w:val="none"/>
              </w:rPr>
              <w:t xml:space="preserve">1.投标单位需要通过CA证书，使用“苏州市政府采购客户端”工具制作电子投标文件，并在提交投标文件截止时间之前对投标文件进行加密并上传；</w:t>
            </w:r>
            <w:r>
              <w:rPr>
                <w:rFonts w:hint="eastAsia" w:ascii="宋体" w:hAnsi="宋体" w:cs="宋体"/>
                <w:sz w:val="24"/>
                <w:highlight w:val="none"/>
              </w:rPr>
            </w:r>
            <w:r/>
          </w:p>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highlight w:val="none"/>
              </w:rPr>
              <w:t xml:space="preserve">2.投标单位需携带加密文件的CA证书，在项目开启后，开始解密投标文件，请投标单位预留足够的解密时间。</w:t>
            </w:r>
            <w:r>
              <w:rPr>
                <w:rFonts w:hint="eastAsia" w:ascii="宋体" w:hAnsi="宋体" w:cs="宋体"/>
                <w:sz w:val="24"/>
                <w:szCs w:val="24"/>
                <w:highlight w:val="none"/>
              </w:rPr>
            </w:r>
            <w:r/>
          </w:p>
        </w:tc>
      </w:tr>
    </w:tbl>
    <w:p>
      <w:pPr>
        <w:pStyle w:val="995"/>
        <w:shd w:val="clear" w:color="auto" w:fill="auto"/>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r>
      <w:r/>
    </w:p>
    <w:p>
      <w:pPr>
        <w:pStyle w:val="995"/>
        <w:numPr>
          <w:ilvl w:val="0"/>
          <w:numId w:val="1"/>
        </w:numPr>
        <w:jc w:val="center"/>
        <w:shd w:val="clear" w:color="auto" w:fill="auto"/>
        <w:rPr>
          <w:rFonts w:hint="eastAsia" w:ascii="宋体" w:hAnsi="宋体" w:cs="宋体"/>
          <w:b/>
          <w:sz w:val="32"/>
          <w:highlight w:val="none"/>
        </w:rPr>
      </w:pPr>
      <w:r>
        <w:rPr>
          <w:rFonts w:hint="eastAsia" w:ascii="宋体" w:hAnsi="宋体" w:cs="宋体"/>
          <w:b/>
          <w:sz w:val="32"/>
          <w:highlight w:val="none"/>
        </w:rPr>
        <w:t xml:space="preserve">竞争性磋商公告</w:t>
      </w:r>
      <w:r>
        <w:rPr>
          <w:rFonts w:hint="eastAsia" w:ascii="宋体" w:hAnsi="宋体" w:cs="宋体"/>
          <w:b/>
          <w:sz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1"/>
      </w:tblGrid>
      <w:tr>
        <w:trPr/>
        <w:tc>
          <w:tcPr>
            <w:tcW w:w="5000" w:type="dxa"/>
            <w:vAlign w:val="top"/>
            <w:textDirection w:val="lrTb"/>
            <w:noWrap w:val="false"/>
          </w:tcPr>
          <w:p>
            <w:pPr>
              <w:pStyle w:val="995"/>
              <w:ind w:firstLine="480"/>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项目概况</w:t>
            </w:r>
            <w:r>
              <w:rPr>
                <w:rFonts w:ascii="宋体" w:hAnsi="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sz w:val="24"/>
                <w:szCs w:val="24"/>
                <w:highlight w:val="none"/>
                <w:u w:val="single"/>
                <w:lang w:eastAsia="zh-CN"/>
              </w:rPr>
              <w:t xml:space="preserve">镇湖街道四期动迁房安置小区（锦湖花园四期）项目审计协审服务</w:t>
            </w:r>
            <w:r>
              <w:rPr>
                <w:rFonts w:hint="eastAsia" w:ascii="宋体" w:hAnsi="宋体"/>
                <w:sz w:val="24"/>
                <w:szCs w:val="24"/>
                <w:highlight w:val="none"/>
              </w:rPr>
              <w:t xml:space="preserve">招标项目的潜在供应商应在</w:t>
            </w:r>
            <w:r>
              <w:rPr>
                <w:rFonts w:hint="eastAsia" w:ascii="宋体" w:hAnsi="宋体"/>
                <w:sz w:val="24"/>
                <w:szCs w:val="24"/>
                <w:highlight w:val="none"/>
                <w:u w:val="single"/>
              </w:rPr>
              <w:t xml:space="preserve">“苏采云”</w:t>
            </w:r>
            <w:r>
              <w:rPr>
                <w:rFonts w:hint="eastAsia" w:ascii="宋体" w:hAnsi="宋体"/>
                <w:sz w:val="24"/>
                <w:szCs w:val="24"/>
                <w:highlight w:val="none"/>
                <w:u w:val="single"/>
                <w:lang w:val="en-US" w:eastAsia="zh-CN"/>
              </w:rPr>
              <w:t xml:space="preserve">系统</w:t>
            </w:r>
            <w:r>
              <w:rPr>
                <w:rFonts w:hint="eastAsia" w:ascii="宋体" w:hAnsi="宋体" w:cs="宋体"/>
                <w:sz w:val="24"/>
                <w:szCs w:val="24"/>
                <w:highlight w:val="none"/>
              </w:rPr>
              <w:t xml:space="preserve">获取采购文件</w:t>
            </w:r>
            <w:r>
              <w:rPr>
                <w:rFonts w:hint="eastAsia" w:ascii="宋体" w:hAnsi="宋体"/>
                <w:sz w:val="24"/>
                <w:szCs w:val="24"/>
                <w:highlight w:val="none"/>
              </w:rPr>
              <w:t xml:space="preserve">，并于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-10</w:t>
            </w:r>
            <w:r>
              <w:rPr>
                <w:rFonts w:hint="eastAsia" w:ascii="宋体" w:hAnsi="宋体"/>
                <w:sz w:val="24"/>
                <w:szCs w:val="24"/>
                <w:highlight w:val="none"/>
                <w:u w:val="single"/>
              </w:rPr>
              <w:t xml:space="preserve">-21</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t xml:space="preserve">13</w:t>
            </w:r>
            <w:r>
              <w:rPr>
                <w:rFonts w:hint="eastAsia" w:ascii="宋体" w:hAnsi="宋体"/>
                <w:sz w:val="24"/>
                <w:szCs w:val="24"/>
                <w:highlight w:val="none"/>
                <w:u w:val="single"/>
              </w:rPr>
              <w:t xml:space="preserve">时</w:t>
            </w:r>
            <w:r>
              <w:rPr>
                <w:rFonts w:hint="eastAsia" w:ascii="宋体" w:hAnsi="宋体"/>
                <w:sz w:val="24"/>
                <w:szCs w:val="24"/>
                <w:highlight w:val="none"/>
                <w:u w:val="single"/>
                <w:lang w:val="en-US" w:eastAsia="zh-CN"/>
              </w:rPr>
              <w:t xml:space="preserve">30</w:t>
            </w:r>
            <w:r>
              <w:rPr>
                <w:rFonts w:hint="eastAsia" w:ascii="宋体" w:hAnsi="宋体"/>
                <w:sz w:val="24"/>
                <w:szCs w:val="24"/>
                <w:highlight w:val="none"/>
                <w:u w:val="single"/>
              </w:rPr>
              <w:t xml:space="preserve">分</w:t>
            </w:r>
            <w:r>
              <w:rPr>
                <w:rFonts w:hint="eastAsia" w:ascii="宋体" w:hAnsi="宋体"/>
                <w:sz w:val="24"/>
                <w:szCs w:val="24"/>
                <w:highlight w:val="none"/>
              </w:rPr>
              <w:t xml:space="preserve">（北京时间）前递交响应文件。</w:t>
            </w:r>
            <w:r>
              <w:rPr>
                <w:rFonts w:ascii="宋体" w:hAnsi="宋体" w:cs="宋体"/>
                <w:sz w:val="24"/>
                <w:szCs w:val="24"/>
                <w:highlight w:val="none"/>
              </w:rPr>
            </w:r>
            <w:r/>
          </w:p>
        </w:tc>
      </w:tr>
    </w:tbl>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一、项目基本情况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JSZC-320505-SZHQ-C2026-0025</w:t>
      </w:r>
      <w:r>
        <w:rPr>
          <w:rFonts w:hint="eastAsia" w:ascii="宋体" w:hAnsi="宋体" w:cs="宋体"/>
          <w:sz w:val="24"/>
          <w:szCs w:val="24"/>
          <w:highlight w:val="none"/>
        </w:rPr>
        <w:t xml:space="preserve">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镇湖街道四期动迁房安置小区（锦湖花园四期）项目审计协审服务</w:t>
      </w:r>
      <w:r>
        <w:rPr>
          <w:rFonts w:hint="eastAsia" w:ascii="宋体" w:hAnsi="宋体" w:cs="宋体"/>
          <w:sz w:val="24"/>
          <w:szCs w:val="24"/>
          <w:highlight w:val="none"/>
        </w:rPr>
        <w:t xml:space="preserve"> </w:t>
      </w:r>
      <w:r>
        <w:rPr>
          <w:rFonts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采购方式：竞争性磋商 </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eastAsia="zh-CN"/>
        </w:rPr>
        <w:t xml:space="preserve">壹佰肆拾伍万元整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1450000</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lang w:eastAsia="zh-CN"/>
        </w:rPr>
        <w:t xml:space="preserve">采购包1</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700000</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995"/>
        <w:ind w:firstLine="1200"/>
        <w:spacing w:line="360" w:lineRule="auto"/>
        <w:shd w:val="clear" w:color="auto" w:fill="auto"/>
        <w:rPr>
          <w:rFonts w:hint="eastAsia" w:ascii="宋体" w:hAnsi="宋体"/>
          <w:sz w:val="24"/>
          <w:highlight w:val="none"/>
        </w:rPr>
      </w:pPr>
      <w:r>
        <w:rPr>
          <w:rFonts w:hint="eastAsia" w:ascii="宋体" w:hAnsi="宋体" w:cs="宋体"/>
          <w:sz w:val="24"/>
          <w:szCs w:val="24"/>
          <w:highlight w:val="none"/>
          <w:lang w:eastAsia="zh-CN"/>
        </w:rPr>
        <w:t xml:space="preserve">采购包2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柒拾伍万元整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750000</w:t>
      </w:r>
      <w:r>
        <w:rPr>
          <w:rFonts w:hint="eastAsia" w:ascii="宋体" w:hAnsi="宋体" w:cs="宋体"/>
          <w:sz w:val="24"/>
          <w:szCs w:val="24"/>
          <w:highlight w:val="none"/>
        </w:rPr>
        <w:t xml:space="preserve">.00）</w:t>
      </w:r>
      <w:r>
        <w:rPr>
          <w:rFonts w:hint="eastAsia" w:ascii="宋体" w:hAnsi="宋体"/>
          <w:sz w:val="24"/>
          <w:highlight w:val="none"/>
        </w:rPr>
      </w:r>
      <w:r/>
    </w:p>
    <w:p>
      <w:pPr>
        <w:pStyle w:val="995"/>
        <w:ind w:firstLine="480"/>
        <w:spacing w:line="360" w:lineRule="auto"/>
        <w:shd w:val="clear" w:color="auto" w:fill="auto"/>
        <w:rPr>
          <w:rFonts w:hint="eastAsia" w:ascii="宋体" w:hAnsi="宋体"/>
          <w:sz w:val="24"/>
          <w:highlight w:val="none"/>
        </w:rPr>
      </w:pPr>
      <w:r>
        <w:rPr>
          <w:rFonts w:hint="eastAsia" w:ascii="宋体" w:hAnsi="宋体"/>
          <w:sz w:val="24"/>
          <w:highlight w:val="none"/>
        </w:rPr>
        <w:t xml:space="preserve">最高限价：</w:t>
      </w:r>
      <w:r>
        <w:rPr>
          <w:rFonts w:hint="eastAsia" w:ascii="宋体" w:hAnsi="宋体"/>
          <w:sz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lang w:eastAsia="zh-CN"/>
        </w:rPr>
        <w:t xml:space="preserve">采购包1</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700000</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sz w:val="24"/>
          <w:highlight w:val="none"/>
        </w:rPr>
      </w:pPr>
      <w:r>
        <w:rPr>
          <w:rFonts w:hint="eastAsia" w:ascii="宋体" w:hAnsi="宋体" w:cs="宋体"/>
          <w:sz w:val="24"/>
          <w:szCs w:val="24"/>
          <w:highlight w:val="none"/>
          <w:lang w:eastAsia="zh-CN"/>
        </w:rPr>
        <w:t xml:space="preserve">采购包2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柒拾伍万元整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750000</w:t>
      </w:r>
      <w:r>
        <w:rPr>
          <w:rFonts w:hint="eastAsia" w:ascii="宋体" w:hAnsi="宋体" w:cs="宋体"/>
          <w:sz w:val="24"/>
          <w:szCs w:val="24"/>
          <w:highlight w:val="none"/>
        </w:rPr>
        <w:t xml:space="preserve">.00）</w:t>
      </w:r>
      <w:r>
        <w:rPr>
          <w:rFonts w:hint="eastAsia" w:ascii="宋体" w:hAnsi="宋体"/>
          <w:sz w:val="24"/>
          <w:highlight w:val="none"/>
        </w:rPr>
      </w:r>
      <w:r/>
    </w:p>
    <w:p>
      <w:pPr>
        <w:pStyle w:val="995"/>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r>
        <w:rPr>
          <w:rFonts w:hint="eastAsia" w:ascii="宋体" w:hAnsi="宋体" w:cs="宋体"/>
          <w:sz w:val="24"/>
          <w:szCs w:val="24"/>
          <w:highlight w:val="none"/>
          <w:lang w:eastAsia="zh-CN"/>
        </w:rPr>
        <w:t xml:space="preserve">镇湖街道四期动迁房安置小区（锦湖花园四期）项目审计协审服务</w:t>
      </w:r>
      <w:r>
        <w:rPr>
          <w:rFonts w:hint="eastAsia" w:ascii="宋体" w:hAnsi="宋体" w:cs="宋体"/>
          <w:color w:val="000000"/>
          <w:sz w:val="24"/>
          <w:szCs w:val="24"/>
          <w:highlight w:val="none"/>
        </w:rPr>
        <w:t xml:space="preserve">。详见采购文件内容</w:t>
      </w:r>
      <w:r>
        <w:rPr>
          <w:rFonts w:hint="eastAsia" w:ascii="宋体" w:hAnsi="宋体"/>
          <w:sz w:val="24"/>
          <w:szCs w:val="24"/>
          <w:highlight w:val="none"/>
        </w:rPr>
        <w:t xml:space="preserve">。</w:t>
      </w:r>
      <w:r>
        <w:rPr>
          <w:rFonts w:hint="eastAsia" w:ascii="宋体" w:hAnsi="宋体" w:cs="宋体"/>
          <w:color w:val="000000"/>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合同履行期限</w:t>
      </w:r>
      <w:r>
        <w:rPr>
          <w:rFonts w:ascii="宋体" w:hAnsi="宋体" w:cs="宋体"/>
          <w:sz w:val="24"/>
          <w:szCs w:val="24"/>
          <w:highlight w:val="none"/>
        </w:rPr>
        <w:t xml:space="preserve">：</w:t>
      </w:r>
      <w:r>
        <w:rPr>
          <w:rFonts w:hint="eastAsia" w:ascii="宋体" w:hAnsi="宋体" w:cs="宋体"/>
          <w:sz w:val="24"/>
          <w:szCs w:val="24"/>
          <w:highlight w:val="none"/>
          <w:lang w:eastAsia="zh-CN"/>
        </w:rPr>
        <w:t xml:space="preserve">合同签订之日起至所有项目协审完成</w:t>
      </w:r>
      <w:r>
        <w:rPr>
          <w:rFonts w:hint="eastAsia" w:ascii="宋体" w:hAnsi="宋体" w:cs="宋体"/>
          <w:sz w:val="24"/>
          <w:szCs w:val="24"/>
          <w:highlight w:val="none"/>
        </w:rPr>
        <w:t xml:space="preserve">。</w:t>
      </w:r>
      <w:r>
        <w:rPr>
          <w:rFonts w:ascii="宋体" w:hAnsi="宋体" w:cs="宋体"/>
          <w:sz w:val="24"/>
          <w:szCs w:val="24"/>
          <w:highlight w:val="none"/>
        </w:rPr>
      </w:r>
      <w:r/>
    </w:p>
    <w:p>
      <w:pPr>
        <w:pStyle w:val="995"/>
        <w:ind w:firstLine="480"/>
        <w:spacing w:line="360" w:lineRule="auto"/>
        <w:shd w:val="clear" w:color="auto" w:fill="auto"/>
        <w:rPr>
          <w:rFonts w:ascii="Arial" w:hAnsi="Arial" w:eastAsia="Arial" w:cs="宋体"/>
          <w:sz w:val="24"/>
          <w:szCs w:val="24"/>
          <w:highlight w:val="none"/>
        </w:rPr>
      </w:pPr>
      <w:r>
        <w:rPr>
          <w:rFonts w:hint="eastAsia" w:ascii="宋体" w:hAnsi="宋体" w:cs="宋体"/>
          <w:sz w:val="24"/>
          <w:szCs w:val="24"/>
          <w:highlight w:val="none"/>
        </w:rPr>
        <w:t xml:space="preserve">本项目不接受联合体。</w:t>
      </w:r>
      <w:r>
        <w:rPr>
          <w:rFonts w:ascii="Arial" w:hAnsi="Arial" w:eastAsia="Arial"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二、申请人的资格要求：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（1）具有独立承担民事责任的能力；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（4）具有依法缴纳税收和社会保障资金的良好记录； </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 </w:t>
      </w:r>
      <w:r>
        <w:rPr>
          <w:rFonts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）法律、行政法规规定的其他条件； </w:t>
      </w:r>
      <w:r>
        <w:rPr>
          <w:rFonts w:hint="eastAsia" w:ascii="宋体" w:hAnsi="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根据政府采购法及相关法规，</w:t>
      </w:r>
      <w:r>
        <w:rPr>
          <w:rFonts w:hint="eastAsia" w:ascii="宋体" w:hAnsi="宋体" w:eastAsia="宋体" w:cs="宋体"/>
          <w:sz w:val="24"/>
          <w:szCs w:val="24"/>
          <w:highlight w:val="none"/>
          <w:lang w:eastAsia="zh-CN"/>
        </w:rPr>
        <w:t xml:space="preserve">采购代理</w:t>
      </w:r>
      <w:r>
        <w:rPr>
          <w:rFonts w:hint="eastAsia" w:ascii="宋体" w:hAnsi="宋体" w:eastAsia="宋体" w:cs="宋体"/>
          <w:sz w:val="24"/>
          <w:szCs w:val="24"/>
          <w:highlight w:val="none"/>
        </w:rPr>
        <w:t xml:space="preserve">人将对供应商进行信用查询。对列入失信被执行人、重大税收违法案件当事人名单、政府采购严重违法失信行为记录名单的供应商，拒绝其参与政府采购活动。</w:t>
      </w:r>
      <w:r>
        <w:rPr>
          <w:rFonts w:ascii="宋体" w:hAnsi="宋体" w:eastAsia="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rPr>
          <w:rFonts w:hint="eastAsia" w:ascii="宋体" w:hAnsi="宋体"/>
          <w:b/>
          <w:sz w:val="24"/>
          <w:szCs w:val="24"/>
          <w:highlight w:val="none"/>
        </w:rPr>
        <w:t xml:space="preserve">本项目</w:t>
      </w:r>
      <w:r>
        <w:rPr>
          <w:rFonts w:hint="eastAsia" w:ascii="宋体" w:hAnsi="宋体"/>
          <w:b/>
          <w:sz w:val="24"/>
          <w:szCs w:val="24"/>
          <w:highlight w:val="none"/>
          <w:u w:val="single"/>
        </w:rPr>
        <w:t xml:space="preserve">专门面向中小企业</w:t>
      </w:r>
      <w:r>
        <w:rPr>
          <w:rFonts w:hint="eastAsia" w:ascii="宋体" w:hAnsi="宋体"/>
          <w:b/>
          <w:sz w:val="24"/>
          <w:szCs w:val="24"/>
          <w:highlight w:val="none"/>
        </w:rPr>
        <w:t xml:space="preserve">，所属行业为</w:t>
      </w:r>
      <w:r>
        <w:rPr>
          <w:rFonts w:hint="eastAsia" w:ascii="宋体" w:hAnsi="宋体" w:cs="宋体"/>
          <w:b/>
          <w:bCs/>
          <w:spacing w:val="3"/>
          <w:sz w:val="24"/>
          <w:szCs w:val="24"/>
          <w:highlight w:val="none"/>
          <w:u w:val="single"/>
          <w:lang w:eastAsia="zh-CN"/>
        </w:rPr>
        <w:t xml:space="preserve">租赁和商务服务业</w:t>
      </w:r>
      <w:r>
        <w:rPr>
          <w:rFonts w:hint="eastAsia" w:ascii="宋体" w:hAnsi="宋体"/>
          <w:b/>
          <w:sz w:val="24"/>
          <w:szCs w:val="24"/>
          <w:highlight w:val="none"/>
        </w:rPr>
        <w:t xml:space="preserve">，供应商应为中小微企业或监狱企业或残疾人福利性单位。</w:t>
      </w:r>
      <w:r>
        <w:rPr>
          <w:rFonts w:ascii="宋体" w:hAnsi="宋体" w:cs="宋体"/>
          <w:sz w:val="24"/>
          <w:szCs w:val="24"/>
          <w:highlight w:val="none"/>
        </w:rPr>
      </w:r>
      <w:r/>
    </w:p>
    <w:p>
      <w:pPr>
        <w:pStyle w:val="995"/>
        <w:ind w:firstLine="480"/>
        <w:spacing w:line="360" w:lineRule="auto"/>
        <w:shd w:val="clear" w:color="auto" w:fill="auto"/>
        <w:rPr>
          <w:rFonts w:hint="eastAsia"/>
          <w:color w:val="000000"/>
          <w:sz w:val="24"/>
          <w:szCs w:val="24"/>
          <w:highlight w:val="none"/>
        </w:rPr>
      </w:pPr>
      <w:r>
        <w:rPr>
          <w:rFonts w:hint="eastAsia" w:ascii="宋体" w:hAnsi="宋体" w:cs="宋体"/>
          <w:sz w:val="24"/>
          <w:szCs w:val="24"/>
          <w:highlight w:val="none"/>
        </w:rPr>
        <w:t xml:space="preserve">3.本项目的特定资格要求：</w:t>
      </w:r>
      <w:r>
        <w:rPr>
          <w:rFonts w:hint="eastAsia" w:ascii="宋体" w:hAnsi="宋体"/>
          <w:sz w:val="24"/>
          <w:szCs w:val="24"/>
          <w:highlight w:val="none"/>
          <w:lang w:val="en-US" w:eastAsia="zh-CN"/>
        </w:rPr>
        <w:t xml:space="preserve">无</w:t>
      </w:r>
      <w:r>
        <w:rPr>
          <w:rFonts w:hint="eastAsia" w:ascii="宋体" w:hAnsi="宋体"/>
          <w:sz w:val="24"/>
          <w:szCs w:val="24"/>
          <w:highlight w:val="none"/>
        </w:rPr>
        <w:t xml:space="preserve">。</w:t>
      </w:r>
      <w:r>
        <w:rPr>
          <w:rFonts w:hint="eastAsia"/>
          <w:color w:val="000000"/>
          <w:sz w:val="24"/>
          <w:szCs w:val="24"/>
          <w:highlight w:val="none"/>
        </w:rPr>
      </w:r>
      <w:r/>
    </w:p>
    <w:p>
      <w:pPr>
        <w:pStyle w:val="995"/>
        <w:ind w:firstLine="482"/>
        <w:spacing w:line="360" w:lineRule="auto"/>
        <w:shd w:val="clear" w:color="auto" w:fill="auto"/>
        <w:rPr>
          <w:rFonts w:ascii="Arial" w:hAnsi="Arial" w:eastAsia="Arial" w:cs="宋体"/>
          <w:b/>
          <w:sz w:val="24"/>
          <w:szCs w:val="24"/>
          <w:highlight w:val="none"/>
        </w:rPr>
      </w:pPr>
      <w:r>
        <w:rPr>
          <w:rFonts w:hint="eastAsia" w:ascii="Arial" w:hAnsi="Arial" w:eastAsia="Arial" w:cs="宋体"/>
          <w:b/>
          <w:sz w:val="24"/>
          <w:szCs w:val="24"/>
          <w:highlight w:val="none"/>
        </w:rPr>
        <w:t xml:space="preserve">三、获取采购文件：</w:t>
      </w:r>
      <w:r>
        <w:rPr>
          <w:rFonts w:ascii="Arial" w:hAnsi="Arial" w:eastAsia="Arial" w:cs="宋体"/>
          <w:b/>
          <w:sz w:val="24"/>
          <w:szCs w:val="24"/>
          <w:highlight w:val="none"/>
        </w:rPr>
      </w:r>
      <w:r/>
    </w:p>
    <w:p>
      <w:pPr>
        <w:pStyle w:val="995"/>
        <w:ind w:firstLine="480"/>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1.时间：自公告发布之日起五个工作日</w:t>
      </w:r>
      <w:r>
        <w:rPr>
          <w:rFonts w:hint="eastAsia"/>
          <w:color w:val="000000"/>
          <w:sz w:val="24"/>
          <w:szCs w:val="24"/>
          <w:highlight w:val="none"/>
        </w:rPr>
      </w:r>
      <w:r/>
    </w:p>
    <w:p>
      <w:pPr>
        <w:pStyle w:val="995"/>
        <w:ind w:firstLine="480"/>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2.地点：“苏采云”系统</w:t>
      </w:r>
      <w:r>
        <w:rPr>
          <w:rFonts w:hint="eastAsia"/>
          <w:color w:val="000000"/>
          <w:sz w:val="24"/>
          <w:szCs w:val="24"/>
          <w:highlight w:val="none"/>
        </w:rPr>
      </w:r>
      <w:r/>
    </w:p>
    <w:p>
      <w:pPr>
        <w:pStyle w:val="995"/>
        <w:ind w:firstLine="480"/>
        <w:jc w:val="left"/>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3.方式：“苏采云”系统自行下载</w:t>
      </w:r>
      <w:r>
        <w:rPr>
          <w:rFonts w:hint="eastAsia"/>
          <w:color w:val="000000"/>
          <w:sz w:val="24"/>
          <w:szCs w:val="24"/>
          <w:highlight w:val="none"/>
        </w:rPr>
      </w:r>
      <w:r/>
    </w:p>
    <w:p>
      <w:pPr>
        <w:pStyle w:val="995"/>
        <w:ind w:firstLine="480"/>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4.售价：免费</w:t>
      </w:r>
      <w:r>
        <w:rPr>
          <w:rFonts w:hint="eastAsia"/>
          <w:color w:val="000000"/>
          <w:sz w:val="24"/>
          <w:szCs w:val="24"/>
          <w:highlight w:val="none"/>
        </w:rPr>
      </w:r>
      <w:r/>
    </w:p>
    <w:p>
      <w:pPr>
        <w:pStyle w:val="995"/>
        <w:ind w:firstLine="482"/>
        <w:spacing w:line="360" w:lineRule="auto"/>
        <w:shd w:val="clear" w:color="auto" w:fill="auto"/>
        <w:rPr>
          <w:rFonts w:ascii="宋体" w:hAnsi="宋体" w:cs="宋体"/>
          <w:b/>
          <w:bCs/>
          <w:sz w:val="24"/>
          <w:highlight w:val="none"/>
        </w:rPr>
      </w:pPr>
      <w:r>
        <w:rPr>
          <w:rFonts w:hint="eastAsia" w:ascii="宋体" w:hAnsi="宋体" w:cs="宋体"/>
          <w:b/>
          <w:bCs/>
          <w:sz w:val="24"/>
          <w:highlight w:val="none"/>
        </w:rPr>
        <w:t xml:space="preserve">四、</w:t>
      </w:r>
      <w:r>
        <w:rPr>
          <w:rFonts w:hint="eastAsia" w:ascii="宋体" w:hAnsi="宋体"/>
          <w:b/>
          <w:sz w:val="24"/>
          <w:highlight w:val="none"/>
        </w:rPr>
        <w:t xml:space="preserve">响应文件提交</w:t>
      </w:r>
      <w:r>
        <w:rPr>
          <w:rFonts w:hint="eastAsia" w:ascii="宋体" w:hAnsi="宋体" w:cs="宋体"/>
          <w:b/>
          <w:bCs/>
          <w:sz w:val="24"/>
          <w:highlight w:val="none"/>
        </w:rPr>
        <w:t xml:space="preserve">：</w:t>
      </w:r>
      <w:r>
        <w:rPr>
          <w:rFonts w:ascii="宋体" w:hAnsi="宋体" w:cs="宋体"/>
          <w:b/>
          <w:bCs/>
          <w:sz w:val="24"/>
          <w:highlight w:val="none"/>
        </w:rPr>
      </w:r>
      <w:r/>
    </w:p>
    <w:p>
      <w:pPr>
        <w:pStyle w:val="995"/>
        <w:ind w:firstLine="480"/>
        <w:spacing w:line="360" w:lineRule="auto"/>
        <w:shd w:val="clear" w:color="auto" w:fill="auto"/>
        <w:rPr>
          <w:rFonts w:hint="eastAsia" w:ascii="宋体" w:hAnsi="宋体" w:cs="宋体"/>
          <w:sz w:val="24"/>
          <w:highlight w:val="none"/>
        </w:rPr>
      </w:pPr>
      <w:r>
        <w:rPr>
          <w:rFonts w:hint="eastAsia" w:ascii="宋体" w:hAnsi="宋体" w:cs="宋体"/>
          <w:sz w:val="24"/>
          <w:highlight w:val="none"/>
        </w:rPr>
        <w:t xml:space="preserve">1.电子响应文件上传截止时间：</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rPr>
        <w:t xml:space="preserve">10月</w:t>
      </w:r>
      <w:r>
        <w:rPr>
          <w:rFonts w:hint="eastAsia" w:ascii="宋体" w:hAnsi="宋体" w:cs="宋体"/>
          <w:sz w:val="24"/>
          <w:szCs w:val="24"/>
          <w:highlight w:val="none"/>
        </w:rPr>
        <w:t xml:space="preserve">21日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:30</w:t>
      </w:r>
      <w:r>
        <w:rPr>
          <w:rFonts w:hint="eastAsia" w:ascii="宋体" w:hAnsi="宋体" w:cs="宋体"/>
          <w:sz w:val="24"/>
          <w:highlight w:val="none"/>
        </w:rPr>
        <w:t xml:space="preserve">。</w:t>
      </w:r>
      <w:r>
        <w:rPr>
          <w:rFonts w:hint="eastAsia" w:ascii="宋体" w:hAnsi="宋体" w:cs="宋体"/>
          <w:sz w:val="24"/>
          <w:highlight w:val="none"/>
        </w:rPr>
      </w:r>
      <w:r/>
    </w:p>
    <w:p>
      <w:pPr>
        <w:pStyle w:val="995"/>
        <w:ind w:firstLine="420"/>
        <w:spacing w:line="360" w:lineRule="auto"/>
        <w:shd w:val="clear" w:color="auto" w:fill="auto"/>
        <w:rPr>
          <w:rFonts w:ascii="宋体" w:hAnsi="宋体" w:cs="宋体"/>
          <w:sz w:val="24"/>
          <w:szCs w:val="24"/>
          <w:highlight w:val="none"/>
        </w:rPr>
      </w:pPr>
      <w:r>
        <w:rPr>
          <w:rFonts w:hint="eastAsia" w:ascii="宋体" w:hAnsi="宋体" w:cs="宋体"/>
          <w:sz w:val="24"/>
          <w:highlight w:val="none"/>
        </w:rPr>
        <w:t xml:space="preserve">2.地点：“苏采云”系统（网址：http://jszfcg.jsczt.cn）</w:t>
      </w:r>
      <w:r>
        <w:rPr>
          <w:rFonts w:ascii="宋体" w:hAnsi="宋体" w:cs="宋体"/>
          <w:sz w:val="24"/>
          <w:szCs w:val="24"/>
          <w:highlight w:val="none"/>
        </w:rPr>
      </w:r>
      <w:r/>
    </w:p>
    <w:p>
      <w:pPr>
        <w:pStyle w:val="995"/>
        <w:ind w:firstLine="422"/>
        <w:spacing w:line="360" w:lineRule="auto"/>
        <w:shd w:val="clear" w:color="auto" w:fill="auto"/>
        <w:rPr>
          <w:rFonts w:ascii="宋体" w:hAnsi="宋体" w:cs="宋体"/>
          <w:b/>
          <w:bCs/>
          <w:sz w:val="24"/>
          <w:szCs w:val="24"/>
          <w:highlight w:val="none"/>
        </w:rPr>
      </w:pPr>
      <w:r>
        <w:rPr>
          <w:rFonts w:hint="eastAsia" w:ascii="宋体" w:hAnsi="宋体" w:cs="宋体"/>
          <w:b/>
          <w:bCs/>
          <w:sz w:val="24"/>
          <w:szCs w:val="24"/>
          <w:highlight w:val="none"/>
        </w:rPr>
        <w:t xml:space="preserve">五、开启</w:t>
      </w:r>
      <w:r>
        <w:rPr>
          <w:rFonts w:ascii="宋体" w:hAnsi="宋体" w:cs="宋体"/>
          <w:b/>
          <w:bCs/>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rPr>
        <w:t xml:space="preserve">10月</w:t>
      </w:r>
      <w:r>
        <w:rPr>
          <w:rFonts w:hint="eastAsia" w:ascii="宋体" w:hAnsi="宋体" w:cs="宋体"/>
          <w:sz w:val="24"/>
          <w:szCs w:val="24"/>
          <w:highlight w:val="none"/>
        </w:rPr>
        <w:t xml:space="preserve">21日</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:30</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2.地点：</w:t>
      </w:r>
      <w:r>
        <w:rPr>
          <w:rFonts w:hint="eastAsia" w:ascii="宋体" w:hAnsi="宋体" w:eastAsia="宋体" w:cs="宋体"/>
          <w:sz w:val="24"/>
          <w:szCs w:val="24"/>
          <w:highlight w:val="none"/>
        </w:rPr>
        <w:t xml:space="preserve">“苏采云”系统（网址：</w:t>
      </w:r>
      <w:r>
        <w:rPr>
          <w:rFonts w:hint="eastAsia"/>
          <w:highlight w:val="none"/>
        </w:rPr>
        <w:fldChar w:fldCharType="begin"/>
      </w:r>
      <w:r>
        <w:rPr>
          <w:rFonts w:hint="eastAsia" w:ascii="宋体" w:hAnsi="宋体" w:eastAsia="宋体" w:cs="宋体"/>
          <w:highlight w:val="none"/>
        </w:rPr>
        <w:instrText xml:space="preserve"> HYPERLINK "http://jszfcg.jsczt.cn/）" </w:instrText>
      </w:r>
      <w:r>
        <w:rPr>
          <w:rFonts w:hint="eastAsia"/>
          <w:highlight w:val="none"/>
        </w:rPr>
        <w:fldChar w:fldCharType="separate"/>
      </w:r>
      <w:r>
        <w:rPr>
          <w:rStyle w:val="1044"/>
          <w:rFonts w:hint="eastAsia" w:ascii="宋体" w:hAnsi="宋体" w:eastAsia="宋体" w:cs="宋体"/>
          <w:color w:val="000000"/>
          <w:sz w:val="24"/>
          <w:szCs w:val="24"/>
          <w:highlight w:val="none"/>
        </w:rPr>
        <w:t xml:space="preserve">http://jszfcg.jsczt.cn/）</w:t>
      </w:r>
      <w:r>
        <w:rPr>
          <w:rStyle w:val="1044"/>
          <w:rFonts w:hint="eastAsia" w:ascii="宋体" w:hAnsi="宋体" w:eastAsia="宋体" w:cs="宋体"/>
          <w:color w:val="000000"/>
          <w:sz w:val="24"/>
          <w:szCs w:val="24"/>
          <w:highlight w:val="none"/>
        </w:rPr>
        <w:fldChar w:fldCharType="end"/>
      </w:r>
      <w:r>
        <w:rPr>
          <w:rFonts w:hint="eastAsia" w:ascii="宋体" w:hAnsi="宋体" w:cs="宋体"/>
          <w:sz w:val="24"/>
          <w:szCs w:val="24"/>
          <w:highlight w:val="none"/>
        </w:rPr>
      </w:r>
      <w:r/>
    </w:p>
    <w:p>
      <w:pPr>
        <w:pStyle w:val="995"/>
        <w:ind w:firstLine="480"/>
        <w:spacing w:line="360" w:lineRule="auto"/>
        <w:shd w:val="clear" w:color="auto" w:fill="auto"/>
        <w:rPr>
          <w:rFonts w:ascii="宋体" w:hAnsi="宋体" w:cs="宋体"/>
          <w:b/>
          <w:bCs/>
          <w:sz w:val="24"/>
          <w:szCs w:val="24"/>
          <w:highlight w:val="none"/>
        </w:rPr>
      </w:pPr>
      <w:r>
        <w:rPr>
          <w:rFonts w:hint="eastAsia" w:ascii="宋体" w:hAnsi="宋体" w:cs="宋体"/>
          <w:b/>
          <w:bCs/>
          <w:sz w:val="24"/>
          <w:szCs w:val="24"/>
          <w:highlight w:val="none"/>
        </w:rPr>
        <w:t xml:space="preserve">六、公告期限</w:t>
      </w:r>
      <w:r>
        <w:rPr>
          <w:rFonts w:ascii="宋体" w:hAnsi="宋体" w:cs="宋体"/>
          <w:b/>
          <w:bCs/>
          <w:sz w:val="24"/>
          <w:szCs w:val="24"/>
          <w:highlight w:val="none"/>
        </w:rPr>
      </w:r>
      <w:r/>
    </w:p>
    <w:p>
      <w:pPr>
        <w:pStyle w:val="995"/>
        <w:ind w:firstLine="42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ascii="宋体" w:hAnsi="宋体" w:cs="宋体"/>
          <w:sz w:val="24"/>
          <w:szCs w:val="24"/>
          <w:highlight w:val="none"/>
        </w:rPr>
      </w:r>
      <w:r/>
    </w:p>
    <w:p>
      <w:pPr>
        <w:pStyle w:val="995"/>
        <w:ind w:firstLine="422"/>
        <w:spacing w:line="360" w:lineRule="auto"/>
        <w:shd w:val="clear" w:color="auto" w:fill="auto"/>
        <w:rPr>
          <w:rFonts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ascii="宋体" w:hAnsi="宋体" w:cs="宋体"/>
          <w:b/>
          <w:bCs/>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1.线上获取方式：</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highlight w:val="none"/>
        </w:rPr>
        <w:t xml:space="preserve">苏州现场办理地址：苏州市高新区邓尉路105号狮山科技馆1楼服务大厅，咨询电话：0512-65737699。</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rPr>
          <w:rFonts w:ascii="宋体" w:hAnsi="宋体" w:eastAsia="宋体" w:cs="宋体"/>
          <w:b/>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考虑到熟悉“苏采云”系统、办理CA证书都需要一定的时间，请提早准备以免耽误招标采购活动。</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rPr>
          <w:rFonts w:ascii="宋体" w:hAnsi="宋体" w:eastAsia="宋体" w:cs="宋体"/>
          <w:sz w:val="24"/>
          <w:szCs w:val="24"/>
          <w:highlight w:val="none"/>
        </w:rPr>
      </w:r>
      <w:r/>
    </w:p>
    <w:p>
      <w:pPr>
        <w:pStyle w:val="995"/>
        <w:ind w:firstLine="480"/>
        <w:jc w:val="left"/>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系统使用指导与咨询：联系电话：13914088964；QQ：3048755361、1315179389、895706745。</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2.本项目采用电子招投标形式，请供应商按照《苏采云系统供应商操作手册》进行制作、上传电子投标文件。</w:t>
      </w:r>
      <w:r>
        <w:rPr>
          <w:rFonts w:hint="eastAsia" w:ascii="宋体" w:hAnsi="宋体" w:eastAsia="宋体" w:cs="宋体"/>
          <w:sz w:val="24"/>
          <w:szCs w:val="24"/>
          <w:highlight w:val="none"/>
          <w:lang w:eastAsia="zh-CN"/>
        </w:rPr>
        <w:t xml:space="preserve">投标文件</w:t>
      </w:r>
      <w:r>
        <w:rPr>
          <w:rFonts w:hint="eastAsia" w:ascii="宋体" w:hAnsi="宋体" w:eastAsia="宋体" w:cs="宋体"/>
          <w:sz w:val="24"/>
          <w:szCs w:val="24"/>
          <w:highlight w:val="none"/>
        </w:rPr>
        <w:t xml:space="preserve">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6.本项目获取招标文件截止日期之后仍可以下载招标文件，但截止日期之后下载的招标文件，视为非有效方式且不作为供应商权益受到损害的证明材料和依据。</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8.苏州市高新区政府采购监督电话：</w:t>
      </w:r>
      <w:r>
        <w:rPr>
          <w:rFonts w:ascii="仿宋" w:hAnsi="仿宋" w:eastAsia="仿宋" w:cs="仿宋"/>
          <w:i w:val="0"/>
          <w:iCs w:val="0"/>
          <w:caps w:val="0"/>
          <w:color w:val="333333"/>
          <w:spacing w:val="0"/>
          <w:sz w:val="24"/>
          <w:szCs w:val="24"/>
          <w:highlight w:val="none"/>
          <w:shd w:val="clear" w:color="auto" w:fill="ffffff"/>
        </w:rPr>
        <w:t xml:space="preserve">0512-6</w:t>
      </w:r>
      <w:r>
        <w:rPr>
          <w:rFonts w:hint="eastAsia" w:ascii="仿宋" w:hAnsi="仿宋" w:eastAsia="仿宋" w:cs="仿宋"/>
          <w:i w:val="0"/>
          <w:iCs w:val="0"/>
          <w:caps w:val="0"/>
          <w:color w:val="333333"/>
          <w:spacing w:val="0"/>
          <w:sz w:val="24"/>
          <w:szCs w:val="24"/>
          <w:highlight w:val="none"/>
          <w:shd w:val="clear" w:color="auto" w:fill="ffffff"/>
        </w:rPr>
        <w:t xml:space="preserve">8751331、0512-68751335</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rPr>
      </w:pPr>
      <w:r>
        <w:rPr>
          <w:rFonts w:hint="eastAsia" w:ascii="宋体" w:hAnsi="宋体" w:eastAsia="宋体" w:cs="宋体"/>
          <w:sz w:val="24"/>
          <w:szCs w:val="24"/>
          <w:highlight w:val="none"/>
        </w:rPr>
        <w:t xml:space="preserve">9.本次采购的有关信息将在苏州市政府采购网、江苏政府采购网、中国政府采购网上发布，敬请留意！</w:t>
      </w:r>
      <w:r>
        <w:rPr>
          <w:rFonts w:ascii="宋体" w:hAnsi="宋体" w:eastAsia="宋体" w:cs="宋体"/>
          <w:sz w:val="24"/>
          <w:szCs w:val="24"/>
          <w:highlight w:val="none"/>
        </w:rPr>
      </w:r>
      <w:r/>
    </w:p>
    <w:p>
      <w:pPr>
        <w:pStyle w:val="995"/>
        <w:ind w:firstLine="482"/>
        <w:spacing w:line="360" w:lineRule="auto"/>
        <w:shd w:val="clear" w:color="auto" w:fill="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、对本次招标提出的询问，请按以下方式联系。</w:t>
      </w:r>
      <w:r>
        <w:rPr>
          <w:rFonts w:hint="eastAsia" w:ascii="宋体" w:hAnsi="宋体" w:cs="宋体"/>
          <w:b/>
          <w:bCs/>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单位名称：</w:t>
      </w:r>
      <w:r>
        <w:rPr>
          <w:rFonts w:hint="eastAsia" w:ascii="宋体" w:hAnsi="宋体" w:cs="宋体"/>
          <w:sz w:val="24"/>
          <w:szCs w:val="24"/>
          <w:highlight w:val="none"/>
          <w:lang w:eastAsia="zh-CN"/>
        </w:rPr>
        <w:t xml:space="preserve">苏州国家高新技术产业开发区镇湖街道办事处</w:t>
      </w:r>
      <w:r>
        <w:rPr>
          <w:rFonts w:hint="eastAsia" w:ascii="宋体" w:hAnsi="宋体" w:eastAsia="宋体" w:cs="宋体"/>
          <w:sz w:val="24"/>
          <w:szCs w:val="24"/>
          <w:highlight w:val="none"/>
          <w:lang w:eastAsia="zh-CN"/>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单位地址：苏州高新区镇湖街道东城路350号</w:t>
      </w:r>
      <w:r>
        <w:rPr>
          <w:rFonts w:hint="eastAsia" w:ascii="宋体" w:hAnsi="宋体" w:cs="宋体"/>
          <w:sz w:val="24"/>
          <w:szCs w:val="24"/>
          <w:highlight w:val="none"/>
        </w:rPr>
      </w:r>
      <w:r/>
    </w:p>
    <w:p>
      <w:pPr>
        <w:pStyle w:val="995"/>
        <w:ind w:firstLine="480"/>
        <w:spacing w:line="360" w:lineRule="auto"/>
        <w:shd w:val="clear" w:color="auto" w:fill="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沈峰</w:t>
      </w:r>
      <w:r>
        <w:rPr>
          <w:rFonts w:ascii="宋体" w:hAnsi="宋体" w:eastAsia="宋体" w:cs="宋体"/>
          <w:sz w:val="24"/>
          <w:szCs w:val="24"/>
          <w:highlight w:val="none"/>
          <w:lang w:val="en-US" w:eastAsia="zh-CN"/>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联系电话：0512-66911053 </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rPr>
          <w:rFonts w:hint="eastAsia" w:ascii="宋体" w:hAnsi="宋体" w:eastAsia="宋体" w:cs="宋体"/>
          <w:sz w:val="24"/>
          <w:szCs w:val="24"/>
          <w:highlight w:val="none"/>
        </w:rPr>
      </w:r>
      <w:r/>
    </w:p>
    <w:p>
      <w:pPr>
        <w:pStyle w:val="995"/>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苏州海企国际工程咨询有限公司</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95"/>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b w:val="0"/>
          <w:bCs w:val="0"/>
          <w:sz w:val="24"/>
          <w:szCs w:val="24"/>
          <w:highlight w:val="none"/>
          <w:lang w:val="en-US" w:eastAsia="zh-CN"/>
        </w:rPr>
        <w:t xml:space="preserve">苏州市高新区灵岩街6号9楼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95"/>
        <w:ind w:firstLine="480"/>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联系方式：0512-</w:t>
      </w:r>
      <w:r>
        <w:rPr>
          <w:rFonts w:hint="eastAsia" w:ascii="宋体" w:hAnsi="宋体" w:eastAsia="宋体" w:cs="宋体"/>
          <w:sz w:val="24"/>
          <w:szCs w:val="24"/>
          <w:highlight w:val="none"/>
          <w:lang w:val="en-US" w:eastAsia="zh-CN"/>
        </w:rPr>
        <w:t xml:space="preserve">68087208</w:t>
      </w:r>
      <w:r>
        <w:rPr>
          <w:rFonts w:hint="eastAsia" w:ascii="宋体" w:hAnsi="宋体" w:eastAsia="宋体" w:cs="宋体"/>
          <w:sz w:val="24"/>
          <w:szCs w:val="24"/>
          <w:highlight w:val="none"/>
          <w:lang w:val="en-US" w:eastAsia="zh-CN"/>
        </w:rPr>
      </w:r>
      <w:r/>
    </w:p>
    <w:p>
      <w:pPr>
        <w:pStyle w:val="995"/>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rPr>
          <w:rFonts w:hint="eastAsia" w:ascii="宋体" w:hAnsi="宋体" w:eastAsia="宋体" w:cs="宋体"/>
          <w:sz w:val="24"/>
          <w:szCs w:val="24"/>
          <w:highlight w:val="none"/>
        </w:rPr>
      </w:r>
      <w:r/>
    </w:p>
    <w:p>
      <w:pPr>
        <w:pStyle w:val="995"/>
        <w:ind w:firstLine="480"/>
        <w:spacing w:line="360" w:lineRule="auto"/>
        <w:shd w:val="clear" w:color="auto" w:fill="auto"/>
        <w:tabs>
          <w:tab w:val="left" w:pos="463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王雨、张茂松、赵猛</w:t>
      </w: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r>
      <w:r/>
    </w:p>
    <w:p>
      <w:pPr>
        <w:pStyle w:val="995"/>
        <w:ind w:firstLine="480"/>
        <w:shd w:val="clear" w:color="auto" w:fill="auto"/>
        <w:rPr>
          <w:rFonts w:ascii="宋体" w:hAnsi="宋体" w:eastAsia="宋体" w:cs="宋体"/>
          <w:highlight w:val="none"/>
        </w:rPr>
      </w:pPr>
      <w:r>
        <w:rPr>
          <w:rFonts w:hint="eastAsia" w:ascii="宋体" w:hAnsi="宋体" w:eastAsia="宋体" w:cs="宋体"/>
          <w:sz w:val="24"/>
          <w:szCs w:val="24"/>
          <w:highlight w:val="none"/>
        </w:rPr>
        <w:t xml:space="preserve">电   话：0512-</w:t>
      </w:r>
      <w:r>
        <w:rPr>
          <w:rFonts w:hint="eastAsia" w:ascii="宋体" w:hAnsi="宋体" w:eastAsia="宋体" w:cs="宋体"/>
          <w:sz w:val="24"/>
          <w:szCs w:val="24"/>
          <w:highlight w:val="none"/>
          <w:lang w:val="en-US" w:eastAsia="zh-CN"/>
        </w:rPr>
        <w:t xml:space="preserve">68087208</w:t>
      </w:r>
      <w:r>
        <w:rPr>
          <w:rFonts w:ascii="宋体" w:hAnsi="宋体" w:eastAsia="宋体" w:cs="宋体"/>
          <w:highlight w:val="none"/>
        </w:rPr>
      </w:r>
      <w:r/>
    </w:p>
    <w:p>
      <w:pPr>
        <w:pStyle w:val="995"/>
        <w:ind w:firstLine="420"/>
        <w:jc w:val="center"/>
        <w:spacing w:line="360" w:lineRule="auto"/>
        <w:shd w:val="clear" w:color="auto" w:fill="auto"/>
        <w:rPr>
          <w:rFonts w:hint="eastAsia" w:ascii="宋体" w:hAnsi="宋体" w:cs="宋体"/>
          <w:b/>
          <w:sz w:val="32"/>
          <w:highlight w:val="none"/>
        </w:rPr>
      </w:pPr>
      <w:r>
        <w:rPr>
          <w:rFonts w:hint="eastAsia" w:ascii="宋体" w:hAnsi="宋体" w:cs="宋体"/>
          <w:highlight w:val="none"/>
        </w:rPr>
        <w:br w:type="page" w:clear="all"/>
      </w:r>
      <w:r>
        <w:rPr>
          <w:rFonts w:hint="eastAsia" w:ascii="宋体" w:hAnsi="宋体" w:cs="宋体"/>
          <w:b/>
          <w:sz w:val="32"/>
          <w:highlight w:val="none"/>
        </w:rPr>
        <w:t xml:space="preserve">二、磋商采购文件</w:t>
      </w:r>
      <w:r>
        <w:rPr>
          <w:rFonts w:hint="eastAsia" w:ascii="宋体" w:hAnsi="宋体" w:cs="宋体"/>
          <w:b/>
          <w:sz w:val="32"/>
          <w:highlight w:val="none"/>
        </w:rPr>
      </w:r>
      <w:r/>
    </w:p>
    <w:p>
      <w:pPr>
        <w:pStyle w:val="995"/>
        <w:ind w:firstLine="480"/>
        <w:jc w:val="left"/>
        <w:spacing w:line="360" w:lineRule="auto"/>
        <w:shd w:val="clear" w:color="auto" w:fill="auto"/>
        <w:tabs>
          <w:tab w:val="left" w:pos="567"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苏州海企国际工程咨询有限公司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苏州国家高新技术产业开发区镇湖街道办事处</w:t>
      </w:r>
      <w:r>
        <w:rPr>
          <w:rFonts w:hint="eastAsia" w:ascii="宋体" w:hAnsi="宋体" w:cs="宋体"/>
          <w:bCs/>
          <w:sz w:val="24"/>
          <w:szCs w:val="24"/>
          <w:highlight w:val="none"/>
        </w:rPr>
        <w:t xml:space="preserve">的委托，就其所需</w:t>
      </w:r>
      <w:r>
        <w:rPr>
          <w:rFonts w:hint="eastAsia" w:ascii="宋体" w:hAnsi="宋体" w:cs="宋体"/>
          <w:sz w:val="24"/>
          <w:szCs w:val="24"/>
          <w:highlight w:val="none"/>
          <w:lang w:eastAsia="zh-CN"/>
        </w:rPr>
        <w:t xml:space="preserve">镇湖街道四期动迁房安置小区（锦湖花园四期）项目审计协审服务</w:t>
      </w:r>
      <w:r>
        <w:rPr>
          <w:rFonts w:hint="eastAsia" w:ascii="宋体" w:hAnsi="宋体" w:cs="宋体"/>
          <w:bCs/>
          <w:sz w:val="24"/>
          <w:szCs w:val="24"/>
          <w:highlight w:val="none"/>
        </w:rPr>
        <w:t xml:space="preserve">项目采用竞争性磋商方式进行采购。欢迎符合磋商采购文件资格条件的供应商前来参加磋商。</w:t>
      </w:r>
      <w:r>
        <w:rPr>
          <w:rFonts w:hint="eastAsia" w:ascii="宋体" w:hAnsi="宋体" w:cs="宋体"/>
          <w:bCs/>
          <w:sz w:val="24"/>
          <w:szCs w:val="24"/>
          <w:highlight w:val="none"/>
        </w:rPr>
      </w:r>
      <w:r/>
    </w:p>
    <w:p>
      <w:pPr>
        <w:pStyle w:val="995"/>
        <w:numPr>
          <w:ilvl w:val="0"/>
          <w:numId w:val="2"/>
        </w:numPr>
        <w:ind w:firstLine="482"/>
        <w:jc w:val="left"/>
        <w:spacing w:line="360" w:lineRule="auto"/>
        <w:shd w:val="clear" w:color="auto" w:fill="auto"/>
        <w:tabs>
          <w:tab w:val="left" w:pos="567" w:leader="none"/>
        </w:tabs>
        <w:rPr>
          <w:rFonts w:hint="eastAsia" w:ascii="宋体" w:hAnsi="宋体" w:cs="宋体"/>
          <w:sz w:val="24"/>
          <w:szCs w:val="24"/>
          <w:highlight w:val="none"/>
        </w:rPr>
      </w:pPr>
      <w:r>
        <w:rPr>
          <w:rFonts w:hint="eastAsia" w:ascii="宋体" w:hAnsi="宋体" w:cs="宋体"/>
          <w:b/>
          <w:sz w:val="24"/>
          <w:szCs w:val="24"/>
          <w:highlight w:val="none"/>
        </w:rPr>
        <w:t xml:space="preserve">采购编号：</w:t>
      </w:r>
      <w:r>
        <w:rPr>
          <w:rFonts w:hint="eastAsia" w:ascii="宋体" w:hAnsi="宋体" w:cs="宋体"/>
          <w:sz w:val="24"/>
          <w:szCs w:val="24"/>
          <w:highlight w:val="none"/>
          <w:lang w:eastAsia="zh-CN"/>
        </w:rPr>
        <w:t xml:space="preserve">JSZC-320505-SZHQ-C2026-0025</w:t>
      </w:r>
      <w:r>
        <w:rPr>
          <w:rFonts w:hint="eastAsia" w:ascii="宋体" w:hAnsi="宋体" w:cs="宋体"/>
          <w:sz w:val="24"/>
          <w:szCs w:val="24"/>
          <w:highlight w:val="none"/>
        </w:rPr>
      </w:r>
      <w:r/>
    </w:p>
    <w:p>
      <w:pPr>
        <w:pStyle w:val="995"/>
        <w:numPr>
          <w:ilvl w:val="0"/>
          <w:numId w:val="2"/>
        </w:numPr>
        <w:ind w:firstLine="482"/>
        <w:jc w:val="left"/>
        <w:spacing w:line="360" w:lineRule="auto"/>
        <w:shd w:val="clear" w:color="auto" w:fill="auto"/>
        <w:tabs>
          <w:tab w:val="left" w:pos="567" w:leader="none"/>
        </w:tabs>
        <w:rPr>
          <w:rFonts w:hint="eastAsia" w:ascii="宋体" w:hAnsi="宋体" w:cs="宋体"/>
          <w:sz w:val="24"/>
          <w:szCs w:val="24"/>
          <w:highlight w:val="none"/>
        </w:rPr>
      </w:pPr>
      <w:r>
        <w:rPr>
          <w:rFonts w:hint="eastAsia" w:ascii="宋体" w:hAnsi="宋体" w:cs="宋体"/>
          <w:b/>
          <w:sz w:val="24"/>
          <w:szCs w:val="24"/>
          <w:highlight w:val="none"/>
        </w:rPr>
        <w:t xml:space="preserve">项目名称：</w:t>
      </w:r>
      <w:r>
        <w:rPr>
          <w:rFonts w:hint="eastAsia" w:ascii="宋体" w:hAnsi="宋体" w:cs="宋体"/>
          <w:sz w:val="24"/>
          <w:szCs w:val="24"/>
          <w:highlight w:val="none"/>
          <w:lang w:eastAsia="zh-CN"/>
        </w:rPr>
        <w:t xml:space="preserve">镇湖街道四期动迁房安置小区（锦湖花园四期）项目审计协审服务</w:t>
      </w:r>
      <w:r>
        <w:rPr>
          <w:rFonts w:hint="eastAsia" w:ascii="宋体" w:hAnsi="宋体" w:cs="宋体"/>
          <w:sz w:val="24"/>
          <w:szCs w:val="24"/>
          <w:highlight w:val="none"/>
        </w:rPr>
      </w:r>
      <w:r/>
    </w:p>
    <w:p>
      <w:pPr>
        <w:pStyle w:val="995"/>
        <w:numPr>
          <w:ilvl w:val="0"/>
          <w:numId w:val="2"/>
        </w:numPr>
        <w:ind w:firstLine="482"/>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采购预算：</w:t>
      </w:r>
      <w:r>
        <w:rPr>
          <w:rFonts w:hint="eastAsia" w:ascii="宋体" w:hAnsi="宋体" w:cs="宋体"/>
          <w:b/>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预算金额：</w:t>
      </w:r>
      <w:r>
        <w:rPr>
          <w:rFonts w:hint="eastAsia" w:ascii="宋体" w:hAnsi="宋体" w:cs="宋体"/>
          <w:sz w:val="24"/>
          <w:szCs w:val="24"/>
          <w:highlight w:val="none"/>
          <w:lang w:eastAsia="zh-CN"/>
        </w:rPr>
        <w:t xml:space="preserve">壹佰肆拾伍万元整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1450000</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其中：</w:t>
      </w:r>
      <w:r>
        <w:rPr>
          <w:rFonts w:hint="eastAsia" w:ascii="宋体" w:hAnsi="宋体" w:cs="宋体"/>
          <w:sz w:val="24"/>
          <w:szCs w:val="24"/>
          <w:highlight w:val="none"/>
          <w:lang w:eastAsia="zh-CN"/>
        </w:rPr>
        <w:t xml:space="preserve">采购包1</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700000</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995"/>
        <w:ind w:firstLine="1200"/>
        <w:spacing w:line="360" w:lineRule="auto"/>
        <w:shd w:val="clear" w:color="auto" w:fill="auto"/>
        <w:rPr>
          <w:rFonts w:hint="eastAsia" w:ascii="宋体" w:hAnsi="宋体"/>
          <w:sz w:val="24"/>
          <w:highlight w:val="none"/>
        </w:rPr>
      </w:pPr>
      <w:r>
        <w:rPr>
          <w:rFonts w:hint="eastAsia" w:ascii="宋体" w:hAnsi="宋体" w:cs="宋体"/>
          <w:sz w:val="24"/>
          <w:szCs w:val="24"/>
          <w:highlight w:val="none"/>
          <w:lang w:eastAsia="zh-CN"/>
        </w:rPr>
        <w:t xml:space="preserve">采购包2</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柒拾伍万元整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750000</w:t>
      </w:r>
      <w:r>
        <w:rPr>
          <w:rFonts w:hint="eastAsia" w:ascii="宋体" w:hAnsi="宋体" w:cs="宋体"/>
          <w:sz w:val="24"/>
          <w:szCs w:val="24"/>
          <w:highlight w:val="none"/>
        </w:rPr>
        <w:t xml:space="preserve">.00）</w:t>
      </w:r>
      <w:r>
        <w:rPr>
          <w:rFonts w:hint="eastAsia" w:ascii="宋体" w:hAnsi="宋体"/>
          <w:sz w:val="24"/>
          <w:highlight w:val="none"/>
        </w:rPr>
      </w:r>
      <w:r/>
    </w:p>
    <w:p>
      <w:pPr>
        <w:pStyle w:val="995"/>
        <w:ind w:firstLine="482"/>
        <w:jc w:val="left"/>
        <w:spacing w:line="360" w:lineRule="auto"/>
        <w:shd w:val="clear" w:color="auto" w:fill="auto"/>
        <w:tabs>
          <w:tab w:val="left" w:pos="567" w:leader="none"/>
        </w:tabs>
        <w:rPr>
          <w:rFonts w:hint="eastAsia" w:ascii="宋体" w:hAnsi="宋体" w:cs="宋体"/>
          <w:b/>
          <w:sz w:val="24"/>
          <w:szCs w:val="24"/>
          <w:highlight w:val="none"/>
        </w:rPr>
      </w:pPr>
      <w:r>
        <w:rPr>
          <w:rFonts w:hint="eastAsia" w:ascii="宋体" w:hAnsi="宋体" w:cs="宋体"/>
          <w:b/>
          <w:sz w:val="24"/>
          <w:szCs w:val="24"/>
          <w:highlight w:val="none"/>
        </w:rPr>
        <w:t xml:space="preserve">四、采购需求：</w:t>
      </w:r>
      <w:r>
        <w:rPr>
          <w:rFonts w:hint="eastAsia" w:ascii="宋体" w:hAnsi="宋体" w:cs="宋体"/>
          <w:b/>
          <w:sz w:val="24"/>
          <w:szCs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（一）项目概况</w:t>
      </w:r>
      <w:r>
        <w:rPr>
          <w:rFonts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本次采购为苏州国家高新技术产业开发区镇湖街道办事处委托的</w:t>
      </w:r>
      <w:r>
        <w:rPr>
          <w:rFonts w:hint="eastAsia" w:ascii="宋体" w:hAnsi="宋体" w:eastAsia="宋体" w:cs="宋体"/>
          <w:color w:val="000000"/>
          <w:sz w:val="24"/>
          <w:highlight w:val="none"/>
        </w:rPr>
        <w:t xml:space="preserve">镇湖街道四期动迁房安置小区（锦湖花园四期）项目审计协审服务</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每</w:t>
      </w:r>
      <w:r>
        <w:rPr>
          <w:rFonts w:hint="eastAsia" w:ascii="宋体" w:hAnsi="宋体" w:eastAsia="宋体" w:cs="宋体"/>
          <w:color w:val="000000"/>
          <w:sz w:val="24"/>
          <w:highlight w:val="none"/>
          <w:lang w:eastAsia="zh-CN"/>
        </w:rPr>
        <w:t xml:space="preserve">采购包</w:t>
      </w:r>
      <w:r>
        <w:rPr>
          <w:rFonts w:hint="eastAsia" w:ascii="宋体" w:hAnsi="宋体" w:eastAsia="宋体" w:cs="宋体"/>
          <w:color w:val="000000"/>
          <w:sz w:val="24"/>
          <w:highlight w:val="none"/>
          <w:lang w:val="zh-CN"/>
        </w:rPr>
        <w:t xml:space="preserve">成交单位数量为1家。为更好履行审计监督职能，结合工作需要，根据政府购买服务要求采购工程审计咨询服务商，服务内容</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zh-CN"/>
        </w:rPr>
        <w:t xml:space="preserve">工程结算复审咨询服务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（二）服务项目清单：</w:t>
      </w:r>
      <w:r>
        <w:rPr>
          <w:rFonts w:ascii="宋体" w:hAnsi="宋体" w:eastAsia="宋体" w:cs="宋体"/>
          <w:color w:val="000000"/>
          <w:sz w:val="24"/>
          <w:highlight w:val="none"/>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4"/>
        <w:gridCol w:w="4411"/>
        <w:gridCol w:w="2522"/>
        <w:gridCol w:w="2582"/>
      </w:tblGrid>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tcW w:w="1230" w:type="dxa"/>
            <w:vAlign w:val="center"/>
            <w:textDirection w:val="lrTb"/>
            <w:noWrap w:val="false"/>
          </w:tcPr>
          <w:p>
            <w:pPr>
              <w:pStyle w:val="995"/>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一审审计价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（万元）</w:t>
            </w:r>
            <w:r>
              <w:rPr>
                <w:rFonts w:hint="eastAsia" w:ascii="宋体" w:hAnsi="宋体" w:eastAsia="宋体" w:cs="宋体"/>
                <w:b/>
                <w:bCs/>
                <w:i w:val="0"/>
                <w:iCs w:val="0"/>
                <w:color w:val="000000"/>
                <w:sz w:val="24"/>
                <w:szCs w:val="24"/>
                <w:highlight w:val="none"/>
                <w:u w:val="none"/>
              </w:rPr>
            </w:r>
            <w:r/>
          </w:p>
        </w:tc>
        <w:tc>
          <w:tcPr>
            <w:tcW w:w="1259" w:type="dxa"/>
            <w:vAlign w:val="center"/>
            <w:textDirection w:val="lrTb"/>
            <w:noWrap w:val="false"/>
          </w:tcPr>
          <w:p>
            <w:pPr>
              <w:pStyle w:val="995"/>
              <w:jc w:val="center"/>
              <w:shd w:val="clear" w:color="auto" w:fill="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包号</w:t>
            </w:r>
            <w:r>
              <w:rPr>
                <w:rFonts w:hint="eastAsia" w:ascii="宋体" w:hAnsi="宋体" w:eastAsia="宋体" w:cs="宋体"/>
                <w:b/>
                <w:bCs/>
                <w:i w:val="0"/>
                <w:iCs w:val="0"/>
                <w:color w:val="000000"/>
                <w:sz w:val="24"/>
                <w:szCs w:val="24"/>
                <w:highlight w:val="none"/>
                <w:u w:val="none"/>
                <w:lang w:val="en-US" w:eastAsia="zh-CN"/>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val="false"/>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某土建及机电安装一标段</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49637.766174 </w:t>
            </w:r>
            <w:r>
              <w:rPr>
                <w:rFonts w:hint="eastAsia" w:ascii="宋体" w:hAnsi="宋体" w:eastAsia="宋体" w:cs="宋体"/>
                <w:i w:val="0"/>
                <w:iCs w:val="0"/>
                <w:color w:val="000000"/>
                <w:sz w:val="24"/>
                <w:szCs w:val="24"/>
                <w:highlight w:val="none"/>
                <w:u w:val="none"/>
              </w:rPr>
            </w:r>
            <w:r/>
          </w:p>
        </w:tc>
        <w:tc>
          <w:tcPr>
            <w:tcW w:w="1259" w:type="dxa"/>
            <w:vAlign w:val="center"/>
            <w:vMerge w:val="restart"/>
            <w:textDirection w:val="lrTb"/>
            <w:noWrap/>
          </w:tcPr>
          <w:p>
            <w:pPr>
              <w:pStyle w:val="995"/>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rPr>
                <w:rFonts w:ascii="宋体" w:hAnsi="宋体" w:eastAsia="宋体" w:cs="宋体"/>
                <w:i w:val="0"/>
                <w:iCs w:val="0"/>
                <w:color w:val="000000"/>
                <w:sz w:val="24"/>
                <w:szCs w:val="24"/>
                <w:highlight w:val="none"/>
                <w:u w:val="none"/>
                <w:lang w:val="en-US"/>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某市政景观绿化</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3074.165035</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val="false"/>
          </w:tcPr>
          <w:p>
            <w:pPr>
              <w:pStyle w:val="995"/>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某土建及机电安装二标段</w:t>
            </w:r>
            <w:r>
              <w:rPr>
                <w:rFonts w:ascii="宋体" w:hAnsi="宋体" w:eastAsia="宋体" w:cs="宋体"/>
                <w:i w:val="0"/>
                <w:iCs w:val="0"/>
                <w:color w:val="000000"/>
                <w:sz w:val="24"/>
                <w:szCs w:val="24"/>
                <w:highlight w:val="none"/>
                <w:u w:val="none"/>
                <w:lang w:val="en-US"/>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49740.197225 </w:t>
            </w:r>
            <w:r>
              <w:rPr>
                <w:rFonts w:hint="eastAsia" w:ascii="宋体" w:hAnsi="宋体" w:eastAsia="宋体" w:cs="宋体"/>
                <w:i w:val="0"/>
                <w:iCs w:val="0"/>
                <w:color w:val="000000"/>
                <w:sz w:val="24"/>
                <w:szCs w:val="24"/>
                <w:highlight w:val="none"/>
                <w:u w:val="none"/>
              </w:rPr>
            </w:r>
            <w:r/>
          </w:p>
        </w:tc>
        <w:tc>
          <w:tcPr>
            <w:tcW w:w="1259" w:type="dxa"/>
            <w:vAlign w:val="center"/>
            <w:vMerge w:val="restart"/>
            <w:textDirection w:val="lrTb"/>
            <w:noWrap/>
          </w:tcPr>
          <w:p>
            <w:pPr>
              <w:pStyle w:val="995"/>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采购包2</w:t>
            </w:r>
            <w:r>
              <w:rPr>
                <w:rFonts w:ascii="宋体" w:hAnsi="宋体" w:eastAsia="宋体" w:cs="宋体"/>
                <w:i w:val="0"/>
                <w:iCs w:val="0"/>
                <w:color w:val="000000"/>
                <w:sz w:val="24"/>
                <w:szCs w:val="24"/>
                <w:highlight w:val="none"/>
                <w:u w:val="none"/>
                <w:lang w:val="en-US"/>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某智能化工程</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1069.355998</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某亮化工程</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480.362884</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某防火包裹</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338.724516</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某电梯采购及安装</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2053.5316</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某入户门采购及安装</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294.940764</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某绿色节能设备采购</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563.779145</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358"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151"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某材料检测</w:t>
            </w:r>
            <w:r>
              <w:rPr>
                <w:rFonts w:hint="eastAsia" w:ascii="宋体" w:hAnsi="宋体" w:eastAsia="宋体" w:cs="宋体"/>
                <w:i w:val="0"/>
                <w:iCs w:val="0"/>
                <w:color w:val="000000"/>
                <w:sz w:val="24"/>
                <w:szCs w:val="24"/>
                <w:highlight w:val="none"/>
                <w:u w:val="none"/>
              </w:rPr>
            </w:r>
            <w:r/>
          </w:p>
        </w:tc>
        <w:tc>
          <w:tcPr>
            <w:tcW w:w="1230" w:type="dxa"/>
            <w:vAlign w:val="center"/>
            <w:textDirection w:val="lrTb"/>
            <w:noWrap/>
          </w:tcPr>
          <w:p>
            <w:pPr>
              <w:pStyle w:val="995"/>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808.1666</w:t>
            </w:r>
            <w:r>
              <w:rPr>
                <w:rFonts w:hint="eastAsia" w:ascii="宋体" w:hAnsi="宋体" w:eastAsia="宋体" w:cs="宋体"/>
                <w:i w:val="0"/>
                <w:iCs w:val="0"/>
                <w:color w:val="000000"/>
                <w:sz w:val="24"/>
                <w:szCs w:val="24"/>
                <w:highlight w:val="none"/>
                <w:u w:val="none"/>
              </w:rPr>
            </w:r>
            <w:r/>
          </w:p>
        </w:tc>
        <w:tc>
          <w:tcPr>
            <w:tcW w:w="1259" w:type="dxa"/>
            <w:vAlign w:val="center"/>
            <w:vMerge w:val="continue"/>
            <w:textDirection w:val="lrTb"/>
            <w:noWrap/>
          </w:tcPr>
          <w:p>
            <w:pPr>
              <w:pStyle w:val="995"/>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95"/>
        <w:ind w:firstLine="480"/>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注：曾参与过本项目清单内结算审核业务的响应单位不具备包含该项目采购包的得标权。</w:t>
      </w:r>
      <w:r>
        <w:rPr>
          <w:rFonts w:hint="eastAsia" w:ascii="宋体" w:hAnsi="宋体" w:eastAsia="宋体" w:cs="宋体"/>
          <w:color w:val="000000"/>
          <w:sz w:val="24"/>
          <w:highlight w:val="none"/>
          <w:lang w:val="en-US" w:eastAsia="zh-CN"/>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(三)其他要求：</w:t>
      </w:r>
      <w:r>
        <w:rPr>
          <w:rFonts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1、咨询单位的业务费支付</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根据苏州科技城工程造价咨询服务付费标准</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实计算</w:t>
      </w:r>
      <w:r>
        <w:rPr>
          <w:rFonts w:hint="eastAsia" w:ascii="宋体" w:hAnsi="宋体" w:eastAsia="宋体" w:cs="宋体"/>
          <w:color w:val="000000"/>
          <w:sz w:val="24"/>
          <w:highlight w:val="none"/>
          <w:lang w:eastAsia="zh-CN"/>
        </w:rPr>
        <w:t xml:space="preserve">（收费标准</w:t>
      </w:r>
      <w:r>
        <w:rPr>
          <w:rFonts w:hint="eastAsia" w:ascii="宋体" w:hAnsi="宋体" w:eastAsia="宋体" w:cs="宋体"/>
          <w:color w:val="000000"/>
          <w:sz w:val="24"/>
          <w:highlight w:val="none"/>
        </w:rPr>
        <w:t xml:space="preserve">详见附件资料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95"/>
        <w:ind w:firstLine="480"/>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注：响应单位需按此要求进行报价，否则视为无效响应</w:t>
      </w:r>
      <w:r>
        <w:rPr>
          <w:rFonts w:hint="eastAsia" w:ascii="宋体" w:hAnsi="宋体" w:eastAsia="宋体" w:cs="宋体"/>
          <w:color w:val="000000"/>
          <w:sz w:val="24"/>
          <w:highlight w:val="none"/>
          <w:lang w:eastAsia="zh-CN"/>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、保密要求：</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单位负责对采购单位所提供资料及最终成果的保密，</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单位及</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单位（包含工作人员）需遵守采购单位的保密规定，不以任何形式将收集的所有资料、数据等进行泄漏、传播；</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.2项目服务人员需签署相关保密协议，承担工作中接触相关内容的保密义务；</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.3项目成果最终所有权属采购单位，在项目完成时</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单位必须全部移交；</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单位须维护项目服务成果，不得转让给第三方重复使用</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.5以上保密规定如有违反，采购单位有权追究</w:t>
      </w:r>
      <w:r>
        <w:rPr>
          <w:rFonts w:hint="eastAsia" w:ascii="宋体" w:hAnsi="宋体" w:eastAsia="宋体" w:cs="宋体"/>
          <w:color w:val="000000"/>
          <w:sz w:val="24"/>
          <w:highlight w:val="none"/>
        </w:rPr>
        <w:t xml:space="preserve">成交</w:t>
      </w:r>
      <w:r>
        <w:rPr>
          <w:rFonts w:ascii="宋体" w:hAnsi="宋体" w:eastAsia="宋体" w:cs="宋体"/>
          <w:color w:val="000000"/>
          <w:sz w:val="24"/>
          <w:highlight w:val="none"/>
        </w:rPr>
        <w:t xml:space="preserve">单位相关法律责任。</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3、受托咨询单位的责任</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咨询工作应当严格遵守国家的有关</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制度规定及有关执业规范要求。咨询单位对审核意见的真实性、完整性、可靠性负责。咨询单位应保证咨询工作质量，服从管理，审核报告未经同意，不得自行提供给其他单位。对于咨询工作产生重大质量误差、咨询效率严重拖延、咨询工作要求违反各级造价行业规定，或提供不实或内容虚假的审核结果以及自行对外提供审核报告的，将按照咨询单位违约进行惩处。情节严重的，依法提请有关部门追究咨询单位和相关责任人的行政及法律责任。</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如发现咨询单位或咨询人员在咨询工作中存在违法违规行为的，经查实，立即解除造价委托咨询服务合同，并通报行业主管部门处理。触犯法律的，将移交有关部门追究咨询单位和相关责任人的经济和法律责任。</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、评审工作的响应</w:t>
      </w:r>
      <w:r>
        <w:rPr>
          <w:rFonts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为保证咨询工作效率和服务质量，咨询单位应保证咨询工作响应时间符合要求，咨询单位应根据响应工作需要就近安排工作场所，并提供合理的人员组织、交通组织等响应保障方案。</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、协审人员要求</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人须为本项目拟派造价从业人员及相关管理</w:t>
      </w:r>
      <w:r>
        <w:rPr>
          <w:rFonts w:hint="eastAsia" w:ascii="宋体" w:hAnsi="宋体" w:eastAsia="宋体" w:cs="宋体"/>
          <w:color w:val="000000"/>
          <w:sz w:val="24"/>
          <w:highlight w:val="none"/>
        </w:rPr>
        <w:t xml:space="preserve">人员以确保采购人委托项目的顺利实施。本招标文件所指的注册一级造价师，是指根据建人〔2018〕67号《造价工程师职业资格制度规定》、《水利部关于印发&lt;注册造价工程师（水利工程）管理办法&gt;的通知》（水建设〔2021〕334号）的规定，通过一级造价工程师考试取得一级造价工程师职业资格并注册、或根据《造价工程师执业资格制度暂行规定》（人发〔1996〕）77号）取得造价工程师执业资格证书并注册、或在2013年12月31日以前取得中国水利工程协会颁发的水利工程造价工程师资格证书并注册为一级水利造价工程师的造价从业人员。</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造价从业人员是指按照行业相关规定，在江苏省范围内有效执业的造价从业人员，主要包括通过造价工程师考试取得职业资格并注册的，按照《造价工程师职业资格制度规定》第三十条规定取得的全国建设工程造价员资格证书、公路水运工程造价人员资格证书、水利工程造价师资格证书的，以及取得或者等同江苏省中级及以上造价员资格证书的造价从业人员。</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人项目拟派人员不得低于承诺的人员数量，且须统一向采购人报备。一级注册造价工程师的证书注册信息、社保均须与投标文件中提供的一致，其他造价从业人员的社保均须与投标文件中提供的一致。拟派人员在整个服务期内应保持稳定，如因离职、退休等情况导致人员变动，咨询服务商应按以上要求统一报备、及时变更，但实际投入的一级注册造价工程师、其他造价从业人员不得低于承诺的人员数量。</w:t>
      </w:r>
      <w:r>
        <w:rPr>
          <w:rFonts w:hint="eastAsia"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人实际投入的咨询人员与投标承诺不符，采购人有权视情况采取相应措施，包括警告、扣减协审服务费、终止委托采购合同，通报行业主管部门或其他相关部门进行处理，并建议将其作为行业及政府采购管理和信用评价的依据之一。</w:t>
      </w:r>
      <w:r>
        <w:rPr>
          <w:rFonts w:hint="eastAsia"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、成交咨询单位完成咨询任务后，应及时按照造价行业规范做好已完项目的归档工作，包括但不限于书面图纸、电子版资料、提答疑等沟通交流资料。</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咨询单位在咨询工作中应履行咨询工作责任并接受业务管理。咨询工作应符合相关法律法规和规范要求，并满足委托单位的工作要求、咨询工作规范和咨询工作流程。咨询单位未履行咨询工作责任、违反本采购文件及咨询采购服务合同约定，或在工作要求、工作效率和工作质量上出现差错，委托人有权视情况采取相应措施，包括扣减咨询业务费、警告处分，直至终止工程造价委托咨询服务合同。情节严重的将通报行业主管部门或其他相关部门进行处理，并建议将其作为行业及政府采购管理和信用评价的依据之一。</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、成交单位须按照本采购文件的要求对该采购项目进行服务工作。</w:t>
      </w:r>
      <w:r>
        <w:rPr>
          <w:rFonts w:ascii="宋体" w:hAnsi="宋体" w:eastAsia="宋体" w:cs="宋体"/>
          <w:color w:val="000000"/>
          <w:sz w:val="24"/>
          <w:highlight w:val="none"/>
        </w:rPr>
      </w:r>
      <w:r/>
    </w:p>
    <w:p>
      <w:pPr>
        <w:pStyle w:val="995"/>
        <w:ind w:firstLine="480"/>
        <w:spacing w:line="360" w:lineRule="auto"/>
        <w:shd w:val="clear" w:color="auto" w:fill="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、确定成交后，采购单位有权不定期对项目的服务情况进行核查，如果发现成交单位存在违反本次采购项目要求的，采购单位有权中止合同，相关损失由成交单位承担。</w:t>
      </w:r>
      <w:r>
        <w:rPr>
          <w:rFonts w:ascii="宋体" w:hAnsi="宋体" w:eastAsia="宋体" w:cs="宋体"/>
          <w:color w:val="000000"/>
          <w:sz w:val="24"/>
          <w:highlight w:val="none"/>
        </w:rPr>
      </w:r>
      <w:r/>
    </w:p>
    <w:p>
      <w:pPr>
        <w:pStyle w:val="995"/>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7"/>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left="0" w:firstLine="0"/>
        <w:shd w:val="clear" w:color="auto" w:fill="auto"/>
        <w:rPr>
          <w:rFonts w:hint="eastAsia" w:ascii="宋体" w:hAnsi="宋体" w:eastAsia="宋体" w:cs="宋体"/>
          <w:color w:val="000000"/>
          <w:sz w:val="24"/>
          <w:highlight w:val="none"/>
        </w:rPr>
        <w:sectPr>
          <w:footerReference w:type="default" r:id="rId10"/>
          <w:footnotePr/>
          <w:endnotePr/>
          <w:type w:val="nextPage"/>
          <w:pgSz w:w="11906" w:h="16838" w:orient="portrait"/>
          <w:pgMar w:top="1440" w:right="907" w:bottom="1440" w:left="964" w:header="851" w:footer="992" w:gutter="0"/>
          <w:pgNumType w:start="1"/>
          <w:cols w:num="1" w:sep="0" w:space="1701" w:equalWidth="1"/>
          <w:docGrid w:linePitch="360"/>
        </w:sectPr>
      </w:pPr>
      <w:r>
        <w:rPr>
          <w:rFonts w:hint="eastAsia" w:ascii="宋体" w:hAnsi="宋体" w:eastAsia="宋体" w:cs="宋体"/>
          <w:color w:val="000000"/>
          <w:sz w:val="24"/>
          <w:highlight w:val="none"/>
        </w:rPr>
      </w:r>
      <w:r/>
    </w:p>
    <w:p>
      <w:pPr>
        <w:pStyle w:val="1008"/>
        <w:ind w:left="0" w:firstLine="0"/>
        <w:jc w:val="both"/>
        <w:shd w:val="clear" w:color="auto" w:fill="auto"/>
        <w:rPr>
          <w:rFonts w:ascii="宋体" w:hAnsi="宋体" w:eastAsia="宋体"/>
          <w:b/>
          <w:sz w:val="21"/>
          <w:szCs w:val="21"/>
          <w:highlight w:val="none"/>
        </w:rPr>
      </w:pPr>
      <w:r>
        <w:rPr>
          <w:rFonts w:hint="eastAsia" w:ascii="宋体" w:hAnsi="宋体" w:eastAsia="宋体"/>
          <w:b/>
          <w:sz w:val="21"/>
          <w:szCs w:val="21"/>
          <w:highlight w:val="none"/>
        </w:rPr>
        <w:t xml:space="preserve">附表一 付费标准：</w:t>
      </w:r>
      <w:r>
        <w:rPr>
          <w:rFonts w:ascii="宋体" w:hAnsi="宋体" w:eastAsia="宋体"/>
          <w:b/>
          <w:sz w:val="21"/>
          <w:szCs w:val="21"/>
          <w:highlight w:val="none"/>
        </w:rPr>
      </w:r>
      <w:r/>
    </w:p>
    <w:tbl>
      <w:tblPr>
        <w:tblW w:w="4799" w:type="pct"/>
        <w:tblInd w:w="-15" w:type="dxa"/>
        <w:tblLayout w:type="autofit"/>
        <w:tblCellMar>
          <w:left w:w="15" w:type="dxa"/>
          <w:top w:w="15" w:type="dxa"/>
          <w:right w:w="15" w:type="dxa"/>
          <w:bottom w:w="0" w:type="dxa"/>
        </w:tblCellMar>
        <w:tblLook w:val="04A0" w:firstRow="1" w:lastRow="0" w:firstColumn="1" w:lastColumn="0" w:noHBand="0" w:noVBand="1"/>
      </w:tblPr>
      <w:tblGrid>
        <w:gridCol w:w="557"/>
        <w:gridCol w:w="815"/>
        <w:gridCol w:w="4994"/>
        <w:gridCol w:w="1815"/>
        <w:gridCol w:w="49"/>
        <w:gridCol w:w="1006"/>
        <w:gridCol w:w="353"/>
        <w:gridCol w:w="855"/>
        <w:gridCol w:w="503"/>
        <w:gridCol w:w="705"/>
        <w:gridCol w:w="653"/>
        <w:gridCol w:w="251"/>
        <w:gridCol w:w="905"/>
        <w:gridCol w:w="202"/>
        <w:gridCol w:w="786"/>
      </w:tblGrid>
      <w:tr>
        <w:trPr>
          <w:trHeight w:val="20"/>
        </w:trPr>
        <w:tc>
          <w:tcPr>
            <w:gridSpan w:val="15"/>
            <w:tcBorders>
              <w:top w:val="none" w:color="000000" w:sz="4" w:space="0"/>
              <w:left w:val="none" w:color="000000" w:sz="4" w:space="0"/>
              <w:bottom w:val="none" w:color="000000" w:sz="4" w:space="0"/>
              <w:right w:val="none" w:color="000000" w:sz="4" w:space="0"/>
            </w:tcBorders>
            <w:tcMar>
              <w:left w:w="15" w:type="dxa"/>
              <w:top w:w="15" w:type="dxa"/>
              <w:right w:w="15" w:type="dxa"/>
            </w:tcMar>
            <w:tcW w:w="14449" w:type="dxa"/>
            <w:vAlign w:val="center"/>
            <w:textDirection w:val="lrTb"/>
            <w:noWrap w:val="false"/>
          </w:tcPr>
          <w:p>
            <w:pPr>
              <w:pStyle w:val="995"/>
              <w:jc w:val="center"/>
              <w:shd w:val="clear" w:color="auto" w:fill="auto"/>
              <w:rPr>
                <w:rFonts w:ascii="宋体" w:hAnsi="宋体" w:cs="宋体"/>
                <w:b/>
                <w:highlight w:val="none"/>
              </w:rPr>
            </w:pPr>
            <w:r>
              <w:rPr>
                <w:rFonts w:hint="eastAsia" w:ascii="宋体" w:hAnsi="宋体" w:cs="宋体"/>
                <w:b/>
                <w:highlight w:val="none"/>
              </w:rPr>
              <w:t xml:space="preserve">苏州科技城工程造价咨询服务付费标准</w:t>
            </w:r>
            <w:r>
              <w:rPr>
                <w:rFonts w:ascii="宋体" w:hAnsi="宋体" w:cs="宋体"/>
                <w:b/>
                <w:highlight w:val="none"/>
              </w:rPr>
            </w:r>
            <w:r/>
          </w:p>
        </w:tc>
      </w:tr>
      <w:tr>
        <w:trPr>
          <w:trHeight w:val="2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282"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728"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28"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7"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359"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358"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358"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gridSpan w:val="3"/>
            <w:tcBorders>
              <w:top w:val="none" w:color="000000" w:sz="4" w:space="0"/>
              <w:left w:val="none" w:color="000000" w:sz="4" w:space="0"/>
              <w:bottom w:val="none" w:color="000000" w:sz="4" w:space="0"/>
              <w:right w:val="none" w:color="000000" w:sz="4" w:space="0"/>
            </w:tcBorders>
            <w:tcMar>
              <w:left w:w="15" w:type="dxa"/>
              <w:top w:w="15" w:type="dxa"/>
              <w:right w:w="15" w:type="dxa"/>
            </w:tcMar>
            <w:tcW w:w="1358" w:type="dxa"/>
            <w:vAlign w:val="center"/>
            <w:textDirection w:val="lrTb"/>
            <w:noWrap w:val="false"/>
          </w:tcPr>
          <w:p>
            <w:pPr>
              <w:pStyle w:val="995"/>
              <w:shd w:val="clear" w:color="auto" w:fill="auto"/>
              <w:rPr>
                <w:rFonts w:ascii="宋体" w:hAnsi="宋体" w:cs="宋体"/>
                <w:sz w:val="20"/>
                <w:szCs w:val="20"/>
                <w:highlight w:val="none"/>
              </w:rPr>
            </w:pPr>
            <w:r>
              <w:rPr>
                <w:rFonts w:ascii="宋体" w:hAnsi="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266" w:type="dxa"/>
            <w:vAlign w:val="center"/>
            <w:textDirection w:val="lrTb"/>
            <w:noWrap w:val="false"/>
          </w:tcPr>
          <w:p>
            <w:pPr>
              <w:pStyle w:val="995"/>
              <w:shd w:val="clear" w:color="auto" w:fill="auto"/>
              <w:rPr>
                <w:rFonts w:ascii="宋体" w:hAnsi="宋体" w:cs="宋体"/>
                <w:sz w:val="20"/>
                <w:szCs w:val="20"/>
                <w:highlight w:val="none"/>
              </w:rPr>
            </w:pPr>
            <w:r>
              <w:rPr>
                <w:rFonts w:hint="eastAsia" w:ascii="宋体" w:hAnsi="宋体" w:cs="宋体"/>
                <w:sz w:val="20"/>
                <w:szCs w:val="20"/>
                <w:highlight w:val="none"/>
              </w:rPr>
              <w:t xml:space="preserve">费率：‰</w:t>
            </w:r>
            <w:r>
              <w:rPr>
                <w:rFonts w:ascii="宋体" w:hAnsi="宋体" w:cs="宋体"/>
                <w:sz w:val="20"/>
                <w:szCs w:val="20"/>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vMerge w:val="restart"/>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restart"/>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造价管理阶段</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vMerge w:val="restart"/>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咨询项目</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vMerge w:val="restart"/>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收费基数</w:t>
            </w:r>
            <w:r>
              <w:rPr>
                <w:rFonts w:hint="eastAsia" w:ascii="宋体" w:hAnsi="宋体" w:eastAsia="宋体" w:cs="宋体"/>
                <w:b/>
                <w:sz w:val="21"/>
                <w:szCs w:val="21"/>
                <w:highlight w:val="none"/>
              </w:rPr>
            </w:r>
            <w:r/>
          </w:p>
        </w:tc>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8"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差额定率分档累进制收费</w:t>
            </w:r>
            <w:r>
              <w:rPr>
                <w:rFonts w:hint="eastAsia" w:ascii="宋体" w:hAnsi="宋体" w:eastAsia="宋体" w:cs="宋体"/>
                <w:b/>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vMerge w:val="continue"/>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vMerge w:val="continue"/>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vMerge w:val="continue"/>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≤500万元</w:t>
            </w:r>
            <w:r>
              <w:rPr>
                <w:rFonts w:hint="eastAsia" w:ascii="宋体" w:hAnsi="宋体" w:eastAsia="宋体" w:cs="宋体"/>
                <w:b/>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≤1000万元</w:t>
            </w:r>
            <w:r>
              <w:rPr>
                <w:rFonts w:hint="eastAsia" w:ascii="宋体" w:hAnsi="宋体" w:eastAsia="宋体" w:cs="宋体"/>
                <w:b/>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≤5000万元</w:t>
            </w:r>
            <w:r>
              <w:rPr>
                <w:rFonts w:hint="eastAsia" w:ascii="宋体" w:hAnsi="宋体" w:eastAsia="宋体" w:cs="宋体"/>
                <w:b/>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≤1亿元</w:t>
            </w:r>
            <w:r>
              <w:rPr>
                <w:rFonts w:hint="eastAsia" w:ascii="宋体" w:hAnsi="宋体" w:eastAsia="宋体" w:cs="宋体"/>
                <w:b/>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≤5亿元</w:t>
            </w:r>
            <w:r>
              <w:rPr>
                <w:rFonts w:hint="eastAsia" w:ascii="宋体" w:hAnsi="宋体" w:eastAsia="宋体" w:cs="宋体"/>
                <w:b/>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＞5亿元</w:t>
            </w:r>
            <w:r>
              <w:rPr>
                <w:rFonts w:hint="eastAsia" w:ascii="宋体" w:hAnsi="宋体" w:eastAsia="宋体" w:cs="宋体"/>
                <w:b/>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2" w:type="dxa"/>
            <w:vAlign w:val="center"/>
            <w:vMerge w:val="restart"/>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招标阶段</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工程预算、招标控制价、投标报价（不含编制工程量清单）编制</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建安工程造价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1.89</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1.47</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1.19</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工程预算、招标控制价、投标报价（含编制工程量清单）编制</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建安工程造价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2.66</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2.38</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工程预算、招标控制价、投标报价（含编制工程量清单）审核</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送审建安工程造价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0.85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0.7</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0.55</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restart"/>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竣工结算阶段（初审）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工程结算审核基本收费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送审建安工程造价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1.26</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0.98</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0.77</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0.63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0.49</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0.35</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追加费用一（核减率≤7%部分）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核减额</w:t>
            </w:r>
            <w:r>
              <w:rPr>
                <w:rFonts w:hint="eastAsia" w:ascii="宋体" w:hAnsi="宋体" w:eastAsia="宋体" w:cs="宋体"/>
                <w:sz w:val="21"/>
                <w:szCs w:val="21"/>
                <w:highlight w:val="none"/>
              </w:rPr>
            </w:r>
            <w:r/>
          </w:p>
        </w:tc>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追加费用二（核减率＞7%部分） （施工单位承担）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核减额</w:t>
            </w:r>
            <w:r>
              <w:rPr>
                <w:rFonts w:hint="eastAsia" w:ascii="宋体" w:hAnsi="宋体" w:eastAsia="宋体" w:cs="宋体"/>
                <w:sz w:val="21"/>
                <w:szCs w:val="21"/>
                <w:highlight w:val="none"/>
              </w:rPr>
            </w:r>
            <w:r/>
          </w:p>
        </w:tc>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restart"/>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竣工结算阶段（复审）</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工程结算审核基本收费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送审建安工程造价</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4"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0.7</w:t>
            </w:r>
            <w:r>
              <w:rPr>
                <w:rFonts w:hint="eastAsia" w:ascii="宋体" w:hAnsi="宋体" w:eastAsia="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追加费用一（核减率≤7%部分）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核减额</w:t>
            </w:r>
            <w:r>
              <w:rPr>
                <w:rFonts w:hint="eastAsia" w:ascii="宋体" w:hAnsi="宋体" w:eastAsia="宋体" w:cs="宋体"/>
                <w:sz w:val="21"/>
                <w:szCs w:val="21"/>
                <w:highlight w:val="none"/>
              </w:rPr>
            </w:r>
            <w:r/>
          </w:p>
        </w:tc>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3"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2" w:type="dxa"/>
            <w:vAlign w:val="center"/>
            <w:vMerge w:val="continue"/>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追加费用二（核减率＞7%部分） （施工单位承担）</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8" w:type="dxa"/>
            <w:vAlign w:val="center"/>
            <w:textDirection w:val="lrTb"/>
            <w:noWrap w:val="false"/>
          </w:tcPr>
          <w:p>
            <w:pPr>
              <w:pStyle w:val="995"/>
              <w:jc w:val="center"/>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r>
    </w:tbl>
    <w:p>
      <w:pPr>
        <w:pStyle w:val="995"/>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单项工程咨询收费金额在2100元以下时，按2100元收取。</w:t>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招标阶段及结算阶段的收费基数应扣除预留金及暂定价。</w:t>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招标阶段委托平行预算编制时，副标咨询费按照主标咨询费的80%计取。</w:t>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编制施工图预算的费用不包含钢筋计算，如需钢筋翻样则按6元/吨另行计算，并提供钢筋翻样计算书。结算初审审核钢筋翻样按审核钢筋量计算，钢构件翻样不计费；结算复审审核钢筋及钢构件翻样不计费。</w:t>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编制预算时，有两幢以上设计相同的项目，预算编制时只需编制一幢标准建筑，但造价汇总时为若干幢的总价，则咨询费用以一幢建筑的造价为标准收费A，其他按照A*30%合计收取。同时以若干栋的总价为收费基数计算的收费为最高限价。</w:t>
      </w:r>
      <w:r>
        <w:rPr>
          <w:rFonts w:hint="eastAsia" w:ascii="宋体" w:hAnsi="宋体" w:eastAsia="宋体" w:cs="宋体"/>
          <w:sz w:val="21"/>
          <w:szCs w:val="21"/>
          <w:highlight w:val="none"/>
        </w:rPr>
      </w:r>
      <w:r/>
    </w:p>
    <w:p>
      <w:pPr>
        <w:pStyle w:val="995"/>
        <w:numPr>
          <w:ilvl w:val="0"/>
          <w:numId w:val="3"/>
        </w:numPr>
        <w:spacing w:line="220" w:lineRule="exact"/>
        <w:shd w:val="clear" w:color="auto" w:fil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工程询价：询价造价10万以下（含10万）咨询费按1500元收取，10万以上按以上表格中序号1“工程预算、招标控制价、投标报价（不含编制工程量清单）编制”分档计算（咨询费在2100元以下时，按2100元收取）。</w:t>
      </w:r>
      <w:r>
        <w:rPr>
          <w:rFonts w:hint="eastAsia" w:ascii="宋体" w:hAnsi="宋体" w:eastAsia="宋体" w:cs="宋体"/>
          <w:sz w:val="21"/>
          <w:szCs w:val="21"/>
          <w:highlight w:val="none"/>
        </w:rPr>
      </w:r>
      <w:r/>
    </w:p>
    <w:p>
      <w:pPr>
        <w:pStyle w:val="995"/>
        <w:spacing w:line="220" w:lineRule="exact"/>
        <w:shd w:val="clear" w:color="auto" w:fill="auto"/>
        <w:rPr>
          <w:rFonts w:hint="eastAsia" w:ascii="宋体" w:hAnsi="宋体"/>
          <w:sz w:val="18"/>
          <w:szCs w:val="18"/>
          <w:highlight w:val="none"/>
        </w:rPr>
      </w:pPr>
      <w:r>
        <w:rPr>
          <w:rFonts w:hint="eastAsia" w:ascii="宋体" w:hAnsi="宋体"/>
          <w:sz w:val="18"/>
          <w:szCs w:val="18"/>
          <w:highlight w:val="none"/>
        </w:rPr>
      </w:r>
      <w:r/>
    </w:p>
    <w:p>
      <w:pPr>
        <w:pStyle w:val="995"/>
        <w:spacing w:line="360" w:lineRule="exact"/>
        <w:shd w:val="clear" w:color="auto" w:fill="auto"/>
        <w:rPr>
          <w:rFonts w:hint="eastAsia"/>
          <w:b/>
          <w:highlight w:val="none"/>
        </w:rPr>
        <w:sectPr>
          <w:headerReference w:type="default" r:id="rId9"/>
          <w:footerReference w:type="default" r:id="rId11"/>
          <w:footerReference w:type="first" r:id="rId12"/>
          <w:footnotePr/>
          <w:endnotePr/>
          <w:type w:val="nextPage"/>
          <w:pgSz w:w="16838" w:h="11906" w:orient="landscape"/>
          <w:pgMar w:top="964" w:right="907" w:bottom="907" w:left="907" w:header="624" w:footer="510" w:gutter="113"/>
          <w:pgNumType w:start="1"/>
          <w:cols w:num="1" w:sep="0" w:space="1701" w:equalWidth="1"/>
          <w:docGrid w:linePitch="360"/>
          <w:titlePg/>
        </w:sectPr>
      </w:pPr>
      <w:r>
        <w:rPr>
          <w:rFonts w:hint="eastAsia"/>
          <w:b/>
          <w:highlight w:val="none"/>
        </w:rPr>
      </w:r>
      <w:r/>
    </w:p>
    <w:p>
      <w:pPr>
        <w:pStyle w:val="995"/>
        <w:spacing w:line="360" w:lineRule="exact"/>
        <w:shd w:val="clear" w:color="auto" w:fill="auto"/>
        <w:rPr>
          <w:b/>
          <w:highlight w:val="none"/>
        </w:rPr>
      </w:pPr>
      <w:r>
        <w:rPr>
          <w:rFonts w:hint="eastAsia"/>
          <w:b/>
          <w:highlight w:val="none"/>
        </w:rPr>
        <w:t xml:space="preserve">附表二 考核标准</w:t>
      </w:r>
      <w:r>
        <w:rPr>
          <w:b/>
          <w:highlight w:val="none"/>
        </w:rPr>
      </w:r>
      <w:r/>
    </w:p>
    <w:p>
      <w:pPr>
        <w:pStyle w:val="1017"/>
        <w:ind w:left="0" w:firstLine="482"/>
        <w:jc w:val="center"/>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苏州科技城造价咨询管理考核标准</w:t>
      </w:r>
      <w:r>
        <w:rPr>
          <w:rFonts w:hint="eastAsia" w:ascii="宋体" w:hAnsi="宋体" w:eastAsia="宋体" w:cs="宋体"/>
          <w:b/>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咨询单位考核以苏州科技城委托的单项咨询项目为单位进行考核。考核按照组织管理情况、工作进度情况和咨询质量情况三项指标分别评价，采用扣分制，总分为100分，扣完为止。具体要求及分值如下（详见《苏州科技城造价咨询考核表》</w:t>
      </w:r>
      <w:r>
        <w:rPr>
          <w:rFonts w:hint="eastAsia" w:ascii="宋体" w:hAnsi="宋体" w:eastAsia="宋体" w:cs="宋体"/>
          <w:b/>
          <w:color w:val="000000"/>
          <w:sz w:val="24"/>
          <w:szCs w:val="24"/>
          <w:highlight w:val="none"/>
        </w:rPr>
        <w:t xml:space="preserve">考核表1 预算编制</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考核表2 结算审核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7"/>
        <w:numPr>
          <w:ilvl w:val="0"/>
          <w:numId w:val="4"/>
        </w:numPr>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考核内容及标准</w:t>
      </w:r>
      <w:r>
        <w:rPr>
          <w:rFonts w:hint="eastAsia" w:ascii="宋体" w:hAnsi="宋体" w:eastAsia="宋体" w:cs="宋体"/>
          <w:b/>
          <w:color w:val="000000"/>
          <w:sz w:val="24"/>
          <w:szCs w:val="24"/>
          <w:highlight w:val="none"/>
        </w:rPr>
      </w:r>
      <w:r/>
    </w:p>
    <w:p>
      <w:pPr>
        <w:pStyle w:val="1017"/>
        <w:numPr>
          <w:ilvl w:val="0"/>
          <w:numId w:val="5"/>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组织管理情况，15分</w:t>
      </w:r>
      <w:r>
        <w:rPr>
          <w:rFonts w:hint="eastAsia" w:ascii="宋体" w:hAnsi="宋体" w:eastAsia="宋体" w:cs="宋体"/>
          <w:color w:val="000000"/>
          <w:sz w:val="24"/>
          <w:szCs w:val="24"/>
          <w:highlight w:val="none"/>
        </w:rPr>
      </w:r>
      <w:r/>
    </w:p>
    <w:p>
      <w:pPr>
        <w:pStyle w:val="1017"/>
        <w:numPr>
          <w:ilvl w:val="0"/>
          <w:numId w:val="6"/>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咨询单位应及时填写工作计划书，咨询人员应具有相应执业资格并与工作计划书一致，如不符条件，扣5分。</w:t>
      </w:r>
      <w:r>
        <w:rPr>
          <w:rFonts w:hint="eastAsia" w:ascii="宋体" w:hAnsi="宋体" w:eastAsia="宋体" w:cs="宋体"/>
          <w:color w:val="000000"/>
          <w:sz w:val="24"/>
          <w:szCs w:val="24"/>
          <w:highlight w:val="none"/>
        </w:rPr>
      </w:r>
      <w:r/>
    </w:p>
    <w:p>
      <w:pPr>
        <w:pStyle w:val="1017"/>
        <w:numPr>
          <w:ilvl w:val="0"/>
          <w:numId w:val="6"/>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咨询单位应对咨询项目执行三级复核工作，做到每个咨询项目的送审稿在送科技城财政局、审计室复核时，提供由咨询单位技术负责人签字确认的内部审核单，如无此步骤，扣5分。</w:t>
      </w:r>
      <w:r>
        <w:rPr>
          <w:rFonts w:hint="eastAsia" w:ascii="宋体" w:hAnsi="宋体" w:eastAsia="宋体" w:cs="宋体"/>
          <w:color w:val="000000"/>
          <w:sz w:val="24"/>
          <w:szCs w:val="24"/>
          <w:highlight w:val="none"/>
        </w:rPr>
      </w:r>
      <w:r/>
    </w:p>
    <w:p>
      <w:pPr>
        <w:pStyle w:val="1017"/>
        <w:numPr>
          <w:ilvl w:val="0"/>
          <w:numId w:val="6"/>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人员工作态度:工作积极主动、认真负责地完成造价咨询工作的为“优秀”，扣0分；能够与科技城财政局、审计室联系，较为顺利完成造价咨询工作的为“良好”，扣1分；经提醒，能够加以重视并及时改进失误，完成造价咨询工作的为“合格”，扣2分；经多次督促，仍不够重视，未按时完成造价咨询工作的为“较差”，扣3分；经反复催问，仍无改进，未按时完成造价咨询工作的为“差”，扣5分。</w:t>
      </w:r>
      <w:r>
        <w:rPr>
          <w:rFonts w:hint="eastAsia" w:ascii="宋体" w:hAnsi="宋体" w:eastAsia="宋体" w:cs="宋体"/>
          <w:color w:val="000000"/>
          <w:sz w:val="24"/>
          <w:szCs w:val="24"/>
          <w:highlight w:val="none"/>
        </w:rPr>
      </w:r>
      <w:r/>
    </w:p>
    <w:p>
      <w:pPr>
        <w:pStyle w:val="1017"/>
        <w:numPr>
          <w:ilvl w:val="0"/>
          <w:numId w:val="5"/>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工作进度情况，25分</w:t>
      </w:r>
      <w:r>
        <w:rPr>
          <w:rFonts w:hint="eastAsia" w:ascii="宋体" w:hAnsi="宋体" w:eastAsia="宋体" w:cs="宋体"/>
          <w:color w:val="000000"/>
          <w:sz w:val="24"/>
          <w:szCs w:val="24"/>
          <w:highlight w:val="none"/>
        </w:rPr>
      </w:r>
      <w:r/>
    </w:p>
    <w:p>
      <w:pPr>
        <w:pStyle w:val="1017"/>
        <w:numPr>
          <w:ilvl w:val="0"/>
          <w:numId w:val="7"/>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预算编制</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单位应在回复项目委托后24小时内提交工作计划书，超出规定时间扣5分。计划提交后咨询单位应按计划时间进行现场踏勘并形成书面记录、提交初步工程量清单和提疑、提交正式工程量清单、预算并编制指标数据、返回编标报告及咨询资料等工作，未按计划执行的每项扣4分。</w:t>
      </w:r>
      <w:r>
        <w:rPr>
          <w:rFonts w:hint="eastAsia" w:ascii="宋体" w:hAnsi="宋体" w:eastAsia="宋体" w:cs="宋体"/>
          <w:color w:val="000000"/>
          <w:sz w:val="24"/>
          <w:szCs w:val="24"/>
          <w:highlight w:val="none"/>
        </w:rPr>
      </w:r>
      <w:r/>
    </w:p>
    <w:p>
      <w:pPr>
        <w:pStyle w:val="1017"/>
        <w:numPr>
          <w:ilvl w:val="0"/>
          <w:numId w:val="7"/>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结算审核</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单位应及时回复业务委托、领取资料、提交工作计划，超时一项扣1分，扣完为止。计划提交后咨询单位应按计划时间进行现场踏勘并形成书面记录、提交结算审核初稿及核减说明、完成工程结算审核并编制指标数据、返回报告及咨询资料等工作，未按计划执行的每项扣5分。</w:t>
      </w:r>
      <w:r>
        <w:rPr>
          <w:rFonts w:hint="eastAsia" w:ascii="宋体" w:hAnsi="宋体" w:eastAsia="宋体" w:cs="宋体"/>
          <w:color w:val="000000"/>
          <w:sz w:val="24"/>
          <w:szCs w:val="24"/>
          <w:highlight w:val="none"/>
        </w:rPr>
      </w:r>
      <w:r/>
    </w:p>
    <w:p>
      <w:pPr>
        <w:pStyle w:val="1017"/>
        <w:numPr>
          <w:ilvl w:val="0"/>
          <w:numId w:val="5"/>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咨询质量情况，60分</w:t>
      </w:r>
      <w:r>
        <w:rPr>
          <w:rFonts w:hint="eastAsia" w:ascii="宋体" w:hAnsi="宋体" w:eastAsia="宋体" w:cs="宋体"/>
          <w:color w:val="000000"/>
          <w:sz w:val="24"/>
          <w:szCs w:val="24"/>
          <w:highlight w:val="none"/>
        </w:rPr>
      </w:r>
      <w:r/>
    </w:p>
    <w:p>
      <w:pPr>
        <w:pStyle w:val="1017"/>
        <w:numPr>
          <w:ilvl w:val="0"/>
          <w:numId w:val="8"/>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预算编制</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①预算经复核总价误差率（绝对值）在±3～5%（含），扣20分；总价误差率在±5%以上，扣40分；共40分。</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②清单漏项、项目特征描述不全或错误的，经复核发现并确认，扣1分/处，共10分。</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③按规定需要询三家(含)以上的材料、设备价格，询价不到位或未提供询价记录的扣5分。</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④咨询单位应按科技城财政局要求格式出具预算报告、编制指标数据，未按要求执行的扣5分。</w:t>
      </w:r>
      <w:r>
        <w:rPr>
          <w:rFonts w:hint="eastAsia" w:ascii="宋体" w:hAnsi="宋体" w:eastAsia="宋体" w:cs="宋体"/>
          <w:color w:val="000000"/>
          <w:sz w:val="24"/>
          <w:szCs w:val="24"/>
          <w:highlight w:val="none"/>
        </w:rPr>
      </w:r>
      <w:r/>
    </w:p>
    <w:p>
      <w:pPr>
        <w:pStyle w:val="101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若预算编制项目在施工过程中或审计过程中，经确认因咨询单位原因引起投资误差率(绝对值)在±3～5%（含），扣还预算编制费的50％;引起投资误差率在±5%以上，扣还预算编制费的100％。</w:t>
      </w:r>
      <w:r>
        <w:rPr>
          <w:rFonts w:hint="eastAsia" w:ascii="宋体" w:hAnsi="宋体" w:eastAsia="宋体" w:cs="宋体"/>
          <w:color w:val="000000"/>
          <w:sz w:val="24"/>
          <w:szCs w:val="24"/>
          <w:highlight w:val="none"/>
        </w:rPr>
      </w:r>
      <w:r/>
    </w:p>
    <w:p>
      <w:pPr>
        <w:pStyle w:val="1017"/>
        <w:numPr>
          <w:ilvl w:val="0"/>
          <w:numId w:val="8"/>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结算审核</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①结算经复核总价误差率（绝对值）在±3～5%（含），扣20分；总价误差率在±5%以上，扣40分；共40分。</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②审核人员应重点审核变更签证是否按苏州科技城相关变更备案管理办法进行审批备案，将未备案的变更签证纳入审计范围的, 扣1分/处,共10分。</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③是否按科技城财政局、审计室规定格式出具审计报告、编制指标数据等资料，不满足要求或缺项的，扣2分/项，共10分。 </w:t>
      </w:r>
      <w:r>
        <w:rPr>
          <w:rFonts w:hint="eastAsia" w:ascii="宋体" w:hAnsi="宋体" w:eastAsia="宋体" w:cs="宋体"/>
          <w:color w:val="000000"/>
          <w:sz w:val="24"/>
          <w:szCs w:val="24"/>
          <w:highlight w:val="none"/>
        </w:rPr>
      </w:r>
      <w:r/>
    </w:p>
    <w:p>
      <w:pPr>
        <w:pStyle w:val="101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如协审单位审核后的工程结算经复核或经国家审计，核减率超3%时，则扣审计费的20%；核减率超5%时，则扣审计费的100%。</w:t>
      </w:r>
      <w:r>
        <w:rPr>
          <w:rFonts w:hint="eastAsia" w:ascii="宋体" w:hAnsi="宋体" w:eastAsia="宋体" w:cs="宋体"/>
          <w:color w:val="000000"/>
          <w:sz w:val="24"/>
          <w:szCs w:val="24"/>
          <w:highlight w:val="none"/>
        </w:rPr>
      </w:r>
      <w:r/>
    </w:p>
    <w:p>
      <w:pPr>
        <w:pStyle w:val="101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7"/>
        <w:numPr>
          <w:ilvl w:val="0"/>
          <w:numId w:val="4"/>
        </w:numPr>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考核处罚：</w:t>
      </w:r>
      <w:r>
        <w:rPr>
          <w:rFonts w:hint="eastAsia" w:ascii="宋体" w:hAnsi="宋体" w:eastAsia="宋体" w:cs="宋体"/>
          <w:b/>
          <w:color w:val="000000"/>
          <w:sz w:val="24"/>
          <w:szCs w:val="24"/>
          <w:highlight w:val="none"/>
        </w:rPr>
      </w:r>
      <w:r/>
    </w:p>
    <w:p>
      <w:pPr>
        <w:pStyle w:val="1017"/>
        <w:numPr>
          <w:ilvl w:val="0"/>
          <w:numId w:val="9"/>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结果与委托项目的咨询收费关联。考核结果≥90分，按咨询服务付费标准结算；90分＞考核结果≥80分，按咨询服务付费标准九折结算；80分＞考核结果≥60分，按咨询服务付费标准七折结算；考核结果＜60分，全额扣除该项目咨询服务费。</w:t>
      </w:r>
      <w:r>
        <w:rPr>
          <w:rFonts w:hint="eastAsia" w:ascii="宋体" w:hAnsi="宋体" w:eastAsia="宋体" w:cs="宋体"/>
          <w:color w:val="000000"/>
          <w:sz w:val="24"/>
          <w:szCs w:val="24"/>
          <w:highlight w:val="none"/>
        </w:rPr>
      </w:r>
      <w:r/>
    </w:p>
    <w:p>
      <w:pPr>
        <w:pStyle w:val="1017"/>
        <w:numPr>
          <w:ilvl w:val="0"/>
          <w:numId w:val="9"/>
        </w:numPr>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考核结果的处罚条款与咨询质量情况中的处罚条款不重复计罚，按照较大值扣减咨询费。</w:t>
      </w:r>
      <w:r>
        <w:rPr>
          <w:rFonts w:hint="eastAsia" w:ascii="宋体" w:hAnsi="宋体" w:eastAsia="宋体" w:cs="宋体"/>
          <w:color w:val="000000"/>
          <w:sz w:val="24"/>
          <w:szCs w:val="24"/>
          <w:highlight w:val="none"/>
        </w:rPr>
      </w:r>
      <w:r/>
    </w:p>
    <w:p>
      <w:pPr>
        <w:pStyle w:val="1017"/>
        <w:numPr>
          <w:ilvl w:val="0"/>
          <w:numId w:val="9"/>
        </w:numPr>
        <w:ind w:left="0" w:firstLine="480"/>
        <w:keepLines w:val="0"/>
        <w:keepNext w:val="0"/>
        <w:pageBreakBefore w:val="0"/>
        <w:spacing w:line="360" w:lineRule="auto"/>
        <w:shd w:val="clear" w:color="auto" w:fill="auto"/>
        <w:widowControl w:val="off"/>
        <w:rPr>
          <w:rFonts w:hint="eastAsia" w:hAnsi="宋体"/>
          <w:color w:val="000000"/>
          <w:szCs w:val="21"/>
          <w:highlight w:val="none"/>
        </w:rPr>
      </w:pPr>
      <w:r>
        <w:rPr>
          <w:rFonts w:hint="eastAsia" w:ascii="宋体" w:hAnsi="宋体" w:eastAsia="宋体" w:cs="宋体"/>
          <w:color w:val="000000"/>
          <w:sz w:val="24"/>
          <w:szCs w:val="24"/>
          <w:highlight w:val="none"/>
        </w:rPr>
        <w:t xml:space="preserve">咨询业务完成后发现重大咨询质量问题的咨询单位，对其予以通报批评并上报行业主管部门，取消其一年内苏州科技城建设项目造价咨询服务投标资格，对相应咨询人员按照《注册造价工程师管理办法》相关规定进行处理并暂停其3年不得从事苏州科技城建设项目造价咨询业务。重大咨询质量问题包括：(1)预算编制经审查确认单项内容误差金额大于±50万元或总价误差大于±3%的；(2)结算审核经审查确认单项内容误差金额大于±50万元或者核减率超5%的。</w:t>
      </w:r>
      <w:r>
        <w:rPr>
          <w:rFonts w:hint="eastAsia" w:hAnsi="宋体"/>
          <w:color w:val="000000"/>
          <w:szCs w:val="21"/>
          <w:highlight w:val="none"/>
        </w:rPr>
      </w:r>
      <w:r/>
    </w:p>
    <w:p>
      <w:pPr>
        <w:pStyle w:val="1017"/>
        <w:ind w:firstLine="560"/>
        <w:shd w:val="clear" w:color="auto" w:fill="auto"/>
        <w:rPr>
          <w:rFonts w:hAnsi="宋体"/>
          <w:color w:val="000000"/>
          <w:szCs w:val="21"/>
          <w:highlight w:val="none"/>
        </w:rPr>
      </w:pPr>
      <w:r>
        <w:rPr>
          <w:rFonts w:hAnsi="宋体"/>
          <w:color w:val="000000"/>
          <w:szCs w:val="21"/>
          <w:highlight w:val="none"/>
        </w:rPr>
        <w:br w:type="page" w:clear="all"/>
      </w:r>
      <w:r>
        <w:rPr>
          <w:rFonts w:hAnsi="宋体"/>
          <w:color w:val="000000"/>
          <w:szCs w:val="21"/>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92"/>
        <w:gridCol w:w="8246"/>
        <w:gridCol w:w="603"/>
        <w:gridCol w:w="697"/>
      </w:tblGrid>
      <w:tr>
        <w:trPr>
          <w:trHeight w:val="546"/>
        </w:trPr>
        <w:tc>
          <w:tcPr>
            <w:gridSpan w:val="4"/>
            <w:tcBorders>
              <w:top w:val="none" w:color="000000" w:sz="4" w:space="0"/>
              <w:left w:val="none" w:color="000000" w:sz="4" w:space="0"/>
              <w:bottom w:val="single" w:color="000000" w:sz="4" w:space="0"/>
              <w:right w:val="none" w:color="000000" w:sz="4" w:space="0"/>
            </w:tcBorders>
            <w:tcW w:w="10138"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考核表1：</w:t>
            </w:r>
            <w:r>
              <w:rPr>
                <w:rFonts w:hint="eastAsia" w:ascii="宋体" w:hAnsi="宋体" w:eastAsia="宋体" w:cs="宋体"/>
                <w:b/>
                <w:sz w:val="24"/>
                <w:szCs w:val="24"/>
                <w:highlight w:val="none"/>
              </w:rPr>
            </w:r>
            <w:r/>
          </w:p>
          <w:p>
            <w:pPr>
              <w:pStyle w:val="995"/>
              <w:jc w:val="center"/>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苏州科技城（东渚街道）造价咨询考核表-预算编制</w:t>
            </w:r>
            <w:r>
              <w:rPr>
                <w:rFonts w:hint="eastAsia" w:ascii="宋体" w:hAnsi="宋体" w:eastAsia="宋体" w:cs="宋体"/>
                <w:b/>
                <w:sz w:val="24"/>
                <w:szCs w:val="24"/>
                <w:highlight w:val="none"/>
              </w:rPr>
            </w:r>
            <w:r/>
          </w:p>
        </w:tc>
      </w:tr>
      <w:tr>
        <w:trPr>
          <w:trHeight w:val="19"/>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  核  内  容</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得分</w:t>
            </w: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总分</w:t>
            </w:r>
            <w:r>
              <w:rPr>
                <w:rFonts w:hint="eastAsia" w:ascii="宋体" w:hAnsi="宋体" w:eastAsia="宋体" w:cs="宋体"/>
                <w:b/>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组织管理</w:t>
            </w:r>
            <w:r>
              <w:rPr>
                <w:rFonts w:hint="eastAsia" w:ascii="宋体" w:hAnsi="宋体" w:eastAsia="宋体" w:cs="宋体"/>
                <w:b/>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咨询人员应具有相应执业资格并与工作计划书一致</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咨询单位在预算编制过程中有无三级复核记录的</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咨询人员工作态度</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41"/>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工作进度</w:t>
            </w:r>
            <w:r>
              <w:rPr>
                <w:rFonts w:hint="eastAsia" w:ascii="宋体" w:hAnsi="宋体" w:eastAsia="宋体" w:cs="宋体"/>
                <w:b/>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是否在24小时内提交计划书2分、是否做节点记录3分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是否按计划时间进行现场踏勘2分，是否形成书面记录2分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是否按计划时间提交初步工程量清单和提疑</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是否按计划时间提交正式工程量清单</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3"/>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是否按计划时间提交正式预算、编制指标数据</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25"/>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是否按规定时间返回编标报告及咨询资料</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9"/>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咨询质量</w:t>
            </w:r>
            <w:r>
              <w:rPr>
                <w:rFonts w:hint="eastAsia" w:ascii="宋体" w:hAnsi="宋体" w:eastAsia="宋体" w:cs="宋体"/>
                <w:b/>
                <w:sz w:val="24"/>
                <w:szCs w:val="24"/>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18" w:hRule="exact"/>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预算经复核总价误差率（绝对值）在±3～5%（含），扣20分；总价误差率在±5%以上，扣40分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29"/>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清单漏项、项目特征描述不全或错误的，经复核发现并确认，扣1分/处</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按规定需要询三家(含)以上的材料、设备价格，询价不到位或未提供询价记录的扣5分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296"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4071"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预算报告应包括报告书、招标范围及材料品牌（如有）、编制说明、预算书，预算报告除了提供纸质版还应提供盖章扫描件，不满足要求或缺项,扣1分/项</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1"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29" w:type="dxa"/>
            <w:vAlign w:val="center"/>
            <w:textDirection w:val="lrTb"/>
            <w:noWrap/>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22"/>
        <w:gridCol w:w="8019"/>
        <w:gridCol w:w="809"/>
        <w:gridCol w:w="675"/>
        <w:gridCol w:w="11"/>
      </w:tblGrid>
      <w:tr>
        <w:trPr>
          <w:gridAfter w:val="1"/>
          <w:trHeight w:val="433"/>
        </w:trPr>
        <w:tc>
          <w:tcPr>
            <w:gridSpan w:val="4"/>
            <w:tcBorders>
              <w:top w:val="none" w:color="000000" w:sz="4" w:space="0"/>
              <w:left w:val="none" w:color="000000" w:sz="4" w:space="0"/>
              <w:bottom w:val="single" w:color="000000" w:sz="4" w:space="0"/>
              <w:right w:val="none" w:color="000000" w:sz="4" w:space="0"/>
            </w:tcBorders>
            <w:tcW w:w="10125" w:type="dxa"/>
            <w:vAlign w:val="center"/>
            <w:textDirection w:val="lrTb"/>
            <w:noWrap w:val="false"/>
          </w:tcPr>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考核表2：</w:t>
            </w:r>
            <w:r>
              <w:rPr>
                <w:rFonts w:hint="eastAsia" w:ascii="宋体" w:hAnsi="宋体" w:eastAsia="宋体" w:cs="宋体"/>
                <w:b/>
                <w:sz w:val="24"/>
                <w:szCs w:val="24"/>
                <w:highlight w:val="none"/>
              </w:rPr>
            </w:r>
            <w:r/>
          </w:p>
          <w:p>
            <w:pPr>
              <w:pStyle w:val="995"/>
              <w:jc w:val="center"/>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苏州科技城（东渚街道）造价咨询考核表-结算审核</w:t>
            </w:r>
            <w:r>
              <w:rPr>
                <w:rFonts w:hint="eastAsia" w:ascii="宋体" w:hAnsi="宋体" w:eastAsia="宋体" w:cs="宋体"/>
                <w:b/>
                <w:sz w:val="24"/>
                <w:szCs w:val="24"/>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  核  内  容</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得分</w:t>
            </w: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组织管理</w:t>
            </w:r>
            <w:r>
              <w:rPr>
                <w:rFonts w:hint="eastAsia" w:ascii="宋体" w:hAnsi="宋体" w:eastAsia="宋体" w:cs="宋体"/>
                <w:sz w:val="24"/>
                <w:szCs w:val="24"/>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咨询人员应具有相应执业资格并与工作计划一致</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咨询单位在结算审核过程中有无三级复核记录</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咨询人员工作态度</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进度方面</w:t>
            </w:r>
            <w:r>
              <w:rPr>
                <w:rFonts w:hint="eastAsia" w:ascii="宋体" w:hAnsi="宋体" w:eastAsia="宋体" w:cs="宋体"/>
                <w:sz w:val="24"/>
                <w:szCs w:val="24"/>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是否按本细则规定24小时内回复委托2分、及领取资料1分、48小时内提交工作计划2分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是否按计划时间进行现场踏勘并系统上传踏勘记录</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是否按计划时间提交初审报告及工作底稿、审计疑问汇总</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是否按计划时间完成工程结算审核报告、编制指标数据</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是否按规定时间返回审核报告及咨询资料</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8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质量方面</w:t>
            </w:r>
            <w:r>
              <w:rPr>
                <w:rFonts w:hint="eastAsia" w:ascii="宋体" w:hAnsi="宋体" w:eastAsia="宋体" w:cs="宋体"/>
                <w:sz w:val="24"/>
                <w:szCs w:val="24"/>
                <w:highlight w:val="none"/>
              </w:rPr>
            </w:r>
            <w:r/>
          </w:p>
        </w:tc>
        <w:tc>
          <w:tcPr>
            <w:shd w:val="clear" w:color="000000" w:fill="auto"/>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结算经复核总价误差率（绝对值）在±3～5%，扣20分；总价误差率在±5%以上，扣40分。共40分。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审核人员应重点审核变更签证是否按苏州科技城相关变更备案管理办法进行审批备案，将未备案的变更签证纳入审计范围的, 扣1分/处,共10分。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3"/>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07" w:type="dxa"/>
            <w:vAlign w:val="center"/>
            <w:textDirection w:val="lrTb"/>
            <w:noWrap w:val="false"/>
          </w:tcPr>
          <w:p>
            <w:pPr>
              <w:pStyle w:val="995"/>
              <w:jc w:val="center"/>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955" w:type="dxa"/>
            <w:vAlign w:val="center"/>
            <w:textDirection w:val="lrTb"/>
            <w:noWrap w:val="false"/>
          </w:tcPr>
          <w:p>
            <w:pPr>
              <w:pStyle w:val="995"/>
              <w:spacing w:line="0" w:lineRule="atLeas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是否按科技城财政局、审计室规定格式出具审计报告、编制指标数据、整理延期申请等资料，不满足要求或缺项的，扣2分/项，共10分。</w:t>
            </w: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99" w:type="dxa"/>
            <w:vAlign w:val="center"/>
            <w:textDirection w:val="lrTb"/>
            <w:noWrap w:val="false"/>
          </w:tcPr>
          <w:p>
            <w:pPr>
              <w:pStyle w:val="995"/>
              <w:jc w:val="cente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gridSpan w:val="2"/>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86" w:type="dxa"/>
            <w:vAlign w:val="center"/>
            <w:textDirection w:val="lrTb"/>
            <w:noWrap w:val="false"/>
          </w:tcPr>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95"/>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5"/>
        <w:ind w:firstLine="482"/>
        <w:spacing w:line="360" w:lineRule="auto"/>
        <w:shd w:val="clear" w:color="auto" w:fill="auto"/>
        <w:rPr>
          <w:rFonts w:hint="eastAsia" w:ascii="宋体" w:hAnsi="宋体"/>
          <w:b/>
          <w:bCs/>
          <w:sz w:val="24"/>
          <w:szCs w:val="24"/>
          <w:highlight w:val="none"/>
        </w:rPr>
      </w:pP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rPr>
        <w:t xml:space="preserve">）综合说明：</w:t>
      </w:r>
      <w:r>
        <w:rPr>
          <w:rFonts w:hint="eastAsia" w:ascii="宋体" w:hAnsi="宋体"/>
          <w:b/>
          <w:bCs/>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1、供应商提供的服务能够至少达到以上要求，同时明确详细的服务方案。</w:t>
      </w:r>
      <w:r>
        <w:rPr>
          <w:rFonts w:hint="eastAsia" w:ascii="宋体" w:hAnsi="宋体" w:cs="宋体"/>
          <w:b/>
          <w:bCs/>
          <w:sz w:val="24"/>
          <w:szCs w:val="24"/>
          <w:highlight w:val="none"/>
        </w:rPr>
        <w:t xml:space="preserve">供应商成交后，提供详细的服务方案至采购单位审核，经采购单位审核通过后，作为成交供应商实施服务的依据。</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2、供应商必须承诺磋商文件中提出的全部要求，如果其中某些条款不响应时，应在文件中逐条列出，未列出的视同响应。</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3、供应商应对所投项目的全部内容进行报价，只投其中部分内容者，其响应文件将被拒绝。成交供应商对服务缺陷不予更正，采购方有权另请其他单位更正，所发生的费用由成交供应商承担。</w:t>
      </w:r>
      <w:r>
        <w:rPr>
          <w:rFonts w:hint="eastAsia" w:ascii="宋体" w:hAnsi="宋体" w:cs="宋体"/>
          <w:sz w:val="24"/>
          <w:szCs w:val="24"/>
          <w:highlight w:val="none"/>
        </w:rPr>
      </w:r>
      <w:r/>
    </w:p>
    <w:p>
      <w:pPr>
        <w:pStyle w:val="995"/>
        <w:ind w:firstLine="480"/>
        <w:spacing w:line="360" w:lineRule="auto"/>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4、响应报价为综合报价，包含完成全部服务内容所需的</w:t>
      </w:r>
      <w:r>
        <w:rPr>
          <w:rFonts w:hint="eastAsia" w:ascii="宋体" w:hAnsi="宋体" w:cs="宋体"/>
          <w:sz w:val="24"/>
          <w:szCs w:val="24"/>
          <w:highlight w:val="none"/>
          <w:lang w:eastAsia="zh-CN"/>
        </w:rPr>
        <w:t xml:space="preserve">资料费、人工费、通讯费、印刷费、培训、保险、利润、税金、交通、餐费、加班、利润及政策性文件规定及合同包含的所有风险、责任等各项支出费用</w:t>
      </w:r>
      <w:r>
        <w:rPr>
          <w:rFonts w:hint="eastAsia" w:ascii="宋体" w:hAnsi="宋体" w:cs="宋体"/>
          <w:sz w:val="24"/>
          <w:szCs w:val="24"/>
          <w:highlight w:val="none"/>
        </w:rPr>
        <w:t xml:space="preserve">。响应报价为最终报价，除非因特殊原因并经买卖双方协商同意，响应供应商不得再要求追加任何费用。同时，除非合同条款中另有规定，否则，响应供应商所报价格在合同实施期间不因市场变化因素而变动。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cs="宋体"/>
          <w:sz w:val="24"/>
          <w:szCs w:val="24"/>
          <w:highlight w:val="none"/>
        </w:rPr>
      </w:r>
      <w:r/>
    </w:p>
    <w:p>
      <w:pPr>
        <w:pStyle w:val="995"/>
        <w:ind w:firstLine="480"/>
        <w:spacing w:line="360" w:lineRule="auto"/>
        <w:shd w:val="clear" w:color="auto" w:fill="auto"/>
        <w:widowControl/>
        <w:rPr>
          <w:rFonts w:ascii="宋体" w:hAnsi="宋体" w:cs="宋体"/>
          <w:sz w:val="24"/>
          <w:szCs w:val="24"/>
          <w:highlight w:val="none"/>
        </w:rPr>
      </w:pPr>
      <w:r>
        <w:rPr>
          <w:rFonts w:hint="eastAsia" w:ascii="宋体" w:hAnsi="宋体" w:cs="宋体"/>
          <w:sz w:val="24"/>
          <w:szCs w:val="24"/>
          <w:highlight w:val="none"/>
        </w:rPr>
        <w:t xml:space="preserve">5、本项目涉及的相关资料、信息属保密性质，未经采购人同意，</w:t>
      </w:r>
      <w:r>
        <w:rPr>
          <w:rFonts w:hint="eastAsia" w:ascii="宋体" w:hAnsi="宋体" w:cs="宋体"/>
          <w:sz w:val="24"/>
          <w:szCs w:val="24"/>
          <w:highlight w:val="none"/>
          <w:lang w:eastAsia="zh-CN"/>
        </w:rPr>
        <w:t xml:space="preserve">成交</w:t>
      </w:r>
      <w:r>
        <w:rPr>
          <w:rFonts w:hint="eastAsia" w:ascii="宋体" w:hAnsi="宋体" w:cs="宋体"/>
          <w:sz w:val="24"/>
          <w:szCs w:val="24"/>
          <w:highlight w:val="none"/>
        </w:rPr>
        <w:t xml:space="preserve">单位不得向第三方泄露。对不属于</w:t>
      </w:r>
      <w:r>
        <w:rPr>
          <w:rFonts w:hint="eastAsia" w:ascii="宋体" w:hAnsi="宋体" w:cs="宋体"/>
          <w:sz w:val="24"/>
          <w:szCs w:val="24"/>
          <w:highlight w:val="none"/>
          <w:lang w:eastAsia="zh-CN"/>
        </w:rPr>
        <w:t xml:space="preserve">成交</w:t>
      </w:r>
      <w:r>
        <w:rPr>
          <w:rFonts w:hint="eastAsia" w:ascii="宋体" w:hAnsi="宋体" w:cs="宋体"/>
          <w:sz w:val="24"/>
          <w:szCs w:val="24"/>
          <w:highlight w:val="none"/>
        </w:rPr>
        <w:t xml:space="preserve">单位且受知识产权保护的产品、资料、信息等不得用于其他目的。本项目全部数据成果的所有权、使用权和著作权归属采购人，</w:t>
      </w:r>
      <w:r>
        <w:rPr>
          <w:rFonts w:hint="eastAsia" w:ascii="宋体" w:hAnsi="宋体" w:cs="宋体"/>
          <w:sz w:val="24"/>
          <w:szCs w:val="24"/>
          <w:highlight w:val="none"/>
          <w:lang w:eastAsia="zh-CN"/>
        </w:rPr>
        <w:t xml:space="preserve">成交</w:t>
      </w:r>
      <w:r>
        <w:rPr>
          <w:rFonts w:hint="eastAsia" w:ascii="宋体" w:hAnsi="宋体" w:cs="宋体"/>
          <w:sz w:val="24"/>
          <w:szCs w:val="24"/>
          <w:highlight w:val="none"/>
        </w:rPr>
        <w:t xml:space="preserve">单位使用必须经采购人授权同意。在项目实施和成果提交过程中，出现的一切人身、设备和数据成果资料等安全问题均由</w:t>
      </w:r>
      <w:r>
        <w:rPr>
          <w:rFonts w:hint="eastAsia" w:ascii="宋体" w:hAnsi="宋体" w:cs="宋体"/>
          <w:sz w:val="24"/>
          <w:szCs w:val="24"/>
          <w:highlight w:val="none"/>
          <w:lang w:eastAsia="zh-CN"/>
        </w:rPr>
        <w:t xml:space="preserve">成交</w:t>
      </w:r>
      <w:r>
        <w:rPr>
          <w:rFonts w:hint="eastAsia" w:ascii="宋体" w:hAnsi="宋体" w:cs="宋体"/>
          <w:sz w:val="24"/>
          <w:szCs w:val="24"/>
          <w:highlight w:val="none"/>
        </w:rPr>
        <w:t xml:space="preserve">单位承担全部责任，采购人不承担任何责任。</w:t>
      </w:r>
      <w:r>
        <w:rPr>
          <w:rFonts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2"/>
          <w:highlight w:val="none"/>
        </w:rPr>
      </w:pPr>
      <w:r>
        <w:rPr>
          <w:rFonts w:hint="eastAsia" w:ascii="宋体" w:hAnsi="宋体" w:cs="宋体"/>
          <w:sz w:val="24"/>
          <w:szCs w:val="22"/>
          <w:highlight w:val="none"/>
          <w:lang w:val="en-US" w:eastAsia="zh-CN"/>
        </w:rPr>
        <w:t xml:space="preserve">6</w:t>
      </w:r>
      <w:r>
        <w:rPr>
          <w:rFonts w:hint="eastAsia" w:ascii="宋体" w:hAnsi="宋体" w:cs="宋体"/>
          <w:sz w:val="24"/>
          <w:szCs w:val="22"/>
          <w:highlight w:val="none"/>
        </w:rPr>
        <w:t xml:space="preserve">、成交供应商工作人员在岗履行职责期间（包括上下班途中），发生自身的人身伤害、伤亡，均由成交单位负责处理并承担经济和道义上的责任，采购单位不承担任何责任。</w:t>
      </w:r>
      <w:r>
        <w:rPr>
          <w:rFonts w:hint="eastAsia" w:ascii="宋体" w:hAnsi="宋体" w:cs="宋体"/>
          <w:sz w:val="24"/>
          <w:szCs w:val="22"/>
          <w:highlight w:val="none"/>
        </w:rPr>
      </w:r>
      <w:r/>
    </w:p>
    <w:p>
      <w:pPr>
        <w:pStyle w:val="995"/>
        <w:ind w:firstLine="424"/>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、成交供应商对服务缺陷不予更正，甲方有权另请其他单位更正，所发生的费用由成交供应商承担。</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、无论投标过程中的做法和结果如何，供应商自行承担所有与参加投标有关的全部费用。</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、若成交供应商在服务期间，违反下列规定将被解除服务合同，并扣除剩余待支付费用：</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.1、严禁将服务转包他人。</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.2、出现重大责任问题。</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.3、泄露相关保密信息。</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、付款方式：详见合同特殊条款。</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、凡涉及采购文件的补充说明和修改，均以苏州政府采购网发布的内容为准。</w:t>
      </w:r>
      <w:r>
        <w:rPr>
          <w:rFonts w:hint="eastAsia" w:ascii="宋体" w:hAnsi="宋体" w:cs="宋体"/>
          <w:sz w:val="24"/>
          <w:szCs w:val="24"/>
          <w:highlight w:val="none"/>
        </w:rPr>
      </w:r>
      <w:r/>
    </w:p>
    <w:p>
      <w:pPr>
        <w:pStyle w:val="995"/>
        <w:ind w:firstLine="482"/>
        <w:jc w:val="left"/>
        <w:spacing w:line="360" w:lineRule="auto"/>
        <w:shd w:val="clear" w:color="auto" w:fill="auto"/>
        <w:tabs>
          <w:tab w:val="left" w:pos="360" w:leader="none"/>
          <w:tab w:val="left" w:pos="540" w:leader="none"/>
        </w:tabs>
        <w:rPr>
          <w:rFonts w:hint="eastAsia" w:ascii="宋体" w:hAnsi="宋体" w:cs="宋体"/>
          <w:b/>
          <w:sz w:val="24"/>
          <w:szCs w:val="24"/>
          <w:highlight w:val="none"/>
        </w:rPr>
      </w:pPr>
      <w:r>
        <w:rPr>
          <w:rFonts w:hint="eastAsia" w:ascii="宋体" w:hAnsi="宋体" w:cs="宋体"/>
          <w:b/>
          <w:sz w:val="24"/>
          <w:szCs w:val="24"/>
          <w:highlight w:val="none"/>
        </w:rPr>
        <w:t xml:space="preserve">五、磋商响应文件的组成及要求：</w:t>
      </w:r>
      <w:r>
        <w:rPr>
          <w:rFonts w:hint="eastAsia" w:ascii="宋体" w:hAnsi="宋体" w:cs="宋体"/>
          <w:b/>
          <w:sz w:val="24"/>
          <w:szCs w:val="24"/>
          <w:highlight w:val="none"/>
        </w:rPr>
      </w:r>
      <w:r/>
    </w:p>
    <w:p>
      <w:pPr>
        <w:pStyle w:val="995"/>
        <w:ind w:firstLine="482"/>
        <w:jc w:val="left"/>
        <w:spacing w:line="360" w:lineRule="auto"/>
        <w:shd w:val="clear" w:color="auto" w:fill="auto"/>
        <w:tabs>
          <w:tab w:val="left" w:pos="142" w:leader="none"/>
        </w:tabs>
        <w:rPr>
          <w:rFonts w:hint="eastAsia" w:ascii="宋体" w:hAnsi="宋体" w:cs="宋体"/>
          <w:b/>
          <w:sz w:val="24"/>
          <w:szCs w:val="24"/>
          <w:highlight w:val="none"/>
        </w:rPr>
      </w:pPr>
      <w:r>
        <w:rPr>
          <w:rFonts w:hint="eastAsia" w:ascii="宋体" w:hAnsi="宋体" w:cs="宋体"/>
          <w:b/>
          <w:sz w:val="24"/>
          <w:szCs w:val="24"/>
          <w:highlight w:val="none"/>
        </w:rPr>
        <w:t xml:space="preserve">（一）文件组成：</w:t>
      </w:r>
      <w:r>
        <w:rPr>
          <w:rFonts w:hint="eastAsia" w:ascii="宋体" w:hAnsi="宋体" w:cs="宋体"/>
          <w:b/>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基本目录：</w:t>
      </w:r>
      <w:r>
        <w:rPr>
          <w:rFonts w:hint="eastAsia" w:ascii="宋体" w:hAnsi="宋体" w:eastAsia="宋体" w:cs="宋体"/>
          <w:b/>
          <w:bCs/>
          <w:color w:val="000000"/>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1、封面</w:t>
      </w:r>
      <w:r>
        <w:rPr>
          <w:rFonts w:hint="eastAsia" w:ascii="宋体" w:hAnsi="宋体" w:eastAsia="宋体" w:cs="宋体"/>
          <w:b/>
          <w:bCs/>
          <w:color w:val="000000"/>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2、开标一览表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系统自动生成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基本情况表；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4、投标（响应）保证承诺书；</w:t>
      </w:r>
      <w:r>
        <w:rPr>
          <w:rFonts w:ascii="宋体" w:hAnsi="宋体" w:eastAsia="宋体" w:cs="宋体"/>
          <w:color w:val="000000"/>
          <w:sz w:val="24"/>
          <w:szCs w:val="24"/>
          <w:highlight w:val="none"/>
          <w:lang w:val="en-US" w:eastAsia="zh-CN"/>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文件技术部分规定提交的其他相关材料；</w:t>
      </w:r>
      <w:r>
        <w:rPr>
          <w:rFonts w:hint="eastAsia" w:ascii="宋体" w:hAnsi="宋体" w:eastAsia="宋体" w:cs="宋体"/>
          <w:color w:val="000000"/>
          <w:sz w:val="24"/>
          <w:szCs w:val="24"/>
          <w:highlight w:val="none"/>
        </w:rPr>
      </w:r>
      <w:r/>
    </w:p>
    <w:p>
      <w:pPr>
        <w:pStyle w:val="995"/>
        <w:ind w:firstLine="47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cs="宋体"/>
          <w:b/>
          <w:bCs/>
          <w:color w:val="000000"/>
          <w:spacing w:val="-3"/>
          <w:sz w:val="24"/>
          <w:szCs w:val="24"/>
          <w:highlight w:val="none"/>
          <w:lang w:val="en-AU"/>
        </w:rPr>
        <w:t xml:space="preserve">资格条件：</w:t>
      </w:r>
      <w:r>
        <w:rPr>
          <w:rFonts w:hint="eastAsia" w:ascii="宋体" w:hAnsi="宋体" w:eastAsia="宋体" w:cs="宋体"/>
          <w:b/>
          <w:bCs/>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、具有独立承担民事责任的能力。提供包括法人或者其他组织的营业执照等证明文件，自然人的身份证明；</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、具有良好的商业信誉和健全的财务会计制度。提供包括但不限于最近一期经审计的财务报告</w:t>
      </w:r>
      <w:r>
        <w:rPr>
          <w:rFonts w:hint="eastAsia" w:ascii="宋体" w:hAnsi="宋体" w:eastAsia="宋体" w:cs="宋体"/>
          <w:color w:val="000000"/>
          <w:sz w:val="24"/>
          <w:szCs w:val="24"/>
          <w:highlight w:val="none"/>
          <w:lang w:eastAsia="zh-CN"/>
        </w:rPr>
        <w:t xml:space="preserve">或最近一期财务报表</w:t>
      </w:r>
      <w:r>
        <w:rPr>
          <w:rFonts w:hint="eastAsia" w:ascii="宋体" w:hAnsi="宋体" w:eastAsia="宋体" w:cs="宋体"/>
          <w:color w:val="000000"/>
          <w:sz w:val="24"/>
          <w:szCs w:val="24"/>
          <w:highlight w:val="none"/>
        </w:rPr>
        <w:t xml:space="preserve">，其他组织、自然人及成立未满一年的法人应提供银行出具的资信证明；</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、具有履行合同所必需的设备和专业技术能力。提供证明材料或承诺；</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、参加政府采购活动前三年内在经营活动中没有重大违法记录。提供书面声明函；</w:t>
      </w:r>
      <w:r>
        <w:rPr>
          <w:rFonts w:hint="eastAsia" w:ascii="宋体" w:hAnsi="宋体" w:eastAsia="宋体" w:cs="宋体"/>
          <w:color w:val="000000"/>
          <w:sz w:val="24"/>
          <w:szCs w:val="24"/>
          <w:highlight w:val="none"/>
        </w:rPr>
      </w:r>
      <w:r/>
    </w:p>
    <w:p>
      <w:pPr>
        <w:pStyle w:val="995"/>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关于资格文件的声明函及</w:t>
      </w:r>
      <w:r>
        <w:rPr>
          <w:rFonts w:hint="eastAsia" w:ascii="宋体" w:hAnsi="宋体" w:eastAsia="宋体" w:cs="宋体"/>
          <w:sz w:val="24"/>
          <w:szCs w:val="24"/>
          <w:highlight w:val="none"/>
          <w:lang w:val="zh-CN"/>
        </w:rPr>
        <w:t xml:space="preserve">投标人与其他单位存在控股、管理关系情况表</w:t>
      </w: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格式）；</w:t>
      </w:r>
      <w:r>
        <w:rPr>
          <w:rFonts w:hint="eastAsia" w:ascii="宋体" w:hAnsi="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落实政府采购政策需满足的资格要求：本项目</w:t>
      </w:r>
      <w:r>
        <w:rPr>
          <w:rFonts w:hint="eastAsia" w:ascii="宋体" w:hAnsi="宋体" w:eastAsia="宋体" w:cs="宋体"/>
          <w:b/>
          <w:bCs/>
          <w:color w:val="000000"/>
          <w:sz w:val="24"/>
          <w:szCs w:val="24"/>
          <w:highlight w:val="none"/>
          <w:u w:val="single"/>
        </w:rPr>
        <w:t xml:space="preserve">专门面向中小企业</w:t>
      </w:r>
      <w:r>
        <w:rPr>
          <w:rFonts w:hint="eastAsia" w:ascii="宋体" w:hAnsi="宋体" w:eastAsia="宋体" w:cs="宋体"/>
          <w:b w:val="0"/>
          <w:bCs w:val="0"/>
          <w:color w:val="000000"/>
          <w:sz w:val="24"/>
          <w:szCs w:val="24"/>
          <w:highlight w:val="none"/>
        </w:rPr>
        <w:t xml:space="preserve">，所属行业为</w:t>
      </w:r>
      <w:r>
        <w:rPr>
          <w:rFonts w:hint="eastAsia" w:ascii="宋体" w:hAnsi="宋体" w:eastAsia="宋体" w:cs="宋体"/>
          <w:b w:val="0"/>
          <w:bCs w:val="0"/>
          <w:color w:val="000000"/>
          <w:sz w:val="24"/>
          <w:szCs w:val="24"/>
          <w:highlight w:val="none"/>
          <w:u w:val="single"/>
          <w:lang w:eastAsia="zh-CN"/>
        </w:rPr>
        <w:t xml:space="preserve">租赁和商务服务业</w:t>
      </w:r>
      <w:r>
        <w:rPr>
          <w:rFonts w:hint="eastAsia" w:ascii="宋体" w:hAnsi="宋体" w:eastAsia="宋体" w:cs="宋体"/>
          <w:b w:val="0"/>
          <w:bCs w:val="0"/>
          <w:color w:val="000000"/>
          <w:sz w:val="24"/>
          <w:szCs w:val="24"/>
          <w:highlight w:val="none"/>
        </w:rPr>
        <w:t xml:space="preserve">，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rPr>
          <w:rFonts w:hint="eastAsia" w:ascii="宋体" w:hAnsi="宋体" w:eastAsia="宋体" w:cs="宋体"/>
          <w:b w:val="0"/>
          <w:bCs w:val="0"/>
          <w:color w:val="000000"/>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w:t>
      </w:r>
      <w:r>
        <w:rPr>
          <w:rFonts w:hint="eastAsia" w:ascii="宋体" w:hAnsi="宋体" w:eastAsia="宋体" w:cs="宋体"/>
          <w:b/>
          <w:bCs/>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、磋商响应函；</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、磋商响应单位法定代表人身份证扫描件；</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、法定代表人授权委托书（如有授权）；</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、磋商响应单位授权代理人身份证扫描件（如有授权）</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、服务要求偏离表；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单位对</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文件其他符合性条款的响应情况；</w:t>
      </w:r>
      <w:r>
        <w:rPr>
          <w:rFonts w:hint="eastAsia" w:ascii="宋体" w:hAnsi="宋体" w:eastAsia="宋体" w:cs="宋体"/>
          <w:color w:val="000000"/>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、拟投入项目组人员一览表；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结算审核项目业务汇总表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5"/>
        <w:ind w:firstLine="480"/>
        <w:jc w:val="left"/>
        <w:spacing w:line="360" w:lineRule="auto"/>
        <w:shd w:val="clear" w:color="auto" w:fill="auto"/>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技术组织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p>
      <w:pPr>
        <w:pStyle w:val="995"/>
        <w:ind w:firstLine="480"/>
        <w:spacing w:line="360" w:lineRule="auto"/>
        <w:shd w:val="clear" w:color="auto" w:fill="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、磋商文件评分标准中</w:t>
      </w:r>
      <w:r>
        <w:rPr>
          <w:rFonts w:hint="eastAsia" w:ascii="宋体" w:hAnsi="宋体" w:cs="宋体"/>
          <w:color w:val="000000"/>
          <w:sz w:val="24"/>
          <w:szCs w:val="24"/>
          <w:highlight w:val="none"/>
          <w:shd w:val="clear" w:color="auto" w:fill="ffffff"/>
        </w:rPr>
        <w:t xml:space="preserve">所涉及到针对本项目的证明材料等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95"/>
        <w:ind w:firstLine="470"/>
        <w:spacing w:line="360" w:lineRule="auto"/>
        <w:shd w:val="clear" w:color="auto" w:fill="auto"/>
        <w:rPr>
          <w:rFonts w:ascii="宋体" w:hAnsi="宋体" w:cs="宋体"/>
          <w:b/>
          <w:bCs/>
          <w:color w:val="000000"/>
          <w:spacing w:val="-3"/>
          <w:sz w:val="24"/>
          <w:szCs w:val="24"/>
          <w:highlight w:val="none"/>
        </w:rPr>
      </w:pPr>
      <w:r>
        <w:rPr>
          <w:rFonts w:hint="eastAsia" w:ascii="宋体" w:hAnsi="宋体" w:cs="宋体"/>
          <w:b/>
          <w:bCs/>
          <w:color w:val="000000"/>
          <w:spacing w:val="-3"/>
          <w:sz w:val="24"/>
          <w:szCs w:val="24"/>
          <w:highlight w:val="none"/>
          <w:lang w:val="en-AU"/>
        </w:rPr>
        <w:t xml:space="preserve">价格折扣文件：</w:t>
      </w:r>
      <w:r>
        <w:rPr>
          <w:rFonts w:ascii="宋体" w:hAnsi="宋体" w:cs="宋体"/>
          <w:b/>
          <w:bCs/>
          <w:color w:val="000000"/>
          <w:spacing w:val="-3"/>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提供对应的《中小企业声明函》或《残疾人福利性单位声明函》或省级以上监狱管理局、戒毒管理局（含新疆生产建设兵团）出具的属于监狱企业的证明文件，否则不享受相应政府采购政策。</w:t>
      </w:r>
      <w:r>
        <w:rPr>
          <w:rFonts w:hint="eastAsia" w:ascii="宋体" w:hAnsi="宋体" w:eastAsia="宋体" w:cs="宋体"/>
          <w:b w:val="0"/>
          <w:bCs w:val="0"/>
          <w:color w:val="000000"/>
          <w:sz w:val="24"/>
          <w:szCs w:val="24"/>
          <w:highlight w:val="none"/>
        </w:rPr>
      </w:r>
      <w:r/>
    </w:p>
    <w:p>
      <w:pPr>
        <w:pStyle w:val="995"/>
        <w:ind w:firstLine="480"/>
        <w:jc w:val="left"/>
        <w:spacing w:line="360" w:lineRule="auto"/>
        <w:shd w:val="clear" w:color="auto" w:fill="auto"/>
        <w:tabs>
          <w:tab w:val="left" w:pos="425" w:leader="none"/>
        </w:tabs>
        <w:rPr>
          <w:rFonts w:ascii="Arial" w:hAnsi="Arial" w:eastAsia="Arial"/>
          <w:sz w:val="24"/>
          <w:szCs w:val="24"/>
          <w:highlight w:val="none"/>
        </w:rPr>
      </w:pPr>
      <w:r>
        <w:rPr>
          <w:rFonts w:hint="eastAsia" w:ascii="Arial" w:hAnsi="Arial" w:eastAsia="Arial"/>
          <w:sz w:val="24"/>
          <w:szCs w:val="24"/>
          <w:highlight w:val="none"/>
        </w:rPr>
        <w:t xml:space="preserve">注：</w:t>
      </w:r>
      <w:r>
        <w:rPr>
          <w:rFonts w:hint="eastAsia" w:ascii="宋体" w:hAnsi="宋体" w:cs="宋体"/>
          <w:b/>
          <w:bCs/>
          <w:sz w:val="24"/>
          <w:szCs w:val="24"/>
          <w:highlight w:val="none"/>
        </w:rPr>
        <w:t xml:space="preserve">1、供应商应提交以上1-2</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条完整响应文件。否则，响应文件将因资格条件不符或未实质响应磋商文件而被判定为无效标。</w:t>
      </w:r>
      <w:r>
        <w:rPr>
          <w:rFonts w:ascii="Arial" w:hAnsi="Arial" w:eastAsia="Arial"/>
          <w:sz w:val="24"/>
          <w:szCs w:val="24"/>
          <w:highlight w:val="none"/>
        </w:rPr>
      </w:r>
      <w:r/>
    </w:p>
    <w:p>
      <w:pPr>
        <w:pStyle w:val="995"/>
        <w:ind w:firstLine="482"/>
        <w:jc w:val="left"/>
        <w:spacing w:line="360" w:lineRule="auto"/>
        <w:shd w:val="clear" w:color="auto" w:fill="auto"/>
        <w:tabs>
          <w:tab w:val="left" w:pos="425" w:leader="none"/>
        </w:tabs>
        <w:rPr>
          <w:rFonts w:ascii="Arial" w:hAnsi="Arial" w:eastAsia="Arial"/>
          <w:sz w:val="24"/>
          <w:szCs w:val="24"/>
          <w:highlight w:val="none"/>
        </w:rPr>
      </w:pPr>
      <w:r>
        <w:rPr>
          <w:rFonts w:hint="eastAsia" w:ascii="Arial" w:hAnsi="Arial" w:eastAsia="Arial"/>
          <w:b/>
          <w:bCs/>
          <w:sz w:val="24"/>
          <w:szCs w:val="24"/>
          <w:highlight w:val="none"/>
        </w:rPr>
        <w:t xml:space="preserve">2、</w:t>
      </w:r>
      <w:r>
        <w:rPr>
          <w:rFonts w:hint="eastAsia" w:ascii="宋体" w:hAnsi="宋体"/>
          <w:b/>
          <w:sz w:val="24"/>
          <w:highlight w:val="none"/>
        </w:rPr>
        <w:t xml:space="preserve">制作电子投标（响应）文件时请与电子投标（响应）文件制作软件目录一一对应，将相关资料上传至相应模块。</w:t>
      </w:r>
      <w:r>
        <w:rPr>
          <w:rFonts w:ascii="Arial" w:hAnsi="Arial" w:eastAsia="Arial"/>
          <w:sz w:val="24"/>
          <w:szCs w:val="24"/>
          <w:highlight w:val="none"/>
        </w:rPr>
      </w:r>
      <w:r/>
    </w:p>
    <w:p>
      <w:pPr>
        <w:pStyle w:val="995"/>
        <w:ind w:firstLine="482"/>
        <w:spacing w:line="360" w:lineRule="auto"/>
        <w:shd w:val="clear" w:color="auto" w:fill="auto"/>
        <w:rPr>
          <w:b/>
          <w:bCs/>
          <w:sz w:val="24"/>
          <w:highlight w:val="none"/>
        </w:rPr>
      </w:pPr>
      <w:r>
        <w:rPr>
          <w:rFonts w:hint="eastAsia" w:ascii="宋体" w:hAnsi="宋体"/>
          <w:b/>
          <w:sz w:val="24"/>
          <w:highlight w:val="none"/>
        </w:rPr>
        <w:t xml:space="preserve">3、供应商应保证上传的投标（响应）文件完整、清晰可辨认，若因上传资料过小或模糊不清等无法辨认的都视为该资料未提供。</w:t>
      </w:r>
      <w:r>
        <w:rPr>
          <w:b/>
          <w:bCs/>
          <w:sz w:val="24"/>
          <w:highlight w:val="none"/>
        </w:rPr>
      </w:r>
      <w:r/>
    </w:p>
    <w:p>
      <w:pPr>
        <w:pStyle w:val="995"/>
        <w:ind w:firstLine="482"/>
        <w:spacing w:line="360" w:lineRule="auto"/>
        <w:shd w:val="clear" w:color="auto" w:fill="auto"/>
        <w:tabs>
          <w:tab w:val="left" w:pos="540" w:leader="none"/>
        </w:tabs>
        <w:rPr>
          <w:rFonts w:ascii="宋体" w:hAnsi="宋体"/>
          <w:b/>
          <w:bCs/>
          <w:sz w:val="24"/>
          <w:highlight w:val="none"/>
        </w:rPr>
      </w:pPr>
      <w:r>
        <w:rPr>
          <w:rFonts w:hint="eastAsia" w:ascii="宋体" w:hAnsi="宋体"/>
          <w:b/>
          <w:bCs/>
          <w:sz w:val="24"/>
          <w:highlight w:val="none"/>
        </w:rPr>
        <w:t xml:space="preserve">4、</w:t>
      </w:r>
      <w:r>
        <w:rPr>
          <w:rFonts w:ascii="宋体" w:hAnsi="宋体"/>
          <w:b/>
          <w:bCs/>
          <w:sz w:val="24"/>
          <w:highlight w:val="none"/>
        </w:rPr>
        <w:t xml:space="preserve">响应单位必须保证全部响应资料的真实性，如有虚假或对采购文件所要求说明的情况故意隐瞒或虚报，视为不实质性响应</w:t>
      </w:r>
      <w:r>
        <w:rPr>
          <w:rFonts w:hint="eastAsia" w:ascii="宋体" w:hAnsi="宋体"/>
          <w:b/>
          <w:bCs/>
          <w:sz w:val="24"/>
          <w:highlight w:val="none"/>
        </w:rPr>
        <w:t xml:space="preserve">磋商</w:t>
      </w:r>
      <w:r>
        <w:rPr>
          <w:rFonts w:ascii="宋体" w:hAnsi="宋体"/>
          <w:b/>
          <w:bCs/>
          <w:sz w:val="24"/>
          <w:highlight w:val="none"/>
        </w:rPr>
        <w:t xml:space="preserve">文件，响应无效。</w:t>
      </w:r>
      <w:r>
        <w:rPr>
          <w:rFonts w:ascii="宋体" w:hAnsi="宋体"/>
          <w:b/>
          <w:bCs/>
          <w:sz w:val="24"/>
          <w:highlight w:val="none"/>
        </w:rPr>
      </w:r>
      <w:r/>
    </w:p>
    <w:p>
      <w:pPr>
        <w:pStyle w:val="995"/>
        <w:ind w:firstLine="482"/>
        <w:jc w:val="left"/>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（二）文件要求：</w:t>
      </w:r>
      <w:r>
        <w:rPr>
          <w:rFonts w:hint="eastAsia" w:ascii="宋体" w:hAnsi="宋体" w:cs="宋体"/>
          <w:b/>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本项目采用电子网上招投标，请使用“苏州市政府采购客户端”工具制作电子响应文件，操作方法详见《苏州市政府采购交易管理系统供应商操作手册》（电子版）。并在电子响应文件解密截止时间之前对响应文件进行加密并上传，否则视为放弃参加该采购项目。</w:t>
      </w:r>
      <w:r>
        <w:rPr>
          <w:rFonts w:hint="eastAsia" w:ascii="宋体" w:hAnsi="宋体" w:cs="宋体"/>
          <w:sz w:val="24"/>
          <w:szCs w:val="24"/>
          <w:highlight w:val="none"/>
        </w:rPr>
      </w:r>
      <w:r/>
    </w:p>
    <w:p>
      <w:pPr>
        <w:pStyle w:val="995"/>
        <w:ind w:firstLine="482"/>
        <w:jc w:val="left"/>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（三）磋商综合说明：</w:t>
      </w:r>
      <w:r>
        <w:rPr>
          <w:rFonts w:hint="eastAsia" w:ascii="宋体" w:hAnsi="宋体" w:cs="宋体"/>
          <w:b/>
          <w:sz w:val="24"/>
          <w:szCs w:val="24"/>
          <w:highlight w:val="none"/>
        </w:rPr>
      </w:r>
      <w:r/>
    </w:p>
    <w:p>
      <w:pPr>
        <w:pStyle w:val="995"/>
        <w:numPr>
          <w:ilvl w:val="0"/>
          <w:numId w:val="10"/>
        </w:numPr>
        <w:ind w:left="0" w:firstLine="480"/>
        <w:jc w:val="left"/>
        <w:spacing w:line="360" w:lineRule="auto"/>
        <w:shd w:val="clear" w:color="auto" w:fill="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各供应商须对本项目全部内容进行响应，只报其中部分内容的，为无效报价，并不得出现选择性报价。</w:t>
      </w:r>
      <w:r>
        <w:rPr>
          <w:rFonts w:hint="eastAsia" w:ascii="宋体" w:hAnsi="宋体" w:cs="宋体"/>
          <w:sz w:val="24"/>
          <w:szCs w:val="24"/>
          <w:highlight w:val="none"/>
        </w:rPr>
      </w:r>
      <w:r/>
    </w:p>
    <w:p>
      <w:pPr>
        <w:pStyle w:val="995"/>
        <w:numPr>
          <w:ilvl w:val="0"/>
          <w:numId w:val="10"/>
        </w:numPr>
        <w:ind w:left="0" w:firstLine="480"/>
        <w:jc w:val="left"/>
        <w:spacing w:line="360" w:lineRule="auto"/>
        <w:shd w:val="clear" w:color="auto" w:fill="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供应商必须承诺磋商采购文件提出的全部要求，如果以其中某些条款不响应时，应在文件中列出。</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成交服务费：</w:t>
      </w:r>
      <w:r>
        <w:rPr>
          <w:rFonts w:hint="eastAsia" w:ascii="宋体" w:hAnsi="宋体" w:cs="宋体"/>
          <w:sz w:val="24"/>
          <w:szCs w:val="24"/>
          <w:highlight w:val="none"/>
          <w:lang w:val="en-US" w:eastAsia="zh-CN"/>
        </w:rPr>
        <w:t xml:space="preserve">详见前附表</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5"/>
        <w:numPr>
          <w:ilvl w:val="0"/>
          <w:numId w:val="10"/>
        </w:numPr>
        <w:ind w:left="0" w:firstLine="480"/>
        <w:jc w:val="left"/>
        <w:spacing w:line="360" w:lineRule="auto"/>
        <w:shd w:val="clear" w:color="auto" w:fill="auto"/>
        <w:tabs>
          <w:tab w:val="left" w:pos="425" w:leader="none"/>
          <w:tab w:val="left" w:pos="993" w:leader="none"/>
        </w:tabs>
        <w:rPr>
          <w:rFonts w:hint="eastAsia" w:ascii="宋体" w:hAnsi="宋体" w:cs="宋体"/>
          <w:sz w:val="24"/>
          <w:szCs w:val="24"/>
          <w:highlight w:val="none"/>
        </w:rPr>
      </w:pPr>
      <w:r>
        <w:rPr>
          <w:rFonts w:hint="eastAsia" w:ascii="宋体" w:hAnsi="宋体" w:cs="宋体"/>
          <w:sz w:val="24"/>
          <w:szCs w:val="24"/>
          <w:highlight w:val="none"/>
        </w:rPr>
        <w:t xml:space="preserve">知识产权：</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乙方应保证甲方免除且乙方承担由于甲方在其本国使用该设备所需的设备和设计或其任何一部分时而引起第三方提出的侵犯专利权、商标权或工业设计权的起诉、行动、行政程序索赔、请求等以及甲方为此而产生的损失和损害、费用和支出（包括律师费）。</w:t>
      </w:r>
      <w:r>
        <w:rPr>
          <w:rFonts w:hint="eastAsia" w:ascii="宋体" w:hAnsi="宋体" w:cs="宋体"/>
          <w:sz w:val="24"/>
          <w:szCs w:val="24"/>
          <w:highlight w:val="none"/>
        </w:rPr>
      </w:r>
      <w:r/>
    </w:p>
    <w:p>
      <w:pPr>
        <w:pStyle w:val="995"/>
        <w:ind w:firstLine="480"/>
        <w:jc w:val="left"/>
        <w:spacing w:line="360" w:lineRule="auto"/>
        <w:shd w:val="clear" w:color="auto" w:fill="auto"/>
        <w:tabs>
          <w:tab w:val="left" w:pos="425" w:leader="none"/>
        </w:tabs>
        <w:rPr>
          <w:rFonts w:ascii="宋体" w:hAnsi="宋体"/>
          <w:sz w:val="24"/>
          <w:szCs w:val="24"/>
          <w:highlight w:val="none"/>
        </w:rPr>
      </w:pPr>
      <w:r>
        <w:rPr>
          <w:rFonts w:hint="eastAsia" w:ascii="宋体" w:hAnsi="宋体"/>
          <w:sz w:val="24"/>
          <w:szCs w:val="24"/>
          <w:highlight w:val="none"/>
        </w:rPr>
        <w:t xml:space="preserve">5.磋商说明：</w:t>
      </w:r>
      <w:r>
        <w:rPr>
          <w:rFonts w:ascii="宋体" w:hAnsi="宋体"/>
          <w:sz w:val="24"/>
          <w:szCs w:val="24"/>
          <w:highlight w:val="none"/>
        </w:rPr>
      </w:r>
      <w:r/>
    </w:p>
    <w:p>
      <w:pPr>
        <w:pStyle w:val="995"/>
        <w:ind w:left="420"/>
        <w:jc w:val="left"/>
        <w:spacing w:line="360" w:lineRule="auto"/>
        <w:shd w:val="clear" w:color="auto" w:fill="auto"/>
        <w:tabs>
          <w:tab w:val="left" w:pos="420" w:leader="none"/>
        </w:tabs>
        <w:rPr>
          <w:rFonts w:ascii="宋体" w:hAnsi="宋体"/>
          <w:sz w:val="24"/>
          <w:szCs w:val="24"/>
          <w:highlight w:val="none"/>
        </w:rPr>
      </w:pPr>
      <w:r>
        <w:rPr>
          <w:rFonts w:hint="eastAsia" w:ascii="宋体" w:hAnsi="宋体"/>
          <w:sz w:val="24"/>
          <w:szCs w:val="24"/>
          <w:highlight w:val="none"/>
        </w:rPr>
        <w:t xml:space="preserve">（1）参加磋商的供应商必须提供磋商代表的身份证明原件（法定代表人为磋商代表的可不提供）；</w:t>
      </w:r>
      <w:r>
        <w:rPr>
          <w:rFonts w:ascii="宋体" w:hAnsi="宋体"/>
          <w:sz w:val="24"/>
          <w:szCs w:val="24"/>
          <w:highlight w:val="none"/>
        </w:rPr>
      </w:r>
      <w:r/>
    </w:p>
    <w:p>
      <w:pPr>
        <w:pStyle w:val="995"/>
        <w:ind w:left="420"/>
        <w:jc w:val="left"/>
        <w:spacing w:line="360" w:lineRule="auto"/>
        <w:shd w:val="clear" w:color="auto" w:fill="auto"/>
        <w:tabs>
          <w:tab w:val="left" w:pos="420" w:leader="none"/>
        </w:tabs>
        <w:rPr>
          <w:rFonts w:ascii="宋体" w:hAnsi="宋体"/>
          <w:sz w:val="24"/>
          <w:szCs w:val="24"/>
          <w:highlight w:val="none"/>
        </w:rPr>
      </w:pPr>
      <w:r>
        <w:rPr>
          <w:rFonts w:hint="eastAsia" w:ascii="宋体" w:hAnsi="宋体"/>
          <w:sz w:val="24"/>
          <w:szCs w:val="24"/>
          <w:highlight w:val="none"/>
        </w:rPr>
        <w:t xml:space="preserve">（2）磋商响应文件的签署不符合要求的，磋商响应文件将被拒绝；</w:t>
      </w:r>
      <w:r>
        <w:rPr>
          <w:rFonts w:ascii="宋体" w:hAnsi="宋体"/>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（3）响应文件属下列情况之一的，磋商小组将</w:t>
      </w:r>
      <w:r>
        <w:rPr>
          <w:rFonts w:hint="eastAsia" w:ascii="宋体" w:hAnsi="宋体"/>
          <w:b/>
          <w:sz w:val="24"/>
          <w:szCs w:val="24"/>
          <w:highlight w:val="none"/>
        </w:rPr>
        <w:t xml:space="preserve">按</w:t>
      </w:r>
      <w:r>
        <w:rPr>
          <w:rFonts w:hint="eastAsia" w:ascii="宋体" w:hAnsi="宋体"/>
          <w:b/>
          <w:sz w:val="24"/>
          <w:szCs w:val="24"/>
          <w:highlight w:val="none"/>
          <w:lang w:eastAsia="zh-CN"/>
        </w:rPr>
        <w:t xml:space="preserve">无效响应</w:t>
      </w:r>
      <w:r>
        <w:rPr>
          <w:rFonts w:hint="eastAsia" w:ascii="宋体" w:hAnsi="宋体"/>
          <w:b/>
          <w:sz w:val="24"/>
          <w:szCs w:val="24"/>
          <w:highlight w:val="none"/>
        </w:rPr>
        <w:t xml:space="preserve">处理</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1）响应文件载明的投标有效期短于磋商文件规定；</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2）响应文件载明的招标项目完成期限不满足磋商文件规定；</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3）响应文件载明的履约保证、付款方式不满足磋商文件规定；</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4）响应文件未按磋商文件规定的格式填写或递交，内容不全或关键字迹模糊、无法辨认的，从而影响响应文件有效性；</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5）不同供应商的响应文件以及响应文件制作过程出现了磋商小组认为不应当雷同的情况的；</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6）不同供应商的响应文件存在“视为串通投标”的情形；</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7）供应商的报价存在选择性的；</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8）供应商的报价或响应只响应了项目中部分招标内容；</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9）供应商拒绝修正错误影响评标的；</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10）响应文件不符合磋商文件规定的其他实质性条款；</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11）响应文件存在磋商文件规定的其他</w:t>
      </w:r>
      <w:r>
        <w:rPr>
          <w:rFonts w:hint="eastAsia" w:ascii="宋体" w:hAnsi="宋体"/>
          <w:bCs/>
          <w:sz w:val="24"/>
          <w:szCs w:val="24"/>
          <w:highlight w:val="none"/>
          <w:lang w:eastAsia="zh-CN"/>
        </w:rPr>
        <w:t xml:space="preserve">无效响应</w:t>
      </w:r>
      <w:r>
        <w:rPr>
          <w:rFonts w:hint="eastAsia" w:ascii="宋体" w:hAnsi="宋体"/>
          <w:bCs/>
          <w:sz w:val="24"/>
          <w:szCs w:val="24"/>
          <w:highlight w:val="none"/>
        </w:rPr>
        <w:t xml:space="preserve">情形的；</w:t>
      </w:r>
      <w:r>
        <w:rPr>
          <w:rFonts w:hint="eastAsia" w:ascii="宋体" w:hAnsi="宋体"/>
          <w:bCs/>
          <w:sz w:val="24"/>
          <w:szCs w:val="24"/>
          <w:highlight w:val="none"/>
        </w:rPr>
      </w:r>
      <w:r/>
    </w:p>
    <w:p>
      <w:pPr>
        <w:pStyle w:val="995"/>
        <w:ind w:firstLine="480"/>
        <w:spacing w:line="360" w:lineRule="auto"/>
        <w:shd w:val="clear" w:color="auto" w:fill="auto"/>
        <w:tabs>
          <w:tab w:val="left" w:pos="753" w:leader="none"/>
        </w:tabs>
        <w:rPr>
          <w:rFonts w:hint="eastAsia" w:ascii="宋体" w:hAnsi="宋体"/>
          <w:bCs/>
          <w:sz w:val="24"/>
          <w:szCs w:val="24"/>
          <w:highlight w:val="none"/>
        </w:rPr>
      </w:pPr>
      <w:r>
        <w:rPr>
          <w:rFonts w:hint="eastAsia" w:ascii="宋体" w:hAnsi="宋体"/>
          <w:bCs/>
          <w:sz w:val="24"/>
          <w:szCs w:val="24"/>
          <w:highlight w:val="none"/>
        </w:rPr>
        <w:t xml:space="preserve">12）供应商的响应报价（含最后报价）超过采购预算（含每</w:t>
      </w:r>
      <w:r>
        <w:rPr>
          <w:rFonts w:hint="eastAsia" w:ascii="宋体" w:hAnsi="宋体"/>
          <w:bCs/>
          <w:sz w:val="24"/>
          <w:szCs w:val="24"/>
          <w:highlight w:val="none"/>
          <w:lang w:eastAsia="zh-CN"/>
        </w:rPr>
        <w:t xml:space="preserve">采购包</w:t>
      </w:r>
      <w:r>
        <w:rPr>
          <w:rFonts w:hint="eastAsia" w:ascii="宋体" w:hAnsi="宋体"/>
          <w:bCs/>
          <w:sz w:val="24"/>
          <w:szCs w:val="24"/>
          <w:highlight w:val="none"/>
        </w:rPr>
        <w:t xml:space="preserve">预算）的；</w:t>
      </w:r>
      <w:r>
        <w:rPr>
          <w:rFonts w:hint="eastAsia" w:ascii="宋体" w:hAnsi="宋体"/>
          <w:bCs/>
          <w:sz w:val="24"/>
          <w:szCs w:val="24"/>
          <w:highlight w:val="none"/>
        </w:rPr>
      </w:r>
      <w:r/>
    </w:p>
    <w:p>
      <w:pPr>
        <w:pStyle w:val="1013"/>
        <w:ind w:firstLine="480"/>
        <w:shd w:val="clear" w:color="auto" w:fill="auto"/>
        <w:rPr>
          <w:rFonts w:hint="eastAsia"/>
          <w:highlight w:val="none"/>
        </w:rPr>
      </w:pPr>
      <w:r>
        <w:rPr>
          <w:rFonts w:hint="eastAsia" w:ascii="宋体" w:hAnsi="宋体"/>
          <w:bCs/>
          <w:sz w:val="24"/>
          <w:szCs w:val="24"/>
          <w:highlight w:val="none"/>
        </w:rPr>
        <w:t xml:space="preserve">13）不同供应商响应文件‘机器码一致’的；</w:t>
      </w:r>
      <w:r>
        <w:rPr>
          <w:rFonts w:hint="eastAsia"/>
          <w:highlight w:val="none"/>
        </w:rPr>
      </w:r>
      <w:r/>
    </w:p>
    <w:p>
      <w:pPr>
        <w:pStyle w:val="995"/>
        <w:ind w:firstLine="480"/>
        <w:jc w:val="left"/>
        <w:spacing w:line="360" w:lineRule="auto"/>
        <w:shd w:val="clear" w:color="auto" w:fill="auto"/>
        <w:tabs>
          <w:tab w:val="left" w:pos="420" w:leader="none"/>
        </w:tabs>
        <w:rPr>
          <w:rFonts w:hint="eastAsia" w:ascii="宋体" w:hAnsi="宋体" w:cs="宋体"/>
          <w:sz w:val="24"/>
          <w:szCs w:val="24"/>
          <w:highlight w:val="none"/>
        </w:rPr>
      </w:pPr>
      <w:r>
        <w:rPr>
          <w:rFonts w:hint="eastAsia" w:ascii="宋体" w:hAnsi="宋体"/>
          <w:bCs/>
          <w:sz w:val="24"/>
          <w:szCs w:val="24"/>
          <w:highlight w:val="none"/>
        </w:rPr>
        <w:t xml:space="preserve">14）供应商资格不符合磋商文件要求的。</w:t>
      </w:r>
      <w:r>
        <w:rPr>
          <w:rFonts w:hint="eastAsia" w:ascii="宋体" w:hAnsi="宋体" w:cs="宋体"/>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cs="宋体"/>
          <w:sz w:val="24"/>
          <w:szCs w:val="24"/>
          <w:highlight w:val="none"/>
        </w:rPr>
      </w:pPr>
      <w:r>
        <w:rPr>
          <w:rFonts w:hint="eastAsia" w:ascii="宋体" w:hAnsi="宋体" w:cs="宋体"/>
          <w:sz w:val="24"/>
          <w:szCs w:val="24"/>
          <w:highlight w:val="none"/>
        </w:rPr>
        <w:t xml:space="preserve">6.项目的终止</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出现下列情形之一的，将终止采购活动：</w:t>
      </w:r>
      <w:r>
        <w:rPr>
          <w:rFonts w:hint="eastAsia" w:ascii="宋体" w:hAnsi="宋体" w:cs="宋体"/>
          <w:sz w:val="24"/>
          <w:szCs w:val="24"/>
          <w:highlight w:val="none"/>
        </w:rPr>
      </w:r>
      <w:r/>
    </w:p>
    <w:p>
      <w:pPr>
        <w:pStyle w:val="995"/>
        <w:numPr>
          <w:ilvl w:val="0"/>
          <w:numId w:val="11"/>
        </w:numPr>
        <w:ind w:left="0" w:firstLine="480"/>
        <w:jc w:val="left"/>
        <w:spacing w:line="360" w:lineRule="auto"/>
        <w:shd w:val="clear" w:color="auto" w:fill="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因情况变化，不再符合规定的竞争性磋商采购方式适用情形的；</w:t>
      </w:r>
      <w:r>
        <w:rPr>
          <w:rFonts w:hint="eastAsia" w:ascii="宋体" w:hAnsi="宋体" w:cs="宋体"/>
          <w:sz w:val="24"/>
          <w:szCs w:val="24"/>
          <w:highlight w:val="none"/>
        </w:rPr>
      </w:r>
      <w:r/>
    </w:p>
    <w:p>
      <w:pPr>
        <w:pStyle w:val="995"/>
        <w:numPr>
          <w:ilvl w:val="0"/>
          <w:numId w:val="11"/>
        </w:numPr>
        <w:ind w:left="0" w:firstLine="480"/>
        <w:jc w:val="left"/>
        <w:spacing w:line="360" w:lineRule="auto"/>
        <w:shd w:val="clear" w:color="auto" w:fill="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出现影响采购公正的违法、违规行为的；</w:t>
      </w:r>
      <w:r>
        <w:rPr>
          <w:rFonts w:hint="eastAsia" w:ascii="宋体" w:hAnsi="宋体" w:cs="宋体"/>
          <w:sz w:val="24"/>
          <w:szCs w:val="24"/>
          <w:highlight w:val="none"/>
        </w:rPr>
      </w:r>
      <w:r/>
    </w:p>
    <w:p>
      <w:pPr>
        <w:pStyle w:val="995"/>
        <w:numPr>
          <w:ilvl w:val="0"/>
          <w:numId w:val="11"/>
        </w:numPr>
        <w:ind w:left="0" w:firstLine="480"/>
        <w:jc w:val="left"/>
        <w:spacing w:line="360" w:lineRule="auto"/>
        <w:shd w:val="clear" w:color="auto" w:fill="auto"/>
        <w:tabs>
          <w:tab w:val="left" w:pos="420" w:leader="none"/>
        </w:tabs>
        <w:rPr>
          <w:rFonts w:hint="eastAsia" w:ascii="宋体" w:hAnsi="宋体" w:cs="宋体"/>
          <w:sz w:val="24"/>
          <w:szCs w:val="24"/>
          <w:highlight w:val="none"/>
        </w:rPr>
      </w:pPr>
      <w:r>
        <w:rPr>
          <w:rFonts w:hint="eastAsia" w:ascii="宋体" w:hAnsi="宋体" w:cs="宋体"/>
          <w:sz w:val="24"/>
          <w:szCs w:val="24"/>
          <w:highlight w:val="none"/>
        </w:rPr>
        <w:t xml:space="preserve">在采购过程中符合竞争要求的供应商或者报价未超过采购预算</w:t>
      </w:r>
      <w:r>
        <w:rPr>
          <w:rFonts w:hint="eastAsia" w:ascii="宋体" w:hAnsi="宋体"/>
          <w:bCs/>
          <w:sz w:val="24"/>
          <w:szCs w:val="24"/>
          <w:highlight w:val="none"/>
        </w:rPr>
        <w:t xml:space="preserve">（含每</w:t>
      </w:r>
      <w:r>
        <w:rPr>
          <w:rFonts w:hint="eastAsia" w:ascii="宋体" w:hAnsi="宋体"/>
          <w:bCs/>
          <w:sz w:val="24"/>
          <w:szCs w:val="24"/>
          <w:highlight w:val="none"/>
          <w:lang w:eastAsia="zh-CN"/>
        </w:rPr>
        <w:t xml:space="preserve">采购包</w:t>
      </w:r>
      <w:r>
        <w:rPr>
          <w:rFonts w:hint="eastAsia" w:ascii="宋体" w:hAnsi="宋体"/>
          <w:bCs/>
          <w:sz w:val="24"/>
          <w:szCs w:val="24"/>
          <w:highlight w:val="none"/>
        </w:rPr>
        <w:t xml:space="preserve">预算）</w:t>
      </w:r>
      <w:r>
        <w:rPr>
          <w:rFonts w:hint="eastAsia" w:ascii="宋体" w:hAnsi="宋体" w:cs="宋体"/>
          <w:sz w:val="24"/>
          <w:szCs w:val="24"/>
          <w:highlight w:val="none"/>
        </w:rPr>
        <w:t xml:space="preserve">的供应商不足三家的。</w:t>
      </w:r>
      <w:r>
        <w:rPr>
          <w:rFonts w:hint="eastAsia" w:ascii="宋体" w:hAnsi="宋体" w:cs="宋体"/>
          <w:sz w:val="24"/>
          <w:szCs w:val="24"/>
          <w:highlight w:val="none"/>
        </w:rPr>
      </w:r>
      <w:r/>
    </w:p>
    <w:p>
      <w:pPr>
        <w:pStyle w:val="1074"/>
        <w:ind w:firstLine="480"/>
        <w:shd w:val="clear" w:color="auto" w:fill="auto"/>
        <w:rPr>
          <w:rFonts w:hint="eastAsia" w:hAnsi="宋体" w:cs="宋体"/>
          <w:color w:val="000000"/>
          <w:highlight w:val="none"/>
        </w:rPr>
      </w:pPr>
      <w:r>
        <w:rPr>
          <w:rFonts w:hint="eastAsia" w:hAnsi="宋体" w:cs="宋体"/>
          <w:color w:val="000000"/>
          <w:highlight w:val="none"/>
        </w:rPr>
        <w:t xml:space="preserve">注：采用竞争性磋商采购方式采购的政府购买服务项目，在采购过程中符合要求的供应商只有2家的，竞争性磋商采购活动可以继续进行。</w:t>
      </w:r>
      <w:r>
        <w:rPr>
          <w:rFonts w:hint="eastAsia" w:hAnsi="宋体" w:cs="宋体"/>
          <w:color w:val="000000"/>
          <w:highlight w:val="none"/>
        </w:rPr>
      </w:r>
      <w:r/>
    </w:p>
    <w:p>
      <w:pPr>
        <w:pStyle w:val="995"/>
        <w:ind w:firstLine="480"/>
        <w:jc w:val="left"/>
        <w:spacing w:line="360" w:lineRule="auto"/>
        <w:shd w:val="clear" w:color="auto" w:fill="auto"/>
        <w:tabs>
          <w:tab w:val="left" w:pos="425" w:leader="none"/>
        </w:tabs>
        <w:rPr>
          <w:rFonts w:hint="eastAsia" w:ascii="宋体" w:hAnsi="宋体" w:cs="宋体"/>
          <w:sz w:val="24"/>
          <w:szCs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采购单位或其委托的代理机构根据相关规定发布成交公告，成交公告发出的同时应当向</w:t>
      </w:r>
      <w:r>
        <w:rPr>
          <w:rFonts w:hint="eastAsia" w:ascii="宋体" w:hAnsi="宋体" w:cs="宋体"/>
          <w:color w:val="000000"/>
          <w:sz w:val="24"/>
          <w:highlight w:val="none"/>
          <w:lang w:eastAsia="zh-CN"/>
        </w:rPr>
        <w:t xml:space="preserve">成交单位</w:t>
      </w:r>
      <w:r>
        <w:rPr>
          <w:rFonts w:hint="eastAsia" w:ascii="宋体" w:hAnsi="宋体" w:cs="宋体"/>
          <w:color w:val="000000"/>
          <w:sz w:val="24"/>
          <w:highlight w:val="none"/>
        </w:rPr>
        <w:t xml:space="preserve">发出《成交通知书》。请</w:t>
      </w:r>
      <w:r>
        <w:rPr>
          <w:rFonts w:hint="eastAsia" w:ascii="宋体" w:hAnsi="宋体" w:cs="宋体"/>
          <w:color w:val="000000"/>
          <w:sz w:val="24"/>
          <w:highlight w:val="none"/>
          <w:lang w:eastAsia="zh-CN"/>
        </w:rPr>
        <w:t xml:space="preserve">成交单位</w:t>
      </w:r>
      <w:r>
        <w:rPr>
          <w:rFonts w:hint="eastAsia" w:ascii="宋体" w:hAnsi="宋体" w:cs="宋体"/>
          <w:color w:val="000000"/>
          <w:sz w:val="24"/>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ascii="宋体" w:hAnsi="宋体" w:cs="宋体"/>
          <w:color w:val="000000"/>
          <w:sz w:val="24"/>
          <w:highlight w:val="none"/>
          <w:lang w:eastAsia="zh-CN"/>
        </w:rPr>
        <w:t xml:space="preserve">成交单位</w:t>
      </w:r>
      <w:r>
        <w:rPr>
          <w:rFonts w:hint="eastAsia" w:ascii="宋体" w:hAnsi="宋体" w:cs="宋体"/>
          <w:color w:val="000000"/>
          <w:sz w:val="24"/>
          <w:highlight w:val="none"/>
        </w:rPr>
        <w:t xml:space="preserve">自行承担）；对未通过资格审查的供应商，应当告知其未通过的原因；未</w:t>
      </w:r>
      <w:r>
        <w:rPr>
          <w:rFonts w:hint="eastAsia" w:ascii="宋体" w:hAnsi="宋体" w:cs="宋体"/>
          <w:color w:val="000000"/>
          <w:sz w:val="24"/>
          <w:highlight w:val="none"/>
          <w:lang w:eastAsia="zh-CN"/>
        </w:rPr>
        <w:t xml:space="preserve">成交单位</w:t>
      </w:r>
      <w:r>
        <w:rPr>
          <w:rFonts w:hint="eastAsia" w:ascii="宋体" w:hAnsi="宋体" w:cs="宋体"/>
          <w:color w:val="000000"/>
          <w:sz w:val="24"/>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5"/>
        <w:ind w:firstLine="480"/>
        <w:jc w:val="left"/>
        <w:spacing w:line="360" w:lineRule="auto"/>
        <w:shd w:val="clear" w:color="auto" w:fill="auto"/>
        <w:tabs>
          <w:tab w:val="left" w:pos="425" w:leader="none"/>
        </w:tabs>
        <w:rPr>
          <w:rFonts w:hint="eastAsia" w:ascii="宋体" w:hAnsi="宋体" w:cs="宋体"/>
          <w:b/>
          <w:sz w:val="24"/>
          <w:szCs w:val="24"/>
          <w:highlight w:val="none"/>
        </w:rPr>
      </w:pPr>
      <w:r>
        <w:rPr>
          <w:rFonts w:hint="eastAsia" w:ascii="宋体" w:hAnsi="宋体" w:cs="宋体"/>
          <w:sz w:val="24"/>
          <w:szCs w:val="24"/>
          <w:highlight w:val="none"/>
        </w:rPr>
        <w:t xml:space="preserve">8.凡涉及磋商采购文件的补充说明和修改，均以苏州政府采购网上发布的通知为准。</w:t>
      </w:r>
      <w:r>
        <w:rPr>
          <w:rFonts w:hint="eastAsia" w:ascii="宋体" w:hAnsi="宋体" w:cs="宋体"/>
          <w:b/>
          <w:sz w:val="24"/>
          <w:szCs w:val="24"/>
          <w:highlight w:val="none"/>
        </w:rPr>
      </w:r>
      <w:r/>
    </w:p>
    <w:p>
      <w:pPr>
        <w:pStyle w:val="995"/>
        <w:ind w:firstLine="482"/>
        <w:jc w:val="left"/>
        <w:spacing w:line="360" w:lineRule="auto"/>
        <w:shd w:val="clear" w:color="auto" w:fill="auto"/>
        <w:tabs>
          <w:tab w:val="left" w:pos="425"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9.落实政府采购政策：</w:t>
      </w:r>
      <w:r>
        <w:rPr>
          <w:rFonts w:hint="eastAsia" w:ascii="宋体" w:hAnsi="宋体" w:cs="宋体"/>
          <w:b/>
          <w:bCs/>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sz w:val="24"/>
          <w:szCs w:val="24"/>
          <w:highlight w:val="none"/>
        </w:rPr>
        <w:t xml:space="preserve">9.1</w:t>
      </w:r>
      <w:r>
        <w:rPr>
          <w:rFonts w:hint="eastAsia" w:ascii="宋体" w:hAnsi="宋体" w:cs="宋体"/>
          <w:sz w:val="24"/>
          <w:szCs w:val="24"/>
          <w:highlight w:val="none"/>
        </w:rPr>
        <w:t xml:space="preserve">根据</w:t>
      </w:r>
      <w:r>
        <w:rPr>
          <w:rFonts w:hint="eastAsia" w:ascii="宋体" w:hAnsi="宋体" w:cs="宋体"/>
          <w:sz w:val="24"/>
          <w:szCs w:val="22"/>
          <w:highlight w:val="none"/>
        </w:rPr>
        <w:t xml:space="preserve">财政部、工业和信息化部关于印发意见“财库〔2020〕46号” 关于印发《政府采购促进中小企业发展管理办法》的通知规定和</w:t>
      </w:r>
      <w:r>
        <w:rPr>
          <w:rFonts w:hint="eastAsia" w:ascii="宋体" w:hAnsi="宋体" w:cs="宋体"/>
          <w:sz w:val="24"/>
          <w:szCs w:val="24"/>
          <w:highlight w:val="none"/>
        </w:rPr>
        <w:t xml:space="preserve">苏州市财政局《关于贯彻执行绿色采购、促进残疾人就业和支持监狱企业发展有关政策的通知》（苏财购（2019）10号）文件的规定：</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（一）节能产品和环境标志产品</w:t>
      </w:r>
      <w:r>
        <w:rPr>
          <w:rFonts w:hint="eastAsia"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本次拟采购的产品属于《节能产品政府采购品目清单》中强制采购范围内产品，各</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w:t>
      </w:r>
      <w:r>
        <w:rPr>
          <w:rFonts w:hint="eastAsia" w:ascii="宋体" w:hAnsi="宋体" w:cs="宋体"/>
          <w:sz w:val="24"/>
          <w:szCs w:val="24"/>
          <w:highlight w:val="none"/>
          <w:lang w:eastAsia="zh-CN"/>
        </w:rPr>
        <w:t xml:space="preserve">无效响应</w:t>
      </w:r>
      <w:r>
        <w:rPr>
          <w:rFonts w:hint="eastAsia" w:ascii="宋体" w:hAnsi="宋体" w:cs="宋体"/>
          <w:sz w:val="24"/>
          <w:szCs w:val="24"/>
          <w:highlight w:val="none"/>
        </w:rPr>
        <w:t xml:space="preserve">。本项目不涉及节能产品和环境标志产品。</w:t>
      </w:r>
      <w:r>
        <w:rPr>
          <w:rFonts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提供获得国家确定的认证机构出具的、有效期之内的节能产品、环境标志产品认证证书的产品，上述品目清单可通过“中国政府采购网”（http://www.ccgp.gov.cn）查询</w:t>
      </w:r>
      <w:r>
        <w:rPr>
          <w:rFonts w:ascii="宋体" w:hAnsi="宋体" w:cs="宋体"/>
          <w:sz w:val="24"/>
          <w:szCs w:val="24"/>
          <w:highlight w:val="none"/>
        </w:rPr>
        <w:t xml:space="preserve">。 </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（二）促进中小企业发展、残疾人就业和支持监狱企业发展有关政策：</w:t>
      </w:r>
      <w:r>
        <w:rPr>
          <w:rFonts w:hint="eastAsia" w:ascii="宋体" w:hAnsi="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（1）本项目为</w:t>
      </w:r>
      <w:r>
        <w:rPr>
          <w:rFonts w:hint="eastAsia" w:ascii="宋体" w:hAnsi="宋体" w:cs="宋体"/>
          <w:b/>
          <w:bCs/>
          <w:sz w:val="24"/>
          <w:szCs w:val="24"/>
          <w:highlight w:val="none"/>
          <w:u w:val="single"/>
        </w:rPr>
        <w:t xml:space="preserve">专门面向中小企业采购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b/>
          <w:bCs/>
          <w:sz w:val="24"/>
          <w:szCs w:val="24"/>
          <w:highlight w:val="none"/>
        </w:rPr>
      </w:pPr>
      <w:r>
        <w:rPr>
          <w:rFonts w:hint="eastAsia" w:ascii="宋体" w:hAnsi="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w:t>
      </w:r>
      <w:r>
        <w:rPr>
          <w:rFonts w:hint="eastAsia" w:ascii="宋体" w:hAnsi="宋体" w:cs="宋体"/>
          <w:b/>
          <w:bCs/>
          <w:sz w:val="24"/>
          <w:szCs w:val="24"/>
          <w:highlight w:val="none"/>
        </w:rPr>
        <w:t xml:space="preserve">则需根据《中小企业划型标准规定》（工信部联企业〔2011〕300号）提交《中小企业声明函》并加盖公章，《中小企业声明函》中所填的行业应与本采购标的对应的中小企业划分标准所属行业一致，声明函未签公章或未提交声明函或所提交的声明函中行业与本采购标的对应的中小企业划分标准所属行业不一致不享受相关政策。</w:t>
      </w:r>
      <w:r>
        <w:rPr>
          <w:rFonts w:hint="eastAsia" w:ascii="宋体" w:hAnsi="宋体" w:cs="宋体"/>
          <w:b/>
          <w:bCs/>
          <w:sz w:val="24"/>
          <w:szCs w:val="24"/>
          <w:highlight w:val="none"/>
        </w:rPr>
      </w:r>
      <w:r/>
    </w:p>
    <w:p>
      <w:pPr>
        <w:pStyle w:val="995"/>
        <w:ind w:firstLine="480"/>
        <w:spacing w:line="360" w:lineRule="auto"/>
        <w:shd w:val="clear" w:color="auto" w:fill="auto"/>
        <w:rPr>
          <w:rFonts w:hint="eastAsia" w:ascii="宋体" w:hAnsi="宋体" w:cs="宋体"/>
          <w:b/>
          <w:bCs/>
          <w:sz w:val="24"/>
          <w:szCs w:val="24"/>
          <w:highlight w:val="none"/>
          <w:u w:val="single"/>
        </w:rPr>
      </w:pPr>
      <w:r>
        <w:rPr>
          <w:rFonts w:hint="eastAsia" w:ascii="宋体" w:hAnsi="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i/>
          <w:iCs/>
          <w:sz w:val="24"/>
          <w:szCs w:val="24"/>
          <w:highlight w:val="none"/>
          <w:u w:val="single"/>
        </w:rPr>
        <w:t xml:space="preserve">服务类项目中供应商若使用退休人员，将不享受相关扶持政策。</w:t>
      </w:r>
      <w:r>
        <w:rPr>
          <w:rFonts w:hint="eastAsia" w:ascii="宋体" w:hAnsi="宋体" w:cs="宋体"/>
          <w:b/>
          <w:bCs/>
          <w:sz w:val="24"/>
          <w:szCs w:val="24"/>
          <w:highlight w:val="none"/>
          <w:u w:val="single"/>
        </w:rPr>
      </w:r>
      <w:r/>
    </w:p>
    <w:p>
      <w:pPr>
        <w:pStyle w:val="995"/>
        <w:ind w:firstLine="482"/>
        <w:spacing w:line="360" w:lineRule="auto"/>
        <w:shd w:val="clear" w:color="auto" w:fill="auto"/>
        <w:rPr>
          <w:rFonts w:hint="eastAsia" w:ascii="宋体" w:hAnsi="宋体" w:cs="宋体"/>
          <w:b/>
          <w:bCs/>
          <w:sz w:val="24"/>
          <w:szCs w:val="24"/>
          <w:highlight w:val="none"/>
        </w:rPr>
      </w:pPr>
      <w:r>
        <w:rPr>
          <w:rFonts w:hint="eastAsia" w:ascii="宋体" w:hAnsi="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i/>
          <w:iCs/>
          <w:sz w:val="24"/>
          <w:szCs w:val="24"/>
          <w:highlight w:val="none"/>
          <w:u w:val="single"/>
          <w:lang w:eastAsia="zh-CN"/>
        </w:rPr>
        <w:t xml:space="preserve">租赁和商务服务业</w:t>
      </w:r>
      <w:r>
        <w:rPr>
          <w:rFonts w:hint="eastAsia" w:ascii="宋体" w:hAnsi="宋体" w:cs="宋体"/>
          <w:b/>
          <w:bCs/>
          <w:i/>
          <w:iCs/>
          <w:sz w:val="24"/>
          <w:szCs w:val="24"/>
          <w:highlight w:val="none"/>
        </w:rPr>
        <w:t xml:space="preserve">。</w:t>
      </w:r>
      <w:r>
        <w:rPr>
          <w:rFonts w:hint="eastAsia" w:ascii="宋体" w:hAnsi="宋体" w:cs="宋体"/>
          <w:b/>
          <w:bCs/>
          <w:sz w:val="24"/>
          <w:szCs w:val="24"/>
          <w:highlight w:val="none"/>
        </w:rPr>
      </w:r>
      <w:r/>
    </w:p>
    <w:p>
      <w:pPr>
        <w:pStyle w:val="995"/>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cs="宋体"/>
          <w:b/>
          <w:color w:val="000000"/>
          <w:sz w:val="24"/>
          <w:szCs w:val="24"/>
          <w:highlight w:val="none"/>
        </w:rPr>
      </w:r>
      <w:r/>
    </w:p>
    <w:p>
      <w:pPr>
        <w:pStyle w:val="995"/>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szCs w:val="24"/>
          <w:highlight w:val="none"/>
        </w:rPr>
        <w:t xml:space="preserve">（3）</w:t>
      </w:r>
      <w:r>
        <w:rPr>
          <w:rFonts w:hint="eastAsia" w:ascii="宋体" w:hAnsi="宋体" w:cs="宋体"/>
          <w:sz w:val="24"/>
          <w:highlight w:val="none"/>
        </w:rPr>
        <w:t xml:space="preserve">残疾人福利性单位</w:t>
      </w:r>
      <w:r>
        <w:rPr>
          <w:rFonts w:hint="eastAsia" w:ascii="宋体" w:hAnsi="宋体" w:cs="宋体"/>
          <w:sz w:val="24"/>
          <w:highlight w:val="none"/>
        </w:rPr>
      </w:r>
      <w:r/>
    </w:p>
    <w:p>
      <w:pPr>
        <w:pStyle w:val="995"/>
        <w:ind w:firstLine="480"/>
        <w:jc w:val="left"/>
        <w:spacing w:line="360" w:lineRule="auto"/>
        <w:shd w:val="clear" w:color="auto" w:fill="auto"/>
        <w:rPr>
          <w:rFonts w:hint="eastAsia" w:ascii="宋体" w:hAnsi="宋体" w:cs="宋体"/>
          <w:b/>
          <w:bCs/>
          <w:i/>
          <w:iCs/>
          <w:sz w:val="24"/>
          <w:highlight w:val="none"/>
          <w:u w:val="single"/>
        </w:rPr>
      </w:pPr>
      <w:r>
        <w:rPr>
          <w:rFonts w:hint="eastAsia" w:ascii="宋体" w:hAnsi="宋体" w:cs="宋体"/>
          <w:sz w:val="24"/>
          <w:highlight w:val="none"/>
        </w:rPr>
        <w:t xml:space="preserve">根据《关于促进残疾人就业政府采购政策的通知》（财库〔2017〕141号）的相关规定，在政府采购活动中残疾人福利性单位视同小型、微型企业。</w:t>
      </w:r>
      <w:r>
        <w:rPr>
          <w:rFonts w:hint="eastAsia" w:ascii="宋体" w:hAnsi="宋体" w:cs="宋体"/>
          <w:b/>
          <w:bCs/>
          <w:i/>
          <w:iCs/>
          <w:sz w:val="24"/>
          <w:highlight w:val="none"/>
          <w:u w:val="single"/>
        </w:rPr>
        <w:t xml:space="preserve">符合条件的残疾人福利性单位，应提交《残疾人福利性单位声明函》，并对声明的真实性负责，未提交则视为未实质性响应采购文件。</w:t>
      </w:r>
      <w:r>
        <w:rPr>
          <w:rFonts w:hint="eastAsia" w:ascii="宋体" w:hAnsi="宋体" w:cs="宋体"/>
          <w:b/>
          <w:bCs/>
          <w:i/>
          <w:iCs/>
          <w:sz w:val="24"/>
          <w:highlight w:val="none"/>
          <w:u w:val="single"/>
        </w:rPr>
      </w:r>
      <w:r/>
    </w:p>
    <w:p>
      <w:pPr>
        <w:pStyle w:val="995"/>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szCs w:val="24"/>
          <w:highlight w:val="none"/>
        </w:rPr>
        <w:t xml:space="preserve">（4）</w:t>
      </w:r>
      <w:r>
        <w:rPr>
          <w:rFonts w:hint="eastAsia" w:ascii="宋体" w:hAnsi="宋体" w:cs="宋体"/>
          <w:sz w:val="24"/>
          <w:highlight w:val="none"/>
        </w:rPr>
        <w:t xml:space="preserve">监狱企业</w:t>
      </w:r>
      <w:r>
        <w:rPr>
          <w:rFonts w:hint="eastAsia" w:ascii="宋体" w:hAnsi="宋体" w:cs="宋体"/>
          <w:sz w:val="24"/>
          <w:highlight w:val="none"/>
        </w:rPr>
      </w:r>
      <w:r/>
    </w:p>
    <w:p>
      <w:pPr>
        <w:pStyle w:val="995"/>
        <w:ind w:firstLine="480"/>
        <w:jc w:val="left"/>
        <w:spacing w:line="360" w:lineRule="auto"/>
        <w:shd w:val="clear" w:color="auto" w:fill="auto"/>
        <w:rPr>
          <w:rFonts w:hint="eastAsia" w:ascii="宋体" w:hAnsi="宋体"/>
          <w:sz w:val="24"/>
          <w:szCs w:val="24"/>
          <w:highlight w:val="none"/>
        </w:rPr>
      </w:pPr>
      <w:r>
        <w:rPr>
          <w:rFonts w:hint="eastAsia" w:ascii="宋体" w:hAnsi="宋体" w:cs="宋体"/>
          <w:sz w:val="24"/>
          <w:highlight w:val="none"/>
        </w:rPr>
        <w:t xml:space="preserve">根据《关于政府采购支持监狱企业发展有关问题的通知》（财库〔2014〕68号）的相关规定在政府采购活动中，监狱企业视同小型、微型企业。</w:t>
      </w:r>
      <w:r>
        <w:rPr>
          <w:rFonts w:hint="eastAsia" w:ascii="宋体" w:hAnsi="宋体" w:cs="宋体"/>
          <w:b/>
          <w:bCs/>
          <w:i/>
          <w:iCs/>
          <w:sz w:val="24"/>
          <w:highlight w:val="none"/>
          <w:u w:val="single"/>
        </w:rPr>
        <w:t xml:space="preserve">监狱企业应当提供由省级以上监狱管理局、戒毒管理局（含新疆生产建设兵团）出具的属于监狱企业的证明文件，未提交则视为未实质性响应采购文件。</w:t>
      </w:r>
      <w:r>
        <w:rPr>
          <w:rFonts w:hint="eastAsia" w:ascii="宋体" w:hAnsi="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9.2信用记录</w:t>
      </w:r>
      <w:r>
        <w:rPr>
          <w:rFonts w:hint="eastAsia" w:ascii="宋体" w:hAnsi="宋体" w:cs="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根据政府采购法及相关法规，以及</w:t>
      </w:r>
      <w:r>
        <w:rPr>
          <w:rFonts w:hint="eastAsia" w:ascii="宋体" w:hAnsi="宋体"/>
          <w:bCs/>
          <w:sz w:val="24"/>
          <w:szCs w:val="24"/>
          <w:highlight w:val="none"/>
        </w:rPr>
        <w:t xml:space="preserve">苏州市财政局《</w:t>
      </w:r>
      <w:r>
        <w:rPr>
          <w:rFonts w:hint="eastAsia" w:ascii="宋体" w:hAnsi="宋体"/>
          <w:bCs/>
          <w:sz w:val="24"/>
          <w:szCs w:val="24"/>
          <w:highlight w:val="none"/>
          <w:lang w:bidi="ar"/>
        </w:rPr>
        <w:t xml:space="preserve">关于苏州市政府采购网下线“供应商信用查询”功能的通知</w:t>
      </w:r>
      <w:r>
        <w:rPr>
          <w:rFonts w:hint="eastAsia" w:ascii="宋体" w:hAnsi="宋体"/>
          <w:bCs/>
          <w:sz w:val="24"/>
          <w:szCs w:val="24"/>
          <w:highlight w:val="none"/>
        </w:rPr>
        <w:t xml:space="preserve">》</w:t>
      </w:r>
      <w:r>
        <w:rPr>
          <w:rFonts w:hint="eastAsia" w:ascii="宋体" w:hAnsi="宋体"/>
          <w:sz w:val="24"/>
          <w:szCs w:val="24"/>
          <w:highlight w:val="none"/>
        </w:rPr>
        <w:t xml:space="preserve">的规定，我们将依法对供应商进行信用查询，凡经评审小组确认不符合政府采购相关法律法规规定的，将拒绝其参与政府采购活动。</w:t>
      </w:r>
      <w:r>
        <w:rPr>
          <w:rFonts w:ascii="宋体" w:hAnsi="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（1）查询截止时点：投标文件递交截止时间。</w:t>
      </w:r>
      <w:r>
        <w:rPr>
          <w:rFonts w:ascii="宋体" w:hAnsi="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（2）查询渠道：</w:t>
      </w:r>
      <w:r>
        <w:rPr>
          <w:rFonts w:ascii="宋体" w:hAnsi="宋体"/>
          <w:sz w:val="24"/>
          <w:szCs w:val="24"/>
          <w:highlight w:val="none"/>
        </w:rPr>
      </w:r>
      <w:r/>
    </w:p>
    <w:p>
      <w:pPr>
        <w:pStyle w:val="995"/>
        <w:ind w:firstLine="480"/>
        <w:jc w:val="left"/>
        <w:spacing w:line="360" w:lineRule="auto"/>
        <w:shd w:val="clear" w:color="auto" w:fill="auto"/>
        <w:widowControl/>
        <w:rPr>
          <w:rFonts w:ascii="宋体" w:hAnsi="宋体"/>
          <w:sz w:val="24"/>
          <w:szCs w:val="24"/>
          <w:highlight w:val="none"/>
        </w:rPr>
      </w:pPr>
      <w:r>
        <w:rPr>
          <w:rFonts w:hint="eastAsia" w:ascii="宋体" w:hAnsi="宋体"/>
          <w:sz w:val="24"/>
          <w:szCs w:val="24"/>
          <w:highlight w:val="none"/>
          <w:lang w:bidi="ar"/>
        </w:rPr>
        <w:t xml:space="preserve">将通过苏州市公共资源交易中心 “交易管理平台”实现,一是:信用苏州涉及政府采购数据无缝对接并嵌入到 “交易管理平台”,在评标过程中,在线实时获取并生成各投标供应商的信用情况,对于失信投标供应商将展现‘其处罚行为信息,采购人(代理机构)、评审专家等即可根据获取信息进行评审;二是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rPr>
          <w:rFonts w:ascii="宋体" w:hAnsi="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（3）查询证据留存方式：</w:t>
      </w:r>
      <w:r>
        <w:rPr>
          <w:rFonts w:ascii="宋体" w:hAnsi="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宋体" w:hAnsi="宋体"/>
          <w:sz w:val="24"/>
          <w:szCs w:val="24"/>
          <w:highlight w:val="none"/>
        </w:rPr>
      </w:r>
      <w:r/>
    </w:p>
    <w:p>
      <w:pPr>
        <w:pStyle w:val="995"/>
        <w:ind w:firstLine="480"/>
        <w:jc w:val="left"/>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（4）信用记录使用规则：</w:t>
      </w:r>
      <w:r>
        <w:rPr>
          <w:rFonts w:ascii="宋体" w:hAnsi="宋体"/>
          <w:sz w:val="24"/>
          <w:szCs w:val="24"/>
          <w:highlight w:val="none"/>
        </w:rPr>
      </w:r>
      <w:r/>
    </w:p>
    <w:p>
      <w:pPr>
        <w:pStyle w:val="995"/>
        <w:ind w:firstLine="549"/>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评审小组在对供应商进行资格性审查时，应根据查询结果对供应商的不良信用记录逐项甄别确认。</w:t>
      </w:r>
      <w:r>
        <w:rPr>
          <w:rFonts w:hint="eastAsia" w:ascii="宋体" w:hAnsi="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9.3、采购文件的质疑、澄清</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9.3.1 根据《政府采购质疑和投诉办法》财政部第94号令，供应商认为采购文件、采购过程、</w:t>
      </w:r>
      <w:r>
        <w:rPr>
          <w:rFonts w:hint="eastAsia" w:ascii="宋体" w:hAnsi="宋体" w:cs="宋体"/>
          <w:sz w:val="24"/>
          <w:szCs w:val="24"/>
          <w:highlight w:val="none"/>
          <w:lang w:eastAsia="zh-CN"/>
        </w:rPr>
        <w:t xml:space="preserve">成交</w:t>
      </w:r>
      <w:r>
        <w:rPr>
          <w:rFonts w:hint="eastAsia" w:ascii="宋体" w:hAnsi="宋体" w:cs="宋体"/>
          <w:sz w:val="24"/>
          <w:szCs w:val="24"/>
          <w:highlight w:val="none"/>
        </w:rPr>
        <w:t xml:space="preserve">结果使自己的权益受到损害的，可以在知道或者应知其权益受到损害之日起7个工作日内，以书面形式向采购人、采购代理机构提出质疑。</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9.3.2本次采购文件要求供应商在法定质疑期内一次性提出针对同一采购程序环节的质疑。</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9.3.4供应商提出质疑应当提交质疑函、报名确认单和必要的证明材料。质疑函应当包括下列内容：</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9.3.5供应商的姓名或者名称、地址、邮编、联系人及联系电话；</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9.3.6质疑项目的名称、编号；</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9.3.7具体、明确的质疑事项和与质疑事项相关的请求；</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9.3.8事实依据；</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9.3.9必要的法律依据；</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9.3.10提出质疑的日期。</w:t>
      </w:r>
      <w:r>
        <w:rPr>
          <w:rFonts w:hint="eastAsia" w:ascii="宋体" w:hAnsi="宋体" w:cs="宋体"/>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sz w:val="24"/>
          <w:szCs w:val="24"/>
          <w:highlight w:val="none"/>
        </w:rPr>
      </w:r>
      <w:r/>
    </w:p>
    <w:p>
      <w:pPr>
        <w:pStyle w:val="1026"/>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9.3.11质疑联系方式详见采购公告。</w:t>
      </w:r>
      <w:r>
        <w:rPr>
          <w:rFonts w:hint="eastAsia" w:ascii="宋体" w:hAnsi="宋体" w:cs="宋体"/>
          <w:sz w:val="24"/>
          <w:szCs w:val="24"/>
          <w:highlight w:val="none"/>
        </w:rPr>
      </w:r>
      <w:r/>
    </w:p>
    <w:p>
      <w:pPr>
        <w:pStyle w:val="995"/>
        <w:ind w:firstLine="482"/>
        <w:jc w:val="left"/>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六、磋商程序：</w:t>
      </w:r>
      <w:r>
        <w:rPr>
          <w:rFonts w:hint="eastAsia" w:ascii="宋体" w:hAnsi="宋体" w:cs="宋体"/>
          <w:b/>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1、磋商活动由采购代理机构在线主持，邀请供应商在线参加。供应商应当按照《苏采云系统供应商操作手册》规定，</w:t>
      </w:r>
      <w:r>
        <w:rPr>
          <w:rFonts w:hint="eastAsia" w:ascii="宋体" w:hAnsi="宋体" w:cs="宋体"/>
          <w:b/>
          <w:bCs/>
          <w:sz w:val="24"/>
          <w:szCs w:val="24"/>
          <w:highlight w:val="none"/>
        </w:rPr>
        <w:t xml:space="preserve">参加磋商活动和在“苏采云”系统规定的时间内对响应文件进行解密。</w:t>
      </w:r>
      <w:r>
        <w:rPr>
          <w:rFonts w:hint="eastAsia" w:ascii="宋体" w:hAnsi="宋体" w:cs="宋体"/>
          <w:sz w:val="24"/>
          <w:szCs w:val="24"/>
          <w:highlight w:val="none"/>
        </w:rPr>
        <w:t xml:space="preserve">评审小组不得参加磋商采购活动。</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2、由磋商小组审查供应商解密的响应文件，此磋商响应文件的报价为第一次报价。</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4、磋商小组要求供应商澄清、说明或者更正响应文件应当以书面形式做出。供应商的澄清、说明或者更正应当由其单位加盖电子公章。</w:t>
      </w:r>
      <w:r>
        <w:rPr>
          <w:rFonts w:ascii="宋体" w:hAnsi="宋体" w:cs="宋体"/>
          <w:sz w:val="24"/>
          <w:szCs w:val="24"/>
          <w:highlight w:val="none"/>
        </w:rPr>
      </w:r>
      <w:r/>
    </w:p>
    <w:p>
      <w:pPr>
        <w:pStyle w:val="995"/>
        <w:ind w:firstLine="482"/>
        <w:spacing w:line="360" w:lineRule="auto"/>
        <w:shd w:val="clear" w:color="auto" w:fill="auto"/>
        <w:rPr>
          <w:rFonts w:ascii="宋体" w:hAnsi="宋体" w:cs="宋体"/>
          <w:sz w:val="24"/>
          <w:szCs w:val="24"/>
          <w:highlight w:val="none"/>
        </w:rPr>
      </w:pPr>
      <w:r>
        <w:rPr>
          <w:rFonts w:hint="eastAsia" w:ascii="宋体" w:hAnsi="宋体" w:cs="宋体"/>
          <w:b/>
          <w:sz w:val="24"/>
          <w:szCs w:val="24"/>
          <w:highlight w:val="none"/>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highlight w:val="none"/>
          <w:lang w:val="zh-CN"/>
        </w:rPr>
        <w:t xml:space="preserve">具体操作方式见《操作手册》。</w:t>
      </w:r>
      <w:r>
        <w:rPr>
          <w:rFonts w:hint="eastAsia" w:ascii="宋体" w:hAnsi="宋体" w:cs="宋体"/>
          <w:b/>
          <w:sz w:val="24"/>
          <w:szCs w:val="24"/>
          <w:highlight w:val="none"/>
          <w:lang w:val="zh-CN"/>
        </w:rPr>
        <w:t xml:space="preserve">未加盖CA电子公章的澄清无效。</w:t>
      </w:r>
      <w:r>
        <w:rPr>
          <w:rFonts w:ascii="宋体" w:hAnsi="宋体" w:cs="宋体"/>
          <w:sz w:val="24"/>
          <w:szCs w:val="24"/>
          <w:highlight w:val="none"/>
        </w:rPr>
      </w:r>
      <w:r/>
    </w:p>
    <w:p>
      <w:pPr>
        <w:pStyle w:val="995"/>
        <w:spacing w:line="360" w:lineRule="auto"/>
        <w:shd w:val="clear" w:color="auto" w:fill="auto"/>
        <w:rPr>
          <w:rFonts w:ascii="宋体" w:hAnsi="宋体" w:cs="宋体"/>
          <w:b/>
          <w:sz w:val="24"/>
          <w:szCs w:val="24"/>
          <w:highlight w:val="none"/>
        </w:rPr>
      </w:pP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8、供应商应当按照磋商文件的变动情况和磋商小组的要求在“苏采云”系统中重新提交响应文件，并加盖CA电子公章。重新提交的响应文件按磋商文件进行评审。</w:t>
      </w:r>
      <w:r>
        <w:rPr>
          <w:rFonts w:hint="eastAsia" w:ascii="宋体" w:hAnsi="宋体" w:cs="宋体"/>
          <w:b/>
          <w:bCs/>
          <w:sz w:val="24"/>
          <w:szCs w:val="24"/>
          <w:highlight w:val="none"/>
          <w:lang w:val="zh-CN"/>
        </w:rPr>
        <w:t xml:space="preserve">未按要求重新提交响应文件的按响应无效处理。</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9、最后报价</w:t>
      </w:r>
      <w:r>
        <w:rPr>
          <w:rFonts w:ascii="宋体" w:hAnsi="宋体" w:cs="宋体"/>
          <w:sz w:val="24"/>
          <w:szCs w:val="24"/>
          <w:highlight w:val="none"/>
        </w:rPr>
      </w:r>
      <w:r/>
    </w:p>
    <w:p>
      <w:pPr>
        <w:pStyle w:val="995"/>
        <w:numPr>
          <w:ilvl w:val="2"/>
          <w:numId w:val="0"/>
        </w:numPr>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9.1、磋商结束后，磋商小组应当要求所有继续参加磋商的供应商在规定时间内提交最后报价（</w:t>
      </w:r>
      <w:r>
        <w:rPr>
          <w:rFonts w:hint="eastAsia" w:ascii="宋体" w:hAnsi="宋体" w:cs="宋体"/>
          <w:b/>
          <w:sz w:val="24"/>
          <w:szCs w:val="24"/>
          <w:highlight w:val="none"/>
        </w:rPr>
        <w:t xml:space="preserve">除因磋商文件修改导致成本增加，二次报价不得超过第一次报价，否则为无效响应报价</w:t>
      </w:r>
      <w:r>
        <w:rPr>
          <w:rFonts w:hint="eastAsia" w:ascii="宋体" w:hAnsi="宋体" w:cs="宋体"/>
          <w:sz w:val="24"/>
          <w:szCs w:val="24"/>
          <w:highlight w:val="none"/>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cs="宋体"/>
          <w:sz w:val="24"/>
          <w:szCs w:val="24"/>
          <w:highlight w:val="none"/>
          <w:lang w:val="zh-CN"/>
        </w:rPr>
        <w:t xml:space="preserve">最后报价是供应商响应文件的有效组成部分。</w:t>
      </w:r>
      <w:r>
        <w:rPr>
          <w:rFonts w:ascii="宋体" w:hAnsi="宋体" w:cs="宋体"/>
          <w:sz w:val="24"/>
          <w:szCs w:val="24"/>
          <w:highlight w:val="none"/>
        </w:rPr>
      </w:r>
      <w:r/>
    </w:p>
    <w:p>
      <w:pPr>
        <w:pStyle w:val="995"/>
        <w:numPr>
          <w:ilvl w:val="2"/>
          <w:numId w:val="0"/>
        </w:numPr>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9.2、</w:t>
      </w:r>
      <w:r>
        <w:rPr>
          <w:rFonts w:hint="eastAsia" w:ascii="宋体" w:hAnsi="宋体" w:cs="宋体"/>
          <w:b/>
          <w:bCs/>
          <w:sz w:val="24"/>
          <w:szCs w:val="24"/>
          <w:highlight w:val="none"/>
        </w:rPr>
        <w:t xml:space="preserve">本项目采用线上最后报价：</w:t>
      </w:r>
      <w:r>
        <w:rPr>
          <w:rFonts w:hint="eastAsia" w:ascii="宋体" w:hAnsi="宋体" w:cs="宋体"/>
          <w:bCs/>
          <w:sz w:val="24"/>
          <w:szCs w:val="24"/>
          <w:highlight w:val="none"/>
        </w:rPr>
        <w:t xml:space="preserve">磋商小组将在</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4"/>
          <w:szCs w:val="24"/>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bCs/>
          <w:sz w:val="24"/>
          <w:szCs w:val="24"/>
          <w:highlight w:val="none"/>
        </w:rPr>
        <w:t xml:space="preserve">在提交最后报价之前，可以根据磋商情况退出磋商，并在“苏采云”系统中提交“退出磋商函”并加盖CA电子公章。</w:t>
      </w:r>
      <w:r>
        <w:rPr>
          <w:rFonts w:ascii="宋体" w:hAnsi="宋体" w:cs="宋体"/>
          <w:sz w:val="24"/>
          <w:szCs w:val="24"/>
          <w:highlight w:val="none"/>
        </w:rPr>
      </w:r>
      <w:r/>
    </w:p>
    <w:p>
      <w:pPr>
        <w:pStyle w:val="995"/>
        <w:numPr>
          <w:ilvl w:val="2"/>
          <w:numId w:val="0"/>
        </w:numPr>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9.3、</w:t>
      </w:r>
      <w:r>
        <w:rPr>
          <w:rFonts w:hint="eastAsia" w:ascii="宋体" w:hAnsi="宋体" w:cs="宋体"/>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ascii="宋体" w:hAnsi="宋体" w:cs="宋体"/>
          <w:sz w:val="24"/>
          <w:szCs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采购评审中出现下列情形之一的，评审委员会应当启动异常低价投标（响应）审查程序：</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.3.投标（响应）报价低于采购项目最高限价45%的，即投标（响应）报价&lt;采购项目最高限价×45%；</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szCs w:val="24"/>
          <w:highlight w:val="none"/>
        </w:rPr>
        <w:t xml:space="preserve">9.4</w:t>
      </w:r>
      <w:r>
        <w:rPr>
          <w:rFonts w:hint="eastAsia" w:ascii="宋体" w:hAnsi="宋体" w:cs="宋体"/>
          <w:sz w:val="24"/>
          <w:highlight w:val="none"/>
        </w:rPr>
        <w:t xml:space="preserve">.4评审委员会基于专业判断，认为供应商报价过低，有可能影响产品质量或者不能诚信履约的其他情形。</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评审委员会启动异常低价投标（响应）审查后，属于前述第9.4.</w:t>
      </w:r>
      <w:r>
        <w:rPr>
          <w:rFonts w:ascii="宋体" w:hAnsi="宋体" w:cs="宋体"/>
          <w:sz w:val="24"/>
          <w:highlight w:val="none"/>
        </w:rPr>
        <w:t xml:space="preserve">1项至第</w:t>
      </w:r>
      <w:r>
        <w:rPr>
          <w:rFonts w:hint="eastAsia" w:ascii="宋体" w:hAnsi="宋体" w:cs="宋体"/>
          <w:sz w:val="24"/>
          <w:highlight w:val="none"/>
        </w:rPr>
        <w:t xml:space="preserve">9.4.</w:t>
      </w:r>
      <w:r>
        <w:rPr>
          <w:rFonts w:ascii="宋体" w:hAnsi="宋体" w:cs="宋体"/>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sz w:val="24"/>
          <w:highlight w:val="none"/>
        </w:rPr>
        <w:t xml:space="preserve">为</w:t>
      </w:r>
      <w:r>
        <w:rPr>
          <w:rFonts w:ascii="宋体" w:hAnsi="宋体" w:cs="宋体"/>
          <w:sz w:val="24"/>
          <w:highlight w:val="none"/>
        </w:rPr>
        <w:t xml:space="preserve">30分钟。其中，属于第</w:t>
      </w:r>
      <w:r>
        <w:rPr>
          <w:rFonts w:hint="eastAsia" w:ascii="宋体" w:hAnsi="宋体" w:cs="宋体"/>
          <w:sz w:val="24"/>
          <w:highlight w:val="none"/>
        </w:rPr>
        <w:t xml:space="preserve">9.4.</w:t>
      </w:r>
      <w:r>
        <w:rPr>
          <w:rFonts w:ascii="宋体" w:hAnsi="宋体" w:cs="宋体"/>
          <w:sz w:val="24"/>
          <w:highlight w:val="none"/>
        </w:rPr>
        <w:t xml:space="preserve">3项情形，供应商已随投标（响应）文件一并提交相关书面说明及必要的证明材料的，在评审现场可不再重复提交。</w:t>
      </w:r>
      <w:r>
        <w:rPr>
          <w:rFonts w:ascii="宋体" w:hAnsi="宋体" w:cs="宋体"/>
          <w:sz w:val="24"/>
          <w:highlight w:val="none"/>
        </w:rPr>
      </w:r>
      <w:r/>
    </w:p>
    <w:p>
      <w:pPr>
        <w:pStyle w:val="995"/>
        <w:ind w:firstLine="480"/>
        <w:jc w:val="left"/>
        <w:spacing w:line="360" w:lineRule="auto"/>
        <w:shd w:val="clear" w:color="auto" w:fill="auto"/>
        <w:tabs>
          <w:tab w:val="left" w:pos="420" w:leader="none"/>
        </w:tabs>
        <w:rPr>
          <w:rFonts w:ascii="宋体" w:hAnsi="宋体" w:cs="宋体"/>
          <w:sz w:val="24"/>
          <w:szCs w:val="24"/>
          <w:highlight w:val="none"/>
        </w:rPr>
      </w:pPr>
      <w:r>
        <w:rPr>
          <w:rFonts w:ascii="宋体" w:hAnsi="宋体" w:cs="宋体"/>
          <w:sz w:val="24"/>
          <w:highlight w:val="none"/>
        </w:rPr>
        <w:t xml:space="preserve">评审委员会依据专业经验，参考同类项目</w:t>
      </w:r>
      <w:r>
        <w:rPr>
          <w:rFonts w:hint="eastAsia" w:ascii="宋体" w:hAnsi="宋体" w:cs="宋体"/>
          <w:sz w:val="24"/>
          <w:highlight w:val="none"/>
          <w:lang w:eastAsia="zh-CN"/>
        </w:rPr>
        <w:t xml:space="preserve">成交（成交）</w:t>
      </w:r>
      <w:r>
        <w:rPr>
          <w:rFonts w:ascii="宋体" w:hAnsi="宋体" w:cs="宋体"/>
          <w:sz w:val="24"/>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sz w:val="24"/>
          <w:highlight w:val="none"/>
          <w:lang w:eastAsia="zh-CN"/>
        </w:rPr>
        <w:t xml:space="preserve">无效响应</w:t>
      </w:r>
      <w:r>
        <w:rPr>
          <w:rFonts w:ascii="宋体" w:hAnsi="宋体" w:cs="宋体"/>
          <w:sz w:val="24"/>
          <w:highlight w:val="none"/>
        </w:rPr>
        <w:t xml:space="preserve">处理。</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b/>
          <w:sz w:val="24"/>
          <w:szCs w:val="24"/>
          <w:highlight w:val="none"/>
        </w:rPr>
        <w:t xml:space="preserve">响应报价（包括最后报价）超过采购预算者不成交</w:t>
      </w:r>
      <w:r>
        <w:rPr>
          <w:rFonts w:hint="eastAsia" w:ascii="宋体" w:hAnsi="宋体" w:cs="宋体"/>
          <w:sz w:val="24"/>
          <w:szCs w:val="24"/>
          <w:highlight w:val="none"/>
        </w:rPr>
        <w:t xml:space="preserve">；</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sz w:val="24"/>
          <w:szCs w:val="24"/>
          <w:highlight w:val="none"/>
        </w:rPr>
      </w:r>
      <w:r/>
    </w:p>
    <w:p>
      <w:pPr>
        <w:pStyle w:val="995"/>
        <w:ind w:firstLine="480"/>
        <w:jc w:val="left"/>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12、磋商小组根据磋商成交原则确定成交供应商，并将结果通知所有参加磋商的供应商。</w:t>
      </w:r>
      <w:r>
        <w:rPr>
          <w:rFonts w:ascii="宋体" w:hAnsi="宋体" w:cs="宋体"/>
          <w:sz w:val="24"/>
          <w:szCs w:val="24"/>
          <w:highlight w:val="none"/>
        </w:rPr>
      </w:r>
      <w:r/>
    </w:p>
    <w:p>
      <w:pPr>
        <w:pStyle w:val="995"/>
        <w:ind w:left="420"/>
        <w:jc w:val="center"/>
        <w:shd w:val="clear" w:color="auto" w:fill="auto"/>
        <w:rPr>
          <w:rFonts w:hint="eastAsia" w:ascii="宋体" w:hAnsi="宋体" w:cs="宋体"/>
          <w:b/>
          <w:sz w:val="32"/>
          <w:highlight w:val="none"/>
        </w:rPr>
      </w:pPr>
      <w:r>
        <w:rPr>
          <w:rFonts w:hint="eastAsia" w:ascii="宋体" w:hAnsi="宋体" w:cs="宋体"/>
          <w:sz w:val="24"/>
          <w:szCs w:val="24"/>
          <w:highlight w:val="none"/>
        </w:rPr>
        <w:t xml:space="preserve">13、如磋商过程中出现本采购文件未尽事宜，由磋商小组根据有关法律、法规讨论决定。</w:t>
      </w:r>
      <w:r>
        <w:rPr>
          <w:rFonts w:hint="eastAsia" w:ascii="宋体" w:hAnsi="宋体" w:cs="宋体"/>
          <w:b/>
          <w:sz w:val="32"/>
          <w:highlight w:val="none"/>
        </w:rPr>
      </w:r>
      <w:r/>
    </w:p>
    <w:p>
      <w:pPr>
        <w:pStyle w:val="999"/>
        <w:shd w:val="clear" w:color="auto" w:fill="auto"/>
        <w:rPr>
          <w:rFonts w:hint="eastAsia" w:ascii="宋体" w:hAnsi="宋体" w:cs="宋体"/>
          <w:b w:val="0"/>
          <w:sz w:val="32"/>
          <w:highlight w:val="none"/>
        </w:rPr>
      </w:pPr>
      <w:r>
        <w:rPr>
          <w:rFonts w:hint="eastAsia" w:ascii="宋体" w:hAnsi="宋体" w:cs="宋体"/>
          <w:b w:val="0"/>
          <w:sz w:val="32"/>
          <w:highlight w:val="none"/>
        </w:rPr>
      </w:r>
      <w:r/>
    </w:p>
    <w:p>
      <w:pPr>
        <w:pStyle w:val="995"/>
        <w:ind w:left="420"/>
        <w:jc w:val="center"/>
        <w:shd w:val="clear" w:color="auto" w:fill="auto"/>
        <w:rPr>
          <w:rFonts w:hint="eastAsia" w:ascii="宋体" w:hAnsi="宋体" w:cs="宋体"/>
          <w:b/>
          <w:sz w:val="32"/>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
          <w:sz w:val="32"/>
          <w:highlight w:val="none"/>
        </w:rPr>
      </w:r>
      <w:r/>
    </w:p>
    <w:p>
      <w:pPr>
        <w:pStyle w:val="995"/>
        <w:ind w:left="420"/>
        <w:jc w:val="center"/>
        <w:shd w:val="clear" w:color="auto" w:fill="auto"/>
        <w:rPr>
          <w:rFonts w:hint="eastAsia" w:ascii="宋体" w:hAnsi="宋体" w:cs="宋体"/>
          <w:b/>
          <w:sz w:val="32"/>
          <w:highlight w:val="none"/>
        </w:rPr>
      </w:pPr>
      <w:r>
        <w:rPr>
          <w:rFonts w:hint="eastAsia" w:ascii="宋体" w:hAnsi="宋体" w:cs="宋体"/>
          <w:b/>
          <w:sz w:val="32"/>
          <w:highlight w:val="none"/>
        </w:rPr>
        <w:t xml:space="preserve">三、磋商成交原则及评分标准</w:t>
      </w:r>
      <w:r>
        <w:rPr>
          <w:rFonts w:hint="eastAsia" w:ascii="宋体" w:hAnsi="宋体" w:cs="宋体"/>
          <w:b/>
          <w:sz w:val="32"/>
          <w:highlight w:val="none"/>
        </w:rPr>
      </w:r>
      <w:r/>
    </w:p>
    <w:p>
      <w:pPr>
        <w:pStyle w:val="1100"/>
        <w:ind w:firstLine="482"/>
        <w:shd w:val="clear" w:color="auto" w:fill="auto"/>
        <w:tabs>
          <w:tab w:val="left" w:pos="808" w:leader="none"/>
        </w:tabs>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采购包1</w:t>
      </w: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采购包2</w:t>
      </w:r>
      <w:r>
        <w:rPr>
          <w:rFonts w:hint="eastAsia" w:ascii="宋体" w:hAnsi="宋体" w:cs="宋体"/>
          <w:b/>
          <w:sz w:val="24"/>
          <w:szCs w:val="24"/>
          <w:highlight w:val="none"/>
        </w:rPr>
        <w:t xml:space="preserve">均适用，供应商可以根据情况选择其中一个或全部</w:t>
      </w:r>
      <w:r>
        <w:rPr>
          <w:rFonts w:hint="eastAsia" w:ascii="宋体" w:hAnsi="宋体" w:cs="宋体"/>
          <w:b/>
          <w:sz w:val="24"/>
          <w:szCs w:val="24"/>
          <w:highlight w:val="none"/>
          <w:lang w:eastAsia="zh-CN"/>
        </w:rPr>
        <w:t xml:space="preserve">采购包</w:t>
      </w:r>
      <w:r>
        <w:rPr>
          <w:rFonts w:hint="eastAsia" w:ascii="宋体" w:hAnsi="宋体" w:cs="宋体"/>
          <w:b/>
          <w:sz w:val="24"/>
          <w:szCs w:val="24"/>
          <w:highlight w:val="none"/>
        </w:rPr>
        <w:t xml:space="preserve">进行投标，本项目开标、评标及</w:t>
      </w:r>
      <w:r>
        <w:rPr>
          <w:rFonts w:hint="eastAsia" w:ascii="宋体" w:hAnsi="宋体" w:cs="宋体"/>
          <w:b/>
          <w:sz w:val="24"/>
          <w:szCs w:val="24"/>
          <w:highlight w:val="none"/>
          <w:lang w:eastAsia="zh-CN"/>
        </w:rPr>
        <w:t xml:space="preserve">成交</w:t>
      </w:r>
      <w:r>
        <w:rPr>
          <w:rFonts w:hint="eastAsia" w:ascii="宋体" w:hAnsi="宋体" w:cs="宋体"/>
          <w:b/>
          <w:sz w:val="24"/>
          <w:szCs w:val="24"/>
          <w:highlight w:val="none"/>
        </w:rPr>
        <w:t xml:space="preserve">顺序：</w:t>
      </w:r>
      <w:r>
        <w:rPr>
          <w:rFonts w:hint="eastAsia" w:ascii="宋体" w:hAnsi="宋体" w:cs="宋体"/>
          <w:b/>
          <w:sz w:val="24"/>
          <w:szCs w:val="24"/>
          <w:highlight w:val="none"/>
          <w:lang w:eastAsia="zh-CN"/>
        </w:rPr>
        <w:t xml:space="preserve">采购包1</w:t>
      </w:r>
      <w:r>
        <w:rPr>
          <w:rFonts w:hint="eastAsia" w:ascii="宋体" w:hAnsi="宋体" w:cs="宋体"/>
          <w:b/>
          <w:sz w:val="24"/>
          <w:szCs w:val="24"/>
          <w:highlight w:val="none"/>
        </w:rPr>
        <w:t xml:space="preserve">→</w:t>
      </w:r>
      <w:r>
        <w:rPr>
          <w:rFonts w:hint="eastAsia" w:ascii="宋体" w:hAnsi="宋体" w:cs="宋体"/>
          <w:b/>
          <w:sz w:val="24"/>
          <w:szCs w:val="24"/>
          <w:highlight w:val="none"/>
          <w:lang w:eastAsia="zh-CN"/>
        </w:rPr>
        <w:t xml:space="preserve">采购包2</w:t>
      </w:r>
      <w:r>
        <w:rPr>
          <w:rFonts w:hint="eastAsia" w:ascii="宋体" w:hAnsi="宋体" w:cs="宋体"/>
          <w:b/>
          <w:sz w:val="24"/>
          <w:szCs w:val="24"/>
          <w:highlight w:val="none"/>
        </w:rPr>
        <w:t xml:space="preserve">，本项目响应供应商只可中一个</w:t>
      </w:r>
      <w:r>
        <w:rPr>
          <w:rFonts w:hint="eastAsia" w:ascii="宋体" w:hAnsi="宋体" w:cs="宋体"/>
          <w:b/>
          <w:sz w:val="24"/>
          <w:szCs w:val="24"/>
          <w:highlight w:val="none"/>
          <w:lang w:eastAsia="zh-CN"/>
        </w:rPr>
        <w:t xml:space="preserve">采购包</w:t>
      </w:r>
      <w:r>
        <w:rPr>
          <w:rFonts w:hint="eastAsia" w:ascii="宋体" w:hAnsi="宋体" w:cs="宋体"/>
          <w:b/>
          <w:sz w:val="24"/>
          <w:szCs w:val="24"/>
          <w:highlight w:val="none"/>
        </w:rPr>
        <w:t xml:space="preserve">，若已中</w:t>
      </w:r>
      <w:r>
        <w:rPr>
          <w:rFonts w:hint="eastAsia" w:ascii="宋体" w:hAnsi="宋体" w:cs="宋体"/>
          <w:b/>
          <w:sz w:val="24"/>
          <w:szCs w:val="24"/>
          <w:highlight w:val="none"/>
          <w:lang w:eastAsia="zh-CN"/>
        </w:rPr>
        <w:t xml:space="preserve">采购包1</w:t>
      </w:r>
      <w:r>
        <w:rPr>
          <w:rFonts w:hint="eastAsia" w:ascii="宋体" w:hAnsi="宋体" w:cs="宋体"/>
          <w:b/>
          <w:sz w:val="24"/>
          <w:szCs w:val="24"/>
          <w:highlight w:val="none"/>
        </w:rPr>
        <w:t xml:space="preserve">，则不得再作为</w:t>
      </w:r>
      <w:r>
        <w:rPr>
          <w:rFonts w:hint="eastAsia" w:ascii="宋体" w:hAnsi="宋体" w:cs="宋体"/>
          <w:b/>
          <w:sz w:val="24"/>
          <w:szCs w:val="24"/>
          <w:highlight w:val="none"/>
          <w:lang w:eastAsia="zh-CN"/>
        </w:rPr>
        <w:t xml:space="preserve">采购包2</w:t>
      </w:r>
      <w:r>
        <w:rPr>
          <w:rFonts w:hint="eastAsia" w:ascii="宋体" w:hAnsi="宋体" w:cs="宋体"/>
          <w:b/>
          <w:sz w:val="24"/>
          <w:szCs w:val="24"/>
          <w:highlight w:val="none"/>
        </w:rPr>
        <w:t xml:space="preserve">成交人；）</w:t>
      </w:r>
      <w:r>
        <w:rPr>
          <w:rFonts w:hint="eastAsia" w:ascii="宋体" w:hAnsi="宋体" w:cs="宋体"/>
          <w:b/>
          <w:sz w:val="24"/>
          <w:szCs w:val="24"/>
          <w:highlight w:val="none"/>
        </w:rPr>
      </w:r>
      <w:r/>
    </w:p>
    <w:p>
      <w:pPr>
        <w:pStyle w:val="995"/>
        <w:numPr>
          <w:ilvl w:val="0"/>
          <w:numId w:val="12"/>
        </w:numPr>
        <w:ind w:left="0" w:firstLine="482"/>
        <w:jc w:val="left"/>
        <w:spacing w:line="360" w:lineRule="auto"/>
        <w:shd w:val="clear" w:color="auto" w:fill="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成交原则</w:t>
      </w:r>
      <w:r>
        <w:rPr>
          <w:rFonts w:hint="eastAsia" w:ascii="宋体" w:hAnsi="宋体" w:cs="宋体"/>
          <w:b/>
          <w:bCs/>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1、本次磋商采用综合评分法，即在响应文件满足采购文件全部实质性要求且按评审因素的量化指标评审得分最高的供应商为对应</w:t>
      </w: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rPr>
        <w:t xml:space="preserve">的成交候选供应商。采购人书面授权磋商小组直接确定成交供应商。</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2、评审小组各成员独立对每个进入打分程序的有效磋商供应商的响应文件技术和</w:t>
      </w:r>
      <w:r>
        <w:rPr>
          <w:rFonts w:hint="eastAsia" w:ascii="宋体" w:hAnsi="宋体" w:cs="宋体"/>
          <w:sz w:val="24"/>
          <w:szCs w:val="24"/>
          <w:highlight w:val="none"/>
          <w:lang w:val="en-US" w:eastAsia="zh-CN"/>
        </w:rPr>
        <w:t xml:space="preserve">商务</w:t>
      </w:r>
      <w:r>
        <w:rPr>
          <w:rFonts w:hint="eastAsia" w:ascii="宋体" w:hAnsi="宋体" w:cs="宋体"/>
          <w:sz w:val="24"/>
          <w:szCs w:val="24"/>
          <w:highlight w:val="none"/>
        </w:rPr>
        <w:t xml:space="preserve">部分以打分的形式进行评审和评价。 </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3、对评委的评分进行统计汇总，直接算术平均计算出每个磋商供应商的得分即为每个磋商供应商的综合得分。 </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4、如出现评审</w:t>
      </w:r>
      <w:r>
        <w:rPr>
          <w:rFonts w:hint="eastAsia" w:ascii="宋体" w:hAnsi="宋体" w:cs="宋体"/>
          <w:sz w:val="24"/>
          <w:szCs w:val="24"/>
          <w:highlight w:val="none"/>
          <w:lang w:val="en-US" w:eastAsia="zh-CN"/>
        </w:rPr>
        <w:t xml:space="preserve">综合</w:t>
      </w:r>
      <w:r>
        <w:rPr>
          <w:rFonts w:hint="eastAsia" w:ascii="宋体" w:hAnsi="宋体" w:cs="宋体"/>
          <w:sz w:val="24"/>
          <w:szCs w:val="24"/>
          <w:highlight w:val="none"/>
        </w:rPr>
        <w:t xml:space="preserve">得分最高的磋商供应商有两个或两个以上的，则由采购人组织以抽签方式确定成交候选人。</w:t>
      </w:r>
      <w:r>
        <w:rPr>
          <w:rFonts w:hint="eastAsia" w:ascii="宋体" w:hAnsi="宋体" w:cs="宋体"/>
          <w:sz w:val="24"/>
          <w:szCs w:val="24"/>
          <w:highlight w:val="none"/>
        </w:rPr>
      </w:r>
      <w:r/>
    </w:p>
    <w:p>
      <w:pPr>
        <w:pStyle w:val="995"/>
        <w:numPr>
          <w:ilvl w:val="0"/>
          <w:numId w:val="12"/>
        </w:numPr>
        <w:ind w:left="0" w:firstLine="482"/>
        <w:jc w:val="left"/>
        <w:spacing w:line="360" w:lineRule="auto"/>
        <w:shd w:val="clear" w:color="auto" w:fill="auto"/>
        <w:tabs>
          <w:tab w:val="left" w:pos="0" w:leader="none"/>
        </w:tabs>
        <w:rPr>
          <w:rFonts w:hint="eastAsia" w:ascii="宋体" w:hAnsi="宋体" w:cs="宋体"/>
          <w:b/>
          <w:bCs/>
          <w:highlight w:val="none"/>
        </w:rPr>
      </w:pPr>
      <w:r>
        <w:rPr>
          <w:rFonts w:hint="eastAsia" w:ascii="宋体" w:hAnsi="宋体" w:cs="宋体"/>
          <w:b/>
          <w:bCs/>
          <w:sz w:val="24"/>
          <w:szCs w:val="24"/>
          <w:highlight w:val="none"/>
        </w:rPr>
        <w:t xml:space="preserve">评分标准</w:t>
      </w:r>
      <w:r>
        <w:rPr>
          <w:rFonts w:hint="eastAsia" w:ascii="宋体" w:hAnsi="宋体" w:cs="宋体"/>
          <w:b/>
          <w:bCs/>
          <w:highlight w:val="none"/>
        </w:rPr>
      </w:r>
      <w:r/>
    </w:p>
    <w:p>
      <w:pPr>
        <w:pStyle w:val="1100"/>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zh-CN"/>
        </w:rPr>
      </w:pPr>
      <w:r>
        <w:rPr>
          <w:rFonts w:ascii="宋体" w:hAnsi="宋体" w:eastAsia="宋体" w:cs="宋体"/>
          <w:b/>
          <w:bCs/>
          <w:color w:val="000000"/>
          <w:sz w:val="24"/>
          <w:szCs w:val="24"/>
          <w:highlight w:val="none"/>
          <w:lang w:val="zh-CN"/>
        </w:rPr>
        <w:t xml:space="preserve">（一）</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基本能力比较 （</w:t>
      </w:r>
      <w:r>
        <w:rPr>
          <w:rFonts w:hint="eastAsia" w:ascii="宋体" w:hAnsi="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年1月</w:t>
      </w:r>
      <w:r>
        <w:rPr>
          <w:rFonts w:hint="eastAsia" w:ascii="宋体" w:hAnsi="宋体" w:cs="宋体"/>
          <w:b/>
          <w:color w:val="000000"/>
          <w:sz w:val="24"/>
          <w:szCs w:val="24"/>
          <w:highlight w:val="none"/>
          <w:lang w:val="en-US" w:eastAsia="zh-CN"/>
        </w:rPr>
        <w:t xml:space="preserve">至今</w:t>
      </w:r>
      <w:r>
        <w:rPr>
          <w:rFonts w:hint="eastAsia" w:ascii="宋体" w:hAnsi="宋体" w:eastAsia="宋体" w:cs="宋体"/>
          <w:b/>
          <w:color w:val="000000"/>
          <w:sz w:val="24"/>
          <w:szCs w:val="24"/>
          <w:highlight w:val="none"/>
        </w:rPr>
        <w:t xml:space="preserve">（以报告出具时间为准）的工程结算审核业务 （</w:t>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     </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累计审定额满</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亿元（含</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0亿元</w:t>
      </w:r>
      <w:r>
        <w:rPr>
          <w:rFonts w:hint="eastAsia" w:ascii="宋体" w:hAnsi="宋体" w:eastAsia="宋体" w:cs="宋体"/>
          <w:color w:val="000000"/>
          <w:sz w:val="24"/>
          <w:szCs w:val="24"/>
          <w:highlight w:val="none"/>
        </w:rPr>
        <w:t xml:space="preserve">）的得基本分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分，不满</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亿不得分；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累计审定额超过</w:t>
      </w:r>
      <w:r>
        <w:rPr>
          <w:rFonts w:hint="eastAsia" w:ascii="宋体" w:hAnsi="宋体" w:eastAsia="宋体" w:cs="宋体"/>
          <w:color w:val="000000"/>
          <w:sz w:val="24"/>
          <w:szCs w:val="24"/>
          <w:highlight w:val="none"/>
          <w:lang w:val="en-US" w:eastAsia="zh-CN"/>
        </w:rPr>
        <w:t xml:space="preserve">4</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亿元的，每增加5亿元得0.5分，本项满分</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工程结算审核项目需提供相关证明材料：</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①苏州范围内的企业：提供苏州市工程造价管理处主办的《苏州市工程造价信息》中的苏州市工程造价咨询统计汇总表，自行标注并加盖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公章。（以2025年1月-</w:t>
      </w:r>
      <w:r>
        <w:rPr>
          <w:rFonts w:hint="eastAsia" w:ascii="宋体" w:hAnsi="宋体" w:eastAsia="宋体" w:cs="宋体"/>
          <w:color w:val="000000"/>
          <w:sz w:val="24"/>
          <w:szCs w:val="24"/>
          <w:highlight w:val="none"/>
          <w:lang w:val="en-US" w:eastAsia="zh-CN"/>
        </w:rPr>
        <w:t xml:space="preserve">本项目开启时间</w:t>
      </w:r>
      <w:r>
        <w:rPr>
          <w:rFonts w:hint="eastAsia" w:ascii="宋体" w:hAnsi="宋体" w:eastAsia="宋体" w:cs="宋体"/>
          <w:color w:val="000000"/>
          <w:sz w:val="24"/>
          <w:szCs w:val="24"/>
          <w:highlight w:val="none"/>
        </w:rPr>
        <w:t xml:space="preserve">收到的为准）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②其他地区的企业按以下方法之一提供基本业绩证明：提供所在地主管部门认可的业绩证明及项目汇总表，否则不得分；或者提供2025年1月-</w:t>
      </w:r>
      <w:r>
        <w:rPr>
          <w:rFonts w:hint="eastAsia" w:ascii="宋体" w:hAnsi="宋体" w:eastAsia="宋体" w:cs="宋体"/>
          <w:color w:val="000000"/>
          <w:sz w:val="24"/>
          <w:szCs w:val="24"/>
          <w:highlight w:val="none"/>
          <w:lang w:val="en-US" w:eastAsia="zh-CN"/>
        </w:rPr>
        <w:t xml:space="preserve">本项目开启时间</w:t>
      </w:r>
      <w:r>
        <w:rPr>
          <w:rFonts w:hint="eastAsia" w:ascii="宋体" w:hAnsi="宋体" w:eastAsia="宋体" w:cs="宋体"/>
          <w:color w:val="000000"/>
          <w:sz w:val="24"/>
          <w:szCs w:val="24"/>
          <w:highlight w:val="none"/>
        </w:rPr>
        <w:t xml:space="preserve">所有的工程结算的咨询合同和造价咨询成果报告（符合造价执业规范，能够反映项目规模、审定金额和完成时间；投标时必须提供业绩目录汇总表）。</w:t>
      </w:r>
      <w:r>
        <w:rPr>
          <w:rFonts w:hint="eastAsia" w:ascii="宋体" w:hAnsi="宋体" w:eastAsia="宋体" w:cs="宋体"/>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202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年1月</w:t>
      </w:r>
      <w:r>
        <w:rPr>
          <w:rFonts w:hint="eastAsia" w:ascii="宋体" w:hAnsi="宋体" w:eastAsia="宋体" w:cs="宋体"/>
          <w:b/>
          <w:color w:val="000000"/>
          <w:sz w:val="24"/>
          <w:szCs w:val="24"/>
          <w:highlight w:val="none"/>
          <w:lang w:val="en-US" w:eastAsia="zh-CN"/>
        </w:rPr>
        <w:t xml:space="preserve">至今</w:t>
      </w:r>
      <w:r>
        <w:rPr>
          <w:rFonts w:hint="eastAsia" w:ascii="宋体" w:hAnsi="宋体" w:eastAsia="宋体" w:cs="宋体"/>
          <w:b/>
          <w:color w:val="000000"/>
          <w:sz w:val="24"/>
          <w:szCs w:val="24"/>
          <w:highlight w:val="none"/>
          <w:lang w:val="zh-CN"/>
        </w:rPr>
        <w:t xml:space="preserve">已完成（以报告出具时间列入统计）的工程结算审核项目，1亿元（含）以上的每个得</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zh-CN"/>
        </w:rPr>
        <w:t xml:space="preserve">分；本项最高</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lang w:val="zh-CN"/>
        </w:rPr>
        <w:t xml:space="preserve">分。</w:t>
      </w:r>
      <w:r>
        <w:rPr>
          <w:rFonts w:hint="eastAsia" w:ascii="宋体" w:hAnsi="宋体" w:eastAsia="宋体" w:cs="宋体"/>
          <w:b/>
          <w:color w:val="000000"/>
          <w:sz w:val="24"/>
          <w:szCs w:val="24"/>
          <w:highlight w:val="none"/>
          <w:lang w:val="zh-CN"/>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rPr>
        <w:t xml:space="preserve">工程结算审核项目必须提供造价咨询合同、咨询成果报告（符合造价执业规范）及项目审定单（能够反映项目规模、委托单位和完成时间。如审定单信息不全，需另行提供委托方证明。）</w:t>
      </w:r>
      <w:r>
        <w:rPr>
          <w:rFonts w:hint="eastAsia" w:ascii="宋体" w:hAnsi="宋体" w:eastAsia="宋体" w:cs="宋体"/>
          <w:color w:val="000000"/>
          <w:sz w:val="24"/>
          <w:szCs w:val="24"/>
          <w:highlight w:val="none"/>
          <w:lang w:eastAsia="zh-CN"/>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（二）拟投入人员的综合素质水平（</w:t>
      </w:r>
      <w:r>
        <w:rPr>
          <w:rFonts w:hint="eastAsia" w:ascii="宋体" w:hAnsi="宋体" w:cs="宋体"/>
          <w:b/>
          <w:color w:val="000000"/>
          <w:sz w:val="24"/>
          <w:szCs w:val="24"/>
          <w:highlight w:val="none"/>
          <w:lang w:val="en-US" w:eastAsia="zh-CN"/>
        </w:rPr>
        <w:t xml:space="preserve">31</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rPr>
      </w:r>
      <w:r/>
    </w:p>
    <w:p>
      <w:pPr>
        <w:pStyle w:val="995"/>
        <w:ind w:firstLine="482"/>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拟派本项目负责人</w:t>
      </w:r>
      <w:r>
        <w:rPr>
          <w:rFonts w:hint="eastAsia" w:ascii="宋体" w:hAnsi="宋体" w:eastAsia="宋体" w:cs="宋体"/>
          <w:sz w:val="24"/>
          <w:szCs w:val="24"/>
          <w:highlight w:val="none"/>
        </w:rPr>
        <w:t xml:space="preserve">具有</w:t>
      </w:r>
      <w:r>
        <w:rPr>
          <w:rFonts w:hint="eastAsia" w:ascii="宋体" w:hAnsi="宋体" w:eastAsia="宋体" w:cs="宋体"/>
          <w:color w:val="000000"/>
          <w:sz w:val="24"/>
          <w:szCs w:val="24"/>
          <w:highlight w:val="none"/>
        </w:rPr>
        <w:t xml:space="preserve">一级注册造价工程师（旧版为国家注册造价工程师）</w:t>
      </w:r>
      <w:r>
        <w:rPr>
          <w:rFonts w:hint="eastAsia" w:ascii="宋体" w:hAnsi="宋体" w:eastAsia="宋体" w:cs="宋体"/>
          <w:color w:val="000000"/>
          <w:sz w:val="24"/>
          <w:szCs w:val="24"/>
          <w:highlight w:val="none"/>
          <w:lang w:val="en-US" w:eastAsia="zh-CN"/>
        </w:rPr>
        <w:t xml:space="preserve">执业</w:t>
      </w:r>
      <w:r>
        <w:rPr>
          <w:rFonts w:hint="eastAsia" w:ascii="宋体" w:hAnsi="宋体" w:eastAsia="宋体" w:cs="宋体"/>
          <w:sz w:val="24"/>
          <w:szCs w:val="24"/>
          <w:highlight w:val="none"/>
        </w:rPr>
        <w:t xml:space="preserve">资格得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同时具有</w:t>
      </w:r>
      <w:r>
        <w:rPr>
          <w:rFonts w:hint="eastAsia" w:ascii="宋体" w:hAnsi="宋体" w:eastAsia="宋体" w:cs="宋体"/>
          <w:sz w:val="24"/>
          <w:szCs w:val="24"/>
          <w:highlight w:val="none"/>
        </w:rPr>
        <w:t xml:space="preserve">工程师职</w:t>
      </w:r>
      <w:r>
        <w:rPr>
          <w:rFonts w:hint="eastAsia" w:ascii="宋体" w:hAnsi="宋体" w:eastAsia="宋体" w:cs="宋体"/>
          <w:sz w:val="24"/>
          <w:szCs w:val="24"/>
          <w:highlight w:val="none"/>
        </w:rPr>
        <w:t xml:space="preserve">称的得2分，</w:t>
      </w:r>
      <w:r>
        <w:rPr>
          <w:rFonts w:hint="eastAsia" w:ascii="宋体" w:hAnsi="宋体" w:eastAsia="宋体" w:cs="宋体"/>
          <w:sz w:val="24"/>
          <w:szCs w:val="24"/>
          <w:highlight w:val="none"/>
          <w:lang w:val="en-US" w:eastAsia="zh-CN"/>
        </w:rPr>
        <w:t xml:space="preserve">同时具有</w:t>
      </w:r>
      <w:r>
        <w:rPr>
          <w:rFonts w:hint="eastAsia" w:ascii="宋体" w:hAnsi="宋体" w:eastAsia="宋体" w:cs="宋体"/>
          <w:sz w:val="24"/>
          <w:szCs w:val="24"/>
          <w:highlight w:val="none"/>
        </w:rPr>
        <w:t xml:space="preserve">高级工程师</w:t>
      </w:r>
      <w:r>
        <w:rPr>
          <w:rFonts w:hint="eastAsia" w:ascii="宋体" w:hAnsi="宋体" w:eastAsia="宋体" w:cs="宋体"/>
          <w:sz w:val="24"/>
          <w:szCs w:val="24"/>
          <w:highlight w:val="none"/>
          <w:lang w:val="en-US" w:eastAsia="zh-CN"/>
        </w:rPr>
        <w:t xml:space="preserve">及以上</w:t>
      </w:r>
      <w:r>
        <w:rPr>
          <w:rFonts w:hint="eastAsia" w:ascii="宋体" w:hAnsi="宋体" w:eastAsia="宋体" w:cs="宋体"/>
          <w:sz w:val="24"/>
          <w:szCs w:val="24"/>
          <w:highlight w:val="none"/>
        </w:rPr>
        <w:t xml:space="preserve">职称的得3分，最高得5分。</w:t>
      </w:r>
      <w:r>
        <w:rPr>
          <w:rFonts w:hint="eastAsia" w:ascii="宋体" w:hAnsi="宋体" w:eastAsia="宋体" w:cs="宋体"/>
          <w:color w:val="000000"/>
          <w:sz w:val="24"/>
          <w:szCs w:val="24"/>
          <w:highlight w:val="none"/>
        </w:rPr>
        <w:t xml:space="preserve">投标时应提供执业注册证书、最新一期的社会养老保险证明，如有缺失则不予认可。</w:t>
      </w:r>
      <w:r>
        <w:rPr>
          <w:rFonts w:hint="eastAsia" w:ascii="宋体" w:hAnsi="宋体" w:eastAsia="宋体" w:cs="宋体"/>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项目组配备人员（不含项目负责人，限</w:t>
      </w:r>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人，如提供项目配备人员超出1</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人的按</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提供人员名单的自然顺序计算）有一级注册造价工程师（旧版为国家注册造价工程师）执业资格的，每人得</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分，最高</w:t>
      </w:r>
      <w:r>
        <w:rPr>
          <w:rFonts w:hint="eastAsia" w:ascii="宋体" w:hAnsi="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按建人〔2018〕67号《造价工程师职业资格制度规定》、《水利部关于印发&lt;注册造价工程师（水利工程）管理办法&gt;的通知》（水建设〔2021〕334号）的规定，通过一级造价工程师考试取得一级造价工程师职业资格并注册、或根据《造价工程师执业资格制度暂行规定》（人发〔1996〕）77号取得造价工程师执业资格证书并注册、或在2013年12月31日以前取得中国水利工程协会颁发的水利工程造价工程师资格证书并注册为一级水利造价工程师的造价从业人员。投标时应提供执业注册证书、最新一期的社会养老保险证明，如有缺失则不予认可。</w:t>
      </w:r>
      <w:r>
        <w:rPr>
          <w:rFonts w:hint="eastAsia" w:ascii="宋体" w:hAnsi="宋体" w:eastAsia="宋体" w:cs="宋体"/>
          <w:b/>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项目组配备人员（不含项目负责人，限1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人，如提供项目配备人员超出1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人的按</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提供人员名单的自然顺序计算）具备与项目相关专业职称情况</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具有与项目相关的</w:t>
      </w:r>
      <w:r>
        <w:rPr>
          <w:rFonts w:hint="eastAsia" w:ascii="宋体" w:hAnsi="宋体" w:eastAsia="宋体" w:cs="宋体"/>
          <w:bCs/>
          <w:color w:val="000000"/>
          <w:sz w:val="24"/>
          <w:szCs w:val="24"/>
          <w:highlight w:val="none"/>
          <w:lang w:val="en-US" w:eastAsia="zh-CN"/>
        </w:rPr>
        <w:t xml:space="preserve">工程师职称每增加1人加0.</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高级及以上工程师职称每增加1人加0.</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本项最高</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同一人按其最高职称计取，不重复计取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项目组人员专业配备（包含项目负责人，限1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人，如提供项目配备人员超出1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人的按</w:t>
      </w:r>
      <w:r>
        <w:rPr>
          <w:rFonts w:hint="eastAsia" w:ascii="宋体" w:hAnsi="宋体" w:eastAsia="宋体" w:cs="宋体"/>
          <w:b/>
          <w:color w:val="000000"/>
          <w:sz w:val="24"/>
          <w:szCs w:val="24"/>
          <w:highlight w:val="none"/>
          <w:lang w:eastAsia="zh-CN"/>
        </w:rPr>
        <w:t xml:space="preserve">供应商</w:t>
      </w:r>
      <w:r>
        <w:rPr>
          <w:rFonts w:hint="eastAsia" w:ascii="宋体" w:hAnsi="宋体" w:eastAsia="宋体" w:cs="宋体"/>
          <w:b/>
          <w:color w:val="000000"/>
          <w:sz w:val="24"/>
          <w:szCs w:val="24"/>
          <w:highlight w:val="none"/>
        </w:rPr>
        <w:t xml:space="preserve">提供人员名单的自然顺序计算），具有土建、装饰、安装、市政专业人员各</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名得</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分，具有土建、装饰、安装、市政专业人员各</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名得</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分</w:t>
      </w:r>
      <w:r>
        <w:rPr>
          <w:rFonts w:hint="eastAsia" w:ascii="宋体" w:hAnsi="宋体" w:eastAsia="宋体" w:cs="宋体"/>
          <w:color w:val="000000"/>
          <w:sz w:val="24"/>
          <w:szCs w:val="24"/>
          <w:highlight w:val="none"/>
        </w:rPr>
        <w:t xml:space="preserve">（同一人具有多专业可重复计算，提供注册造价师证书或按照行业相关规定的全国建设工程造价员资格证书、江苏省中级及以上造价员资格证书或等同于江苏省中级及以上造价员的资格证书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最新一期的社会养老保险证明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其中装饰和市政专业</w:t>
      </w:r>
      <w:r>
        <w:rPr>
          <w:rFonts w:hint="eastAsia" w:ascii="宋体" w:hAnsi="宋体" w:eastAsia="宋体" w:cs="宋体"/>
          <w:b/>
          <w:color w:val="000000"/>
          <w:sz w:val="24"/>
          <w:szCs w:val="24"/>
          <w:highlight w:val="none"/>
        </w:rPr>
        <w:t xml:space="preserve">如现有证书不体现</w:t>
      </w:r>
      <w:r>
        <w:rPr>
          <w:rFonts w:hint="eastAsia" w:ascii="宋体" w:hAnsi="宋体" w:eastAsia="宋体" w:cs="宋体"/>
          <w:color w:val="000000"/>
          <w:sz w:val="24"/>
          <w:szCs w:val="24"/>
          <w:highlight w:val="none"/>
        </w:rPr>
        <w:t xml:space="preserve">的投标文件中需提供相关业绩证明）</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技术组织方案</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49</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1.企业内部管理制度， </w:t>
      </w:r>
      <w:r>
        <w:rPr>
          <w:rFonts w:hint="eastAsia" w:ascii="宋体" w:hAnsi="宋体" w:eastAsia="宋体" w:cs="宋体"/>
          <w:b/>
          <w:color w:val="000000"/>
          <w:sz w:val="24"/>
          <w:szCs w:val="24"/>
          <w:highlight w:val="none"/>
        </w:rPr>
        <w:t xml:space="preserve">本项最高</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咨询服务商内部各项管理制度的执行情况，包括人员组织、人员培训、财务制度、档案管理、内控制度、职业操守、廉洁自律和保密制度等。</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质量控制制度、人事管理制度、财务制度和档案管理制度内容完整、可行性高的得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内容较为完整、可行性较高的得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内容简单片面、可行性较低的得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不提供或没有具体内容的不得分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2.便捷响应服务方案，本项最高</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应针对本项目提供有针对性的便捷响应服务方案，方案应包含提供咨询服务的模式方法及便捷性说明等内容。</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服务响应时间短，服务响应方式灵活，整体模式便捷有效，可行性高的得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服务响应时间较短，服务响应方式较为灵活，整体模式较为便捷有效，可行性较高的得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服务响应时间较长，服务响应方式不够灵活，整体模式不够便捷有效，可行性较低的得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不提供或没有具体内容的不得分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3.协审服务进度保障措施及工作程序比较，本项最高</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针对本项目实际情况，全面掌握项目进度，且制定完整规范的服务保障措施及有科学、合理的工作程序得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较为熟知项目进度，有较为完整、规范的服务保障措施及较为科学、合理的工作程序得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基本了解项目进度，</w:t>
      </w:r>
      <w:r>
        <w:rPr>
          <w:rFonts w:hint="eastAsia" w:ascii="宋体" w:hAnsi="宋体" w:cs="宋体"/>
          <w:color w:val="000000"/>
          <w:sz w:val="24"/>
          <w:szCs w:val="24"/>
          <w:highlight w:val="none"/>
          <w:lang w:val="en-US" w:eastAsia="zh-CN"/>
        </w:rPr>
        <w:t xml:space="preserve">但</w:t>
      </w:r>
      <w:r>
        <w:rPr>
          <w:rFonts w:hint="eastAsia" w:ascii="宋体" w:hAnsi="宋体" w:eastAsia="宋体" w:cs="宋体"/>
          <w:color w:val="000000"/>
          <w:sz w:val="24"/>
          <w:szCs w:val="24"/>
          <w:highlight w:val="none"/>
        </w:rPr>
        <w:t xml:space="preserve">服务保障措施不够完整、规范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工作程序仅满足基本要求得3分；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不提供或没有具体内容的不得分。</w:t>
      </w:r>
      <w:r>
        <w:rPr>
          <w:rFonts w:hint="eastAsia" w:ascii="宋体" w:hAnsi="宋体" w:eastAsia="宋体" w:cs="宋体"/>
          <w:color w:val="000000"/>
          <w:sz w:val="24"/>
          <w:szCs w:val="24"/>
          <w:highlight w:val="none"/>
        </w:rPr>
      </w:r>
      <w:r/>
    </w:p>
    <w:p>
      <w:pPr>
        <w:pStyle w:val="995"/>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4.协审服务技术方案比较，本项最高</w:t>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提供开展本项目的服务技术方案全面、完整、科学、可行性强的得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提供开展本项目的服务技术方案较全面、完整、科学、可行性较强的得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提供开展本项目的服务技术方案不够全面、完整，可行性欠缺得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不提供或没有具体内容的不得分。 </w:t>
      </w:r>
      <w:r>
        <w:rPr>
          <w:rFonts w:hint="eastAsia" w:ascii="宋体" w:hAnsi="宋体" w:eastAsia="宋体" w:cs="宋体"/>
          <w:color w:val="000000"/>
          <w:sz w:val="24"/>
          <w:szCs w:val="24"/>
          <w:highlight w:val="none"/>
        </w:rPr>
      </w:r>
      <w:r/>
    </w:p>
    <w:p>
      <w:pPr>
        <w:pStyle w:val="1013"/>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5.协审工作要点 </w:t>
      </w:r>
      <w:r>
        <w:rPr>
          <w:rFonts w:hint="eastAsia"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协审工作要点分析全面、清晰、合理、理解深刻的得</w:t>
      </w:r>
      <w:r>
        <w:rPr>
          <w:rFonts w:hint="eastAsia" w:ascii="宋体" w:hAnsi="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分析相对较为全面、清晰、合理的得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基本合理但有欠缺的得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95"/>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不提供或没有具体内容的不得分。</w:t>
      </w:r>
      <w:r>
        <w:rPr>
          <w:rFonts w:hint="eastAsia" w:ascii="宋体" w:hAnsi="宋体" w:eastAsia="宋体" w:cs="宋体"/>
          <w:color w:val="000000"/>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pStyle w:val="1012"/>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82"/>
        <w:jc w:val="left"/>
        <w:spacing w:line="360" w:lineRule="auto"/>
        <w:shd w:val="clear" w:color="auto" w:fill="auto"/>
        <w:rPr>
          <w:rFonts w:ascii="宋体" w:hAnsi="宋体"/>
          <w:b/>
          <w:sz w:val="24"/>
          <w:szCs w:val="24"/>
          <w:highlight w:val="none"/>
        </w:rPr>
      </w:pPr>
      <w:r>
        <w:rPr>
          <w:rFonts w:hint="eastAsia" w:ascii="宋体" w:hAnsi="宋体"/>
          <w:b/>
          <w:sz w:val="24"/>
          <w:szCs w:val="24"/>
          <w:highlight w:val="none"/>
        </w:rPr>
        <w:t xml:space="preserve">注：</w:t>
      </w:r>
      <w:r>
        <w:rPr>
          <w:rFonts w:ascii="宋体" w:hAnsi="宋体"/>
          <w:b/>
          <w:sz w:val="24"/>
          <w:szCs w:val="24"/>
          <w:highlight w:val="none"/>
        </w:rPr>
      </w:r>
      <w:r/>
    </w:p>
    <w:p>
      <w:pPr>
        <w:pStyle w:val="995"/>
        <w:ind w:firstLine="482"/>
        <w:jc w:val="left"/>
        <w:spacing w:line="360" w:lineRule="auto"/>
        <w:shd w:val="clear" w:color="auto" w:fill="auto"/>
        <w:rPr>
          <w:rFonts w:ascii="宋体" w:hAnsi="宋体"/>
          <w:b/>
          <w:sz w:val="24"/>
          <w:szCs w:val="24"/>
          <w:highlight w:val="none"/>
        </w:rPr>
      </w:pPr>
      <w:r>
        <w:rPr>
          <w:rFonts w:hint="eastAsia" w:ascii="宋体" w:hAnsi="宋体"/>
          <w:b/>
          <w:sz w:val="24"/>
          <w:szCs w:val="24"/>
          <w:highlight w:val="none"/>
        </w:rPr>
        <w:t xml:space="preserve">1</w:t>
      </w:r>
      <w:r>
        <w:rPr>
          <w:rFonts w:ascii="宋体" w:hAnsi="宋体"/>
          <w:b/>
          <w:sz w:val="24"/>
          <w:szCs w:val="24"/>
          <w:highlight w:val="none"/>
        </w:rPr>
        <w:t xml:space="preserve">.以上评分标准中评分的每一条，各</w:t>
      </w:r>
      <w:r>
        <w:rPr>
          <w:rFonts w:hint="eastAsia" w:ascii="宋体" w:hAnsi="宋体"/>
          <w:b/>
          <w:sz w:val="24"/>
          <w:szCs w:val="24"/>
          <w:highlight w:val="none"/>
        </w:rPr>
        <w:t xml:space="preserve">响应</w:t>
      </w:r>
      <w:r>
        <w:rPr>
          <w:rFonts w:ascii="宋体" w:hAnsi="宋体"/>
          <w:b/>
          <w:sz w:val="24"/>
          <w:szCs w:val="24"/>
          <w:highlight w:val="none"/>
        </w:rPr>
        <w:t xml:space="preserve">单位均应提供相关的资料并作出相应的对比供评分评判。</w:t>
      </w:r>
      <w:r>
        <w:rPr>
          <w:rFonts w:ascii="宋体" w:hAnsi="宋体"/>
          <w:b/>
          <w:sz w:val="24"/>
          <w:szCs w:val="24"/>
          <w:highlight w:val="none"/>
        </w:rPr>
      </w:r>
      <w:r/>
    </w:p>
    <w:p>
      <w:pPr>
        <w:pStyle w:val="995"/>
        <w:ind w:firstLine="482"/>
        <w:jc w:val="left"/>
        <w:spacing w:line="360" w:lineRule="auto"/>
        <w:shd w:val="clear" w:color="auto" w:fill="auto"/>
        <w:rPr>
          <w:rFonts w:ascii="宋体" w:hAnsi="宋体"/>
          <w:b/>
          <w:sz w:val="24"/>
          <w:szCs w:val="24"/>
          <w:highlight w:val="none"/>
        </w:rPr>
      </w:pP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响应</w:t>
      </w:r>
      <w:r>
        <w:rPr>
          <w:rFonts w:ascii="宋体" w:hAnsi="宋体"/>
          <w:b/>
          <w:sz w:val="24"/>
          <w:szCs w:val="24"/>
          <w:highlight w:val="none"/>
        </w:rPr>
        <w:t xml:space="preserve">报价超过财政审批预算金额（含每</w:t>
      </w:r>
      <w:r>
        <w:rPr>
          <w:rFonts w:hint="eastAsia" w:ascii="宋体" w:hAnsi="宋体"/>
          <w:b/>
          <w:sz w:val="24"/>
          <w:szCs w:val="24"/>
          <w:highlight w:val="none"/>
          <w:lang w:eastAsia="zh-CN"/>
        </w:rPr>
        <w:t xml:space="preserve">采购包</w:t>
      </w:r>
      <w:r>
        <w:rPr>
          <w:rFonts w:ascii="宋体" w:hAnsi="宋体"/>
          <w:b/>
          <w:sz w:val="24"/>
          <w:szCs w:val="24"/>
          <w:highlight w:val="none"/>
        </w:rPr>
        <w:t xml:space="preserve">预算）的，为无效标。</w:t>
      </w:r>
      <w:r>
        <w:rPr>
          <w:rFonts w:ascii="宋体" w:hAnsi="宋体"/>
          <w:b/>
          <w:sz w:val="24"/>
          <w:szCs w:val="24"/>
          <w:highlight w:val="none"/>
        </w:rPr>
      </w:r>
      <w:r/>
    </w:p>
    <w:p>
      <w:pPr>
        <w:pStyle w:val="995"/>
        <w:ind w:firstLine="482"/>
        <w:jc w:val="left"/>
        <w:spacing w:line="360" w:lineRule="auto"/>
        <w:shd w:val="clear" w:color="auto" w:fill="auto"/>
        <w:rPr>
          <w:rFonts w:ascii="宋体" w:hAnsi="宋体"/>
          <w:b/>
          <w:sz w:val="24"/>
          <w:szCs w:val="24"/>
          <w:highlight w:val="none"/>
        </w:rPr>
      </w:pP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响应</w:t>
      </w:r>
      <w:r>
        <w:rPr>
          <w:rFonts w:ascii="宋体" w:hAnsi="宋体"/>
          <w:b/>
          <w:sz w:val="24"/>
          <w:szCs w:val="24"/>
          <w:highlight w:val="none"/>
        </w:rPr>
        <w:t xml:space="preserve">文件中如出现前后不一致时,评委有权请</w:t>
      </w:r>
      <w:r>
        <w:rPr>
          <w:rFonts w:hint="eastAsia" w:ascii="宋体" w:hAnsi="宋体"/>
          <w:b/>
          <w:sz w:val="24"/>
          <w:szCs w:val="24"/>
          <w:highlight w:val="none"/>
          <w:lang w:eastAsia="zh-CN"/>
        </w:rPr>
        <w:t xml:space="preserve">供应商</w:t>
      </w:r>
      <w:r>
        <w:rPr>
          <w:rFonts w:ascii="宋体" w:hAnsi="宋体"/>
          <w:b/>
          <w:sz w:val="24"/>
          <w:szCs w:val="24"/>
          <w:highlight w:val="none"/>
        </w:rPr>
        <w:t xml:space="preserve">澄清说明,澄清说明事项涉及评分时,评委有权酌情扣分。</w:t>
      </w:r>
      <w:r>
        <w:rPr>
          <w:rFonts w:ascii="宋体" w:hAnsi="宋体"/>
          <w:b/>
          <w:sz w:val="24"/>
          <w:szCs w:val="24"/>
          <w:highlight w:val="none"/>
        </w:rPr>
      </w:r>
      <w:r/>
    </w:p>
    <w:p>
      <w:pPr>
        <w:pStyle w:val="995"/>
        <w:ind w:firstLine="482"/>
        <w:jc w:val="left"/>
        <w:spacing w:line="360" w:lineRule="auto"/>
        <w:shd w:val="clear" w:color="auto" w:fill="auto"/>
        <w:rPr>
          <w:rFonts w:hint="eastAsia" w:ascii="宋体" w:hAnsi="宋体" w:cs="宋体"/>
          <w:b/>
          <w:bCs/>
          <w:sz w:val="32"/>
          <w:szCs w:val="32"/>
          <w:highlight w:val="none"/>
        </w:rPr>
      </w:pPr>
      <w:r>
        <w:rPr>
          <w:rFonts w:hint="eastAsia" w:ascii="宋体" w:hAnsi="宋体"/>
          <w:b/>
          <w:sz w:val="24"/>
          <w:szCs w:val="24"/>
          <w:highlight w:val="none"/>
        </w:rPr>
        <w:t xml:space="preserve">4</w:t>
      </w:r>
      <w:r>
        <w:rPr>
          <w:rFonts w:ascii="宋体" w:hAnsi="宋体"/>
          <w:b/>
          <w:sz w:val="24"/>
          <w:szCs w:val="24"/>
          <w:highlight w:val="none"/>
        </w:rPr>
        <w:t xml:space="preserve">、付款方式及</w:t>
      </w:r>
      <w:r>
        <w:rPr>
          <w:rFonts w:hint="eastAsia" w:ascii="宋体" w:hAnsi="宋体"/>
          <w:b/>
          <w:sz w:val="24"/>
          <w:szCs w:val="24"/>
          <w:highlight w:val="none"/>
        </w:rPr>
        <w:t xml:space="preserve">服务</w:t>
      </w:r>
      <w:r>
        <w:rPr>
          <w:rFonts w:ascii="宋体" w:hAnsi="宋体"/>
          <w:b/>
          <w:sz w:val="24"/>
          <w:szCs w:val="24"/>
          <w:highlight w:val="none"/>
        </w:rPr>
        <w:t xml:space="preserve">期不响应</w:t>
      </w:r>
      <w:r>
        <w:rPr>
          <w:rFonts w:hint="eastAsia" w:ascii="宋体" w:hAnsi="宋体"/>
          <w:b/>
          <w:sz w:val="24"/>
          <w:szCs w:val="24"/>
          <w:highlight w:val="none"/>
        </w:rPr>
        <w:t xml:space="preserve">磋商</w:t>
      </w:r>
      <w:r>
        <w:rPr>
          <w:rFonts w:ascii="宋体" w:hAnsi="宋体"/>
          <w:b/>
          <w:sz w:val="24"/>
          <w:szCs w:val="24"/>
          <w:highlight w:val="none"/>
        </w:rPr>
        <w:t xml:space="preserve">文件要求的</w:t>
      </w:r>
      <w:r>
        <w:rPr>
          <w:rFonts w:hint="eastAsia" w:ascii="宋体" w:hAnsi="宋体"/>
          <w:b/>
          <w:sz w:val="24"/>
          <w:szCs w:val="24"/>
          <w:highlight w:val="none"/>
        </w:rPr>
        <w:t xml:space="preserve">做无效标处理</w:t>
      </w:r>
      <w:r>
        <w:rPr>
          <w:rFonts w:ascii="宋体" w:hAnsi="宋体"/>
          <w:b/>
          <w:sz w:val="24"/>
          <w:szCs w:val="24"/>
          <w:highlight w:val="none"/>
        </w:rPr>
        <w:t xml:space="preserve">。</w:t>
      </w:r>
      <w:r>
        <w:rPr>
          <w:rFonts w:hint="eastAsia" w:ascii="宋体" w:hAnsi="宋体" w:cs="宋体"/>
          <w:b/>
          <w:bCs/>
          <w:sz w:val="32"/>
          <w:szCs w:val="32"/>
          <w:highlight w:val="none"/>
        </w:rPr>
      </w:r>
      <w:r/>
    </w:p>
    <w:p>
      <w:pPr>
        <w:pStyle w:val="995"/>
        <w:ind w:left="643"/>
        <w:jc w:val="center"/>
        <w:shd w:val="clear" w:color="auto" w:fill="auto"/>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t xml:space="preserve">四、合同主要条款</w:t>
      </w:r>
      <w:r>
        <w:rPr>
          <w:rFonts w:hint="eastAsia" w:ascii="宋体" w:hAnsi="宋体" w:cs="宋体"/>
          <w:b/>
          <w:sz w:val="32"/>
          <w:highlight w:val="none"/>
        </w:rPr>
      </w:r>
      <w:r/>
    </w:p>
    <w:p>
      <w:pPr>
        <w:pStyle w:val="995"/>
        <w:jc w:val="center"/>
        <w:spacing w:line="360" w:lineRule="auto"/>
        <w:shd w:val="clear" w:color="auto" w:fill="auto"/>
        <w:rPr>
          <w:rFonts w:ascii="宋体" w:hAnsi="宋体" w:cs="宋体"/>
          <w:b/>
          <w:bCs/>
          <w:sz w:val="28"/>
          <w:szCs w:val="28"/>
          <w:highlight w:val="none"/>
        </w:rPr>
      </w:pPr>
      <w:r>
        <w:rPr>
          <w:rFonts w:hint="eastAsia" w:ascii="宋体" w:hAnsi="宋体" w:cs="宋体"/>
          <w:b/>
          <w:bCs/>
          <w:sz w:val="28"/>
          <w:szCs w:val="28"/>
          <w:highlight w:val="none"/>
        </w:rPr>
        <w:t xml:space="preserve">政府采购合同</w:t>
      </w:r>
      <w:r>
        <w:rPr>
          <w:rFonts w:ascii="宋体" w:hAnsi="宋体" w:cs="宋体"/>
          <w:b/>
          <w:bCs/>
          <w:sz w:val="28"/>
          <w:szCs w:val="28"/>
          <w:highlight w:val="none"/>
        </w:rPr>
      </w:r>
      <w:r/>
    </w:p>
    <w:p>
      <w:pPr>
        <w:pStyle w:val="99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合同编号： </w:t>
      </w:r>
      <w:r>
        <w:rPr>
          <w:rFonts w:hint="eastAsia" w:ascii="宋体" w:hAnsi="宋体" w:cs="宋体"/>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甲方（采购方）：苏州国家高新技术产业开发区镇湖街道办事处</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代理人：</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乙方（供应方）：</w:t>
      </w: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代理人：</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95"/>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p>
      <w:pPr>
        <w:pStyle w:val="995"/>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95"/>
        <w:ind w:firstLine="540"/>
        <w:spacing w:line="360" w:lineRule="auto"/>
        <w:shd w:val="clear" w:color="auto" w:fill="auto"/>
        <w:rPr>
          <w:rFonts w:ascii="宋体" w:hAnsi="宋体" w:cs="宋体"/>
          <w:color w:val="000000"/>
          <w:sz w:val="24"/>
          <w:highlight w:val="none"/>
        </w:rPr>
      </w:pPr>
      <w:r/>
      <w:bookmarkStart w:id="0" w:name="_Toc13543224"/>
      <w:r>
        <w:rPr>
          <w:rFonts w:hint="eastAsia" w:ascii="宋体" w:hAnsi="宋体" w:cs="宋体"/>
          <w:color w:val="000000"/>
          <w:sz w:val="24"/>
          <w:highlight w:val="none"/>
        </w:rPr>
        <w:t xml:space="preserve">根据甲方申请并财政局核准</w:t>
      </w:r>
      <w:r>
        <w:rPr>
          <w:rFonts w:hint="eastAsia" w:ascii="宋体" w:hAnsi="宋体" w:eastAsia="宋体" w:cs="宋体"/>
          <w:color w:val="000000"/>
          <w:sz w:val="24"/>
          <w:highlight w:val="none"/>
        </w:rPr>
        <w:t xml:space="preserve">镇湖街道四期动迁房安置小区（锦湖花园四期）项目审计协审服务</w:t>
      </w:r>
      <w:r>
        <w:rPr>
          <w:rFonts w:hint="eastAsia" w:ascii="宋体" w:hAnsi="宋体" w:cs="宋体"/>
          <w:color w:val="000000"/>
          <w:sz w:val="24"/>
          <w:highlight w:val="none"/>
        </w:rPr>
        <w:t xml:space="preserve">的政府采购计划，依据甲方委托苏州海企国际工程咨询有限公司进行本项目政府采购</w:t>
      </w:r>
      <w:r>
        <w:rPr>
          <w:rFonts w:hint="eastAsia" w:ascii="宋体" w:hAnsi="宋体" w:cs="宋体"/>
          <w:color w:val="000000"/>
          <w:sz w:val="24"/>
          <w:highlight w:val="none"/>
          <w:lang w:eastAsia="zh-CN"/>
        </w:rPr>
        <w:t xml:space="preserve">JSZC-320505-SZHQ-C2026-0025</w:t>
      </w:r>
      <w:r>
        <w:rPr>
          <w:rFonts w:hint="eastAsia" w:ascii="宋体" w:hAnsi="宋体" w:cs="宋体"/>
          <w:color w:val="000000"/>
          <w:sz w:val="24"/>
          <w:highlight w:val="none"/>
        </w:rPr>
        <w:t xml:space="preserve">的成交结果，确定乙方为本次成交供应商，现依照磋商采购文件、乙方的响应文件及相关文件的内容，签订本合同书。</w:t>
      </w:r>
      <w:r>
        <w:rPr>
          <w:rFonts w:ascii="宋体" w:hAnsi="宋体" w:cs="宋体"/>
          <w:color w:val="000000"/>
          <w:sz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一、乙方通过</w:t>
      </w:r>
      <w:r>
        <w:rPr>
          <w:rFonts w:hint="eastAsia" w:hAnsi="宋体" w:eastAsia="宋体"/>
          <w:color w:val="000000"/>
          <w:sz w:val="24"/>
          <w:szCs w:val="24"/>
          <w:highlight w:val="none"/>
        </w:rPr>
        <w:t xml:space="preserve">磋商评审后</w:t>
      </w:r>
      <w:r>
        <w:rPr>
          <w:rFonts w:hAnsi="宋体" w:eastAsia="宋体"/>
          <w:color w:val="000000"/>
          <w:sz w:val="24"/>
          <w:szCs w:val="24"/>
          <w:highlight w:val="none"/>
        </w:rPr>
        <w:t xml:space="preserve">获得</w:t>
      </w:r>
      <w:r>
        <w:rPr>
          <w:rFonts w:hint="eastAsia" w:ascii="宋体" w:hAnsi="宋体" w:eastAsia="宋体" w:cs="宋体"/>
          <w:color w:val="000000"/>
          <w:sz w:val="24"/>
          <w:highlight w:val="none"/>
        </w:rPr>
        <w:t xml:space="preserve">镇湖街道四期动迁房安置小区（锦湖花园四期）项目审计协审</w:t>
      </w:r>
      <w:r>
        <w:rPr>
          <w:rFonts w:hint="eastAsia" w:hAnsi="宋体" w:eastAsia="宋体" w:cs="宋体"/>
          <w:color w:val="000000"/>
          <w:sz w:val="24"/>
          <w:szCs w:val="24"/>
          <w:highlight w:val="none"/>
          <w:lang w:eastAsia="zh-CN"/>
        </w:rPr>
        <w:t xml:space="preserve">服务</w:t>
      </w:r>
      <w:r>
        <w:rPr>
          <w:rFonts w:hint="eastAsia" w:hAnsi="宋体" w:eastAsia="宋体"/>
          <w:color w:val="000000"/>
          <w:sz w:val="24"/>
          <w:szCs w:val="24"/>
          <w:highlight w:val="none"/>
          <w:u w:val="single"/>
          <w:lang w:val="en-US" w:eastAsia="zh-CN"/>
        </w:rPr>
        <w:t xml:space="preserve">采购包   </w:t>
      </w:r>
      <w:r>
        <w:rPr>
          <w:rFonts w:hint="eastAsia" w:hAnsi="宋体" w:eastAsia="宋体"/>
          <w:color w:val="000000"/>
          <w:sz w:val="24"/>
          <w:szCs w:val="24"/>
          <w:highlight w:val="none"/>
        </w:rPr>
        <w:t xml:space="preserve">供应商</w:t>
      </w:r>
      <w:r>
        <w:rPr>
          <w:rFonts w:hAnsi="宋体" w:eastAsia="宋体"/>
          <w:color w:val="000000"/>
          <w:sz w:val="24"/>
          <w:szCs w:val="24"/>
          <w:highlight w:val="none"/>
        </w:rPr>
        <w:t xml:space="preserve">资格</w:t>
      </w:r>
      <w:r>
        <w:rPr>
          <w:rFonts w:hint="eastAsia" w:hAnsi="宋体" w:eastAsia="宋体"/>
          <w:color w:val="000000"/>
          <w:sz w:val="24"/>
          <w:szCs w:val="24"/>
          <w:highlight w:val="none"/>
        </w:rPr>
        <w:t xml:space="preserve">。</w:t>
      </w:r>
      <w:r>
        <w:rPr>
          <w:rFonts w:hAnsi="宋体" w:eastAsia="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4160"/>
        <w:gridCol w:w="3748"/>
        <w:gridCol w:w="1110"/>
      </w:tblGrid>
      <w:tr>
        <w:trPr/>
        <w:tc>
          <w:tcPr>
            <w:tcW w:w="5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序号</w:t>
            </w:r>
            <w:r>
              <w:rPr>
                <w:rFonts w:hAnsi="宋体" w:eastAsia="宋体"/>
                <w:color w:val="000000"/>
                <w:sz w:val="24"/>
                <w:szCs w:val="24"/>
                <w:highlight w:val="none"/>
              </w:rPr>
            </w:r>
            <w:r/>
          </w:p>
        </w:tc>
        <w:tc>
          <w:tcPr>
            <w:tcW w:w="20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项目名称</w:t>
            </w:r>
            <w:r>
              <w:rPr>
                <w:rFonts w:hAnsi="宋体" w:eastAsia="宋体"/>
                <w:color w:val="000000"/>
                <w:sz w:val="24"/>
                <w:szCs w:val="24"/>
                <w:highlight w:val="none"/>
              </w:rPr>
            </w:r>
            <w:r/>
          </w:p>
        </w:tc>
        <w:tc>
          <w:tcPr>
            <w:tcW w:w="1848"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工程名称</w:t>
            </w:r>
            <w:r>
              <w:rPr>
                <w:rFonts w:hAnsi="宋体" w:eastAsia="宋体"/>
                <w:color w:val="000000"/>
                <w:sz w:val="24"/>
                <w:szCs w:val="24"/>
                <w:highlight w:val="none"/>
              </w:rPr>
            </w:r>
            <w:r/>
          </w:p>
        </w:tc>
        <w:tc>
          <w:tcPr>
            <w:tcW w:w="547" w:type="dxa"/>
            <w:vAlign w:val="top"/>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备注</w:t>
            </w:r>
            <w:r>
              <w:rPr>
                <w:rFonts w:hAnsi="宋体" w:eastAsia="宋体"/>
                <w:color w:val="000000"/>
                <w:sz w:val="24"/>
                <w:szCs w:val="24"/>
                <w:highlight w:val="none"/>
              </w:rPr>
            </w:r>
            <w:r/>
          </w:p>
        </w:tc>
      </w:tr>
      <w:tr>
        <w:trPr/>
        <w:tc>
          <w:tcPr>
            <w:tcW w:w="5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1</w:t>
            </w:r>
            <w:r>
              <w:rPr>
                <w:rFonts w:hAnsi="宋体" w:eastAsia="宋体"/>
                <w:color w:val="000000"/>
                <w:sz w:val="24"/>
                <w:szCs w:val="24"/>
                <w:highlight w:val="none"/>
              </w:rPr>
            </w:r>
            <w:r/>
          </w:p>
        </w:tc>
        <w:tc>
          <w:tcPr>
            <w:tcW w:w="20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848"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547" w:type="dxa"/>
            <w:vAlign w:val="top"/>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r>
        <w:trPr/>
        <w:tc>
          <w:tcPr>
            <w:tcW w:w="5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2</w:t>
            </w:r>
            <w:r>
              <w:rPr>
                <w:rFonts w:hAnsi="宋体" w:eastAsia="宋体"/>
                <w:color w:val="000000"/>
                <w:sz w:val="24"/>
                <w:szCs w:val="24"/>
                <w:highlight w:val="none"/>
              </w:rPr>
            </w:r>
            <w:r/>
          </w:p>
        </w:tc>
        <w:tc>
          <w:tcPr>
            <w:tcW w:w="20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848"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547" w:type="dxa"/>
            <w:vAlign w:val="top"/>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r>
        <w:trPr/>
        <w:tc>
          <w:tcPr>
            <w:tcW w:w="5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w:t>
            </w:r>
            <w:r>
              <w:rPr>
                <w:rFonts w:hAnsi="宋体" w:eastAsia="宋体"/>
                <w:color w:val="000000"/>
                <w:sz w:val="24"/>
                <w:szCs w:val="24"/>
                <w:highlight w:val="none"/>
              </w:rPr>
            </w:r>
            <w:r/>
          </w:p>
        </w:tc>
        <w:tc>
          <w:tcPr>
            <w:tcW w:w="2051"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848"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547" w:type="dxa"/>
            <w:vAlign w:val="top"/>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bl>
    <w:p>
      <w:pPr>
        <w:pStyle w:val="1017"/>
        <w:ind w:firstLine="480"/>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注：未含在</w:t>
      </w:r>
      <w:r>
        <w:rPr>
          <w:rFonts w:hint="eastAsia" w:hAnsi="宋体" w:eastAsia="宋体"/>
          <w:color w:val="000000"/>
          <w:sz w:val="24"/>
          <w:szCs w:val="24"/>
          <w:highlight w:val="none"/>
          <w:lang w:eastAsia="zh-CN"/>
        </w:rPr>
        <w:t xml:space="preserve">采购包</w:t>
      </w:r>
      <w:r>
        <w:rPr>
          <w:rFonts w:hint="eastAsia" w:hAnsi="宋体" w:eastAsia="宋体"/>
          <w:color w:val="000000"/>
          <w:sz w:val="24"/>
          <w:szCs w:val="24"/>
          <w:highlight w:val="none"/>
        </w:rPr>
        <w:t xml:space="preserve">内的与主项目相关的附属工程，咨询费用在不超过合同金额10%时可纳入该</w:t>
      </w:r>
      <w:r>
        <w:rPr>
          <w:rFonts w:hint="eastAsia" w:hAnsi="宋体" w:eastAsia="宋体"/>
          <w:color w:val="000000"/>
          <w:sz w:val="24"/>
          <w:szCs w:val="24"/>
          <w:highlight w:val="none"/>
          <w:lang w:eastAsia="zh-CN"/>
        </w:rPr>
        <w:t xml:space="preserve">采购包</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二、合同有效期为：</w:t>
      </w:r>
      <w:r>
        <w:rPr>
          <w:rFonts w:hint="eastAsia" w:hAnsi="宋体" w:eastAsia="宋体"/>
          <w:color w:val="000000"/>
          <w:sz w:val="24"/>
          <w:szCs w:val="24"/>
          <w:highlight w:val="none"/>
        </w:rPr>
        <w:t xml:space="preserve">合同签订之日起至所有项目协审完成。</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三、下列文件应视为构成并作为阅读和理解本合同书的组成部分，即：</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本合同书；</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.成交</w:t>
      </w:r>
      <w:r>
        <w:rPr>
          <w:rFonts w:hAnsi="宋体" w:eastAsia="宋体"/>
          <w:color w:val="000000"/>
          <w:sz w:val="24"/>
          <w:szCs w:val="24"/>
          <w:highlight w:val="none"/>
        </w:rPr>
        <w:t xml:space="preserve">通知书；</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.响应</w:t>
      </w:r>
      <w:r>
        <w:rPr>
          <w:rFonts w:hAnsi="宋体" w:eastAsia="宋体"/>
          <w:color w:val="000000"/>
          <w:sz w:val="24"/>
          <w:szCs w:val="24"/>
          <w:highlight w:val="none"/>
        </w:rPr>
        <w:t xml:space="preserve">文件及其附件（含</w:t>
      </w:r>
      <w:r>
        <w:rPr>
          <w:rFonts w:hint="eastAsia" w:hAnsi="宋体" w:eastAsia="宋体"/>
          <w:color w:val="000000"/>
          <w:sz w:val="24"/>
          <w:szCs w:val="24"/>
          <w:highlight w:val="none"/>
        </w:rPr>
        <w:t xml:space="preserve">响应单位</w:t>
      </w:r>
      <w:r>
        <w:rPr>
          <w:rFonts w:hAnsi="宋体" w:eastAsia="宋体"/>
          <w:color w:val="000000"/>
          <w:sz w:val="24"/>
          <w:szCs w:val="24"/>
          <w:highlight w:val="none"/>
        </w:rPr>
        <w:t xml:space="preserve">在评标期间递交和确认并经</w:t>
      </w:r>
      <w:r>
        <w:rPr>
          <w:rFonts w:hint="eastAsia" w:hAnsi="宋体" w:eastAsia="宋体"/>
          <w:color w:val="000000"/>
          <w:sz w:val="24"/>
          <w:szCs w:val="24"/>
          <w:highlight w:val="none"/>
        </w:rPr>
        <w:t xml:space="preserve">采购</w:t>
      </w:r>
      <w:r>
        <w:rPr>
          <w:rFonts w:hAnsi="宋体" w:eastAsia="宋体"/>
          <w:color w:val="000000"/>
          <w:sz w:val="24"/>
          <w:szCs w:val="24"/>
          <w:highlight w:val="none"/>
        </w:rPr>
        <w:t xml:space="preserve">人同意的对有关问题的补充资料和澄清文件等，如果有）；</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4</w:t>
      </w:r>
      <w:r>
        <w:rPr>
          <w:rFonts w:hint="eastAsia" w:hAnsi="宋体" w:eastAsia="宋体"/>
          <w:color w:val="000000"/>
          <w:sz w:val="24"/>
          <w:szCs w:val="24"/>
          <w:highlight w:val="none"/>
        </w:rPr>
        <w:t xml:space="preserve">.磋商采购</w:t>
      </w:r>
      <w:r>
        <w:rPr>
          <w:rFonts w:hAnsi="宋体" w:eastAsia="宋体"/>
          <w:color w:val="000000"/>
          <w:sz w:val="24"/>
          <w:szCs w:val="24"/>
          <w:highlight w:val="none"/>
        </w:rPr>
        <w:t xml:space="preserve">文件</w:t>
      </w:r>
      <w:r>
        <w:rPr>
          <w:rFonts w:hint="eastAsia" w:hAnsi="宋体" w:eastAsia="宋体"/>
          <w:color w:val="000000"/>
          <w:sz w:val="24"/>
          <w:szCs w:val="24"/>
          <w:highlight w:val="none"/>
        </w:rPr>
        <w:t xml:space="preserve">；</w:t>
      </w:r>
      <w:r>
        <w:rPr>
          <w:rFonts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5.项目组成员信息：</w:t>
      </w:r>
      <w:r>
        <w:rPr>
          <w:rFonts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3138"/>
        <w:gridCol w:w="3542"/>
        <w:gridCol w:w="1748"/>
      </w:tblGrid>
      <w:tr>
        <w:trPr/>
        <w:tc>
          <w:tcPr>
            <w:tcW w:w="843"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序号</w:t>
            </w:r>
            <w:r>
              <w:rPr>
                <w:rFonts w:hAnsi="宋体" w:eastAsia="宋体"/>
                <w:color w:val="000000"/>
                <w:sz w:val="24"/>
                <w:szCs w:val="24"/>
                <w:highlight w:val="none"/>
              </w:rPr>
            </w:r>
            <w:r/>
          </w:p>
        </w:tc>
        <w:tc>
          <w:tcPr>
            <w:tcW w:w="1547"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姓名</w:t>
            </w:r>
            <w:r>
              <w:rPr>
                <w:rFonts w:hAnsi="宋体" w:eastAsia="宋体"/>
                <w:color w:val="000000"/>
                <w:sz w:val="24"/>
                <w:szCs w:val="24"/>
                <w:highlight w:val="none"/>
              </w:rPr>
            </w:r>
            <w:r/>
          </w:p>
        </w:tc>
        <w:tc>
          <w:tcPr>
            <w:tcW w:w="1746"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职位</w:t>
            </w:r>
            <w:r>
              <w:rPr>
                <w:rFonts w:hAnsi="宋体" w:eastAsia="宋体"/>
                <w:color w:val="000000"/>
                <w:sz w:val="24"/>
                <w:szCs w:val="24"/>
                <w:highlight w:val="none"/>
              </w:rPr>
            </w:r>
            <w:r/>
          </w:p>
        </w:tc>
        <w:tc>
          <w:tcPr>
            <w:tcW w:w="862"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备注</w:t>
            </w:r>
            <w:r>
              <w:rPr>
                <w:rFonts w:hAnsi="宋体" w:eastAsia="宋体"/>
                <w:color w:val="000000"/>
                <w:sz w:val="24"/>
                <w:szCs w:val="24"/>
                <w:highlight w:val="none"/>
              </w:rPr>
            </w:r>
            <w:r/>
          </w:p>
        </w:tc>
      </w:tr>
      <w:tr>
        <w:trPr/>
        <w:tc>
          <w:tcPr>
            <w:tcW w:w="843"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1</w:t>
            </w:r>
            <w:r>
              <w:rPr>
                <w:rFonts w:hAnsi="宋体" w:eastAsia="宋体"/>
                <w:color w:val="000000"/>
                <w:sz w:val="24"/>
                <w:szCs w:val="24"/>
                <w:highlight w:val="none"/>
              </w:rPr>
            </w:r>
            <w:r/>
          </w:p>
        </w:tc>
        <w:tc>
          <w:tcPr>
            <w:tcW w:w="1547"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746"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862"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r>
        <w:trPr/>
        <w:tc>
          <w:tcPr>
            <w:tcW w:w="843"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2</w:t>
            </w:r>
            <w:r>
              <w:rPr>
                <w:rFonts w:hAnsi="宋体" w:eastAsia="宋体"/>
                <w:color w:val="000000"/>
                <w:sz w:val="24"/>
                <w:szCs w:val="24"/>
                <w:highlight w:val="none"/>
              </w:rPr>
            </w:r>
            <w:r/>
          </w:p>
        </w:tc>
        <w:tc>
          <w:tcPr>
            <w:tcW w:w="1547"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746" w:type="dxa"/>
            <w:vAlign w:val="top"/>
            <w:textDirection w:val="lrTb"/>
            <w:noWrap w:val="false"/>
          </w:tcPr>
          <w:p>
            <w:pPr>
              <w:pStyle w:val="995"/>
              <w:jc w:val="center"/>
              <w:spacing w:line="360" w:lineRule="auto"/>
              <w:shd w:val="clear" w:color="auto" w:fill="auto"/>
              <w:rPr>
                <w:rFonts w:ascii="宋体" w:hAnsi="宋体"/>
                <w:color w:val="000000"/>
                <w:sz w:val="24"/>
                <w:highlight w:val="none"/>
              </w:rPr>
            </w:pPr>
            <w:r>
              <w:rPr>
                <w:rFonts w:ascii="宋体" w:hAnsi="宋体"/>
                <w:color w:val="000000"/>
                <w:sz w:val="24"/>
                <w:highlight w:val="none"/>
              </w:rPr>
            </w:r>
            <w:r/>
          </w:p>
        </w:tc>
        <w:tc>
          <w:tcPr>
            <w:tcW w:w="862"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r>
        <w:trPr/>
        <w:tc>
          <w:tcPr>
            <w:tcW w:w="843"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3</w:t>
            </w:r>
            <w:r>
              <w:rPr>
                <w:rFonts w:hAnsi="宋体" w:eastAsia="宋体"/>
                <w:color w:val="000000"/>
                <w:sz w:val="24"/>
                <w:szCs w:val="24"/>
                <w:highlight w:val="none"/>
              </w:rPr>
            </w:r>
            <w:r/>
          </w:p>
        </w:tc>
        <w:tc>
          <w:tcPr>
            <w:tcW w:w="1547"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746" w:type="dxa"/>
            <w:vAlign w:val="top"/>
            <w:textDirection w:val="lrTb"/>
            <w:noWrap w:val="false"/>
          </w:tcPr>
          <w:p>
            <w:pPr>
              <w:pStyle w:val="995"/>
              <w:jc w:val="center"/>
              <w:spacing w:line="360" w:lineRule="auto"/>
              <w:shd w:val="clear" w:color="auto" w:fill="auto"/>
              <w:rPr>
                <w:rFonts w:ascii="宋体" w:hAnsi="宋体"/>
                <w:color w:val="000000"/>
                <w:sz w:val="24"/>
                <w:highlight w:val="none"/>
              </w:rPr>
            </w:pPr>
            <w:r>
              <w:rPr>
                <w:rFonts w:ascii="宋体" w:hAnsi="宋体"/>
                <w:color w:val="000000"/>
                <w:sz w:val="24"/>
                <w:highlight w:val="none"/>
              </w:rPr>
            </w:r>
            <w:r/>
          </w:p>
        </w:tc>
        <w:tc>
          <w:tcPr>
            <w:tcW w:w="862"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r>
        <w:trPr/>
        <w:tc>
          <w:tcPr>
            <w:tcW w:w="843"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int="eastAsia" w:hAnsi="宋体" w:eastAsia="宋体"/>
                <w:color w:val="000000"/>
                <w:sz w:val="24"/>
                <w:szCs w:val="24"/>
                <w:highlight w:val="none"/>
              </w:rPr>
              <w:t xml:space="preserve">4</w:t>
            </w:r>
            <w:r>
              <w:rPr>
                <w:rFonts w:hAnsi="宋体" w:eastAsia="宋体"/>
                <w:color w:val="000000"/>
                <w:sz w:val="24"/>
                <w:szCs w:val="24"/>
                <w:highlight w:val="none"/>
              </w:rPr>
            </w:r>
            <w:r/>
          </w:p>
        </w:tc>
        <w:tc>
          <w:tcPr>
            <w:tcW w:w="1547"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c>
          <w:tcPr>
            <w:tcW w:w="1746" w:type="dxa"/>
            <w:vAlign w:val="top"/>
            <w:textDirection w:val="lrTb"/>
            <w:noWrap w:val="false"/>
          </w:tcPr>
          <w:p>
            <w:pPr>
              <w:pStyle w:val="995"/>
              <w:jc w:val="center"/>
              <w:spacing w:line="360" w:lineRule="auto"/>
              <w:shd w:val="clear" w:color="auto" w:fill="auto"/>
              <w:rPr>
                <w:rFonts w:ascii="宋体" w:hAnsi="宋体"/>
                <w:color w:val="000000"/>
                <w:sz w:val="24"/>
                <w:highlight w:val="none"/>
              </w:rPr>
            </w:pPr>
            <w:r>
              <w:rPr>
                <w:rFonts w:ascii="宋体" w:hAnsi="宋体"/>
                <w:color w:val="000000"/>
                <w:sz w:val="24"/>
                <w:highlight w:val="none"/>
              </w:rPr>
            </w:r>
            <w:r/>
          </w:p>
        </w:tc>
        <w:tc>
          <w:tcPr>
            <w:tcW w:w="862" w:type="dxa"/>
            <w:vAlign w:val="center"/>
            <w:textDirection w:val="lrTb"/>
            <w:noWrap w:val="false"/>
          </w:tcPr>
          <w:p>
            <w:pPr>
              <w:pStyle w:val="1017"/>
              <w:jc w:val="center"/>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c>
      </w:tr>
    </w:tbl>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四、</w:t>
      </w:r>
      <w:r>
        <w:rPr>
          <w:rFonts w:hint="eastAsia" w:ascii="宋体" w:hAnsi="宋体"/>
          <w:color w:val="000000"/>
          <w:sz w:val="24"/>
          <w:highlight w:val="none"/>
        </w:rPr>
        <w:t xml:space="preserve">服务费及</w:t>
      </w:r>
      <w:r>
        <w:rPr>
          <w:rFonts w:ascii="宋体" w:hAnsi="宋体"/>
          <w:color w:val="000000"/>
          <w:sz w:val="24"/>
          <w:highlight w:val="none"/>
        </w:rPr>
        <w:t xml:space="preserve">税费</w:t>
      </w:r>
      <w:r>
        <w:rPr>
          <w:rFonts w:hint="eastAsia" w:ascii="宋体" w:hAnsi="宋体"/>
          <w:color w:val="000000"/>
          <w:sz w:val="24"/>
          <w:highlight w:val="none"/>
        </w:rPr>
        <w:t xml:space="preserve">规定：</w:t>
      </w:r>
      <w:r>
        <w:rPr>
          <w:rFonts w:ascii="宋体" w:hAnsi="宋体"/>
          <w:color w:val="000000"/>
          <w:sz w:val="24"/>
          <w:highlight w:val="none"/>
        </w:rPr>
      </w:r>
      <w:r/>
    </w:p>
    <w:p>
      <w:pPr>
        <w:pStyle w:val="995"/>
        <w:ind w:firstLine="480"/>
        <w:spacing w:line="360" w:lineRule="auto"/>
        <w:shd w:val="clear" w:color="auto" w:fill="auto"/>
        <w:rPr>
          <w:rFonts w:ascii="宋体" w:hAnsi="宋体" w:cs="宋体"/>
          <w:color w:val="000000"/>
          <w:sz w:val="24"/>
          <w:highlight w:val="none"/>
        </w:rPr>
      </w:pPr>
      <w:r>
        <w:rPr>
          <w:rFonts w:hint="eastAsia" w:ascii="宋体" w:hAnsi="宋体"/>
          <w:color w:val="000000"/>
          <w:sz w:val="24"/>
          <w:highlight w:val="none"/>
        </w:rPr>
        <w:t xml:space="preserve">1.合同价暂定为每</w:t>
      </w:r>
      <w:r>
        <w:rPr>
          <w:rFonts w:hint="eastAsia" w:ascii="宋体" w:hAnsi="宋体"/>
          <w:color w:val="000000"/>
          <w:sz w:val="24"/>
          <w:highlight w:val="none"/>
          <w:lang w:eastAsia="zh-CN"/>
        </w:rPr>
        <w:t xml:space="preserve">采购包</w:t>
      </w:r>
      <w:r>
        <w:rPr>
          <w:rFonts w:hint="eastAsia" w:ascii="宋体" w:hAnsi="宋体"/>
          <w:color w:val="000000"/>
          <w:sz w:val="24"/>
          <w:highlight w:val="none"/>
        </w:rPr>
        <w:t xml:space="preserve">预算，</w:t>
      </w:r>
      <w:r>
        <w:rPr>
          <w:rFonts w:ascii="宋体" w:hAnsi="宋体"/>
          <w:color w:val="000000"/>
          <w:sz w:val="24"/>
          <w:highlight w:val="none"/>
        </w:rPr>
        <w:t xml:space="preserve">最终服务费</w:t>
      </w:r>
      <w:r>
        <w:rPr>
          <w:rFonts w:hint="eastAsia" w:ascii="宋体" w:hAnsi="宋体" w:cs="宋体"/>
          <w:color w:val="000000"/>
          <w:sz w:val="24"/>
          <w:highlight w:val="none"/>
        </w:rPr>
        <w:t xml:space="preserve">根据</w:t>
      </w:r>
      <w:r>
        <w:rPr>
          <w:rFonts w:hint="eastAsia" w:ascii="宋体" w:hAnsi="宋体" w:eastAsia="宋体" w:cs="宋体"/>
          <w:color w:val="000000"/>
          <w:sz w:val="24"/>
          <w:highlight w:val="none"/>
        </w:rPr>
        <w:t xml:space="preserve">苏州科技城工程造价咨询服务付费标准</w:t>
      </w:r>
      <w:r>
        <w:rPr>
          <w:rFonts w:hint="eastAsia" w:ascii="宋体" w:hAnsi="宋体" w:eastAsia="宋体" w:cs="宋体"/>
          <w:color w:val="000000"/>
          <w:sz w:val="24"/>
          <w:highlight w:val="none"/>
          <w:lang w:val="en-US" w:eastAsia="zh-CN"/>
        </w:rPr>
        <w:t xml:space="preserve">按</w:t>
      </w:r>
      <w:r>
        <w:rPr>
          <w:rFonts w:hint="eastAsia" w:ascii="宋体" w:hAnsi="宋体" w:eastAsia="宋体" w:cs="宋体"/>
          <w:color w:val="000000"/>
          <w:sz w:val="24"/>
          <w:highlight w:val="none"/>
        </w:rPr>
        <w:t xml:space="preserve">实计算</w:t>
      </w:r>
      <w:r>
        <w:rPr>
          <w:rFonts w:hint="eastAsia" w:ascii="宋体" w:hAnsi="宋体" w:eastAsia="宋体" w:cs="宋体"/>
          <w:color w:val="000000"/>
          <w:sz w:val="24"/>
          <w:highlight w:val="none"/>
          <w:lang w:eastAsia="zh-CN"/>
        </w:rPr>
        <w:t xml:space="preserve">。</w:t>
      </w:r>
      <w:r>
        <w:rPr>
          <w:rFonts w:ascii="宋体" w:hAnsi="宋体" w:cs="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中国政府根据现行税法规定对乙方征收的、与本合同有关的一切税费，均由乙方负担。</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五、双方职责</w:t>
      </w:r>
      <w:r>
        <w:rPr>
          <w:rFonts w:hint="eastAsia" w:ascii="宋体" w:hAnsi="宋体"/>
          <w:color w:val="000000"/>
          <w:sz w:val="24"/>
          <w:highlight w:val="none"/>
        </w:rPr>
        <w:t xml:space="preserve">：</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甲方职责：</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.对乙方服务进行考核管理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见采购文件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08"/>
        <w:ind w:left="0" w:firstLine="480"/>
        <w:jc w:val="left"/>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2.按照咨询服务付费标准结合考核结果</w:t>
      </w:r>
      <w:r>
        <w:rPr>
          <w:rFonts w:hint="eastAsia" w:ascii="宋体" w:hAnsi="宋体" w:eastAsia="宋体"/>
          <w:color w:val="000000"/>
          <w:sz w:val="24"/>
          <w:szCs w:val="24"/>
          <w:highlight w:val="none"/>
          <w:lang w:val="en-US" w:eastAsia="zh-CN"/>
        </w:rPr>
        <w:t xml:space="preserve">一次性</w:t>
      </w:r>
      <w:r>
        <w:rPr>
          <w:rFonts w:hint="eastAsia" w:ascii="宋体" w:hAnsi="宋体" w:eastAsia="宋体"/>
          <w:color w:val="000000"/>
          <w:sz w:val="24"/>
          <w:szCs w:val="24"/>
          <w:highlight w:val="none"/>
        </w:rPr>
        <w:t xml:space="preserve">支付</w:t>
      </w:r>
      <w:r>
        <w:rPr>
          <w:rFonts w:hint="eastAsia" w:ascii="宋体" w:hAnsi="宋体" w:eastAsia="宋体"/>
          <w:color w:val="000000"/>
          <w:sz w:val="24"/>
          <w:szCs w:val="24"/>
          <w:highlight w:val="none"/>
          <w:lang w:val="en-US" w:eastAsia="zh-CN"/>
        </w:rPr>
        <w:t xml:space="preserve">所有</w:t>
      </w:r>
      <w:r>
        <w:rPr>
          <w:rFonts w:hint="eastAsia" w:ascii="宋体" w:hAnsi="宋体" w:eastAsia="宋体"/>
          <w:color w:val="000000"/>
          <w:sz w:val="24"/>
          <w:szCs w:val="24"/>
          <w:highlight w:val="none"/>
        </w:rPr>
        <w:t xml:space="preserve">咨询项目业务费</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乙方职责：</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乙方应</w:t>
      </w:r>
      <w:r>
        <w:rPr>
          <w:rFonts w:hint="eastAsia" w:ascii="宋体" w:hAnsi="宋体"/>
          <w:color w:val="000000"/>
          <w:sz w:val="24"/>
          <w:highlight w:val="none"/>
        </w:rPr>
        <w:t xml:space="preserve">建立</w:t>
      </w:r>
      <w:r>
        <w:rPr>
          <w:rFonts w:ascii="宋体" w:hAnsi="宋体"/>
          <w:color w:val="000000"/>
          <w:sz w:val="24"/>
          <w:highlight w:val="none"/>
        </w:rPr>
        <w:t xml:space="preserve">质量管理体系，</w:t>
      </w:r>
      <w:r>
        <w:rPr>
          <w:rFonts w:hint="eastAsia" w:ascii="宋体" w:hAnsi="宋体"/>
          <w:color w:val="000000"/>
          <w:sz w:val="24"/>
          <w:highlight w:val="none"/>
        </w:rPr>
        <w:t xml:space="preserve">严格执行评审管理办法、评审工作规程、过程跟踪实施办法等评审规章制度，</w:t>
      </w:r>
      <w:r>
        <w:rPr>
          <w:rFonts w:ascii="宋体" w:hAnsi="宋体"/>
          <w:color w:val="000000"/>
          <w:sz w:val="24"/>
          <w:highlight w:val="none"/>
        </w:rPr>
        <w:t xml:space="preserve">确保项目咨询质量。项目咨询应当严格遵守国家的有关法律、法规、制度规定、有关执业规范及</w:t>
      </w:r>
      <w:r>
        <w:rPr>
          <w:rFonts w:hint="eastAsia" w:ascii="宋体" w:hAnsi="宋体"/>
          <w:color w:val="000000"/>
          <w:sz w:val="24"/>
          <w:highlight w:val="none"/>
        </w:rPr>
        <w:t xml:space="preserve">甲方的工作要求和工作规范</w:t>
      </w:r>
      <w:r>
        <w:rPr>
          <w:rFonts w:ascii="宋体" w:hAnsi="宋体"/>
          <w:color w:val="000000"/>
          <w:sz w:val="24"/>
          <w:highlight w:val="none"/>
        </w:rPr>
        <w:t xml:space="preserve">。咨询机构对咨询意见的真实性、完整性、可靠性负责。</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2.本项目拟派人员整个服务期应保持稳定，并服从委托人的人员备案、考勤及考核管理。</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3.乙方的工作必须接受甲方的考核，咨询服务严格执行有关规定，主要考核内容包括：工作效率、执业质量、服务水平、工作要求等方面，考核结果将与项目最终咨询费关联，并接受甲方根据考核结果做出的奖惩。对不同意执行考核的乙方，甲方有权终止合同。</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乙方的审核报告只向采购单位提供，不得自行提供给其他单位。</w:t>
      </w:r>
      <w:r>
        <w:rPr>
          <w:rFonts w:hint="eastAsia" w:ascii="宋体" w:hAnsi="宋体"/>
          <w:color w:val="000000"/>
          <w:sz w:val="24"/>
          <w:highlight w:val="none"/>
        </w:rPr>
        <w:t xml:space="preserve">对于咨询工作产生重大质量误差、咨询效率严重拖延、咨询工作要求违反各级造价行业规定及规范，以及</w:t>
      </w:r>
      <w:r>
        <w:rPr>
          <w:rFonts w:ascii="宋体" w:hAnsi="宋体"/>
          <w:color w:val="000000"/>
          <w:sz w:val="24"/>
          <w:highlight w:val="none"/>
        </w:rPr>
        <w:t xml:space="preserve">提供不实或内容虚假的咨询结果</w:t>
      </w:r>
      <w:r>
        <w:rPr>
          <w:rFonts w:hint="eastAsia" w:ascii="宋体" w:hAnsi="宋体"/>
          <w:color w:val="000000"/>
          <w:sz w:val="24"/>
          <w:highlight w:val="none"/>
        </w:rPr>
        <w:t xml:space="preserve">和</w:t>
      </w:r>
      <w:r>
        <w:rPr>
          <w:rFonts w:ascii="宋体" w:hAnsi="宋体"/>
          <w:color w:val="000000"/>
          <w:sz w:val="24"/>
          <w:highlight w:val="none"/>
        </w:rPr>
        <w:t xml:space="preserve">自行对外提供审核报告的，</w:t>
      </w:r>
      <w:r>
        <w:rPr>
          <w:rFonts w:hint="eastAsia" w:ascii="宋体" w:hAnsi="宋体"/>
          <w:color w:val="000000"/>
          <w:sz w:val="24"/>
          <w:highlight w:val="none"/>
        </w:rPr>
        <w:t xml:space="preserve">除由咨询机构自行承担责任外，委托人有权按要求进行严格考核并采取必要惩罚措施，包括扣减咨询费用、终止分配项目的咨询委托合同、将其剔除在以后轮次对外委托选择名单之列，直至终止乙方造价委托咨询服务项目</w:t>
      </w:r>
      <w:r>
        <w:rPr>
          <w:rFonts w:ascii="宋体" w:hAnsi="宋体"/>
          <w:color w:val="000000"/>
          <w:sz w:val="24"/>
          <w:highlight w:val="none"/>
        </w:rPr>
        <w:t xml:space="preserve">资格</w:t>
      </w:r>
      <w:r>
        <w:rPr>
          <w:rFonts w:hint="eastAsia" w:ascii="宋体" w:hAnsi="宋体"/>
          <w:color w:val="000000"/>
          <w:sz w:val="24"/>
          <w:highlight w:val="none"/>
        </w:rPr>
        <w:t xml:space="preserve">。情节严重的，依法提请有关部门追究咨询单位和相关责任人的行政及法律责任。</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5.单项工程结束后，由项目负责人返回报告及相关资料，现场签字确认考核结果。</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w:t>
      </w:r>
      <w:r>
        <w:rPr>
          <w:rFonts w:ascii="宋体" w:hAnsi="宋体"/>
          <w:color w:val="000000"/>
          <w:sz w:val="24"/>
          <w:highlight w:val="none"/>
        </w:rPr>
        <w:t xml:space="preserve">、违约责任</w:t>
      </w:r>
      <w:r>
        <w:rPr>
          <w:rFonts w:hint="eastAsia" w:ascii="宋体" w:hAnsi="宋体"/>
          <w:color w:val="000000"/>
          <w:sz w:val="24"/>
          <w:highlight w:val="none"/>
        </w:rPr>
        <w:t xml:space="preserve">：</w:t>
      </w:r>
      <w:r>
        <w:rPr>
          <w:rFonts w:ascii="宋体" w:hAnsi="宋体"/>
          <w:color w:val="000000"/>
          <w:sz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甲方对本合同规定的义务未履行或履行不力的，乙方可依法向甲方要求经济赔偿</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乙方对本合同规定的义务未履行或履行不力的，甲方可按相关法律、法规</w:t>
      </w:r>
      <w:r>
        <w:rPr>
          <w:rFonts w:hint="eastAsia" w:ascii="宋体" w:hAnsi="宋体"/>
          <w:color w:val="000000"/>
          <w:sz w:val="24"/>
          <w:highlight w:val="none"/>
        </w:rPr>
        <w:t xml:space="preserve">和招标文件中约定的文件</w:t>
      </w:r>
      <w:r>
        <w:rPr>
          <w:rFonts w:ascii="宋体" w:hAnsi="宋体"/>
          <w:color w:val="000000"/>
          <w:sz w:val="24"/>
          <w:highlight w:val="none"/>
        </w:rPr>
        <w:t xml:space="preserve">的规定进行处罚，</w:t>
      </w:r>
      <w:r>
        <w:rPr>
          <w:rFonts w:hint="eastAsia" w:ascii="宋体" w:hAnsi="宋体"/>
          <w:color w:val="000000"/>
          <w:sz w:val="24"/>
          <w:highlight w:val="none"/>
        </w:rPr>
        <w:t xml:space="preserve">可以采取取消分配咨询项目的委托、警告、严重警告、扣减咨询业务费、终止工程造价委托咨询服务项目合同等处罚措施。情节严重的将通报行业主管部门或其他相关部门进行处理，并建议将其作为行业及政府采购管理和信用评价的依据之一。</w:t>
      </w:r>
      <w:r>
        <w:rPr>
          <w:rFonts w:ascii="宋体" w:hAnsi="宋体"/>
          <w:color w:val="000000"/>
          <w:sz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甲方、乙方可就违反</w:t>
      </w:r>
      <w:r>
        <w:rPr>
          <w:rFonts w:hint="eastAsia" w:ascii="宋体" w:hAnsi="宋体" w:eastAsia="宋体"/>
          <w:color w:val="000000"/>
          <w:sz w:val="24"/>
          <w:szCs w:val="24"/>
          <w:highlight w:val="none"/>
        </w:rPr>
        <w:t xml:space="preserve">咨询服务</w:t>
      </w:r>
      <w:r>
        <w:rPr>
          <w:rFonts w:ascii="宋体" w:hAnsi="宋体" w:eastAsia="宋体"/>
          <w:color w:val="000000"/>
          <w:sz w:val="24"/>
          <w:szCs w:val="24"/>
          <w:highlight w:val="none"/>
        </w:rPr>
        <w:t xml:space="preserve">合同规定或违纪事项向相关部门投诉。</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经甲方及相关部门联合核查，如情况属实则投诉有效，将作为有效投诉记录在案。</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七</w:t>
      </w:r>
      <w:r>
        <w:rPr>
          <w:rFonts w:ascii="宋体" w:hAnsi="宋体" w:eastAsia="宋体"/>
          <w:color w:val="000000"/>
          <w:sz w:val="24"/>
          <w:szCs w:val="24"/>
          <w:highlight w:val="none"/>
        </w:rPr>
        <w:t xml:space="preserve">、不可抗力</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甲、乙双方如果因不可抗力而导致合同义务的延误或不能履行，不承担误期赔偿或终止合同的责任。</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本条所述的“不可抗力”系指下列甲、乙双方无法控制、不可预见的事件，但不包括甲、乙双方的违约或疏忽。这些事件包括：战争、严重火灾、洪水、台风、地震以及其他甲方和乙方商定的事件。</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color w:val="000000"/>
          <w:sz w:val="24"/>
          <w:szCs w:val="24"/>
          <w:highlight w:val="none"/>
        </w:rPr>
        <w:t xml:space="preserve">咨询服务</w:t>
      </w:r>
      <w:r>
        <w:rPr>
          <w:rFonts w:ascii="宋体" w:hAnsi="宋体" w:eastAsia="宋体"/>
          <w:color w:val="000000"/>
          <w:sz w:val="24"/>
          <w:szCs w:val="24"/>
          <w:highlight w:val="none"/>
        </w:rPr>
        <w:t xml:space="preserve">义务的协议。</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w:t>
      </w:r>
      <w:r>
        <w:rPr>
          <w:rFonts w:ascii="宋体" w:hAnsi="宋体" w:eastAsia="宋体"/>
          <w:color w:val="000000"/>
          <w:sz w:val="24"/>
          <w:szCs w:val="24"/>
          <w:highlight w:val="none"/>
        </w:rPr>
        <w:t xml:space="preserve">、合同的解除：</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甲方和乙方协商一致，可以解除合同。</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有权解除合同的一方，应当在违约事实或不可抗力发生之后三十天内书面通知对方提出解除合同，合同在书面通知到达对方时解除。</w:t>
      </w:r>
      <w:r>
        <w:rPr>
          <w:rFonts w:ascii="宋体"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合同的部分和全部都不得擅自转让。</w:t>
      </w:r>
      <w:r>
        <w:rPr>
          <w:rFonts w:ascii="宋体" w:hAnsi="宋体" w:eastAsia="宋体"/>
          <w:color w:val="000000"/>
          <w:sz w:val="24"/>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4</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出现下列情况之一可以解除合同：</w:t>
      </w:r>
      <w:r>
        <w:rPr>
          <w:rFonts w:hAnsi="宋体" w:eastAsia="宋体"/>
          <w:color w:val="000000"/>
          <w:sz w:val="24"/>
          <w:szCs w:val="24"/>
          <w:highlight w:val="none"/>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.1</w:t>
      </w:r>
      <w:r>
        <w:rPr>
          <w:rFonts w:hint="eastAsia" w:ascii="宋体" w:hAnsi="宋体" w:cs="宋体"/>
          <w:color w:val="000000"/>
          <w:sz w:val="24"/>
          <w:highlight w:val="none"/>
          <w:lang w:val="zh-CN"/>
        </w:rPr>
        <w:t xml:space="preserve">经查实乙方存在行贿或有收受、索要建设单位、施工单位提供的各种财物和免费服务</w:t>
      </w:r>
      <w:r>
        <w:rPr>
          <w:rFonts w:hint="eastAsia" w:ascii="宋体" w:hAnsi="宋体" w:cs="宋体"/>
          <w:color w:val="000000"/>
          <w:sz w:val="24"/>
          <w:highlight w:val="none"/>
        </w:rPr>
        <w:t xml:space="preserve">等严重违反国家、行业以及评审规范的行为</w:t>
      </w:r>
      <w:r>
        <w:rPr>
          <w:rFonts w:hint="eastAsia" w:ascii="宋体" w:hAnsi="宋体" w:cs="宋体"/>
          <w:color w:val="000000"/>
          <w:sz w:val="24"/>
          <w:highlight w:val="none"/>
          <w:lang w:val="zh-CN"/>
        </w:rPr>
        <w:t xml:space="preserve">的；</w:t>
      </w:r>
      <w:r>
        <w:rPr>
          <w:rFonts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.2</w:t>
      </w:r>
      <w:r>
        <w:rPr>
          <w:rFonts w:hint="eastAsia" w:ascii="宋体" w:hAnsi="宋体" w:cs="宋体"/>
          <w:color w:val="000000"/>
          <w:sz w:val="24"/>
          <w:highlight w:val="none"/>
          <w:lang w:val="zh-CN"/>
        </w:rPr>
        <w:t xml:space="preserve">在合同有效期内，被行业主管部门取消经营资格的；</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在合同有效期内，乙方擅自变更、转让、租借咨询服务商资格的；</w:t>
      </w:r>
      <w:r>
        <w:rPr>
          <w:rFonts w:ascii="宋体" w:hAnsi="宋体"/>
          <w:color w:val="000000"/>
          <w:sz w:val="24"/>
          <w:highlight w:val="none"/>
          <w:lang w:val="zh-CN"/>
        </w:rPr>
      </w:r>
      <w:r/>
    </w:p>
    <w:p>
      <w:pPr>
        <w:pStyle w:val="995"/>
        <w:ind w:firstLine="480"/>
        <w:spacing w:line="360" w:lineRule="auto"/>
        <w:shd w:val="clear" w:color="auto" w:fill="auto"/>
        <w:rPr>
          <w:rFonts w:ascii="宋体" w:hAnsi="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.4</w:t>
      </w:r>
      <w:r>
        <w:rPr>
          <w:rFonts w:hint="eastAsia" w:ascii="宋体" w:hAnsi="宋体" w:cs="宋体"/>
          <w:color w:val="000000"/>
          <w:sz w:val="24"/>
          <w:highlight w:val="none"/>
          <w:lang w:val="zh-CN"/>
        </w:rPr>
        <w:t xml:space="preserve">不如实反映情况，提供虚假材料的；</w:t>
      </w:r>
      <w:r>
        <w:rPr>
          <w:rFonts w:ascii="宋体" w:hAnsi="宋体"/>
          <w:color w:val="000000"/>
          <w:sz w:val="24"/>
          <w:highlight w:val="none"/>
          <w:lang w:val="zh-CN"/>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未按承诺的价格提供服务的；</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.6</w:t>
      </w:r>
      <w:r>
        <w:rPr>
          <w:rFonts w:hint="eastAsia" w:ascii="宋体" w:hAnsi="宋体" w:cs="宋体"/>
          <w:color w:val="000000"/>
          <w:sz w:val="24"/>
          <w:highlight w:val="none"/>
        </w:rPr>
        <w:t xml:space="preserve">未按承诺响应服务时间提供服务的；</w:t>
      </w:r>
      <w:r>
        <w:rPr>
          <w:rFonts w:ascii="宋体" w:hAnsi="宋体" w:cs="宋体"/>
          <w:color w:val="000000"/>
          <w:sz w:val="24"/>
          <w:highlight w:val="none"/>
        </w:rPr>
      </w:r>
      <w:r/>
    </w:p>
    <w:p>
      <w:pPr>
        <w:pStyle w:val="995"/>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.7</w:t>
      </w:r>
      <w:r>
        <w:rPr>
          <w:rFonts w:hint="eastAsia" w:ascii="宋体" w:hAnsi="宋体" w:cs="宋体"/>
          <w:color w:val="000000"/>
          <w:sz w:val="24"/>
          <w:highlight w:val="none"/>
        </w:rPr>
        <w:t xml:space="preserve">未按承诺投入相应咨询人员并备案的或投入咨询人员考勤合格率不达标的；</w:t>
      </w:r>
      <w:r>
        <w:rPr>
          <w:rFonts w:ascii="宋体" w:hAnsi="宋体" w:cs="宋体"/>
          <w:color w:val="000000"/>
          <w:sz w:val="24"/>
          <w:highlight w:val="none"/>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.8</w:t>
      </w:r>
      <w:r>
        <w:rPr>
          <w:rFonts w:hint="eastAsia" w:ascii="宋体" w:hAnsi="宋体" w:cs="宋体"/>
          <w:color w:val="000000"/>
          <w:sz w:val="24"/>
          <w:highlight w:val="none"/>
          <w:lang w:val="zh-CN"/>
        </w:rPr>
        <w:t xml:space="preserve">乙方两次发生不接受造价咨询委托或消极工作的；</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.9</w:t>
      </w:r>
      <w:r>
        <w:rPr>
          <w:rFonts w:hint="eastAsia" w:ascii="宋体" w:hAnsi="宋体" w:cs="宋体"/>
          <w:color w:val="000000"/>
          <w:sz w:val="24"/>
          <w:highlight w:val="none"/>
          <w:lang w:val="zh-CN"/>
        </w:rPr>
        <w:t xml:space="preserve">乙方在造价咨询服务中，在工作要求、工作质量、工作效率及服务质量上出现严重差错，达到考核细则规定的条件时；</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ascii="宋体" w:hAnsi="宋体" w:cs="宋体"/>
          <w:color w:val="000000"/>
          <w:sz w:val="24"/>
          <w:highlight w:val="none"/>
          <w:lang w:val="zh-CN"/>
        </w:rPr>
        <w:t xml:space="preserve">.10</w:t>
      </w:r>
      <w:r>
        <w:rPr>
          <w:rFonts w:hint="eastAsia" w:ascii="宋体" w:hAnsi="宋体" w:cs="宋体"/>
          <w:color w:val="000000"/>
          <w:sz w:val="24"/>
          <w:highlight w:val="none"/>
          <w:lang w:val="zh-CN"/>
        </w:rPr>
        <w:t xml:space="preserve">标书规定的其他情况。</w:t>
      </w:r>
      <w:r>
        <w:rPr>
          <w:rFonts w:ascii="宋体" w:hAnsi="宋体" w:cs="宋体"/>
          <w:color w:val="000000"/>
          <w:sz w:val="24"/>
          <w:highlight w:val="none"/>
          <w:lang w:val="zh-CN"/>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乙方在任何情况下都不得用任何不正当行为影响、干扰采购单位的按规定的办法自主选择</w:t>
      </w:r>
      <w:r>
        <w:rPr>
          <w:rFonts w:hint="eastAsia" w:ascii="宋体" w:hAnsi="宋体"/>
          <w:color w:val="000000"/>
          <w:sz w:val="24"/>
          <w:highlight w:val="none"/>
        </w:rPr>
        <w:t xml:space="preserve">服务</w:t>
      </w:r>
      <w:r>
        <w:rPr>
          <w:rFonts w:ascii="宋体" w:hAnsi="宋体"/>
          <w:color w:val="000000"/>
          <w:sz w:val="24"/>
          <w:highlight w:val="none"/>
        </w:rPr>
        <w:t xml:space="preserve">商的行为（包括回扣、非公众性赠送礼品、贬损其他商家、价格欺诈等）。一经发现可立即解除合同</w:t>
      </w:r>
      <w:r>
        <w:rPr>
          <w:rFonts w:hint="eastAsia" w:ascii="宋体" w:hAnsi="宋体"/>
          <w:color w:val="000000"/>
          <w:sz w:val="24"/>
          <w:highlight w:val="none"/>
        </w:rPr>
        <w:t xml:space="preserve">，通报行业主管部门或其他相关部门进行处理，并建议将其作为行业及政府采购管理和信用评价的依据之一。</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w:t>
      </w:r>
      <w:r>
        <w:rPr>
          <w:rFonts w:ascii="宋体" w:hAnsi="宋体"/>
          <w:color w:val="000000"/>
          <w:sz w:val="24"/>
          <w:highlight w:val="none"/>
        </w:rPr>
        <w:t xml:space="preserve">如果乙方破产、解散、清算、停业以及其他原因无法提供服务的，</w:t>
      </w:r>
      <w:r>
        <w:rPr>
          <w:rFonts w:hint="eastAsia" w:ascii="宋体" w:hAnsi="宋体"/>
          <w:color w:val="000000"/>
          <w:sz w:val="24"/>
          <w:highlight w:val="none"/>
        </w:rPr>
        <w:t xml:space="preserve">或</w:t>
      </w:r>
      <w:r>
        <w:rPr>
          <w:rFonts w:hint="eastAsia" w:ascii="宋体" w:hAnsi="宋体" w:cs="宋体"/>
          <w:color w:val="000000"/>
          <w:sz w:val="24"/>
          <w:highlight w:val="none"/>
        </w:rPr>
        <w:t xml:space="preserve">发现多家</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单位负责人为同一人或者存在直接控股、管理关系，乙方负责人或股东与施工企业、施工劳务企业、工程材料供应商或施工器械租赁等工程领域相关企业存在交叉股权关系或者管理等影响社会咨询企业独立性的情形，</w:t>
      </w:r>
      <w:r>
        <w:rPr>
          <w:rFonts w:ascii="宋体" w:hAnsi="宋体"/>
          <w:color w:val="000000"/>
          <w:sz w:val="24"/>
          <w:highlight w:val="none"/>
        </w:rPr>
        <w:t xml:space="preserve">甲方可在任何时间以书面形式通知取消其</w:t>
      </w:r>
      <w:r>
        <w:rPr>
          <w:rFonts w:hint="eastAsia" w:ascii="宋体" w:hAnsi="宋体"/>
          <w:color w:val="000000"/>
          <w:sz w:val="24"/>
          <w:highlight w:val="none"/>
        </w:rPr>
        <w:t xml:space="preserve">咨询服务</w:t>
      </w:r>
      <w:r>
        <w:rPr>
          <w:rFonts w:ascii="宋体" w:hAnsi="宋体"/>
          <w:color w:val="000000"/>
          <w:sz w:val="24"/>
          <w:highlight w:val="none"/>
        </w:rPr>
        <w:t xml:space="preserve">商资格。该行为将不损害或影响甲方和采购单位已经采取和将要采取的任何行动和补救措施的权力。</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、咨询服务合同解除或到期后未在下一轮采购中</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的，乙方已分配但未开始咨询的项目全部取消咨询委托合同，咨询项目另行安排；已开始咨询的项目应在合同解除后三个月内完成咨询工作，如三个月内无法完成的，将取消咨询委托合同，咨询项目另行安排。被取消委托且未完成的咨询项目，咨询费用不予计取。</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w:t>
      </w:r>
      <w:r>
        <w:rPr>
          <w:rFonts w:ascii="宋体" w:hAnsi="宋体"/>
          <w:color w:val="000000"/>
          <w:sz w:val="24"/>
          <w:highlight w:val="none"/>
        </w:rPr>
        <w:t xml:space="preserve">、争议处置</w:t>
      </w:r>
      <w:r>
        <w:rPr>
          <w:rFonts w:hint="eastAsia" w:ascii="宋体" w:hAnsi="宋体"/>
          <w:color w:val="000000"/>
          <w:sz w:val="24"/>
          <w:highlight w:val="none"/>
        </w:rPr>
        <w:t xml:space="preserve">：</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在执行本合同中所发生的一切争议，各方（甲方、乙方）应通过友好协商的办法进行解决，如协商不能解决的，有关当事方可提请</w:t>
      </w:r>
      <w:r>
        <w:rPr>
          <w:rFonts w:hint="eastAsia" w:ascii="宋体" w:hAnsi="宋体"/>
          <w:color w:val="000000"/>
          <w:sz w:val="24"/>
          <w:highlight w:val="none"/>
        </w:rPr>
        <w:t xml:space="preserve">甲方</w:t>
      </w:r>
      <w:r>
        <w:rPr>
          <w:rFonts w:ascii="宋体" w:hAnsi="宋体"/>
          <w:color w:val="000000"/>
          <w:sz w:val="24"/>
          <w:highlight w:val="none"/>
        </w:rPr>
        <w:t xml:space="preserve">所在地人民法院进行裁决。</w:t>
      </w:r>
      <w:r>
        <w:rPr>
          <w:rFonts w:ascii="宋体" w:hAnsi="宋体"/>
          <w:color w:val="000000"/>
          <w:sz w:val="24"/>
          <w:highlight w:val="none"/>
        </w:rPr>
      </w:r>
      <w:r/>
    </w:p>
    <w:p>
      <w:pPr>
        <w:pStyle w:val="995"/>
        <w:ind w:firstLine="480"/>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w:t>
      </w:r>
      <w:r>
        <w:rPr>
          <w:rFonts w:ascii="宋体" w:hAnsi="宋体"/>
          <w:color w:val="000000"/>
          <w:sz w:val="24"/>
          <w:highlight w:val="none"/>
        </w:rPr>
        <w:t xml:space="preserve">、合同生效及其它：</w:t>
      </w:r>
      <w:r>
        <w:rPr>
          <w:rFonts w:ascii="宋体" w:hAnsi="宋体"/>
          <w:color w:val="000000"/>
          <w:sz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本合同经甲乙双方签字并公章，</w:t>
      </w:r>
      <w:r>
        <w:rPr>
          <w:rFonts w:hint="eastAsia" w:ascii="宋体" w:hAnsi="宋体" w:eastAsia="宋体"/>
          <w:color w:val="000000"/>
          <w:sz w:val="24"/>
          <w:szCs w:val="24"/>
          <w:highlight w:val="none"/>
        </w:rPr>
        <w:t xml:space="preserve">同时由政府采购监督管理部门备案</w:t>
      </w:r>
      <w:r>
        <w:rPr>
          <w:rFonts w:ascii="宋体" w:hAnsi="宋体" w:eastAsia="宋体"/>
          <w:color w:val="000000"/>
          <w:sz w:val="24"/>
          <w:szCs w:val="24"/>
          <w:highlight w:val="none"/>
        </w:rPr>
        <w:t xml:space="preserve">。</w:t>
      </w:r>
      <w:r>
        <w:rPr>
          <w:rFonts w:ascii="宋体" w:hAnsi="宋体" w:eastAsia="宋体"/>
          <w:color w:val="000000"/>
          <w:szCs w:val="24"/>
          <w:highlight w:val="none"/>
        </w:rPr>
      </w:r>
      <w:r/>
    </w:p>
    <w:p>
      <w:pPr>
        <w:pStyle w:val="1017"/>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合同在执行过程中出现的未尽事宜，双方在不违背本合同的原则下协商解决，协商结果以书面形式记录在案，作为本合同附件，与本合同具有同等效力。</w:t>
      </w:r>
      <w:r>
        <w:rPr>
          <w:rFonts w:hAnsi="宋体" w:eastAsia="宋体"/>
          <w:color w:val="000000"/>
          <w:sz w:val="24"/>
          <w:szCs w:val="24"/>
          <w:highlight w:val="none"/>
        </w:rPr>
      </w:r>
      <w:r/>
    </w:p>
    <w:p>
      <w:pPr>
        <w:pStyle w:val="1008"/>
        <w:ind w:left="0" w:firstLine="480"/>
        <w:keepLines w:val="0"/>
        <w:keepNext w:val="0"/>
        <w:pageBreakBefore w:val="0"/>
        <w:spacing w:line="360" w:lineRule="auto"/>
        <w:shd w:val="clear" w:color="auto" w:fill="auto"/>
        <w:widowControl w:val="off"/>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十二、本合同一式</w:t>
      </w:r>
      <w:r>
        <w:rPr>
          <w:rFonts w:hint="eastAsia" w:ascii="宋体" w:hAnsi="宋体"/>
          <w:color w:val="000000"/>
          <w:sz w:val="24"/>
          <w:szCs w:val="24"/>
          <w:highlight w:val="none"/>
          <w:lang w:eastAsia="zh-CN"/>
        </w:rPr>
        <w:t xml:space="preserve">陆</w:t>
      </w:r>
      <w:r>
        <w:rPr>
          <w:rFonts w:hint="eastAsia" w:ascii="宋体" w:hAnsi="宋体" w:eastAsia="宋体"/>
          <w:color w:val="000000"/>
          <w:sz w:val="24"/>
          <w:szCs w:val="24"/>
          <w:highlight w:val="none"/>
        </w:rPr>
        <w:t xml:space="preserve">份，甲乙双方各执二份，代理机构</w:t>
      </w:r>
      <w:r>
        <w:rPr>
          <w:rFonts w:hint="eastAsia" w:ascii="宋体" w:hAnsi="宋体"/>
          <w:color w:val="000000"/>
          <w:sz w:val="24"/>
          <w:szCs w:val="24"/>
          <w:highlight w:val="none"/>
          <w:lang w:eastAsia="zh-CN"/>
        </w:rPr>
        <w:t xml:space="preserve">一</w:t>
      </w:r>
      <w:r>
        <w:rPr>
          <w:rFonts w:hint="eastAsia" w:ascii="宋体" w:hAnsi="宋体" w:eastAsia="宋体"/>
          <w:color w:val="000000"/>
          <w:sz w:val="24"/>
          <w:szCs w:val="24"/>
          <w:highlight w:val="none"/>
        </w:rPr>
        <w:t xml:space="preserve">份，政府管理部门一份；。</w:t>
      </w:r>
      <w:r>
        <w:rPr>
          <w:rFonts w:ascii="宋体" w:hAnsi="宋体" w:eastAsia="宋体"/>
          <w:color w:val="000000"/>
          <w:sz w:val="24"/>
          <w:szCs w:val="24"/>
          <w:highlight w:val="none"/>
        </w:rPr>
      </w:r>
      <w:r/>
    </w:p>
    <w:p>
      <w:pPr>
        <w:pStyle w:val="1111"/>
        <w:ind w:firstLine="480"/>
        <w:spacing w:line="360" w:lineRule="auto"/>
        <w:shd w:val="clear" w:color="auto" w:fill="auto"/>
        <w:rPr>
          <w:rFonts w:hAnsi="宋体" w:eastAsia="宋体"/>
          <w:color w:val="000000"/>
          <w:sz w:val="24"/>
          <w:szCs w:val="24"/>
          <w:highlight w:val="none"/>
        </w:rPr>
      </w:pPr>
      <w:r/>
      <w:bookmarkEnd w:id="0"/>
      <w:r>
        <w:rPr>
          <w:rFonts w:hint="eastAsia" w:hAnsi="宋体" w:eastAsia="宋体"/>
          <w:color w:val="000000"/>
          <w:sz w:val="24"/>
          <w:szCs w:val="24"/>
          <w:highlight w:val="none"/>
        </w:rPr>
        <w:t xml:space="preserve">十三、 本合同未尽事宜应按《中华人民共和国民法典》、《中华人民共和国政府采购法》以及其同相关法律、法规之规定解释执行。</w:t>
      </w:r>
      <w:r>
        <w:rPr>
          <w:rFonts w:hAnsi="宋体" w:eastAsia="宋体"/>
          <w:color w:val="000000"/>
          <w:sz w:val="24"/>
          <w:szCs w:val="24"/>
          <w:highlight w:val="none"/>
        </w:rPr>
      </w:r>
      <w:r/>
    </w:p>
    <w:p>
      <w:pPr>
        <w:pStyle w:val="1111"/>
        <w:ind w:firstLine="480"/>
        <w:spacing w:line="360" w:lineRule="auto"/>
        <w:shd w:val="clear" w:color="auto" w:fill="auto"/>
        <w:rPr>
          <w:rFonts w:hAnsi="宋体" w:eastAsia="宋体"/>
          <w:color w:val="000000"/>
          <w:sz w:val="24"/>
          <w:szCs w:val="24"/>
          <w:highlight w:val="none"/>
        </w:rPr>
      </w:pPr>
      <w:r>
        <w:rPr>
          <w:rFonts w:hAnsi="宋体" w:eastAsia="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52"/>
        <w:gridCol w:w="3118"/>
        <w:gridCol w:w="1739"/>
      </w:tblGrid>
      <w:tr>
        <w:trPr/>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甲方（盖章）： </w:t>
            </w:r>
            <w:r>
              <w:rPr>
                <w:rFonts w:ascii="宋体" w:hAnsi="宋体" w:cs="宋体"/>
                <w:color w:val="000000"/>
                <w:sz w:val="24"/>
                <w:highlight w:val="none"/>
              </w:rPr>
              <w:t xml:space="preserve">                        </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118"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乙方（盖章）：</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39"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法定（授权）代表人（签字）：</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118"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法定（授权）代表人（签字）：</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39"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3118"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1739" w:type="dxa"/>
            <w:vAlign w:val="center"/>
            <w:textDirection w:val="lrTb"/>
            <w:noWrap w:val="false"/>
          </w:tcPr>
          <w:p>
            <w:pPr>
              <w:pStyle w:val="995"/>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tc>
      </w:tr>
    </w:tbl>
    <w:p>
      <w:pPr>
        <w:pStyle w:val="1126"/>
        <w:ind w:firstLine="420"/>
        <w:shd w:val="clear" w:color="auto" w:fill="auto"/>
        <w:rPr>
          <w:color w:val="000000"/>
          <w:highlight w:val="none"/>
        </w:rPr>
      </w:pPr>
      <w:r>
        <w:rPr>
          <w:color w:val="000000"/>
          <w:highlight w:val="none"/>
        </w:rPr>
      </w:r>
      <w:r/>
    </w:p>
    <w:p>
      <w:pPr>
        <w:pStyle w:val="995"/>
        <w:jc w:val="center"/>
        <w:spacing w:line="360" w:lineRule="auto"/>
        <w:shd w:val="clear" w:color="auto" w:fill="auto"/>
        <w:rPr>
          <w:rFonts w:hint="eastAsia" w:ascii="宋体" w:hAnsi="宋体" w:cs="宋体"/>
          <w:b/>
          <w:sz w:val="32"/>
          <w:highlight w:val="none"/>
        </w:rPr>
      </w:pPr>
      <w:r>
        <w:rPr>
          <w:rFonts w:hint="eastAsia" w:ascii="宋体" w:hAnsi="宋体" w:cs="宋体"/>
          <w:b/>
          <w:sz w:val="32"/>
          <w:highlight w:val="none"/>
        </w:rPr>
        <w:br w:type="page" w:clear="all"/>
      </w:r>
      <w:r>
        <w:rPr>
          <w:rFonts w:hint="eastAsia" w:ascii="宋体" w:hAnsi="宋体" w:cs="宋体"/>
          <w:b/>
          <w:sz w:val="32"/>
          <w:highlight w:val="none"/>
        </w:rPr>
        <w:t xml:space="preserve">五、响应文件格式 </w:t>
      </w:r>
      <w:r>
        <w:rPr>
          <w:rFonts w:hint="eastAsia" w:ascii="宋体" w:hAnsi="宋体" w:cs="宋体"/>
          <w:b/>
          <w:sz w:val="32"/>
          <w:highlight w:val="none"/>
        </w:rPr>
      </w:r>
      <w:r/>
    </w:p>
    <w:p>
      <w:pPr>
        <w:pStyle w:val="995"/>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附件1、（供应商）授权委托书</w:t>
      </w:r>
      <w:r>
        <w:rPr>
          <w:rFonts w:hint="eastAsia" w:ascii="宋体" w:hAnsi="宋体" w:cs="宋体"/>
          <w:b/>
          <w:sz w:val="24"/>
          <w:szCs w:val="24"/>
          <w:highlight w:val="none"/>
        </w:rPr>
      </w:r>
      <w:r/>
    </w:p>
    <w:p>
      <w:pPr>
        <w:pStyle w:val="995"/>
        <w:spacing w:line="360" w:lineRule="auto"/>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jc w:val="center"/>
        <w:spacing w:line="360" w:lineRule="auto"/>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授权委托书</w:t>
      </w:r>
      <w:r>
        <w:rPr>
          <w:rFonts w:hint="eastAsia" w:ascii="宋体" w:hAnsi="宋体" w:cs="宋体"/>
          <w:sz w:val="24"/>
          <w:szCs w:val="24"/>
          <w:highlight w:val="none"/>
        </w:rPr>
      </w:r>
      <w:r/>
    </w:p>
    <w:p>
      <w:pPr>
        <w:pStyle w:val="995"/>
        <w:spacing w:line="360" w:lineRule="auto"/>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本授权委托书声明：  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（姓名）系</w:t>
      </w:r>
      <w:r>
        <w:rPr>
          <w:rFonts w:hint="eastAsia" w:ascii="宋体" w:hAnsi="宋体" w:cs="宋体"/>
          <w:sz w:val="24"/>
          <w:szCs w:val="24"/>
          <w:highlight w:val="none"/>
          <w:u w:val="single"/>
        </w:rPr>
        <w:t xml:space="preserve">  （供应商名称）</w:t>
      </w:r>
      <w:r>
        <w:rPr>
          <w:rFonts w:hint="eastAsia" w:ascii="宋体" w:hAnsi="宋体" w:cs="宋体"/>
          <w:sz w:val="24"/>
          <w:szCs w:val="24"/>
          <w:highlight w:val="none"/>
        </w:rPr>
        <w:t xml:space="preserve">的法定代表人，现授权委托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（姓名）为我公司授权代表（即代理人），以本公司的名义参加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苏州海企国际工程咨询有限公司</w:t>
      </w:r>
      <w:r>
        <w:rPr>
          <w:rFonts w:hint="eastAsia" w:ascii="宋体" w:hAnsi="宋体" w:cs="宋体"/>
          <w:b/>
          <w:i/>
          <w:sz w:val="24"/>
          <w:szCs w:val="24"/>
          <w:highlight w:val="none"/>
          <w:u w:val="single"/>
        </w:rPr>
        <w:t xml:space="preserve">  </w:t>
      </w:r>
      <w:r>
        <w:rPr>
          <w:rFonts w:hint="eastAsia" w:ascii="宋体" w:hAnsi="宋体" w:cs="宋体"/>
          <w:sz w:val="24"/>
          <w:szCs w:val="24"/>
          <w:highlight w:val="none"/>
        </w:rPr>
        <w:t xml:space="preserve"> 组织实施的编号为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的磋商活动。授权代表在磋商活动过程中所签署的一切文件和处理与这有关的一切事务，我均予以承认。</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授权代表无转委托权。特此委托。</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代理人：（签字或盖章）</w:t>
      </w: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　　　                     　　　　　年　　  月　　  日</w:t>
      </w:r>
      <w:r>
        <w:rPr>
          <w:rFonts w:hint="eastAsia" w:ascii="宋体" w:hAnsi="宋体" w:cs="宋体"/>
          <w:sz w:val="24"/>
          <w:szCs w:val="24"/>
          <w:highlight w:val="none"/>
        </w:rPr>
      </w:r>
      <w:r/>
    </w:p>
    <w:p>
      <w:pPr>
        <w:pStyle w:val="995"/>
        <w:jc w:val="left"/>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jc w:val="left"/>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spacing w:line="380" w:lineRule="exact"/>
        <w:shd w:val="clear" w:color="auto" w:fill="auto"/>
        <w:rPr>
          <w:rFonts w:hint="eastAsia" w:ascii="宋体" w:hAnsi="宋体" w:cs="宋体"/>
          <w:b/>
          <w:sz w:val="24"/>
          <w:szCs w:val="24"/>
          <w:highlight w:val="none"/>
        </w:rPr>
      </w:pPr>
      <w:r>
        <w:rPr>
          <w:rFonts w:hint="eastAsia" w:ascii="宋体" w:hAnsi="宋体" w:cs="宋体"/>
          <w:highlight w:val="none"/>
        </w:rPr>
        <w:br w:type="page" w:clear="all"/>
      </w:r>
      <w:r>
        <w:rPr>
          <w:rFonts w:hint="eastAsia" w:ascii="宋体" w:hAnsi="宋体" w:cs="宋体"/>
          <w:b/>
          <w:sz w:val="24"/>
          <w:szCs w:val="24"/>
          <w:highlight w:val="none"/>
        </w:rPr>
        <w:t xml:space="preserve">附件2、磋商响应函</w:t>
      </w:r>
      <w:r>
        <w:rPr>
          <w:rFonts w:hint="eastAsia" w:ascii="宋体" w:hAnsi="宋体" w:cs="宋体"/>
          <w:b/>
          <w:sz w:val="24"/>
          <w:szCs w:val="24"/>
          <w:highlight w:val="none"/>
        </w:rPr>
      </w:r>
      <w:r/>
    </w:p>
    <w:p>
      <w:pPr>
        <w:pStyle w:val="995"/>
        <w:jc w:val="center"/>
        <w:spacing w:line="380" w:lineRule="exact"/>
        <w:shd w:val="clear" w:color="auto" w:fill="auto"/>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95"/>
        <w:jc w:val="center"/>
        <w:spacing w:line="380" w:lineRule="exact"/>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spacing w:line="380" w:lineRule="exact"/>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苏州海企国际工程咨询有限公司</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95"/>
        <w:spacing w:line="380" w:lineRule="exact"/>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我们收到贵公司</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w:t>
      </w: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磋商文件，经仔细阅读和研究，我们决定参加磋商活动。</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b/>
          <w:sz w:val="24"/>
          <w:szCs w:val="24"/>
          <w:highlight w:val="none"/>
        </w:rPr>
      </w:pPr>
      <w:r>
        <w:rPr>
          <w:rFonts w:hint="eastAsia" w:ascii="宋体" w:hAnsi="宋体" w:cs="宋体"/>
          <w:sz w:val="24"/>
          <w:szCs w:val="24"/>
          <w:highlight w:val="none"/>
        </w:rPr>
        <w:t xml:space="preserve">1、我们愿意按照磋商文件的一切要求，完成该项目的全部内容。</w:t>
      </w:r>
      <w:r>
        <w:rPr>
          <w:rFonts w:hint="eastAsia" w:ascii="宋体" w:hAnsi="宋体" w:cs="宋体"/>
          <w:b/>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3、我们已详细阅读全部磋商文件，包括更正公告(如有)，对磋商文件及更正公告(如有)无任何异议。</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4、我们同意按磋商文件中的规定，本响应文件的有效期限自提交响应文件截止时间之日起</w:t>
      </w: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天。</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5、我们愿意提供磋商采购单位在磋商文件中要求的相关资料。</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6、我们愿意遵守磋商文件中所列的收费标准。</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7、我们承诺该响应文件在磋商开始后的全过程中保持有效，不作任何更改和变动。</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8、我们承诺我公司符合磋商文件中“合格供应商的基本、特定条件”的要求，若与真实情况不符，本公司愿意承担由此而产生的一切后果。</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所有有关磋商文件的函电，请按下列地址联系：</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单位：                             联系人：</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地址：                             邮政编码：</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联系电话：                         传真：</w:t>
      </w:r>
      <w:r>
        <w:rPr>
          <w:rFonts w:hint="eastAsia" w:ascii="宋体" w:hAnsi="宋体" w:cs="宋体"/>
          <w:sz w:val="24"/>
          <w:szCs w:val="24"/>
          <w:highlight w:val="none"/>
        </w:rPr>
      </w:r>
      <w:r/>
    </w:p>
    <w:p>
      <w:pPr>
        <w:pStyle w:val="995"/>
        <w:ind w:left="3400" w:firstLine="73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rPr>
          <w:rFonts w:hint="eastAsia" w:ascii="宋体" w:hAnsi="宋体" w:cs="宋体"/>
          <w:sz w:val="24"/>
          <w:szCs w:val="24"/>
          <w:highlight w:val="none"/>
        </w:rPr>
      </w:r>
      <w:r/>
    </w:p>
    <w:p>
      <w:pPr>
        <w:pStyle w:val="995"/>
        <w:ind w:left="3824" w:firstLine="31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法定代表人或代理人：（签字或盖章）</w:t>
      </w:r>
      <w:r>
        <w:rPr>
          <w:rFonts w:hint="eastAsia" w:ascii="宋体" w:hAnsi="宋体" w:cs="宋体"/>
          <w:sz w:val="24"/>
          <w:szCs w:val="24"/>
          <w:highlight w:val="none"/>
        </w:rPr>
      </w:r>
      <w:r/>
    </w:p>
    <w:p>
      <w:pPr>
        <w:pStyle w:val="995"/>
        <w:ind w:left="3400" w:firstLine="735"/>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sz w:val="24"/>
          <w:szCs w:val="24"/>
          <w:highlight w:val="none"/>
        </w:rPr>
      </w:r>
      <w:r/>
    </w:p>
    <w:p>
      <w:pPr>
        <w:pStyle w:val="995"/>
        <w:spacing w:line="360" w:lineRule="auto"/>
        <w:shd w:val="clear" w:color="auto" w:fill="auto"/>
        <w:rPr>
          <w:rFonts w:hint="eastAsia" w:ascii="宋体" w:hAnsi="宋体" w:cs="宋体"/>
          <w:b/>
          <w:sz w:val="24"/>
          <w:szCs w:val="24"/>
          <w:highlight w:val="none"/>
        </w:rPr>
      </w:pPr>
      <w:r>
        <w:rPr>
          <w:rFonts w:hint="eastAsia" w:ascii="宋体" w:hAnsi="宋体" w:cs="宋体"/>
          <w:highlight w:val="none"/>
        </w:rPr>
        <w:br w:type="page" w:clear="all"/>
      </w:r>
      <w:r>
        <w:rPr>
          <w:rFonts w:hint="eastAsia" w:ascii="宋体" w:hAnsi="宋体" w:cs="宋体"/>
          <w:b/>
          <w:sz w:val="24"/>
          <w:szCs w:val="24"/>
          <w:highlight w:val="none"/>
        </w:rPr>
        <w:t xml:space="preserve">附件3、</w:t>
      </w:r>
      <w:r>
        <w:rPr>
          <w:rFonts w:hint="eastAsia" w:ascii="宋体" w:hAnsi="宋体" w:cs="宋体"/>
          <w:b/>
          <w:sz w:val="24"/>
          <w:szCs w:val="24"/>
          <w:highlight w:val="none"/>
          <w:lang w:val="en-US" w:eastAsia="zh-CN"/>
        </w:rPr>
        <w:t xml:space="preserve">开标</w:t>
      </w:r>
      <w:r>
        <w:rPr>
          <w:rFonts w:hint="eastAsia" w:ascii="宋体" w:hAnsi="宋体" w:cs="宋体"/>
          <w:b/>
          <w:sz w:val="24"/>
          <w:szCs w:val="24"/>
          <w:highlight w:val="none"/>
          <w:lang w:val="en-US" w:eastAsia="zh-CN"/>
        </w:rPr>
        <w:t xml:space="preserve">一览</w:t>
      </w:r>
      <w:r>
        <w:rPr>
          <w:rFonts w:hint="eastAsia" w:ascii="宋体" w:hAnsi="宋体" w:cs="宋体"/>
          <w:b/>
          <w:sz w:val="24"/>
          <w:szCs w:val="24"/>
          <w:highlight w:val="none"/>
        </w:rPr>
        <w:t xml:space="preserve">表</w:t>
      </w:r>
      <w:r>
        <w:rPr>
          <w:rFonts w:hint="eastAsia" w:ascii="宋体" w:hAnsi="宋体" w:cs="宋体"/>
          <w:b/>
          <w:sz w:val="24"/>
          <w:szCs w:val="24"/>
          <w:highlight w:val="none"/>
        </w:rPr>
      </w:r>
      <w:r/>
    </w:p>
    <w:p>
      <w:pPr>
        <w:pStyle w:val="995"/>
        <w:jc w:val="center"/>
        <w:shd w:val="clear" w:color="auto" w:fill="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开标</w:t>
      </w:r>
      <w:r>
        <w:rPr>
          <w:rFonts w:hint="eastAsia" w:ascii="宋体" w:hAnsi="宋体" w:cs="宋体"/>
          <w:b/>
          <w:sz w:val="24"/>
          <w:szCs w:val="24"/>
          <w:highlight w:val="none"/>
          <w:lang w:val="en-US" w:eastAsia="zh-CN"/>
        </w:rPr>
        <w:t xml:space="preserve">一览</w:t>
      </w:r>
      <w:r>
        <w:rPr>
          <w:rFonts w:hint="eastAsia" w:ascii="宋体" w:hAnsi="宋体" w:cs="宋体"/>
          <w:b/>
          <w:sz w:val="24"/>
          <w:szCs w:val="24"/>
          <w:highlight w:val="none"/>
        </w:rPr>
        <w:t xml:space="preserve">表</w:t>
      </w:r>
      <w:r>
        <w:rPr>
          <w:rFonts w:hint="eastAsia" w:ascii="宋体" w:hAnsi="宋体" w:cs="宋体"/>
          <w:b/>
          <w:sz w:val="24"/>
          <w:szCs w:val="24"/>
          <w:highlight w:val="none"/>
        </w:rPr>
      </w:r>
      <w:r/>
    </w:p>
    <w:p>
      <w:pPr>
        <w:pStyle w:val="995"/>
        <w:jc w:val="center"/>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1078"/>
        <w:ind w:firstLine="0"/>
        <w:shd w:val="clear" w:color="auto" w:fill="auto"/>
        <w:rPr>
          <w:rFonts w:hint="eastAsia" w:ascii="宋体" w:hAnsi="宋体" w:cs="宋体"/>
          <w:b/>
          <w:bCs/>
          <w:sz w:val="24"/>
          <w:szCs w:val="24"/>
          <w:highlight w:val="none"/>
          <w:lang w:val="en-US"/>
        </w:rPr>
      </w:pPr>
      <w:r>
        <w:rPr>
          <w:rFonts w:hint="eastAsia" w:ascii="宋体" w:hAnsi="宋体" w:cs="宋体"/>
          <w:b/>
          <w:bCs/>
          <w:sz w:val="24"/>
          <w:szCs w:val="24"/>
          <w:highlight w:val="none"/>
          <w:lang w:val="en-US"/>
        </w:rPr>
        <w:t xml:space="preserve">注：本项目采用电子网上投标，在制作电子投标文件时，填写</w:t>
      </w:r>
      <w:r>
        <w:rPr>
          <w:rFonts w:hint="eastAsia" w:ascii="宋体" w:hAnsi="宋体" w:cs="宋体"/>
          <w:b/>
          <w:bCs/>
          <w:sz w:val="24"/>
          <w:szCs w:val="24"/>
          <w:highlight w:val="none"/>
          <w:lang w:val="en-US" w:eastAsia="zh-CN"/>
        </w:rPr>
        <w:t xml:space="preserve">开标</w:t>
      </w:r>
      <w:r>
        <w:rPr>
          <w:rFonts w:hint="eastAsia" w:ascii="宋体" w:hAnsi="宋体" w:cs="宋体"/>
          <w:b/>
          <w:bCs/>
          <w:sz w:val="24"/>
          <w:szCs w:val="24"/>
          <w:highlight w:val="none"/>
          <w:lang w:val="en-US"/>
        </w:rPr>
        <w:t xml:space="preserve">一览表报价时均填写各标段的预算金额即可</w:t>
      </w:r>
      <w:r>
        <w:rPr>
          <w:rFonts w:hint="eastAsia" w:ascii="宋体" w:hAnsi="宋体" w:cs="宋体"/>
          <w:b/>
          <w:bCs/>
          <w:sz w:val="24"/>
          <w:szCs w:val="24"/>
          <w:highlight w:val="none"/>
          <w:lang w:val="en-US" w:eastAsia="zh-CN"/>
        </w:rPr>
        <w:t xml:space="preserve">，最后报价亦如此</w:t>
      </w:r>
      <w:r>
        <w:rPr>
          <w:rFonts w:hint="eastAsia" w:ascii="宋体" w:hAnsi="宋体" w:cs="宋体"/>
          <w:b/>
          <w:bCs/>
          <w:sz w:val="24"/>
          <w:szCs w:val="24"/>
          <w:highlight w:val="none"/>
          <w:lang w:val="en-US"/>
        </w:rPr>
        <w:t xml:space="preserve">。</w:t>
      </w:r>
      <w:r>
        <w:rPr>
          <w:rFonts w:hint="eastAsia" w:ascii="宋体" w:hAnsi="宋体" w:cs="宋体"/>
          <w:b/>
          <w:bCs/>
          <w:sz w:val="24"/>
          <w:szCs w:val="24"/>
          <w:highlight w:val="none"/>
          <w:lang w:val="en-US"/>
        </w:rPr>
      </w:r>
      <w:r/>
    </w:p>
    <w:p>
      <w:pPr>
        <w:pStyle w:val="995"/>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5"/>
        <w:spacing w:line="360" w:lineRule="auto"/>
        <w:shd w:val="clear" w:color="auto" w:fill="auto"/>
        <w:rPr>
          <w:rFonts w:hint="eastAsia" w:ascii="宋体" w:hAnsi="宋体" w:cs="宋体"/>
          <w:b/>
          <w:highlight w:val="none"/>
        </w:rPr>
      </w:pPr>
      <w:r>
        <w:rPr>
          <w:rFonts w:hint="eastAsia" w:ascii="宋体" w:hAnsi="宋体" w:cs="宋体"/>
          <w:b/>
          <w:highlight w:val="none"/>
        </w:rPr>
      </w:r>
      <w:r/>
    </w:p>
    <w:p>
      <w:pPr>
        <w:pStyle w:val="995"/>
        <w:spacing w:line="360" w:lineRule="auto"/>
        <w:shd w:val="clear" w:color="auto" w:fill="auto"/>
        <w:rPr>
          <w:rFonts w:hint="eastAsia" w:ascii="宋体" w:hAnsi="宋体" w:cs="宋体"/>
          <w:b/>
          <w:highlight w:val="none"/>
        </w:rPr>
      </w:pPr>
      <w:r>
        <w:rPr>
          <w:rFonts w:hint="eastAsia" w:ascii="宋体" w:hAnsi="宋体" w:cs="宋体"/>
          <w:b/>
          <w:highlight w:val="none"/>
        </w:rPr>
      </w:r>
      <w:r/>
    </w:p>
    <w:p>
      <w:pPr>
        <w:pStyle w:val="995"/>
        <w:spacing w:line="360" w:lineRule="auto"/>
        <w:shd w:val="clear" w:color="auto" w:fill="auto"/>
        <w:rPr>
          <w:rFonts w:hint="eastAsia" w:ascii="宋体" w:hAnsi="宋体" w:cs="宋体"/>
          <w:b/>
          <w:highlight w:val="none"/>
        </w:rPr>
      </w:pPr>
      <w:r>
        <w:rPr>
          <w:rFonts w:hint="eastAsia" w:ascii="宋体" w:hAnsi="宋体" w:cs="宋体"/>
          <w:b/>
          <w:highlight w:val="none"/>
        </w:rPr>
      </w:r>
      <w:r/>
    </w:p>
    <w:p>
      <w:pPr>
        <w:pStyle w:val="995"/>
        <w:spacing w:line="360" w:lineRule="auto"/>
        <w:shd w:val="clear" w:color="auto" w:fill="auto"/>
        <w:rPr>
          <w:rFonts w:hint="eastAsia" w:ascii="宋体" w:hAnsi="宋体" w:cs="宋体"/>
          <w:b/>
          <w:highlight w:val="none"/>
        </w:rPr>
      </w:pPr>
      <w:r>
        <w:rPr>
          <w:rFonts w:hint="eastAsia" w:ascii="宋体" w:hAnsi="宋体" w:cs="宋体"/>
          <w:b/>
          <w:highlight w:val="none"/>
        </w:rPr>
      </w:r>
      <w:r/>
    </w:p>
    <w:p>
      <w:pPr>
        <w:pStyle w:val="995"/>
        <w:jc w:val="center"/>
        <w:shd w:val="clear" w:color="auto" w:fill="auto"/>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、拟投入项目组人员一览表  </w:t>
      </w:r>
      <w:r>
        <w:rPr>
          <w:rFonts w:hint="eastAsia" w:ascii="宋体" w:hAnsi="宋体" w:eastAsia="宋体" w:cs="宋体"/>
          <w:b/>
          <w:sz w:val="24"/>
          <w:szCs w:val="24"/>
          <w:highlight w:val="none"/>
        </w:rPr>
      </w:r>
      <w:r/>
    </w:p>
    <w:p>
      <w:pPr>
        <w:pStyle w:val="995"/>
        <w:jc w:val="center"/>
        <w:spacing w:line="360" w:lineRule="auto"/>
        <w:shd w:val="clear" w:color="auto" w:fill="auto"/>
        <w:widowControl/>
        <w:rPr>
          <w:rFonts w:hint="eastAsia" w:ascii="宋体" w:hAnsi="宋体"/>
          <w:b/>
          <w:szCs w:val="24"/>
          <w:highlight w:val="none"/>
        </w:rPr>
      </w:pPr>
      <w:r>
        <w:rPr>
          <w:rFonts w:hint="eastAsia" w:ascii="宋体" w:hAnsi="宋体"/>
          <w:b/>
          <w:szCs w:val="24"/>
          <w:highlight w:val="none"/>
        </w:rPr>
        <w:t xml:space="preserve">拟投入项目组人员一览表</w:t>
      </w:r>
      <w:r>
        <w:rPr>
          <w:rFonts w:hint="eastAsia" w:ascii="宋体" w:hAnsi="宋体"/>
          <w:b/>
          <w:szCs w:val="24"/>
          <w:highlight w:val="none"/>
        </w:rPr>
      </w:r>
      <w:r/>
    </w:p>
    <w:p>
      <w:pPr>
        <w:pStyle w:val="995"/>
        <w:shd w:val="clear" w:color="auto" w:fill="auto"/>
        <w:rPr>
          <w:rFonts w:hint="eastAsia"/>
          <w:highlight w:val="none"/>
        </w:rPr>
      </w:pPr>
      <w:r>
        <w:rPr>
          <w:rFonts w:hint="eastAsia"/>
          <w:highlight w:val="none"/>
          <w:lang w:eastAsia="zh-CN"/>
        </w:rPr>
        <w:t xml:space="preserve">采购包</w:t>
      </w:r>
      <w:r>
        <w:rPr>
          <w:rFonts w:hint="eastAsia"/>
          <w:highlight w:val="none"/>
        </w:rPr>
        <w:t xml:space="preserve">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113"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在本项目中负责的岗位（按照采购要求填写）</w:t>
            </w:r>
            <w:r>
              <w:rPr>
                <w:rFonts w:hint="eastAsia" w:ascii="宋体" w:hAnsi="宋体"/>
                <w:sz w:val="24"/>
                <w:szCs w:val="24"/>
                <w:highlight w:val="none"/>
              </w:rPr>
            </w:r>
            <w:r/>
          </w:p>
        </w:tc>
        <w:tc>
          <w:tcPr>
            <w:tcW w:w="601"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姓名</w:t>
            </w:r>
            <w:r>
              <w:rPr>
                <w:rFonts w:hint="eastAsia" w:ascii="宋体" w:hAnsi="宋体"/>
                <w:sz w:val="24"/>
                <w:szCs w:val="24"/>
                <w:highlight w:val="none"/>
              </w:rPr>
            </w:r>
            <w:r/>
          </w:p>
        </w:tc>
        <w:tc>
          <w:tcPr>
            <w:tcW w:w="601"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性别</w:t>
            </w:r>
            <w:r>
              <w:rPr>
                <w:rFonts w:hint="eastAsia" w:ascii="宋体" w:hAnsi="宋体"/>
                <w:sz w:val="24"/>
                <w:szCs w:val="24"/>
                <w:highlight w:val="none"/>
              </w:rPr>
            </w:r>
            <w:r/>
          </w:p>
        </w:tc>
        <w:tc>
          <w:tcPr>
            <w:tcW w:w="600"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年龄</w:t>
            </w:r>
            <w:r>
              <w:rPr>
                <w:rFonts w:hint="eastAsia" w:ascii="宋体" w:hAnsi="宋体"/>
                <w:sz w:val="24"/>
                <w:szCs w:val="24"/>
                <w:highlight w:val="none"/>
              </w:rPr>
            </w:r>
            <w:r/>
          </w:p>
        </w:tc>
        <w:tc>
          <w:tcPr>
            <w:tcW w:w="1352"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从事本技术领域年限</w:t>
            </w:r>
            <w:r>
              <w:rPr>
                <w:rFonts w:hint="eastAsia" w:ascii="宋体" w:hAnsi="宋体"/>
                <w:sz w:val="24"/>
                <w:szCs w:val="24"/>
                <w:highlight w:val="none"/>
              </w:rPr>
            </w:r>
            <w:r/>
          </w:p>
        </w:tc>
        <w:tc>
          <w:tcPr>
            <w:tcW w:w="2102"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lang w:val="en-US" w:eastAsia="zh-CN"/>
              </w:rPr>
              <w:t xml:space="preserve">执业资格</w:t>
            </w:r>
            <w:r>
              <w:rPr>
                <w:rFonts w:hint="eastAsia" w:ascii="宋体" w:hAnsi="宋体"/>
                <w:sz w:val="24"/>
                <w:szCs w:val="24"/>
                <w:highlight w:val="none"/>
              </w:rPr>
              <w:t xml:space="preserve">(按照采购要求填写是否满足)</w:t>
            </w:r>
            <w:r>
              <w:rPr>
                <w:rFonts w:hint="eastAsia" w:ascii="宋体" w:hAnsi="宋体"/>
                <w:sz w:val="24"/>
                <w:szCs w:val="24"/>
                <w:highlight w:val="none"/>
              </w:rPr>
            </w:r>
            <w:r/>
          </w:p>
        </w:tc>
        <w:tc>
          <w:tcPr>
            <w:tcW w:w="1502"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lang w:val="en-US" w:eastAsia="zh-CN"/>
              </w:rPr>
              <w:t xml:space="preserve">执业资格</w:t>
            </w:r>
            <w:r>
              <w:rPr>
                <w:rFonts w:hint="eastAsia" w:ascii="宋体" w:hAnsi="宋体"/>
                <w:sz w:val="24"/>
                <w:szCs w:val="24"/>
                <w:highlight w:val="none"/>
              </w:rPr>
              <w:t xml:space="preserve">名称、等级、编号等</w:t>
            </w:r>
            <w:r>
              <w:rPr>
                <w:rFonts w:hint="eastAsia" w:ascii="宋体" w:hAnsi="宋体"/>
                <w:sz w:val="24"/>
                <w:szCs w:val="24"/>
                <w:highlight w:val="none"/>
              </w:rPr>
            </w:r>
            <w:r/>
          </w:p>
        </w:tc>
        <w:tc>
          <w:tcPr>
            <w:tcW w:w="713" w:type="dxa"/>
            <w:vAlign w:val="center"/>
            <w:textDirection w:val="lrTb"/>
            <w:noWrap w:val="false"/>
          </w:tcPr>
          <w:p>
            <w:pPr>
              <w:pStyle w:val="995"/>
              <w:jc w:val="center"/>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职称</w:t>
            </w: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r>
        <w:trPr>
          <w:cantSplit/>
          <w:trHeight w:val="495"/>
        </w:trPr>
        <w:tc>
          <w:tcPr>
            <w:tcW w:w="554"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1"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600"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35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21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1502"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c>
          <w:tcPr>
            <w:tcW w:w="713" w:type="dxa"/>
            <w:vAlign w:val="center"/>
            <w:textDirection w:val="lrTb"/>
            <w:noWrap w:val="false"/>
          </w:tcPr>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tc>
      </w:tr>
    </w:tbl>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注：本表后附采购文件中评分标准中要求提供的证明材料。</w:t>
      </w:r>
      <w:r>
        <w:rPr>
          <w:rFonts w:hint="eastAsia" w:ascii="宋体" w:hAnsi="宋体"/>
          <w:sz w:val="24"/>
          <w:szCs w:val="24"/>
          <w:highlight w:val="none"/>
        </w:rPr>
      </w:r>
      <w:r/>
    </w:p>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响应供应商名称（公章）：</w:t>
      </w:r>
      <w:r>
        <w:rPr>
          <w:rFonts w:hint="eastAsia" w:ascii="宋体" w:hAnsi="宋体"/>
          <w:sz w:val="24"/>
          <w:szCs w:val="24"/>
          <w:highlight w:val="none"/>
        </w:rPr>
      </w:r>
      <w:r/>
    </w:p>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响应供应商法定代表人或委托代理人：（签字或盖章）   </w:t>
      </w:r>
      <w:r>
        <w:rPr>
          <w:rFonts w:hint="eastAsia" w:ascii="宋体" w:hAnsi="宋体"/>
          <w:sz w:val="24"/>
          <w:szCs w:val="24"/>
          <w:highlight w:val="none"/>
        </w:rPr>
      </w:r>
      <w:r/>
    </w:p>
    <w:p>
      <w:pPr>
        <w:pStyle w:val="995"/>
        <w:ind w:firstLine="660"/>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日  期： </w:t>
      </w:r>
      <w:r>
        <w:rPr>
          <w:rFonts w:hint="eastAsia" w:ascii="宋体" w:hAnsi="宋体"/>
          <w:sz w:val="24"/>
          <w:szCs w:val="24"/>
          <w:highlight w:val="none"/>
        </w:rPr>
      </w:r>
      <w:r/>
    </w:p>
    <w:p>
      <w:pPr>
        <w:pStyle w:val="998"/>
        <w:shd w:val="clear" w:color="auto" w:fill="auto"/>
        <w:rPr>
          <w:rFonts w:hint="eastAsia" w:ascii="宋体" w:hAnsi="宋体"/>
          <w:szCs w:val="24"/>
          <w:highlight w:val="none"/>
        </w:rPr>
      </w:pPr>
      <w:r>
        <w:rPr>
          <w:rFonts w:hint="eastAsia" w:ascii="宋体" w:hAnsi="宋体"/>
          <w:szCs w:val="24"/>
          <w:highlight w:val="none"/>
        </w:rPr>
      </w:r>
      <w:r/>
    </w:p>
    <w:p>
      <w:pPr>
        <w:pStyle w:val="995"/>
        <w:shd w:val="clear" w:color="auto" w:fill="auto"/>
        <w:rPr>
          <w:rFonts w:hint="eastAsia" w:ascii="宋体" w:hAnsi="宋体"/>
          <w:b/>
          <w:szCs w:val="24"/>
          <w:highlight w:val="none"/>
        </w:rPr>
      </w:pPr>
      <w:r>
        <w:rPr>
          <w:rFonts w:hint="eastAsia" w:ascii="宋体" w:hAnsi="宋体"/>
          <w:b/>
          <w:szCs w:val="24"/>
          <w:highlight w:val="none"/>
        </w:rPr>
      </w:r>
      <w:r/>
    </w:p>
    <w:p>
      <w:pPr>
        <w:pStyle w:val="998"/>
        <w:shd w:val="clear" w:color="auto" w:fill="auto"/>
        <w:rPr>
          <w:rFonts w:hint="eastAsia" w:ascii="宋体" w:hAnsi="宋体"/>
          <w:szCs w:val="24"/>
          <w:highlight w:val="none"/>
        </w:rPr>
      </w:pPr>
      <w:r>
        <w:rPr>
          <w:rFonts w:hint="eastAsia" w:ascii="宋体" w:hAnsi="宋体"/>
          <w:szCs w:val="24"/>
          <w:highlight w:val="none"/>
        </w:rPr>
      </w:r>
      <w:r/>
    </w:p>
    <w:p>
      <w:pPr>
        <w:pStyle w:val="995"/>
        <w:shd w:val="clear" w:color="auto" w:fill="auto"/>
        <w:rPr>
          <w:rFonts w:hint="eastAsia" w:ascii="宋体" w:hAnsi="宋体"/>
          <w:b/>
          <w:szCs w:val="24"/>
          <w:highlight w:val="none"/>
        </w:rPr>
      </w:pPr>
      <w:r>
        <w:rPr>
          <w:rFonts w:hint="eastAsia" w:ascii="宋体" w:hAnsi="宋体"/>
          <w:b/>
          <w:szCs w:val="24"/>
          <w:highlight w:val="none"/>
        </w:rPr>
      </w:r>
      <w:r/>
    </w:p>
    <w:p>
      <w:pPr>
        <w:pStyle w:val="998"/>
        <w:shd w:val="clear" w:color="auto" w:fill="auto"/>
        <w:rPr>
          <w:rFonts w:hint="eastAsia" w:ascii="宋体" w:hAnsi="宋体"/>
          <w:szCs w:val="24"/>
          <w:highlight w:val="none"/>
        </w:rPr>
      </w:pPr>
      <w:r>
        <w:rPr>
          <w:rFonts w:hint="eastAsia" w:ascii="宋体" w:hAnsi="宋体"/>
          <w:szCs w:val="24"/>
          <w:highlight w:val="none"/>
        </w:rPr>
      </w:r>
      <w:r/>
    </w:p>
    <w:p>
      <w:pPr>
        <w:pStyle w:val="995"/>
        <w:shd w:val="clear" w:color="auto" w:fill="auto"/>
        <w:rPr>
          <w:rFonts w:hint="eastAsia"/>
          <w:highlight w:val="none"/>
        </w:rPr>
      </w:pPr>
      <w:r>
        <w:rPr>
          <w:rFonts w:hint="eastAsia"/>
          <w:highlight w:val="none"/>
        </w:rPr>
      </w:r>
      <w:r/>
    </w:p>
    <w:p>
      <w:pPr>
        <w:pStyle w:val="995"/>
        <w:shd w:val="clear" w:color="auto" w:fill="auto"/>
        <w:rPr>
          <w:rFonts w:hint="eastAsia" w:ascii="宋体" w:hAnsi="宋体"/>
          <w:b/>
          <w:szCs w:val="24"/>
          <w:highlight w:val="none"/>
        </w:rPr>
      </w:pPr>
      <w:r>
        <w:rPr>
          <w:rFonts w:hint="eastAsia" w:ascii="宋体" w:hAnsi="宋体"/>
          <w:b/>
          <w:szCs w:val="24"/>
          <w:highlight w:val="none"/>
        </w:rPr>
      </w:r>
      <w:r/>
    </w:p>
    <w:p>
      <w:pPr>
        <w:pStyle w:val="995"/>
        <w:spacing w:line="360" w:lineRule="auto"/>
        <w:shd w:val="clear" w:color="auto" w:fill="auto"/>
        <w:widowControl/>
        <w:rPr>
          <w:rFonts w:hint="eastAsia" w:ascii="宋体" w:hAnsi="宋体"/>
          <w:b/>
          <w:sz w:val="24"/>
          <w:szCs w:val="24"/>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b/>
          <w:sz w:val="24"/>
          <w:szCs w:val="24"/>
          <w:highlight w:val="none"/>
        </w:rPr>
      </w:r>
      <w:r/>
    </w:p>
    <w:p>
      <w:pPr>
        <w:pStyle w:val="995"/>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附件</w:t>
      </w:r>
      <w:r>
        <w:rPr>
          <w:rFonts w:hint="eastAsia" w:ascii="宋体" w:hAnsi="宋体" w:eastAsia="宋体" w:cs="宋体"/>
          <w:b/>
          <w:sz w:val="24"/>
          <w:szCs w:val="24"/>
          <w:highlight w:val="none"/>
          <w:lang w:val="en-US" w:eastAsia="zh-CN"/>
        </w:rPr>
        <w:t xml:space="preserve">5</w:t>
      </w:r>
      <w:r>
        <w:rPr>
          <w:rFonts w:hint="eastAsia" w:ascii="宋体" w:hAnsi="宋体" w:eastAsia="宋体" w:cs="宋体"/>
          <w:b/>
          <w:sz w:val="24"/>
          <w:szCs w:val="24"/>
          <w:highlight w:val="none"/>
        </w:rPr>
        <w:t xml:space="preserve">、结算审核项目业务汇总表    </w:t>
      </w:r>
      <w:r>
        <w:rPr>
          <w:rFonts w:hint="eastAsia" w:ascii="宋体" w:hAnsi="宋体" w:eastAsia="宋体" w:cs="宋体"/>
          <w:b/>
          <w:sz w:val="24"/>
          <w:szCs w:val="24"/>
          <w:highlight w:val="none"/>
        </w:rPr>
      </w:r>
      <w:r/>
    </w:p>
    <w:p>
      <w:pPr>
        <w:pStyle w:val="995"/>
        <w:jc w:val="center"/>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highlight w:val="none"/>
          <w:lang w:val="zh-CN"/>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zh-CN"/>
        </w:rPr>
        <w:t xml:space="preserve"> </w:t>
      </w:r>
      <w:r>
        <w:rPr>
          <w:rFonts w:hint="eastAsia" w:ascii="宋体" w:hAnsi="宋体" w:cs="宋体"/>
          <w:color w:val="000000"/>
          <w:sz w:val="24"/>
          <w:szCs w:val="24"/>
          <w:highlight w:val="none"/>
          <w:lang w:val="zh-CN"/>
        </w:rPr>
        <w:t xml:space="preserve">单位：亿元</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233"/>
        <w:gridCol w:w="2323"/>
        <w:gridCol w:w="1645"/>
        <w:gridCol w:w="1645"/>
        <w:gridCol w:w="1645"/>
        <w:gridCol w:w="1645"/>
      </w:tblGrid>
      <w:tr>
        <w:trPr>
          <w:trHeight w:val="641"/>
        </w:trPr>
        <w:tc>
          <w:tcPr>
            <w:tcBorders>
              <w:top w:val="single" w:color="000000" w:sz="6" w:space="0"/>
              <w:left w:val="single" w:color="000000" w:sz="6" w:space="0"/>
              <w:bottom w:val="single" w:color="000000" w:sz="6" w:space="0"/>
              <w:right w:val="single" w:color="000000" w:sz="6" w:space="0"/>
            </w:tcBorders>
            <w:tcW w:w="608"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结算审核项目</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年度</w:t>
            </w:r>
            <w:r>
              <w:rPr>
                <w:rFonts w:hint="eastAsia"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审定额</w:t>
            </w:r>
            <w:r>
              <w:rPr>
                <w:rFonts w:ascii="宋体" w:hAnsi="宋体" w:eastAsia="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进度（进行中/已完成）</w:t>
            </w:r>
            <w:r>
              <w:rPr>
                <w:rFonts w:hint="eastAsia" w:ascii="宋体" w:hAnsi="宋体" w:eastAsia="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608"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00"/>
        </w:trPr>
        <w:tc>
          <w:tcPr>
            <w:tcBorders>
              <w:top w:val="single" w:color="000000" w:sz="6" w:space="0"/>
              <w:left w:val="single" w:color="000000" w:sz="6" w:space="0"/>
              <w:bottom w:val="single" w:color="000000" w:sz="6" w:space="0"/>
              <w:right w:val="single" w:color="000000" w:sz="6" w:space="0"/>
            </w:tcBorders>
            <w:tcW w:w="608"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18"/>
        </w:trPr>
        <w:tc>
          <w:tcPr>
            <w:tcBorders>
              <w:top w:val="single" w:color="000000" w:sz="6" w:space="0"/>
              <w:left w:val="single" w:color="000000" w:sz="6" w:space="0"/>
              <w:bottom w:val="single" w:color="000000" w:sz="6" w:space="0"/>
              <w:right w:val="single" w:color="000000" w:sz="6" w:space="0"/>
            </w:tcBorders>
            <w:tcW w:w="608"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521"/>
        </w:trPr>
        <w:tc>
          <w:tcPr>
            <w:tcBorders>
              <w:top w:val="single" w:color="000000" w:sz="6" w:space="0"/>
              <w:left w:val="single" w:color="000000" w:sz="6" w:space="0"/>
              <w:bottom w:val="single" w:color="000000" w:sz="6" w:space="0"/>
              <w:right w:val="single" w:color="000000" w:sz="6" w:space="0"/>
            </w:tcBorders>
            <w:tcW w:w="608"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s="宋体"/>
                <w:color w:val="000000"/>
                <w:sz w:val="24"/>
                <w:szCs w:val="24"/>
                <w:highlight w:val="none"/>
                <w:lang w:val="zh-CN"/>
              </w:rPr>
              <w:t xml:space="preserve">合计</w:t>
            </w: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1" w:type="dxa"/>
            <w:vAlign w:val="center"/>
            <w:textDirection w:val="lrTb"/>
            <w:noWrap w:val="false"/>
          </w:tcPr>
          <w:p>
            <w:pPr>
              <w:pStyle w:val="995"/>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注：本表后附采购文件中评分标准中要求提供的证明材料。</w:t>
      </w:r>
      <w:r>
        <w:rPr>
          <w:rFonts w:hint="eastAsia" w:ascii="宋体" w:hAnsi="宋体"/>
          <w:sz w:val="24"/>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响应供应商：（单位全称） (盖章)                </w:t>
      </w:r>
      <w:r>
        <w:rPr>
          <w:rFonts w:hint="eastAsia" w:ascii="宋体" w:hAnsi="宋体"/>
          <w:sz w:val="24"/>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法定代表人或委托代理人：  (签章)                </w:t>
      </w:r>
      <w:r>
        <w:rPr>
          <w:rFonts w:hint="eastAsia" w:ascii="宋体" w:hAnsi="宋体"/>
          <w:sz w:val="24"/>
          <w:szCs w:val="24"/>
          <w:highlight w:val="none"/>
        </w:rPr>
      </w:r>
      <w:r/>
    </w:p>
    <w:p>
      <w:pPr>
        <w:pStyle w:val="995"/>
        <w:spacing w:line="360" w:lineRule="auto"/>
        <w:shd w:val="clear" w:color="auto" w:fill="auto"/>
        <w:widowControl/>
        <w:rPr>
          <w:rFonts w:hint="eastAsia" w:ascii="宋体" w:hAnsi="宋体" w:cs="宋体"/>
          <w:b/>
          <w:sz w:val="24"/>
          <w:szCs w:val="24"/>
          <w:highlight w:val="none"/>
        </w:rPr>
      </w:pPr>
      <w:r>
        <w:rPr>
          <w:rFonts w:hint="eastAsia" w:ascii="宋体" w:hAnsi="宋体"/>
          <w:sz w:val="24"/>
          <w:szCs w:val="24"/>
          <w:highlight w:val="none"/>
        </w:rPr>
        <w:t xml:space="preserve">日    期：</w:t>
      </w:r>
      <w:r>
        <w:rPr>
          <w:rFonts w:hint="eastAsia" w:ascii="宋体" w:hAnsi="宋体" w:cs="宋体"/>
          <w:b/>
          <w:sz w:val="24"/>
          <w:szCs w:val="24"/>
          <w:highlight w:val="none"/>
        </w:rPr>
      </w:r>
      <w:r/>
    </w:p>
    <w:p>
      <w:pPr>
        <w:pStyle w:val="998"/>
        <w:shd w:val="clear" w:color="auto" w:fill="auto"/>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95"/>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8"/>
        <w:shd w:val="clear" w:color="auto" w:fill="auto"/>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95"/>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8"/>
        <w:shd w:val="clear" w:color="auto" w:fill="auto"/>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95"/>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8"/>
        <w:shd w:val="clear" w:color="auto" w:fill="auto"/>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95"/>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8"/>
        <w:shd w:val="clear" w:color="auto" w:fill="auto"/>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995"/>
        <w:spacing w:line="360" w:lineRule="auto"/>
        <w:shd w:val="clear" w:color="auto" w:fill="auto"/>
        <w:widowControl/>
        <w:rPr>
          <w:rFonts w:hint="eastAsia" w:ascii="宋体" w:hAnsi="宋体"/>
          <w:b/>
          <w:sz w:val="24"/>
          <w:szCs w:val="24"/>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b/>
          <w:sz w:val="24"/>
          <w:szCs w:val="24"/>
          <w:highlight w:val="none"/>
        </w:rPr>
      </w:r>
      <w:r/>
    </w:p>
    <w:p>
      <w:pPr>
        <w:pStyle w:val="995"/>
        <w:spacing w:line="360" w:lineRule="auto"/>
        <w:shd w:val="clear" w:color="auto" w:fill="auto"/>
        <w:widowControl/>
        <w:rPr>
          <w:rFonts w:hint="eastAsia" w:ascii="宋体" w:hAnsi="宋体" w:cs="宋体"/>
          <w:b/>
          <w:sz w:val="24"/>
          <w:szCs w:val="24"/>
          <w:highlight w:val="none"/>
        </w:rPr>
      </w:pPr>
      <w:r>
        <w:rPr>
          <w:rFonts w:hint="eastAsia" w:ascii="宋体" w:hAnsi="宋体" w:cs="宋体"/>
          <w:b/>
          <w:sz w:val="24"/>
          <w:szCs w:val="24"/>
          <w:highlight w:val="none"/>
        </w:rPr>
        <w:t xml:space="preserve">附件</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、偏离表</w:t>
      </w:r>
      <w:r>
        <w:rPr>
          <w:rFonts w:hint="eastAsia" w:ascii="宋体" w:hAnsi="宋体" w:cs="宋体"/>
          <w:b/>
          <w:sz w:val="24"/>
          <w:szCs w:val="24"/>
          <w:highlight w:val="none"/>
        </w:rPr>
      </w:r>
      <w:r/>
    </w:p>
    <w:p>
      <w:pPr>
        <w:pStyle w:val="1008"/>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服务要求偏离表</w:t>
      </w:r>
      <w:r>
        <w:rPr>
          <w:rFonts w:hint="eastAsia" w:ascii="宋体" w:hAnsi="宋体"/>
          <w:b/>
          <w:sz w:val="24"/>
          <w:szCs w:val="24"/>
          <w:highlight w:val="none"/>
        </w:rPr>
      </w:r>
      <w:r/>
    </w:p>
    <w:p>
      <w:pPr>
        <w:pStyle w:val="1008"/>
        <w:ind w:left="0"/>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lang w:eastAsia="zh-CN"/>
        </w:rPr>
        <w:t xml:space="preserve">采购包</w:t>
      </w:r>
      <w:r>
        <w:rPr>
          <w:rFonts w:hint="eastAsia" w:ascii="宋体" w:hAnsi="宋体"/>
          <w:b/>
          <w:sz w:val="24"/>
          <w:szCs w:val="24"/>
          <w:highlight w:val="none"/>
        </w:rPr>
        <w:t xml:space="preserve">号：</w:t>
      </w:r>
      <w:r>
        <w:rPr>
          <w:rFonts w:hint="eastAsia" w:ascii="宋体" w:hAnsi="宋体"/>
          <w:b/>
          <w:sz w:val="24"/>
          <w:szCs w:val="24"/>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813"/>
        <w:gridCol w:w="1912"/>
        <w:gridCol w:w="1981"/>
        <w:gridCol w:w="2172"/>
        <w:gridCol w:w="1967"/>
        <w:gridCol w:w="1289"/>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服务内容</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采购要求</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firstLine="241"/>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服务响应</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偏离/响应</w:t>
            </w: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3"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7"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0"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5" w:type="dxa"/>
            <w:vAlign w:val="center"/>
            <w:textDirection w:val="lrTb"/>
            <w:noWrap w:val="false"/>
          </w:tcPr>
          <w:p>
            <w:pPr>
              <w:pStyle w:val="1008"/>
              <w:ind w:left="0"/>
              <w:spacing w:line="360" w:lineRule="auto"/>
              <w:shd w:val="clear" w:color="auto" w:fill="auto"/>
              <w:rPr>
                <w:rFonts w:hint="eastAsia" w:ascii="宋体" w:hAnsi="宋体" w:cs="宋体"/>
                <w:b/>
                <w:sz w:val="24"/>
                <w:szCs w:val="24"/>
                <w:highlight w:val="none"/>
              </w:rPr>
              <w:outlineLvl w:val="1"/>
            </w:pPr>
            <w:r>
              <w:rPr>
                <w:rFonts w:hint="eastAsia" w:ascii="宋体" w:hAnsi="宋体" w:cs="宋体"/>
                <w:b/>
                <w:sz w:val="24"/>
                <w:szCs w:val="24"/>
                <w:highlight w:val="none"/>
              </w:rPr>
            </w:r>
            <w:r/>
          </w:p>
        </w:tc>
      </w:tr>
    </w:tbl>
    <w:p>
      <w:pPr>
        <w:pStyle w:val="1008"/>
        <w:ind w:left="0"/>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注：</w:t>
      </w:r>
      <w:r>
        <w:rPr>
          <w:rFonts w:hint="eastAsia" w:ascii="宋体" w:hAnsi="宋体"/>
          <w:b/>
          <w:sz w:val="24"/>
          <w:szCs w:val="24"/>
          <w:highlight w:val="none"/>
        </w:rPr>
      </w:r>
      <w:r/>
    </w:p>
    <w:p>
      <w:pPr>
        <w:pStyle w:val="1008"/>
        <w:numPr>
          <w:ilvl w:val="0"/>
          <w:numId w:val="13"/>
        </w:numPr>
        <w:ind w:left="0"/>
        <w:jc w:val="left"/>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响应单位应对照磋商文件服务要求等要求，所响应标的物与磋商文件的规定有偏离的，</w:t>
      </w:r>
      <w:r>
        <w:rPr>
          <w:rFonts w:hint="eastAsia" w:ascii="宋体" w:hAnsi="宋体"/>
          <w:b/>
          <w:sz w:val="24"/>
          <w:szCs w:val="24"/>
          <w:highlight w:val="none"/>
        </w:rPr>
      </w:r>
      <w:r/>
    </w:p>
    <w:p>
      <w:pPr>
        <w:pStyle w:val="1008"/>
        <w:ind w:left="0"/>
        <w:jc w:val="left"/>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应在此表中申明与服务要求条文的偏差和例外。</w:t>
      </w:r>
      <w:r>
        <w:rPr>
          <w:rFonts w:hint="eastAsia" w:ascii="宋体" w:hAnsi="宋体"/>
          <w:b/>
          <w:sz w:val="24"/>
          <w:szCs w:val="24"/>
          <w:highlight w:val="none"/>
        </w:rPr>
      </w:r>
      <w:r/>
    </w:p>
    <w:p>
      <w:pPr>
        <w:pStyle w:val="1008"/>
        <w:numPr>
          <w:ilvl w:val="0"/>
          <w:numId w:val="13"/>
        </w:numPr>
        <w:ind w:left="0"/>
        <w:jc w:val="left"/>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未在上表中说明的，如在响应文件其他内容中已有文字说明的，则以已有文字说明为准，</w:t>
      </w:r>
      <w:r>
        <w:rPr>
          <w:rFonts w:hint="eastAsia" w:ascii="宋体" w:hAnsi="宋体"/>
          <w:b/>
          <w:sz w:val="24"/>
          <w:szCs w:val="24"/>
          <w:highlight w:val="none"/>
        </w:rPr>
      </w:r>
      <w:r/>
    </w:p>
    <w:p>
      <w:pPr>
        <w:pStyle w:val="1008"/>
        <w:ind w:left="0"/>
        <w:jc w:val="left"/>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否则，将被认为完全响应磋商文件的规定。但该表不作为响应单位对所响应标的物关于服务</w:t>
      </w:r>
      <w:r>
        <w:rPr>
          <w:rFonts w:hint="eastAsia" w:ascii="宋体" w:hAnsi="宋体"/>
          <w:b/>
          <w:sz w:val="24"/>
          <w:szCs w:val="24"/>
          <w:highlight w:val="none"/>
        </w:rPr>
      </w:r>
      <w:r/>
    </w:p>
    <w:p>
      <w:pPr>
        <w:pStyle w:val="1008"/>
        <w:ind w:left="0"/>
        <w:jc w:val="left"/>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要求等详细描述和说明的替代。</w:t>
      </w:r>
      <w:r>
        <w:rPr>
          <w:rFonts w:hint="eastAsia" w:ascii="宋体" w:hAnsi="宋体"/>
          <w:b/>
          <w:sz w:val="24"/>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供应商：（单位盖章）</w:t>
      </w:r>
      <w:r>
        <w:rPr>
          <w:rFonts w:hint="eastAsia" w:ascii="宋体" w:hAnsi="宋体"/>
          <w:sz w:val="24"/>
          <w:szCs w:val="24"/>
          <w:highlight w:val="none"/>
        </w:rPr>
      </w:r>
      <w:r/>
    </w:p>
    <w:p>
      <w:pPr>
        <w:pStyle w:val="995"/>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法定代表人或代理人：（签字或盖章）</w:t>
      </w:r>
      <w:r>
        <w:rPr>
          <w:rFonts w:ascii="宋体" w:hAnsi="宋体"/>
          <w:sz w:val="24"/>
          <w:szCs w:val="24"/>
          <w:highlight w:val="none"/>
        </w:rPr>
      </w:r>
      <w:r/>
    </w:p>
    <w:p>
      <w:pPr>
        <w:pStyle w:val="1008"/>
        <w:ind w:left="0"/>
        <w:spacing w:line="360" w:lineRule="auto"/>
        <w:shd w:val="clear" w:color="auto" w:fill="auto"/>
        <w:rPr>
          <w:rFonts w:ascii="宋体" w:hAnsi="宋体"/>
          <w:szCs w:val="24"/>
          <w:highlight w:val="none"/>
        </w:rPr>
      </w:pPr>
      <w:r>
        <w:rPr>
          <w:rFonts w:hint="eastAsia" w:ascii="宋体" w:hAnsi="宋体"/>
          <w:szCs w:val="24"/>
          <w:highlight w:val="none"/>
        </w:rPr>
        <w:t xml:space="preserve">日期：</w:t>
      </w:r>
      <w:r>
        <w:rPr>
          <w:rFonts w:ascii="宋体" w:hAnsi="宋体"/>
          <w:szCs w:val="24"/>
          <w:highlight w:val="none"/>
        </w:rPr>
        <w:t xml:space="preserve">         </w:t>
      </w:r>
      <w:r>
        <w:rPr>
          <w:rFonts w:hint="eastAsia" w:ascii="宋体" w:hAnsi="宋体"/>
          <w:szCs w:val="24"/>
          <w:highlight w:val="none"/>
        </w:rPr>
        <w:t xml:space="preserve">年</w:t>
      </w:r>
      <w:r>
        <w:rPr>
          <w:rFonts w:ascii="宋体" w:hAnsi="宋体"/>
          <w:szCs w:val="24"/>
          <w:highlight w:val="none"/>
        </w:rPr>
        <w:t xml:space="preserve">         </w:t>
      </w:r>
      <w:r>
        <w:rPr>
          <w:rFonts w:hint="eastAsia" w:ascii="宋体" w:hAnsi="宋体"/>
          <w:szCs w:val="24"/>
          <w:highlight w:val="none"/>
        </w:rPr>
        <w:t xml:space="preserve">月</w:t>
      </w:r>
      <w:r>
        <w:rPr>
          <w:rFonts w:ascii="宋体" w:hAnsi="宋体"/>
          <w:szCs w:val="24"/>
          <w:highlight w:val="none"/>
        </w:rPr>
        <w:t xml:space="preserve">       </w:t>
      </w:r>
      <w:r>
        <w:rPr>
          <w:rFonts w:hint="eastAsia" w:ascii="宋体" w:hAnsi="宋体"/>
          <w:szCs w:val="24"/>
          <w:highlight w:val="none"/>
        </w:rPr>
        <w:t xml:space="preserve">日</w:t>
      </w:r>
      <w:r>
        <w:rPr>
          <w:rFonts w:ascii="宋体" w:hAnsi="宋体"/>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1008"/>
        <w:jc w:val="center"/>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995"/>
        <w:jc w:val="center"/>
        <w:shd w:val="clear" w:color="auto" w:fill="auto"/>
        <w:rPr>
          <w:rFonts w:hint="eastAsia" w:ascii="宋体" w:hAnsi="宋体"/>
          <w:b/>
          <w:sz w:val="24"/>
          <w:szCs w:val="24"/>
          <w:highlight w:val="none"/>
        </w:rPr>
      </w:pPr>
      <w:r>
        <w:rPr>
          <w:rFonts w:hint="eastAsia" w:ascii="宋体" w:hAnsi="宋体"/>
          <w:b/>
          <w:sz w:val="24"/>
          <w:szCs w:val="24"/>
          <w:highlight w:val="none"/>
        </w:rPr>
      </w:r>
      <w:r/>
    </w:p>
    <w:p>
      <w:pPr>
        <w:pStyle w:val="1008"/>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商务条款偏离表</w:t>
      </w:r>
      <w:r>
        <w:rPr>
          <w:rFonts w:hint="eastAsia" w:ascii="宋体" w:hAnsi="宋体"/>
          <w:b/>
          <w:sz w:val="24"/>
          <w:szCs w:val="24"/>
          <w:highlight w:val="none"/>
        </w:rPr>
      </w:r>
      <w:r/>
    </w:p>
    <w:p>
      <w:pPr>
        <w:pStyle w:val="1008"/>
        <w:ind w:left="0"/>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lang w:eastAsia="zh-CN"/>
        </w:rPr>
        <w:t xml:space="preserve">采购包</w:t>
      </w:r>
      <w:r>
        <w:rPr>
          <w:rFonts w:hint="eastAsia" w:ascii="宋体" w:hAnsi="宋体"/>
          <w:b/>
          <w:sz w:val="24"/>
          <w:szCs w:val="24"/>
          <w:highlight w:val="none"/>
        </w:rPr>
        <w:t xml:space="preserve">号：</w:t>
      </w:r>
      <w:r>
        <w:rPr>
          <w:rFonts w:hint="eastAsia" w:ascii="宋体" w:hAnsi="宋体"/>
          <w:b/>
          <w:sz w:val="24"/>
          <w:szCs w:val="24"/>
          <w:highlight w:val="none"/>
        </w:rPr>
      </w:r>
      <w:r/>
    </w:p>
    <w:tbl>
      <w:tblPr>
        <w:tblW w:w="4998"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99"/>
        <w:gridCol w:w="2192"/>
        <w:gridCol w:w="2060"/>
        <w:gridCol w:w="1766"/>
      </w:tblGrid>
      <w:tr>
        <w:trPr>
          <w:cantSplit/>
          <w:trHeight w:val="80"/>
          <w:tblHeader/>
        </w:trPr>
        <w:tc>
          <w:tcPr>
            <w:tcW w:w="403" w:type="dxa"/>
            <w:vAlign w:val="center"/>
            <w:textDirection w:val="lrTb"/>
            <w:noWrap w:val="false"/>
          </w:tcPr>
          <w:p>
            <w:pPr>
              <w:pStyle w:val="995"/>
              <w:jc w:val="center"/>
              <w:spacing w:line="360" w:lineRule="auto"/>
              <w:shd w:val="clear" w:color="auto" w:fill="auto"/>
              <w:rPr>
                <w:rFonts w:ascii="宋体" w:hAnsi="宋体"/>
                <w:b/>
                <w:bCs/>
                <w:sz w:val="24"/>
                <w:szCs w:val="24"/>
                <w:highlight w:val="none"/>
              </w:rPr>
            </w:pPr>
            <w:r>
              <w:rPr>
                <w:rFonts w:hint="eastAsia" w:ascii="宋体" w:hAnsi="宋体"/>
                <w:b/>
                <w:bCs/>
                <w:sz w:val="24"/>
                <w:szCs w:val="24"/>
                <w:highlight w:val="none"/>
              </w:rPr>
              <w:t xml:space="preserve">序号</w:t>
            </w:r>
            <w:r>
              <w:rPr>
                <w:rFonts w:ascii="宋体" w:hAnsi="宋体"/>
                <w:b/>
                <w:bCs/>
                <w:sz w:val="24"/>
                <w:szCs w:val="24"/>
                <w:highlight w:val="none"/>
              </w:rPr>
            </w:r>
            <w:r/>
          </w:p>
        </w:tc>
        <w:tc>
          <w:tcPr>
            <w:tcW w:w="1627" w:type="dxa"/>
            <w:vAlign w:val="center"/>
            <w:textDirection w:val="lrTb"/>
            <w:noWrap w:val="false"/>
          </w:tcPr>
          <w:p>
            <w:pPr>
              <w:pStyle w:val="995"/>
              <w:jc w:val="center"/>
              <w:spacing w:line="360" w:lineRule="auto"/>
              <w:shd w:val="clear" w:color="auto" w:fill="auto"/>
              <w:rPr>
                <w:rFonts w:ascii="宋体" w:hAnsi="宋体"/>
                <w:b/>
                <w:bCs/>
                <w:sz w:val="24"/>
                <w:szCs w:val="24"/>
                <w:highlight w:val="none"/>
              </w:rPr>
            </w:pPr>
            <w:r>
              <w:rPr>
                <w:rFonts w:hint="eastAsia" w:ascii="宋体" w:hAnsi="宋体"/>
                <w:b/>
                <w:bCs/>
                <w:sz w:val="24"/>
                <w:szCs w:val="24"/>
                <w:highlight w:val="none"/>
              </w:rPr>
              <w:t xml:space="preserve">磋商文件要求</w:t>
            </w:r>
            <w:r>
              <w:rPr>
                <w:rFonts w:ascii="宋体" w:hAnsi="宋体"/>
                <w:b/>
                <w:bCs/>
                <w:sz w:val="24"/>
                <w:szCs w:val="24"/>
                <w:highlight w:val="none"/>
              </w:rPr>
            </w:r>
            <w:r/>
          </w:p>
        </w:tc>
        <w:tc>
          <w:tcPr>
            <w:tcW w:w="1081" w:type="dxa"/>
            <w:vAlign w:val="center"/>
            <w:textDirection w:val="lrTb"/>
            <w:noWrap w:val="false"/>
          </w:tcPr>
          <w:p>
            <w:pPr>
              <w:pStyle w:val="995"/>
              <w:jc w:val="center"/>
              <w:spacing w:line="360" w:lineRule="auto"/>
              <w:shd w:val="clear" w:color="auto" w:fill="auto"/>
              <w:rPr>
                <w:rFonts w:ascii="宋体" w:hAnsi="宋体"/>
                <w:b/>
                <w:bCs/>
                <w:sz w:val="24"/>
                <w:szCs w:val="24"/>
                <w:highlight w:val="none"/>
              </w:rPr>
            </w:pPr>
            <w:r>
              <w:rPr>
                <w:rFonts w:hint="eastAsia" w:ascii="宋体" w:hAnsi="宋体"/>
                <w:b/>
                <w:bCs/>
                <w:sz w:val="24"/>
                <w:szCs w:val="24"/>
                <w:highlight w:val="none"/>
              </w:rPr>
              <w:t xml:space="preserve">投标响应</w:t>
            </w:r>
            <w:r>
              <w:rPr>
                <w:rFonts w:ascii="宋体" w:hAnsi="宋体"/>
                <w:b/>
                <w:bCs/>
                <w:sz w:val="24"/>
                <w:szCs w:val="24"/>
                <w:highlight w:val="none"/>
              </w:rPr>
            </w:r>
            <w:r/>
          </w:p>
        </w:tc>
        <w:tc>
          <w:tcPr>
            <w:tcW w:w="1016" w:type="dxa"/>
            <w:vAlign w:val="center"/>
            <w:textDirection w:val="lrTb"/>
            <w:noWrap w:val="false"/>
          </w:tcPr>
          <w:p>
            <w:pPr>
              <w:pStyle w:val="995"/>
              <w:jc w:val="center"/>
              <w:spacing w:line="360" w:lineRule="auto"/>
              <w:shd w:val="clear" w:color="auto" w:fill="auto"/>
              <w:rPr>
                <w:rFonts w:ascii="宋体" w:hAnsi="宋体"/>
                <w:b/>
                <w:bCs/>
                <w:sz w:val="24"/>
                <w:szCs w:val="24"/>
                <w:highlight w:val="none"/>
              </w:rPr>
            </w:pPr>
            <w:r>
              <w:rPr>
                <w:rFonts w:hint="eastAsia" w:ascii="宋体" w:hAnsi="宋体"/>
                <w:b/>
                <w:bCs/>
                <w:sz w:val="24"/>
                <w:szCs w:val="24"/>
                <w:highlight w:val="none"/>
              </w:rPr>
              <w:t xml:space="preserve">偏离说明</w:t>
            </w:r>
            <w:r>
              <w:rPr>
                <w:rFonts w:ascii="宋体" w:hAnsi="宋体"/>
                <w:b/>
                <w:bCs/>
                <w:sz w:val="24"/>
                <w:szCs w:val="24"/>
                <w:highlight w:val="none"/>
              </w:rPr>
            </w:r>
            <w:r/>
          </w:p>
        </w:tc>
        <w:tc>
          <w:tcPr>
            <w:tcW w:w="871" w:type="dxa"/>
            <w:vAlign w:val="center"/>
            <w:textDirection w:val="lrTb"/>
            <w:noWrap w:val="false"/>
          </w:tcPr>
          <w:p>
            <w:pPr>
              <w:pStyle w:val="995"/>
              <w:jc w:val="center"/>
              <w:spacing w:line="360" w:lineRule="auto"/>
              <w:shd w:val="clear" w:color="auto" w:fill="auto"/>
              <w:rPr>
                <w:rFonts w:ascii="宋体" w:hAnsi="宋体"/>
                <w:b/>
                <w:bCs/>
                <w:sz w:val="24"/>
                <w:szCs w:val="24"/>
                <w:highlight w:val="none"/>
              </w:rPr>
            </w:pPr>
            <w:r>
              <w:rPr>
                <w:rFonts w:hint="eastAsia" w:ascii="宋体" w:hAnsi="宋体"/>
                <w:b/>
                <w:bCs/>
                <w:sz w:val="24"/>
                <w:szCs w:val="24"/>
                <w:highlight w:val="none"/>
              </w:rPr>
              <w:t xml:space="preserve">备注</w:t>
            </w:r>
            <w:r>
              <w:rPr>
                <w:rFonts w:ascii="宋体" w:hAnsi="宋体"/>
                <w:b/>
                <w:bCs/>
                <w:sz w:val="24"/>
                <w:szCs w:val="24"/>
                <w:highlight w:val="none"/>
              </w:rPr>
            </w:r>
            <w:r/>
          </w:p>
        </w:tc>
      </w:tr>
      <w:tr>
        <w:trPr>
          <w:cantSplit/>
          <w:trHeight w:val="80"/>
        </w:trPr>
        <w:tc>
          <w:tcPr>
            <w:tcW w:w="403" w:type="dxa"/>
            <w:vAlign w:val="top"/>
            <w:textDirection w:val="lrTb"/>
            <w:noWrap w:val="false"/>
          </w:tcPr>
          <w:p>
            <w:pPr>
              <w:pStyle w:val="995"/>
              <w:jc w:val="center"/>
              <w:spacing w:line="360" w:lineRule="auto"/>
              <w:shd w:val="clear" w:color="auto" w:fill="auto"/>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r>
            <w:r/>
          </w:p>
        </w:tc>
        <w:tc>
          <w:tcPr>
            <w:tcW w:w="1627" w:type="dxa"/>
            <w:vAlign w:val="top"/>
            <w:textDirection w:val="lrTb"/>
            <w:noWrap w:val="false"/>
          </w:tcPr>
          <w:p>
            <w:pPr>
              <w:pStyle w:val="995"/>
              <w:spacing w:line="360" w:lineRule="auto"/>
              <w:shd w:val="clear" w:color="auto" w:fill="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服务期限</w:t>
            </w:r>
            <w:r>
              <w:rPr>
                <w:rFonts w:ascii="宋体" w:hAnsi="宋体" w:cs="仿宋_GB2312"/>
                <w:sz w:val="24"/>
                <w:szCs w:val="24"/>
                <w:highlight w:val="none"/>
                <w:lang w:val="zh-CN"/>
              </w:rPr>
            </w:r>
            <w:r/>
          </w:p>
        </w:tc>
        <w:tc>
          <w:tcPr>
            <w:tcW w:w="108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95"/>
              <w:jc w:val="center"/>
              <w:spacing w:line="360" w:lineRule="auto"/>
              <w:shd w:val="clear" w:color="auto" w:fill="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r>
            <w:r/>
          </w:p>
        </w:tc>
        <w:tc>
          <w:tcPr>
            <w:tcW w:w="1627" w:type="dxa"/>
            <w:vAlign w:val="top"/>
            <w:textDirection w:val="lrTb"/>
            <w:noWrap w:val="false"/>
          </w:tcPr>
          <w:p>
            <w:pPr>
              <w:pStyle w:val="995"/>
              <w:spacing w:line="360" w:lineRule="auto"/>
              <w:shd w:val="clear" w:color="auto" w:fill="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服务地点</w:t>
            </w:r>
            <w:r>
              <w:rPr>
                <w:rFonts w:ascii="宋体" w:hAnsi="宋体" w:cs="仿宋_GB2312"/>
                <w:sz w:val="24"/>
                <w:szCs w:val="24"/>
                <w:highlight w:val="none"/>
                <w:lang w:val="zh-CN"/>
              </w:rPr>
            </w:r>
            <w:r/>
          </w:p>
        </w:tc>
        <w:tc>
          <w:tcPr>
            <w:tcW w:w="108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95"/>
              <w:jc w:val="center"/>
              <w:spacing w:line="360" w:lineRule="auto"/>
              <w:shd w:val="clear" w:color="auto" w:fill="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r>
            <w:r/>
          </w:p>
        </w:tc>
        <w:tc>
          <w:tcPr>
            <w:tcW w:w="1627" w:type="dxa"/>
            <w:vAlign w:val="top"/>
            <w:textDirection w:val="lrTb"/>
            <w:noWrap w:val="false"/>
          </w:tcPr>
          <w:p>
            <w:pPr>
              <w:pStyle w:val="995"/>
              <w:spacing w:line="360" w:lineRule="auto"/>
              <w:shd w:val="clear" w:color="auto" w:fill="auto"/>
              <w:rPr>
                <w:rFonts w:ascii="宋体" w:hAnsi="宋体" w:cs="仿宋_GB2312"/>
                <w:sz w:val="24"/>
                <w:szCs w:val="24"/>
                <w:highlight w:val="none"/>
                <w:lang w:val="zh-CN"/>
              </w:rPr>
            </w:pPr>
            <w:r>
              <w:rPr>
                <w:rFonts w:hint="eastAsia" w:ascii="宋体" w:hAnsi="宋体" w:cs="仿宋_GB2312"/>
                <w:sz w:val="24"/>
                <w:szCs w:val="24"/>
                <w:highlight w:val="none"/>
                <w:lang w:val="zh-CN"/>
              </w:rPr>
              <w:t xml:space="preserve">付款方式</w:t>
            </w:r>
            <w:r>
              <w:rPr>
                <w:rFonts w:ascii="宋体" w:hAnsi="宋体" w:cs="仿宋_GB2312"/>
                <w:sz w:val="24"/>
                <w:szCs w:val="24"/>
                <w:highlight w:val="none"/>
                <w:lang w:val="zh-CN"/>
              </w:rPr>
            </w:r>
            <w:r/>
          </w:p>
        </w:tc>
        <w:tc>
          <w:tcPr>
            <w:tcW w:w="108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95"/>
              <w:jc w:val="center"/>
              <w:spacing w:line="360" w:lineRule="auto"/>
              <w:shd w:val="clear" w:color="auto" w:fill="auto"/>
              <w:rPr>
                <w:rFonts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r>
            <w:r/>
          </w:p>
        </w:tc>
        <w:tc>
          <w:tcPr>
            <w:tcW w:w="1627" w:type="dxa"/>
            <w:vAlign w:val="top"/>
            <w:textDirection w:val="lrTb"/>
            <w:noWrap w:val="false"/>
          </w:tcPr>
          <w:p>
            <w:pPr>
              <w:pStyle w:val="995"/>
              <w:spacing w:line="360" w:lineRule="auto"/>
              <w:shd w:val="clear" w:color="auto" w:fill="auto"/>
              <w:rPr>
                <w:rFonts w:ascii="宋体" w:hAnsi="宋体"/>
                <w:bCs/>
                <w:sz w:val="24"/>
                <w:szCs w:val="24"/>
                <w:highlight w:val="none"/>
              </w:rPr>
            </w:pPr>
            <w:r>
              <w:rPr>
                <w:rFonts w:hint="eastAsia" w:ascii="宋体" w:hAnsi="宋体" w:cs="仿宋_GB2312"/>
                <w:sz w:val="24"/>
                <w:szCs w:val="24"/>
                <w:highlight w:val="none"/>
                <w:lang w:val="zh-CN"/>
              </w:rPr>
              <w:t xml:space="preserve">其他商务要求</w:t>
            </w:r>
            <w:r>
              <w:rPr>
                <w:rFonts w:ascii="宋体" w:hAnsi="宋体"/>
                <w:bCs/>
                <w:sz w:val="24"/>
                <w:szCs w:val="24"/>
                <w:highlight w:val="none"/>
              </w:rPr>
            </w:r>
            <w:r/>
          </w:p>
        </w:tc>
        <w:tc>
          <w:tcPr>
            <w:tcW w:w="1081" w:type="dxa"/>
            <w:vAlign w:val="top"/>
            <w:textDirection w:val="lrTb"/>
            <w:noWrap w:val="false"/>
          </w:tcPr>
          <w:p>
            <w:pPr>
              <w:pStyle w:val="995"/>
              <w:spacing w:line="360" w:lineRule="auto"/>
              <w:shd w:val="clear" w:color="auto" w:fill="auto"/>
              <w:rPr>
                <w:rFonts w:ascii="宋体" w:hAnsi="宋体"/>
                <w:bCs/>
                <w:sz w:val="24"/>
                <w:szCs w:val="24"/>
                <w:highlight w:val="none"/>
              </w:rPr>
            </w:pPr>
            <w:r>
              <w:rPr>
                <w:rFonts w:ascii="宋体" w:hAnsi="宋体"/>
                <w:bCs/>
                <w:sz w:val="24"/>
                <w:szCs w:val="24"/>
                <w:highlight w:val="none"/>
              </w:rPr>
            </w:r>
            <w:r/>
          </w:p>
        </w:tc>
        <w:tc>
          <w:tcPr>
            <w:tcW w:w="1016"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r>
      <w:tr>
        <w:trPr>
          <w:cantSplit/>
          <w:trHeight w:val="80"/>
        </w:trPr>
        <w:tc>
          <w:tcPr>
            <w:tcW w:w="403" w:type="dxa"/>
            <w:vAlign w:val="top"/>
            <w:textDirection w:val="lrTb"/>
            <w:noWrap w:val="false"/>
          </w:tcPr>
          <w:p>
            <w:pPr>
              <w:pStyle w:val="995"/>
              <w:jc w:val="center"/>
              <w:spacing w:line="360" w:lineRule="auto"/>
              <w:shd w:val="clear" w:color="auto" w:fill="auto"/>
              <w:rPr>
                <w:rFonts w:ascii="宋体" w:hAnsi="宋体"/>
                <w:bCs/>
                <w:sz w:val="24"/>
                <w:szCs w:val="24"/>
                <w:highlight w:val="none"/>
              </w:rPr>
            </w:pPr>
            <w:r>
              <w:rPr>
                <w:rFonts w:ascii="宋体" w:hAnsi="宋体"/>
                <w:bCs/>
                <w:sz w:val="24"/>
                <w:szCs w:val="24"/>
                <w:highlight w:val="none"/>
              </w:rPr>
            </w:r>
            <w:r/>
          </w:p>
        </w:tc>
        <w:tc>
          <w:tcPr>
            <w:tcW w:w="1627" w:type="dxa"/>
            <w:vAlign w:val="top"/>
            <w:textDirection w:val="lrTb"/>
            <w:noWrap w:val="false"/>
          </w:tcPr>
          <w:p>
            <w:pPr>
              <w:pStyle w:val="995"/>
              <w:spacing w:line="360" w:lineRule="auto"/>
              <w:shd w:val="clear" w:color="auto" w:fill="auto"/>
              <w:rPr>
                <w:rFonts w:ascii="宋体" w:hAnsi="宋体"/>
                <w:bCs/>
                <w:sz w:val="24"/>
                <w:szCs w:val="24"/>
                <w:highlight w:val="none"/>
              </w:rPr>
            </w:pPr>
            <w:r>
              <w:rPr>
                <w:rFonts w:ascii="宋体" w:hAnsi="宋体"/>
                <w:bCs/>
                <w:sz w:val="24"/>
                <w:szCs w:val="24"/>
                <w:highlight w:val="none"/>
              </w:rPr>
            </w:r>
            <w:r/>
          </w:p>
        </w:tc>
        <w:tc>
          <w:tcPr>
            <w:tcW w:w="108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1016"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c>
          <w:tcPr>
            <w:tcW w:w="871" w:type="dxa"/>
            <w:vAlign w:val="top"/>
            <w:textDirection w:val="lrTb"/>
            <w:noWrap w:val="false"/>
          </w:tcPr>
          <w:p>
            <w:pPr>
              <w:pStyle w:val="995"/>
              <w:spacing w:line="360" w:lineRule="auto"/>
              <w:shd w:val="clear" w:color="auto" w:fill="auto"/>
              <w:rPr>
                <w:rFonts w:ascii="宋体" w:hAnsi="宋体"/>
                <w:sz w:val="24"/>
                <w:szCs w:val="24"/>
                <w:highlight w:val="none"/>
              </w:rPr>
            </w:pPr>
            <w:r>
              <w:rPr>
                <w:rFonts w:ascii="宋体" w:hAnsi="宋体"/>
                <w:sz w:val="24"/>
                <w:szCs w:val="24"/>
                <w:highlight w:val="none"/>
              </w:rPr>
            </w:r>
            <w:r/>
          </w:p>
        </w:tc>
      </w:tr>
    </w:tbl>
    <w:p>
      <w:pPr>
        <w:pStyle w:val="1008"/>
        <w:ind w:left="0"/>
        <w:spacing w:line="360" w:lineRule="auto"/>
        <w:shd w:val="clear" w:color="auto" w:fill="auto"/>
        <w:rPr>
          <w:rFonts w:hint="eastAsia" w:ascii="宋体" w:hAnsi="宋体"/>
          <w:b/>
          <w:sz w:val="24"/>
          <w:szCs w:val="24"/>
          <w:highlight w:val="none"/>
        </w:rPr>
        <w:outlineLvl w:val="1"/>
      </w:pPr>
      <w:r>
        <w:rPr>
          <w:rFonts w:hint="eastAsia" w:ascii="宋体" w:hAnsi="宋体"/>
          <w:b/>
          <w:sz w:val="24"/>
          <w:szCs w:val="24"/>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rPr>
          <w:rFonts w:hint="eastAsia" w:ascii="宋体" w:hAnsi="宋体"/>
          <w:b/>
          <w:sz w:val="24"/>
          <w:szCs w:val="24"/>
          <w:highlight w:val="none"/>
        </w:rPr>
      </w:r>
      <w:r/>
    </w:p>
    <w:p>
      <w:pPr>
        <w:pStyle w:val="1008"/>
        <w:spacing w:line="360" w:lineRule="auto"/>
        <w:shd w:val="clear" w:color="auto" w:fill="auto"/>
        <w:rPr>
          <w:rFonts w:hint="eastAsia" w:ascii="宋体" w:hAnsi="宋体"/>
          <w:b/>
          <w:szCs w:val="24"/>
          <w:highlight w:val="none"/>
        </w:rPr>
        <w:outlineLvl w:val="1"/>
      </w:pPr>
      <w:r>
        <w:rPr>
          <w:rFonts w:hint="eastAsia" w:ascii="宋体" w:hAnsi="宋体"/>
          <w:b/>
          <w:szCs w:val="24"/>
          <w:highlight w:val="none"/>
        </w:rPr>
      </w:r>
      <w:r/>
    </w:p>
    <w:p>
      <w:pPr>
        <w:pStyle w:val="995"/>
        <w:spacing w:line="360" w:lineRule="auto"/>
        <w:shd w:val="clear" w:color="auto" w:fill="auto"/>
        <w:rPr>
          <w:rFonts w:hint="eastAsia" w:ascii="宋体" w:hAnsi="宋体"/>
          <w:sz w:val="24"/>
          <w:szCs w:val="24"/>
          <w:highlight w:val="none"/>
        </w:rPr>
      </w:pPr>
      <w:r>
        <w:rPr>
          <w:rFonts w:hint="eastAsia" w:ascii="宋体" w:hAnsi="宋体"/>
          <w:sz w:val="24"/>
          <w:szCs w:val="24"/>
          <w:highlight w:val="none"/>
        </w:rPr>
        <w:t xml:space="preserve">供应商：（单位盖章）</w:t>
      </w:r>
      <w:r>
        <w:rPr>
          <w:rFonts w:hint="eastAsia" w:ascii="宋体" w:hAnsi="宋体"/>
          <w:sz w:val="24"/>
          <w:szCs w:val="24"/>
          <w:highlight w:val="none"/>
        </w:rPr>
      </w:r>
      <w:r/>
    </w:p>
    <w:p>
      <w:pPr>
        <w:pStyle w:val="995"/>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法定代表人或代理人：（签字或盖章）</w:t>
      </w:r>
      <w:r>
        <w:rPr>
          <w:rFonts w:ascii="宋体" w:hAnsi="宋体"/>
          <w:sz w:val="24"/>
          <w:szCs w:val="24"/>
          <w:highlight w:val="none"/>
        </w:rPr>
      </w:r>
      <w:r/>
    </w:p>
    <w:p>
      <w:pPr>
        <w:pStyle w:val="1008"/>
        <w:ind w:left="0"/>
        <w:spacing w:line="360" w:lineRule="auto"/>
        <w:shd w:val="clear" w:color="auto" w:fill="auto"/>
        <w:rPr>
          <w:rFonts w:ascii="宋体" w:hAnsi="宋体"/>
          <w:szCs w:val="24"/>
          <w:highlight w:val="none"/>
        </w:rPr>
      </w:pPr>
      <w:r>
        <w:rPr>
          <w:rFonts w:hint="eastAsia" w:ascii="宋体" w:hAnsi="宋体"/>
          <w:szCs w:val="24"/>
          <w:highlight w:val="none"/>
        </w:rPr>
        <w:t xml:space="preserve">日期：</w:t>
      </w:r>
      <w:r>
        <w:rPr>
          <w:rFonts w:ascii="宋体" w:hAnsi="宋体"/>
          <w:szCs w:val="24"/>
          <w:highlight w:val="none"/>
        </w:rPr>
        <w:t xml:space="preserve">         </w:t>
      </w:r>
      <w:r>
        <w:rPr>
          <w:rFonts w:hint="eastAsia" w:ascii="宋体" w:hAnsi="宋体"/>
          <w:szCs w:val="24"/>
          <w:highlight w:val="none"/>
        </w:rPr>
        <w:t xml:space="preserve">年</w:t>
      </w:r>
      <w:r>
        <w:rPr>
          <w:rFonts w:ascii="宋体" w:hAnsi="宋体"/>
          <w:szCs w:val="24"/>
          <w:highlight w:val="none"/>
        </w:rPr>
        <w:t xml:space="preserve">         </w:t>
      </w:r>
      <w:r>
        <w:rPr>
          <w:rFonts w:hint="eastAsia" w:ascii="宋体" w:hAnsi="宋体"/>
          <w:szCs w:val="24"/>
          <w:highlight w:val="none"/>
        </w:rPr>
        <w:t xml:space="preserve">月</w:t>
      </w:r>
      <w:r>
        <w:rPr>
          <w:rFonts w:ascii="宋体" w:hAnsi="宋体"/>
          <w:szCs w:val="24"/>
          <w:highlight w:val="none"/>
        </w:rPr>
        <w:t xml:space="preserve">       </w:t>
      </w:r>
      <w:r>
        <w:rPr>
          <w:rFonts w:hint="eastAsia" w:ascii="宋体" w:hAnsi="宋体"/>
          <w:szCs w:val="24"/>
          <w:highlight w:val="none"/>
        </w:rPr>
        <w:t xml:space="preserve">日</w:t>
      </w:r>
      <w:r>
        <w:rPr>
          <w:rFonts w:ascii="宋体" w:hAnsi="宋体"/>
          <w:szCs w:val="24"/>
          <w:highlight w:val="none"/>
        </w:rPr>
      </w:r>
      <w:r/>
    </w:p>
    <w:p>
      <w:pPr>
        <w:pStyle w:val="995"/>
        <w:spacing w:line="360" w:lineRule="auto"/>
        <w:shd w:val="clear" w:color="auto" w:fill="auto"/>
        <w:rPr>
          <w:rFonts w:hint="eastAsia" w:ascii="宋体" w:hAnsi="宋体" w:cs="宋体"/>
          <w:b/>
          <w:sz w:val="24"/>
          <w:szCs w:val="24"/>
          <w:highlight w:val="none"/>
        </w:rPr>
      </w:pPr>
      <w:r>
        <w:rPr>
          <w:rFonts w:hint="eastAsia" w:ascii="宋体" w:hAnsi="宋体" w:cs="宋体"/>
          <w:b/>
          <w:sz w:val="24"/>
          <w:szCs w:val="24"/>
          <w:highlight w:val="none"/>
        </w:rPr>
      </w:r>
      <w:r/>
    </w:p>
    <w:p>
      <w:pPr>
        <w:pStyle w:val="995"/>
        <w:spacing w:line="360" w:lineRule="auto"/>
        <w:shd w:val="clear" w:color="auto" w:fill="auto"/>
        <w:rPr>
          <w:rFonts w:hint="eastAsia" w:ascii="宋体" w:hAnsi="宋体" w:cs="宋体"/>
          <w:b/>
          <w:sz w:val="28"/>
          <w:highlight w:val="none"/>
        </w:rPr>
      </w:pPr>
      <w:r>
        <w:rPr>
          <w:rFonts w:hint="eastAsia" w:ascii="宋体" w:hAnsi="宋体" w:cs="宋体"/>
          <w:b/>
          <w:sz w:val="28"/>
          <w:highlight w:val="none"/>
        </w:rPr>
      </w:r>
      <w:r/>
    </w:p>
    <w:p>
      <w:pPr>
        <w:pStyle w:val="995"/>
        <w:spacing w:line="360" w:lineRule="auto"/>
        <w:shd w:val="clear" w:color="auto" w:fill="auto"/>
        <w:rPr>
          <w:rFonts w:ascii="宋体" w:hAnsi="宋体"/>
          <w:bCs/>
          <w:sz w:val="24"/>
          <w:szCs w:val="24"/>
          <w:highlight w:val="none"/>
        </w:rPr>
      </w:pPr>
      <w:r>
        <w:rPr>
          <w:rFonts w:ascii="宋体" w:hAnsi="宋体"/>
          <w:bCs/>
          <w:sz w:val="24"/>
          <w:szCs w:val="24"/>
          <w:highlight w:val="none"/>
        </w:rPr>
      </w:r>
      <w:r/>
    </w:p>
    <w:p>
      <w:pPr>
        <w:pStyle w:val="995"/>
        <w:spacing w:line="360" w:lineRule="auto"/>
        <w:shd w:val="clear" w:color="auto" w:fill="auto"/>
        <w:rPr>
          <w:rFonts w:hint="eastAsia" w:ascii="宋体" w:hAnsi="宋体" w:cs="宋体"/>
          <w:b/>
          <w:sz w:val="24"/>
          <w:szCs w:val="24"/>
          <w:highlight w:val="none"/>
        </w:rPr>
      </w:pPr>
      <w:r>
        <w:rPr>
          <w:rFonts w:hint="eastAsia" w:ascii="宋体" w:hAnsi="宋体" w:cs="宋体"/>
          <w:sz w:val="24"/>
          <w:szCs w:val="24"/>
          <w:highlight w:val="none"/>
        </w:rPr>
        <w:br w:type="page" w:clear="all"/>
      </w:r>
      <w:r>
        <w:rPr>
          <w:rFonts w:hint="eastAsia" w:ascii="宋体" w:hAnsi="宋体" w:cs="宋体"/>
          <w:b/>
          <w:sz w:val="24"/>
          <w:szCs w:val="24"/>
          <w:highlight w:val="none"/>
        </w:rPr>
        <w:t xml:space="preserve">附件</w:t>
      </w:r>
      <w:r>
        <w:rPr>
          <w:rFonts w:hint="eastAsia" w:ascii="宋体" w:hAnsi="宋体" w:cs="宋体"/>
          <w:b/>
          <w:sz w:val="24"/>
          <w:szCs w:val="24"/>
          <w:highlight w:val="none"/>
          <w:lang w:val="en-US" w:eastAsia="zh-CN"/>
        </w:rPr>
        <w:t xml:space="preserve">7</w:t>
      </w:r>
      <w:r>
        <w:rPr>
          <w:rFonts w:hint="eastAsia" w:ascii="宋体" w:hAnsi="宋体" w:cs="宋体"/>
          <w:b/>
          <w:sz w:val="24"/>
          <w:szCs w:val="24"/>
          <w:highlight w:val="none"/>
        </w:rPr>
        <w:t xml:space="preserve">、资格证明文件</w:t>
      </w:r>
      <w:r>
        <w:rPr>
          <w:rFonts w:hint="eastAsia" w:ascii="宋体" w:hAnsi="宋体" w:cs="宋体"/>
          <w:b/>
          <w:sz w:val="24"/>
          <w:szCs w:val="24"/>
          <w:highlight w:val="none"/>
        </w:rPr>
      </w:r>
      <w:r/>
    </w:p>
    <w:p>
      <w:pPr>
        <w:pStyle w:val="995"/>
        <w:shd w:val="clear" w:color="auto" w:fill="auto"/>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95"/>
        <w:shd w:val="clear" w:color="auto" w:fill="auto"/>
        <w:widowControl/>
        <w:rPr>
          <w:rFonts w:hint="eastAsia" w:ascii="宋体" w:hAnsi="宋体" w:cs="宋体"/>
          <w:b/>
          <w:sz w:val="24"/>
          <w:szCs w:val="24"/>
          <w:highlight w:val="none"/>
        </w:rPr>
      </w:pPr>
      <w:r>
        <w:rPr>
          <w:rFonts w:hint="eastAsia" w:ascii="宋体" w:hAnsi="宋体" w:cs="宋体"/>
          <w:b/>
          <w:sz w:val="24"/>
          <w:szCs w:val="24"/>
          <w:highlight w:val="none"/>
        </w:rPr>
        <w:t xml:space="preserve">(1) 资格文件的声明函</w:t>
      </w:r>
      <w:r>
        <w:rPr>
          <w:rFonts w:hint="eastAsia" w:ascii="宋体" w:hAnsi="宋体" w:cs="宋体"/>
          <w:b/>
          <w:sz w:val="24"/>
          <w:szCs w:val="24"/>
          <w:highlight w:val="none"/>
        </w:rPr>
      </w:r>
      <w:r/>
    </w:p>
    <w:p>
      <w:pPr>
        <w:pStyle w:val="995"/>
        <w:jc w:val="left"/>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ind w:firstLine="480"/>
        <w:jc w:val="center"/>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资格文件的声明函</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1、本公司愿就由贵公司组织实施的编号为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2、我方已知晓竞争性磋商文件要求并认真审核自身情况，在此郑重声明，我方遵守如下条款的规定：</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本声明如有虚假或不实之处，我方将失去合格供应商资格。</w:t>
      </w:r>
      <w:r>
        <w:rPr>
          <w:rFonts w:hint="eastAsia" w:ascii="宋体" w:hAnsi="宋体" w:eastAsia="宋体" w:cs="宋体"/>
          <w:color w:val="000000"/>
          <w:sz w:val="24"/>
          <w:szCs w:val="24"/>
          <w:highlight w:val="none"/>
        </w:rPr>
      </w:r>
      <w:r/>
    </w:p>
    <w:p>
      <w:pPr>
        <w:pStyle w:val="995"/>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5"/>
        <w:ind w:firstLine="480"/>
        <w:jc w:val="righ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5"/>
        <w:ind w:firstLine="480"/>
        <w:jc w:val="both"/>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响应供应商（单位公章）：</w:t>
      </w:r>
      <w:r>
        <w:rPr>
          <w:rFonts w:hint="eastAsia" w:ascii="宋体" w:hAnsi="宋体" w:eastAsia="宋体" w:cs="宋体"/>
          <w:color w:val="000000"/>
          <w:sz w:val="24"/>
          <w:szCs w:val="24"/>
          <w:highlight w:val="none"/>
        </w:rPr>
      </w:r>
      <w:r/>
    </w:p>
    <w:p>
      <w:pPr>
        <w:pStyle w:val="1013"/>
        <w:ind w:firstLine="480"/>
        <w:spacing w:line="360" w:lineRule="auto"/>
        <w:shd w:val="clear" w:color="auto" w:fill="auto"/>
        <w:rPr>
          <w:rFonts w:hint="eastAsia" w:ascii="宋体" w:hAnsi="宋体" w:cs="宋体"/>
          <w:color w:val="000000"/>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cs="宋体"/>
          <w:color w:val="000000"/>
          <w:highlight w:val="none"/>
        </w:rPr>
      </w:r>
      <w:r/>
    </w:p>
    <w:p>
      <w:pPr>
        <w:pStyle w:val="995"/>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995"/>
        <w:ind w:firstLine="482"/>
        <w:spacing w:line="360" w:lineRule="auto"/>
        <w:shd w:val="clear" w:color="auto" w:fill="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5"/>
        <w:ind w:firstLine="482"/>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127"/>
        <w:ind w:firstLine="482"/>
        <w:jc w:val="center"/>
        <w:spacing w:line="360" w:lineRule="auto"/>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lang w:val="zh-CN"/>
        </w:rPr>
        <w:t xml:space="preserve">）与其他单位存在控股、管理关系承诺及情况表</w:t>
      </w:r>
      <w:r>
        <w:rPr>
          <w:rFonts w:ascii="宋体" w:hAnsi="宋体" w:cs="宋体"/>
          <w:b/>
          <w:color w:val="000000"/>
          <w:sz w:val="24"/>
          <w:szCs w:val="24"/>
          <w:highlight w:val="none"/>
        </w:rPr>
      </w:r>
      <w:r/>
    </w:p>
    <w:p>
      <w:pPr>
        <w:pStyle w:val="995"/>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3"/>
        <w:gridCol w:w="4743"/>
      </w:tblGrid>
      <w:tr>
        <w:trPr>
          <w:trHeight w:val="637"/>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t xml:space="preserve">与响应单位存在控股、管理关系的单位名称</w:t>
            </w: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t xml:space="preserve">控股、管理关系情况说明</w:t>
            </w: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r>
        <w:trPr>
          <w:trHeight w:val="850"/>
        </w:trPr>
        <w:tc>
          <w:tcPr>
            <w:tcW w:w="2660"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c>
          <w:tcPr>
            <w:tcW w:w="2339" w:type="dxa"/>
            <w:vAlign w:val="center"/>
            <w:textDirection w:val="lrTb"/>
            <w:noWrap w:val="false"/>
          </w:tcPr>
          <w:p>
            <w:pPr>
              <w:pStyle w:val="995"/>
              <w:ind w:left="0" w:right="0" w:firstLine="482"/>
              <w:jc w:val="center"/>
              <w:keepLines w:val="0"/>
              <w:keepNext w:val="0"/>
              <w:spacing w:before="0" w:beforeAutospacing="0" w:after="0" w:afterAutospacing="0" w:line="360" w:lineRule="auto"/>
              <w:shd w:val="clear" w:color="auto" w:fill="auto"/>
              <w:rPr>
                <w:rFonts w:hint="eastAsia" w:ascii="宋体" w:hAnsi="宋体" w:cs="宋体"/>
                <w:b/>
                <w:color w:val="000000"/>
                <w:sz w:val="24"/>
                <w:szCs w:val="24"/>
                <w:highlight w:val="none"/>
              </w:rPr>
              <w:suppressLineNumbers w:val="0"/>
            </w:pPr>
            <w:r>
              <w:rPr>
                <w:rFonts w:hint="eastAsia" w:ascii="宋体" w:hAnsi="宋体" w:cs="宋体"/>
                <w:b/>
                <w:color w:val="000000"/>
                <w:sz w:val="24"/>
                <w:szCs w:val="24"/>
                <w:highlight w:val="none"/>
              </w:rPr>
            </w:r>
            <w:r/>
          </w:p>
        </w:tc>
      </w:tr>
    </w:tbl>
    <w:p>
      <w:pPr>
        <w:pStyle w:val="995"/>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5"/>
        <w:ind w:firstLine="482"/>
        <w:spacing w:line="360" w:lineRule="auto"/>
        <w:shd w:val="clear" w:color="auto" w:fill="auto"/>
        <w:rPr>
          <w:rFonts w:hint="eastAsia" w:ascii="宋体" w:hAnsi="宋体" w:cs="宋体"/>
          <w:b/>
          <w:color w:val="000000"/>
          <w:sz w:val="24"/>
          <w:szCs w:val="24"/>
          <w:highlight w:val="none"/>
          <w:shd w:val="clear" w:color="auto" w:fill="ffffff"/>
        </w:rPr>
      </w:pPr>
      <w:r>
        <w:rPr>
          <w:rFonts w:hint="eastAsia" w:ascii="宋体" w:hAnsi="宋体" w:cs="宋体"/>
          <w:b/>
          <w:color w:val="000000"/>
          <w:sz w:val="24"/>
          <w:szCs w:val="24"/>
          <w:highlight w:val="none"/>
          <w:shd w:val="clear" w:color="auto" w:fill="ffffff"/>
        </w:rPr>
        <w:t xml:space="preserve">注：</w:t>
      </w:r>
      <w:r>
        <w:rPr>
          <w:rFonts w:hint="eastAsia" w:ascii="宋体" w:hAnsi="宋体" w:cs="宋体"/>
          <w:b/>
          <w:color w:val="000000"/>
          <w:sz w:val="24"/>
          <w:szCs w:val="24"/>
          <w:highlight w:val="none"/>
          <w:shd w:val="clear" w:color="auto" w:fill="ffffff"/>
        </w:rPr>
      </w:r>
      <w:r/>
    </w:p>
    <w:p>
      <w:pPr>
        <w:pStyle w:val="995"/>
        <w:ind w:firstLine="482"/>
        <w:spacing w:line="360" w:lineRule="auto"/>
        <w:shd w:val="clear" w:color="auto" w:fill="auto"/>
        <w:rPr>
          <w:rFonts w:hint="eastAsia" w:ascii="宋体" w:hAnsi="宋体" w:cs="宋体"/>
          <w:color w:val="000000"/>
          <w:sz w:val="24"/>
          <w:szCs w:val="24"/>
          <w:highlight w:val="none"/>
        </w:rPr>
      </w:pPr>
      <w:r>
        <w:rPr>
          <w:rFonts w:hint="eastAsia" w:ascii="宋体" w:hAnsi="宋体" w:cs="宋体"/>
          <w:b/>
          <w:color w:val="000000"/>
          <w:sz w:val="24"/>
          <w:szCs w:val="24"/>
          <w:highlight w:val="none"/>
          <w:shd w:val="clear" w:color="auto" w:fill="ffffff"/>
        </w:rPr>
        <w:t xml:space="preserve">1、响应单位须如实填写与其他单位存在直接控股、管理关系的情况。如不存在上述情形，需填写“无”。如不填写，视为无效响应。</w:t>
      </w:r>
      <w:r>
        <w:rPr>
          <w:rFonts w:hint="eastAsia" w:ascii="宋体" w:hAnsi="宋体" w:cs="宋体"/>
          <w:color w:val="000000"/>
          <w:sz w:val="24"/>
          <w:szCs w:val="24"/>
          <w:highlight w:val="none"/>
        </w:rPr>
      </w:r>
      <w:r/>
    </w:p>
    <w:p>
      <w:pPr>
        <w:pStyle w:val="995"/>
        <w:ind w:firstLine="210"/>
        <w:jc w:val="both"/>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5"/>
        <w:ind w:firstLine="658"/>
        <w:jc w:val="left"/>
        <w:spacing w:line="360" w:lineRule="auto"/>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jc w:val="both"/>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响应供应商（单位公章）：</w:t>
      </w:r>
      <w:r>
        <w:rPr>
          <w:rFonts w:hint="eastAsia" w:ascii="宋体" w:hAnsi="宋体" w:eastAsia="宋体" w:cs="宋体"/>
          <w:color w:val="000000"/>
          <w:sz w:val="24"/>
          <w:szCs w:val="24"/>
          <w:highlight w:val="none"/>
        </w:rPr>
      </w:r>
      <w:r/>
    </w:p>
    <w:p>
      <w:pPr>
        <w:pStyle w:val="995"/>
        <w:jc w:val="both"/>
        <w:spacing w:line="360" w:lineRule="auto"/>
        <w:shd w:val="clear" w:color="auto" w:fill="auto"/>
        <w:widowControl/>
        <w:rPr>
          <w:rFonts w:hint="eastAsia" w:ascii="宋体" w:hAnsi="宋体" w:cs="宋体"/>
          <w:color w:val="000000"/>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cs="宋体"/>
          <w:color w:val="000000"/>
          <w:highlight w:val="none"/>
        </w:rPr>
      </w:r>
      <w:r/>
    </w:p>
    <w:p>
      <w:pPr>
        <w:pStyle w:val="995"/>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995"/>
        <w:jc w:val="right"/>
        <w:spacing w:line="400" w:lineRule="exact"/>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shd w:val="clear" w:color="auto" w:fill="auto"/>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95"/>
        <w:shd w:val="clear" w:color="auto" w:fill="auto"/>
        <w:widowControl/>
        <w:rPr>
          <w:rFonts w:hint="eastAsia" w:ascii="宋体" w:hAnsi="宋体" w:cs="宋体"/>
          <w:b/>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)供应商情况表</w:t>
      </w:r>
      <w:r>
        <w:rPr>
          <w:rFonts w:hint="eastAsia" w:ascii="宋体" w:hAnsi="宋体" w:cs="宋体"/>
          <w:b/>
          <w:sz w:val="24"/>
          <w:szCs w:val="24"/>
          <w:highlight w:val="none"/>
        </w:rPr>
      </w:r>
      <w:r/>
    </w:p>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供应商情况表</w:t>
      </w:r>
      <w:r>
        <w:rPr>
          <w:rFonts w:hint="eastAsia" w:ascii="宋体" w:hAnsi="宋体" w:cs="宋体"/>
          <w:sz w:val="24"/>
          <w:szCs w:val="24"/>
          <w:highlight w:val="none"/>
        </w:rPr>
      </w:r>
      <w:r/>
    </w:p>
    <w:p>
      <w:pPr>
        <w:pStyle w:val="995"/>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p>
      <w:pPr>
        <w:pStyle w:val="995"/>
        <w:shd w:val="clear" w:color="auto" w:fill="auto"/>
        <w:widowControl/>
        <w:rPr>
          <w:rFonts w:ascii="宋体" w:hAnsi="宋体" w:cs="宋体"/>
          <w:b/>
          <w:sz w:val="24"/>
          <w:szCs w:val="24"/>
          <w:highlight w:val="none"/>
        </w:rPr>
      </w:pPr>
      <w:r>
        <w:rPr>
          <w:rFonts w:hint="eastAsia" w:ascii="宋体" w:hAnsi="宋体" w:cs="宋体"/>
          <w:sz w:val="24"/>
          <w:szCs w:val="24"/>
          <w:highlight w:val="none"/>
        </w:rPr>
        <w:t xml:space="preserve">单位名称（盖章）                                                </w:t>
      </w:r>
      <w:r>
        <w:rPr>
          <w:rFonts w:hint="eastAsia" w:ascii="宋体" w:hAnsi="宋体" w:cs="宋体"/>
          <w:b/>
          <w:bCs/>
          <w:sz w:val="24"/>
          <w:szCs w:val="24"/>
          <w:highlight w:val="none"/>
        </w:rPr>
        <w:t xml:space="preserve"> </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lang w:eastAsia="zh-CN"/>
        </w:rPr>
        <w:t xml:space="preserve">采购包</w:t>
      </w:r>
      <w:r>
        <w:rPr>
          <w:rFonts w:hint="eastAsia" w:ascii="宋体" w:hAnsi="宋体" w:cs="宋体"/>
          <w:b/>
          <w:bCs/>
          <w:sz w:val="24"/>
          <w:szCs w:val="24"/>
          <w:highlight w:val="none"/>
        </w:rPr>
        <w:t xml:space="preserve">号：</w:t>
      </w:r>
      <w:r>
        <w:rPr>
          <w:rFonts w:ascii="宋体" w:hAnsi="宋体" w:cs="宋体"/>
          <w:b/>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852"/>
        <w:gridCol w:w="2534"/>
        <w:gridCol w:w="1742"/>
        <w:gridCol w:w="3010"/>
      </w:tblGrid>
      <w:tr>
        <w:trP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法定代表人</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成立日期</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注册地址</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注册资金</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top"/>
            <w:textDirection w:val="lrTb"/>
            <w:noWrap w:val="false"/>
          </w:tcPr>
          <w:p>
            <w:pPr>
              <w:pStyle w:val="995"/>
              <w:ind w:firstLine="2160"/>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经营范围</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企业资质等级</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员工总人数</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资产总计</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营业收入</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95"/>
              <w:shd w:val="clear" w:color="auto" w:fill="auto"/>
              <w:widowControl/>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实现利润</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4" w:type="dxa"/>
            <w:vAlign w:val="bottom"/>
            <w:textDirection w:val="lrTb"/>
            <w:noWrap w:val="false"/>
          </w:tcPr>
          <w:p>
            <w:pPr>
              <w:pStyle w:val="995"/>
              <w:shd w:val="clear" w:color="auto" w:fill="auto"/>
              <w:widowControl/>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42"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营业面积（含厂房面积）</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10" w:type="dxa"/>
            <w:vAlign w:val="bottom"/>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平方米</w:t>
            </w:r>
            <w:r>
              <w:rPr>
                <w:rFonts w:hint="eastAsia" w:ascii="宋体" w:hAnsi="宋体" w:cs="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单位简历及内设机构情况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48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单位优势及特长</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商业信誉和健全的财务会计制度介绍</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履行合同所必需的设备和专业技术能力情况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依法缴纳税收和社会保障资金情况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参加政府采购活动前三年内，在经营活动中有无重大违法记录</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52" w:type="dxa"/>
            <w:vAlign w:val="center"/>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t xml:space="preserve">其他需要说明的情况</w:t>
            </w:r>
            <w:r>
              <w:rPr>
                <w:rFonts w:hint="eastAsia" w:ascii="宋体" w:hAnsi="宋体" w:cs="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286" w:type="dxa"/>
            <w:vAlign w:val="top"/>
            <w:textDirection w:val="lrTb"/>
            <w:noWrap w:val="false"/>
          </w:tcPr>
          <w:p>
            <w:pPr>
              <w:pStyle w:val="995"/>
              <w:jc w:val="center"/>
              <w:shd w:val="clear" w:color="auto" w:fill="auto"/>
              <w:widowControl/>
              <w:rPr>
                <w:rFonts w:hint="eastAsia" w:ascii="宋体" w:hAnsi="宋体" w:cs="宋体"/>
                <w:sz w:val="24"/>
                <w:szCs w:val="24"/>
                <w:highlight w:val="none"/>
              </w:rPr>
            </w:pPr>
            <w:r>
              <w:rPr>
                <w:rFonts w:hint="eastAsia" w:ascii="宋体" w:hAnsi="宋体" w:cs="宋体"/>
                <w:sz w:val="24"/>
                <w:szCs w:val="24"/>
                <w:highlight w:val="none"/>
              </w:rPr>
            </w:r>
            <w:r/>
          </w:p>
        </w:tc>
      </w:tr>
    </w:tbl>
    <w:p>
      <w:pPr>
        <w:pStyle w:val="995"/>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shd w:val="clear" w:color="auto" w:fill="auto"/>
        <w:rPr>
          <w:rFonts w:hint="eastAsia" w:ascii="宋体" w:hAnsi="宋体" w:cs="宋体"/>
          <w:sz w:val="24"/>
          <w:szCs w:val="24"/>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w:t>
      </w:r>
      <w:r>
        <w:rPr>
          <w:rFonts w:hint="eastAsia" w:ascii="宋体" w:hAnsi="宋体" w:cs="宋体"/>
          <w:sz w:val="24"/>
          <w:szCs w:val="24"/>
          <w:highlight w:val="none"/>
        </w:rPr>
        <w:t xml:space="preserve">中小企业声明函</w:t>
      </w:r>
      <w:r>
        <w:rPr>
          <w:rFonts w:hint="eastAsia" w:ascii="宋体" w:hAnsi="宋体" w:cs="宋体"/>
          <w:sz w:val="24"/>
          <w:szCs w:val="24"/>
          <w:highlight w:val="none"/>
        </w:rPr>
      </w:r>
      <w:r/>
    </w:p>
    <w:p>
      <w:pPr>
        <w:pStyle w:val="995"/>
        <w:jc w:val="center"/>
        <w:spacing w:line="588" w:lineRule="exact"/>
        <w:shd w:val="clear" w:color="auto" w:fill="auto"/>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pStyle w:val="995"/>
        <w:jc w:val="center"/>
        <w:spacing w:line="360" w:lineRule="auto"/>
        <w:shd w:val="clear" w:color="auto" w:fill="auto"/>
        <w:rPr>
          <w:rFonts w:hint="eastAsia" w:ascii="宋体" w:hAnsi="宋体" w:cs="宋体"/>
          <w:sz w:val="24"/>
          <w:szCs w:val="24"/>
          <w:highlight w:val="none"/>
        </w:rPr>
      </w:pPr>
      <w:r>
        <w:rPr>
          <w:rFonts w:hint="eastAsia" w:ascii="宋体" w:hAnsi="宋体" w:cs="宋体"/>
          <w:b/>
          <w:bCs/>
          <w:sz w:val="24"/>
          <w:szCs w:val="24"/>
          <w:highlight w:val="none"/>
        </w:rPr>
        <w:t xml:space="preserve">中小企业声明函</w:t>
      </w:r>
      <w:r>
        <w:rPr>
          <w:rFonts w:hint="eastAsia" w:ascii="宋体" w:hAnsi="宋体" w:cs="宋体"/>
          <w:sz w:val="24"/>
          <w:szCs w:val="24"/>
          <w:highlight w:val="none"/>
        </w:rPr>
      </w:r>
      <w:r/>
    </w:p>
    <w:p>
      <w:pPr>
        <w:pStyle w:val="995"/>
        <w:jc w:val="left"/>
        <w:spacing w:line="360" w:lineRule="auto"/>
        <w:shd w:val="clear" w:color="auto" w:fill="auto"/>
        <w:rPr>
          <w:rFonts w:hint="eastAsia" w:hAnsi="宋体" w:cs="宋体"/>
          <w:sz w:val="24"/>
          <w:szCs w:val="24"/>
          <w:highlight w:val="none"/>
          <w:lang w:val="zh-CN"/>
        </w:rPr>
      </w:pPr>
      <w:r>
        <w:rPr>
          <w:rFonts w:hint="eastAsia" w:hAnsi="宋体" w:cs="宋体"/>
          <w:sz w:val="24"/>
          <w:szCs w:val="24"/>
          <w:highlight w:val="none"/>
          <w:lang w:val="zh-CN"/>
        </w:rPr>
        <w:t xml:space="preserve"> </w:t>
      </w:r>
      <w:r>
        <w:rPr>
          <w:rFonts w:hint="eastAsia" w:hAnsi="宋体" w:cs="宋体"/>
          <w:sz w:val="24"/>
          <w:szCs w:val="24"/>
          <w:highlight w:val="none"/>
          <w:u w:val="single"/>
          <w:lang w:val="zh-CN"/>
        </w:rPr>
        <w:t xml:space="preserve">                        </w:t>
      </w:r>
      <w:r>
        <w:rPr>
          <w:rFonts w:hint="eastAsia" w:hAnsi="宋体" w:cs="宋体"/>
          <w:sz w:val="24"/>
          <w:szCs w:val="24"/>
          <w:highlight w:val="none"/>
          <w:lang w:val="zh-CN"/>
        </w:rPr>
        <w:t xml:space="preserve"> ：</w:t>
      </w:r>
      <w:r>
        <w:rPr>
          <w:rFonts w:hint="eastAsia" w:hAnsi="宋体" w:cs="宋体"/>
          <w:sz w:val="24"/>
          <w:szCs w:val="24"/>
          <w:highlight w:val="none"/>
          <w:lang w:val="zh-CN"/>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的采购活动，服务全部由符合政策要求的中小企业承接。相关企业（含联合体中的中小企业、签订分包意向协议的中小企业）的具体情况如下：</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u w:val="single"/>
          <w:lang w:eastAsia="zh-CN"/>
        </w:rPr>
        <w:t xml:space="preserve">镇湖街道四期动迁房安置小区(锦湖花园四期)项目审计协审服务</w:t>
      </w:r>
      <w:r>
        <w:rPr>
          <w:rFonts w:hint="eastAsia" w:ascii="宋体" w:hAnsi="宋体" w:cs="宋体"/>
          <w:sz w:val="24"/>
          <w:szCs w:val="24"/>
          <w:highlight w:val="none"/>
        </w:rPr>
        <w:t xml:space="preserve">，属于</w:t>
      </w:r>
      <w:r>
        <w:rPr>
          <w:rFonts w:hint="eastAsia" w:ascii="宋体" w:hAnsi="宋体" w:cs="宋体"/>
          <w:b/>
          <w:bCs/>
          <w:sz w:val="24"/>
          <w:szCs w:val="24"/>
          <w:highlight w:val="none"/>
          <w:u w:val="single"/>
          <w:lang w:eastAsia="zh-CN"/>
        </w:rPr>
        <w:t xml:space="preserve">租赁和商务服务业</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hint="eastAsia" w:ascii="宋体" w:hAnsi="宋体" w:cs="宋体"/>
          <w:sz w:val="24"/>
          <w:szCs w:val="24"/>
          <w:highlight w:val="none"/>
          <w:u w:val="single"/>
        </w:rPr>
        <w:t xml:space="preserve">微型企业）</w:t>
      </w:r>
      <w:r>
        <w:rPr>
          <w:rFonts w:hint="eastAsia" w:ascii="宋体" w:hAnsi="宋体" w:cs="宋体"/>
          <w:sz w:val="24"/>
          <w:szCs w:val="24"/>
          <w:highlight w:val="none"/>
        </w:rPr>
        <w:t xml:space="preserve">；</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rPr>
          <w:rFonts w:ascii="宋体" w:hAnsi="宋体" w:cs="宋体"/>
          <w:sz w:val="24"/>
          <w:szCs w:val="24"/>
          <w:highlight w:val="none"/>
        </w:rPr>
      </w:r>
      <w:r/>
    </w:p>
    <w:p>
      <w:pPr>
        <w:pStyle w:val="995"/>
        <w:ind w:firstLine="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rPr>
          <w:rFonts w:ascii="宋体" w:hAnsi="宋体" w:cs="宋体"/>
          <w:sz w:val="24"/>
          <w:szCs w:val="24"/>
          <w:highlight w:val="none"/>
        </w:rPr>
      </w:r>
      <w:r/>
    </w:p>
    <w:p>
      <w:pPr>
        <w:pStyle w:val="995"/>
        <w:ind w:firstLine="480"/>
        <w:jc w:val="right"/>
        <w:spacing w:line="360" w:lineRule="auto"/>
        <w:shd w:val="clear" w:color="auto" w:fill="auto"/>
        <w:rPr>
          <w:rFonts w:ascii="宋体" w:hAnsi="宋体" w:cs="宋体"/>
          <w:sz w:val="24"/>
          <w:szCs w:val="24"/>
          <w:highlight w:val="none"/>
        </w:rPr>
      </w:pPr>
      <w:r>
        <w:rPr>
          <w:rFonts w:ascii="宋体" w:hAnsi="宋体" w:cs="宋体"/>
          <w:sz w:val="24"/>
          <w:szCs w:val="24"/>
          <w:highlight w:val="none"/>
        </w:rPr>
      </w:r>
      <w:r/>
    </w:p>
    <w:p>
      <w:pPr>
        <w:pStyle w:val="995"/>
        <w:ind w:firstLine="480"/>
        <w:jc w:val="center"/>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                   企业名称（盖章）：</w:t>
      </w:r>
      <w:r>
        <w:rPr>
          <w:rFonts w:ascii="宋体" w:hAnsi="宋体" w:cs="宋体"/>
          <w:sz w:val="24"/>
          <w:szCs w:val="24"/>
          <w:highlight w:val="none"/>
        </w:rPr>
      </w:r>
      <w:r/>
    </w:p>
    <w:p>
      <w:pPr>
        <w:pStyle w:val="995"/>
        <w:ind w:firstLine="6480"/>
        <w:spacing w:line="360" w:lineRule="auto"/>
        <w:shd w:val="clear" w:color="auto" w:fill="auto"/>
        <w:rPr>
          <w:rFonts w:ascii="宋体" w:hAnsi="宋体" w:cs="宋体"/>
          <w:sz w:val="24"/>
          <w:szCs w:val="24"/>
          <w:highlight w:val="none"/>
        </w:rPr>
      </w:pPr>
      <w:r>
        <w:rPr>
          <w:rFonts w:hint="eastAsia" w:ascii="宋体" w:hAnsi="宋体" w:cs="宋体"/>
          <w:sz w:val="24"/>
          <w:szCs w:val="24"/>
          <w:highlight w:val="none"/>
        </w:rPr>
        <w:t xml:space="preserve">日   期：</w:t>
      </w:r>
      <w:r>
        <w:rPr>
          <w:rFonts w:ascii="宋体" w:hAnsi="宋体" w:cs="宋体"/>
          <w:sz w:val="24"/>
          <w:szCs w:val="24"/>
          <w:highlight w:val="none"/>
        </w:rPr>
      </w:r>
      <w:r/>
    </w:p>
    <w:p>
      <w:pPr>
        <w:pStyle w:val="995"/>
        <w:spacing w:line="360" w:lineRule="auto"/>
        <w:shd w:val="clear" w:color="auto" w:fill="auto"/>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r>
      <w:r/>
    </w:p>
    <w:p>
      <w:pPr>
        <w:pStyle w:val="995"/>
        <w:numPr>
          <w:ilvl w:val="0"/>
          <w:numId w:val="14"/>
        </w:numPr>
        <w:spacing w:line="360" w:lineRule="auto"/>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中小企业划分标准详见“工信部联企业〔2011〕300号通知中的《中小企业划型标准规定》”。</w:t>
      </w:r>
      <w:r>
        <w:rPr>
          <w:rFonts w:ascii="宋体" w:hAnsi="宋体" w:cs="宋体"/>
          <w:b/>
          <w:color w:val="000000"/>
          <w:sz w:val="24"/>
          <w:szCs w:val="24"/>
          <w:highlight w:val="none"/>
        </w:rPr>
      </w:r>
      <w:r/>
    </w:p>
    <w:p>
      <w:pPr>
        <w:pStyle w:val="995"/>
        <w:numPr>
          <w:ilvl w:val="0"/>
          <w:numId w:val="14"/>
        </w:numPr>
        <w:spacing w:line="360" w:lineRule="auto"/>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u w:val="single"/>
        </w:rPr>
        <w:t xml:space="preserve">如响应单位认定本企业为中型、小型或微型企业，则需根据“工信部联企业〔2011〕300号”通知中的《中小企业划型标准规定》填报“中小企业声明函”</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995"/>
        <w:jc w:val="left"/>
        <w:spacing w:line="360" w:lineRule="auto"/>
        <w:shd w:val="clear" w:color="auto" w:fill="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3、从业人员、营业收入、资产总额填报上一年度数据，无上一年度数据的新成立企业可不填报。</w:t>
      </w:r>
      <w:r>
        <w:rPr>
          <w:rFonts w:hint="eastAsia" w:ascii="宋体" w:hAnsi="宋体" w:cs="宋体"/>
          <w:b/>
          <w:color w:val="000000"/>
          <w:sz w:val="24"/>
          <w:szCs w:val="24"/>
          <w:highlight w:val="none"/>
          <w:lang w:val="zh-CN"/>
        </w:rPr>
      </w:r>
      <w:r/>
    </w:p>
    <w:p>
      <w:pPr>
        <w:pStyle w:val="995"/>
        <w:jc w:val="left"/>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w:t>
      </w:r>
      <w:r>
        <w:rPr>
          <w:rFonts w:hint="eastAsia" w:ascii="宋体" w:hAnsi="宋体" w:cs="宋体"/>
          <w:b/>
          <w:color w:val="000000"/>
          <w:sz w:val="24"/>
          <w:szCs w:val="24"/>
          <w:highlight w:val="none"/>
          <w:u w:val="single"/>
        </w:rPr>
        <w:t xml:space="preserve">响应单位</w:t>
      </w:r>
      <w:r>
        <w:rPr>
          <w:rFonts w:hint="eastAsia" w:ascii="宋体" w:hAnsi="宋体" w:cs="宋体"/>
          <w:b/>
          <w:color w:val="000000"/>
          <w:sz w:val="24"/>
          <w:szCs w:val="24"/>
          <w:highlight w:val="none"/>
        </w:rPr>
        <w:t xml:space="preserve">应对照中小企业划分标准和采购标的所属行业：</w:t>
      </w:r>
      <w:r>
        <w:rPr>
          <w:rFonts w:hint="eastAsia" w:ascii="宋体" w:hAnsi="宋体" w:cs="宋体"/>
          <w:b/>
          <w:bCs/>
          <w:sz w:val="24"/>
          <w:szCs w:val="24"/>
          <w:highlight w:val="none"/>
          <w:u w:val="single"/>
          <w:lang w:eastAsia="zh-CN"/>
        </w:rPr>
        <w:t xml:space="preserve">租赁和商务服务业</w:t>
      </w:r>
      <w:r>
        <w:rPr>
          <w:rFonts w:hint="eastAsia" w:ascii="宋体" w:hAnsi="宋体" w:cs="宋体"/>
          <w:b/>
          <w:color w:val="000000"/>
          <w:sz w:val="24"/>
          <w:szCs w:val="24"/>
          <w:highlight w:val="none"/>
        </w:rPr>
        <w:t xml:space="preserve"> ，如实、完整填报《中小企业声明函》，如未对（中型企业、小型企业、微型企业）进行勾选，视同非中、小、微企业，不享受相应扶持政策。</w:t>
      </w:r>
      <w:r>
        <w:rPr>
          <w:rFonts w:hint="eastAsia" w:ascii="宋体" w:hAnsi="宋体" w:cs="宋体"/>
          <w:b/>
          <w:color w:val="000000"/>
          <w:sz w:val="24"/>
          <w:szCs w:val="24"/>
          <w:highlight w:val="none"/>
        </w:rPr>
      </w:r>
      <w:r/>
    </w:p>
    <w:p>
      <w:pPr>
        <w:pStyle w:val="995"/>
        <w:ind w:firstLine="480"/>
        <w:jc w:val="left"/>
        <w:spacing w:line="360" w:lineRule="auto"/>
        <w:shd w:val="clear" w:color="auto" w:fill="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95"/>
        <w:jc w:val="left"/>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）残疾人福利性单位声明函</w:t>
      </w:r>
      <w:r>
        <w:rPr>
          <w:rFonts w:hint="eastAsia" w:ascii="宋体" w:hAnsi="宋体" w:cs="宋体"/>
          <w:sz w:val="24"/>
          <w:szCs w:val="24"/>
          <w:highlight w:val="none"/>
        </w:rPr>
      </w:r>
      <w:r/>
    </w:p>
    <w:p>
      <w:pPr>
        <w:pStyle w:val="995"/>
        <w:jc w:val="center"/>
        <w:spacing w:line="360" w:lineRule="auto"/>
        <w:shd w:val="clear" w:color="auto" w:fill="auto"/>
        <w:rPr>
          <w:rFonts w:hint="eastAsia" w:ascii="宋体" w:hAnsi="宋体" w:cs="宋体"/>
          <w:b/>
          <w:bCs/>
          <w:sz w:val="24"/>
          <w:szCs w:val="24"/>
          <w:highlight w:val="none"/>
        </w:rPr>
      </w:pPr>
      <w:r>
        <w:rPr>
          <w:rFonts w:hint="eastAsia" w:ascii="宋体" w:hAnsi="宋体" w:cs="宋体"/>
          <w:b/>
          <w:bCs/>
          <w:sz w:val="24"/>
          <w:szCs w:val="24"/>
          <w:highlight w:val="none"/>
        </w:rPr>
        <w:t xml:space="preserve">残疾人福利性单位声明函</w:t>
      </w:r>
      <w:r>
        <w:rPr>
          <w:rFonts w:hint="eastAsia" w:ascii="宋体" w:hAnsi="宋体" w:cs="宋体"/>
          <w:b/>
          <w:bCs/>
          <w:sz w:val="24"/>
          <w:szCs w:val="24"/>
          <w:highlight w:val="none"/>
        </w:rPr>
      </w:r>
      <w:r/>
    </w:p>
    <w:p>
      <w:pPr>
        <w:pStyle w:val="1008"/>
        <w:ind w:left="0"/>
        <w:spacing w:line="360" w:lineRule="auto"/>
        <w:shd w:val="clear" w:color="auto" w:fill="auto"/>
        <w:rPr>
          <w:rFonts w:hint="eastAsia" w:ascii="宋体" w:hAnsi="宋体" w:cs="宋体"/>
          <w:b/>
          <w:bCs/>
          <w:szCs w:val="24"/>
          <w:highlight w:val="none"/>
        </w:rPr>
      </w:pPr>
      <w:r>
        <w:rPr>
          <w:rFonts w:hint="eastAsia" w:ascii="宋体" w:hAnsi="宋体" w:cs="宋体"/>
          <w:b/>
          <w:bCs/>
          <w:szCs w:val="24"/>
          <w:highlight w:val="none"/>
        </w:rPr>
        <w:t xml:space="preserve">  </w:t>
      </w:r>
      <w:r>
        <w:rPr>
          <w:rFonts w:hint="eastAsia" w:ascii="宋体" w:hAnsi="宋体" w:cs="宋体"/>
          <w:b/>
          <w:bCs/>
          <w:szCs w:val="24"/>
          <w:highlight w:val="none"/>
          <w:u w:val="single"/>
        </w:rPr>
        <w:t xml:space="preserve">                          </w:t>
      </w:r>
      <w:r>
        <w:rPr>
          <w:rFonts w:hint="eastAsia" w:ascii="宋体" w:hAnsi="宋体" w:cs="宋体"/>
          <w:b/>
          <w:bCs/>
          <w:szCs w:val="24"/>
          <w:highlight w:val="none"/>
        </w:rPr>
        <w:t xml:space="preserve">：</w:t>
      </w:r>
      <w:r>
        <w:rPr>
          <w:rFonts w:hint="eastAsia" w:ascii="宋体" w:hAnsi="宋体" w:cs="宋体"/>
          <w:b/>
          <w:bCs/>
          <w:szCs w:val="24"/>
          <w:highlight w:val="none"/>
        </w:rPr>
      </w:r>
      <w:r/>
    </w:p>
    <w:p>
      <w:pPr>
        <w:pStyle w:val="1008"/>
        <w:ind w:left="0" w:firstLine="48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highlight w:val="none"/>
          <w:u w:val="single"/>
        </w:rPr>
        <w:t xml:space="preserve"> （采购单位）</w:t>
      </w:r>
      <w:r>
        <w:rPr>
          <w:rFonts w:hint="eastAsia" w:ascii="宋体" w:hAnsi="宋体" w:cs="宋体"/>
          <w:sz w:val="24"/>
          <w:szCs w:val="24"/>
          <w:highlight w:val="none"/>
        </w:rPr>
        <w:t xml:space="preserve"> 单位的</w:t>
      </w:r>
      <w:r>
        <w:rPr>
          <w:rFonts w:hint="eastAsia" w:ascii="宋体" w:hAnsi="宋体" w:cs="宋体"/>
          <w:sz w:val="24"/>
          <w:szCs w:val="24"/>
          <w:highlight w:val="none"/>
          <w:u w:val="single"/>
          <w:lang w:val="zh-CN"/>
        </w:rPr>
        <w:t xml:space="preserve">（采购编号、采购包号及项目名称）</w:t>
      </w:r>
      <w:r>
        <w:rPr>
          <w:rFonts w:hint="eastAsia" w:ascii="宋体" w:hAnsi="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highlight w:val="none"/>
        </w:rPr>
      </w:r>
      <w:r/>
    </w:p>
    <w:p>
      <w:pPr>
        <w:pStyle w:val="1008"/>
        <w:ind w:left="0" w:firstLine="480"/>
        <w:spacing w:line="360" w:lineRule="auto"/>
        <w:shd w:val="clear" w:color="auto" w:fill="auto"/>
        <w:rPr>
          <w:rFonts w:hint="eastAsia" w:ascii="宋体" w:hAnsi="宋体" w:cs="宋体"/>
          <w:b/>
          <w:bCs/>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rFonts w:hint="eastAsia" w:ascii="宋体" w:hAnsi="宋体" w:cs="宋体"/>
          <w:b/>
          <w:bCs/>
          <w:sz w:val="24"/>
          <w:szCs w:val="24"/>
          <w:highlight w:val="none"/>
        </w:rPr>
      </w:r>
      <w:r/>
    </w:p>
    <w:p>
      <w:pPr>
        <w:pStyle w:val="1008"/>
        <w:spacing w:line="360" w:lineRule="auto"/>
        <w:shd w:val="clear" w:color="auto" w:fill="auto"/>
        <w:rPr>
          <w:rFonts w:hint="eastAsia" w:ascii="宋体" w:hAnsi="宋体" w:cs="宋体"/>
          <w:b/>
          <w:bCs/>
          <w:szCs w:val="24"/>
          <w:highlight w:val="none"/>
        </w:rPr>
      </w:pPr>
      <w:r>
        <w:rPr>
          <w:rFonts w:hint="eastAsia" w:ascii="宋体" w:hAnsi="宋体" w:cs="宋体"/>
          <w:b/>
          <w:bCs/>
          <w:szCs w:val="24"/>
          <w:highlight w:val="none"/>
        </w:rPr>
      </w:r>
      <w:r/>
    </w:p>
    <w:p>
      <w:pPr>
        <w:pStyle w:val="1008"/>
        <w:spacing w:line="360" w:lineRule="auto"/>
        <w:shd w:val="clear" w:color="auto" w:fill="auto"/>
        <w:rPr>
          <w:rFonts w:hint="eastAsia" w:ascii="宋体" w:hAnsi="宋体" w:cs="宋体"/>
          <w:b/>
          <w:bCs/>
          <w:szCs w:val="24"/>
          <w:highlight w:val="none"/>
        </w:rPr>
      </w:pPr>
      <w:r>
        <w:rPr>
          <w:rFonts w:hint="eastAsia" w:ascii="宋体" w:hAnsi="宋体" w:cs="宋体"/>
          <w:b/>
          <w:bCs/>
          <w:szCs w:val="24"/>
          <w:highlight w:val="none"/>
        </w:rPr>
      </w:r>
      <w:r/>
    </w:p>
    <w:p>
      <w:pPr>
        <w:pStyle w:val="1008"/>
        <w:ind w:left="3402"/>
        <w:jc w:val="right"/>
        <w:spacing w:line="360" w:lineRule="auto"/>
        <w:shd w:val="clear" w:color="auto" w:fill="auto"/>
        <w:rPr>
          <w:rFonts w:hint="eastAsia" w:ascii="宋体" w:hAnsi="宋体" w:cs="宋体"/>
          <w:sz w:val="24"/>
          <w:szCs w:val="24"/>
          <w:highlight w:val="none"/>
        </w:rPr>
      </w:pPr>
      <w:r>
        <w:rPr>
          <w:rFonts w:hint="eastAsia" w:ascii="宋体" w:hAnsi="宋体" w:cs="宋体"/>
          <w:b/>
          <w:bCs/>
          <w:sz w:val="24"/>
          <w:szCs w:val="24"/>
          <w:highlight w:val="none"/>
        </w:rPr>
        <w:t xml:space="preserve">    </w:t>
      </w:r>
      <w:r>
        <w:rPr>
          <w:rFonts w:hint="eastAsia" w:ascii="宋体" w:hAnsi="宋体" w:cs="宋体"/>
          <w:sz w:val="24"/>
          <w:szCs w:val="24"/>
          <w:highlight w:val="none"/>
        </w:rPr>
        <w:t xml:space="preserve">  响应单位：         （单位盖章） </w:t>
      </w:r>
      <w:r>
        <w:rPr>
          <w:rFonts w:hint="eastAsia" w:ascii="宋体" w:hAnsi="宋体" w:cs="宋体"/>
          <w:sz w:val="24"/>
          <w:szCs w:val="24"/>
          <w:highlight w:val="none"/>
        </w:rPr>
      </w:r>
      <w:r/>
    </w:p>
    <w:p>
      <w:pPr>
        <w:pStyle w:val="1008"/>
        <w:ind w:left="3402"/>
        <w:jc w:val="center"/>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rPr>
          <w:rFonts w:hint="eastAsia" w:ascii="宋体" w:hAnsi="宋体" w:cs="宋体"/>
          <w:sz w:val="24"/>
          <w:szCs w:val="24"/>
          <w:highlight w:val="none"/>
        </w:rPr>
      </w:r>
      <w:r/>
    </w:p>
    <w:p>
      <w:pPr>
        <w:pStyle w:val="995"/>
        <w:ind w:firstLine="420"/>
        <w:spacing w:line="360" w:lineRule="auto"/>
        <w:shd w:val="clear" w:color="auto" w:fill="auto"/>
        <w:rPr>
          <w:rFonts w:hint="eastAsia" w:ascii="宋体" w:hAnsi="宋体" w:cs="宋体"/>
          <w:sz w:val="24"/>
          <w:szCs w:val="24"/>
          <w:highlight w:val="none"/>
        </w:rPr>
      </w:pPr>
      <w:r>
        <w:rPr>
          <w:rFonts w:hint="eastAsia" w:ascii="宋体" w:hAnsi="宋体" w:cs="宋体"/>
          <w:sz w:val="24"/>
          <w:szCs w:val="24"/>
          <w:highlight w:val="none"/>
        </w:rPr>
      </w:r>
      <w:r/>
    </w:p>
    <w:p>
      <w:pPr>
        <w:pStyle w:val="995"/>
        <w:jc w:val="right"/>
        <w:spacing w:line="360" w:lineRule="auto"/>
        <w:shd w:val="clear" w:color="auto" w:fill="auto"/>
        <w:rPr>
          <w:rFonts w:hint="eastAsia" w:ascii="宋体" w:hAnsi="宋体" w:cs="宋体"/>
          <w:b/>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
          <w:highlight w:val="none"/>
        </w:rPr>
      </w:r>
      <w:r/>
    </w:p>
    <w:p>
      <w:pPr>
        <w:pStyle w:val="995"/>
        <w:spacing w:line="360" w:lineRule="auto"/>
        <w:shd w:val="clear" w:color="auto" w:fill="auto"/>
        <w:widowControl/>
        <w:rPr>
          <w:rFonts w:hint="eastAsia" w:ascii="宋体" w:hAnsi="宋体" w:eastAsia="宋体"/>
          <w:b/>
          <w:sz w:val="24"/>
          <w:szCs w:val="24"/>
          <w:highlight w:val="none"/>
        </w:rPr>
      </w:pPr>
      <w:r>
        <w:rPr>
          <w:rFonts w:hint="eastAsia" w:ascii="宋体" w:hAnsi="宋体" w:eastAsia="宋体"/>
          <w:b/>
          <w:sz w:val="24"/>
          <w:szCs w:val="24"/>
          <w:highlight w:val="none"/>
        </w:rPr>
        <w:t xml:space="preserve">附件</w:t>
      </w:r>
      <w:r>
        <w:rPr>
          <w:rFonts w:hint="eastAsia" w:ascii="宋体" w:hAnsi="宋体" w:eastAsia="宋体"/>
          <w:b/>
          <w:sz w:val="24"/>
          <w:szCs w:val="24"/>
          <w:highlight w:val="none"/>
          <w:lang w:val="en-US" w:eastAsia="zh-CN"/>
        </w:rPr>
        <w:t xml:space="preserve">8</w:t>
      </w:r>
      <w:r>
        <w:rPr>
          <w:rFonts w:hint="eastAsia" w:ascii="宋体" w:hAnsi="宋体" w:eastAsia="宋体"/>
          <w:b/>
          <w:sz w:val="24"/>
          <w:szCs w:val="24"/>
          <w:highlight w:val="none"/>
        </w:rPr>
        <w:t xml:space="preserve">：投标（响应）保证承诺书</w:t>
      </w:r>
      <w:r>
        <w:rPr>
          <w:rFonts w:hint="eastAsia" w:ascii="宋体" w:hAnsi="宋体" w:eastAsia="宋体"/>
          <w:b/>
          <w:sz w:val="24"/>
          <w:szCs w:val="24"/>
          <w:highlight w:val="none"/>
        </w:rPr>
      </w:r>
      <w:r/>
    </w:p>
    <w:p>
      <w:pPr>
        <w:pStyle w:val="1074"/>
        <w:ind w:firstLine="480"/>
        <w:jc w:val="center"/>
        <w:shd w:val="clear" w:color="auto" w:fill="auto"/>
        <w:rPr>
          <w:highlight w:val="none"/>
        </w:rPr>
      </w:pPr>
      <w:r>
        <w:rPr>
          <w:rFonts w:hint="eastAsia"/>
          <w:highlight w:val="none"/>
        </w:rPr>
        <w:t xml:space="preserve">投标（响应）保证承诺书</w:t>
      </w:r>
      <w:r>
        <w:rPr>
          <w:highlight w:val="none"/>
        </w:rPr>
      </w:r>
      <w:r/>
    </w:p>
    <w:p>
      <w:pPr>
        <w:pStyle w:val="1074"/>
        <w:ind w:firstLine="480"/>
        <w:shd w:val="clear" w:color="auto" w:fill="auto"/>
        <w:rPr>
          <w:highlight w:val="none"/>
          <w:u w:val="single"/>
        </w:rPr>
      </w:pPr>
      <w:r>
        <w:rPr>
          <w:rFonts w:hint="eastAsia"/>
          <w:highlight w:val="none"/>
        </w:rPr>
        <w:t xml:space="preserve">致：</w:t>
      </w:r>
      <w:r>
        <w:rPr>
          <w:rFonts w:hint="eastAsia"/>
          <w:highlight w:val="none"/>
          <w:u w:val="single"/>
        </w:rPr>
        <w:t xml:space="preserve">         （采购代理机构名称）</w:t>
      </w:r>
      <w:r>
        <w:rPr>
          <w:highlight w:val="none"/>
          <w:u w:val="single"/>
        </w:rPr>
      </w:r>
      <w:r/>
    </w:p>
    <w:p>
      <w:pPr>
        <w:pStyle w:val="1074"/>
        <w:ind w:firstLine="480"/>
        <w:shd w:val="clear" w:color="auto" w:fill="auto"/>
        <w:rPr>
          <w:highlight w:val="none"/>
        </w:rPr>
      </w:pPr>
      <w:r>
        <w:rPr>
          <w:rFonts w:hint="eastAsia"/>
          <w:highlight w:val="none"/>
        </w:rPr>
        <w:t xml:space="preserve">我（单位/本人，以下统称我单位）自愿参加</w:t>
      </w:r>
      <w:r>
        <w:rPr>
          <w:rFonts w:hint="eastAsia"/>
          <w:highlight w:val="none"/>
          <w:u w:val="single"/>
        </w:rPr>
        <w:t xml:space="preserve">              （项目名称和采购编号）</w:t>
      </w:r>
      <w:r>
        <w:rPr>
          <w:rFonts w:hint="eastAsia"/>
          <w:highlight w:val="none"/>
        </w:rPr>
        <w:t xml:space="preserve">的投标（响应），并做出如下承诺：</w:t>
      </w:r>
      <w:r>
        <w:rPr>
          <w:highlight w:val="none"/>
        </w:rPr>
      </w:r>
      <w:r/>
    </w:p>
    <w:p>
      <w:pPr>
        <w:pStyle w:val="1074"/>
        <w:ind w:firstLine="480"/>
        <w:shd w:val="clear" w:color="auto" w:fill="auto"/>
        <w:rPr>
          <w:highlight w:val="none"/>
        </w:rPr>
      </w:pPr>
      <w:r>
        <w:rPr>
          <w:rFonts w:hint="eastAsia"/>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highlight w:val="none"/>
        </w:rPr>
      </w:r>
      <w:r/>
    </w:p>
    <w:p>
      <w:pPr>
        <w:pStyle w:val="1074"/>
        <w:ind w:firstLine="480"/>
        <w:shd w:val="clear" w:color="auto" w:fill="auto"/>
        <w:rPr>
          <w:highlight w:val="none"/>
        </w:rPr>
      </w:pPr>
      <w:r>
        <w:rPr>
          <w:rFonts w:hint="eastAsia"/>
          <w:highlight w:val="none"/>
        </w:rPr>
        <w:t xml:space="preserve">1.自投标（响应）截止时间至本项目发布</w:t>
      </w:r>
      <w:r>
        <w:rPr>
          <w:rFonts w:hint="eastAsia"/>
          <w:highlight w:val="none"/>
          <w:lang w:eastAsia="zh-CN"/>
        </w:rPr>
        <w:t xml:space="preserve">成交</w:t>
      </w:r>
      <w:r>
        <w:rPr>
          <w:rFonts w:hint="eastAsia"/>
          <w:highlight w:val="none"/>
        </w:rPr>
        <w:t xml:space="preserve">（成交）公告为止，撤销投标（响应）；</w:t>
      </w:r>
      <w:r>
        <w:rPr>
          <w:highlight w:val="none"/>
        </w:rPr>
      </w:r>
      <w:r/>
    </w:p>
    <w:p>
      <w:pPr>
        <w:pStyle w:val="1074"/>
        <w:ind w:firstLine="480"/>
        <w:shd w:val="clear" w:color="auto" w:fill="auto"/>
        <w:rPr>
          <w:highlight w:val="none"/>
        </w:rPr>
      </w:pPr>
      <w:r>
        <w:rPr>
          <w:rFonts w:hint="eastAsia"/>
          <w:highlight w:val="none"/>
        </w:rPr>
        <w:t xml:space="preserve">2.</w:t>
      </w:r>
      <w:r>
        <w:rPr>
          <w:rFonts w:hint="eastAsia"/>
          <w:highlight w:val="none"/>
          <w:lang w:eastAsia="zh-CN"/>
        </w:rPr>
        <w:t xml:space="preserve">成交</w:t>
      </w:r>
      <w:r>
        <w:rPr>
          <w:rFonts w:hint="eastAsia"/>
          <w:highlight w:val="none"/>
        </w:rPr>
        <w:t xml:space="preserve">（成交）后不依法与采购人签订合同；</w:t>
      </w:r>
      <w:r>
        <w:rPr>
          <w:highlight w:val="none"/>
        </w:rPr>
      </w:r>
      <w:r/>
    </w:p>
    <w:p>
      <w:pPr>
        <w:pStyle w:val="1074"/>
        <w:ind w:firstLine="480"/>
        <w:shd w:val="clear" w:color="auto" w:fill="auto"/>
        <w:rPr>
          <w:highlight w:val="none"/>
        </w:rPr>
      </w:pPr>
      <w:r>
        <w:rPr>
          <w:rFonts w:hint="eastAsia"/>
          <w:highlight w:val="none"/>
        </w:rPr>
        <w:t xml:space="preserve">3.</w:t>
      </w:r>
      <w:r>
        <w:rPr>
          <w:rFonts w:hint="eastAsia"/>
          <w:highlight w:val="none"/>
          <w:lang w:eastAsia="zh-CN"/>
        </w:rPr>
        <w:t xml:space="preserve">成交</w:t>
      </w:r>
      <w:r>
        <w:rPr>
          <w:rFonts w:hint="eastAsia"/>
          <w:highlight w:val="none"/>
        </w:rPr>
        <w:t xml:space="preserve">（成交）后不按本采购文件规定向采购人提交履约保证金（如有）；</w:t>
      </w:r>
      <w:r>
        <w:rPr>
          <w:highlight w:val="none"/>
        </w:rPr>
      </w:r>
      <w:r/>
    </w:p>
    <w:p>
      <w:pPr>
        <w:pStyle w:val="1074"/>
        <w:ind w:firstLine="480"/>
        <w:shd w:val="clear" w:color="auto" w:fill="auto"/>
        <w:rPr>
          <w:highlight w:val="none"/>
        </w:rPr>
      </w:pPr>
      <w:r>
        <w:rPr>
          <w:rFonts w:hint="eastAsia"/>
          <w:highlight w:val="none"/>
        </w:rPr>
        <w:t xml:space="preserve">4.</w:t>
      </w:r>
      <w:r>
        <w:rPr>
          <w:rFonts w:hint="eastAsia"/>
          <w:highlight w:val="none"/>
          <w:lang w:eastAsia="zh-CN"/>
        </w:rPr>
        <w:t xml:space="preserve">成交</w:t>
      </w:r>
      <w:r>
        <w:rPr>
          <w:rFonts w:hint="eastAsia"/>
          <w:highlight w:val="none"/>
        </w:rPr>
        <w:t xml:space="preserve">（成交）后不按本采购文件规定向贵方缴纳采购代理费。</w:t>
      </w:r>
      <w:r>
        <w:rPr>
          <w:highlight w:val="none"/>
        </w:rPr>
      </w:r>
      <w:r/>
    </w:p>
    <w:p>
      <w:pPr>
        <w:pStyle w:val="1074"/>
        <w:ind w:firstLine="480"/>
        <w:shd w:val="clear" w:color="auto" w:fill="auto"/>
        <w:rPr>
          <w:highlight w:val="none"/>
        </w:rPr>
      </w:pPr>
      <w:r>
        <w:rPr>
          <w:rFonts w:hint="eastAsia"/>
          <w:highlight w:val="none"/>
        </w:rPr>
        <w:t xml:space="preserve">二、我单位知晓上述行为的法律后果，承认本承诺书作为贵方（或采购人）要求我单位履行违约赔偿义务的依据作用。</w:t>
      </w:r>
      <w:r>
        <w:rPr>
          <w:highlight w:val="none"/>
        </w:rPr>
      </w:r>
      <w:r/>
    </w:p>
    <w:p>
      <w:pPr>
        <w:pStyle w:val="1074"/>
        <w:ind w:firstLine="480"/>
        <w:shd w:val="clear" w:color="auto" w:fill="auto"/>
        <w:rPr>
          <w:highlight w:val="none"/>
        </w:rPr>
      </w:pPr>
      <w:r>
        <w:rPr>
          <w:highlight w:val="none"/>
        </w:rPr>
      </w:r>
      <w:r/>
    </w:p>
    <w:p>
      <w:pPr>
        <w:pStyle w:val="995"/>
        <w:spacing w:line="400" w:lineRule="exact"/>
        <w:shd w:val="clear" w:color="auto" w:fill="auto"/>
        <w:rPr>
          <w:rFonts w:hint="eastAsia" w:ascii="宋体" w:hAnsi="宋体" w:eastAsia="宋体"/>
          <w:sz w:val="24"/>
          <w:szCs w:val="24"/>
          <w:highlight w:val="none"/>
        </w:rPr>
      </w:pPr>
      <w:r>
        <w:rPr>
          <w:rFonts w:hint="eastAsia" w:ascii="宋体" w:hAnsi="宋体" w:eastAsia="宋体"/>
          <w:sz w:val="24"/>
          <w:szCs w:val="24"/>
          <w:highlight w:val="none"/>
        </w:rPr>
        <w:t xml:space="preserve">响应单位</w:t>
      </w:r>
      <w:r>
        <w:rPr>
          <w:rFonts w:ascii="宋体" w:hAnsi="宋体" w:eastAsia="宋体"/>
          <w:sz w:val="24"/>
          <w:szCs w:val="24"/>
          <w:highlight w:val="none"/>
        </w:rPr>
        <w:t xml:space="preserve">：（公章）</w:t>
      </w:r>
      <w:r>
        <w:rPr>
          <w:rFonts w:hint="eastAsia" w:ascii="宋体" w:hAnsi="宋体" w:eastAsia="宋体"/>
          <w:sz w:val="24"/>
          <w:szCs w:val="24"/>
          <w:highlight w:val="none"/>
        </w:rPr>
      </w:r>
      <w:r/>
    </w:p>
    <w:p>
      <w:pPr>
        <w:pStyle w:val="995"/>
        <w:spacing w:line="400" w:lineRule="exact"/>
        <w:shd w:val="clear" w:color="auto" w:fill="auto"/>
        <w:rPr>
          <w:rFonts w:hint="eastAsia" w:ascii="宋体" w:hAnsi="宋体" w:eastAsia="宋体"/>
          <w:sz w:val="24"/>
          <w:szCs w:val="24"/>
          <w:highlight w:val="none"/>
        </w:rPr>
      </w:pPr>
      <w:r>
        <w:rPr>
          <w:rFonts w:ascii="宋体" w:hAnsi="宋体" w:eastAsia="宋体"/>
          <w:sz w:val="24"/>
          <w:szCs w:val="24"/>
          <w:highlight w:val="none"/>
        </w:rPr>
        <w:t xml:space="preserve">法定代表人或代理人：（签字或盖章）</w:t>
      </w:r>
      <w:r>
        <w:rPr>
          <w:rFonts w:hint="eastAsia" w:ascii="宋体" w:hAnsi="宋体" w:eastAsia="宋体"/>
          <w:sz w:val="24"/>
          <w:szCs w:val="24"/>
          <w:highlight w:val="none"/>
        </w:rPr>
      </w:r>
      <w:r/>
    </w:p>
    <w:p>
      <w:pPr>
        <w:pStyle w:val="995"/>
        <w:spacing w:line="360" w:lineRule="auto"/>
        <w:shd w:val="clear" w:color="auto" w:fill="auto"/>
        <w:rPr>
          <w:rFonts w:hint="eastAsia" w:ascii="宋体" w:hAnsi="宋体" w:eastAsia="宋体"/>
          <w:b/>
          <w:sz w:val="24"/>
          <w:szCs w:val="24"/>
          <w:highlight w:val="none"/>
        </w:rPr>
      </w:pPr>
      <w:r>
        <w:rPr>
          <w:rFonts w:hint="eastAsia" w:ascii="宋体" w:hAnsi="宋体" w:eastAsia="宋体"/>
          <w:sz w:val="24"/>
          <w:szCs w:val="24"/>
          <w:highlight w:val="none"/>
        </w:rPr>
        <w:t xml:space="preserve">日期：     年    月    日</w:t>
      </w:r>
      <w:r>
        <w:rPr>
          <w:rFonts w:hint="eastAsia" w:ascii="宋体" w:hAnsi="宋体" w:eastAsia="宋体"/>
          <w:b/>
          <w:sz w:val="24"/>
          <w:szCs w:val="24"/>
          <w:highlight w:val="none"/>
        </w:rPr>
      </w:r>
      <w:r/>
    </w:p>
    <w:p>
      <w:pPr>
        <w:pStyle w:val="995"/>
        <w:jc w:val="right"/>
        <w:spacing w:line="360" w:lineRule="auto"/>
        <w:shd w:val="clear" w:color="auto" w:fill="auto"/>
        <w:rPr>
          <w:rFonts w:hint="eastAsia" w:ascii="宋体" w:hAnsi="宋体" w:cs="宋体"/>
          <w:b/>
          <w:highlight w:val="none"/>
        </w:rPr>
      </w:pPr>
      <w:r>
        <w:rPr>
          <w:rFonts w:hint="eastAsia" w:ascii="宋体" w:hAnsi="宋体" w:cs="宋体"/>
          <w:b/>
          <w:highlight w:val="none"/>
        </w:rPr>
        <w:t xml:space="preserve"> （全文完）</w:t>
      </w:r>
      <w:r/>
    </w:p>
    <w:sectPr>
      <w:footnotePr/>
      <w:endnotePr/>
      <w:type w:val="nextPage"/>
      <w:pgSz w:w="11906" w:h="16838" w:orient="portrait"/>
      <w:pgMar w:top="907" w:right="907" w:bottom="907" w:left="964"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方正大黑简体">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9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tabs>
        <w:tab w:val="center" w:pos="4153" w:leader="none"/>
        <w:tab w:val="right" w:pos="8306" w:leader="none"/>
      </w:tabs>
      <w:rPr>
        <w:rFonts w:hint="eastAsia"/>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rPr>
                              <w:rFonts w:hint="eastAsia" w:eastAsia="微软雅黑"/>
                            </w:rPr>
                          </w:pPr>
                          <w:r>
                            <w:rPr>
                              <w:rFonts w:hint="eastAsia" w:eastAsia="微软雅黑"/>
                            </w:rPr>
                            <w:t xml:space="preserve">第 </w:t>
                          </w:r>
                          <w:r>
                            <w:rPr>
                              <w:rFonts w:hint="eastAsia" w:eastAsia="微软雅黑"/>
                            </w:rPr>
                            <w:fldChar w:fldCharType="begin"/>
                          </w:r>
                          <w:r>
                            <w:rPr>
                              <w:rFonts w:hint="eastAsia" w:eastAsia="微软雅黑"/>
                            </w:rPr>
                            <w:instrText xml:space="preserve"> PAGE  \* MERGEFORMAT </w:instrText>
                          </w:r>
                          <w:r>
                            <w:rPr>
                              <w:rFonts w:hint="eastAsia" w:eastAsia="微软雅黑"/>
                            </w:rPr>
                            <w:fldChar w:fldCharType="separate"/>
                          </w:r>
                          <w:r>
                            <w:rPr>
                              <w:rFonts w:hint="eastAsia" w:eastAsia="微软雅黑"/>
                            </w:rPr>
                            <w:t xml:space="preserve">1</w:t>
                          </w:r>
                          <w:r>
                            <w:rPr>
                              <w:rFonts w:hint="eastAsia" w:eastAsia="微软雅黑"/>
                            </w:rPr>
                            <w:fldChar w:fldCharType="end"/>
                          </w:r>
                          <w:r>
                            <w:rPr>
                              <w:rFonts w:hint="eastAsia" w:eastAsia="微软雅黑"/>
                            </w:rPr>
                            <w:t xml:space="preserve"> 页 共 </w:t>
                          </w:r>
                          <w:r>
                            <w:rPr>
                              <w:rFonts w:hint="eastAsia" w:eastAsia="微软雅黑"/>
                            </w:rPr>
                            <w:fldChar w:fldCharType="begin"/>
                          </w:r>
                          <w:r>
                            <w:rPr>
                              <w:rFonts w:hint="eastAsia" w:eastAsia="微软雅黑"/>
                            </w:rPr>
                            <w:instrText xml:space="preserve"> NUMPAGES  \* MERGEFORMAT </w:instrText>
                          </w:r>
                          <w:r>
                            <w:rPr>
                              <w:rFonts w:hint="eastAsia" w:eastAsia="微软雅黑"/>
                            </w:rPr>
                            <w:fldChar w:fldCharType="separate"/>
                          </w:r>
                          <w:r>
                            <w:rPr>
                              <w:rFonts w:hint="eastAsia" w:eastAsia="微软雅黑"/>
                            </w:rPr>
                            <w:t xml:space="preserve">47</w:t>
                          </w:r>
                          <w:r>
                            <w:rPr>
                              <w:rFonts w:hint="eastAsia" w:eastAsia="微软雅黑"/>
                            </w:rPr>
                            <w:fldChar w:fldCharType="end"/>
                          </w:r>
                          <w:r>
                            <w:rPr>
                              <w:rFonts w:hint="eastAsia" w:eastAsia="微软雅黑"/>
                            </w:rPr>
                            <w:t xml:space="preserve"> 页</w:t>
                          </w:r>
                          <w:r>
                            <w:rPr>
                              <w:rFonts w:hint="eastAsia" w:eastAsia="微软雅黑"/>
                            </w:rPr>
                          </w:r>
                          <w:r/>
                        </w:p>
                        <w:p>
                          <w:pPr>
                            <w:pStyle w:val="99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rPr>
                        <w:rFonts w:hint="eastAsia" w:eastAsia="微软雅黑"/>
                      </w:rPr>
                    </w:pPr>
                    <w:r>
                      <w:rPr>
                        <w:rFonts w:hint="eastAsia" w:eastAsia="微软雅黑"/>
                      </w:rPr>
                      <w:t xml:space="preserve">第 </w:t>
                    </w:r>
                    <w:r>
                      <w:rPr>
                        <w:rFonts w:hint="eastAsia" w:eastAsia="微软雅黑"/>
                      </w:rPr>
                      <w:fldChar w:fldCharType="begin"/>
                    </w:r>
                    <w:r>
                      <w:rPr>
                        <w:rFonts w:hint="eastAsia" w:eastAsia="微软雅黑"/>
                      </w:rPr>
                      <w:instrText xml:space="preserve"> PAGE  \* MERGEFORMAT </w:instrText>
                    </w:r>
                    <w:r>
                      <w:rPr>
                        <w:rFonts w:hint="eastAsia" w:eastAsia="微软雅黑"/>
                      </w:rPr>
                      <w:fldChar w:fldCharType="separate"/>
                    </w:r>
                    <w:r>
                      <w:rPr>
                        <w:rFonts w:hint="eastAsia" w:eastAsia="微软雅黑"/>
                      </w:rPr>
                      <w:t xml:space="preserve">1</w:t>
                    </w:r>
                    <w:r>
                      <w:rPr>
                        <w:rFonts w:hint="eastAsia" w:eastAsia="微软雅黑"/>
                      </w:rPr>
                      <w:fldChar w:fldCharType="end"/>
                    </w:r>
                    <w:r>
                      <w:rPr>
                        <w:rFonts w:hint="eastAsia" w:eastAsia="微软雅黑"/>
                      </w:rPr>
                      <w:t xml:space="preserve"> 页 共 </w:t>
                    </w:r>
                    <w:r>
                      <w:rPr>
                        <w:rFonts w:hint="eastAsia" w:eastAsia="微软雅黑"/>
                      </w:rPr>
                      <w:fldChar w:fldCharType="begin"/>
                    </w:r>
                    <w:r>
                      <w:rPr>
                        <w:rFonts w:hint="eastAsia" w:eastAsia="微软雅黑"/>
                      </w:rPr>
                      <w:instrText xml:space="preserve"> NUMPAGES  \* MERGEFORMAT </w:instrText>
                    </w:r>
                    <w:r>
                      <w:rPr>
                        <w:rFonts w:hint="eastAsia" w:eastAsia="微软雅黑"/>
                      </w:rPr>
                      <w:fldChar w:fldCharType="separate"/>
                    </w:r>
                    <w:r>
                      <w:rPr>
                        <w:rFonts w:hint="eastAsia" w:eastAsia="微软雅黑"/>
                      </w:rPr>
                      <w:t xml:space="preserve">47</w:t>
                    </w:r>
                    <w:r>
                      <w:rPr>
                        <w:rFonts w:hint="eastAsia" w:eastAsia="微软雅黑"/>
                      </w:rPr>
                      <w:fldChar w:fldCharType="end"/>
                    </w:r>
                    <w:r>
                      <w:rPr>
                        <w:rFonts w:hint="eastAsia" w:eastAsia="微软雅黑"/>
                      </w:rPr>
                      <w:t xml:space="preserve"> 页</w:t>
                    </w:r>
                    <w:r>
                      <w:rPr>
                        <w:rFonts w:hint="eastAsia" w:eastAsia="微软雅黑"/>
                      </w:rPr>
                    </w:r>
                    <w:r/>
                  </w:p>
                  <w:p>
                    <w:pPr>
                      <w:pStyle w:val="995"/>
                    </w:pPr>
                    <w:r/>
                    <w:r/>
                  </w:p>
                </w:txbxContent>
              </v:textbox>
            </v:shape>
          </w:pict>
        </mc:Fallback>
      </mc:AlternateContent>
    </w:r>
    <w:r>
      <w:rPr>
        <w:rFonts w:hint="eastAsia"/>
        <w:sz w:val="18"/>
      </w:rPr>
      <w:t xml:space="preserve">                                                                                 </w:t>
    </w:r>
    <w:r>
      <w:rPr>
        <w:rFonts w:hint="eastAsia"/>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4"/>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9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4"/>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pPr>
                      <w:pStyle w:val="9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tabs>
        <w:tab w:val="center" w:pos="4153" w:leader="none"/>
        <w:tab w:val="right" w:pos="8306" w:leader="none"/>
      </w:tabs>
      <w:rPr>
        <w:rFonts w:hint="eastAsia" w:eastAsia="宋体"/>
        <w:sz w:val="18"/>
        <w:lang w:eastAsia="zh-CN"/>
      </w:rPr>
      <w:pBdr>
        <w:bottom w:val="single" w:color="000000" w:sz="6" w:space="1"/>
      </w:pBdr>
    </w:pPr>
    <w:r>
      <w:rPr>
        <w:rFonts w:hint="eastAsia" w:ascii="宋体" w:hAnsi="宋体" w:cs="宋体"/>
        <w:sz w:val="18"/>
        <w:lang w:eastAsia="zh-CN"/>
      </w:rPr>
      <w:t xml:space="preserve">苏州海企国际工程咨询有限公司</w:t>
    </w:r>
    <w:r>
      <w:rPr>
        <w:rFonts w:hint="eastAsia"/>
        <w:sz w:val="18"/>
      </w:rPr>
      <w:t xml:space="preserve">                                          </w:t>
    </w:r>
    <w:r>
      <w:rPr>
        <w:rFonts w:hint="eastAsia"/>
        <w:color w:val="ff0000"/>
        <w:sz w:val="18"/>
      </w:rPr>
      <w:t xml:space="preserve">  </w:t>
    </w:r>
    <w:r>
      <w:rPr>
        <w:rFonts w:hint="eastAsia" w:ascii="宋体"/>
        <w:color w:val="ff0000"/>
        <w:sz w:val="18"/>
      </w:rPr>
      <w:t xml:space="preserve">      </w:t>
    </w:r>
    <w:r>
      <w:rPr>
        <w:rFonts w:hint="eastAsia" w:ascii="宋体"/>
        <w:sz w:val="18"/>
        <w:szCs w:val="18"/>
        <w:lang w:eastAsia="zh-CN"/>
      </w:rPr>
      <w:t xml:space="preserve">JSZC-320505-SZHQ-C2026-0025</w:t>
    </w:r>
    <w:r>
      <w:rPr>
        <w:rFonts w:hint="eastAsia" w:eastAsia="宋体"/>
        <w:sz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95"/>
        <w:ind w:left="-840" w:hanging="420"/>
      </w:pPr>
      <w:rPr>
        <w:rFonts w:hint="eastAsia" w:ascii="宋体" w:hAnsi="宋体"/>
        <w:b w:val="0"/>
        <w:sz w:val="24"/>
        <w:szCs w:val="24"/>
      </w:rPr>
    </w:lvl>
    <w:lvl w:ilvl="1">
      <w:start w:val="1"/>
      <w:numFmt w:val="chineseCounting"/>
      <w:isLgl w:val="false"/>
      <w:suff w:val="tab"/>
      <w:lvlText w:val="(%2)"/>
      <w:lvlJc w:val="left"/>
      <w:pPr>
        <w:pStyle w:val="995"/>
        <w:ind w:left="1260" w:hanging="720"/>
      </w:pPr>
      <w:rPr>
        <w:rFonts w:hint="eastAsia" w:ascii="宋体" w:hAnsi="宋体" w:eastAsia="宋体"/>
      </w:rPr>
    </w:lvl>
    <w:lvl w:ilvl="2">
      <w:start w:val="1"/>
      <w:numFmt w:val="bullet"/>
      <w:isLgl w:val="false"/>
      <w:suff w:val="tab"/>
      <w:lvlText w:val="Ø"/>
      <w:lvlJc w:val="left"/>
      <w:pPr>
        <w:pStyle w:val="995"/>
        <w:ind w:left="11340" w:hanging="420"/>
      </w:pPr>
      <w:rPr>
        <w:rFonts w:hint="eastAsia" w:ascii="Wingdings" w:hAnsi="Wingdings"/>
        <w:b w:val="0"/>
      </w:rPr>
    </w:lvl>
    <w:lvl w:ilvl="3">
      <w:start w:val="1"/>
      <w:numFmt w:val="decimal"/>
      <w:isLgl w:val="false"/>
      <w:suff w:val="tab"/>
      <w:lvlText w:val="%4."/>
      <w:lvlJc w:val="left"/>
      <w:pPr>
        <w:pStyle w:val="995"/>
        <w:ind w:left="1680" w:hanging="420"/>
      </w:pPr>
      <w:rPr>
        <w:rFonts w:hint="eastAsia" w:ascii="宋体" w:hAnsi="宋体"/>
      </w:rPr>
    </w:lvl>
    <w:lvl w:ilvl="4">
      <w:start w:val="1"/>
      <w:numFmt w:val="lowerLetter"/>
      <w:isLgl w:val="false"/>
      <w:suff w:val="tab"/>
      <w:lvlText w:val="%5)"/>
      <w:lvlJc w:val="left"/>
      <w:pPr>
        <w:pStyle w:val="995"/>
        <w:ind w:left="2100" w:hanging="420"/>
      </w:pPr>
      <w:rPr>
        <w:rFonts w:hint="eastAsia" w:ascii="宋体" w:hAnsi="宋体"/>
      </w:rPr>
    </w:lvl>
    <w:lvl w:ilvl="5">
      <w:start w:val="1"/>
      <w:numFmt w:val="lowerRoman"/>
      <w:isLgl w:val="false"/>
      <w:suff w:val="tab"/>
      <w:lvlText w:val="%6."/>
      <w:lvlJc w:val="right"/>
      <w:pPr>
        <w:pStyle w:val="995"/>
        <w:ind w:left="2520" w:hanging="420"/>
      </w:pPr>
      <w:rPr>
        <w:rFonts w:hint="eastAsia" w:ascii="宋体" w:hAnsi="宋体"/>
      </w:rPr>
    </w:lvl>
    <w:lvl w:ilvl="6">
      <w:start w:val="1"/>
      <w:numFmt w:val="decimal"/>
      <w:isLgl w:val="false"/>
      <w:suff w:val="tab"/>
      <w:lvlText w:val="%7."/>
      <w:lvlJc w:val="left"/>
      <w:pPr>
        <w:pStyle w:val="995"/>
        <w:ind w:left="2940" w:hanging="420"/>
      </w:pPr>
      <w:rPr>
        <w:rFonts w:hint="eastAsia" w:ascii="宋体" w:hAnsi="宋体"/>
      </w:rPr>
    </w:lvl>
    <w:lvl w:ilvl="7">
      <w:start w:val="1"/>
      <w:numFmt w:val="lowerLetter"/>
      <w:isLgl w:val="false"/>
      <w:suff w:val="tab"/>
      <w:lvlText w:val="%8)"/>
      <w:lvlJc w:val="left"/>
      <w:pPr>
        <w:pStyle w:val="995"/>
        <w:ind w:left="3360" w:hanging="420"/>
      </w:pPr>
      <w:rPr>
        <w:rFonts w:hint="eastAsia" w:ascii="宋体" w:hAnsi="宋体"/>
      </w:rPr>
    </w:lvl>
    <w:lvl w:ilvl="8">
      <w:start w:val="1"/>
      <w:numFmt w:val="lowerRoman"/>
      <w:isLgl w:val="false"/>
      <w:suff w:val="tab"/>
      <w:lvlText w:val="%9."/>
      <w:lvlJc w:val="right"/>
      <w:pPr>
        <w:pStyle w:val="995"/>
        <w:ind w:left="3780" w:hanging="420"/>
      </w:pPr>
      <w:rPr>
        <w:rFonts w:hint="eastAsia" w:ascii="宋体" w:hAnsi="宋体"/>
      </w:rPr>
    </w:lvl>
  </w:abstractNum>
  <w:abstractNum w:abstractNumId="1">
    <w:multiLevelType w:val="hybridMultilevel"/>
    <w:lvl w:ilvl="0">
      <w:start w:val="1"/>
      <w:numFmt w:val="decimal"/>
      <w:isLgl w:val="false"/>
      <w:suff w:val="tab"/>
      <w:lvlText w:val="%1)"/>
      <w:lvlJc w:val="left"/>
      <w:pPr>
        <w:pStyle w:val="995"/>
        <w:ind w:left="1260" w:hanging="420"/>
      </w:pPr>
    </w:lvl>
    <w:lvl w:ilvl="1">
      <w:start w:val="1"/>
      <w:numFmt w:val="lowerLetter"/>
      <w:isLgl w:val="false"/>
      <w:suff w:val="tab"/>
      <w:lvlText w:val="%2)"/>
      <w:lvlJc w:val="left"/>
      <w:pPr>
        <w:pStyle w:val="995"/>
        <w:ind w:left="1680" w:hanging="420"/>
      </w:pPr>
    </w:lvl>
    <w:lvl w:ilvl="2">
      <w:start w:val="1"/>
      <w:numFmt w:val="lowerRoman"/>
      <w:isLgl w:val="false"/>
      <w:suff w:val="tab"/>
      <w:lvlText w:val="%3."/>
      <w:lvlJc w:val="right"/>
      <w:pPr>
        <w:pStyle w:val="995"/>
        <w:ind w:left="2100" w:hanging="420"/>
      </w:pPr>
    </w:lvl>
    <w:lvl w:ilvl="3">
      <w:start w:val="1"/>
      <w:numFmt w:val="decimal"/>
      <w:isLgl w:val="false"/>
      <w:suff w:val="tab"/>
      <w:lvlText w:val="%4."/>
      <w:lvlJc w:val="left"/>
      <w:pPr>
        <w:pStyle w:val="995"/>
        <w:ind w:left="2520" w:hanging="420"/>
      </w:pPr>
    </w:lvl>
    <w:lvl w:ilvl="4">
      <w:start w:val="1"/>
      <w:numFmt w:val="lowerLetter"/>
      <w:isLgl w:val="false"/>
      <w:suff w:val="tab"/>
      <w:lvlText w:val="%5)"/>
      <w:lvlJc w:val="left"/>
      <w:pPr>
        <w:pStyle w:val="995"/>
        <w:ind w:left="2940" w:hanging="420"/>
      </w:pPr>
    </w:lvl>
    <w:lvl w:ilvl="5">
      <w:start w:val="1"/>
      <w:numFmt w:val="lowerRoman"/>
      <w:isLgl w:val="false"/>
      <w:suff w:val="tab"/>
      <w:lvlText w:val="%6."/>
      <w:lvlJc w:val="right"/>
      <w:pPr>
        <w:pStyle w:val="995"/>
        <w:ind w:left="3360" w:hanging="420"/>
      </w:pPr>
    </w:lvl>
    <w:lvl w:ilvl="6">
      <w:start w:val="1"/>
      <w:numFmt w:val="decimal"/>
      <w:isLgl w:val="false"/>
      <w:suff w:val="tab"/>
      <w:lvlText w:val="%7."/>
      <w:lvlJc w:val="left"/>
      <w:pPr>
        <w:pStyle w:val="995"/>
        <w:ind w:left="3780" w:hanging="420"/>
      </w:pPr>
    </w:lvl>
    <w:lvl w:ilvl="7">
      <w:start w:val="1"/>
      <w:numFmt w:val="lowerLetter"/>
      <w:isLgl w:val="false"/>
      <w:suff w:val="tab"/>
      <w:lvlText w:val="%8)"/>
      <w:lvlJc w:val="left"/>
      <w:pPr>
        <w:pStyle w:val="995"/>
        <w:ind w:left="4200" w:hanging="420"/>
      </w:pPr>
    </w:lvl>
    <w:lvl w:ilvl="8">
      <w:start w:val="1"/>
      <w:numFmt w:val="lowerRoman"/>
      <w:isLgl w:val="false"/>
      <w:suff w:val="tab"/>
      <w:lvlText w:val="%9."/>
      <w:lvlJc w:val="right"/>
      <w:pPr>
        <w:pStyle w:val="995"/>
        <w:ind w:left="4620" w:hanging="420"/>
      </w:pPr>
    </w:lvl>
  </w:abstractNum>
  <w:abstractNum w:abstractNumId="2">
    <w:multiLevelType w:val="hybridMultilevel"/>
    <w:lvl w:ilvl="0">
      <w:start w:val="1"/>
      <w:numFmt w:val="chineseCounting"/>
      <w:isLgl w:val="false"/>
      <w:suff w:val="nothing"/>
      <w:lvlText w:val="%1、"/>
      <w:lvlJc w:val="left"/>
      <w:pPr>
        <w:pStyle w:val="9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95"/>
        <w:ind w:left="1260" w:hanging="420"/>
      </w:pPr>
    </w:lvl>
    <w:lvl w:ilvl="1">
      <w:start w:val="1"/>
      <w:numFmt w:val="lowerLetter"/>
      <w:isLgl w:val="false"/>
      <w:suff w:val="tab"/>
      <w:lvlText w:val="%2)"/>
      <w:lvlJc w:val="left"/>
      <w:pPr>
        <w:pStyle w:val="995"/>
        <w:ind w:left="1680" w:hanging="420"/>
      </w:pPr>
    </w:lvl>
    <w:lvl w:ilvl="2">
      <w:start w:val="1"/>
      <w:numFmt w:val="lowerRoman"/>
      <w:isLgl w:val="false"/>
      <w:suff w:val="tab"/>
      <w:lvlText w:val="%3."/>
      <w:lvlJc w:val="right"/>
      <w:pPr>
        <w:pStyle w:val="995"/>
        <w:ind w:left="2100" w:hanging="420"/>
      </w:pPr>
    </w:lvl>
    <w:lvl w:ilvl="3">
      <w:start w:val="1"/>
      <w:numFmt w:val="decimal"/>
      <w:isLgl w:val="false"/>
      <w:suff w:val="tab"/>
      <w:lvlText w:val="%4."/>
      <w:lvlJc w:val="left"/>
      <w:pPr>
        <w:pStyle w:val="995"/>
        <w:ind w:left="2520" w:hanging="420"/>
      </w:pPr>
    </w:lvl>
    <w:lvl w:ilvl="4">
      <w:start w:val="1"/>
      <w:numFmt w:val="lowerLetter"/>
      <w:isLgl w:val="false"/>
      <w:suff w:val="tab"/>
      <w:lvlText w:val="%5)"/>
      <w:lvlJc w:val="left"/>
      <w:pPr>
        <w:pStyle w:val="995"/>
        <w:ind w:left="2940" w:hanging="420"/>
      </w:pPr>
    </w:lvl>
    <w:lvl w:ilvl="5">
      <w:start w:val="1"/>
      <w:numFmt w:val="lowerRoman"/>
      <w:isLgl w:val="false"/>
      <w:suff w:val="tab"/>
      <w:lvlText w:val="%6."/>
      <w:lvlJc w:val="right"/>
      <w:pPr>
        <w:pStyle w:val="995"/>
        <w:ind w:left="3360" w:hanging="420"/>
      </w:pPr>
    </w:lvl>
    <w:lvl w:ilvl="6">
      <w:start w:val="1"/>
      <w:numFmt w:val="decimal"/>
      <w:isLgl w:val="false"/>
      <w:suff w:val="tab"/>
      <w:lvlText w:val="%7."/>
      <w:lvlJc w:val="left"/>
      <w:pPr>
        <w:pStyle w:val="995"/>
        <w:ind w:left="3780" w:hanging="420"/>
      </w:pPr>
    </w:lvl>
    <w:lvl w:ilvl="7">
      <w:start w:val="1"/>
      <w:numFmt w:val="lowerLetter"/>
      <w:isLgl w:val="false"/>
      <w:suff w:val="tab"/>
      <w:lvlText w:val="%8)"/>
      <w:lvlJc w:val="left"/>
      <w:pPr>
        <w:pStyle w:val="995"/>
        <w:ind w:left="4200" w:hanging="420"/>
      </w:pPr>
    </w:lvl>
    <w:lvl w:ilvl="8">
      <w:start w:val="1"/>
      <w:numFmt w:val="lowerRoman"/>
      <w:isLgl w:val="false"/>
      <w:suff w:val="tab"/>
      <w:lvlText w:val="%9."/>
      <w:lvlJc w:val="right"/>
      <w:pPr>
        <w:pStyle w:val="995"/>
        <w:ind w:left="4620" w:hanging="420"/>
      </w:pPr>
    </w:lvl>
  </w:abstractNum>
  <w:abstractNum w:abstractNumId="4">
    <w:multiLevelType w:val="hybridMultilevel"/>
    <w:lvl w:ilvl="0">
      <w:start w:val="1"/>
      <w:numFmt w:val="decimal"/>
      <w:isLgl w:val="false"/>
      <w:suff w:val="tab"/>
      <w:lvlText w:val="%1."/>
      <w:lvlJc w:val="left"/>
      <w:pPr>
        <w:pStyle w:val="995"/>
        <w:ind w:left="840" w:hanging="420"/>
      </w:pPr>
      <w:rPr>
        <w:rFonts w:hint="eastAsia"/>
      </w:rPr>
    </w:lvl>
    <w:lvl w:ilvl="1">
      <w:start w:val="1"/>
      <w:numFmt w:val="lowerLetter"/>
      <w:isLgl w:val="false"/>
      <w:suff w:val="tab"/>
      <w:lvlText w:val="%2)"/>
      <w:lvlJc w:val="left"/>
      <w:pPr>
        <w:pStyle w:val="995"/>
        <w:ind w:left="1260" w:hanging="420"/>
      </w:pPr>
    </w:lvl>
    <w:lvl w:ilvl="2">
      <w:start w:val="1"/>
      <w:numFmt w:val="lowerRoman"/>
      <w:isLgl w:val="false"/>
      <w:suff w:val="tab"/>
      <w:lvlText w:val="%3."/>
      <w:lvlJc w:val="right"/>
      <w:pPr>
        <w:pStyle w:val="995"/>
        <w:ind w:left="1680" w:hanging="420"/>
      </w:pPr>
    </w:lvl>
    <w:lvl w:ilvl="3">
      <w:start w:val="1"/>
      <w:numFmt w:val="decimal"/>
      <w:isLgl w:val="false"/>
      <w:suff w:val="tab"/>
      <w:lvlText w:val="%4."/>
      <w:lvlJc w:val="left"/>
      <w:pPr>
        <w:pStyle w:val="995"/>
        <w:ind w:left="2100" w:hanging="420"/>
      </w:pPr>
    </w:lvl>
    <w:lvl w:ilvl="4">
      <w:start w:val="1"/>
      <w:numFmt w:val="lowerLetter"/>
      <w:isLgl w:val="false"/>
      <w:suff w:val="tab"/>
      <w:lvlText w:val="%5)"/>
      <w:lvlJc w:val="left"/>
      <w:pPr>
        <w:pStyle w:val="995"/>
        <w:ind w:left="2520" w:hanging="420"/>
      </w:pPr>
    </w:lvl>
    <w:lvl w:ilvl="5">
      <w:start w:val="1"/>
      <w:numFmt w:val="lowerRoman"/>
      <w:isLgl w:val="false"/>
      <w:suff w:val="tab"/>
      <w:lvlText w:val="%6."/>
      <w:lvlJc w:val="right"/>
      <w:pPr>
        <w:pStyle w:val="995"/>
        <w:ind w:left="2940" w:hanging="420"/>
      </w:pPr>
    </w:lvl>
    <w:lvl w:ilvl="6">
      <w:start w:val="1"/>
      <w:numFmt w:val="decimal"/>
      <w:isLgl w:val="false"/>
      <w:suff w:val="tab"/>
      <w:lvlText w:val="%7."/>
      <w:lvlJc w:val="left"/>
      <w:pPr>
        <w:pStyle w:val="995"/>
        <w:ind w:left="3360" w:hanging="420"/>
      </w:pPr>
    </w:lvl>
    <w:lvl w:ilvl="7">
      <w:start w:val="1"/>
      <w:numFmt w:val="lowerLetter"/>
      <w:isLgl w:val="false"/>
      <w:suff w:val="tab"/>
      <w:lvlText w:val="%8)"/>
      <w:lvlJc w:val="left"/>
      <w:pPr>
        <w:pStyle w:val="995"/>
        <w:ind w:left="3780" w:hanging="420"/>
      </w:pPr>
    </w:lvl>
    <w:lvl w:ilvl="8">
      <w:start w:val="1"/>
      <w:numFmt w:val="lowerRoman"/>
      <w:isLgl w:val="false"/>
      <w:suff w:val="tab"/>
      <w:lvlText w:val="%9."/>
      <w:lvlJc w:val="right"/>
      <w:pPr>
        <w:pStyle w:val="995"/>
        <w:ind w:left="4200" w:hanging="420"/>
      </w:pPr>
    </w:lvl>
  </w:abstractNum>
  <w:abstractNum w:abstractNumId="5">
    <w:multiLevelType w:val="hybridMultilevel"/>
    <w:lvl w:ilvl="0">
      <w:start w:val="1"/>
      <w:numFmt w:val="chineseCountingThousand"/>
      <w:isLgl w:val="false"/>
      <w:suff w:val="tab"/>
      <w:lvlText w:val="%1、"/>
      <w:lvlJc w:val="left"/>
      <w:pPr>
        <w:pStyle w:val="995"/>
        <w:ind w:left="420" w:hanging="420"/>
      </w:pPr>
    </w:lvl>
    <w:lvl w:ilvl="1">
      <w:start w:val="1"/>
      <w:numFmt w:val="lowerLetter"/>
      <w:isLgl w:val="false"/>
      <w:suff w:val="tab"/>
      <w:lvlText w:val="%2)"/>
      <w:lvlJc w:val="left"/>
      <w:pPr>
        <w:pStyle w:val="995"/>
        <w:ind w:left="840" w:hanging="420"/>
      </w:pPr>
    </w:lvl>
    <w:lvl w:ilvl="2">
      <w:start w:val="1"/>
      <w:numFmt w:val="lowerRoman"/>
      <w:isLgl w:val="false"/>
      <w:suff w:val="tab"/>
      <w:lvlText w:val="%3."/>
      <w:lvlJc w:val="right"/>
      <w:pPr>
        <w:pStyle w:val="995"/>
        <w:ind w:left="1260" w:hanging="420"/>
      </w:pPr>
    </w:lvl>
    <w:lvl w:ilvl="3">
      <w:start w:val="1"/>
      <w:numFmt w:val="decimal"/>
      <w:isLgl w:val="false"/>
      <w:suff w:val="tab"/>
      <w:lvlText w:val="%4."/>
      <w:lvlJc w:val="left"/>
      <w:pPr>
        <w:pStyle w:val="995"/>
        <w:ind w:left="1680" w:hanging="420"/>
      </w:pPr>
    </w:lvl>
    <w:lvl w:ilvl="4">
      <w:start w:val="1"/>
      <w:numFmt w:val="lowerLetter"/>
      <w:isLgl w:val="false"/>
      <w:suff w:val="tab"/>
      <w:lvlText w:val="%5)"/>
      <w:lvlJc w:val="left"/>
      <w:pPr>
        <w:pStyle w:val="995"/>
        <w:ind w:left="2100" w:hanging="420"/>
      </w:pPr>
    </w:lvl>
    <w:lvl w:ilvl="5">
      <w:start w:val="1"/>
      <w:numFmt w:val="lowerRoman"/>
      <w:isLgl w:val="false"/>
      <w:suff w:val="tab"/>
      <w:lvlText w:val="%6."/>
      <w:lvlJc w:val="right"/>
      <w:pPr>
        <w:pStyle w:val="995"/>
        <w:ind w:left="2520" w:hanging="420"/>
      </w:pPr>
    </w:lvl>
    <w:lvl w:ilvl="6">
      <w:start w:val="1"/>
      <w:numFmt w:val="decimal"/>
      <w:isLgl w:val="false"/>
      <w:suff w:val="tab"/>
      <w:lvlText w:val="%7."/>
      <w:lvlJc w:val="left"/>
      <w:pPr>
        <w:pStyle w:val="995"/>
        <w:ind w:left="2940" w:hanging="420"/>
      </w:pPr>
    </w:lvl>
    <w:lvl w:ilvl="7">
      <w:start w:val="1"/>
      <w:numFmt w:val="lowerLetter"/>
      <w:isLgl w:val="false"/>
      <w:suff w:val="tab"/>
      <w:lvlText w:val="%8)"/>
      <w:lvlJc w:val="left"/>
      <w:pPr>
        <w:pStyle w:val="995"/>
        <w:ind w:left="3360" w:hanging="420"/>
      </w:pPr>
    </w:lvl>
    <w:lvl w:ilvl="8">
      <w:start w:val="1"/>
      <w:numFmt w:val="lowerRoman"/>
      <w:isLgl w:val="false"/>
      <w:suff w:val="tab"/>
      <w:lvlText w:val="%9."/>
      <w:lvlJc w:val="right"/>
      <w:pPr>
        <w:pStyle w:val="995"/>
        <w:ind w:left="3780" w:hanging="420"/>
      </w:pPr>
    </w:lvl>
  </w:abstractNum>
  <w:abstractNum w:abstractNumId="6">
    <w:multiLevelType w:val="hybridMultilevel"/>
    <w:lvl w:ilvl="0">
      <w:start w:val="1"/>
      <w:numFmt w:val="decimal"/>
      <w:isLgl w:val="false"/>
      <w:suff w:val="nothing"/>
      <w:lvlText w:val="%1、"/>
      <w:lvlJc w:val="left"/>
      <w:pPr>
        <w:pStyle w:val="9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95"/>
        <w:ind w:left="840" w:hanging="420"/>
      </w:pPr>
      <w:rPr>
        <w:rFonts w:hint="eastAsia"/>
      </w:rPr>
    </w:lvl>
    <w:lvl w:ilvl="1">
      <w:start w:val="1"/>
      <w:numFmt w:val="lowerLetter"/>
      <w:isLgl w:val="false"/>
      <w:suff w:val="tab"/>
      <w:lvlText w:val="%2)"/>
      <w:lvlJc w:val="left"/>
      <w:pPr>
        <w:pStyle w:val="995"/>
        <w:ind w:left="1260" w:hanging="420"/>
      </w:pPr>
    </w:lvl>
    <w:lvl w:ilvl="2">
      <w:start w:val="1"/>
      <w:numFmt w:val="lowerRoman"/>
      <w:isLgl w:val="false"/>
      <w:suff w:val="tab"/>
      <w:lvlText w:val="%3."/>
      <w:lvlJc w:val="right"/>
      <w:pPr>
        <w:pStyle w:val="995"/>
        <w:ind w:left="1680" w:hanging="420"/>
      </w:pPr>
    </w:lvl>
    <w:lvl w:ilvl="3">
      <w:start w:val="1"/>
      <w:numFmt w:val="decimal"/>
      <w:isLgl w:val="false"/>
      <w:suff w:val="tab"/>
      <w:lvlText w:val="%4."/>
      <w:lvlJc w:val="left"/>
      <w:pPr>
        <w:pStyle w:val="995"/>
        <w:ind w:left="2100" w:hanging="420"/>
      </w:pPr>
    </w:lvl>
    <w:lvl w:ilvl="4">
      <w:start w:val="1"/>
      <w:numFmt w:val="lowerLetter"/>
      <w:isLgl w:val="false"/>
      <w:suff w:val="tab"/>
      <w:lvlText w:val="%5)"/>
      <w:lvlJc w:val="left"/>
      <w:pPr>
        <w:pStyle w:val="995"/>
        <w:ind w:left="2520" w:hanging="420"/>
      </w:pPr>
    </w:lvl>
    <w:lvl w:ilvl="5">
      <w:start w:val="1"/>
      <w:numFmt w:val="lowerRoman"/>
      <w:isLgl w:val="false"/>
      <w:suff w:val="tab"/>
      <w:lvlText w:val="%6."/>
      <w:lvlJc w:val="right"/>
      <w:pPr>
        <w:pStyle w:val="995"/>
        <w:ind w:left="2940" w:hanging="420"/>
      </w:pPr>
    </w:lvl>
    <w:lvl w:ilvl="6">
      <w:start w:val="1"/>
      <w:numFmt w:val="decimal"/>
      <w:isLgl w:val="false"/>
      <w:suff w:val="tab"/>
      <w:lvlText w:val="%7."/>
      <w:lvlJc w:val="left"/>
      <w:pPr>
        <w:pStyle w:val="995"/>
        <w:ind w:left="3360" w:hanging="420"/>
      </w:pPr>
    </w:lvl>
    <w:lvl w:ilvl="7">
      <w:start w:val="1"/>
      <w:numFmt w:val="lowerLetter"/>
      <w:isLgl w:val="false"/>
      <w:suff w:val="tab"/>
      <w:lvlText w:val="%8)"/>
      <w:lvlJc w:val="left"/>
      <w:pPr>
        <w:pStyle w:val="995"/>
        <w:ind w:left="3780" w:hanging="420"/>
      </w:pPr>
    </w:lvl>
    <w:lvl w:ilvl="8">
      <w:start w:val="1"/>
      <w:numFmt w:val="lowerRoman"/>
      <w:isLgl w:val="false"/>
      <w:suff w:val="tab"/>
      <w:lvlText w:val="%9."/>
      <w:lvlJc w:val="right"/>
      <w:pPr>
        <w:pStyle w:val="995"/>
        <w:ind w:left="4200" w:hanging="420"/>
      </w:pPr>
    </w:lvl>
  </w:abstractNum>
  <w:abstractNum w:abstractNumId="8">
    <w:multiLevelType w:val="hybridMultilevel"/>
    <w:lvl w:ilvl="0">
      <w:start w:val="1"/>
      <w:numFmt w:val="decimal"/>
      <w:isLgl w:val="false"/>
      <w:suff w:val="tab"/>
      <w:lvlText w:val="%1."/>
      <w:lvlJc w:val="left"/>
      <w:pPr>
        <w:pStyle w:val="995"/>
        <w:ind w:left="851" w:hanging="425"/>
      </w:pPr>
      <w:rPr>
        <w:b w:val="0"/>
      </w:rPr>
    </w:lvl>
    <w:lvl w:ilvl="1">
      <w:start w:val="1"/>
      <w:numFmt w:val="decimal"/>
      <w:isLgl w:val="false"/>
      <w:suff w:val="tab"/>
      <w:lvlText w:val="%1.%2."/>
      <w:lvlJc w:val="left"/>
      <w:pPr>
        <w:pStyle w:val="995"/>
        <w:ind w:left="567" w:hanging="567"/>
      </w:pPr>
    </w:lvl>
    <w:lvl w:ilvl="2">
      <w:start w:val="1"/>
      <w:numFmt w:val="decimal"/>
      <w:isLgl w:val="false"/>
      <w:suff w:val="tab"/>
      <w:lvlText w:val="%1.%2.%3."/>
      <w:lvlJc w:val="left"/>
      <w:pPr>
        <w:pStyle w:val="995"/>
        <w:ind w:left="709" w:hanging="709"/>
      </w:pPr>
    </w:lvl>
    <w:lvl w:ilvl="3">
      <w:start w:val="1"/>
      <w:numFmt w:val="decimal"/>
      <w:isLgl w:val="false"/>
      <w:suff w:val="tab"/>
      <w:lvlText w:val="%1.%2.%3.%4."/>
      <w:lvlJc w:val="left"/>
      <w:pPr>
        <w:pStyle w:val="995"/>
        <w:ind w:left="851" w:hanging="851"/>
      </w:pPr>
    </w:lvl>
    <w:lvl w:ilvl="4">
      <w:start w:val="1"/>
      <w:numFmt w:val="decimal"/>
      <w:isLgl w:val="false"/>
      <w:suff w:val="tab"/>
      <w:lvlText w:val="%1.%2.%3.%4.%5."/>
      <w:lvlJc w:val="left"/>
      <w:pPr>
        <w:pStyle w:val="995"/>
        <w:ind w:left="992" w:hanging="992"/>
      </w:pPr>
    </w:lvl>
    <w:lvl w:ilvl="5">
      <w:start w:val="1"/>
      <w:numFmt w:val="decimal"/>
      <w:isLgl w:val="false"/>
      <w:suff w:val="tab"/>
      <w:lvlText w:val="%1.%2.%3.%4.%5.%6."/>
      <w:lvlJc w:val="left"/>
      <w:pPr>
        <w:pStyle w:val="995"/>
        <w:ind w:left="1134" w:hanging="1134"/>
      </w:pPr>
    </w:lvl>
    <w:lvl w:ilvl="6">
      <w:start w:val="1"/>
      <w:numFmt w:val="decimal"/>
      <w:isLgl w:val="false"/>
      <w:suff w:val="tab"/>
      <w:lvlText w:val="%1.%2.%3.%4.%5.%6.%7."/>
      <w:lvlJc w:val="left"/>
      <w:pPr>
        <w:pStyle w:val="995"/>
        <w:ind w:left="1276" w:hanging="1276"/>
      </w:pPr>
    </w:lvl>
    <w:lvl w:ilvl="7">
      <w:start w:val="1"/>
      <w:numFmt w:val="decimal"/>
      <w:isLgl w:val="false"/>
      <w:suff w:val="tab"/>
      <w:lvlText w:val="%1.%2.%3.%4.%5.%6.%7.%8."/>
      <w:lvlJc w:val="left"/>
      <w:pPr>
        <w:pStyle w:val="995"/>
        <w:ind w:left="1418" w:hanging="1418"/>
      </w:pPr>
    </w:lvl>
    <w:lvl w:ilvl="8">
      <w:start w:val="1"/>
      <w:numFmt w:val="decimal"/>
      <w:isLgl w:val="false"/>
      <w:suff w:val="tab"/>
      <w:lvlText w:val="%1.%2.%3.%4.%5.%6.%7.%8.%9."/>
      <w:lvlJc w:val="left"/>
      <w:pPr>
        <w:pStyle w:val="995"/>
        <w:ind w:left="1559" w:hanging="1559"/>
      </w:pPr>
    </w:lvl>
  </w:abstractNum>
  <w:abstractNum w:abstractNumId="9">
    <w:multiLevelType w:val="hybridMultilevel"/>
    <w:lvl w:ilvl="0">
      <w:start w:val="1"/>
      <w:numFmt w:val="decimal"/>
      <w:isLgl w:val="false"/>
      <w:suff w:val="tab"/>
      <w:lvlText w:val="（%1）"/>
      <w:lvlJc w:val="left"/>
      <w:pPr>
        <w:pStyle w:val="995"/>
        <w:ind w:left="-420" w:hanging="420"/>
      </w:pPr>
      <w:rPr>
        <w:rFonts w:ascii="宋体" w:hAnsi="宋体"/>
      </w:rPr>
    </w:lvl>
    <w:lvl w:ilvl="1">
      <w:start w:val="1"/>
      <w:numFmt w:val="lowerLetter"/>
      <w:isLgl w:val="false"/>
      <w:suff w:val="tab"/>
      <w:lvlText w:val="%2)"/>
      <w:lvlJc w:val="left"/>
      <w:pPr>
        <w:pStyle w:val="995"/>
        <w:ind w:left="420" w:hanging="420"/>
      </w:pPr>
      <w:rPr>
        <w:rFonts w:ascii="宋体" w:hAnsi="宋体"/>
      </w:rPr>
    </w:lvl>
    <w:lvl w:ilvl="2">
      <w:start w:val="1"/>
      <w:numFmt w:val="lowerRoman"/>
      <w:isLgl w:val="false"/>
      <w:suff w:val="tab"/>
      <w:lvlText w:val="%3."/>
      <w:lvlJc w:val="right"/>
      <w:pPr>
        <w:pStyle w:val="995"/>
        <w:ind w:left="840" w:hanging="420"/>
      </w:pPr>
      <w:rPr>
        <w:rFonts w:ascii="宋体" w:hAnsi="宋体"/>
      </w:rPr>
    </w:lvl>
    <w:lvl w:ilvl="3">
      <w:start w:val="1"/>
      <w:numFmt w:val="decimal"/>
      <w:isLgl w:val="false"/>
      <w:suff w:val="tab"/>
      <w:lvlText w:val="%4."/>
      <w:lvlJc w:val="left"/>
      <w:pPr>
        <w:pStyle w:val="995"/>
        <w:ind w:left="1260" w:hanging="420"/>
      </w:pPr>
      <w:rPr>
        <w:rFonts w:ascii="宋体" w:hAnsi="宋体"/>
      </w:rPr>
    </w:lvl>
    <w:lvl w:ilvl="4">
      <w:start w:val="1"/>
      <w:numFmt w:val="lowerLetter"/>
      <w:isLgl w:val="false"/>
      <w:suff w:val="tab"/>
      <w:lvlText w:val="%5)"/>
      <w:lvlJc w:val="left"/>
      <w:pPr>
        <w:pStyle w:val="995"/>
        <w:ind w:left="1680" w:hanging="420"/>
      </w:pPr>
      <w:rPr>
        <w:rFonts w:ascii="宋体" w:hAnsi="宋体"/>
      </w:rPr>
    </w:lvl>
    <w:lvl w:ilvl="5">
      <w:start w:val="1"/>
      <w:numFmt w:val="lowerRoman"/>
      <w:isLgl w:val="false"/>
      <w:suff w:val="tab"/>
      <w:lvlText w:val="%6."/>
      <w:lvlJc w:val="right"/>
      <w:pPr>
        <w:pStyle w:val="995"/>
        <w:ind w:left="2100" w:hanging="420"/>
      </w:pPr>
      <w:rPr>
        <w:rFonts w:ascii="宋体" w:hAnsi="宋体"/>
      </w:rPr>
    </w:lvl>
    <w:lvl w:ilvl="6">
      <w:start w:val="1"/>
      <w:numFmt w:val="decimal"/>
      <w:isLgl w:val="false"/>
      <w:suff w:val="tab"/>
      <w:lvlText w:val="%7."/>
      <w:lvlJc w:val="left"/>
      <w:pPr>
        <w:pStyle w:val="995"/>
        <w:ind w:left="2520" w:hanging="420"/>
      </w:pPr>
      <w:rPr>
        <w:rFonts w:ascii="宋体" w:hAnsi="宋体"/>
      </w:rPr>
    </w:lvl>
    <w:lvl w:ilvl="7">
      <w:start w:val="1"/>
      <w:numFmt w:val="lowerLetter"/>
      <w:isLgl w:val="false"/>
      <w:suff w:val="tab"/>
      <w:lvlText w:val="%8)"/>
      <w:lvlJc w:val="left"/>
      <w:pPr>
        <w:pStyle w:val="995"/>
        <w:ind w:left="2940" w:hanging="420"/>
      </w:pPr>
      <w:rPr>
        <w:rFonts w:ascii="宋体" w:hAnsi="宋体"/>
      </w:rPr>
    </w:lvl>
    <w:lvl w:ilvl="8">
      <w:start w:val="1"/>
      <w:numFmt w:val="lowerRoman"/>
      <w:isLgl w:val="false"/>
      <w:suff w:val="tab"/>
      <w:lvlText w:val="%9."/>
      <w:lvlJc w:val="right"/>
      <w:pPr>
        <w:pStyle w:val="995"/>
        <w:ind w:left="3360" w:hanging="420"/>
      </w:pPr>
      <w:rPr>
        <w:rFonts w:ascii="宋体" w:hAnsi="宋体"/>
      </w:rPr>
    </w:lvl>
  </w:abstractNum>
  <w:abstractNum w:abstractNumId="10">
    <w:multiLevelType w:val="hybridMultilevel"/>
    <w:lvl w:ilvl="0">
      <w:start w:val="1"/>
      <w:numFmt w:val="chineseCounting"/>
      <w:isLgl w:val="false"/>
      <w:suff w:val="nothing"/>
      <w:lvlText w:val="%1、"/>
      <w:lvlJc w:val="left"/>
      <w:pPr>
        <w:pStyle w:val="9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95"/>
        <w:ind w:left="1260" w:hanging="420"/>
      </w:pPr>
    </w:lvl>
    <w:lvl w:ilvl="1">
      <w:start w:val="1"/>
      <w:numFmt w:val="lowerLetter"/>
      <w:isLgl w:val="false"/>
      <w:suff w:val="tab"/>
      <w:lvlText w:val="%2)"/>
      <w:lvlJc w:val="left"/>
      <w:pPr>
        <w:pStyle w:val="995"/>
        <w:ind w:left="1680" w:hanging="420"/>
      </w:pPr>
    </w:lvl>
    <w:lvl w:ilvl="2">
      <w:start w:val="1"/>
      <w:numFmt w:val="lowerRoman"/>
      <w:isLgl w:val="false"/>
      <w:suff w:val="tab"/>
      <w:lvlText w:val="%3."/>
      <w:lvlJc w:val="right"/>
      <w:pPr>
        <w:pStyle w:val="995"/>
        <w:ind w:left="2100" w:hanging="420"/>
      </w:pPr>
    </w:lvl>
    <w:lvl w:ilvl="3">
      <w:start w:val="1"/>
      <w:numFmt w:val="decimal"/>
      <w:isLgl w:val="false"/>
      <w:suff w:val="tab"/>
      <w:lvlText w:val="%4."/>
      <w:lvlJc w:val="left"/>
      <w:pPr>
        <w:pStyle w:val="995"/>
        <w:ind w:left="2520" w:hanging="420"/>
      </w:pPr>
    </w:lvl>
    <w:lvl w:ilvl="4">
      <w:start w:val="1"/>
      <w:numFmt w:val="lowerLetter"/>
      <w:isLgl w:val="false"/>
      <w:suff w:val="tab"/>
      <w:lvlText w:val="%5)"/>
      <w:lvlJc w:val="left"/>
      <w:pPr>
        <w:pStyle w:val="995"/>
        <w:ind w:left="2940" w:hanging="420"/>
      </w:pPr>
    </w:lvl>
    <w:lvl w:ilvl="5">
      <w:start w:val="1"/>
      <w:numFmt w:val="lowerRoman"/>
      <w:isLgl w:val="false"/>
      <w:suff w:val="tab"/>
      <w:lvlText w:val="%6."/>
      <w:lvlJc w:val="right"/>
      <w:pPr>
        <w:pStyle w:val="995"/>
        <w:ind w:left="3360" w:hanging="420"/>
      </w:pPr>
    </w:lvl>
    <w:lvl w:ilvl="6">
      <w:start w:val="1"/>
      <w:numFmt w:val="decimal"/>
      <w:isLgl w:val="false"/>
      <w:suff w:val="tab"/>
      <w:lvlText w:val="%7."/>
      <w:lvlJc w:val="left"/>
      <w:pPr>
        <w:pStyle w:val="995"/>
        <w:ind w:left="3780" w:hanging="420"/>
      </w:pPr>
    </w:lvl>
    <w:lvl w:ilvl="7">
      <w:start w:val="1"/>
      <w:numFmt w:val="lowerLetter"/>
      <w:isLgl w:val="false"/>
      <w:suff w:val="tab"/>
      <w:lvlText w:val="%8)"/>
      <w:lvlJc w:val="left"/>
      <w:pPr>
        <w:pStyle w:val="995"/>
        <w:ind w:left="4200" w:hanging="420"/>
      </w:pPr>
    </w:lvl>
    <w:lvl w:ilvl="8">
      <w:start w:val="1"/>
      <w:numFmt w:val="lowerRoman"/>
      <w:isLgl w:val="false"/>
      <w:suff w:val="tab"/>
      <w:lvlText w:val="%9."/>
      <w:lvlJc w:val="right"/>
      <w:pPr>
        <w:pStyle w:val="995"/>
        <w:ind w:left="4620" w:hanging="420"/>
      </w:pPr>
    </w:lvl>
  </w:abstractNum>
  <w:abstractNum w:abstractNumId="13">
    <w:multiLevelType w:val="hybridMultilevel"/>
    <w:lvl w:ilvl="0">
      <w:start w:val="1"/>
      <w:numFmt w:val="decimal"/>
      <w:isLgl w:val="false"/>
      <w:suff w:val="tab"/>
      <w:lvlText w:val="%1."/>
      <w:lvlJc w:val="left"/>
      <w:pPr>
        <w:pStyle w:val="995"/>
        <w:ind w:left="420" w:hanging="420"/>
      </w:pPr>
    </w:lvl>
    <w:lvl w:ilvl="1">
      <w:start w:val="1"/>
      <w:numFmt w:val="lowerLetter"/>
      <w:isLgl w:val="false"/>
      <w:suff w:val="tab"/>
      <w:lvlText w:val="%2)"/>
      <w:lvlJc w:val="left"/>
      <w:pPr>
        <w:pStyle w:val="995"/>
        <w:ind w:left="840" w:hanging="420"/>
      </w:pPr>
    </w:lvl>
    <w:lvl w:ilvl="2">
      <w:start w:val="1"/>
      <w:numFmt w:val="lowerRoman"/>
      <w:isLgl w:val="false"/>
      <w:suff w:val="tab"/>
      <w:lvlText w:val="%3."/>
      <w:lvlJc w:val="right"/>
      <w:pPr>
        <w:pStyle w:val="995"/>
        <w:ind w:left="1260" w:hanging="420"/>
      </w:pPr>
    </w:lvl>
    <w:lvl w:ilvl="3">
      <w:start w:val="1"/>
      <w:numFmt w:val="decimal"/>
      <w:isLgl w:val="false"/>
      <w:suff w:val="tab"/>
      <w:lvlText w:val="%4."/>
      <w:lvlJc w:val="left"/>
      <w:pPr>
        <w:pStyle w:val="995"/>
        <w:ind w:left="1680" w:hanging="420"/>
      </w:pPr>
    </w:lvl>
    <w:lvl w:ilvl="4">
      <w:start w:val="1"/>
      <w:numFmt w:val="lowerLetter"/>
      <w:isLgl w:val="false"/>
      <w:suff w:val="tab"/>
      <w:lvlText w:val="%5)"/>
      <w:lvlJc w:val="left"/>
      <w:pPr>
        <w:pStyle w:val="995"/>
        <w:ind w:left="2100" w:hanging="420"/>
      </w:pPr>
    </w:lvl>
    <w:lvl w:ilvl="5">
      <w:start w:val="1"/>
      <w:numFmt w:val="lowerRoman"/>
      <w:isLgl w:val="false"/>
      <w:suff w:val="tab"/>
      <w:lvlText w:val="%6."/>
      <w:lvlJc w:val="right"/>
      <w:pPr>
        <w:pStyle w:val="995"/>
        <w:ind w:left="2520" w:hanging="420"/>
      </w:pPr>
    </w:lvl>
    <w:lvl w:ilvl="6">
      <w:start w:val="1"/>
      <w:numFmt w:val="decimal"/>
      <w:isLgl w:val="false"/>
      <w:suff w:val="tab"/>
      <w:lvlText w:val="%7."/>
      <w:lvlJc w:val="left"/>
      <w:pPr>
        <w:pStyle w:val="995"/>
        <w:ind w:left="2940" w:hanging="420"/>
      </w:pPr>
    </w:lvl>
    <w:lvl w:ilvl="7">
      <w:start w:val="1"/>
      <w:numFmt w:val="lowerLetter"/>
      <w:isLgl w:val="false"/>
      <w:suff w:val="tab"/>
      <w:lvlText w:val="%8)"/>
      <w:lvlJc w:val="left"/>
      <w:pPr>
        <w:pStyle w:val="995"/>
        <w:ind w:left="3360" w:hanging="420"/>
      </w:pPr>
    </w:lvl>
    <w:lvl w:ilvl="8">
      <w:start w:val="1"/>
      <w:numFmt w:val="lowerRoman"/>
      <w:isLgl w:val="false"/>
      <w:suff w:val="tab"/>
      <w:lvlText w:val="%9."/>
      <w:lvlJc w:val="right"/>
      <w:pPr>
        <w:pStyle w:val="995"/>
        <w:ind w:left="3780" w:hanging="420"/>
      </w:pPr>
    </w:lvl>
  </w:abstractNum>
  <w:num w:numId="1">
    <w:abstractNumId w:val="2"/>
  </w:num>
  <w:num w:numId="2">
    <w:abstractNumId w:val="10"/>
  </w:num>
  <w:num w:numId="3">
    <w:abstractNumId w:val="13"/>
  </w:num>
  <w:num w:numId="4">
    <w:abstractNumId w:val="5"/>
  </w:num>
  <w:num w:numId="5">
    <w:abstractNumId w:val="4"/>
  </w:num>
  <w:num w:numId="6">
    <w:abstractNumId w:val="12"/>
  </w:num>
  <w:num w:numId="7">
    <w:abstractNumId w:val="3"/>
  </w:num>
  <w:num w:numId="8">
    <w:abstractNumId w:val="1"/>
  </w:num>
  <w:num w:numId="9">
    <w:abstractNumId w:val="7"/>
  </w:num>
  <w:num w:numId="10">
    <w:abstractNumId w:val="8"/>
  </w:num>
  <w:num w:numId="11">
    <w:abstractNumId w:val="9"/>
  </w:num>
  <w:num w:numId="12">
    <w:abstractNumId w:val="0"/>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Heading 1"/>
    <w:basedOn w:val="995"/>
    <w:next w:val="995"/>
    <w:link w:val="819"/>
    <w:uiPriority w:val="9"/>
    <w:qFormat/>
    <w:pPr>
      <w:keepLines/>
      <w:keepNext/>
      <w:spacing w:before="480" w:after="200"/>
      <w:outlineLvl w:val="0"/>
    </w:pPr>
    <w:rPr>
      <w:rFonts w:ascii="Arial" w:hAnsi="Arial" w:eastAsia="Arial" w:cs="Arial"/>
      <w:sz w:val="40"/>
      <w:szCs w:val="40"/>
    </w:rPr>
  </w:style>
  <w:style w:type="character" w:styleId="819">
    <w:name w:val="Heading 1 Char"/>
    <w:link w:val="818"/>
    <w:uiPriority w:val="9"/>
    <w:rPr>
      <w:rFonts w:ascii="Arial" w:hAnsi="Arial" w:eastAsia="Arial" w:cs="Arial"/>
      <w:sz w:val="40"/>
      <w:szCs w:val="40"/>
    </w:rPr>
  </w:style>
  <w:style w:type="paragraph" w:styleId="820">
    <w:name w:val="Heading 2"/>
    <w:basedOn w:val="995"/>
    <w:next w:val="995"/>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link w:val="820"/>
    <w:uiPriority w:val="9"/>
    <w:rPr>
      <w:rFonts w:ascii="Arial" w:hAnsi="Arial" w:eastAsia="Arial" w:cs="Arial"/>
      <w:sz w:val="34"/>
    </w:rPr>
  </w:style>
  <w:style w:type="paragraph" w:styleId="822">
    <w:name w:val="Heading 3"/>
    <w:basedOn w:val="995"/>
    <w:next w:val="995"/>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link w:val="822"/>
    <w:uiPriority w:val="9"/>
    <w:rPr>
      <w:rFonts w:ascii="Arial" w:hAnsi="Arial" w:eastAsia="Arial" w:cs="Arial"/>
      <w:sz w:val="30"/>
      <w:szCs w:val="30"/>
    </w:rPr>
  </w:style>
  <w:style w:type="paragraph" w:styleId="824">
    <w:name w:val="Heading 4"/>
    <w:basedOn w:val="995"/>
    <w:next w:val="995"/>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995"/>
    <w:next w:val="995"/>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995"/>
    <w:next w:val="995"/>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995"/>
    <w:next w:val="995"/>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995"/>
    <w:next w:val="995"/>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995"/>
    <w:next w:val="995"/>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No Spacing"/>
    <w:uiPriority w:val="1"/>
    <w:qFormat/>
    <w:pPr>
      <w:spacing w:before="0" w:after="0" w:line="240" w:lineRule="auto"/>
    </w:pPr>
  </w:style>
  <w:style w:type="paragraph" w:styleId="837">
    <w:name w:val="Title"/>
    <w:basedOn w:val="995"/>
    <w:next w:val="995"/>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995"/>
    <w:next w:val="995"/>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995"/>
    <w:next w:val="995"/>
    <w:link w:val="842"/>
    <w:uiPriority w:val="29"/>
    <w:qFormat/>
    <w:pPr>
      <w:ind w:left="720" w:right="720"/>
    </w:pPr>
    <w:rPr>
      <w:i/>
    </w:rPr>
  </w:style>
  <w:style w:type="character" w:styleId="842">
    <w:name w:val="Quote Char"/>
    <w:link w:val="841"/>
    <w:uiPriority w:val="29"/>
    <w:rPr>
      <w:i/>
    </w:rPr>
  </w:style>
  <w:style w:type="paragraph" w:styleId="843">
    <w:name w:val="Intense Quote"/>
    <w:basedOn w:val="995"/>
    <w:next w:val="995"/>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995"/>
    <w:link w:val="846"/>
    <w:uiPriority w:val="99"/>
    <w:unhideWhenUsed/>
    <w:pPr>
      <w:spacing w:after="0" w:line="240" w:lineRule="auto"/>
      <w:tabs>
        <w:tab w:val="center" w:pos="7143" w:leader="none"/>
        <w:tab w:val="right" w:pos="14287" w:leader="none"/>
      </w:tabs>
    </w:pPr>
  </w:style>
  <w:style w:type="character" w:styleId="846">
    <w:name w:val="Header Char"/>
    <w:link w:val="845"/>
    <w:uiPriority w:val="99"/>
  </w:style>
  <w:style w:type="paragraph" w:styleId="847">
    <w:name w:val="Footer"/>
    <w:basedOn w:val="995"/>
    <w:link w:val="850"/>
    <w:uiPriority w:val="99"/>
    <w:unhideWhenUsed/>
    <w:pPr>
      <w:spacing w:after="0" w:line="240" w:lineRule="auto"/>
      <w:tabs>
        <w:tab w:val="center" w:pos="7143" w:leader="none"/>
        <w:tab w:val="right" w:pos="14287" w:leader="none"/>
      </w:tabs>
    </w:pPr>
  </w:style>
  <w:style w:type="character" w:styleId="848">
    <w:name w:val="Footer Char"/>
    <w:link w:val="847"/>
    <w:uiPriority w:val="99"/>
  </w:style>
  <w:style w:type="paragraph" w:styleId="849">
    <w:name w:val="Caption"/>
    <w:basedOn w:val="995"/>
    <w:next w:val="995"/>
    <w:uiPriority w:val="35"/>
    <w:semiHidden/>
    <w:unhideWhenUsed/>
    <w:qFormat/>
    <w:pPr>
      <w:spacing w:line="276" w:lineRule="auto"/>
    </w:pPr>
    <w:rPr>
      <w:b/>
      <w:bCs/>
      <w:color w:val="4f81bd" w:themeColor="accent1"/>
      <w:sz w:val="18"/>
      <w:szCs w:val="18"/>
    </w:rPr>
  </w:style>
  <w:style w:type="character" w:styleId="850">
    <w:name w:val="Caption Char"/>
    <w:basedOn w:val="849"/>
    <w:link w:val="847"/>
    <w:uiPriority w:val="99"/>
  </w:style>
  <w:style w:type="table" w:styleId="8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uiPriority w:val="99"/>
    <w:unhideWhenUsed/>
    <w:rPr>
      <w:vertAlign w:val="superscript"/>
    </w:rPr>
  </w:style>
  <w:style w:type="paragraph" w:styleId="981">
    <w:name w:val="endnote text"/>
    <w:basedOn w:val="99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995"/>
    <w:next w:val="995"/>
    <w:uiPriority w:val="39"/>
    <w:unhideWhenUsed/>
    <w:pPr>
      <w:ind w:left="0" w:right="0" w:firstLine="0"/>
      <w:spacing w:after="57"/>
    </w:p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995"/>
    <w:link w:val="995"/>
    <w:qFormat/>
    <w:pPr>
      <w:jc w:val="both"/>
      <w:widowControl w:val="off"/>
    </w:pPr>
    <w:rPr>
      <w:sz w:val="21"/>
      <w:lang w:val="en-US" w:eastAsia="zh-CN" w:bidi="ar-SA"/>
    </w:rPr>
  </w:style>
  <w:style w:type="paragraph" w:styleId="996">
    <w:name w:val="标题 1"/>
    <w:basedOn w:val="995"/>
    <w:next w:val="995"/>
    <w:link w:val="995"/>
    <w:qFormat/>
    <w:pPr>
      <w:ind w:left="0" w:firstLine="0"/>
      <w:jc w:val="both"/>
      <w:spacing w:before="340" w:after="330" w:line="576" w:lineRule="auto"/>
      <w:widowControl w:val="off"/>
      <w:outlineLvl w:val="0"/>
    </w:pPr>
    <w:rPr>
      <w:rFonts w:ascii="Times New Roman" w:eastAsia="宋体"/>
      <w:b/>
      <w:caps w:val="0"/>
      <w:smallCaps w:val="0"/>
      <w:vanish w:val="0"/>
      <w:sz w:val="44"/>
    </w:rPr>
  </w:style>
  <w:style w:type="paragraph" w:styleId="997">
    <w:name w:val="标题 2"/>
    <w:basedOn w:val="995"/>
    <w:next w:val="995"/>
    <w:link w:val="995"/>
    <w:qFormat/>
    <w:pPr>
      <w:ind w:left="0" w:firstLine="0"/>
      <w:jc w:val="both"/>
      <w:spacing w:before="260" w:after="260" w:line="415" w:lineRule="auto"/>
      <w:widowControl w:val="off"/>
      <w:outlineLvl w:val="1"/>
    </w:pPr>
    <w:rPr>
      <w:rFonts w:ascii="Arial" w:eastAsia="黑体"/>
      <w:b/>
      <w:caps w:val="0"/>
      <w:smallCaps w:val="0"/>
      <w:vanish w:val="0"/>
      <w:sz w:val="32"/>
    </w:rPr>
  </w:style>
  <w:style w:type="paragraph" w:styleId="998">
    <w:name w:val="标题 3"/>
    <w:basedOn w:val="995"/>
    <w:next w:val="995"/>
    <w:link w:val="995"/>
    <w:qFormat/>
    <w:pPr>
      <w:ind w:left="0" w:firstLine="0"/>
      <w:jc w:val="both"/>
      <w:spacing w:before="260" w:after="260" w:line="415" w:lineRule="auto"/>
      <w:widowControl w:val="off"/>
      <w:outlineLvl w:val="2"/>
    </w:pPr>
    <w:rPr>
      <w:rFonts w:ascii="Times New Roman" w:eastAsia="宋体"/>
      <w:b/>
      <w:caps w:val="0"/>
      <w:smallCaps w:val="0"/>
      <w:vanish w:val="0"/>
      <w:sz w:val="32"/>
    </w:rPr>
  </w:style>
  <w:style w:type="paragraph" w:styleId="999">
    <w:name w:val="标题 4"/>
    <w:basedOn w:val="995"/>
    <w:next w:val="995"/>
    <w:link w:val="995"/>
    <w:qFormat/>
    <w:pPr>
      <w:ind w:left="0" w:firstLine="0"/>
      <w:jc w:val="both"/>
      <w:spacing w:before="280" w:after="290" w:line="376" w:lineRule="auto"/>
      <w:widowControl w:val="off"/>
      <w:outlineLvl w:val="3"/>
    </w:pPr>
    <w:rPr>
      <w:rFonts w:ascii="Arial" w:eastAsia="黑体"/>
      <w:b/>
      <w:caps w:val="0"/>
      <w:smallCaps w:val="0"/>
      <w:vanish w:val="0"/>
      <w:sz w:val="28"/>
    </w:rPr>
  </w:style>
  <w:style w:type="paragraph" w:styleId="1000">
    <w:name w:val="标题 5"/>
    <w:next w:val="995"/>
    <w:link w:val="995"/>
    <w:qFormat/>
    <w:pPr>
      <w:ind w:left="1800" w:hanging="400"/>
      <w:jc w:val="both"/>
      <w:spacing w:after="160"/>
      <w:outlineLvl w:val="4"/>
    </w:pPr>
    <w:rPr>
      <w:sz w:val="21"/>
      <w:lang w:val="en-US" w:eastAsia="zh-CN" w:bidi="ar-SA"/>
    </w:rPr>
  </w:style>
  <w:style w:type="paragraph" w:styleId="1001">
    <w:name w:val="标题 6"/>
    <w:next w:val="995"/>
    <w:link w:val="995"/>
    <w:qFormat/>
    <w:pPr>
      <w:ind w:left="2000" w:hanging="400"/>
      <w:jc w:val="both"/>
      <w:spacing w:after="160"/>
      <w:outlineLvl w:val="5"/>
    </w:pPr>
    <w:rPr>
      <w:b/>
      <w:sz w:val="21"/>
      <w:lang w:val="en-US" w:eastAsia="zh-CN" w:bidi="ar-SA"/>
    </w:rPr>
  </w:style>
  <w:style w:type="paragraph" w:styleId="1002">
    <w:name w:val="标题 7"/>
    <w:next w:val="995"/>
    <w:link w:val="995"/>
    <w:qFormat/>
    <w:pPr>
      <w:ind w:left="2200" w:hanging="400"/>
      <w:jc w:val="both"/>
      <w:spacing w:after="160"/>
      <w:outlineLvl w:val="6"/>
    </w:pPr>
    <w:rPr>
      <w:sz w:val="21"/>
      <w:lang w:val="en-US" w:eastAsia="zh-CN" w:bidi="ar-SA"/>
    </w:rPr>
  </w:style>
  <w:style w:type="paragraph" w:styleId="1003">
    <w:name w:val="标题 8"/>
    <w:next w:val="995"/>
    <w:link w:val="995"/>
    <w:qFormat/>
    <w:pPr>
      <w:ind w:left="2400" w:hanging="400"/>
      <w:jc w:val="both"/>
      <w:spacing w:after="160"/>
      <w:outlineLvl w:val="7"/>
    </w:pPr>
    <w:rPr>
      <w:sz w:val="21"/>
      <w:lang w:val="en-US" w:eastAsia="zh-CN" w:bidi="ar-SA"/>
    </w:rPr>
  </w:style>
  <w:style w:type="paragraph" w:styleId="1004">
    <w:name w:val="标题 9"/>
    <w:next w:val="995"/>
    <w:link w:val="995"/>
    <w:qFormat/>
    <w:pPr>
      <w:ind w:left="2600" w:hanging="400"/>
      <w:jc w:val="both"/>
      <w:spacing w:after="160"/>
      <w:outlineLvl w:val="8"/>
    </w:pPr>
    <w:rPr>
      <w:sz w:val="21"/>
      <w:lang w:val="en-US" w:eastAsia="zh-CN" w:bidi="ar-SA"/>
    </w:rPr>
  </w:style>
  <w:style w:type="character" w:styleId="1005">
    <w:name w:val="默认段落字体"/>
    <w:next w:val="1005"/>
    <w:link w:val="995"/>
    <w:rPr>
      <w:vanish w:val="0"/>
      <w:sz w:val="20"/>
    </w:rPr>
  </w:style>
  <w:style w:type="table" w:styleId="1006">
    <w:name w:val="普通表格"/>
    <w:next w:val="1006"/>
    <w:link w:val="995"/>
    <w:semiHidden/>
    <w:pPr>
      <w:ind w:left="0" w:firstLine="0"/>
      <w:spacing w:before="0" w:after="0" w:line="240" w:lineRule="auto"/>
      <w:widowControl/>
    </w:pPr>
    <w:rPr>
      <w:vanish w:val="0"/>
      <w:sz w:val="20"/>
    </w:rPr>
    <w:tblPr/>
  </w:style>
  <w:style w:type="paragraph" w:styleId="1007">
    <w:name w:val="目录 7"/>
    <w:next w:val="995"/>
    <w:link w:val="995"/>
    <w:pPr>
      <w:ind w:left="2125"/>
      <w:jc w:val="both"/>
    </w:pPr>
    <w:rPr>
      <w:sz w:val="21"/>
      <w:lang w:val="en-US" w:eastAsia="zh-CN" w:bidi="ar-SA"/>
    </w:rPr>
  </w:style>
  <w:style w:type="paragraph" w:styleId="1008">
    <w:name w:val="正文缩进"/>
    <w:basedOn w:val="995"/>
    <w:next w:val="1008"/>
    <w:link w:val="995"/>
    <w:pPr>
      <w:ind w:left="3400"/>
      <w:jc w:val="both"/>
    </w:pPr>
    <w:rPr>
      <w:sz w:val="21"/>
      <w:lang w:val="en-US" w:eastAsia="zh-CN" w:bidi="ar-SA"/>
    </w:rPr>
  </w:style>
  <w:style w:type="paragraph" w:styleId="1009">
    <w:name w:val="文档结构图"/>
    <w:basedOn w:val="995"/>
    <w:next w:val="1008"/>
    <w:link w:val="995"/>
    <w:pPr>
      <w:ind w:left="0" w:firstLine="0"/>
      <w:jc w:val="both"/>
      <w:spacing w:before="0" w:after="0" w:line="240" w:lineRule="auto"/>
      <w:shd w:val="clear" w:color="000000" w:fill="000080"/>
      <w:widowControl w:val="off"/>
    </w:pPr>
    <w:rPr>
      <w:rFonts w:ascii="Times New Roman" w:eastAsia="宋体"/>
      <w:caps w:val="0"/>
      <w:smallCaps w:val="0"/>
      <w:vanish w:val="0"/>
      <w:sz w:val="21"/>
    </w:rPr>
  </w:style>
  <w:style w:type="paragraph" w:styleId="1010">
    <w:name w:val="批注文字"/>
    <w:basedOn w:val="995"/>
    <w:next w:val="1011"/>
    <w:link w:val="995"/>
    <w:pPr>
      <w:ind w:left="0" w:firstLine="0"/>
      <w:jc w:val="both"/>
      <w:spacing w:before="0" w:after="0" w:line="240" w:lineRule="auto"/>
      <w:widowControl w:val="off"/>
    </w:pPr>
    <w:rPr>
      <w:rFonts w:ascii="Times New Roman" w:eastAsia="宋体"/>
      <w:caps w:val="0"/>
      <w:smallCaps w:val="0"/>
      <w:vanish w:val="0"/>
      <w:sz w:val="21"/>
    </w:rPr>
  </w:style>
  <w:style w:type="paragraph" w:styleId="1011">
    <w:name w:val="目录 21"/>
    <w:next w:val="995"/>
    <w:link w:val="995"/>
    <w:pPr>
      <w:jc w:val="both"/>
    </w:pPr>
    <w:rPr>
      <w:sz w:val="21"/>
      <w:lang w:val="en-US" w:eastAsia="zh-CN" w:bidi="ar-SA"/>
    </w:rPr>
  </w:style>
  <w:style w:type="paragraph" w:styleId="1012">
    <w:name w:val="正文文本"/>
    <w:basedOn w:val="995"/>
    <w:next w:val="995"/>
    <w:link w:val="995"/>
    <w:pPr>
      <w:ind w:left="0" w:firstLine="0"/>
      <w:jc w:val="both"/>
      <w:spacing w:before="0" w:after="0" w:line="240" w:lineRule="auto"/>
      <w:widowControl w:val="off"/>
    </w:pPr>
    <w:rPr>
      <w:rFonts w:ascii="Times New Roman" w:eastAsia="宋体"/>
      <w:caps w:val="0"/>
      <w:smallCaps w:val="0"/>
      <w:vanish w:val="0"/>
      <w:sz w:val="28"/>
    </w:rPr>
  </w:style>
  <w:style w:type="paragraph" w:styleId="1013">
    <w:name w:val="正文文本缩进"/>
    <w:basedOn w:val="995"/>
    <w:next w:val="1014"/>
    <w:link w:val="995"/>
    <w:pPr>
      <w:ind w:left="0" w:firstLine="560"/>
      <w:jc w:val="both"/>
      <w:spacing w:before="0" w:after="0" w:line="300" w:lineRule="auto"/>
      <w:widowControl w:val="off"/>
    </w:pPr>
    <w:rPr>
      <w:rFonts w:ascii="Times New Roman" w:eastAsia="宋体"/>
      <w:caps w:val="0"/>
      <w:smallCaps w:val="0"/>
      <w:vanish w:val="0"/>
      <w:sz w:val="28"/>
    </w:rPr>
  </w:style>
  <w:style w:type="paragraph" w:styleId="1014">
    <w:name w:val="寄信人地址"/>
    <w:basedOn w:val="995"/>
    <w:next w:val="1014"/>
    <w:link w:val="995"/>
    <w:qFormat/>
    <w:rPr>
      <w:rFonts w:ascii="Arial" w:hAnsi="Arial" w:eastAsia="楷体_GB2312"/>
      <w:sz w:val="26"/>
    </w:rPr>
  </w:style>
  <w:style w:type="paragraph" w:styleId="1015">
    <w:name w:val="目录 5"/>
    <w:next w:val="995"/>
    <w:link w:val="995"/>
    <w:pPr>
      <w:ind w:left="1275"/>
      <w:jc w:val="both"/>
    </w:pPr>
    <w:rPr>
      <w:sz w:val="21"/>
      <w:lang w:val="en-US" w:eastAsia="zh-CN" w:bidi="ar-SA"/>
    </w:rPr>
  </w:style>
  <w:style w:type="paragraph" w:styleId="1016">
    <w:name w:val="目录 3"/>
    <w:next w:val="995"/>
    <w:link w:val="995"/>
    <w:pPr>
      <w:ind w:left="425"/>
      <w:jc w:val="both"/>
    </w:pPr>
    <w:rPr>
      <w:sz w:val="21"/>
      <w:lang w:val="en-US" w:eastAsia="zh-CN" w:bidi="ar-SA"/>
    </w:rPr>
  </w:style>
  <w:style w:type="paragraph" w:styleId="1017">
    <w:name w:val="纯文本"/>
    <w:basedOn w:val="995"/>
    <w:next w:val="1017"/>
    <w:link w:val="995"/>
    <w:pPr>
      <w:ind w:left="0" w:firstLine="0"/>
      <w:jc w:val="both"/>
      <w:spacing w:before="0" w:after="0" w:line="240" w:lineRule="auto"/>
      <w:widowControl w:val="off"/>
    </w:pPr>
    <w:rPr>
      <w:rFonts w:ascii="宋体" w:eastAsia="楷体_GB2312"/>
      <w:caps w:val="0"/>
      <w:smallCaps w:val="0"/>
      <w:vanish w:val="0"/>
      <w:sz w:val="28"/>
    </w:rPr>
  </w:style>
  <w:style w:type="paragraph" w:styleId="1018">
    <w:name w:val="目录 8"/>
    <w:next w:val="995"/>
    <w:link w:val="995"/>
    <w:pPr>
      <w:ind w:left="2550"/>
      <w:jc w:val="both"/>
    </w:pPr>
    <w:rPr>
      <w:sz w:val="21"/>
      <w:lang w:val="en-US" w:eastAsia="zh-CN" w:bidi="ar-SA"/>
    </w:rPr>
  </w:style>
  <w:style w:type="paragraph" w:styleId="1019">
    <w:name w:val="日期"/>
    <w:basedOn w:val="995"/>
    <w:next w:val="995"/>
    <w:link w:val="995"/>
    <w:pPr>
      <w:ind w:left="0" w:firstLine="0"/>
      <w:jc w:val="both"/>
      <w:spacing w:before="0" w:after="0" w:line="240" w:lineRule="auto"/>
      <w:widowControl w:val="off"/>
    </w:pPr>
    <w:rPr>
      <w:rFonts w:ascii="Times New Roman" w:eastAsia="宋体"/>
      <w:caps w:val="0"/>
      <w:smallCaps w:val="0"/>
      <w:vanish w:val="0"/>
      <w:sz w:val="21"/>
    </w:rPr>
  </w:style>
  <w:style w:type="paragraph" w:styleId="1020">
    <w:name w:val="正文文本缩进 2"/>
    <w:basedOn w:val="995"/>
    <w:next w:val="1021"/>
    <w:link w:val="995"/>
    <w:pPr>
      <w:ind w:left="840" w:firstLine="0"/>
      <w:jc w:val="both"/>
      <w:spacing w:before="0" w:after="0" w:line="360" w:lineRule="auto"/>
      <w:widowControl w:val="off"/>
    </w:pPr>
    <w:rPr>
      <w:rFonts w:ascii="宋体" w:eastAsia="宋体"/>
      <w:caps w:val="0"/>
      <w:smallCaps w:val="0"/>
      <w:vanish w:val="0"/>
      <w:sz w:val="21"/>
    </w:rPr>
  </w:style>
  <w:style w:type="paragraph" w:styleId="1021">
    <w:name w:val="目录 91"/>
    <w:next w:val="995"/>
    <w:link w:val="995"/>
    <w:pPr>
      <w:ind w:left="2975"/>
      <w:jc w:val="both"/>
    </w:pPr>
    <w:rPr>
      <w:sz w:val="21"/>
      <w:lang w:val="en-US" w:eastAsia="zh-CN" w:bidi="ar-SA"/>
    </w:rPr>
  </w:style>
  <w:style w:type="paragraph" w:styleId="1022">
    <w:name w:val="批注框文本"/>
    <w:basedOn w:val="995"/>
    <w:next w:val="1023"/>
    <w:link w:val="995"/>
    <w:pPr>
      <w:ind w:left="0" w:firstLine="0"/>
      <w:jc w:val="both"/>
      <w:spacing w:before="0" w:after="0" w:line="240" w:lineRule="auto"/>
      <w:widowControl w:val="off"/>
    </w:pPr>
    <w:rPr>
      <w:rFonts w:ascii="Times New Roman" w:eastAsia="宋体"/>
      <w:caps w:val="0"/>
      <w:smallCaps w:val="0"/>
      <w:vanish w:val="0"/>
      <w:sz w:val="18"/>
    </w:rPr>
  </w:style>
  <w:style w:type="paragraph" w:styleId="1023">
    <w:name w:val="正文缩进1"/>
    <w:next w:val="995"/>
    <w:link w:val="995"/>
    <w:pPr>
      <w:ind w:left="3400"/>
      <w:jc w:val="both"/>
    </w:pPr>
    <w:rPr>
      <w:sz w:val="21"/>
      <w:lang w:val="en-US" w:eastAsia="zh-CN" w:bidi="ar-SA"/>
    </w:rPr>
  </w:style>
  <w:style w:type="paragraph" w:styleId="1024">
    <w:name w:val="页脚"/>
    <w:basedOn w:val="995"/>
    <w:next w:val="995"/>
    <w:link w:val="995"/>
    <w:pPr>
      <w:ind w:left="0" w:firstLine="0"/>
      <w:jc w:val="both"/>
      <w:spacing w:before="0" w:after="0" w:line="240" w:lineRule="auto"/>
      <w:widowControl w:val="off"/>
    </w:pPr>
    <w:rPr>
      <w:rFonts w:ascii="Times New Roman" w:eastAsia="宋体"/>
      <w:caps w:val="0"/>
      <w:smallCaps w:val="0"/>
      <w:vanish w:val="0"/>
      <w:sz w:val="18"/>
    </w:rPr>
  </w:style>
  <w:style w:type="paragraph" w:styleId="1025">
    <w:name w:val="页眉"/>
    <w:basedOn w:val="995"/>
    <w:next w:val="995"/>
    <w:link w:val="995"/>
    <w:pPr>
      <w:ind w:left="0" w:firstLine="0"/>
      <w:jc w:val="center"/>
      <w:spacing w:before="0" w:after="0" w:line="240" w:lineRule="auto"/>
      <w:widowControl w:val="off"/>
    </w:pPr>
    <w:rPr>
      <w:rFonts w:ascii="Times New Roman" w:eastAsia="宋体"/>
      <w:caps w:val="0"/>
      <w:smallCaps w:val="0"/>
      <w:vanish w:val="0"/>
      <w:sz w:val="18"/>
    </w:rPr>
  </w:style>
  <w:style w:type="paragraph" w:styleId="1026">
    <w:name w:val="目录 1"/>
    <w:basedOn w:val="995"/>
    <w:next w:val="995"/>
    <w:link w:val="995"/>
    <w:uiPriority w:val="39"/>
    <w:unhideWhenUsed/>
  </w:style>
  <w:style w:type="paragraph" w:styleId="1027">
    <w:name w:val="目录 4"/>
    <w:next w:val="995"/>
    <w:link w:val="995"/>
    <w:pPr>
      <w:ind w:left="850"/>
      <w:jc w:val="both"/>
    </w:pPr>
    <w:rPr>
      <w:sz w:val="21"/>
      <w:lang w:val="en-US" w:eastAsia="zh-CN" w:bidi="ar-SA"/>
    </w:rPr>
  </w:style>
  <w:style w:type="paragraph" w:styleId="1028">
    <w:name w:val="索引标题"/>
    <w:basedOn w:val="995"/>
    <w:next w:val="995"/>
    <w:link w:val="995"/>
    <w:semiHidden/>
    <w:pPr>
      <w:ind w:left="0" w:firstLine="0"/>
      <w:jc w:val="both"/>
      <w:spacing w:before="0" w:after="0" w:line="240" w:lineRule="auto"/>
      <w:widowControl w:val="off"/>
    </w:pPr>
    <w:rPr>
      <w:rFonts w:ascii="Times New Roman" w:eastAsia="楷体_GB2312"/>
      <w:caps w:val="0"/>
      <w:smallCaps w:val="0"/>
      <w:vanish w:val="0"/>
      <w:sz w:val="26"/>
    </w:rPr>
  </w:style>
  <w:style w:type="paragraph" w:styleId="1029">
    <w:name w:val="副标题"/>
    <w:next w:val="995"/>
    <w:link w:val="995"/>
    <w:qFormat/>
    <w:pPr>
      <w:jc w:val="center"/>
      <w:spacing w:after="60"/>
    </w:pPr>
    <w:rPr>
      <w:sz w:val="24"/>
      <w:lang w:val="en-US" w:eastAsia="zh-CN" w:bidi="ar-SA"/>
    </w:rPr>
  </w:style>
  <w:style w:type="paragraph" w:styleId="1030">
    <w:name w:val="目录 6"/>
    <w:next w:val="995"/>
    <w:link w:val="995"/>
    <w:pPr>
      <w:ind w:left="1700"/>
      <w:jc w:val="both"/>
    </w:pPr>
    <w:rPr>
      <w:sz w:val="21"/>
      <w:lang w:val="en-US" w:eastAsia="zh-CN" w:bidi="ar-SA"/>
    </w:rPr>
  </w:style>
  <w:style w:type="paragraph" w:styleId="1031">
    <w:name w:val="正文文本缩进 3"/>
    <w:basedOn w:val="995"/>
    <w:next w:val="995"/>
    <w:link w:val="995"/>
    <w:pPr>
      <w:ind w:left="0" w:firstLine="480"/>
      <w:jc w:val="both"/>
      <w:spacing w:before="0" w:after="0" w:line="360" w:lineRule="auto"/>
      <w:widowControl/>
    </w:pPr>
    <w:rPr>
      <w:rFonts w:ascii="Times New Roman" w:eastAsia="宋体"/>
      <w:caps w:val="0"/>
      <w:smallCaps w:val="0"/>
      <w:vanish w:val="0"/>
      <w:sz w:val="24"/>
    </w:rPr>
  </w:style>
  <w:style w:type="paragraph" w:styleId="1032">
    <w:name w:val="目录 2"/>
    <w:next w:val="995"/>
    <w:link w:val="995"/>
    <w:pPr>
      <w:jc w:val="both"/>
    </w:pPr>
    <w:rPr>
      <w:sz w:val="21"/>
      <w:lang w:val="en-US" w:eastAsia="zh-CN" w:bidi="ar-SA"/>
    </w:rPr>
  </w:style>
  <w:style w:type="paragraph" w:styleId="1033">
    <w:name w:val="目录 9"/>
    <w:next w:val="995"/>
    <w:link w:val="995"/>
    <w:pPr>
      <w:ind w:left="2975"/>
      <w:jc w:val="both"/>
    </w:pPr>
    <w:rPr>
      <w:sz w:val="21"/>
      <w:lang w:val="en-US" w:eastAsia="zh-CN" w:bidi="ar-SA"/>
    </w:rPr>
  </w:style>
  <w:style w:type="paragraph" w:styleId="1034">
    <w:name w:val="HTML 预设格式"/>
    <w:basedOn w:val="995"/>
    <w:next w:val="995"/>
    <w:link w:val="995"/>
    <w:pPr>
      <w:ind w:left="0" w:firstLine="0"/>
      <w:jc w:val="both"/>
      <w:spacing w:before="0" w:after="0" w:line="240" w:lineRule="auto"/>
      <w:widowControl/>
    </w:pPr>
    <w:rPr>
      <w:rFonts w:ascii="宋体" w:eastAsia="宋体"/>
      <w:caps w:val="0"/>
      <w:smallCaps w:val="0"/>
      <w:vanish w:val="0"/>
      <w:sz w:val="24"/>
    </w:rPr>
  </w:style>
  <w:style w:type="paragraph" w:styleId="1035">
    <w:name w:val="普通(网站)"/>
    <w:basedOn w:val="995"/>
    <w:next w:val="1035"/>
    <w:link w:val="995"/>
    <w:pPr>
      <w:ind w:left="0" w:firstLine="0"/>
      <w:jc w:val="both"/>
      <w:spacing w:before="280" w:after="280" w:line="240" w:lineRule="auto"/>
      <w:widowControl/>
    </w:pPr>
    <w:rPr>
      <w:rFonts w:ascii="Arial Unicode MS" w:eastAsia="Times New Roman"/>
      <w:caps w:val="0"/>
      <w:smallCaps w:val="0"/>
      <w:vanish w:val="0"/>
      <w:sz w:val="24"/>
    </w:rPr>
  </w:style>
  <w:style w:type="paragraph" w:styleId="1036">
    <w:name w:val="索引 1"/>
    <w:basedOn w:val="995"/>
    <w:next w:val="995"/>
    <w:link w:val="995"/>
    <w:semiHidden/>
    <w:pPr>
      <w:ind w:left="0" w:firstLine="0"/>
      <w:jc w:val="both"/>
      <w:spacing w:before="0" w:after="0" w:line="240" w:lineRule="auto"/>
      <w:widowControl w:val="off"/>
    </w:pPr>
    <w:rPr>
      <w:rFonts w:ascii="Times New Roman" w:eastAsia="宋体"/>
      <w:caps w:val="0"/>
      <w:smallCaps w:val="0"/>
      <w:vanish w:val="0"/>
      <w:sz w:val="21"/>
    </w:rPr>
  </w:style>
  <w:style w:type="paragraph" w:styleId="1037">
    <w:name w:val="批注主题"/>
    <w:next w:val="1011"/>
    <w:link w:val="995"/>
    <w:pPr>
      <w:widowControl w:val="off"/>
    </w:pPr>
    <w:rPr>
      <w:b/>
      <w:sz w:val="21"/>
      <w:lang w:val="en-US" w:eastAsia="zh-CN" w:bidi="ar-SA"/>
    </w:rPr>
  </w:style>
  <w:style w:type="paragraph" w:styleId="1038">
    <w:name w:val="正文首行缩进 2"/>
    <w:basedOn w:val="1013"/>
    <w:next w:val="1038"/>
    <w:link w:val="995"/>
    <w:qFormat/>
    <w:pPr>
      <w:ind w:firstLine="420"/>
    </w:pPr>
  </w:style>
  <w:style w:type="table" w:styleId="1039">
    <w:name w:val="网格型"/>
    <w:basedOn w:val="1006"/>
    <w:next w:val="1039"/>
    <w:link w:val="995"/>
    <w:pPr>
      <w:ind w:left="0" w:firstLine="0"/>
      <w:jc w:val="both"/>
      <w:spacing w:before="0" w:after="0" w:line="240" w:lineRule="auto"/>
      <w:widowControl w:val="off"/>
    </w:pPr>
    <w:rPr>
      <w:vanish w:val="0"/>
      <w:sz w:val="20"/>
    </w:rPr>
    <w:tblPr/>
  </w:style>
  <w:style w:type="character" w:styleId="1040">
    <w:name w:val="要点"/>
    <w:next w:val="1040"/>
    <w:link w:val="995"/>
    <w:qFormat/>
    <w:rPr>
      <w:b/>
      <w:vanish w:val="0"/>
      <w:sz w:val="20"/>
    </w:rPr>
  </w:style>
  <w:style w:type="character" w:styleId="1041">
    <w:name w:val="页码"/>
    <w:next w:val="1041"/>
    <w:link w:val="995"/>
    <w:rPr>
      <w:vanish w:val="0"/>
      <w:sz w:val="20"/>
    </w:rPr>
  </w:style>
  <w:style w:type="character" w:styleId="1042">
    <w:name w:val="已访问的超链接"/>
    <w:next w:val="1042"/>
    <w:link w:val="995"/>
    <w:rPr>
      <w:vanish w:val="0"/>
      <w:color w:val="800080"/>
      <w:sz w:val="20"/>
      <w:u w:val="single"/>
    </w:rPr>
  </w:style>
  <w:style w:type="character" w:styleId="1043">
    <w:name w:val="强调"/>
    <w:next w:val="1043"/>
    <w:link w:val="995"/>
    <w:qFormat/>
    <w:rPr>
      <w:i/>
      <w:vanish w:val="0"/>
      <w:sz w:val="20"/>
    </w:rPr>
  </w:style>
  <w:style w:type="character" w:styleId="1044">
    <w:name w:val="超链接"/>
    <w:next w:val="1044"/>
    <w:link w:val="995"/>
    <w:rPr>
      <w:vanish w:val="0"/>
      <w:color w:val="0000ff"/>
      <w:sz w:val="20"/>
      <w:u w:val="single"/>
    </w:rPr>
  </w:style>
  <w:style w:type="character" w:styleId="1045">
    <w:name w:val="批注引用"/>
    <w:next w:val="1045"/>
    <w:link w:val="995"/>
    <w:rPr>
      <w:vanish w:val="0"/>
      <w:sz w:val="20"/>
    </w:rPr>
  </w:style>
  <w:style w:type="paragraph" w:styleId="1046">
    <w:name w:val="目录 71"/>
    <w:next w:val="995"/>
    <w:link w:val="995"/>
    <w:pPr>
      <w:ind w:left="2125"/>
      <w:jc w:val="both"/>
    </w:pPr>
    <w:rPr>
      <w:sz w:val="21"/>
      <w:lang w:val="en-US" w:eastAsia="zh-CN" w:bidi="ar-SA"/>
    </w:rPr>
  </w:style>
  <w:style w:type="paragraph" w:styleId="1047">
    <w:name w:val="目录 51"/>
    <w:next w:val="995"/>
    <w:link w:val="995"/>
    <w:pPr>
      <w:ind w:left="1275"/>
      <w:jc w:val="both"/>
    </w:pPr>
    <w:rPr>
      <w:sz w:val="21"/>
      <w:lang w:val="en-US" w:eastAsia="zh-CN" w:bidi="ar-SA"/>
    </w:rPr>
  </w:style>
  <w:style w:type="character" w:styleId="1048">
    <w:name w:val="标题 4 Char"/>
    <w:next w:val="1048"/>
    <w:link w:val="995"/>
    <w:rPr>
      <w:b/>
      <w:vanish w:val="0"/>
      <w:sz w:val="20"/>
    </w:rPr>
  </w:style>
  <w:style w:type="character" w:styleId="1049">
    <w:name w:val="书籍标题"/>
    <w:next w:val="1049"/>
    <w:link w:val="995"/>
    <w:qFormat/>
    <w:rPr>
      <w:b/>
      <w:i/>
      <w:vanish w:val="0"/>
      <w:sz w:val="20"/>
    </w:rPr>
  </w:style>
  <w:style w:type="character" w:styleId="1050">
    <w:name w:val="明显强调"/>
    <w:next w:val="1050"/>
    <w:link w:val="995"/>
    <w:qFormat/>
    <w:rPr>
      <w:i/>
      <w:vanish w:val="0"/>
      <w:sz w:val="20"/>
    </w:rPr>
  </w:style>
  <w:style w:type="character" w:styleId="1051">
    <w:name w:val="Andy_正文 Char"/>
    <w:next w:val="1051"/>
    <w:link w:val="995"/>
    <w:qFormat/>
    <w:rPr>
      <w:vanish w:val="0"/>
      <w:sz w:val="20"/>
    </w:rPr>
  </w:style>
  <w:style w:type="character" w:styleId="1052">
    <w:name w:val="grame"/>
    <w:next w:val="1052"/>
    <w:link w:val="995"/>
  </w:style>
  <w:style w:type="character" w:styleId="1053">
    <w:name w:val="纯文本 Char1,正 文 1 Char,普通文字 Char Char1,纯文本 Char Char1,纯文本 Char Char Char,普通文字 Char Char Char,纯文本 Char1 Char Char Char,纯文本 Char Char Char Char Char,纯文本 Char1 Char Char1,普通文字 Char1"/>
    <w:next w:val="1053"/>
    <w:link w:val="995"/>
    <w:rPr>
      <w:vanish w:val="0"/>
      <w:sz w:val="20"/>
    </w:rPr>
  </w:style>
  <w:style w:type="character" w:styleId="1054">
    <w:name w:val="批注框文本 Char"/>
    <w:next w:val="1054"/>
    <w:link w:val="995"/>
    <w:rPr>
      <w:vanish w:val="0"/>
      <w:sz w:val="20"/>
    </w:rPr>
  </w:style>
  <w:style w:type="character" w:styleId="1055">
    <w:name w:val="批注文字 Char"/>
    <w:next w:val="1055"/>
    <w:link w:val="995"/>
    <w:rPr>
      <w:vanish w:val="0"/>
      <w:sz w:val="20"/>
    </w:rPr>
  </w:style>
  <w:style w:type="character" w:styleId="1056">
    <w:name w:val="Plain Text Char Char"/>
    <w:next w:val="1056"/>
    <w:link w:val="995"/>
    <w:rPr>
      <w:vanish w:val="0"/>
      <w:sz w:val="20"/>
    </w:rPr>
  </w:style>
  <w:style w:type="character" w:styleId="1057">
    <w:name w:val="不明显参考"/>
    <w:next w:val="1057"/>
    <w:link w:val="995"/>
    <w:qFormat/>
    <w:rPr>
      <w:vanish w:val="0"/>
      <w:sz w:val="20"/>
    </w:rPr>
  </w:style>
  <w:style w:type="character" w:styleId="1058">
    <w:name w:val="列出段落 Char"/>
    <w:next w:val="1058"/>
    <w:link w:val="995"/>
    <w:rPr>
      <w:vanish w:val="0"/>
      <w:sz w:val="20"/>
    </w:rPr>
  </w:style>
  <w:style w:type="character" w:styleId="1059">
    <w:name w:val="spelle"/>
    <w:next w:val="1059"/>
    <w:link w:val="995"/>
  </w:style>
  <w:style w:type="character" w:styleId="1060">
    <w:name w:val="正文文本缩进 2 Char"/>
    <w:next w:val="1060"/>
    <w:link w:val="995"/>
    <w:rPr>
      <w:vanish w:val="0"/>
      <w:sz w:val="20"/>
    </w:rPr>
  </w:style>
  <w:style w:type="character" w:styleId="1061">
    <w:name w:val="para1"/>
    <w:next w:val="1061"/>
    <w:link w:val="995"/>
    <w:rPr>
      <w:vanish w:val="0"/>
      <w:sz w:val="20"/>
    </w:rPr>
  </w:style>
  <w:style w:type="character" w:styleId="1062">
    <w:name w:val="NormalCharacter1"/>
    <w:next w:val="1062"/>
    <w:link w:val="995"/>
  </w:style>
  <w:style w:type="character" w:styleId="1063">
    <w:name w:val="不明显强调"/>
    <w:next w:val="1063"/>
    <w:link w:val="995"/>
    <w:qFormat/>
    <w:rPr>
      <w:i/>
      <w:vanish w:val="0"/>
      <w:sz w:val="20"/>
    </w:rPr>
  </w:style>
  <w:style w:type="character" w:styleId="1064">
    <w:name w:val="批注主题 Char"/>
    <w:next w:val="1064"/>
    <w:link w:val="995"/>
    <w:rPr>
      <w:b/>
      <w:vanish w:val="0"/>
      <w:sz w:val="20"/>
    </w:rPr>
  </w:style>
  <w:style w:type="character" w:styleId="1065">
    <w:name w:val="title_emph1"/>
    <w:next w:val="1065"/>
    <w:link w:val="995"/>
    <w:rPr>
      <w:b/>
      <w:vanish w:val="0"/>
      <w:sz w:val="20"/>
    </w:rPr>
  </w:style>
  <w:style w:type="character" w:styleId="1066">
    <w:name w:val="明显参考"/>
    <w:next w:val="1066"/>
    <w:link w:val="995"/>
    <w:qFormat/>
    <w:rPr>
      <w:b/>
      <w:vanish w:val="0"/>
      <w:sz w:val="20"/>
    </w:rPr>
  </w:style>
  <w:style w:type="character" w:styleId="1067">
    <w:name w:val="_正文段落 Char"/>
    <w:next w:val="1067"/>
    <w:link w:val="995"/>
    <w:rPr>
      <w:vanish w:val="0"/>
      <w:sz w:val="20"/>
    </w:rPr>
  </w:style>
  <w:style w:type="character" w:styleId="1068">
    <w:name w:val="标题 3 Char"/>
    <w:next w:val="1068"/>
    <w:link w:val="995"/>
    <w:rPr>
      <w:b/>
      <w:vanish w:val="0"/>
      <w:sz w:val="20"/>
    </w:rPr>
  </w:style>
  <w:style w:type="character" w:styleId="1069">
    <w:name w:val="正文缩进 Char,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
    <w:next w:val="1069"/>
    <w:link w:val="995"/>
    <w:rPr>
      <w:vanish w:val="0"/>
      <w:sz w:val="20"/>
    </w:rPr>
  </w:style>
  <w:style w:type="character" w:styleId="1070">
    <w:name w:val="a-size-large1"/>
    <w:next w:val="1070"/>
    <w:link w:val="995"/>
    <w:rPr>
      <w:vanish w:val="0"/>
      <w:sz w:val="20"/>
    </w:rPr>
  </w:style>
  <w:style w:type="paragraph" w:styleId="1071">
    <w:name w:val=" Char Char Char Char Char Char Char Char"/>
    <w:basedOn w:val="995"/>
    <w:next w:val="1037"/>
    <w:link w:val="995"/>
    <w:pPr>
      <w:ind w:left="0" w:firstLine="0"/>
      <w:jc w:val="both"/>
      <w:spacing w:before="0" w:after="0" w:line="240" w:lineRule="auto"/>
      <w:widowControl w:val="off"/>
    </w:pPr>
    <w:rPr>
      <w:rFonts w:ascii="Times New Roman" w:eastAsia="宋体"/>
      <w:caps w:val="0"/>
      <w:smallCaps w:val="0"/>
      <w:vanish w:val="0"/>
      <w:sz w:val="21"/>
    </w:rPr>
  </w:style>
  <w:style w:type="paragraph" w:styleId="1072">
    <w:name w:val=" Char Char4 Char"/>
    <w:basedOn w:val="995"/>
    <w:next w:val="1073"/>
    <w:link w:val="995"/>
    <w:pPr>
      <w:ind w:left="0" w:firstLine="0"/>
      <w:jc w:val="both"/>
      <w:spacing w:before="0" w:after="0" w:line="240" w:lineRule="auto"/>
      <w:widowControl w:val="off"/>
    </w:pPr>
    <w:rPr>
      <w:rFonts w:ascii="Tahoma" w:eastAsia="宋体"/>
      <w:caps w:val="0"/>
      <w:smallCaps w:val="0"/>
      <w:vanish w:val="0"/>
      <w:sz w:val="24"/>
    </w:rPr>
  </w:style>
  <w:style w:type="paragraph" w:styleId="1073">
    <w:name w:val="彩色列表 - 着色 11"/>
    <w:basedOn w:val="995"/>
    <w:next w:val="995"/>
    <w:link w:val="995"/>
    <w:pPr>
      <w:ind w:left="0" w:firstLine="420"/>
      <w:jc w:val="both"/>
      <w:spacing w:before="0" w:after="0" w:line="240" w:lineRule="auto"/>
      <w:widowControl w:val="off"/>
    </w:pPr>
    <w:rPr>
      <w:rFonts w:ascii="Calibri" w:eastAsia="宋体"/>
      <w:caps w:val="0"/>
      <w:smallCaps w:val="0"/>
      <w:vanish w:val="0"/>
      <w:sz w:val="21"/>
    </w:rPr>
  </w:style>
  <w:style w:type="paragraph" w:styleId="1074">
    <w:name w:val="段"/>
    <w:next w:val="995"/>
    <w:link w:val="995"/>
    <w:qFormat/>
    <w:pPr>
      <w:ind w:firstLine="200"/>
      <w:jc w:val="both"/>
      <w:spacing w:line="360" w:lineRule="auto"/>
    </w:pPr>
    <w:rPr>
      <w:rFonts w:ascii="宋体"/>
      <w:sz w:val="24"/>
      <w:szCs w:val="22"/>
      <w:lang w:val="en-US" w:eastAsia="zh-CN" w:bidi="ar-SA"/>
    </w:rPr>
  </w:style>
  <w:style w:type="paragraph" w:styleId="1075">
    <w:name w:val="列表内容"/>
    <w:basedOn w:val="995"/>
    <w:next w:val="995"/>
    <w:link w:val="995"/>
    <w:pPr>
      <w:ind w:left="840" w:hanging="420"/>
      <w:jc w:val="both"/>
      <w:spacing w:before="0" w:after="0" w:line="240" w:lineRule="auto"/>
      <w:widowControl/>
    </w:pPr>
    <w:rPr>
      <w:rFonts w:ascii="Times New Roman" w:eastAsia="宋体"/>
      <w:caps w:val="0"/>
      <w:smallCaps w:val="0"/>
      <w:vanish w:val="0"/>
      <w:sz w:val="18"/>
    </w:rPr>
  </w:style>
  <w:style w:type="paragraph" w:styleId="1076">
    <w:name w:val="Plain Text"/>
    <w:basedOn w:val="995"/>
    <w:next w:val="995"/>
    <w:link w:val="995"/>
    <w:pPr>
      <w:ind w:left="0" w:firstLine="0"/>
      <w:jc w:val="both"/>
      <w:spacing w:before="0" w:after="0" w:line="240" w:lineRule="auto"/>
      <w:widowControl w:val="off"/>
    </w:pPr>
    <w:rPr>
      <w:rFonts w:ascii="宋体" w:eastAsia="楷体_GB2312"/>
      <w:caps w:val="0"/>
      <w:smallCaps w:val="0"/>
      <w:vanish w:val="0"/>
      <w:sz w:val="28"/>
    </w:rPr>
  </w:style>
  <w:style w:type="paragraph" w:styleId="1077">
    <w:name w:val=" Char"/>
    <w:basedOn w:val="995"/>
    <w:next w:val="995"/>
    <w:link w:val="995"/>
    <w:pPr>
      <w:ind w:left="960" w:hanging="420"/>
      <w:jc w:val="both"/>
      <w:spacing w:before="0" w:after="0" w:line="240" w:lineRule="auto"/>
      <w:widowControl w:val="off"/>
    </w:pPr>
    <w:rPr>
      <w:rFonts w:ascii="Times New Roman" w:eastAsia="宋体"/>
      <w:caps w:val="0"/>
      <w:smallCaps w:val="0"/>
      <w:vanish w:val="0"/>
      <w:sz w:val="24"/>
    </w:rPr>
  </w:style>
  <w:style w:type="paragraph" w:styleId="1078">
    <w:name w:val="首行缩进"/>
    <w:basedOn w:val="995"/>
    <w:next w:val="1078"/>
    <w:link w:val="995"/>
    <w:qFormat/>
    <w:pPr>
      <w:ind w:firstLine="480"/>
    </w:pPr>
    <w:rPr>
      <w:szCs w:val="20"/>
      <w:lang w:val="zh-CN"/>
    </w:rPr>
  </w:style>
  <w:style w:type="paragraph" w:styleId="1079">
    <w:name w:val="+正文"/>
    <w:basedOn w:val="995"/>
    <w:next w:val="1079"/>
    <w:link w:val="995"/>
    <w:qFormat/>
    <w:pPr>
      <w:ind w:firstLine="200"/>
      <w:spacing w:line="360" w:lineRule="auto"/>
    </w:pPr>
    <w:rPr>
      <w:rFonts w:ascii="Calibri" w:hAnsi="Calibri" w:eastAsia="宋体"/>
      <w:sz w:val="24"/>
    </w:rPr>
  </w:style>
  <w:style w:type="paragraph" w:styleId="1080">
    <w:name w:val="Default"/>
    <w:next w:val="995"/>
    <w:link w:val="995"/>
    <w:pPr>
      <w:widowControl w:val="off"/>
    </w:pPr>
    <w:rPr>
      <w:color w:val="000000"/>
      <w:sz w:val="24"/>
      <w:lang w:val="en-US" w:eastAsia="zh-CN" w:bidi="ar-SA"/>
    </w:rPr>
  </w:style>
  <w:style w:type="paragraph" w:styleId="1081">
    <w:name w:val="Char Char Char Char Char Char Char Char Char1 Char"/>
    <w:next w:val="1010"/>
    <w:link w:val="995"/>
    <w:pPr>
      <w:jc w:val="both"/>
      <w:spacing w:line="360" w:lineRule="auto"/>
      <w:shd w:val="clear" w:color="000000" w:fill="000080"/>
      <w:widowControl w:val="off"/>
    </w:pPr>
    <w:rPr>
      <w:sz w:val="21"/>
      <w:lang w:val="en-US" w:eastAsia="zh-CN" w:bidi="ar-SA"/>
    </w:rPr>
  </w:style>
  <w:style w:type="paragraph" w:styleId="1082">
    <w:name w:val="目录 61"/>
    <w:next w:val="995"/>
    <w:link w:val="995"/>
    <w:pPr>
      <w:ind w:left="1700"/>
      <w:jc w:val="both"/>
    </w:pPr>
    <w:rPr>
      <w:sz w:val="21"/>
      <w:lang w:val="en-US" w:eastAsia="zh-CN" w:bidi="ar-SA"/>
    </w:rPr>
  </w:style>
  <w:style w:type="paragraph" w:styleId="1083">
    <w:name w:val="p0"/>
    <w:basedOn w:val="995"/>
    <w:next w:val="1028"/>
    <w:link w:val="995"/>
    <w:pPr>
      <w:ind w:left="0" w:firstLine="0"/>
      <w:jc w:val="both"/>
      <w:spacing w:before="0" w:after="0" w:line="240" w:lineRule="auto"/>
      <w:widowControl/>
    </w:pPr>
    <w:rPr>
      <w:rFonts w:ascii="Times New Roman" w:eastAsia="宋体"/>
      <w:caps w:val="0"/>
      <w:smallCaps w:val="0"/>
      <w:vanish w:val="0"/>
      <w:sz w:val="26"/>
    </w:rPr>
  </w:style>
  <w:style w:type="paragraph" w:styleId="1084">
    <w:name w:val="规范正文"/>
    <w:basedOn w:val="995"/>
    <w:next w:val="1085"/>
    <w:link w:val="995"/>
    <w:pPr>
      <w:ind w:left="480" w:firstLine="0"/>
      <w:jc w:val="both"/>
      <w:spacing w:before="0" w:after="0" w:line="360" w:lineRule="auto"/>
      <w:widowControl w:val="off"/>
    </w:pPr>
    <w:rPr>
      <w:rFonts w:ascii="Times New Roman" w:eastAsia="宋体"/>
      <w:caps w:val="0"/>
      <w:smallCaps w:val="0"/>
      <w:vanish w:val="0"/>
      <w:sz w:val="24"/>
    </w:rPr>
  </w:style>
  <w:style w:type="paragraph" w:styleId="1085">
    <w:name w:val="TOC 标题1"/>
    <w:next w:val="995"/>
    <w:link w:val="995"/>
    <w:qFormat/>
    <w:rPr>
      <w:sz w:val="32"/>
      <w:lang w:val="en-US" w:eastAsia="zh-CN" w:bidi="ar-SA"/>
    </w:rPr>
  </w:style>
  <w:style w:type="paragraph" w:styleId="1086">
    <w:name w:val="默认段落字体 Para Char Char Char Char Char Char Char"/>
    <w:basedOn w:val="995"/>
    <w:next w:val="995"/>
    <w:link w:val="995"/>
    <w:pPr>
      <w:ind w:left="0" w:firstLine="0"/>
      <w:jc w:val="both"/>
      <w:spacing w:before="0" w:after="0" w:line="360" w:lineRule="auto"/>
      <w:widowControl w:val="off"/>
    </w:pPr>
    <w:rPr>
      <w:rFonts w:ascii="Tahoma" w:eastAsia="宋体"/>
      <w:caps w:val="0"/>
      <w:smallCaps w:val="0"/>
      <w:vanish w:val="0"/>
      <w:sz w:val="24"/>
    </w:rPr>
  </w:style>
  <w:style w:type="paragraph" w:styleId="1087">
    <w:name w:val="无间隔"/>
    <w:next w:val="1087"/>
    <w:link w:val="995"/>
    <w:qFormat/>
    <w:pPr>
      <w:jc w:val="both"/>
      <w:widowControl w:val="off"/>
    </w:pPr>
    <w:rPr>
      <w:sz w:val="21"/>
      <w:szCs w:val="24"/>
      <w:lang w:val="en-US" w:eastAsia="zh-CN" w:bidi="ar-SA"/>
    </w:rPr>
  </w:style>
  <w:style w:type="paragraph" w:styleId="1088">
    <w:name w:val="明显引用"/>
    <w:next w:val="995"/>
    <w:link w:val="995"/>
    <w:qFormat/>
    <w:pPr>
      <w:ind w:left="950" w:right="950"/>
      <w:jc w:val="center"/>
      <w:spacing w:before="360" w:after="360"/>
    </w:pPr>
    <w:rPr>
      <w:i/>
      <w:sz w:val="21"/>
      <w:lang w:val="en-US" w:eastAsia="zh-CN" w:bidi="ar-SA"/>
    </w:rPr>
  </w:style>
  <w:style w:type="paragraph" w:styleId="1089">
    <w:name w:val="Table Paragraph"/>
    <w:basedOn w:val="995"/>
    <w:next w:val="1089"/>
    <w:link w:val="995"/>
    <w:uiPriority w:val="1"/>
    <w:qFormat/>
    <w:pPr>
      <w:ind w:firstLine="0"/>
      <w:jc w:val="left"/>
      <w:spacing w:line="240" w:lineRule="auto"/>
    </w:pPr>
    <w:rPr>
      <w:rFonts w:eastAsia="宋体"/>
      <w:sz w:val="22"/>
      <w:lang w:eastAsia="en-US"/>
    </w:rPr>
  </w:style>
  <w:style w:type="paragraph" w:styleId="1090">
    <w:name w:val="目录 41"/>
    <w:next w:val="995"/>
    <w:link w:val="995"/>
    <w:pPr>
      <w:ind w:left="850"/>
      <w:jc w:val="both"/>
    </w:pPr>
    <w:rPr>
      <w:sz w:val="21"/>
      <w:lang w:val="en-US" w:eastAsia="zh-CN" w:bidi="ar-SA"/>
    </w:rPr>
  </w:style>
  <w:style w:type="paragraph" w:styleId="1091">
    <w:name w:val="Char Char Char"/>
    <w:basedOn w:val="995"/>
    <w:next w:val="995"/>
    <w:link w:val="995"/>
    <w:pPr>
      <w:ind w:left="0" w:firstLine="0"/>
      <w:jc w:val="both"/>
      <w:spacing w:before="0" w:after="0" w:line="240" w:lineRule="auto"/>
      <w:widowControl w:val="off"/>
    </w:pPr>
    <w:rPr>
      <w:rFonts w:ascii="Tahoma" w:eastAsia="宋体"/>
      <w:caps w:val="0"/>
      <w:smallCaps w:val="0"/>
      <w:vanish w:val="0"/>
      <w:sz w:val="24"/>
    </w:rPr>
  </w:style>
  <w:style w:type="paragraph" w:styleId="1092">
    <w:name w:val="目录 31"/>
    <w:next w:val="995"/>
    <w:link w:val="995"/>
    <w:pPr>
      <w:ind w:left="425"/>
      <w:jc w:val="both"/>
    </w:pPr>
    <w:rPr>
      <w:sz w:val="21"/>
      <w:lang w:val="en-US" w:eastAsia="zh-CN" w:bidi="ar-SA"/>
    </w:rPr>
  </w:style>
  <w:style w:type="paragraph" w:styleId="1093">
    <w:name w:val="目录 32"/>
    <w:basedOn w:val="995"/>
    <w:next w:val="995"/>
    <w:link w:val="995"/>
    <w:pPr>
      <w:ind w:left="840" w:firstLine="0"/>
      <w:jc w:val="both"/>
      <w:spacing w:before="0" w:after="0" w:line="240" w:lineRule="auto"/>
      <w:widowControl w:val="off"/>
    </w:pPr>
    <w:rPr>
      <w:rFonts w:ascii="Times New Roman" w:eastAsia="宋体"/>
      <w:caps w:val="0"/>
      <w:smallCaps w:val="0"/>
      <w:vanish w:val="0"/>
      <w:sz w:val="21"/>
    </w:rPr>
  </w:style>
  <w:style w:type="paragraph" w:styleId="1094">
    <w:name w:val="表格正文 居中"/>
    <w:basedOn w:val="995"/>
    <w:next w:val="1095"/>
    <w:link w:val="995"/>
    <w:pPr>
      <w:ind w:left="0" w:firstLine="0"/>
      <w:jc w:val="center"/>
      <w:spacing w:before="0" w:after="0" w:line="240" w:lineRule="auto"/>
      <w:widowControl w:val="off"/>
    </w:pPr>
    <w:rPr>
      <w:rFonts w:ascii="宋体" w:eastAsia="宋体"/>
      <w:caps w:val="0"/>
      <w:smallCaps w:val="0"/>
      <w:vanish w:val="0"/>
      <w:sz w:val="21"/>
    </w:rPr>
  </w:style>
  <w:style w:type="paragraph" w:styleId="1095">
    <w:name w:val="表格正文"/>
    <w:basedOn w:val="995"/>
    <w:next w:val="1092"/>
    <w:link w:val="995"/>
    <w:pPr>
      <w:ind w:left="0" w:firstLine="0"/>
      <w:jc w:val="both"/>
      <w:spacing w:before="0" w:after="0" w:line="240" w:lineRule="auto"/>
      <w:widowControl w:val="off"/>
    </w:pPr>
    <w:rPr>
      <w:rFonts w:ascii="宋体" w:eastAsia="宋体"/>
      <w:caps w:val="0"/>
      <w:smallCaps w:val="0"/>
      <w:vanish w:val="0"/>
      <w:color w:val="000000"/>
      <w:sz w:val="22"/>
    </w:rPr>
  </w:style>
  <w:style w:type="paragraph" w:styleId="1096">
    <w:name w:val=" Char Char1"/>
    <w:basedOn w:val="995"/>
    <w:next w:val="995"/>
    <w:link w:val="995"/>
    <w:pPr>
      <w:ind w:left="0" w:firstLine="0"/>
      <w:jc w:val="both"/>
      <w:spacing w:before="0" w:after="160" w:line="240" w:lineRule="exact"/>
      <w:widowControl/>
    </w:pPr>
    <w:rPr>
      <w:rFonts w:ascii="Verdana" w:eastAsia="宋体"/>
      <w:caps w:val="0"/>
      <w:smallCaps w:val="0"/>
      <w:vanish w:val="0"/>
      <w:sz w:val="20"/>
    </w:rPr>
  </w:style>
  <w:style w:type="paragraph" w:styleId="1097">
    <w:name w:val="a"/>
    <w:basedOn w:val="995"/>
    <w:next w:val="1097"/>
    <w:link w:val="995"/>
    <w:pPr>
      <w:jc w:val="left"/>
      <w:spacing w:before="100" w:beforeAutospacing="1" w:after="100" w:afterAutospacing="1"/>
      <w:widowControl/>
    </w:pPr>
    <w:rPr>
      <w:rFonts w:ascii="宋体" w:hAnsi="宋体" w:cs="宋体"/>
      <w:sz w:val="24"/>
      <w:szCs w:val="24"/>
    </w:rPr>
  </w:style>
  <w:style w:type="paragraph" w:styleId="1098">
    <w:name w:val=" Char Char4 Char Char"/>
    <w:basedOn w:val="995"/>
    <w:next w:val="995"/>
    <w:link w:val="995"/>
    <w:pPr>
      <w:ind w:left="0" w:firstLine="0"/>
      <w:jc w:val="both"/>
      <w:spacing w:before="0" w:after="0" w:line="240" w:lineRule="auto"/>
      <w:widowControl w:val="off"/>
    </w:pPr>
    <w:rPr>
      <w:rFonts w:ascii="Tahoma" w:eastAsia="宋体"/>
      <w:caps w:val="0"/>
      <w:smallCaps w:val="0"/>
      <w:vanish w:val="0"/>
      <w:sz w:val="24"/>
    </w:rPr>
  </w:style>
  <w:style w:type="paragraph" w:styleId="1099">
    <w:name w:val="正文 A"/>
    <w:next w:val="1099"/>
    <w:link w:val="995"/>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00">
    <w:name w:val="列出段落"/>
    <w:basedOn w:val="995"/>
    <w:next w:val="1100"/>
    <w:link w:val="995"/>
    <w:uiPriority w:val="34"/>
    <w:qFormat/>
    <w:pPr>
      <w:ind w:left="0" w:firstLine="420"/>
      <w:jc w:val="both"/>
      <w:spacing w:before="0" w:after="0" w:line="360" w:lineRule="auto"/>
      <w:widowControl w:val="off"/>
    </w:pPr>
    <w:rPr>
      <w:rFonts w:ascii="Times New Roman" w:eastAsia="宋体"/>
      <w:caps w:val="0"/>
      <w:smallCaps w:val="0"/>
      <w:vanish w:val="0"/>
      <w:sz w:val="21"/>
    </w:rPr>
  </w:style>
  <w:style w:type="paragraph" w:styleId="1101">
    <w:name w:val="表格标题"/>
    <w:basedOn w:val="995"/>
    <w:next w:val="1084"/>
    <w:link w:val="995"/>
    <w:pPr>
      <w:ind w:left="0" w:firstLine="0"/>
      <w:jc w:val="center"/>
      <w:spacing w:before="0" w:after="0" w:line="240" w:lineRule="auto"/>
      <w:widowControl w:val="off"/>
    </w:pPr>
    <w:rPr>
      <w:rFonts w:ascii="宋体" w:eastAsia="宋体"/>
      <w:b/>
      <w:caps w:val="0"/>
      <w:smallCaps w:val="0"/>
      <w:vanish w:val="0"/>
      <w:sz w:val="21"/>
    </w:rPr>
  </w:style>
  <w:style w:type="paragraph" w:styleId="1102">
    <w:name w:val="Andy_正文"/>
    <w:basedOn w:val="995"/>
    <w:next w:val="1022"/>
    <w:link w:val="995"/>
    <w:qFormat/>
    <w:pPr>
      <w:ind w:left="0" w:firstLine="480"/>
      <w:jc w:val="both"/>
      <w:spacing w:before="0" w:after="0" w:line="360" w:lineRule="auto"/>
      <w:widowControl w:val="off"/>
    </w:pPr>
    <w:rPr>
      <w:rFonts w:ascii="Calibri" w:eastAsia="宋体"/>
      <w:caps w:val="0"/>
      <w:smallCaps w:val="0"/>
      <w:vanish w:val="0"/>
      <w:sz w:val="24"/>
    </w:rPr>
  </w:style>
  <w:style w:type="paragraph" w:styleId="1103">
    <w:name w:val="TOC 标题"/>
    <w:next w:val="995"/>
    <w:link w:val="995"/>
    <w:qFormat/>
    <w:rPr>
      <w:sz w:val="32"/>
      <w:lang w:val="en-US" w:eastAsia="zh-CN" w:bidi="ar-SA"/>
    </w:rPr>
  </w:style>
  <w:style w:type="paragraph" w:styleId="1104">
    <w:name w:val="表格1"/>
    <w:basedOn w:val="995"/>
    <w:next w:val="995"/>
    <w:link w:val="995"/>
    <w:pPr>
      <w:ind w:left="0" w:firstLine="0"/>
      <w:jc w:val="center"/>
      <w:spacing w:before="0" w:after="0" w:line="288" w:lineRule="auto"/>
      <w:widowControl w:val="off"/>
    </w:pPr>
    <w:rPr>
      <w:rFonts w:ascii="宋体" w:eastAsia="宋体"/>
      <w:caps w:val="0"/>
      <w:smallCaps w:val="0"/>
      <w:vanish w:val="0"/>
      <w:sz w:val="18"/>
    </w:rPr>
  </w:style>
  <w:style w:type="paragraph" w:styleId="1105">
    <w:name w:val="Char"/>
    <w:basedOn w:val="995"/>
    <w:next w:val="1093"/>
    <w:link w:val="995"/>
    <w:pPr>
      <w:ind w:left="0" w:firstLine="0"/>
      <w:jc w:val="both"/>
      <w:spacing w:before="0" w:after="0" w:line="240" w:lineRule="auto"/>
      <w:widowControl w:val="off"/>
    </w:pPr>
    <w:rPr>
      <w:rFonts w:ascii="Tahoma" w:eastAsia="宋体"/>
      <w:caps w:val="0"/>
      <w:smallCaps w:val="0"/>
      <w:vanish w:val="0"/>
      <w:sz w:val="24"/>
    </w:rPr>
  </w:style>
  <w:style w:type="paragraph" w:styleId="1106">
    <w:name w:val="引用"/>
    <w:next w:val="995"/>
    <w:link w:val="995"/>
    <w:qFormat/>
    <w:pPr>
      <w:ind w:left="864" w:right="864"/>
      <w:jc w:val="center"/>
      <w:spacing w:before="200" w:after="160"/>
    </w:pPr>
    <w:rPr>
      <w:i/>
      <w:sz w:val="21"/>
      <w:lang w:val="en-US" w:eastAsia="zh-CN" w:bidi="ar-SA"/>
    </w:rPr>
  </w:style>
  <w:style w:type="paragraph" w:styleId="1107">
    <w:name w:val="QB正文"/>
    <w:basedOn w:val="995"/>
    <w:next w:val="1009"/>
    <w:link w:val="995"/>
    <w:pPr>
      <w:ind w:left="0" w:firstLine="200"/>
      <w:jc w:val="both"/>
      <w:spacing w:before="0" w:after="0" w:line="240" w:lineRule="auto"/>
      <w:widowControl/>
    </w:pPr>
    <w:rPr>
      <w:rFonts w:ascii="宋体" w:eastAsia="宋体"/>
      <w:caps w:val="0"/>
      <w:smallCaps w:val="0"/>
      <w:vanish w:val="0"/>
      <w:sz w:val="21"/>
    </w:rPr>
  </w:style>
  <w:style w:type="paragraph" w:styleId="1108">
    <w:name w:val="目录 22"/>
    <w:basedOn w:val="995"/>
    <w:next w:val="995"/>
    <w:link w:val="995"/>
    <w:pPr>
      <w:ind w:left="420" w:firstLine="0"/>
      <w:jc w:val="both"/>
      <w:spacing w:before="0" w:after="0" w:line="400" w:lineRule="exact"/>
      <w:widowControl w:val="off"/>
    </w:pPr>
    <w:rPr>
      <w:rFonts w:ascii="Times New Roman" w:eastAsia="宋体"/>
      <w:b/>
      <w:caps w:val="0"/>
      <w:smallCaps w:val="0"/>
      <w:vanish w:val="0"/>
      <w:sz w:val="24"/>
    </w:rPr>
  </w:style>
  <w:style w:type="paragraph" w:styleId="1109">
    <w:name w:val="列出段落1"/>
    <w:basedOn w:val="995"/>
    <w:next w:val="1013"/>
    <w:link w:val="995"/>
    <w:pPr>
      <w:ind w:left="0" w:firstLine="200"/>
      <w:jc w:val="both"/>
      <w:spacing w:before="0" w:after="0" w:line="360" w:lineRule="auto"/>
      <w:widowControl w:val="off"/>
    </w:pPr>
    <w:rPr>
      <w:rFonts w:ascii="Calibri" w:eastAsia="宋体"/>
      <w:caps w:val="0"/>
      <w:smallCaps w:val="0"/>
      <w:vanish w:val="0"/>
      <w:sz w:val="22"/>
    </w:rPr>
  </w:style>
  <w:style w:type="paragraph" w:styleId="1110">
    <w:name w:val="_Style 18"/>
    <w:basedOn w:val="995"/>
    <w:next w:val="995"/>
    <w:link w:val="995"/>
    <w:pPr>
      <w:ind w:left="0" w:firstLine="0"/>
      <w:jc w:val="both"/>
      <w:spacing w:before="0" w:after="0" w:line="240" w:lineRule="auto"/>
      <w:widowControl w:val="off"/>
    </w:pPr>
    <w:rPr>
      <w:rFonts w:ascii="Tahoma" w:eastAsia="宋体"/>
      <w:caps w:val="0"/>
      <w:smallCaps w:val="0"/>
      <w:vanish w:val="0"/>
      <w:sz w:val="24"/>
    </w:rPr>
  </w:style>
  <w:style w:type="paragraph" w:styleId="1111">
    <w:name w:val="纯文本1"/>
    <w:basedOn w:val="995"/>
    <w:next w:val="995"/>
    <w:link w:val="995"/>
    <w:qFormat/>
    <w:rPr>
      <w:rFonts w:ascii="宋体" w:hAnsi="Courier New"/>
    </w:rPr>
  </w:style>
  <w:style w:type="paragraph" w:styleId="1112">
    <w:name w:val="_正文段落"/>
    <w:basedOn w:val="995"/>
    <w:next w:val="1024"/>
    <w:link w:val="995"/>
    <w:pPr>
      <w:ind w:left="0" w:firstLine="200"/>
      <w:jc w:val="both"/>
      <w:spacing w:before="50" w:after="50" w:line="360" w:lineRule="auto"/>
      <w:widowControl w:val="off"/>
    </w:pPr>
    <w:rPr>
      <w:rFonts w:ascii="Times New Roman" w:eastAsia="宋体"/>
      <w:caps w:val="0"/>
      <w:smallCaps w:val="0"/>
      <w:vanish w:val="0"/>
      <w:sz w:val="24"/>
    </w:rPr>
  </w:style>
  <w:style w:type="paragraph" w:styleId="1113">
    <w:name w:val="List Paragraph"/>
    <w:basedOn w:val="995"/>
    <w:next w:val="995"/>
    <w:link w:val="995"/>
    <w:pPr>
      <w:ind w:left="0" w:firstLine="420"/>
      <w:jc w:val="both"/>
      <w:spacing w:before="0" w:after="0" w:line="240" w:lineRule="auto"/>
      <w:widowControl w:val="off"/>
    </w:pPr>
    <w:rPr>
      <w:rFonts w:ascii="Calibri" w:eastAsia="宋体"/>
      <w:caps w:val="0"/>
      <w:smallCaps w:val="0"/>
      <w:vanish w:val="0"/>
      <w:sz w:val="21"/>
    </w:rPr>
  </w:style>
  <w:style w:type="paragraph" w:styleId="1114">
    <w:name w:val="目录 81"/>
    <w:next w:val="995"/>
    <w:link w:val="995"/>
    <w:pPr>
      <w:ind w:left="2550"/>
      <w:jc w:val="both"/>
    </w:pPr>
    <w:rPr>
      <w:sz w:val="21"/>
      <w:lang w:val="en-US" w:eastAsia="zh-CN" w:bidi="ar-SA"/>
    </w:rPr>
  </w:style>
  <w:style w:type="table" w:styleId="1115">
    <w:name w:val="Table Normal"/>
    <w:next w:val="1115"/>
    <w:link w:val="995"/>
    <w:uiPriority w:val="2"/>
    <w:unhideWhenUsed/>
    <w:qFormat/>
    <w:pPr>
      <w:widowControl w:val="off"/>
    </w:pPr>
    <w:rPr>
      <w:sz w:val="22"/>
      <w:lang w:val="en-US" w:eastAsia="en-US" w:bidi="ar-SA"/>
    </w:rPr>
    <w:tblPr/>
  </w:style>
  <w:style w:type="paragraph" w:styleId="1116">
    <w:name w:val="修订"/>
    <w:next w:val="1116"/>
    <w:link w:val="995"/>
    <w:uiPriority w:val="99"/>
    <w:unhideWhenUsed/>
    <w:rPr>
      <w:sz w:val="21"/>
      <w:lang w:val="en-US" w:eastAsia="zh-CN" w:bidi="ar-SA"/>
    </w:rPr>
  </w:style>
  <w:style w:type="character" w:styleId="1117">
    <w:name w:val="tree-title3"/>
    <w:next w:val="1117"/>
    <w:link w:val="995"/>
  </w:style>
  <w:style w:type="paragraph" w:styleId="1118">
    <w:name w:val="正文文本缩进11"/>
    <w:basedOn w:val="995"/>
    <w:next w:val="995"/>
    <w:link w:val="995"/>
    <w:unhideWhenUsed/>
    <w:qFormat/>
    <w:pPr>
      <w:ind w:left="420"/>
      <w:spacing w:after="120"/>
    </w:pPr>
  </w:style>
  <w:style w:type="table" w:styleId="1119">
    <w:name w:val="网格型1"/>
    <w:basedOn w:val="1120"/>
    <w:next w:val="1119"/>
    <w:link w:val="995"/>
    <w:qFormat/>
    <w:pPr>
      <w:jc w:val="both"/>
      <w:widowControl w:val="off"/>
    </w:pPr>
    <w:tblPr/>
  </w:style>
  <w:style w:type="table" w:styleId="1120">
    <w:name w:val="普通表格1"/>
    <w:next w:val="1120"/>
    <w:link w:val="995"/>
    <w:uiPriority w:val="99"/>
    <w:unhideWhenUsed/>
    <w:qFormat/>
    <w:rPr>
      <w:lang w:val="en-US" w:eastAsia="zh-CN" w:bidi="ar-SA"/>
    </w:rPr>
    <w:tblPr/>
  </w:style>
  <w:style w:type="paragraph" w:styleId="1121">
    <w:name w:val="Style1"/>
    <w:basedOn w:val="995"/>
    <w:next w:val="1121"/>
    <w:link w:val="995"/>
    <w:qFormat/>
    <w:pPr>
      <w:ind w:left="0"/>
      <w:tabs>
        <w:tab w:val="left" w:pos="-720" w:leader="none"/>
      </w:tabs>
    </w:pPr>
    <w:rPr>
      <w:rFonts w:ascii="Times New Roman" w:hAnsi="Times New Roman" w:cs="Times New Roman"/>
      <w:spacing w:val="-3"/>
      <w:sz w:val="24"/>
      <w:szCs w:val="24"/>
      <w:lang w:val="en-AU" w:eastAsia="en-US"/>
    </w:rPr>
  </w:style>
  <w:style w:type="paragraph" w:styleId="1122">
    <w:name w:val="_Style 111"/>
    <w:basedOn w:val="995"/>
    <w:next w:val="1100"/>
    <w:link w:val="995"/>
    <w:uiPriority w:val="34"/>
    <w:qFormat/>
    <w:pPr>
      <w:ind w:firstLine="420"/>
    </w:pPr>
    <w:rPr>
      <w:szCs w:val="24"/>
    </w:rPr>
  </w:style>
  <w:style w:type="paragraph" w:styleId="1123">
    <w:name w:val="正文缩进111"/>
    <w:basedOn w:val="995"/>
    <w:next w:val="995"/>
    <w:link w:val="995"/>
    <w:qFormat/>
    <w:pPr>
      <w:ind w:firstLine="420"/>
      <w:jc w:val="left"/>
    </w:pPr>
    <w:rPr>
      <w:sz w:val="24"/>
    </w:rPr>
  </w:style>
  <w:style w:type="paragraph" w:styleId="1124">
    <w:name w:val="正文文本缩进1"/>
    <w:basedOn w:val="995"/>
    <w:next w:val="995"/>
    <w:link w:val="995"/>
    <w:qFormat/>
    <w:pPr>
      <w:ind w:firstLine="560"/>
      <w:spacing w:line="300" w:lineRule="auto"/>
    </w:pPr>
    <w:rPr>
      <w:sz w:val="28"/>
    </w:rPr>
  </w:style>
  <w:style w:type="paragraph" w:styleId="1125">
    <w:name w:val="正文文本1"/>
    <w:basedOn w:val="995"/>
    <w:next w:val="1125"/>
    <w:link w:val="995"/>
    <w:qFormat/>
    <w:pPr>
      <w:jc w:val="center"/>
    </w:pPr>
    <w:rPr>
      <w:rFonts w:ascii="方正大黑简体" w:hAnsi="Tahoma" w:eastAsia="方正大黑简体" w:cs="Times New Roman"/>
      <w:position w:val="6"/>
      <w:sz w:val="30"/>
      <w:szCs w:val="20"/>
      <w:lang w:eastAsia="en-US"/>
    </w:rPr>
  </w:style>
  <w:style w:type="paragraph" w:styleId="1126">
    <w:name w:val="*正文"/>
    <w:basedOn w:val="995"/>
    <w:next w:val="1126"/>
    <w:link w:val="995"/>
    <w:qFormat/>
    <w:pPr>
      <w:ind w:firstLine="200"/>
    </w:pPr>
    <w:rPr>
      <w:rFonts w:ascii="宋体" w:hAnsi="宋体"/>
      <w:szCs w:val="22"/>
    </w:rPr>
  </w:style>
  <w:style w:type="paragraph" w:styleId="1127">
    <w:name w:val="_Style 91"/>
    <w:next w:val="1127"/>
    <w:link w:val="995"/>
    <w:uiPriority w:val="99"/>
    <w:qFormat/>
    <w:pPr>
      <w:ind w:firstLine="420"/>
      <w:jc w:val="both"/>
      <w:widowControl w:val="off"/>
    </w:pPr>
    <w:rPr>
      <w:rFonts w:ascii="Calibri" w:hAnsi="Calibri" w:eastAsia="宋体" w:cs="Times New Roman"/>
      <w:sz w:val="21"/>
      <w:szCs w:val="22"/>
      <w:lang w:val="en-US" w:eastAsia="zh-CN" w:bidi="ar-SA"/>
    </w:rPr>
  </w:style>
  <w:style w:type="character" w:styleId="1128" w:default="1">
    <w:name w:val="Default Paragraph Font"/>
    <w:uiPriority w:val="1"/>
    <w:semiHidden/>
    <w:unhideWhenUsed/>
  </w:style>
  <w:style w:type="numbering" w:styleId="1129" w:default="1">
    <w:name w:val="No List"/>
    <w:uiPriority w:val="99"/>
    <w:semiHidden/>
    <w:unhideWhenUsed/>
  </w:style>
  <w:style w:type="table" w:styleId="11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苏州海企国际工</dc:creator>
  <cp:lastModifiedBy>王雨</cp:lastModifiedBy>
  <cp:revision>5</cp:revision>
  <dcterms:created xsi:type="dcterms:W3CDTF">2025-12-04T09:48:00Z</dcterms:created>
  <dcterms:modified xsi:type="dcterms:W3CDTF">2026-10-09T08:02:47Z</dcterms:modified>
</cp:coreProperties>
</file>