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3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38"/>
        <w:ind w:firstLine="640"/>
        <w:jc w:val="left"/>
        <w:keepLines w:val="0"/>
        <w:keepNext w:val="0"/>
        <w:pageBreakBefore w:val="0"/>
        <w:spacing w:before="120" w:after="120" w:line="660" w:lineRule="exact"/>
        <w:widowControl w:val="off"/>
        <w:rPr>
          <w:rFonts w:hint="eastAsia" w:ascii="Arial" w:hAnsi="Arial"/>
          <w:b/>
          <w:bCs/>
          <w:color w:val="000000"/>
          <w:sz w:val="32"/>
          <w:szCs w:val="24"/>
        </w:rPr>
      </w:pPr>
      <w:r>
        <w:rPr>
          <w:rFonts w:hint="eastAsia" w:ascii="Arial" w:hAnsi="Arial"/>
          <w:b/>
          <w:bCs/>
          <w:color w:val="000000"/>
          <w:sz w:val="32"/>
          <w:szCs w:val="24"/>
        </w:rPr>
      </w:r>
      <w:r/>
    </w:p>
    <w:p>
      <w:pPr>
        <w:pStyle w:val="938"/>
        <w:ind w:firstLine="640"/>
        <w:jc w:val="left"/>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项目名称：新大楼智能指挥中心建设项目</w:t>
      </w:r>
      <w:r>
        <w:rPr>
          <w:rFonts w:hint="eastAsia" w:ascii="宋体" w:hAnsi="宋体" w:eastAsia="宋体" w:cs="宋体"/>
          <w:b/>
          <w:bCs/>
          <w:color w:val="000000"/>
          <w:sz w:val="32"/>
          <w:szCs w:val="32"/>
        </w:rPr>
      </w:r>
      <w:r/>
    </w:p>
    <w:p>
      <w:pPr>
        <w:pStyle w:val="938"/>
        <w:ind w:firstLine="640"/>
        <w:keepLines w:val="0"/>
        <w:keepNext w:val="0"/>
        <w:pageBreakBefore w:val="0"/>
        <w:spacing w:before="120" w:after="120" w:line="660" w:lineRule="exact"/>
        <w:widowControl w:val="off"/>
        <w:rPr>
          <w:rFonts w:ascii="Arial" w:hAnsi="Arial"/>
          <w:b/>
          <w:bCs/>
          <w:sz w:val="32"/>
          <w:szCs w:val="24"/>
          <w:lang w:val="en-US"/>
        </w:rPr>
      </w:pPr>
      <w:r>
        <w:rPr>
          <w:rFonts w:hint="eastAsia" w:ascii="宋体" w:hAnsi="宋体" w:eastAsia="宋体" w:cs="宋体"/>
          <w:b/>
          <w:bCs/>
          <w:sz w:val="32"/>
          <w:szCs w:val="32"/>
          <w:lang w:eastAsia="zh-CN"/>
        </w:rPr>
        <w:t xml:space="preserve">采购编号</w:t>
      </w:r>
      <w:r>
        <w:rPr>
          <w:rFonts w:hint="eastAsia" w:ascii="宋体" w:hAnsi="宋体" w:eastAsia="宋体" w:cs="宋体"/>
          <w:b/>
          <w:bCs/>
          <w:sz w:val="32"/>
          <w:szCs w:val="32"/>
        </w:rPr>
        <w:t xml:space="preserve">：</w:t>
      </w:r>
      <w:r>
        <w:rPr>
          <w:rFonts w:hint="eastAsia" w:ascii="Arial" w:hAnsi="Arial"/>
          <w:b/>
          <w:bCs/>
          <w:sz w:val="32"/>
          <w:szCs w:val="24"/>
        </w:rPr>
        <w:t xml:space="preserve">JSZC-320000-</w:t>
      </w:r>
      <w:r>
        <w:rPr>
          <w:rFonts w:hint="eastAsia" w:ascii="Arial" w:hAnsi="Arial"/>
          <w:b/>
          <w:bCs/>
          <w:sz w:val="32"/>
          <w:szCs w:val="24"/>
          <w:lang w:val="en-US" w:eastAsia="zh-CN"/>
        </w:rPr>
        <w:t xml:space="preserve">SCZX-G2026-0392</w:t>
      </w:r>
      <w:r>
        <w:rPr>
          <w:rFonts w:ascii="Arial" w:hAnsi="Arial"/>
          <w:b/>
          <w:bCs/>
          <w:sz w:val="32"/>
          <w:szCs w:val="24"/>
          <w:lang w:val="en-US"/>
        </w:rPr>
      </w:r>
      <w:r/>
    </w:p>
    <w:p>
      <w:pPr>
        <w:pStyle w:val="938"/>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38"/>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38"/>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38"/>
        <w:jc w:val="left"/>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38"/>
        <w:jc w:val="left"/>
        <w:keepLines w:val="0"/>
        <w:keepNext w:val="0"/>
        <w:pageBreakBefore w:val="0"/>
        <w:spacing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938"/>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江苏省政府采购中心</w:t>
      </w:r>
      <w:r>
        <w:rPr>
          <w:rFonts w:hint="eastAsia" w:ascii="宋体" w:hAnsi="宋体" w:eastAsia="宋体" w:cs="宋体"/>
          <w:b/>
          <w:bCs/>
          <w:color w:val="000000"/>
          <w:sz w:val="32"/>
          <w:szCs w:val="32"/>
        </w:rPr>
      </w:r>
      <w:r/>
    </w:p>
    <w:p>
      <w:pPr>
        <w:pStyle w:val="938"/>
        <w:jc w:val="center"/>
        <w:keepLines w:val="0"/>
        <w:keepNext w:val="0"/>
        <w:pageBreakBefore w:val="0"/>
        <w:spacing w:before="120" w:after="120" w:line="660" w:lineRule="exact"/>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2026</w:t>
      </w:r>
      <w:r>
        <w:rPr>
          <w:rFonts w:hint="eastAsia" w:ascii="宋体" w:hAnsi="宋体" w:eastAsia="宋体" w:cs="宋体"/>
          <w:b/>
          <w:bCs/>
          <w:color w:val="000000"/>
          <w:sz w:val="32"/>
          <w:szCs w:val="32"/>
        </w:rPr>
        <w:t xml:space="preserve">年</w:t>
      </w:r>
      <w:r>
        <w:rPr>
          <w:rFonts w:hint="eastAsia" w:ascii="宋体" w:hAnsi="宋体" w:eastAsia="宋体" w:cs="宋体"/>
          <w:b/>
          <w:bCs/>
          <w:color w:val="000000"/>
          <w:sz w:val="32"/>
          <w:szCs w:val="32"/>
          <w:lang w:val="en-US" w:eastAsia="zh-CN"/>
        </w:rPr>
        <w:t xml:space="preserve">9</w:t>
      </w:r>
      <w:r>
        <w:rPr>
          <w:rFonts w:hint="eastAsia" w:ascii="宋体" w:hAnsi="宋体" w:eastAsia="宋体" w:cs="宋体"/>
          <w:b/>
          <w:bCs/>
          <w:color w:val="000000"/>
          <w:sz w:val="32"/>
          <w:szCs w:val="32"/>
        </w:rPr>
        <w:t xml:space="preserve">月</w:t>
      </w:r>
      <w:r>
        <w:rPr>
          <w:rFonts w:hint="eastAsia" w:ascii="宋体" w:hAnsi="宋体" w:eastAsia="宋体" w:cs="宋体"/>
          <w:b/>
          <w:bCs/>
          <w:color w:val="000000"/>
          <w:sz w:val="32"/>
          <w:szCs w:val="32"/>
        </w:rPr>
      </w:r>
      <w:r/>
    </w:p>
    <w:p>
      <w:pPr>
        <w:pStyle w:val="938"/>
        <w:jc w:val="left"/>
        <w:spacing w:before="120" w:after="120" w:line="360" w:lineRule="auto"/>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u w:val="single"/>
        </w:rPr>
      </w:r>
      <w:r/>
    </w:p>
    <w:p>
      <w:pPr>
        <w:pStyle w:val="93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8"/>
        <w:jc w:val="center"/>
        <w:keepLines w:val="0"/>
        <w:keepNext w:val="0"/>
        <w:pageBreakBefore w:val="0"/>
        <w:spacing w:line="660" w:lineRule="exact"/>
        <w:widowControl w:val="off"/>
        <w:rPr>
          <w:rFonts w:hint="eastAsia" w:ascii="黑体" w:hAnsi="黑体" w:eastAsia="黑体" w:cs="黑体"/>
          <w:b/>
          <w:color w:val="000000"/>
          <w:sz w:val="36"/>
          <w:szCs w:val="36"/>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hint="eastAsia" w:ascii="黑体" w:hAnsi="黑体" w:eastAsia="黑体" w:cs="黑体"/>
          <w:b w:val="0"/>
          <w:bCs/>
          <w:color w:val="000000"/>
          <w:sz w:val="36"/>
          <w:szCs w:val="36"/>
        </w:rPr>
        <w:t xml:space="preserve">总  目  录</w:t>
      </w:r>
      <w:r>
        <w:rPr>
          <w:rFonts w:hint="eastAsia" w:ascii="黑体" w:hAnsi="黑体" w:eastAsia="黑体" w:cs="黑体"/>
          <w:b/>
          <w:color w:val="000000"/>
          <w:sz w:val="36"/>
          <w:szCs w:val="36"/>
        </w:rPr>
      </w:r>
      <w:r/>
    </w:p>
    <w:p>
      <w:pPr>
        <w:pStyle w:val="938"/>
        <w:spacing w:line="480" w:lineRule="auto"/>
        <w:rPr>
          <w:rFonts w:hint="eastAsia" w:ascii="黑体" w:hAnsi="黑体" w:eastAsia="黑体" w:cs="黑体"/>
          <w:b/>
          <w:color w:val="000000"/>
          <w:sz w:val="36"/>
          <w:szCs w:val="36"/>
        </w:rPr>
      </w:pPr>
      <w:r>
        <w:rPr>
          <w:rFonts w:hint="eastAsia" w:ascii="黑体" w:hAnsi="黑体" w:eastAsia="黑体" w:cs="黑体"/>
          <w:b/>
          <w:color w:val="000000"/>
          <w:sz w:val="36"/>
          <w:szCs w:val="36"/>
        </w:rPr>
      </w:r>
      <w:r/>
    </w:p>
    <w:p>
      <w:pPr>
        <w:pStyle w:val="938"/>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第一章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投标邀请……………………………………</w:t>
      </w:r>
      <w:r>
        <w:rPr>
          <w:rFonts w:hint="eastAsia" w:ascii="黑体" w:hAnsi="黑体" w:eastAsia="黑体" w:cs="黑体"/>
          <w:color w:val="000000"/>
          <w:sz w:val="36"/>
          <w:szCs w:val="36"/>
        </w:rPr>
      </w:r>
      <w:r/>
    </w:p>
    <w:p>
      <w:pPr>
        <w:pStyle w:val="938"/>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第二章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  </w:t>
      </w:r>
      <w:r>
        <w:rPr>
          <w:rFonts w:hint="eastAsia" w:ascii="黑体" w:hAnsi="黑体" w:eastAsia="黑体" w:cs="黑体"/>
          <w:color w:val="000000"/>
          <w:sz w:val="36"/>
          <w:szCs w:val="36"/>
        </w:rPr>
      </w:r>
      <w:r/>
    </w:p>
    <w:p>
      <w:pPr>
        <w:pStyle w:val="938"/>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第三章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合同文本……………………………………</w:t>
      </w:r>
      <w:r>
        <w:rPr>
          <w:rFonts w:hint="eastAsia" w:ascii="黑体" w:hAnsi="黑体" w:eastAsia="黑体" w:cs="黑体"/>
          <w:color w:val="000000"/>
          <w:sz w:val="36"/>
          <w:szCs w:val="36"/>
        </w:rPr>
      </w:r>
      <w:r/>
    </w:p>
    <w:p>
      <w:pPr>
        <w:pStyle w:val="938"/>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第四章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采购需求……………………………………</w:t>
      </w:r>
      <w:r>
        <w:rPr>
          <w:rFonts w:hint="eastAsia" w:ascii="黑体" w:hAnsi="黑体" w:eastAsia="黑体" w:cs="黑体"/>
          <w:color w:val="000000"/>
          <w:sz w:val="36"/>
          <w:szCs w:val="36"/>
        </w:rPr>
      </w:r>
      <w:r/>
    </w:p>
    <w:p>
      <w:pPr>
        <w:pStyle w:val="938"/>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bCs/>
          <w:color w:val="000000"/>
          <w:sz w:val="36"/>
          <w:szCs w:val="36"/>
          <w:lang w:eastAsia="zh-CN"/>
        </w:rPr>
        <w:t xml:space="preserve">第五章</w:t>
      </w:r>
      <w:r>
        <w:rPr>
          <w:rFonts w:hint="eastAsia" w:ascii="黑体" w:hAnsi="黑体" w:eastAsia="黑体" w:cs="黑体"/>
          <w:bCs/>
          <w:color w:val="000000"/>
          <w:sz w:val="36"/>
          <w:szCs w:val="36"/>
          <w:lang w:val="en-US" w:eastAsia="zh-CN"/>
        </w:rPr>
        <w:t xml:space="preserve"> </w:t>
      </w: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w:t>
      </w:r>
      <w:r>
        <w:rPr>
          <w:rFonts w:hint="eastAsia" w:ascii="黑体" w:hAnsi="黑体" w:eastAsia="黑体" w:cs="黑体"/>
          <w:color w:val="000000"/>
          <w:sz w:val="36"/>
          <w:szCs w:val="36"/>
        </w:rPr>
      </w:r>
      <w:r/>
    </w:p>
    <w:p>
      <w:pPr>
        <w:pStyle w:val="938"/>
        <w:numPr>
          <w:ilvl w:val="0"/>
          <w:numId w:val="0"/>
        </w:numPr>
        <w:keepLines w:val="0"/>
        <w:keepNext w:val="0"/>
        <w:pageBreakBefore w:val="0"/>
        <w:spacing w:line="660" w:lineRule="exact"/>
        <w:widowControl w:val="off"/>
        <w:rPr>
          <w:rFonts w:hint="eastAsia" w:ascii="黑体" w:hAnsi="黑体" w:eastAsia="黑体" w:cs="黑体"/>
          <w:color w:val="000000"/>
          <w:sz w:val="36"/>
          <w:szCs w:val="36"/>
        </w:rPr>
        <w:outlineLvl w:val="0"/>
      </w:pPr>
      <w:r>
        <w:rPr>
          <w:rFonts w:hint="eastAsia" w:ascii="黑体" w:hAnsi="黑体" w:eastAsia="黑体" w:cs="黑体"/>
          <w:color w:val="000000"/>
          <w:sz w:val="36"/>
          <w:szCs w:val="36"/>
          <w:lang w:eastAsia="zh-CN"/>
        </w:rPr>
        <w:t xml:space="preserve">第六章</w:t>
      </w:r>
      <w:r>
        <w:rPr>
          <w:rFonts w:hint="eastAsia" w:ascii="黑体" w:hAnsi="黑体" w:eastAsia="黑体" w:cs="黑体"/>
          <w:color w:val="000000"/>
          <w:sz w:val="36"/>
          <w:szCs w:val="36"/>
          <w:lang w:val="en-US" w:eastAsia="zh-CN"/>
        </w:rPr>
        <w:t xml:space="preserve"> </w:t>
      </w:r>
      <w:r>
        <w:rPr>
          <w:rFonts w:hint="eastAsia" w:ascii="黑体" w:hAnsi="黑体" w:eastAsia="黑体" w:cs="黑体"/>
          <w:color w:val="000000"/>
          <w:sz w:val="36"/>
          <w:szCs w:val="36"/>
        </w:rPr>
        <w:t xml:space="preserve">投标文件格式………………………………</w:t>
      </w:r>
      <w:r>
        <w:rPr>
          <w:rFonts w:hint="eastAsia" w:ascii="黑体" w:hAnsi="黑体" w:eastAsia="黑体" w:cs="黑体"/>
          <w:color w:val="000000"/>
          <w:sz w:val="36"/>
          <w:szCs w:val="36"/>
        </w:rPr>
      </w:r>
      <w:r/>
    </w:p>
    <w:p>
      <w:pPr>
        <w:pStyle w:val="938"/>
        <w:rPr>
          <w:rFonts w:hint="eastAsia" w:ascii="黑体" w:hAnsi="黑体" w:eastAsia="黑体" w:cs="黑体"/>
          <w:color w:val="000000"/>
          <w:sz w:val="36"/>
          <w:szCs w:val="36"/>
        </w:rPr>
      </w:pPr>
      <w:r>
        <w:rPr>
          <w:rFonts w:hint="eastAsia" w:ascii="黑体" w:hAnsi="黑体" w:eastAsia="黑体" w:cs="黑体"/>
          <w:color w:val="000000"/>
          <w:sz w:val="36"/>
          <w:szCs w:val="36"/>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jc w:val="center"/>
        <w:keepNext/>
        <w:rPr>
          <w:rFonts w:hint="eastAsia" w:ascii="黑体" w:hAnsi="Times New Roman" w:eastAsia="黑体"/>
          <w:color w:val="000000"/>
          <w:sz w:val="44"/>
          <w:szCs w:val="44"/>
        </w:rPr>
        <w:outlineLvl w:val="0"/>
      </w:pPr>
      <w:r>
        <w:rPr>
          <w:rFonts w:hint="eastAsia" w:ascii="黑体" w:hAnsi="Times New Roman" w:eastAsia="黑体"/>
          <w:color w:val="000000"/>
          <w:sz w:val="44"/>
          <w:szCs w:val="44"/>
          <w:highlight w:val="none"/>
        </w:rPr>
      </w:r>
      <w:r>
        <w:rPr>
          <w:rFonts w:hint="eastAsia" w:ascii="黑体" w:hAnsi="Times New Roman" w:eastAsia="黑体"/>
          <w:color w:val="000000"/>
          <w:sz w:val="44"/>
          <w:szCs w:val="44"/>
          <w:highlight w:val="none"/>
        </w:rPr>
      </w:r>
      <w:r/>
    </w:p>
    <w:p>
      <w:pPr>
        <w:pStyle w:val="938"/>
        <w:jc w:val="center"/>
        <w:keepNext/>
        <w:rPr>
          <w:rFonts w:hint="eastAsia" w:ascii="黑体" w:hAnsi="Times New Roman" w:eastAsia="黑体"/>
          <w:color w:val="000000"/>
          <w:sz w:val="44"/>
          <w:szCs w:val="44"/>
          <w:highlight w:val="none"/>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color w:val="000000"/>
          <w:sz w:val="44"/>
          <w:szCs w:val="4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受江苏食品药品职业技术学院的委托，江苏省政府采购中心就新大楼智能指挥中心建设(</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SCZX-G2026-0392</w:t>
      </w:r>
      <w:r>
        <w:rPr>
          <w:rFonts w:hint="eastAsia" w:ascii="宋体" w:hAnsi="宋体" w:eastAsia="宋体" w:cs="宋体"/>
          <w:color w:val="000000"/>
          <w:sz w:val="24"/>
          <w:szCs w:val="24"/>
        </w:rPr>
        <w:t xml:space="preserve">)项目进行公开招标采购，欢迎符合条件的供应商投标。</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rPr>
        <w:t xml:space="preserve">项目概况</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u w:val="single"/>
        </w:rPr>
        <w:t xml:space="preserve"> 新大楼智能指挥中心建设项目</w:t>
      </w:r>
      <w:r>
        <w:rPr>
          <w:rFonts w:hint="eastAsia" w:ascii="宋体" w:hAnsi="宋体" w:eastAsia="宋体" w:cs="宋体"/>
          <w:color w:val="000000"/>
          <w:sz w:val="24"/>
          <w:szCs w:val="24"/>
        </w:rPr>
        <w:t xml:space="preserve"> 招标项目的潜在投标人可在</w:t>
      </w:r>
      <w:r>
        <w:rPr>
          <w:rFonts w:hint="eastAsia" w:ascii="宋体" w:hAnsi="宋体" w:eastAsia="宋体" w:cs="宋体"/>
          <w:color w:val="000000"/>
          <w:sz w:val="24"/>
          <w:szCs w:val="24"/>
          <w:u w:val="single"/>
        </w:rPr>
        <w:t xml:space="preserve">“江苏政府采购网”自行免费下载</w:t>
      </w:r>
      <w:r>
        <w:rPr>
          <w:rFonts w:hint="eastAsia" w:ascii="宋体" w:hAnsi="宋体" w:eastAsia="宋体" w:cs="宋体"/>
          <w:color w:val="000000"/>
          <w:sz w:val="24"/>
          <w:szCs w:val="24"/>
        </w:rPr>
        <w:t xml:space="preserve">招标文件，并于</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年10</w:t>
      </w:r>
      <w:r>
        <w:rPr>
          <w:rFonts w:hint="eastAsia" w:ascii="宋体" w:hAnsi="宋体" w:eastAsia="宋体" w:cs="宋体"/>
          <w:bCs/>
          <w:color w:val="000000"/>
          <w:sz w:val="24"/>
          <w:szCs w:val="24"/>
          <w:u w:val="none"/>
        </w:rPr>
        <w:t xml:space="preserve">月13</w:t>
      </w:r>
      <w:r>
        <w:rPr>
          <w:rFonts w:hint="eastAsia" w:ascii="宋体" w:hAnsi="宋体" w:eastAsia="宋体" w:cs="宋体"/>
          <w:bCs/>
          <w:color w:val="000000"/>
          <w:sz w:val="24"/>
          <w:szCs w:val="24"/>
          <w:u w:val="none"/>
        </w:rPr>
        <w:t xml:space="preserve">日14</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rPr>
        <w:t xml:space="preserve">前递交投标文件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6" w:name="_Toc28359079"/>
      <w:r/>
      <w:bookmarkStart w:id="7" w:name="_Toc35393790"/>
      <w:r/>
      <w:bookmarkStart w:id="8" w:name="_Toc38985263"/>
      <w:r/>
      <w:bookmarkStart w:id="9" w:name="_Toc28359002"/>
      <w:r/>
      <w:bookmarkStart w:id="10" w:name="_Toc35393621"/>
      <w:r/>
      <w:bookmarkStart w:id="11" w:name="_Hlk24379207"/>
      <w:r>
        <w:rPr>
          <w:rFonts w:hint="eastAsia" w:ascii="方正黑体_GBK" w:hAnsi="方正黑体_GBK" w:eastAsia="方正黑体_GBK" w:cs="方正黑体_GBK"/>
          <w:color w:val="000000"/>
          <w:sz w:val="32"/>
          <w:szCs w:val="32"/>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rPr>
      </w:r>
      <w:r/>
    </w:p>
    <w:p>
      <w:pPr>
        <w:pStyle w:val="938"/>
        <w:ind w:firstLine="480"/>
        <w:keepLines w:val="0"/>
        <w:keepNext w:val="0"/>
        <w:pageBreakBefore w:val="0"/>
        <w:spacing w:line="560" w:lineRule="exact"/>
        <w:widowControl w:val="off"/>
        <w:rPr>
          <w:rFonts w:ascii="宋体" w:hAnsi="宋体" w:eastAsia="宋体" w:cs="宋体"/>
          <w:color w:val="000000"/>
          <w:sz w:val="24"/>
          <w:szCs w:val="24"/>
          <w:lang w:val="en-US"/>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JSZC-320000-</w:t>
      </w:r>
      <w:r>
        <w:rPr>
          <w:rFonts w:hint="eastAsia" w:ascii="宋体" w:hAnsi="宋体" w:eastAsia="宋体" w:cs="宋体"/>
          <w:color w:val="000000"/>
          <w:sz w:val="24"/>
          <w:szCs w:val="24"/>
          <w:lang w:val="en-US" w:eastAsia="zh-CN"/>
        </w:rPr>
        <w:t xml:space="preserve">SCZX-G2026-0392</w:t>
      </w:r>
      <w:r>
        <w:rPr>
          <w:rFonts w:ascii="宋体" w:hAnsi="宋体" w:eastAsia="宋体" w:cs="宋体"/>
          <w:color w:val="000000"/>
          <w:sz w:val="24"/>
          <w:szCs w:val="24"/>
          <w:lang w:val="en-US"/>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新大楼智能指挥中心建设项目</w:t>
      </w:r>
      <w:r>
        <w:rPr>
          <w:rFonts w:hint="eastAsia" w:ascii="宋体" w:hAnsi="宋体" w:eastAsia="宋体" w:cs="宋体"/>
          <w:color w:val="000000"/>
          <w:sz w:val="24"/>
          <w:szCs w:val="24"/>
          <w:lang w:eastAsia="zh-CN"/>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bookmarkEnd w:id="11"/>
      <w:r>
        <w:rPr>
          <w:rFonts w:hint="eastAsia" w:ascii="宋体" w:hAnsi="宋体" w:eastAsia="宋体" w:cs="宋体"/>
          <w:sz w:val="24"/>
          <w:szCs w:val="24"/>
        </w:rPr>
        <w:t xml:space="preserve">3.预算金额</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rHeight w:val="597"/>
        </w:trPr>
        <w:tc>
          <w:tcPr>
            <w:tcW w:w="1092" w:type="dxa"/>
            <w:vAlign w:val="top"/>
            <w:textDirection w:val="lrTb"/>
            <w:noWrap w:val="false"/>
          </w:tcPr>
          <w:p>
            <w:pPr>
              <w:pStyle w:val="938"/>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38"/>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3312" w:type="dxa"/>
            <w:vAlign w:val="top"/>
            <w:textDirection w:val="lrTb"/>
            <w:noWrap w:val="false"/>
          </w:tcPr>
          <w:p>
            <w:pPr>
              <w:pStyle w:val="938"/>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rPr>
            </w:r>
            <w:r/>
          </w:p>
          <w:p>
            <w:pPr>
              <w:pStyle w:val="938"/>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（人民币：万元）</w:t>
            </w:r>
            <w:r>
              <w:rPr>
                <w:rFonts w:hint="eastAsia" w:ascii="宋体" w:hAnsi="宋体" w:eastAsia="宋体" w:cs="宋体"/>
                <w:sz w:val="24"/>
                <w:szCs w:val="24"/>
              </w:rPr>
            </w:r>
            <w:r/>
          </w:p>
        </w:tc>
      </w:tr>
      <w:tr>
        <w:trPr/>
        <w:tc>
          <w:tcPr>
            <w:tcW w:w="1092" w:type="dxa"/>
            <w:vAlign w:val="top"/>
            <w:textDirection w:val="lrTb"/>
            <w:noWrap w:val="false"/>
          </w:tcPr>
          <w:p>
            <w:pPr>
              <w:pStyle w:val="938"/>
              <w:jc w:val="center"/>
              <w:keepLines w:val="0"/>
              <w:keepNext w:val="0"/>
              <w:pageBreakBefore w:val="0"/>
              <w:spacing w:line="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312" w:type="dxa"/>
            <w:vAlign w:val="top"/>
            <w:textDirection w:val="lrTb"/>
            <w:noWrap w:val="false"/>
          </w:tcPr>
          <w:p>
            <w:pPr>
              <w:pStyle w:val="938"/>
              <w:ind w:firstLine="960"/>
              <w:jc w:val="both"/>
              <w:keepLines w:val="0"/>
              <w:keepNext w:val="0"/>
              <w:pageBreakBefore w:val="0"/>
              <w:spacing w:line="0" w:lineRule="atLeast"/>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150</w:t>
            </w:r>
            <w:r>
              <w:rPr>
                <w:rFonts w:ascii="宋体" w:hAnsi="宋体" w:eastAsia="宋体" w:cs="宋体"/>
                <w:sz w:val="24"/>
                <w:szCs w:val="24"/>
                <w:lang w:val="en-US" w:eastAsia="zh-CN"/>
              </w:rPr>
            </w:r>
            <w:r/>
          </w:p>
        </w:tc>
      </w:tr>
    </w:tbl>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4.最高限价</w:t>
      </w:r>
      <w:r>
        <w:rPr>
          <w:rFonts w:hint="eastAsia" w:ascii="宋体" w:hAnsi="宋体" w:eastAsia="宋体" w:cs="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38"/>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rPr>
            </w:r>
            <w:r/>
          </w:p>
          <w:p>
            <w:pPr>
              <w:pStyle w:val="938"/>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rPr>
            </w:r>
            <w:r/>
          </w:p>
        </w:tc>
        <w:tc>
          <w:tcPr>
            <w:tcW w:w="3296" w:type="dxa"/>
            <w:vAlign w:val="top"/>
            <w:textDirection w:val="lrTb"/>
            <w:noWrap w:val="false"/>
          </w:tcPr>
          <w:p>
            <w:pPr>
              <w:pStyle w:val="938"/>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rPr>
            </w:r>
            <w:r/>
          </w:p>
          <w:p>
            <w:pPr>
              <w:pStyle w:val="938"/>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（人民币：万元）</w:t>
            </w:r>
            <w:r>
              <w:rPr>
                <w:rFonts w:hint="eastAsia" w:ascii="宋体" w:hAnsi="宋体" w:eastAsia="宋体" w:cs="宋体"/>
                <w:color w:val="000000"/>
                <w:sz w:val="24"/>
                <w:szCs w:val="24"/>
              </w:rPr>
            </w:r>
            <w:r/>
          </w:p>
        </w:tc>
      </w:tr>
      <w:tr>
        <w:trPr/>
        <w:tc>
          <w:tcPr>
            <w:tcW w:w="1085" w:type="dxa"/>
            <w:vAlign w:val="top"/>
            <w:textDirection w:val="lrTb"/>
            <w:noWrap w:val="false"/>
          </w:tcPr>
          <w:p>
            <w:pPr>
              <w:pStyle w:val="938"/>
              <w:jc w:val="center"/>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3296" w:type="dxa"/>
            <w:vAlign w:val="top"/>
            <w:textDirection w:val="lrTb"/>
            <w:noWrap w:val="false"/>
          </w:tcPr>
          <w:p>
            <w:pPr>
              <w:pStyle w:val="938"/>
              <w:jc w:val="center"/>
              <w:spacing w:line="0" w:lineRule="atLeas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150</w:t>
            </w:r>
            <w:r>
              <w:rPr>
                <w:rFonts w:ascii="宋体" w:hAnsi="宋体" w:eastAsia="宋体" w:cs="宋体"/>
                <w:color w:val="000000"/>
                <w:sz w:val="24"/>
                <w:szCs w:val="24"/>
                <w:lang w:val="en-US" w:eastAsia="zh-CN"/>
              </w:rPr>
            </w:r>
            <w:r/>
          </w:p>
        </w:tc>
      </w:tr>
    </w:tbl>
    <w:p>
      <w:pPr>
        <w:pStyle w:val="938"/>
        <w:ind w:firstLine="480"/>
        <w:keepLines w:val="0"/>
        <w:keepNext w:val="0"/>
        <w:pageBreakBefore w:val="0"/>
        <w:spacing w:line="5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rPr>
        <w:t xml:space="preserve">本项目拟在学校新大楼建设智能指挥中心，打造集校园运行监测、综合调度、应急指挥、数据展示、会商研判、领导决策支撑于一体的综合性指挥调度场所。建设内容包括指挥中心基础环境改造、小间距LED显示、音视频会议、分布式显控与坐席协作、集中控制、网络与综合布线、门禁安防接入、IOC综合管理平台及可视化专题应用、系统集成、数据接口对接、培训、试运行及质保运维服务。</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938"/>
        <w:ind w:firstLine="480"/>
        <w:keepLines w:val="0"/>
        <w:keepNext w:val="0"/>
        <w:pageBreakBefore w:val="0"/>
        <w:spacing w:line="560" w:lineRule="exact"/>
        <w:widowControl w:val="off"/>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6.合同履行期限：</w:t>
      </w:r>
      <w:r>
        <w:rPr>
          <w:rFonts w:hint="eastAsia" w:ascii="宋体" w:hAnsi="宋体"/>
          <w:sz w:val="24"/>
          <w:szCs w:val="24"/>
          <w:highlight w:val="none"/>
        </w:rPr>
        <w:t xml:space="preserve">合同签订后</w:t>
      </w:r>
      <w:r>
        <w:rPr>
          <w:rFonts w:hint="eastAsia" w:ascii="宋体" w:hAnsi="宋体"/>
          <w:sz w:val="24"/>
          <w:szCs w:val="24"/>
          <w:highlight w:val="none"/>
          <w:lang w:val="en-US" w:eastAsia="zh-CN"/>
        </w:rPr>
        <w:t xml:space="preserve">90</w:t>
      </w:r>
      <w:r>
        <w:rPr>
          <w:rFonts w:hint="eastAsia" w:ascii="宋体" w:hAnsi="宋体"/>
          <w:sz w:val="24"/>
          <w:szCs w:val="24"/>
          <w:highlight w:val="none"/>
        </w:rPr>
        <w:t xml:space="preserve">日内完成交付并安装调试。</w:t>
      </w:r>
      <w:r>
        <w:rPr>
          <w:rFonts w:ascii="宋体" w:hAnsi="宋体" w:eastAsia="宋体" w:cs="宋体"/>
          <w:color w:val="000000"/>
          <w:sz w:val="24"/>
          <w:szCs w:val="24"/>
          <w:highlight w:val="none"/>
          <w:u w:val="single"/>
          <w:lang w:val="en-US" w:eastAsia="zh-CN"/>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12" w:name="_Toc35393622"/>
      <w:r/>
      <w:bookmarkStart w:id="13" w:name="_Toc28359003"/>
      <w:r/>
      <w:bookmarkStart w:id="14" w:name="_Toc28359080"/>
      <w:r/>
      <w:bookmarkStart w:id="15" w:name="_Toc38985264"/>
      <w:r/>
      <w:bookmarkStart w:id="16" w:name="_Toc35393791"/>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38"/>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bookmarkStart w:id="17" w:name="_Toc38985265"/>
      <w:r/>
      <w:bookmarkStart w:id="18" w:name="_Toc35393623"/>
      <w:r/>
      <w:bookmarkStart w:id="19" w:name="_Toc28359004"/>
      <w:r/>
      <w:bookmarkStart w:id="20" w:name="_Toc35393792"/>
      <w:r/>
      <w:bookmarkStart w:id="21"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法人或者其他组织的营业执照等证明文件，自然人的身份证明；</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1.2上一年度的财务状况报告（成立不满一年无需提供）；</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1.4具备履行合同所必需的设备和专业技术能力的书面声明；</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1.5参加政府采购活动前3年内在经营活动中没有重大违法记录的书面声明。</w:t>
      </w:r>
      <w:r>
        <w:rPr>
          <w:rFonts w:hint="eastAsia" w:ascii="宋体" w:hAnsi="宋体" w:eastAsia="宋体" w:cs="宋体"/>
          <w:color w:val="000000"/>
          <w:sz w:val="24"/>
          <w:szCs w:val="24"/>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sz w:val="24"/>
          <w:szCs w:val="24"/>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3.落实政府采购政策需满足的资格要求：无</w:t>
      </w:r>
      <w:r>
        <w:rPr>
          <w:rFonts w:hint="eastAsia" w:ascii="宋体" w:hAnsi="宋体" w:eastAsia="宋体" w:cs="宋体"/>
          <w:sz w:val="24"/>
          <w:szCs w:val="24"/>
        </w:rPr>
      </w:r>
      <w:r/>
    </w:p>
    <w:p>
      <w:pPr>
        <w:pStyle w:val="938"/>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4.联合体投标</w:t>
      </w:r>
      <w:r>
        <w:rPr>
          <w:rFonts w:hint="eastAsia" w:ascii="宋体" w:hAnsi="宋体" w:eastAsia="宋体" w:cs="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2968"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是否接受联合体投标（是/否）</w:t>
            </w:r>
            <w:r>
              <w:rPr>
                <w:rFonts w:hint="eastAsia" w:ascii="宋体" w:hAnsi="宋体" w:eastAsia="宋体" w:cs="宋体"/>
                <w:sz w:val="24"/>
                <w:szCs w:val="24"/>
              </w:rPr>
            </w:r>
            <w:r/>
          </w:p>
        </w:tc>
        <w:tc>
          <w:tcPr>
            <w:tcW w:w="2967"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该采购包中联合体成员数量上限</w:t>
            </w:r>
            <w:r>
              <w:rPr>
                <w:rFonts w:hint="eastAsia" w:ascii="宋体" w:hAnsi="宋体" w:eastAsia="宋体" w:cs="宋体"/>
                <w:sz w:val="24"/>
                <w:szCs w:val="24"/>
              </w:rPr>
            </w:r>
            <w:r/>
          </w:p>
        </w:tc>
      </w:tr>
      <w:tr>
        <w:trPr/>
        <w:tc>
          <w:tcPr>
            <w:tcW w:w="1148"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968"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否</w:t>
            </w:r>
            <w:r>
              <w:rPr>
                <w:rFonts w:hint="eastAsia" w:ascii="宋体" w:hAnsi="宋体" w:eastAsia="宋体" w:cs="宋体"/>
                <w:sz w:val="24"/>
                <w:szCs w:val="24"/>
              </w:rPr>
            </w:r>
            <w:r/>
          </w:p>
        </w:tc>
        <w:tc>
          <w:tcPr>
            <w:tcW w:w="2967" w:type="dxa"/>
            <w:vAlign w:val="top"/>
            <w:textDirection w:val="lrTb"/>
            <w:noWrap w:val="false"/>
          </w:tcPr>
          <w:p>
            <w:pPr>
              <w:pStyle w:val="938"/>
              <w:jc w:val="center"/>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38"/>
        <w:ind w:firstLine="560"/>
        <w:keepLines w:val="0"/>
        <w:keepNext w:val="0"/>
        <w:pageBreakBefore w:val="0"/>
        <w:spacing w:line="56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采购</w:t>
            </w:r>
            <w:r>
              <w:rPr>
                <w:rFonts w:hint="eastAsia" w:ascii="宋体" w:hAnsi="宋体" w:eastAsia="宋体" w:cs="宋体"/>
                <w:sz w:val="24"/>
                <w:szCs w:val="24"/>
              </w:rPr>
            </w:r>
            <w:r/>
          </w:p>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包号</w:t>
            </w:r>
            <w:r>
              <w:rPr>
                <w:rFonts w:hint="eastAsia" w:ascii="宋体" w:hAnsi="宋体" w:eastAsia="宋体" w:cs="宋体"/>
                <w:sz w:val="24"/>
                <w:szCs w:val="24"/>
              </w:rPr>
            </w:r>
            <w:r/>
          </w:p>
        </w:tc>
        <w:tc>
          <w:tcPr>
            <w:tcW w:w="5921"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特定资格要求</w:t>
            </w:r>
            <w:r>
              <w:rPr>
                <w:rFonts w:hint="eastAsia" w:ascii="宋体" w:hAnsi="宋体" w:eastAsia="宋体" w:cs="宋体"/>
                <w:sz w:val="24"/>
                <w:szCs w:val="24"/>
              </w:rPr>
            </w:r>
            <w:r/>
          </w:p>
        </w:tc>
      </w:tr>
      <w:tr>
        <w:trPr/>
        <w:tc>
          <w:tcPr>
            <w:tcW w:w="1148" w:type="dxa"/>
            <w:vAlign w:val="top"/>
            <w:textDirection w:val="lrTb"/>
            <w:noWrap w:val="false"/>
          </w:tcPr>
          <w:p>
            <w:pPr>
              <w:pStyle w:val="938"/>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921" w:type="dxa"/>
            <w:vAlign w:val="top"/>
            <w:textDirection w:val="lrTb"/>
            <w:noWrap w:val="false"/>
          </w:tcPr>
          <w:p>
            <w:pPr>
              <w:pStyle w:val="938"/>
              <w:jc w:val="center"/>
              <w:spacing w:line="0" w:lineRule="atLeast"/>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eastAsia="zh-CN"/>
              </w:rPr>
            </w:r>
            <w:r/>
          </w:p>
        </w:tc>
      </w:tr>
    </w:tbl>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rPr>
          <w:rFonts w:hint="eastAsia" w:ascii="宋体" w:hAnsi="宋体" w:eastAsia="宋体" w:cs="宋体"/>
          <w:sz w:val="24"/>
          <w:szCs w:val="24"/>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2.方式：在“江苏政府采购网”自行免费下载招标文件。</w:t>
      </w:r>
      <w:r>
        <w:rPr>
          <w:rFonts w:hint="eastAsia" w:ascii="宋体" w:hAnsi="宋体" w:eastAsia="宋体" w:cs="宋体"/>
          <w:sz w:val="24"/>
          <w:szCs w:val="24"/>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sz w:val="24"/>
          <w:szCs w:val="24"/>
          <w:lang w:val="en-US" w:eastAsia="zh-CN"/>
        </w:rPr>
        <w:t xml:space="preserve">2026</w:t>
      </w:r>
      <w:r>
        <w:rPr>
          <w:rFonts w:hint="eastAsia" w:ascii="宋体" w:hAnsi="宋体" w:eastAsia="宋体" w:cs="宋体"/>
          <w:bCs/>
          <w:color w:val="000000"/>
          <w:sz w:val="24"/>
          <w:szCs w:val="24"/>
          <w:u w:val="none"/>
        </w:rPr>
        <w:t xml:space="preserve">年10</w:t>
      </w:r>
      <w:r>
        <w:rPr>
          <w:rFonts w:hint="eastAsia" w:ascii="宋体" w:hAnsi="宋体" w:eastAsia="宋体" w:cs="宋体"/>
          <w:bCs/>
          <w:color w:val="000000"/>
          <w:sz w:val="24"/>
          <w:szCs w:val="24"/>
          <w:u w:val="none"/>
        </w:rPr>
        <w:t xml:space="preserve">月13</w:t>
      </w:r>
      <w:r>
        <w:rPr>
          <w:rFonts w:hint="eastAsia" w:ascii="宋体" w:hAnsi="宋体" w:eastAsia="宋体" w:cs="宋体"/>
          <w:bCs/>
          <w:color w:val="000000"/>
          <w:sz w:val="24"/>
          <w:szCs w:val="24"/>
          <w:u w:val="none"/>
        </w:rPr>
        <w:t xml:space="preserve">日</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u w:val="none"/>
          <w:lang w:val="en-US" w:eastAsia="zh-CN"/>
        </w:rPr>
        <w:t xml:space="preserve">时</w:t>
      </w:r>
      <w:r>
        <w:rPr>
          <w:rFonts w:hint="eastAsia" w:ascii="宋体" w:hAnsi="宋体" w:eastAsia="宋体" w:cs="宋体"/>
          <w:color w:val="000000"/>
          <w:sz w:val="24"/>
          <w:szCs w:val="24"/>
          <w:lang w:val="en-US" w:eastAsia="zh-CN"/>
        </w:rPr>
        <w:t xml:space="preserve">30</w:t>
      </w:r>
      <w:r>
        <w:rPr>
          <w:rFonts w:hint="eastAsia" w:ascii="宋体" w:hAnsi="宋体" w:eastAsia="宋体" w:cs="宋体"/>
          <w:bCs/>
          <w:color w:val="000000"/>
          <w:sz w:val="24"/>
          <w:szCs w:val="24"/>
          <w:u w:val="none"/>
        </w:rPr>
        <w:t xml:space="preserve">分（北京时间</w:t>
      </w:r>
      <w:r>
        <w:rPr>
          <w:rFonts w:hint="eastAsia" w:ascii="宋体" w:hAnsi="宋体" w:eastAsia="宋体" w:cs="宋体"/>
          <w:bCs/>
          <w:color w:val="000000"/>
          <w:sz w:val="24"/>
          <w:szCs w:val="24"/>
          <w:u w:val="none"/>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rPr>
          <w:rFonts w:hint="eastAsia" w:ascii="宋体" w:hAnsi="宋体" w:eastAsia="宋体" w:cs="宋体"/>
          <w:sz w:val="24"/>
          <w:szCs w:val="24"/>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27" w:name="_Toc28359084"/>
      <w:r/>
      <w:bookmarkStart w:id="28" w:name="_Toc38985267"/>
      <w:r/>
      <w:bookmarkStart w:id="29" w:name="_Toc35393625"/>
      <w:r/>
      <w:bookmarkStart w:id="30" w:name="_Toc35393794"/>
      <w:r/>
      <w:bookmarkStart w:id="31" w:name="_Toc28359007"/>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38"/>
        <w:ind w:firstLine="480"/>
        <w:keepLines w:val="0"/>
        <w:keepNext w:val="0"/>
        <w:pageBreakBefore w:val="0"/>
        <w:spacing w:line="5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招标公告及招标文件公告期限为自本公告发布之日起5个工作日。</w:t>
      </w:r>
      <w:r>
        <w:rPr>
          <w:rFonts w:hint="eastAsia" w:ascii="宋体" w:hAnsi="宋体" w:eastAsia="宋体" w:cs="宋体"/>
          <w:sz w:val="24"/>
          <w:szCs w:val="24"/>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938"/>
        <w:ind w:firstLine="480"/>
        <w:keepLines w:val="0"/>
        <w:keepNext w:val="0"/>
        <w:pageBreakBefore w:val="0"/>
        <w:spacing w:line="5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无</w:t>
      </w:r>
      <w:r>
        <w:rPr>
          <w:rFonts w:hint="eastAsia" w:ascii="宋体" w:hAnsi="宋体" w:eastAsia="宋体" w:cs="宋体"/>
          <w:sz w:val="24"/>
          <w:szCs w:val="24"/>
          <w:lang w:eastAsia="zh-CN"/>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Start w:id="35" w:name="_Toc35393627"/>
      <w:r/>
      <w:bookmarkStart w:id="36" w:name="_Toc38985269"/>
      <w:r/>
      <w:bookmarkStart w:id="37" w:name="_Toc28359085"/>
      <w:r/>
      <w:bookmarkStart w:id="38" w:name="_Toc35393796"/>
      <w:r/>
      <w:bookmarkStart w:id="39" w:name="_Toc28359008"/>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38"/>
        <w:jc w:val="left"/>
        <w:keepLines w:val="0"/>
        <w:pageBreakBefore w:val="0"/>
        <w:spacing w:line="560" w:lineRule="exact"/>
        <w:widowControl/>
        <w:rPr>
          <w:rFonts w:hint="eastAsia" w:ascii="宋体" w:hAnsi="宋体" w:eastAsia="宋体" w:cs="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eastAsia="宋体" w:cs="宋体"/>
          <w:color w:val="000000"/>
          <w:sz w:val="24"/>
          <w:szCs w:val="24"/>
          <w:highlight w:val="none"/>
        </w:rPr>
        <w:t xml:space="preserve">　1.采购人信息</w:t>
      </w:r>
      <w:r>
        <w:rPr>
          <w:rFonts w:hint="eastAsia" w:ascii="宋体" w:hAnsi="宋体" w:eastAsia="宋体" w:cs="宋体"/>
          <w:color w:val="000000"/>
          <w:sz w:val="24"/>
          <w:szCs w:val="24"/>
          <w:highlight w:val="none"/>
        </w:rPr>
      </w:r>
      <w:r/>
    </w:p>
    <w:p>
      <w:pPr>
        <w:pStyle w:val="938"/>
        <w:ind w:firstLine="480"/>
        <w:jc w:val="left"/>
        <w:keepLines w:val="0"/>
        <w:pageBreakBefore w:val="0"/>
        <w:spacing w:line="560" w:lineRule="exact"/>
        <w:rPr>
          <w:rFonts w:hint="eastAsia" w:ascii="宋体" w:hAnsi="宋体" w:eastAsia="宋体" w:cs="宋体"/>
          <w:color w:val="000000"/>
          <w:sz w:val="24"/>
          <w:szCs w:val="24"/>
          <w:highlight w:val="none"/>
        </w:rPr>
      </w:pPr>
      <w:r/>
      <w:bookmarkStart w:id="40" w:name="_Toc28359086"/>
      <w:r/>
      <w:bookmarkStart w:id="41" w:name="_Toc28359009"/>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江苏食品药品职业技术学院　　　　　　　　　　　</w:t>
      </w:r>
      <w:r>
        <w:rPr>
          <w:rFonts w:hint="eastAsia" w:ascii="宋体" w:hAnsi="宋体" w:eastAsia="宋体" w:cs="宋体"/>
          <w:color w:val="000000"/>
          <w:sz w:val="24"/>
          <w:szCs w:val="24"/>
          <w:highlight w:val="none"/>
        </w:rPr>
      </w:r>
      <w:r/>
    </w:p>
    <w:p>
      <w:pPr>
        <w:pStyle w:val="938"/>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江苏省淮安市枚乘东路4号　　　　　　　　　　</w:t>
      </w:r>
      <w:r>
        <w:rPr>
          <w:rFonts w:hint="eastAsia" w:ascii="宋体" w:hAnsi="宋体" w:eastAsia="宋体" w:cs="宋体"/>
          <w:color w:val="000000"/>
          <w:sz w:val="24"/>
          <w:szCs w:val="24"/>
          <w:highlight w:val="none"/>
        </w:rPr>
      </w:r>
      <w:r/>
    </w:p>
    <w:p>
      <w:pPr>
        <w:pStyle w:val="938"/>
        <w:ind w:firstLine="480"/>
        <w:jc w:val="left"/>
        <w:keepLines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谢丽娟、</w:t>
      </w:r>
      <w:r>
        <w:rPr>
          <w:rFonts w:hint="eastAsia" w:ascii="宋体" w:hAnsi="宋体" w:eastAsia="宋体" w:cs="宋体"/>
          <w:color w:val="000000"/>
          <w:sz w:val="24"/>
          <w:szCs w:val="24"/>
          <w:highlight w:val="none"/>
          <w:u w:val="single"/>
        </w:rPr>
        <w:t xml:space="preserve"> 丁奕文                   </w:t>
      </w:r>
      <w:r>
        <w:rPr>
          <w:rFonts w:hint="eastAsia" w:ascii="宋体" w:hAnsi="宋体" w:eastAsia="宋体" w:cs="宋体"/>
          <w:color w:val="000000"/>
          <w:sz w:val="24"/>
          <w:szCs w:val="24"/>
          <w:highlight w:val="none"/>
        </w:rPr>
      </w:r>
      <w:r/>
    </w:p>
    <w:p>
      <w:pPr>
        <w:pStyle w:val="938"/>
        <w:ind w:firstLine="480"/>
        <w:jc w:val="left"/>
        <w:keepLines w:val="0"/>
        <w:pageBreakBefore w:val="0"/>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0517-87088</w:t>
      </w:r>
      <w:r>
        <w:rPr>
          <w:rFonts w:hint="eastAsia" w:ascii="宋体" w:hAnsi="宋体" w:eastAsia="宋体" w:cs="宋体"/>
          <w:color w:val="000000"/>
          <w:sz w:val="24"/>
          <w:szCs w:val="24"/>
          <w:highlight w:val="none"/>
          <w:u w:val="single"/>
          <w:lang w:val="en-US" w:eastAsia="zh-CN"/>
        </w:rPr>
        <w:t xml:space="preserve">771</w:t>
      </w:r>
      <w:r>
        <w:rPr>
          <w:rFonts w:hint="eastAsia" w:ascii="宋体" w:hAnsi="宋体" w:eastAsia="宋体" w:cs="宋体"/>
          <w:color w:val="000000"/>
          <w:sz w:val="24"/>
          <w:szCs w:val="24"/>
          <w:highlight w:val="none"/>
          <w:u w:val="single"/>
        </w:rPr>
        <w:t xml:space="preserve"> 、0517-87088135 　　　　　</w:t>
      </w:r>
      <w:r>
        <w:rPr>
          <w:rFonts w:hint="eastAsia" w:ascii="宋体" w:hAnsi="宋体" w:eastAsia="宋体" w:cs="宋体"/>
          <w:color w:val="000000"/>
          <w:sz w:val="24"/>
          <w:szCs w:val="24"/>
          <w:highlight w:val="none"/>
          <w:u w:val="single"/>
        </w:rPr>
      </w:r>
      <w:r/>
    </w:p>
    <w:p>
      <w:pPr>
        <w:pStyle w:val="938"/>
        <w:ind w:firstLine="480"/>
        <w:jc w:val="left"/>
        <w:keepLines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2.江苏省政府采购中心信息</w:t>
      </w:r>
      <w:bookmarkEnd w:id="40"/>
      <w:r/>
      <w:bookmarkEnd w:id="41"/>
      <w:r>
        <w:rPr>
          <w:rFonts w:hint="eastAsia" w:ascii="宋体" w:hAnsi="宋体" w:eastAsia="宋体" w:cs="宋体"/>
          <w:color w:val="000000"/>
          <w:sz w:val="24"/>
          <w:szCs w:val="24"/>
        </w:rPr>
      </w:r>
      <w:r/>
    </w:p>
    <w:p>
      <w:pPr>
        <w:pStyle w:val="938"/>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38"/>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38"/>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38"/>
        <w:ind w:firstLine="640"/>
        <w:jc w:val="left"/>
        <w:keepLines w:val="0"/>
        <w:keepNext/>
        <w:pageBreakBefore w:val="0"/>
        <w:spacing w:line="560" w:lineRule="exact"/>
        <w:widowControl w:val="off"/>
        <w:rPr>
          <w:rFonts w:hint="eastAsia" w:ascii="方正黑体_GBK" w:hAnsi="方正黑体_GBK" w:eastAsia="方正黑体_GBK" w:cs="方正黑体_GBK"/>
          <w:color w:val="000000"/>
          <w:sz w:val="32"/>
          <w:szCs w:val="32"/>
        </w:rPr>
        <w:outlineLvl w:val="0"/>
      </w:pPr>
      <w:r/>
      <w:bookmarkEnd w:id="42"/>
      <w:r/>
      <w:bookmarkEnd w:id="43"/>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38"/>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根据省财政厅《关于更换全省政府采购交易系统CA数字证书和电子签章的通知》（苏财购〔2023〕101号），</w:t>
      </w:r>
      <w:r>
        <w:rPr>
          <w:rFonts w:hint="eastAsia" w:ascii="宋体" w:hAnsi="宋体" w:eastAsia="宋体" w:cs="宋体"/>
          <w:sz w:val="24"/>
          <w:szCs w:val="24"/>
        </w:rPr>
        <w:t xml:space="preserve">“苏采云”政府采购交易系统（以下简称苏采云系统）</w:t>
      </w:r>
      <w:r>
        <w:rPr>
          <w:rFonts w:hint="eastAsia" w:ascii="宋体" w:hAnsi="宋体" w:eastAsia="宋体" w:cs="宋体"/>
          <w:bCs/>
          <w:sz w:val="24"/>
          <w:szCs w:val="24"/>
        </w:rPr>
        <w:t xml:space="preserve">的CA数字证书、电子签章已更换为江苏省电子政务证书认证中心CA和方正国际软件（北京）有限公司电子签章。具体办理指南和操作手册见链接：</w:t>
      </w:r>
      <w:r>
        <w:rPr>
          <w:rFonts w:hint="eastAsia" w:ascii="宋体" w:hAnsi="宋体" w:eastAsia="宋体" w:cs="宋体"/>
          <w:bCs/>
          <w:sz w:val="24"/>
          <w:szCs w:val="24"/>
        </w:rPr>
      </w:r>
      <w:r/>
    </w:p>
    <w:p>
      <w:pPr>
        <w:pStyle w:val="938"/>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color w:val="000000"/>
          <w:sz w:val="24"/>
          <w:szCs w:val="24"/>
          <w:lang w:eastAsia="zh-CN"/>
        </w:rPr>
        <w:t xml:space="preserve">http://www.ccgp-jiangsu.gov.cn/jiangsu/zlxz/ee/ee3a4bc5a3454aa2b0d9312230633ce9.html。</w:t>
      </w:r>
      <w:r>
        <w:rPr>
          <w:rFonts w:hint="eastAsia" w:ascii="宋体" w:hAnsi="宋体" w:eastAsia="宋体" w:cs="宋体"/>
          <w:bCs/>
          <w:sz w:val="24"/>
          <w:szCs w:val="24"/>
        </w:rPr>
      </w:r>
      <w:r/>
    </w:p>
    <w:p>
      <w:pPr>
        <w:pStyle w:val="938"/>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eastAsia="宋体" w:cs="宋体"/>
          <w:bCs/>
          <w:sz w:val="24"/>
          <w:szCs w:val="24"/>
        </w:rPr>
      </w:r>
      <w:r/>
    </w:p>
    <w:p>
      <w:pPr>
        <w:pStyle w:val="938"/>
        <w:ind w:firstLine="480"/>
        <w:keepLines w:val="0"/>
        <w:pageBreakBefore w:val="0"/>
        <w:spacing w:line="56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2.有关本次招标的事项若存在变动或修改，敬请及时关注江苏省政府采购中心在“江苏政府采购网”发布的更正公告。</w:t>
      </w:r>
      <w:r>
        <w:rPr>
          <w:rFonts w:hint="eastAsia" w:ascii="宋体" w:hAnsi="宋体" w:eastAsia="宋体" w:cs="宋体"/>
          <w:bCs/>
          <w:sz w:val="24"/>
          <w:szCs w:val="24"/>
        </w:rPr>
      </w:r>
      <w:r/>
    </w:p>
    <w:p>
      <w:pPr>
        <w:pStyle w:val="938"/>
        <w:ind w:firstLine="480"/>
        <w:keepLines w:val="0"/>
        <w:pageBreakBefore w:val="0"/>
        <w:spacing w:line="560" w:lineRule="exact"/>
        <w:tabs>
          <w:tab w:val="left" w:pos="900" w:leader="none"/>
        </w:tabs>
        <w:rPr>
          <w:rFonts w:hint="eastAsia" w:ascii="方正仿宋_GBK" w:hAnsi="方正仿宋_GBK" w:eastAsia="方正仿宋_GBK" w:cs="方正仿宋_GBK"/>
          <w:bCs/>
          <w:sz w:val="32"/>
          <w:szCs w:val="32"/>
        </w:rPr>
      </w:pPr>
      <w:r>
        <w:rPr>
          <w:rFonts w:hint="eastAsia" w:ascii="宋体" w:hAnsi="宋体" w:eastAsia="宋体" w:cs="宋体"/>
          <w:bCs/>
          <w:sz w:val="24"/>
          <w:szCs w:val="24"/>
        </w:rPr>
        <w:t xml:space="preserve">3.本次招标不收取投标保证金。</w:t>
      </w:r>
      <w:r>
        <w:rPr>
          <w:rFonts w:hint="eastAsia" w:ascii="方正仿宋_GBK" w:hAnsi="方正仿宋_GBK" w:eastAsia="方正仿宋_GBK" w:cs="方正仿宋_GBK"/>
          <w:bCs/>
          <w:sz w:val="32"/>
          <w:szCs w:val="32"/>
        </w:rPr>
      </w:r>
      <w:r/>
    </w:p>
    <w:p>
      <w:pPr>
        <w:pStyle w:val="938"/>
        <w:ind w:right="840"/>
        <w:rPr>
          <w:rFonts w:hint="eastAsia" w:ascii="宋体" w:hAnsi="宋体"/>
          <w:color w:val="000000"/>
          <w:sz w:val="24"/>
          <w:szCs w:val="24"/>
        </w:rPr>
      </w:pPr>
      <w:r>
        <w:rPr>
          <w:rFonts w:hint="eastAsia" w:ascii="宋体" w:hAnsi="宋体"/>
          <w:color w:val="000000"/>
          <w:sz w:val="24"/>
          <w:szCs w:val="24"/>
        </w:rPr>
      </w:r>
      <w:r/>
    </w:p>
    <w:p>
      <w:pPr>
        <w:pStyle w:val="938"/>
        <w:ind w:right="840"/>
        <w:rPr>
          <w:rFonts w:hint="eastAsia" w:ascii="宋体" w:hAnsi="宋体"/>
          <w:color w:val="000000"/>
          <w:sz w:val="24"/>
          <w:szCs w:val="24"/>
        </w:rPr>
      </w:pPr>
      <w:r>
        <w:rPr>
          <w:rFonts w:hint="eastAsia" w:ascii="宋体" w:hAnsi="宋体"/>
          <w:color w:val="000000"/>
          <w:sz w:val="24"/>
          <w:szCs w:val="24"/>
        </w:rPr>
      </w:r>
      <w:r/>
    </w:p>
    <w:p>
      <w:pPr>
        <w:pStyle w:val="938"/>
        <w:ind w:right="840"/>
        <w:rPr>
          <w:rFonts w:hint="eastAsia" w:ascii="宋体" w:hAnsi="宋体"/>
          <w:color w:val="000000"/>
          <w:sz w:val="24"/>
          <w:szCs w:val="24"/>
        </w:rPr>
      </w:pPr>
      <w:r>
        <w:rPr>
          <w:rFonts w:hint="eastAsia" w:ascii="宋体" w:hAnsi="宋体"/>
          <w:color w:val="000000"/>
          <w:sz w:val="24"/>
          <w:szCs w:val="24"/>
        </w:rPr>
      </w:r>
      <w:r/>
    </w:p>
    <w:p>
      <w:pPr>
        <w:pStyle w:val="938"/>
        <w:ind w:firstLine="2420"/>
        <w:keepLines/>
        <w:keepNext/>
        <w:spacing w:before="260" w:after="260" w:line="416" w:lineRule="auto"/>
        <w:rPr>
          <w:rFonts w:hint="eastAsia" w:ascii="黑体" w:hAnsi="Arial" w:eastAsia="黑体" w:cs="Arial"/>
          <w:b/>
          <w:bCs/>
          <w:color w:val="000000"/>
          <w:sz w:val="44"/>
          <w:szCs w:val="44"/>
        </w:rPr>
        <w:outlineLvl w:val="1"/>
      </w:pPr>
      <w:r/>
      <w:bookmarkStart w:id="44"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b/>
          <w:bCs/>
          <w:color w:val="000000"/>
          <w:sz w:val="44"/>
          <w:szCs w:val="44"/>
        </w:rPr>
      </w:r>
      <w:r/>
    </w:p>
    <w:p>
      <w:pPr>
        <w:pStyle w:val="938"/>
        <w:ind w:firstLine="496"/>
        <w:keepLines/>
        <w:keepNext/>
        <w:spacing w:before="156" w:after="156" w:line="400" w:lineRule="exact"/>
        <w:rPr>
          <w:rFonts w:hint="eastAsia" w:ascii="Times New Roman" w:hAnsi="Times New Roman"/>
          <w:b/>
          <w:bCs/>
          <w:color w:val="000000"/>
          <w:sz w:val="32"/>
          <w:szCs w:val="32"/>
        </w:rPr>
        <w:outlineLvl w:val="2"/>
      </w:pPr>
      <w:r/>
      <w:bookmarkStart w:id="49" w:name="_Toc120614214"/>
      <w:r/>
      <w:bookmarkStart w:id="50" w:name="_Toc16938519"/>
      <w:r/>
      <w:bookmarkStart w:id="51" w:name="_Toc20823275"/>
      <w:r/>
      <w:bookmarkStart w:id="52" w:name="_Toc513029203"/>
      <w:r/>
      <w:bookmarkStart w:id="53" w:name="_Toc20823306"/>
      <w:r/>
      <w:bookmarkStart w:id="54" w:name="_Toc513029234"/>
      <w:r/>
      <w:bookmarkStart w:id="55" w:name="_Toc16938550"/>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38"/>
        <w:ind w:firstLine="420"/>
        <w:keepLines/>
        <w:keepNext/>
        <w:spacing w:line="400" w:lineRule="exact"/>
        <w:rPr>
          <w:rFonts w:hint="eastAsia" w:ascii="Arial" w:hAnsi="Arial" w:eastAsia="黑体" w:cs="Arial"/>
          <w:color w:val="000000"/>
          <w:sz w:val="28"/>
          <w:szCs w:val="28"/>
        </w:rPr>
        <w:outlineLvl w:val="3"/>
      </w:pPr>
      <w:r/>
      <w:bookmarkStart w:id="56" w:name="_Hlt16619475"/>
      <w:r/>
      <w:bookmarkEnd w:id="56"/>
      <w:r/>
      <w:bookmarkStart w:id="57" w:name="_Toc458694821"/>
      <w:r/>
      <w:bookmarkStart w:id="58" w:name="_Toc16938520"/>
      <w:r/>
      <w:bookmarkStart w:id="59" w:name="_Toc513029204"/>
      <w:r/>
      <w:bookmarkStart w:id="60" w:name="_Toc20823276"/>
      <w:r>
        <w:rPr>
          <w:rFonts w:hint="eastAsia" w:ascii="Arial" w:hAnsi="Arial" w:eastAsia="黑体" w:cs="Arial"/>
          <w:color w:val="000000"/>
          <w:sz w:val="28"/>
          <w:szCs w:val="28"/>
        </w:rPr>
        <w:t xml:space="preserve">1</w:t>
      </w:r>
      <w:bookmarkEnd w:id="57"/>
      <w:r>
        <w:rPr>
          <w:rFonts w:hint="eastAsia" w:ascii="Arial" w:hAnsi="Arial" w:eastAsia="黑体" w:cs="Arial"/>
          <w:color w:val="000000"/>
          <w:sz w:val="28"/>
          <w:szCs w:val="28"/>
        </w:rPr>
        <w:t xml:space="preserve">、招标方式</w:t>
      </w:r>
      <w:bookmarkEnd w:id="58"/>
      <w:r/>
      <w:bookmarkEnd w:id="59"/>
      <w:r/>
      <w:bookmarkEnd w:id="60"/>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bookmarkStart w:id="61" w:name="_Toc513029205"/>
      <w:r/>
      <w:bookmarkStart w:id="62" w:name="_Toc16938521"/>
      <w:r/>
      <w:bookmarkStart w:id="63" w:name="_Toc20823277"/>
      <w:r>
        <w:rPr>
          <w:rFonts w:hint="eastAsia" w:ascii="Arial" w:hAnsi="Arial" w:eastAsia="黑体" w:cs="Arial"/>
          <w:color w:val="000000"/>
          <w:sz w:val="28"/>
          <w:szCs w:val="28"/>
        </w:rPr>
        <w:t xml:space="preserve">2、合格的投标人</w:t>
      </w:r>
      <w:bookmarkEnd w:id="61"/>
      <w:r/>
      <w:bookmarkEnd w:id="62"/>
      <w:r/>
      <w:bookmarkEnd w:id="63"/>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38"/>
        <w:ind w:firstLine="420"/>
        <w:keepLines/>
        <w:keepNext/>
        <w:spacing w:line="400" w:lineRule="exact"/>
        <w:rPr>
          <w:rFonts w:hint="eastAsia" w:ascii="Arial" w:hAnsi="Arial" w:eastAsia="黑体" w:cs="Arial"/>
          <w:color w:val="000000"/>
          <w:sz w:val="28"/>
          <w:szCs w:val="28"/>
          <w:lang w:eastAsia="zh-CN"/>
        </w:rPr>
        <w:outlineLvl w:val="3"/>
      </w:pPr>
      <w:r/>
      <w:bookmarkStart w:id="64" w:name="_Toc16938522"/>
      <w:r/>
      <w:bookmarkStart w:id="65" w:name="_Toc513029206"/>
      <w:r/>
      <w:bookmarkStart w:id="66" w:name="_Toc20823278"/>
      <w:r>
        <w:rPr>
          <w:rFonts w:hint="eastAsia" w:ascii="Arial" w:hAnsi="Arial" w:eastAsia="黑体" w:cs="Arial"/>
          <w:color w:val="000000"/>
          <w:sz w:val="28"/>
          <w:szCs w:val="28"/>
        </w:rPr>
        <w:t xml:space="preserve">3、适用法律</w:t>
      </w:r>
      <w:bookmarkEnd w:id="64"/>
      <w:r/>
      <w:bookmarkEnd w:id="65"/>
      <w:r/>
      <w:bookmarkEnd w:id="66"/>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38"/>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38"/>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38"/>
        <w:ind w:firstLine="420"/>
        <w:keepLines/>
        <w:keepNext/>
        <w:spacing w:line="400" w:lineRule="exact"/>
        <w:rPr>
          <w:rFonts w:hint="eastAsia" w:ascii="Arial" w:hAnsi="Arial" w:eastAsia="黑体" w:cs="Arial"/>
          <w:color w:val="000000"/>
          <w:sz w:val="28"/>
          <w:szCs w:val="28"/>
        </w:rPr>
        <w:outlineLvl w:val="3"/>
      </w:pPr>
      <w:r/>
      <w:bookmarkStart w:id="67" w:name="_Toc20823279"/>
      <w:r/>
      <w:bookmarkStart w:id="68" w:name="_Toc16938523"/>
      <w:r/>
      <w:bookmarkStart w:id="69" w:name="_Toc513029207"/>
      <w:r/>
      <w:bookmarkStart w:id="70" w:name="_Toc462564067"/>
      <w:r>
        <w:rPr>
          <w:rFonts w:hint="eastAsia" w:ascii="Arial" w:hAnsi="Arial" w:eastAsia="黑体" w:cs="Arial"/>
          <w:color w:val="000000"/>
          <w:sz w:val="28"/>
          <w:szCs w:val="28"/>
        </w:rPr>
        <w:t xml:space="preserve">4、投标费用</w:t>
      </w:r>
      <w:bookmarkEnd w:id="67"/>
      <w:r/>
      <w:bookmarkEnd w:id="68"/>
      <w:r/>
      <w:bookmarkEnd w:id="69"/>
      <w:r/>
      <w:bookmarkEnd w:id="70"/>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38"/>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3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38"/>
        <w:ind w:firstLine="320"/>
        <w:keepLines/>
        <w:keepNext/>
        <w:spacing w:before="156" w:after="156" w:line="400" w:lineRule="exact"/>
        <w:rPr>
          <w:rFonts w:hint="eastAsia" w:ascii="Times New Roman" w:hAnsi="Times New Roman"/>
          <w:b/>
          <w:bCs/>
          <w:color w:val="000000"/>
          <w:sz w:val="32"/>
          <w:szCs w:val="32"/>
        </w:rPr>
        <w:outlineLvl w:val="2"/>
      </w:pPr>
      <w:r/>
      <w:bookmarkStart w:id="71" w:name="_Toc20823281"/>
      <w:r/>
      <w:bookmarkStart w:id="72" w:name="_Toc513029209"/>
      <w:r/>
      <w:bookmarkStart w:id="73" w:name="_Toc120614215"/>
      <w:r/>
      <w:bookmarkStart w:id="74" w:name="_Toc16938525"/>
      <w:r>
        <w:rPr>
          <w:rFonts w:hint="eastAsia" w:ascii="Times New Roman" w:hAnsi="Times New Roman"/>
          <w:b/>
          <w:bCs/>
          <w:color w:val="000000"/>
          <w:sz w:val="32"/>
          <w:szCs w:val="32"/>
        </w:rPr>
        <w:t xml:space="preserve">二、招标文件</w:t>
      </w:r>
      <w:bookmarkEnd w:id="71"/>
      <w:r/>
      <w:bookmarkEnd w:id="72"/>
      <w:r/>
      <w:bookmarkEnd w:id="73"/>
      <w:r/>
      <w:bookmarkEnd w:id="74"/>
      <w:r>
        <w:rPr>
          <w:rFonts w:hint="eastAsia" w:ascii="Times New Roman" w:hAnsi="Times New Roman"/>
          <w:b/>
          <w:bCs/>
          <w:color w:val="000000"/>
          <w:sz w:val="32"/>
          <w:szCs w:val="32"/>
        </w:rPr>
      </w:r>
      <w:r/>
    </w:p>
    <w:p>
      <w:pPr>
        <w:pStyle w:val="938"/>
        <w:ind w:firstLine="420"/>
        <w:keepLines/>
        <w:keepNext/>
        <w:spacing w:line="400" w:lineRule="exact"/>
        <w:rPr>
          <w:rFonts w:hint="eastAsia" w:ascii="Arial" w:hAnsi="Arial" w:eastAsia="黑体" w:cs="Arial"/>
          <w:color w:val="000000"/>
          <w:sz w:val="28"/>
          <w:szCs w:val="28"/>
        </w:rPr>
        <w:outlineLvl w:val="3"/>
      </w:pPr>
      <w:r/>
      <w:bookmarkStart w:id="75" w:name="_Toc20823282"/>
      <w:r/>
      <w:bookmarkStart w:id="76" w:name="_Toc513029210"/>
      <w:r/>
      <w:bookmarkStart w:id="77" w:name="_Toc16938526"/>
      <w:r>
        <w:rPr>
          <w:rFonts w:hint="eastAsia" w:ascii="Arial" w:hAnsi="Arial" w:eastAsia="黑体" w:cs="Arial"/>
          <w:color w:val="000000"/>
          <w:sz w:val="28"/>
          <w:szCs w:val="28"/>
        </w:rPr>
        <w:t xml:space="preserve">6、招标文件构成</w:t>
      </w:r>
      <w:bookmarkEnd w:id="75"/>
      <w:r/>
      <w:bookmarkEnd w:id="76"/>
      <w:r/>
      <w:bookmarkEnd w:id="77"/>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38"/>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38"/>
        <w:ind w:firstLine="560"/>
        <w:keepLines/>
        <w:keepNext/>
        <w:spacing w:line="400" w:lineRule="exact"/>
        <w:rPr>
          <w:rFonts w:hint="eastAsia" w:ascii="Arial" w:hAnsi="Arial" w:eastAsia="黑体" w:cs="Arial"/>
          <w:color w:val="000000"/>
          <w:sz w:val="28"/>
          <w:szCs w:val="28"/>
        </w:rPr>
        <w:outlineLvl w:val="3"/>
      </w:pPr>
      <w:r/>
      <w:bookmarkStart w:id="78" w:name="_Toc513029212"/>
      <w:r/>
      <w:bookmarkStart w:id="79" w:name="_Toc462564071"/>
      <w:r/>
      <w:bookmarkStart w:id="80" w:name="_Toc16938528"/>
      <w:r/>
      <w:bookmarkStart w:id="81"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8"/>
      <w:r/>
      <w:bookmarkEnd w:id="79"/>
      <w:r/>
      <w:bookmarkEnd w:id="80"/>
      <w:r/>
      <w:bookmarkEnd w:id="81"/>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38"/>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38"/>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38"/>
        <w:ind w:firstLine="480"/>
        <w:keepLines/>
        <w:keepNext/>
        <w:spacing w:before="156" w:after="156" w:line="400" w:lineRule="exact"/>
        <w:rPr>
          <w:rFonts w:hint="eastAsia" w:ascii="Times New Roman" w:hAnsi="Times New Roman"/>
          <w:b/>
          <w:bCs/>
          <w:color w:val="000000"/>
          <w:sz w:val="32"/>
          <w:szCs w:val="32"/>
        </w:rPr>
        <w:outlineLvl w:val="2"/>
      </w:pPr>
      <w:r/>
      <w:bookmarkStart w:id="82" w:name="_Toc120614216"/>
      <w:r/>
      <w:bookmarkStart w:id="83" w:name="_Toc16938529"/>
      <w:r/>
      <w:bookmarkStart w:id="84" w:name="_Toc20823285"/>
      <w:r/>
      <w:bookmarkStart w:id="85" w:name="_Toc462564072"/>
      <w:r/>
      <w:bookmarkStart w:id="86" w:name="_Toc513029213"/>
      <w:r>
        <w:rPr>
          <w:rFonts w:hint="eastAsia" w:ascii="Times New Roman" w:hAnsi="Times New Roman"/>
          <w:b/>
          <w:bCs/>
          <w:color w:val="000000"/>
          <w:sz w:val="32"/>
          <w:szCs w:val="32"/>
        </w:rPr>
        <w:t xml:space="preserve">三、投标文件的编制</w:t>
      </w:r>
      <w:bookmarkEnd w:id="82"/>
      <w:r/>
      <w:bookmarkEnd w:id="83"/>
      <w:r/>
      <w:bookmarkEnd w:id="84"/>
      <w:r/>
      <w:bookmarkEnd w:id="85"/>
      <w:r/>
      <w:bookmarkEnd w:id="86"/>
      <w:r>
        <w:rPr>
          <w:rFonts w:hint="eastAsia" w:ascii="Times New Roman" w:hAnsi="Times New Roman"/>
          <w:b/>
          <w:bCs/>
          <w:color w:val="000000"/>
          <w:sz w:val="32"/>
          <w:szCs w:val="32"/>
        </w:rPr>
      </w:r>
      <w:r/>
    </w:p>
    <w:p>
      <w:pPr>
        <w:pStyle w:val="938"/>
        <w:ind w:firstLine="560"/>
        <w:keepLines/>
        <w:keepNext/>
        <w:spacing w:line="400" w:lineRule="exact"/>
        <w:rPr>
          <w:rFonts w:hint="eastAsia" w:ascii="Arial" w:hAnsi="Arial" w:eastAsia="黑体" w:cs="Arial"/>
          <w:b/>
          <w:color w:val="000000"/>
          <w:sz w:val="28"/>
          <w:szCs w:val="28"/>
        </w:rPr>
        <w:outlineLvl w:val="3"/>
      </w:pPr>
      <w:r/>
      <w:bookmarkStart w:id="87" w:name="_Toc16938530"/>
      <w:r/>
      <w:bookmarkStart w:id="88" w:name="_Toc462564073"/>
      <w:r/>
      <w:bookmarkStart w:id="89" w:name="_Toc513029214"/>
      <w:r/>
      <w:bookmarkStart w:id="90"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7"/>
      <w:r/>
      <w:bookmarkEnd w:id="88"/>
      <w:r/>
      <w:bookmarkEnd w:id="89"/>
      <w:r/>
      <w:bookmarkEnd w:id="90"/>
      <w:r>
        <w:rPr>
          <w:rFonts w:hint="eastAsia" w:ascii="Arial" w:hAnsi="Arial" w:eastAsia="黑体" w:cs="Arial"/>
          <w:b/>
          <w:color w:val="000000"/>
          <w:sz w:val="28"/>
          <w:szCs w:val="28"/>
        </w:rPr>
      </w:r>
      <w:r/>
    </w:p>
    <w:p>
      <w:pPr>
        <w:pStyle w:val="93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bookmarkStart w:id="91" w:name="_Toc513029215"/>
      <w:r/>
      <w:bookmarkStart w:id="92" w:name="_Toc16938531"/>
      <w:r/>
      <w:bookmarkStart w:id="93" w:name="_Toc20823287"/>
      <w:r/>
      <w:bookmarkStart w:id="94"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91"/>
      <w:r/>
      <w:bookmarkEnd w:id="92"/>
      <w:r/>
      <w:bookmarkEnd w:id="93"/>
      <w:r/>
      <w:bookmarkEnd w:id="94"/>
      <w:r>
        <w:rPr>
          <w:rFonts w:hint="eastAsia" w:ascii="Arial" w:hAnsi="Arial" w:eastAsia="黑体" w:cs="Arial"/>
          <w:color w:val="000000"/>
          <w:sz w:val="28"/>
          <w:szCs w:val="28"/>
        </w:rPr>
      </w:r>
      <w:r/>
    </w:p>
    <w:p>
      <w:pPr>
        <w:pStyle w:val="938"/>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38"/>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bookmarkStart w:id="95" w:name="_Toc49090509"/>
      <w:r/>
      <w:bookmarkStart w:id="96" w:name="_Toc513029219"/>
      <w:r/>
      <w:bookmarkStart w:id="97" w:name="_Toc14577357"/>
      <w:r/>
      <w:bookmarkStart w:id="98" w:name="_Toc14577354"/>
      <w:r/>
      <w:bookmarkStart w:id="99" w:name="_Toc49090507"/>
      <w:r/>
      <w:bookmarkStart w:id="100" w:name="_Toc513029216"/>
      <w:r/>
      <w:bookmarkStart w:id="101" w:name="_Toc14577355"/>
      <w:r/>
      <w:bookmarkStart w:id="102" w:name="_Toc49090508"/>
      <w:r/>
      <w:bookmarkStart w:id="103" w:name="_Hlt26954838"/>
      <w:r/>
      <w:bookmarkEnd w:id="103"/>
      <w:r/>
      <w:bookmarkStart w:id="104" w:name="_Hlt26668975"/>
      <w:r/>
      <w:bookmarkEnd w:id="104"/>
      <w:r/>
      <w:bookmarkStart w:id="105" w:name="_Hlt26670360"/>
      <w:r/>
      <w:bookmarkEnd w:id="10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38"/>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38"/>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38"/>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6" w:name="_Hlt26954840"/>
      <w:r/>
      <w:bookmarkEnd w:id="106"/>
      <w:r>
        <w:rPr>
          <w:rFonts w:hint="eastAsia" w:ascii="宋体" w:hAnsi="宋体"/>
          <w:sz w:val="24"/>
          <w:szCs w:val="21"/>
        </w:rPr>
        <w:t xml:space="preserve">标人按照招标文件规定格式填报投标分项报价表</w:t>
      </w:r>
      <w:bookmarkStart w:id="107" w:name="_Hlt26670399"/>
      <w:r/>
      <w:bookmarkEnd w:id="107"/>
      <w:r>
        <w:rPr>
          <w:rFonts w:hint="eastAsia" w:ascii="宋体" w:hAnsi="宋体"/>
          <w:sz w:val="24"/>
          <w:szCs w:val="21"/>
        </w:rPr>
        <w:t xml:space="preserve">。</w:t>
      </w:r>
      <w:r>
        <w:rPr>
          <w:rFonts w:hint="eastAsia" w:ascii="宋体" w:hAnsi="宋体"/>
          <w:bCs/>
          <w:sz w:val="24"/>
          <w:szCs w:val="21"/>
        </w:rPr>
      </w:r>
      <w:r/>
    </w:p>
    <w:p>
      <w:pPr>
        <w:pStyle w:val="938"/>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38"/>
        <w:ind w:firstLine="420"/>
        <w:keepLines/>
        <w:keepNext/>
        <w:spacing w:line="400" w:lineRule="exact"/>
        <w:rPr>
          <w:rFonts w:hint="eastAsia" w:ascii="Arial" w:hAnsi="Arial" w:eastAsia="黑体" w:cs="Arial"/>
          <w:sz w:val="28"/>
          <w:szCs w:val="28"/>
        </w:rPr>
        <w:outlineLvl w:val="3"/>
      </w:pPr>
      <w:r/>
      <w:bookmarkStart w:id="108" w:name="_Hlt26954848"/>
      <w:r/>
      <w:bookmarkEnd w:id="108"/>
      <w:r/>
      <w:bookmarkStart w:id="109" w:name="_Hlt26954731"/>
      <w:r/>
      <w:bookmarkEnd w:id="109"/>
      <w:r/>
      <w:bookmarkStart w:id="110" w:name="_Hlt26670486"/>
      <w:r/>
      <w:bookmarkEnd w:id="110"/>
      <w:r/>
      <w:bookmarkStart w:id="111" w:name="_Hlt26954846"/>
      <w:r/>
      <w:bookmarkEnd w:id="111"/>
      <w:r/>
      <w:bookmarkStart w:id="112" w:name="_Hlt26670482"/>
      <w:r/>
      <w:bookmarkEnd w:id="11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38"/>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38"/>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38"/>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38"/>
        <w:ind w:firstLine="420"/>
        <w:keepLines/>
        <w:keepNext/>
        <w:spacing w:line="400" w:lineRule="exact"/>
        <w:rPr>
          <w:rFonts w:hint="eastAsia" w:ascii="Arial" w:hAnsi="Arial" w:eastAsia="黑体" w:cs="Arial"/>
          <w:color w:val="000000"/>
          <w:sz w:val="28"/>
          <w:szCs w:val="28"/>
        </w:rPr>
        <w:outlineLvl w:val="3"/>
      </w:pPr>
      <w:r/>
      <w:bookmarkStart w:id="113" w:name="_Toc14577359"/>
      <w:r/>
      <w:bookmarkStart w:id="114"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bookmarkEnd w:id="113"/>
      <w:r/>
      <w:bookmarkEnd w:id="114"/>
      <w:r/>
      <w:bookmarkStart w:id="115" w:name="_Toc49090511"/>
      <w:r/>
      <w:bookmarkStart w:id="116"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5"/>
      <w:r/>
      <w:bookmarkEnd w:id="116"/>
      <w:r>
        <w:rPr>
          <w:rFonts w:hint="eastAsia" w:ascii="Arial" w:hAnsi="Arial" w:eastAsia="黑体" w:cs="Arial"/>
          <w:color w:val="000000"/>
          <w:sz w:val="28"/>
          <w:szCs w:val="28"/>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38"/>
        <w:keepLines/>
        <w:keepNext/>
        <w:spacing w:before="156" w:after="156" w:line="400" w:lineRule="exact"/>
        <w:rPr>
          <w:rFonts w:hint="eastAsia" w:ascii="Times New Roman" w:hAnsi="Times New Roman"/>
          <w:b/>
          <w:bCs/>
          <w:color w:val="000000"/>
          <w:sz w:val="32"/>
          <w:szCs w:val="32"/>
        </w:rPr>
        <w:outlineLvl w:val="2"/>
      </w:pPr>
      <w:r/>
      <w:bookmarkStart w:id="117" w:name="_Hlt26954739"/>
      <w:r/>
      <w:bookmarkEnd w:id="117"/>
      <w:r/>
      <w:bookmarkStart w:id="118" w:name="_Hlt26954852"/>
      <w:r/>
      <w:bookmarkEnd w:id="118"/>
      <w:r/>
      <w:bookmarkStart w:id="119" w:name="_Toc16938540"/>
      <w:r/>
      <w:bookmarkStart w:id="120" w:name="_Toc513029224"/>
      <w:r/>
      <w:bookmarkStart w:id="121" w:name="_Toc120614217"/>
      <w:r/>
      <w:bookmarkStart w:id="122" w:name="_Toc20823296"/>
      <w:r>
        <w:rPr>
          <w:rFonts w:hint="eastAsia" w:ascii="Times New Roman" w:hAnsi="Times New Roman"/>
          <w:b/>
          <w:bCs/>
          <w:color w:val="000000"/>
          <w:sz w:val="32"/>
          <w:szCs w:val="32"/>
        </w:rPr>
        <w:t xml:space="preserve">四、投标文件的递交</w:t>
      </w:r>
      <w:bookmarkEnd w:id="119"/>
      <w:r/>
      <w:bookmarkEnd w:id="120"/>
      <w:r/>
      <w:bookmarkEnd w:id="121"/>
      <w:r/>
      <w:bookmarkEnd w:id="122"/>
      <w:r>
        <w:rPr>
          <w:rFonts w:hint="eastAsia" w:ascii="Times New Roman" w:hAnsi="Times New Roman"/>
          <w:b/>
          <w:bCs/>
          <w:color w:val="000000"/>
          <w:sz w:val="32"/>
          <w:szCs w:val="32"/>
        </w:rPr>
      </w:r>
      <w:r/>
    </w:p>
    <w:p>
      <w:pPr>
        <w:pStyle w:val="938"/>
        <w:ind w:firstLine="420"/>
        <w:keepLines/>
        <w:keepNext/>
        <w:spacing w:line="400" w:lineRule="exact"/>
        <w:rPr>
          <w:rFonts w:hint="eastAsia" w:ascii="黑体" w:hAnsi="Arial" w:eastAsia="黑体" w:cs="Arial"/>
          <w:color w:val="000000"/>
          <w:sz w:val="28"/>
          <w:szCs w:val="28"/>
        </w:rPr>
        <w:outlineLvl w:val="3"/>
      </w:pPr>
      <w:r/>
      <w:bookmarkStart w:id="123" w:name="_Toc513029225"/>
      <w:r/>
      <w:bookmarkStart w:id="124" w:name="_Toc16938541"/>
      <w:r/>
      <w:bookmarkStart w:id="125" w:name="_Toc20823297"/>
      <w:r/>
      <w:bookmarkStart w:id="126"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3"/>
      <w:r/>
      <w:bookmarkEnd w:id="124"/>
      <w:r/>
      <w:bookmarkEnd w:id="125"/>
      <w:r/>
      <w:bookmarkEnd w:id="126"/>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38"/>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38"/>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7" w:name="_Toc16938542"/>
      <w:r/>
      <w:bookmarkStart w:id="128" w:name="_Toc20823298"/>
      <w:r/>
      <w:bookmarkStart w:id="129" w:name="_Toc513029226"/>
      <w:r>
        <w:rPr>
          <w:rFonts w:ascii="宋体" w:hAnsi="宋体"/>
          <w:bCs/>
          <w:color w:val="000000"/>
          <w:sz w:val="24"/>
          <w:szCs w:val="21"/>
        </w:rPr>
      </w:r>
      <w:r/>
    </w:p>
    <w:p>
      <w:pPr>
        <w:pStyle w:val="938"/>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7"/>
      <w:r/>
      <w:bookmarkEnd w:id="128"/>
      <w:r/>
      <w:bookmarkEnd w:id="129"/>
      <w:r>
        <w:rPr>
          <w:rFonts w:hint="eastAsia" w:ascii="宋体" w:hAnsi="宋体" w:eastAsia="黑体" w:cs="Arial"/>
          <w:bCs/>
          <w:color w:val="000000"/>
          <w:sz w:val="24"/>
          <w:szCs w:val="28"/>
        </w:rPr>
      </w:r>
      <w:r/>
    </w:p>
    <w:p>
      <w:pPr>
        <w:pStyle w:val="93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bookmarkStart w:id="130" w:name="_Toc16938543"/>
      <w:r/>
      <w:bookmarkStart w:id="131" w:name="_Toc20823299"/>
      <w:r/>
      <w:bookmarkStart w:id="132" w:name="_Toc513029227"/>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30"/>
      <w:r/>
      <w:bookmarkEnd w:id="131"/>
      <w:r/>
      <w:bookmarkEnd w:id="132"/>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38"/>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38"/>
        <w:ind w:firstLine="420"/>
        <w:keepLines/>
        <w:keepNext/>
        <w:spacing w:line="400" w:lineRule="exact"/>
        <w:rPr>
          <w:rFonts w:hint="eastAsia" w:ascii="Arial" w:hAnsi="Arial" w:eastAsia="黑体" w:cs="Arial"/>
          <w:color w:val="000000"/>
          <w:sz w:val="28"/>
          <w:szCs w:val="28"/>
        </w:rPr>
        <w:outlineLvl w:val="3"/>
      </w:pPr>
      <w:r/>
      <w:bookmarkStart w:id="133" w:name="_Toc513029228"/>
      <w:r/>
      <w:bookmarkStart w:id="134" w:name="_Toc20823300"/>
      <w:r/>
      <w:bookmarkStart w:id="13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3"/>
      <w:r/>
      <w:bookmarkEnd w:id="134"/>
      <w:r/>
      <w:bookmarkEnd w:id="135"/>
      <w:r>
        <w:rPr>
          <w:rFonts w:hint="eastAsia" w:ascii="Arial" w:hAnsi="Arial" w:eastAsia="黑体" w:cs="Arial"/>
          <w:color w:val="000000"/>
          <w:sz w:val="28"/>
          <w:szCs w:val="28"/>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38"/>
        <w:ind w:firstLine="480"/>
        <w:keepLines/>
        <w:keepNext/>
        <w:spacing w:before="156" w:after="156" w:line="400" w:lineRule="exact"/>
        <w:rPr>
          <w:rFonts w:hint="eastAsia" w:ascii="Times New Roman" w:hAnsi="Times New Roman"/>
          <w:b/>
          <w:bCs/>
          <w:color w:val="000000"/>
          <w:sz w:val="32"/>
          <w:szCs w:val="32"/>
        </w:rPr>
        <w:outlineLvl w:val="2"/>
      </w:pPr>
      <w:r/>
      <w:bookmarkStart w:id="136" w:name="_Toc120614218"/>
      <w:r/>
      <w:bookmarkStart w:id="137" w:name="_Toc20823301"/>
      <w:r/>
      <w:bookmarkStart w:id="138" w:name="_Toc16938545"/>
      <w:r/>
      <w:bookmarkStart w:id="139" w:name="_Toc513029229"/>
      <w:r>
        <w:rPr>
          <w:rFonts w:hint="eastAsia" w:ascii="Times New Roman" w:hAnsi="Times New Roman"/>
          <w:b/>
          <w:bCs/>
          <w:color w:val="000000"/>
          <w:sz w:val="32"/>
          <w:szCs w:val="32"/>
        </w:rPr>
        <w:t xml:space="preserve">五、开标与评标</w:t>
      </w:r>
      <w:bookmarkEnd w:id="136"/>
      <w:r/>
      <w:bookmarkEnd w:id="137"/>
      <w:r/>
      <w:bookmarkEnd w:id="138"/>
      <w:r/>
      <w:bookmarkEnd w:id="139"/>
      <w:r>
        <w:rPr>
          <w:rFonts w:hint="eastAsia" w:ascii="Times New Roman" w:hAnsi="Times New Roman"/>
          <w:b/>
          <w:bCs/>
          <w:color w:val="000000"/>
          <w:sz w:val="32"/>
          <w:szCs w:val="32"/>
        </w:rPr>
      </w:r>
      <w:r/>
    </w:p>
    <w:p>
      <w:pPr>
        <w:pStyle w:val="938"/>
        <w:ind w:firstLine="420"/>
        <w:keepLines/>
        <w:keepNext/>
        <w:spacing w:line="400" w:lineRule="exact"/>
        <w:rPr>
          <w:rFonts w:hint="eastAsia" w:ascii="Arial" w:hAnsi="Arial" w:eastAsia="黑体" w:cs="Arial"/>
          <w:color w:val="000000"/>
          <w:sz w:val="28"/>
          <w:szCs w:val="28"/>
        </w:rPr>
        <w:outlineLvl w:val="3"/>
      </w:pPr>
      <w:r/>
      <w:bookmarkStart w:id="140" w:name="_Toc513029230"/>
      <w:r/>
      <w:bookmarkStart w:id="141" w:name="_Toc20823302"/>
      <w:r/>
      <w:bookmarkStart w:id="142"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40"/>
      <w:r/>
      <w:bookmarkEnd w:id="141"/>
      <w:r/>
      <w:bookmarkEnd w:id="142"/>
      <w:r>
        <w:rPr>
          <w:rFonts w:hint="eastAsia" w:ascii="Arial" w:hAnsi="Arial" w:eastAsia="黑体" w:cs="Arial"/>
          <w:color w:val="000000"/>
          <w:sz w:val="28"/>
          <w:szCs w:val="28"/>
        </w:rPr>
      </w:r>
      <w:r/>
    </w:p>
    <w:p>
      <w:pPr>
        <w:pStyle w:val="938"/>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38"/>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38"/>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3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38"/>
        <w:ind w:firstLine="420"/>
        <w:keepLines/>
        <w:keepNext/>
        <w:spacing w:line="400" w:lineRule="exact"/>
        <w:rPr>
          <w:rFonts w:hint="eastAsia" w:ascii="Arial" w:hAnsi="Arial" w:eastAsia="黑体" w:cs="Arial"/>
          <w:sz w:val="28"/>
          <w:szCs w:val="28"/>
        </w:rPr>
        <w:outlineLvl w:val="3"/>
      </w:pPr>
      <w:r/>
      <w:bookmarkStart w:id="143" w:name="_Toc20823303"/>
      <w:r/>
      <w:bookmarkStart w:id="144" w:name="_Toc16938547"/>
      <w:r/>
      <w:bookmarkStart w:id="145"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38"/>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3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38"/>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38"/>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38"/>
        <w:ind w:firstLine="480"/>
        <w:spacing w:line="400" w:lineRule="exact"/>
        <w:rPr>
          <w:rFonts w:hint="eastAsia" w:ascii="宋体" w:hAnsi="宋体"/>
          <w:bCs/>
          <w:color w:val="000000"/>
          <w:sz w:val="24"/>
          <w:szCs w:val="21"/>
        </w:rPr>
      </w:pPr>
      <w:r/>
      <w:bookmarkEnd w:id="143"/>
      <w:r/>
      <w:bookmarkEnd w:id="144"/>
      <w:r/>
      <w:bookmarkEnd w:id="14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38"/>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38"/>
        <w:ind w:firstLine="420"/>
        <w:keepLines/>
        <w:keepNext/>
        <w:spacing w:line="400" w:lineRule="exact"/>
        <w:rPr>
          <w:rFonts w:hint="eastAsia" w:ascii="Arial" w:hAnsi="Arial" w:eastAsia="黑体" w:cs="Arial"/>
          <w:color w:val="000000"/>
          <w:sz w:val="28"/>
          <w:szCs w:val="28"/>
        </w:rPr>
        <w:outlineLvl w:val="3"/>
      </w:pPr>
      <w:r/>
      <w:bookmarkStart w:id="146" w:name="_Toc16938548"/>
      <w:r/>
      <w:bookmarkStart w:id="147" w:name="_Toc20823304"/>
      <w:r/>
      <w:bookmarkStart w:id="148"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6"/>
      <w:r/>
      <w:bookmarkEnd w:id="147"/>
      <w:r/>
      <w:bookmarkEnd w:id="148"/>
      <w:r>
        <w:rPr>
          <w:rFonts w:hint="eastAsia" w:ascii="Arial" w:hAnsi="Arial" w:eastAsia="黑体" w:cs="Arial"/>
          <w:color w:val="000000"/>
          <w:sz w:val="28"/>
          <w:szCs w:val="28"/>
        </w:rPr>
      </w:r>
      <w:r/>
    </w:p>
    <w:p>
      <w:pPr>
        <w:pStyle w:val="938"/>
        <w:ind w:firstLine="480"/>
        <w:spacing w:line="400" w:lineRule="exact"/>
        <w:rPr>
          <w:rFonts w:ascii="宋体" w:hAnsi="宋体"/>
          <w:color w:val="000000"/>
          <w:sz w:val="24"/>
          <w:szCs w:val="24"/>
        </w:rPr>
      </w:pPr>
      <w:r/>
      <w:bookmarkStart w:id="149" w:name="_Toc16938549"/>
      <w:r/>
      <w:bookmarkStart w:id="150" w:name="_Toc513029233"/>
      <w:r/>
      <w:bookmarkStart w:id="151" w:name="_Toc20823305"/>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38"/>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3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38"/>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9"/>
      <w:r/>
      <w:bookmarkEnd w:id="150"/>
      <w:r/>
      <w:bookmarkEnd w:id="151"/>
      <w:r>
        <w:rPr>
          <w:rFonts w:hint="eastAsia" w:ascii="Arial" w:hAnsi="Arial" w:eastAsia="黑体" w:cs="Arial"/>
          <w:color w:val="000000"/>
          <w:sz w:val="28"/>
          <w:szCs w:val="28"/>
        </w:rPr>
      </w:r>
      <w:r/>
    </w:p>
    <w:p>
      <w:pPr>
        <w:pStyle w:val="93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38"/>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38"/>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38"/>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38"/>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38"/>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38"/>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38"/>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38"/>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38"/>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38"/>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38"/>
        <w:ind w:firstLine="420"/>
        <w:spacing w:line="400" w:lineRule="exact"/>
        <w:rPr>
          <w:rFonts w:hint="eastAsia" w:ascii="方正仿宋_GBK" w:hAnsi="方正仿宋_GBK" w:eastAsia="方正仿宋_GBK" w:cs="方正仿宋_GBK"/>
          <w:bCs/>
          <w:sz w:val="32"/>
          <w:szCs w:val="32"/>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方正仿宋_GBK" w:hAnsi="方正仿宋_GBK" w:eastAsia="方正仿宋_GBK" w:cs="方正仿宋_GBK"/>
          <w:bCs/>
          <w:sz w:val="32"/>
          <w:szCs w:val="32"/>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 异常低价投标审查</w:t>
      </w:r>
      <w:r>
        <w:rPr>
          <w:rFonts w:hint="eastAsia" w:ascii="宋体" w:hAnsi="宋体" w:eastAsia="宋体" w:cs="宋体"/>
          <w:bCs/>
          <w:sz w:val="24"/>
          <w:szCs w:val="24"/>
          <w:highlight w:val="none"/>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25.8.1 评标过程中出现下列情形之一的，评标委员会应当启动异常低价投标审查程序：</w:t>
      </w:r>
      <w:r>
        <w:rPr>
          <w:rFonts w:hint="eastAsia" w:ascii="宋体" w:hAnsi="宋体" w:eastAsia="宋体" w:cs="宋体"/>
          <w:bCs/>
          <w:sz w:val="24"/>
          <w:szCs w:val="24"/>
          <w:highlight w:val="none"/>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（1）投标报价低于全部通过符合性审查供应商投标报价平均值50%的，即投标报价&lt;全部通过符合性审查供应商投标报价平均值×50%；</w:t>
      </w:r>
      <w:r>
        <w:rPr>
          <w:rFonts w:hint="eastAsia" w:ascii="宋体" w:hAnsi="宋体" w:eastAsia="宋体" w:cs="宋体"/>
          <w:bCs/>
          <w:sz w:val="24"/>
          <w:szCs w:val="24"/>
          <w:highlight w:val="none"/>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（2）投标报价低于通过符合性审查的次低报价供应商投标报价50%的，即投标报价&lt;通过符合性审查的次低报价供应商投标报价×50%；</w:t>
      </w:r>
      <w:r>
        <w:rPr>
          <w:rFonts w:hint="eastAsia" w:ascii="宋体" w:hAnsi="宋体" w:eastAsia="宋体" w:cs="宋体"/>
          <w:bCs/>
          <w:sz w:val="24"/>
          <w:szCs w:val="24"/>
          <w:highlight w:val="none"/>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）投标报价低于采购项目最高限价45%的，即投标报价&lt;采购项目最高限价×45%；</w:t>
      </w:r>
      <w:r>
        <w:rPr>
          <w:rFonts w:hint="eastAsia" w:ascii="宋体" w:hAnsi="宋体" w:eastAsia="宋体" w:cs="宋体"/>
          <w:bCs/>
          <w:sz w:val="24"/>
          <w:szCs w:val="24"/>
          <w:highlight w:val="none"/>
          <w:lang w:eastAsia="zh-CN"/>
        </w:rPr>
      </w:r>
      <w:r/>
    </w:p>
    <w:p>
      <w:pPr>
        <w:pStyle w:val="938"/>
        <w:ind w:firstLine="480"/>
        <w:keepLines w:val="0"/>
        <w:pageBreakBefore w:val="0"/>
        <w:spacing w:line="400" w:lineRule="exact"/>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评标</w:t>
      </w:r>
      <w:r>
        <w:rPr>
          <w:rFonts w:hint="eastAsia" w:ascii="宋体" w:hAnsi="宋体" w:eastAsia="宋体" w:cs="宋体"/>
          <w:bCs/>
          <w:sz w:val="24"/>
          <w:szCs w:val="24"/>
          <w:highlight w:val="none"/>
        </w:rPr>
        <w:t xml:space="preserve">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25.8.2 </w:t>
      </w:r>
      <w:r>
        <w:rPr>
          <w:rFonts w:hint="eastAsia" w:ascii="宋体" w:hAnsi="宋体" w:eastAsia="宋体" w:cs="宋体"/>
          <w:bCs/>
          <w:sz w:val="24"/>
          <w:szCs w:val="24"/>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bCs/>
          <w:sz w:val="24"/>
          <w:szCs w:val="24"/>
          <w:lang w:val="en-US" w:eastAsia="zh-CN"/>
        </w:rPr>
      </w:r>
      <w:r/>
    </w:p>
    <w:p>
      <w:pPr>
        <w:pStyle w:val="938"/>
        <w:ind w:firstLine="480"/>
        <w:keepLines w:val="0"/>
        <w:pageBreakBefore w:val="0"/>
        <w:spacing w:line="400" w:lineRule="exact"/>
        <w:widowControl w:val="off"/>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bCs/>
          <w:sz w:val="24"/>
          <w:szCs w:val="24"/>
          <w:lang w:val="en-US" w:eastAsia="zh-CN"/>
        </w:rPr>
      </w:r>
      <w:r/>
    </w:p>
    <w:p>
      <w:pPr>
        <w:pStyle w:val="938"/>
        <w:ind w:firstLine="480"/>
        <w:keepLines/>
        <w:keepNext/>
        <w:pageBreakBefore w:val="0"/>
        <w:spacing w:line="400" w:lineRule="exact"/>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w:t>
      </w:r>
      <w:bookmarkEnd w:id="53"/>
      <w:r/>
      <w:bookmarkEnd w:id="54"/>
      <w:r/>
      <w:bookmarkEnd w:id="55"/>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无效投标条款和废标条款</w:t>
      </w:r>
      <w:bookmarkStart w:id="152" w:name="_Toc513029235"/>
      <w:r/>
      <w:bookmarkStart w:id="153" w:name="_Toc20823307"/>
      <w:r/>
      <w:bookmarkStart w:id="154" w:name="_Toc16938551"/>
      <w:r>
        <w:rPr>
          <w:rFonts w:hint="eastAsia" w:ascii="宋体" w:hAnsi="宋体" w:eastAsia="宋体" w:cs="宋体"/>
          <w:sz w:val="24"/>
          <w:szCs w:val="24"/>
        </w:rPr>
      </w:r>
      <w:r/>
    </w:p>
    <w:p>
      <w:pPr>
        <w:pStyle w:val="938"/>
        <w:ind w:firstLine="480"/>
        <w:keepLines/>
        <w:keepNext/>
        <w:pageBreakBefore w:val="0"/>
        <w:spacing w:line="400" w:lineRule="exact"/>
        <w:widowControl w:val="off"/>
        <w:rPr>
          <w:rFonts w:hint="eastAsia" w:ascii="宋体" w:hAnsi="宋体" w:eastAsia="宋体" w:cs="宋体"/>
          <w:bCs/>
          <w:sz w:val="24"/>
          <w:szCs w:val="24"/>
        </w:rPr>
        <w:outlineLvl w:val="3"/>
      </w:pPr>
      <w:r>
        <w:rPr>
          <w:rFonts w:hint="eastAsia" w:ascii="宋体" w:hAnsi="宋体" w:eastAsia="宋体" w:cs="宋体"/>
          <w:bCs/>
          <w:sz w:val="24"/>
          <w:szCs w:val="24"/>
        </w:rPr>
        <w:t xml:space="preserve">26.1无效投标条款</w:t>
      </w:r>
      <w:r>
        <w:rPr>
          <w:rFonts w:hint="eastAsia" w:ascii="宋体" w:hAnsi="宋体" w:eastAsia="宋体" w:cs="宋体"/>
          <w:bCs/>
          <w:sz w:val="24"/>
          <w:szCs w:val="24"/>
        </w:rPr>
      </w:r>
      <w:r/>
    </w:p>
    <w:p>
      <w:pPr>
        <w:pStyle w:val="938"/>
        <w:ind w:firstLine="48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rPr>
          <w:rFonts w:hint="eastAsia" w:ascii="宋体" w:hAnsi="宋体" w:eastAsia="宋体" w:cs="宋体"/>
          <w:bCs/>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号条款为实质性要求）</w:t>
      </w:r>
      <w:r>
        <w:rPr>
          <w:rFonts w:hint="eastAsia" w:ascii="宋体" w:hAnsi="宋体" w:eastAsia="宋体" w:cs="宋体"/>
          <w:bCs/>
          <w:i/>
          <w:color w:val="000000"/>
          <w:sz w:val="24"/>
          <w:szCs w:val="24"/>
          <w:u w:val="single"/>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 “信用中国”网站（</w:t>
      </w:r>
      <w:r>
        <w:rPr>
          <w:rFonts w:hint="eastAsia" w:ascii="宋体" w:hAnsi="宋体" w:eastAsia="宋体" w:cs="宋体"/>
          <w:color w:val="000000"/>
          <w:sz w:val="24"/>
          <w:szCs w:val="24"/>
          <w:lang w:eastAsia="zh-CN"/>
        </w:rPr>
        <w:t xml:space="preserve">www.creditchina.gov.cn</w:t>
      </w:r>
      <w:r>
        <w:rPr>
          <w:rFonts w:hint="eastAsia" w:ascii="宋体" w:hAnsi="宋体" w:eastAsia="宋体" w:cs="宋体"/>
          <w:bCs/>
          <w:color w:val="000000"/>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26.1.10 评标委员会按照本招标文件规定对投标人进行异常低价投标审查后，认为投标人不能证明其报价合理性的。</w:t>
      </w:r>
      <w:r>
        <w:rPr>
          <w:rFonts w:hint="eastAsia" w:ascii="宋体" w:hAnsi="宋体" w:eastAsia="宋体" w:cs="宋体"/>
          <w:sz w:val="24"/>
          <w:szCs w:val="24"/>
        </w:rPr>
      </w:r>
      <w:r/>
    </w:p>
    <w:p>
      <w:pPr>
        <w:pStyle w:val="938"/>
        <w:ind w:firstLine="48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.1.12 投标文件未按照招标文件要求加盖CA电子公章的。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26.1.13 投标人所投标产品不符合招标文件中所列国家强制性标准的。</w:t>
      </w:r>
      <w:r>
        <w:rPr>
          <w:rFonts w:hint="eastAsia" w:ascii="宋体" w:hAnsi="宋体" w:eastAsia="宋体" w:cs="宋体"/>
          <w:sz w:val="24"/>
          <w:szCs w:val="24"/>
          <w:lang w:val="en-US" w:eastAsia="zh-CN"/>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.1.1</w:t>
      </w:r>
      <w:r>
        <w:rPr>
          <w:rFonts w:hint="eastAsia" w:ascii="宋体" w:hAnsi="宋体" w:eastAsia="宋体" w:cs="宋体"/>
          <w:bCs/>
          <w:color w:val="000000"/>
          <w:sz w:val="24"/>
          <w:szCs w:val="24"/>
          <w:lang w:val="en-US" w:eastAsia="zh-CN"/>
        </w:rPr>
        <w:t xml:space="preserve">4</w:t>
      </w:r>
      <w:r>
        <w:rPr>
          <w:rFonts w:hint="eastAsia" w:ascii="宋体" w:hAnsi="宋体" w:eastAsia="宋体" w:cs="宋体"/>
          <w:bCs/>
          <w:color w:val="000000"/>
          <w:sz w:val="24"/>
          <w:szCs w:val="24"/>
        </w:rPr>
        <w:t xml:space="preserve">其他法律、法规及本招标文件规定的属无效投标的情形。</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.2废标条款</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lang w:val="en-US" w:eastAsia="zh-CN"/>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.2.1符合专业条件的供应商或者对招标文件作实质响应的供应商不足三家的。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rPr>
          <w:rFonts w:hint="eastAsia" w:ascii="宋体" w:hAnsi="宋体" w:eastAsia="宋体" w:cs="宋体"/>
          <w:bCs/>
          <w:color w:val="000000"/>
          <w:sz w:val="24"/>
          <w:szCs w:val="24"/>
        </w:rPr>
      </w:r>
      <w:r/>
    </w:p>
    <w:p>
      <w:pPr>
        <w:pStyle w:val="938"/>
        <w:ind w:firstLine="48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szCs w:val="24"/>
        </w:rPr>
      </w:r>
      <w:r/>
    </w:p>
    <w:p>
      <w:pPr>
        <w:pStyle w:val="938"/>
        <w:ind w:firstLine="480"/>
        <w:keepLines/>
        <w:keepNext/>
        <w:spacing w:before="156" w:after="156" w:line="400" w:lineRule="exact"/>
        <w:rPr>
          <w:rFonts w:hint="eastAsia" w:ascii="Times New Roman" w:hAnsi="Times New Roman"/>
          <w:b/>
          <w:bCs/>
          <w:color w:val="000000"/>
          <w:sz w:val="32"/>
          <w:szCs w:val="32"/>
        </w:rPr>
        <w:outlineLvl w:val="2"/>
      </w:pPr>
      <w:r/>
      <w:bookmarkEnd w:id="152"/>
      <w:r/>
      <w:bookmarkEnd w:id="153"/>
      <w:r/>
      <w:bookmarkEnd w:id="154"/>
      <w:r/>
      <w:bookmarkStart w:id="155" w:name="_Toc120614219"/>
      <w:r>
        <w:rPr>
          <w:rFonts w:hint="eastAsia" w:ascii="Times New Roman" w:hAnsi="Times New Roman"/>
          <w:b/>
          <w:bCs/>
          <w:color w:val="000000"/>
          <w:sz w:val="32"/>
          <w:szCs w:val="32"/>
        </w:rPr>
        <w:t xml:space="preserve">六、定标</w:t>
      </w:r>
      <w:bookmarkEnd w:id="155"/>
      <w:r>
        <w:rPr>
          <w:rFonts w:hint="eastAsia" w:ascii="Times New Roman" w:hAnsi="Times New Roman"/>
          <w:b/>
          <w:bCs/>
          <w:color w:val="000000"/>
          <w:sz w:val="32"/>
          <w:szCs w:val="32"/>
        </w:rPr>
      </w:r>
      <w:r/>
    </w:p>
    <w:p>
      <w:pPr>
        <w:pStyle w:val="938"/>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38"/>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3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38"/>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38"/>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38"/>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38"/>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38"/>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38"/>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38"/>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38"/>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38"/>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sz w:val="24"/>
          <w:szCs w:val="24"/>
        </w:rPr>
      </w:r>
      <w:r/>
    </w:p>
    <w:p>
      <w:pPr>
        <w:pStyle w:val="938"/>
        <w:ind w:firstLine="480"/>
        <w:spacing w:line="4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highlight w:val="none"/>
        </w:rPr>
        <w:t xml:space="preserve">及采购中心</w:t>
      </w:r>
      <w:r>
        <w:rPr>
          <w:rFonts w:hint="eastAsia" w:ascii="宋体" w:hAnsi="宋体"/>
          <w:sz w:val="24"/>
          <w:szCs w:val="24"/>
        </w:rPr>
        <w:t xml:space="preserve">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38"/>
        <w:ind w:firstLine="480"/>
        <w:spacing w:line="400" w:lineRule="exact"/>
        <w:rPr>
          <w:rFonts w:hint="eastAsia" w:ascii="方正仿宋_GBK" w:hAnsi="方正仿宋_GBK" w:eastAsia="方正仿宋_GBK" w:cs="方正仿宋_GBK"/>
          <w:b w:val="0"/>
          <w:bCs/>
          <w:sz w:val="32"/>
          <w:szCs w:val="32"/>
          <w:highlight w:val="yellow"/>
        </w:rPr>
      </w:pPr>
      <w:r>
        <w:rPr>
          <w:rFonts w:hint="eastAsia" w:ascii="宋体" w:hAnsi="宋体"/>
          <w:sz w:val="24"/>
          <w:szCs w:val="24"/>
          <w:highlight w:val="none"/>
        </w:rPr>
        <w:t xml:space="preserve">采购中心质疑接收部门为质疑处理科（快递运单上的收件人填写“质疑处理科”即可），联系地址：南京市汉中门大街145号省政务中心二期3楼南区</w:t>
      </w:r>
      <w:r>
        <w:rPr>
          <w:rFonts w:ascii="宋体" w:hAnsi="宋体"/>
          <w:sz w:val="24"/>
          <w:szCs w:val="24"/>
          <w:highlight w:val="none"/>
        </w:rPr>
        <w:t xml:space="preserve">3029</w:t>
      </w:r>
      <w:r>
        <w:rPr>
          <w:rFonts w:hint="eastAsia" w:ascii="宋体" w:hAnsi="宋体"/>
          <w:sz w:val="24"/>
          <w:szCs w:val="24"/>
          <w:highlight w:val="none"/>
        </w:rPr>
        <w:t xml:space="preserve">室，联系电话：025-83668531。</w:t>
      </w:r>
      <w:r>
        <w:rPr>
          <w:rFonts w:hint="eastAsia" w:ascii="方正仿宋_GBK" w:hAnsi="方正仿宋_GBK" w:eastAsia="方正仿宋_GBK" w:cs="方正仿宋_GBK"/>
          <w:b w:val="0"/>
          <w:bCs/>
          <w:sz w:val="32"/>
          <w:szCs w:val="32"/>
          <w:highlight w:val="yellow"/>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38"/>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38"/>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38"/>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38"/>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38"/>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38"/>
        <w:keepLines/>
        <w:keepNext/>
        <w:spacing w:before="156" w:after="156" w:line="400" w:lineRule="exact"/>
        <w:rPr>
          <w:rFonts w:hint="eastAsia" w:ascii="Times New Roman" w:hAnsi="Times New Roman"/>
          <w:b/>
          <w:bCs/>
          <w:color w:val="000000"/>
          <w:sz w:val="32"/>
          <w:szCs w:val="32"/>
        </w:rPr>
        <w:outlineLvl w:val="2"/>
      </w:pPr>
      <w:r/>
      <w:bookmarkStart w:id="165" w:name="_Toc120614220"/>
      <w:r/>
      <w:bookmarkStart w:id="166" w:name="_Toc20823308"/>
      <w:r/>
      <w:bookmarkStart w:id="167" w:name="_Toc16938552"/>
      <w:r/>
      <w:bookmarkStart w:id="168" w:name="_Toc513029236"/>
      <w:r>
        <w:rPr>
          <w:rFonts w:hint="eastAsia" w:ascii="Times New Roman" w:hAnsi="Times New Roman"/>
          <w:b/>
          <w:bCs/>
          <w:color w:val="000000"/>
          <w:sz w:val="32"/>
          <w:szCs w:val="32"/>
        </w:rPr>
        <w:t xml:space="preserve">七、授予合同</w:t>
      </w:r>
      <w:bookmarkEnd w:id="165"/>
      <w:r>
        <w:rPr>
          <w:rFonts w:hint="eastAsia" w:ascii="Times New Roman" w:hAnsi="Times New Roman"/>
          <w:b/>
          <w:bCs/>
          <w:color w:val="000000"/>
          <w:sz w:val="32"/>
          <w:szCs w:val="32"/>
        </w:rPr>
      </w:r>
      <w:r/>
    </w:p>
    <w:p>
      <w:pPr>
        <w:pStyle w:val="938"/>
        <w:ind w:firstLine="600"/>
        <w:keepLines/>
        <w:keepNext/>
        <w:spacing w:line="400" w:lineRule="exact"/>
        <w:rPr>
          <w:rFonts w:hint="eastAsia" w:ascii="黑体" w:hAnsi="宋体" w:eastAsia="黑体"/>
          <w:bCs/>
          <w:color w:val="000000"/>
          <w:sz w:val="30"/>
          <w:szCs w:val="30"/>
        </w:rPr>
        <w:outlineLvl w:val="3"/>
      </w:pPr>
      <w:r/>
      <w:bookmarkEnd w:id="166"/>
      <w:r/>
      <w:bookmarkEnd w:id="167"/>
      <w:r/>
      <w:bookmarkEnd w:id="168"/>
      <w:r/>
      <w:bookmarkStart w:id="169" w:name="_Toc513029237"/>
      <w:r/>
      <w:bookmarkStart w:id="170" w:name="_Toc16938553"/>
      <w:r/>
      <w:bookmarkStart w:id="171"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38"/>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3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38"/>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38"/>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38"/>
        <w:ind w:firstLine="600"/>
        <w:keepLines/>
        <w:keepNext/>
        <w:spacing w:line="400" w:lineRule="exact"/>
        <w:rPr>
          <w:rFonts w:ascii="黑体" w:hAnsi="宋体" w:eastAsia="黑体"/>
          <w:bCs/>
          <w:color w:val="000000"/>
          <w:sz w:val="30"/>
          <w:szCs w:val="30"/>
        </w:rPr>
        <w:outlineLvl w:val="3"/>
      </w:pPr>
      <w:r/>
      <w:bookmarkEnd w:id="169"/>
      <w:r/>
      <w:bookmarkEnd w:id="170"/>
      <w:r/>
      <w:bookmarkEnd w:id="171"/>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38"/>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38"/>
        <w:ind w:firstLine="640"/>
        <w:pageBreakBefore w:val="0"/>
        <w:spacing w:line="560" w:lineRule="exact"/>
        <w:widowControl w:val="off"/>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r>
      <w:r/>
    </w:p>
    <w:p>
      <w:pPr>
        <w:pStyle w:val="938"/>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3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8"/>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38"/>
        <w:ind w:firstLine="2640"/>
        <w:jc w:val="left"/>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合同文本</w:t>
      </w:r>
      <w:r>
        <w:rPr>
          <w:rFonts w:hint="eastAsia" w:ascii="黑体" w:hAnsi="Times New Roman" w:eastAsia="黑体"/>
          <w:bCs/>
          <w:color w:val="000000"/>
          <w:sz w:val="44"/>
          <w:szCs w:val="28"/>
        </w:rPr>
      </w:r>
      <w:r/>
    </w:p>
    <w:p>
      <w:pPr>
        <w:pStyle w:val="938"/>
        <w:spacing w:line="400" w:lineRule="exact"/>
        <w:rPr>
          <w:rFonts w:ascii="宋体" w:hAnsi="宋体"/>
          <w:bCs/>
          <w:color w:val="ff0000"/>
          <w:sz w:val="24"/>
          <w:szCs w:val="24"/>
          <w:highlight w:val="yellow"/>
        </w:rPr>
      </w:pPr>
      <w:r/>
      <w:bookmarkStart w:id="178" w:name="_Toc513029243"/>
      <w:r/>
      <w:bookmarkStart w:id="179" w:name="_Toc16938559"/>
      <w:r/>
      <w:bookmarkStart w:id="180" w:name="_Toc3995"/>
      <w:r/>
      <w:bookmarkStart w:id="181" w:name="_Toc20823315"/>
      <w:r>
        <w:rPr>
          <w:rFonts w:ascii="宋体" w:hAnsi="宋体"/>
          <w:bCs/>
          <w:color w:val="ff0000"/>
          <w:sz w:val="24"/>
          <w:szCs w:val="24"/>
          <w:highlight w:val="yellow"/>
        </w:rPr>
      </w:r>
      <w:r/>
    </w:p>
    <w:p>
      <w:pPr>
        <w:pStyle w:val="938"/>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1012"/>
        <w:jc w:val="center"/>
        <w:rPr>
          <w:rFonts w:ascii="宋体" w:hAnsi="宋体" w:eastAsia="宋体" w:cs="宋体"/>
          <w:b/>
          <w:bCs/>
          <w:spacing w:val="-20"/>
          <w:sz w:val="32"/>
          <w:szCs w:val="32"/>
        </w:rPr>
      </w:pPr>
      <w:r/>
      <w:bookmarkEnd w:id="178"/>
      <w:r/>
      <w:bookmarkEnd w:id="179"/>
      <w:r/>
      <w:bookmarkEnd w:id="180"/>
      <w:r/>
      <w:bookmarkEnd w:id="181"/>
      <w:r>
        <w:rPr>
          <w:rFonts w:ascii="宋体" w:hAnsi="宋体" w:eastAsia="宋体" w:cs="宋体"/>
          <w:b/>
          <w:bCs/>
          <w:spacing w:val="-20"/>
          <w:sz w:val="32"/>
          <w:szCs w:val="32"/>
        </w:rPr>
      </w:r>
      <w:r/>
    </w:p>
    <w:p>
      <w:pPr>
        <w:pStyle w:val="101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10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101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38"/>
        <w:rPr>
          <w:rFonts w:ascii="宋体" w:hAnsi="宋体" w:cs="宋体"/>
          <w:b/>
          <w:bCs/>
          <w:spacing w:val="-20"/>
          <w:sz w:val="40"/>
          <w:szCs w:val="40"/>
        </w:rPr>
      </w:pPr>
      <w:r>
        <w:rPr>
          <w:rFonts w:ascii="宋体" w:hAnsi="宋体" w:cs="宋体"/>
          <w:b/>
          <w:bCs/>
          <w:spacing w:val="-20"/>
          <w:sz w:val="40"/>
          <w:szCs w:val="40"/>
        </w:rPr>
      </w:r>
      <w:r/>
    </w:p>
    <w:p>
      <w:pPr>
        <w:pStyle w:val="938"/>
        <w:rPr>
          <w:rFonts w:ascii="宋体" w:hAnsi="宋体" w:cs="宋体"/>
          <w:b/>
          <w:bCs/>
          <w:spacing w:val="-20"/>
          <w:sz w:val="40"/>
          <w:szCs w:val="40"/>
        </w:rPr>
      </w:pPr>
      <w:r>
        <w:rPr>
          <w:rFonts w:ascii="宋体" w:hAnsi="宋体" w:cs="宋体"/>
          <w:b/>
          <w:bCs/>
          <w:spacing w:val="-20"/>
          <w:sz w:val="40"/>
          <w:szCs w:val="40"/>
        </w:rPr>
      </w:r>
      <w:r/>
    </w:p>
    <w:p>
      <w:pPr>
        <w:pStyle w:val="938"/>
        <w:rPr>
          <w:rFonts w:ascii="宋体" w:hAnsi="宋体" w:cs="宋体"/>
          <w:b/>
          <w:bCs/>
          <w:spacing w:val="-20"/>
          <w:sz w:val="40"/>
          <w:szCs w:val="40"/>
        </w:rPr>
      </w:pPr>
      <w:r>
        <w:rPr>
          <w:rFonts w:ascii="宋体" w:hAnsi="宋体" w:cs="宋体"/>
          <w:b/>
          <w:bCs/>
          <w:spacing w:val="-20"/>
          <w:sz w:val="40"/>
          <w:szCs w:val="40"/>
        </w:rPr>
      </w:r>
      <w:r/>
    </w:p>
    <w:p>
      <w:pPr>
        <w:pStyle w:val="938"/>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38"/>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38"/>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38"/>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38"/>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38"/>
      </w:pPr>
      <w:r/>
      <w:r/>
    </w:p>
    <w:p>
      <w:pPr>
        <w:pStyle w:val="938"/>
        <w:rPr>
          <w:rFonts w:eastAsia="黑体"/>
          <w:sz w:val="44"/>
          <w:szCs w:val="44"/>
        </w:rPr>
      </w:pPr>
      <w:r>
        <w:rPr>
          <w:rFonts w:eastAsia="黑体"/>
          <w:sz w:val="44"/>
          <w:szCs w:val="44"/>
        </w:rPr>
      </w:r>
      <w:r/>
    </w:p>
    <w:p>
      <w:pPr>
        <w:pStyle w:val="938"/>
        <w:rPr>
          <w:rFonts w:eastAsia="黑体"/>
          <w:sz w:val="44"/>
          <w:szCs w:val="44"/>
        </w:rPr>
      </w:pPr>
      <w:r>
        <w:rPr>
          <w:rFonts w:eastAsia="黑体"/>
          <w:sz w:val="44"/>
          <w:szCs w:val="44"/>
        </w:rPr>
      </w:r>
      <w:r/>
    </w:p>
    <w:p>
      <w:pPr>
        <w:pStyle w:val="938"/>
        <w:rPr>
          <w:rFonts w:eastAsia="黑体"/>
          <w:sz w:val="44"/>
          <w:szCs w:val="44"/>
        </w:rPr>
      </w:pPr>
      <w:r>
        <w:rPr>
          <w:rFonts w:eastAsia="黑体"/>
          <w:sz w:val="44"/>
          <w:szCs w:val="44"/>
        </w:rPr>
      </w:r>
      <w:r/>
    </w:p>
    <w:p>
      <w:pPr>
        <w:pStyle w:val="938"/>
        <w:rPr>
          <w:rFonts w:eastAsia="黑体"/>
          <w:sz w:val="44"/>
          <w:szCs w:val="44"/>
        </w:rPr>
      </w:pPr>
      <w:r>
        <w:rPr>
          <w:rFonts w:eastAsia="黑体"/>
          <w:sz w:val="44"/>
          <w:szCs w:val="44"/>
        </w:rPr>
      </w:r>
      <w:r/>
    </w:p>
    <w:p>
      <w:pPr>
        <w:pStyle w:val="938"/>
        <w:rPr>
          <w:rFonts w:eastAsia="黑体"/>
          <w:sz w:val="44"/>
          <w:szCs w:val="44"/>
        </w:rPr>
      </w:pPr>
      <w:r>
        <w:rPr>
          <w:rFonts w:eastAsia="黑体"/>
          <w:sz w:val="44"/>
          <w:szCs w:val="44"/>
        </w:rPr>
      </w:r>
      <w:r/>
    </w:p>
    <w:p>
      <w:pPr>
        <w:pStyle w:val="938"/>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38"/>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38"/>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38"/>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38"/>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38"/>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40"/>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40"/>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38"/>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38"/>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38"/>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38"/>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38"/>
        <w:spacing w:line="400" w:lineRule="exact"/>
      </w:pPr>
      <w:r/>
      <w:r/>
    </w:p>
    <w:p>
      <w:pPr>
        <w:pStyle w:val="998"/>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38"/>
        <w:numPr>
          <w:ilvl w:val="0"/>
          <w:numId w:val="4"/>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98"/>
        <w:numPr>
          <w:ilvl w:val="0"/>
          <w:numId w:val="5"/>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98"/>
        <w:ind w:left="0"/>
        <w:spacing w:after="0" w:line="400" w:lineRule="exact"/>
        <w:tabs>
          <w:tab w:val="left" w:pos="999" w:leader="none"/>
        </w:tabs>
        <w:rPr>
          <w:rFonts w:ascii="宋体" w:hAnsi="宋体"/>
          <w:szCs w:val="21"/>
        </w:rPr>
      </w:pPr>
      <w:r>
        <w:rPr>
          <w:rFonts w:hint="eastAsia" w:ascii="宋体" w:hAnsi="宋体"/>
          <w:szCs w:val="21"/>
        </w:rPr>
        <w:t xml:space="preserve">         采购</w:t>
      </w:r>
      <w:r>
        <w:rPr>
          <w:rFonts w:hint="eastAsia" w:ascii="宋体" w:hAnsi="宋体"/>
          <w:szCs w:val="21"/>
          <w:lang w:eastAsia="zh-CN"/>
        </w:rPr>
        <w:t xml:space="preserve">采购编号</w:t>
      </w:r>
      <w:r>
        <w:rPr>
          <w:rFonts w:hint="eastAsia" w:ascii="宋体" w:hAnsi="宋体"/>
          <w:szCs w:val="21"/>
        </w:rPr>
        <w:t xml:space="preserve">：</w:t>
      </w:r>
      <w:r>
        <w:rPr>
          <w:rFonts w:ascii="宋体" w:hAnsi="宋体"/>
          <w:szCs w:val="21"/>
          <w:u w:val="single"/>
        </w:rPr>
        <w:t xml:space="preserve">                                          </w:t>
      </w:r>
      <w:r>
        <w:rPr>
          <w:rFonts w:ascii="宋体" w:hAnsi="宋体"/>
          <w:szCs w:val="21"/>
        </w:rPr>
      </w:r>
      <w:r/>
    </w:p>
    <w:p>
      <w:pPr>
        <w:pStyle w:val="998"/>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38"/>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38"/>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38"/>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38"/>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38"/>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34"/>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3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3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3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3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3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38"/>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8"/>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8"/>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38"/>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38"/>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38"/>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38"/>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38"/>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38"/>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38"/>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38"/>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38"/>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3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38"/>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38"/>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38"/>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38"/>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8"/>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38"/>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38"/>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8"/>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38"/>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38"/>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38"/>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38"/>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3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3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38"/>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3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38"/>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38"/>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38"/>
        <w:numPr>
          <w:ilvl w:val="0"/>
          <w:numId w:val="4"/>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38"/>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38"/>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38"/>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38"/>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38"/>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38"/>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38"/>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1032"/>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rPr>
          <w:sz w:val="21"/>
          <w:szCs w:val="21"/>
          <w:lang w:eastAsia="zh-CN"/>
        </w:rPr>
      </w:r>
      <w:r/>
    </w:p>
    <w:p>
      <w:pPr>
        <w:pStyle w:val="93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38"/>
        <w:ind w:firstLine="630"/>
        <w:spacing w:line="400" w:lineRule="exact"/>
        <w:rPr>
          <w:rFonts w:ascii="宋体" w:hAnsi="宋体" w:cs="Courier New"/>
          <w:bCs/>
          <w:sz w:val="24"/>
          <w:szCs w:val="24"/>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cs="Courier New"/>
          <w:bCs/>
          <w:sz w:val="24"/>
          <w:szCs w:val="24"/>
        </w:rPr>
      </w:r>
      <w:r/>
    </w:p>
    <w:p>
      <w:pPr>
        <w:pStyle w:val="93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38"/>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38"/>
        <w:numPr>
          <w:ilvl w:val="0"/>
          <w:numId w:val="4"/>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38"/>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38"/>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38"/>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3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3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38"/>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38"/>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38"/>
        <w:ind w:firstLine="420"/>
        <w:spacing w:line="400" w:lineRule="exact"/>
        <w:rPr>
          <w:rFonts w:ascii="宋体" w:hAnsi="宋体" w:cs="Courier New"/>
          <w:bCs/>
          <w:sz w:val="24"/>
          <w:szCs w:val="24"/>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Courier New"/>
          <w:bCs/>
          <w:sz w:val="24"/>
          <w:szCs w:val="24"/>
        </w:rPr>
      </w:r>
      <w:r/>
    </w:p>
    <w:p>
      <w:pPr>
        <w:pStyle w:val="938"/>
        <w:numPr>
          <w:ilvl w:val="0"/>
          <w:numId w:val="4"/>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38"/>
        <w:numPr>
          <w:ilvl w:val="0"/>
          <w:numId w:val="6"/>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38"/>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38"/>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8"/>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8"/>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8"/>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8"/>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8"/>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38"/>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38"/>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38"/>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38"/>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38"/>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38"/>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38"/>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38"/>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3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38"/>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38"/>
        <w:numPr>
          <w:ilvl w:val="0"/>
          <w:numId w:val="4"/>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38"/>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3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38"/>
        <w:numPr>
          <w:ilvl w:val="0"/>
          <w:numId w:val="4"/>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38"/>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38"/>
        <w:numPr>
          <w:ilvl w:val="0"/>
          <w:numId w:val="4"/>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38"/>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38"/>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38"/>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rPr>
          <w:rFonts w:ascii="宋体" w:hAnsi="宋体"/>
          <w:b/>
          <w:bCs/>
          <w:szCs w:val="21"/>
        </w:rPr>
      </w:r>
      <w:r/>
    </w:p>
    <w:p>
      <w:pPr>
        <w:pStyle w:val="1032"/>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38"/>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38"/>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3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38"/>
              <w:jc w:val="center"/>
              <w:spacing w:line="300" w:lineRule="exact"/>
              <w:rPr>
                <w:szCs w:val="21"/>
              </w:rPr>
            </w:pPr>
            <w:r>
              <w:rPr>
                <w:szCs w:val="21"/>
              </w:rPr>
              <w:t xml:space="preserve">法定代表人</w:t>
            </w:r>
            <w:r>
              <w:rPr>
                <w:szCs w:val="21"/>
              </w:rPr>
            </w:r>
            <w:r/>
          </w:p>
          <w:p>
            <w:pPr>
              <w:pStyle w:val="938"/>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法定代表人</w:t>
            </w:r>
            <w:r>
              <w:rPr>
                <w:szCs w:val="21"/>
              </w:rPr>
            </w:r>
            <w:r/>
          </w:p>
          <w:p>
            <w:pPr>
              <w:pStyle w:val="93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38"/>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38"/>
              <w:jc w:val="center"/>
              <w:spacing w:line="300" w:lineRule="exact"/>
              <w:rPr>
                <w:szCs w:val="21"/>
              </w:rPr>
            </w:pPr>
            <w:r>
              <w:rPr>
                <w:szCs w:val="21"/>
              </w:rPr>
            </w:r>
            <w:r/>
          </w:p>
        </w:tc>
        <w:tc>
          <w:tcPr>
            <w:tcW w:w="2413" w:type="dxa"/>
            <w:vAlign w:val="center"/>
            <w:vMerge w:val="continue"/>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38"/>
              <w:jc w:val="center"/>
              <w:spacing w:line="300" w:lineRule="exact"/>
              <w:rPr>
                <w:szCs w:val="21"/>
              </w:rPr>
            </w:pPr>
            <w:r>
              <w:rPr>
                <w:szCs w:val="21"/>
              </w:rPr>
            </w:r>
            <w:r/>
          </w:p>
        </w:tc>
        <w:tc>
          <w:tcPr>
            <w:tcW w:w="2413" w:type="dxa"/>
            <w:vAlign w:val="center"/>
            <w:textDirection w:val="lrTb"/>
            <w:noWrap w:val="false"/>
          </w:tcPr>
          <w:p>
            <w:pPr>
              <w:pStyle w:val="938"/>
              <w:jc w:val="center"/>
              <w:spacing w:line="300" w:lineRule="exact"/>
              <w:rPr>
                <w:szCs w:val="21"/>
              </w:rPr>
            </w:pPr>
            <w:r>
              <w:rPr>
                <w:szCs w:val="21"/>
              </w:rPr>
            </w:r>
            <w:r/>
          </w:p>
        </w:tc>
        <w:tc>
          <w:tcPr>
            <w:tcW w:w="1980" w:type="dxa"/>
            <w:vAlign w:val="center"/>
            <w:textDirection w:val="lrTb"/>
            <w:noWrap w:val="false"/>
          </w:tcPr>
          <w:p>
            <w:pPr>
              <w:pStyle w:val="938"/>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38"/>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98"/>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40"/>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38"/>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38"/>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3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38"/>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3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3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38"/>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3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38"/>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38"/>
        <w:numPr>
          <w:ilvl w:val="0"/>
          <w:numId w:val="7"/>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38"/>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38"/>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38"/>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38"/>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38"/>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38"/>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38"/>
        <w:numPr>
          <w:ilvl w:val="0"/>
          <w:numId w:val="8"/>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38"/>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3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3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38"/>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91"/>
        <w:ind w:firstLine="420"/>
        <w:jc w:val="left"/>
        <w:spacing w:line="400" w:lineRule="exact"/>
        <w:rPr>
          <w:rFonts w:hAnsi="宋体"/>
          <w:b/>
        </w:rPr>
      </w:pPr>
      <w:r>
        <w:rPr>
          <w:rFonts w:hint="eastAsia" w:hAnsi="宋体"/>
        </w:rPr>
        <w:t xml:space="preserve">8.1 质量标准</w:t>
      </w:r>
      <w:r>
        <w:rPr>
          <w:rFonts w:hAnsi="宋体"/>
          <w:b/>
        </w:rPr>
      </w:r>
      <w:r/>
    </w:p>
    <w:p>
      <w:pPr>
        <w:pStyle w:val="938"/>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91"/>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38"/>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38"/>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3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38"/>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38"/>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38"/>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38"/>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38"/>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38"/>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38"/>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38"/>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38"/>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38"/>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3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38"/>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3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38"/>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38"/>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38"/>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38"/>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38"/>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38"/>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38"/>
        <w:numPr>
          <w:ilvl w:val="0"/>
          <w:numId w:val="9"/>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38"/>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3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38"/>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3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38"/>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3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3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38"/>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38"/>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38"/>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38"/>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38"/>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3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3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3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38"/>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38"/>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3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38"/>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3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3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34"/>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38"/>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3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3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38"/>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38"/>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38"/>
        <w:numPr>
          <w:ilvl w:val="0"/>
          <w:numId w:val="10"/>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38"/>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38"/>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38"/>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pPr>
            <w:r>
              <w:rPr>
                <w:rFonts w:hint="eastAsia" w:ascii="宋体" w:hAnsi="宋体"/>
                <w:szCs w:val="21"/>
              </w:rPr>
              <w:t xml:space="preserve">第5.4款</w:t>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38"/>
            </w:pPr>
            <w:r/>
            <w:r/>
          </w:p>
        </w:tc>
      </w:tr>
      <w:tr>
        <w:trPr>
          <w:trHeight w:val="667"/>
        </w:trPr>
        <w:tc>
          <w:tcPr>
            <w:tcW w:w="1607" w:type="dxa"/>
            <w:vAlign w:val="center"/>
            <w:vMerge w:val="continue"/>
            <w:textDirection w:val="lrTb"/>
            <w:noWrap w:val="false"/>
          </w:tcPr>
          <w:p>
            <w:pPr>
              <w:pStyle w:val="938"/>
              <w:jc w:val="center"/>
              <w:rPr>
                <w:rFonts w:ascii="宋体" w:hAnsi="宋体"/>
                <w:szCs w:val="21"/>
              </w:rPr>
            </w:pP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38"/>
            </w:pPr>
            <w:r/>
            <w:r/>
          </w:p>
        </w:tc>
      </w:tr>
      <w:tr>
        <w:trPr>
          <w:trHeight w:val="772"/>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38"/>
            </w:pPr>
            <w:r/>
            <w:r/>
          </w:p>
        </w:tc>
      </w:tr>
      <w:tr>
        <w:trPr>
          <w:trHeight w:val="667"/>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38"/>
            </w:p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38"/>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3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34"/>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38"/>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38"/>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38"/>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38"/>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38"/>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38"/>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38"/>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38"/>
              <w:jc w:val="center"/>
              <w:rPr>
                <w:rFonts w:ascii="宋体" w:hAnsi="宋体"/>
                <w:szCs w:val="21"/>
              </w:rPr>
            </w:pPr>
            <w:r>
              <w:rPr>
                <w:rFonts w:hint="eastAsia" w:ascii="宋体" w:hAnsi="宋体"/>
                <w:szCs w:val="21"/>
              </w:rPr>
              <w:t xml:space="preserve">第二节</w:t>
            </w:r>
            <w:r>
              <w:rPr>
                <w:rFonts w:ascii="宋体" w:hAnsi="宋体"/>
                <w:szCs w:val="21"/>
              </w:rPr>
            </w:r>
            <w:r/>
          </w:p>
          <w:p>
            <w:pPr>
              <w:pStyle w:val="938"/>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38"/>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38"/>
              <w:jc w:val="left"/>
              <w:rPr>
                <w:rFonts w:ascii="宋体" w:hAnsi="宋体"/>
                <w:szCs w:val="21"/>
              </w:rPr>
            </w:pPr>
            <w:r>
              <w:rPr>
                <w:rFonts w:ascii="宋体" w:hAnsi="宋体"/>
                <w:szCs w:val="21"/>
              </w:rPr>
            </w:r>
            <w:r/>
          </w:p>
        </w:tc>
      </w:tr>
    </w:tbl>
    <w:p>
      <w:pPr>
        <w:pStyle w:val="10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101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ookmarkStart w:id="182" w:name="_Toc49090575"/>
      <w:r/>
      <w:bookmarkStart w:id="183" w:name="_Toc26554093"/>
      <w:r/>
      <w:bookmarkStart w:id="184" w:name="_Toc120614281"/>
      <w:r>
        <w:rPr>
          <w:rFonts w:hint="eastAsia" w:ascii="黑体" w:hAnsi="Courier New" w:eastAsia="黑体" w:cs="Courier New"/>
          <w:bCs/>
          <w:color w:val="000000"/>
          <w:sz w:val="44"/>
          <w:szCs w:val="21"/>
        </w:rPr>
        <w:br w:type="page" w:clear="all"/>
      </w: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54"/>
        <w:gridCol w:w="783"/>
        <w:gridCol w:w="2976"/>
        <w:gridCol w:w="3969"/>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54" w:type="dxa"/>
            <w:vAlign w:val="top"/>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空调设备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智能座席及会议家具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智能交互一体机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LED屏显示系统设备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LED显示管理软件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数字会议及视频会议设备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专业扩声系统设备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会议音频管理软件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分布式音视频切换系统设备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分布式音视频管理控制软件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集中控制系统设备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计算机及网络设备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安防门禁设备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2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7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智慧指挥综合管理平台软件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r>
    </w:tbl>
    <w:p>
      <w:pPr>
        <w:ind w:left="0" w:right="0" w:firstLine="0"/>
        <w:jc w:val="both"/>
        <w:spacing w:before="0" w:after="0"/>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1.本项目对采购本国产品给予政策支持，具体内容见招标文件“第五章 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一、采购清单</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4"/>
        <w:gridCol w:w="3157"/>
        <w:gridCol w:w="1207"/>
        <w:gridCol w:w="1141"/>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项目采购物品名称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（1）装饰装修</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入口外墙铝板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19.32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入口木饰面门套造型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入口定制木质门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樘</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侧边定制木质门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樘</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设备间暗门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樘</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墙面吸音板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202.68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墙面30mm成品灯条及安装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115.92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会场中间移动隔断（吸音）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28.98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黑色拉丝不锈钢踢脚线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56.38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黑色拉丝不锈钢收边条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轻钢龙骨双层石膏板吊顶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157.92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吊顶及设备间乳胶漆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204.04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矿棉板吊顶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定制白色软膜灯箱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定制圆形造型吊顶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40.69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顶面30mm成品灯条及安装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顶面宣绒布UV印（星空顶）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定制高端防静电地板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电路改造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顶面LED灯带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71.39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筒灯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164.18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窗帘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29.82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发光字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（2）智能座席系统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工业级操作台（双屏坐席）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位</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领导观摩席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位</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pdu供电模块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人体工学座椅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288"/>
        </w:trPr>
        <w:tc>
          <w:tcPr>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(3)展厅</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人体工学会议椅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多媒体桌插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(4)LED 屏显示系统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户内全彩LED屏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20.4</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发送盒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大屏钢结构支架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配电柜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可视化大屏智能管理平台软件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（5）数字会议系统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高保真数字会议主机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会议话筒处理器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会议话筒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充电箱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发射器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会议终端主机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高清视频会议摄像机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（6）扩声系统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专业音柱扬声器（含支架）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专业数字功放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音频处理器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反馈抑制器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调音台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无线手持话筒一拖二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无线头戴话筒一拖二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天线分配器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无线话筒天线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电源时序器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会议音频综合管理平台软件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（7）音视频切换系统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AI智慧分布式管理主机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分布式综合管理主机软件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可视化操控终端软件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分布式输入节点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分布式输出节点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POE千兆交换机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362"/>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（8）集中控制系统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集中控制主机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8路电源控制器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液晶控制屏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平板电脑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（9）辅助材料及集成施工</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3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立式豪华型机柜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设备连接音频线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专业音响线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HDMI视频线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控制线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线管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集成施工及其他辅料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批</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（10）计算机网络系统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POE千兆交换机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高密吸顶AP</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27寸超高清显示器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双屏显示器支架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操作台电脑主机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人脸门禁一体机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288"/>
        </w:trPr>
        <w:tc>
          <w:tcPr>
            <w:gridSpan w:val="2"/>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（11）调度指挥系统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w:t>
            </w:r>
            <w:r/>
          </w:p>
        </w:tc>
      </w:tr>
    </w:tbl>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二、技术要求</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74"/>
        <w:gridCol w:w="6108"/>
      </w:tblGrid>
      <w:tr>
        <w:trPr>
          <w:trHeight w:val="3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功能参数</w:t>
            </w:r>
            <w:r/>
          </w:p>
        </w:tc>
      </w:tr>
      <w:tr>
        <w:trPr>
          <w:trHeight w:val="303"/>
        </w:trPr>
        <w:tc>
          <w:tcPr>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（1）装饰装修</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装修用料不得低于E0级</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入口外墙铝板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1.钢架结构，专用干挂扣件，定制≥2.0mm铝单板。</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入口木饰面门套造型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1.阻燃板基层，实木定制，木质人造板及其制品符合E0 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入口定制木质门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1.门套阻燃板基层，定制实木硬包门，定制门锁五金，木质人造板及其制品符合E0 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侧边定制木质门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1.门套阻燃板基层，定制实木硬包门，定制门锁五金，木质人造板及其制品符合E0 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设备间暗门</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1.门套阻燃板基层，吸音板，定制门锁五金，木质人造板及其制品符合E0 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墙面吸音板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1.专用龙骨及卡件，木质吸音板，木质人造板及其制品符合E0标准认证。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墙面30mm成品灯条及安装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1.铝合金折边槽，灯带，变压器。</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会场中间移动隔断（吸音）</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1.顶面轨道安装，内置阻燃板隔音填充，双面吸音板面层。</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黑色拉丝不锈钢踢脚线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1.折边，刨槽。</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黑色拉丝不锈钢收边条</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1.折边，刨槽。</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轻钢龙骨双层石膏板吊顶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1.Φ8丝杆间距≤1200mm，≥50mm主龙+50mm付龙，双层≥9.5mm石膏板及造型部分阻燃板基层，木质人造板及其制品符合E0标准认证。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吊顶及设备间乳胶漆</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1.钉眼防锈处理、嵌缝膏，批腻子≥三遍、打磨，白色乳胶漆一底两面。</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矿棉板吊顶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1.≥Φ8丝杆，专用卡龙，600*600mm矿棉板。</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定制白色软膜灯箱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1.阻燃板基层，专用调光灯珠，防火软膜，木质人造板及其制品符合E0 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定制圆形造型吊顶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 阻燃板基层，石膏板，木质人造板及其制品符合E0 标准认证。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顶面30mm成品灯条及安装</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1.硅胶灯带。</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顶面宣绒布UV印（星空顶）</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1.专用基模，宣绒布。</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定制高端防静电地板</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1.基层处理，可调100-150mm固定支撑脚，600*600mm防静电地板。</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电路改造</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1.≥JDG20mm、25mm线管，≥2.5平方或4平方布线。</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顶面LED灯带</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1.LED灯带，变压器。</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消防工程</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1.喷淋改造，烟感调整。</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空调</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1.空调≥3匹，含加长铜管支架等。</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新风</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1.专用支架，定制风管。</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窗帘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1.轨道吊装，遮光布帘。</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发光字</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1.树脂正面发光，变压器。</w:t>
            </w:r>
            <w:r/>
          </w:p>
        </w:tc>
      </w:tr>
      <w:tr>
        <w:trPr>
          <w:trHeight w:val="303"/>
        </w:trPr>
        <w:tc>
          <w:tcPr>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（2）智能座席系统</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工业级操作台（双屏坐席）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三人位（≥3680*900*950毫米）豪华操作台采用钢木结合工艺，柜体为钢制，主体框架采用焊接工艺（坚固耐用）整体打磨光滑平整；主体框架≥2.0毫米优质冷轧钢板，背板≥2.0毫米冷轧钢板，前后门板≥1.5毫米钢板；木质部分采用≥27毫米厚优质防火板，面板前端橡胶压边手枕，抗磨防腐,不低于E0级；柜体采用静电喷涂工艺（打砂，脱脂，酸洗，防锈磷化，静电喷涂），侧板烤漆板+LED灯带，可定制LOGO。</w:t>
            </w: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领导观摩席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七人位（≥5680*800*950毫米）豪华操作台采用钢木结合工艺，柜体为钢制，主体框架采用焊接工艺（坚固耐用）整体打磨光滑平整，主体框架2.0毫米优质冷轧钢板，背板2.0毫米冷轧钢板，前后门板1.5毫米钢板；木质部分采用27毫米厚优质防火板，面板前端橡胶压边手枕，抗磨防腐,不低于E0级；柜体采用静电喷涂工艺（打砂，脱脂，酸洗，防锈磷化，静电喷涂）。侧板烤漆板+LED灯带，可定制LOGO</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1.≥1个五孔电源插座</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PDU供电模块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2.≥8位五孔10A</w:t>
            </w:r>
            <w:r/>
          </w:p>
        </w:tc>
      </w:tr>
      <w:tr>
        <w:trPr>
          <w:trHeight w:val="3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人体工学座椅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1.网面、五轮、活动式，带头枕，带扶手，高度可调节</w:t>
            </w:r>
            <w:r/>
          </w:p>
        </w:tc>
      </w:tr>
      <w:tr>
        <w:trPr>
          <w:trHeight w:val="303"/>
        </w:trPr>
        <w:tc>
          <w:tcPr>
            <w:shd w:val="clear" w:color="009093" w:fill="00909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（3）展厅</w:t>
            </w:r>
            <w:r/>
          </w:p>
        </w:tc>
        <w:tc>
          <w:tcPr>
            <w:shd w:val="clear" w:color="009093" w:fill="00909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ffffff"/>
                <w:sz w:val="20"/>
                <w:u w:val="single"/>
              </w:rPr>
              <w:t xml:space="preserve"> </w:t>
            </w:r>
            <w:r/>
          </w:p>
        </w:tc>
      </w:tr>
      <w:tr>
        <w:trPr>
          <w:trHeight w:val="7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十二人位方形会议桌（≥5900*2400*750毫米）；基材：不低于E0级中纤板，甲醛释放量符合国家标准；工艺：烤漆工艺，表面平整光亮，显色性好，视觉冲击力强；五金：优质五金配件，链接牢固；油漆：环保油漆，不变色，光滑耐磨，光滑耐磨控制台默认为白色烤漆，客户可根据色板来选择自己满意的颜色；可根据色板来选择颜色，质保五年。</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人体工学会议椅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1.优质西皮饰面；内板≥12mm木皮压制而成高密度夹板；≥40密度高弹力海绵；豪华飞机底盘；通过SGS认证三级电镀气压棒 ；≥350mm电镀方脚。</w:t>
            </w:r>
            <w:r/>
          </w:p>
        </w:tc>
      </w:tr>
      <w:tr>
        <w:trPr>
          <w:trHeight w:val="303"/>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多媒体桌插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1.1个HDMI,1个五孔电源插座，1个网口</w:t>
            </w:r>
            <w:r/>
          </w:p>
        </w:tc>
      </w:tr>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一体机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智能交互平板显示尺寸≥86英寸，分辨率：≥3840*2160，采用直下式背光D-LED，红外触控技术，在双系统下均支持≥50点触控及50点书写划线；表面玻璃采用高强度钢化玻璃，AG防眩光，硬度≥莫氏7级，石墨硬度≥9H；采用≥12核国产化驱动芯片，8核CPU、4核GPU。 Android 系统版本≥14.0，内存≥4G，存储≥32G。 </w:t>
            </w:r>
            <w:r/>
          </w:p>
        </w:tc>
      </w:tr>
      <w:tr>
        <w:trPr>
          <w:trHeight w:val="217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前置接口需采用隐藏式设计，具有翻转式防护盖板，有效防护推拉黑板对外接设备的撞击。为方便不同厚度U盘接入，开合角度≥100°；前置面板至少具备1路HDMI接口（非转接），2路USB3.0接口，1路Type-C接口（具备数据传输、充电等功能），后置非转接 HDMI输入≥2路，HDMI输出≥1路（支持安卓及其他通道信号输出）；具备前置组合式针孔电脑还原物理按键，具有中文标识，无需专业人员即可轻松解决电脑系统故障；智能交互平板处于关机通电状态，外接电脑、机顶盒等设备接入交互平板时，智能交互平板可识别到外接设备的</w:t>
            </w:r>
            <w:r>
              <w:rPr>
                <w:rFonts w:ascii="SimSun" w:hAnsi="SimSun" w:eastAsia="SimSun" w:cs="SimSun"/>
                <w:color w:val="000000"/>
                <w:sz w:val="20"/>
              </w:rPr>
              <w:t xml:space="preserve">输入信号后自动开机；可自动识别新接入的信号源，并自动切换到该信号源显示，在断开连接后，弹出确认，10秒后返回之前信号源；智能交互平板具备屏体温度实时监控、高温预警及断电保护等功能；智能交互平板内置Wi-Fi6无线网卡，支持2.4G、5G双频。智能交互平板内置系统连接Wi-Fi上网（STA）的情况下，嵌入式电脑会同步连接网络；为方便管理，智能交互平板具备锁屏功能，支持不少于3种锁屏方式，包括但不限于密码锁屏、二维码锁屏、U盘锁屏等；支持不少于3种解锁方式，包括但不限于密码解锁、二维码解锁、U盘解锁等。</w:t>
            </w:r>
            <w:r/>
          </w:p>
        </w:tc>
      </w:tr>
      <w:tr>
        <w:trPr>
          <w:trHeight w:val="30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▲3.智能交互平板具有通屏笔槽结构，可放置书写笔、水性笔等，笔槽具有漏灰孔设计。（需提供实物前拆照片并加盖投标人公章）</w:t>
            </w:r>
            <w:r/>
          </w:p>
        </w:tc>
      </w:tr>
      <w:tr>
        <w:trPr>
          <w:trHeight w:val="30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▲4.无需打开智能交互平板背板，前置接口面板支持单独前拆维护。（需提供实物前拆照片并加盖投标人公章）</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智能交互平板前置按键≥7个，可实现音量加减、窗口关闭、触控开关等功能，且按键均支持功能复用。前置按键支持不少于6个前置物理按键自定义功能，可将按键自定义为主页、护眼、返回、设置、录屏、触控开关、多任务等功能。（需提供实物按键照片及白皮书并加盖投标人公章）</w:t>
            </w:r>
            <w:r/>
          </w:p>
        </w:tc>
      </w:tr>
      <w:tr>
        <w:trPr>
          <w:trHeight w:val="97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6.含内置OPS电脑：OPS电脑采用80pin Intel通用标准接口,即插即用，按压式卡扣设计，易于维护。CPU采用Intel第十二代英特尔酷睿i5处理器或同等配置以上；内存：≥8G DDR4；OPS电脑硬盘：≥256G SSD固态硬盘；具备独立复位按键；接口：整机非外扩展具备≥6个USB接口；具有独立非外扩展的输出接口：≥1路HDMI等；具有3.5mm圆孔接口；具有2路LED状态指示灯；line out≥1路；RJ45≥1路。</w:t>
            </w:r>
            <w:r/>
          </w:p>
        </w:tc>
      </w:tr>
      <w:tr>
        <w:trPr>
          <w:trHeight w:val="288"/>
        </w:trPr>
        <w:tc>
          <w:tcPr>
            <w:shd w:val="clear" w:color="009093" w:fill="00909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（4）LED 屏显示系统</w:t>
            </w:r>
            <w:r/>
          </w:p>
        </w:tc>
        <w:tc>
          <w:tcPr>
            <w:shd w:val="clear" w:color="009093" w:fill="00909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户内全彩LED屏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1.LED像素点间距≤1.25mm；像素密度≥640000点/㎡；</w:t>
            </w:r>
            <w:r/>
          </w:p>
        </w:tc>
      </w:tr>
      <w:tr>
        <w:trPr>
          <w:trHeight w:val="2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2.显示屏幕峰值亮度≥600cd/㎡，峰值功耗≤450W/㎡ ，平均功耗≤150W/㎡；支持完全前维护，</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▲3.支持信源接入状态显示，可通过物理按键.客户端.遥控器.设备自带Web 浏览器进行信源切换。（提供原厂产品彩页复印件并加盖投标人公章）</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▲4.支持通过 Web 浏览器查看 LED 整墙的概览信息和 LED 屏连线状态；支持查看行列网格展示屏幕接收卡规模,在Web 端鼠标移到网格上时,可展示该网格所属网口的所有接收卡单元并高亮展示,可展示网线连线顺序.网口号.工作状态。（提供原厂产品彩页复印件并加盖投标人公章）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▲5.支持从客户端、设备自带 Web 浏览器查看绑定的接收卡序号.接收卡型号.接收卡软件版本.网口 link 状态.接收卡电压.接收卡温度。（提供原厂产品彩页复印件并加盖投标人公章）</w:t>
            </w:r>
            <w:r/>
          </w:p>
        </w:tc>
      </w:tr>
      <w:tr>
        <w:trPr>
          <w:trHeight w:val="97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▲6.视网膜蓝光危害:符合 GB/T 20145-2006 标准要求,对样品发光器件(灯珠)蓝色光的波长进行测试。为保证产品屏幕光看起来柔和不刺眼,产品需要具备蓝光护眼多重过渡保护系统显示屏调到蓝光最亮状态下测试,蓝光危害加权辐亮度值(LB)应优于国标限量值≤100W·m-2·sr-1，并在2.8h内不造成对视网膜蓝光伤害(LB)，蓝光视网膜危害应属无危害类。（须提供标注为GB/T 20145-2006检测依据及测试结果并加盖CMA标识的第三方检测机构出具的检测（测试）报告扫描件或复印件并加盖投标人公章）</w:t>
            </w:r>
            <w:r/>
          </w:p>
        </w:tc>
      </w:tr>
      <w:tr>
        <w:trPr>
          <w:trHeight w:val="97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▲7.依据 GB/T 20145-2006标准进行光生物安全评估检测,应属无危害类；光生物安全检测无危害类限值:30000s 曝辐中不造成光化学紫外危害(ES),并在1000s内不造成近紫外危害(EUVA),并在 10s内不造成对视网膜热危害 (LR),且在 1000s 内不造成对眼睛的红外辐射危害(EIR)（须提供标注为GB/T 20145-2006检测依据及测试结果并加盖CMA标识的第三方检测机构出具的检测（测试）报告扫描件或复印件并加盖投标人公章）</w:t>
            </w:r>
            <w:r/>
          </w:p>
        </w:tc>
      </w:tr>
      <w:tr>
        <w:trPr>
          <w:trHeight w:val="1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发送盒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接口：输入接口：具有≥1个HDMI1.4接口、≥1个USB2.0接口、≥1个DEBUG接口、≥2个控制网口、≥1个RS485接口、≥1个IR IN接口输出接口：≥1个Audio OUT接口，≥4个带载网口，具备≥1个开关按键、≥3个功能按键；设备支持通过客户端、物理按键、Web浏览器对屏幕红、绿、蓝、白、条纹逐行扫描进行自检操作；可通过设备自带客户端、遥控器同时控制多台发送卡设备参数的调节；支持带载模式切换，支持在客户端、web端进行迷你带载模式和标准带载模式的切换，功能响应正常。支持通过网络IP地址</w:t>
            </w:r>
            <w:r>
              <w:rPr>
                <w:rFonts w:ascii="SimSun" w:hAnsi="SimSun" w:eastAsia="SimSun" w:cs="SimSun"/>
                <w:color w:val="000000"/>
                <w:sz w:val="20"/>
              </w:rPr>
              <w:t xml:space="preserve">登录设备，查看发送卡IP地址、序列号、带载屏幕分辨率、运行状态、软件版本、运行温度、内存使用率、网口利用率情况等信息，在超过设定的运行限制时和发送卡组件异常等异常状态会进行报警。（提供原厂产品彩页复印件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▲2.具有≥2个控制网口，支持TCP/IP网络协议，双网口均可用于控制设备或设备网络级联，其中一个接口用于控制设备时，另外一个网口就用于设备网络级联。（提供原厂产品彩页复印件并加盖投标人公章）</w:t>
            </w:r>
            <w:r/>
          </w:p>
        </w:tc>
      </w:tr>
      <w:tr>
        <w:trPr>
          <w:trHeight w:val="2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▲3.支持亮度调节，可通过LED显示屏客户端、遥控器、物理按键进行亮度调节。（提供原厂产品彩页复印件并加盖投标人公章）</w:t>
            </w:r>
            <w:r/>
          </w:p>
        </w:tc>
      </w:tr>
      <w:tr>
        <w:trPr>
          <w:trHeight w:val="30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▲4.支持动态节能算法，开启动态节能算法后，相同显示内容屏幕功耗降低30%。（提供原厂产品彩页复印件并加盖投标人公章）</w:t>
            </w:r>
            <w:r/>
          </w:p>
        </w:tc>
      </w:tr>
      <w:tr>
        <w:trP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大屏钢结构支架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1.壁挂支架，材质：优质冷轧钢板(SPCC)，材料厚度≥T1.5；厚度：60mm+屏厚；表面处理：静电喷塑，涂层厚度≥60微米</w:t>
            </w:r>
            <w:r/>
          </w:p>
        </w:tc>
      </w:tr>
      <w:tr>
        <w:trPr>
          <w:trHeight w:val="9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配电柜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配电柜额定功率≥20KW，具备≥6个单相回路；可通过RS485接口读取配电柜内部温度；网络接口：支持MODBUS-TCP协议；串口通讯端口：支持RS485,MODBUS-RTU协议；；检测到烟雾后可自动断电；超过温度阈值后可自动断电；输入输出均有断路器保护措施，在发生过流或短路后可以自动断电；支持手动一键启动、停止；支持单路（单交流控制器）启动停止；支持分时段控制；支持电脑远程控制；支持记录电源参数、运行状态、异常报警(高温、烟雾)等；支持设备分级上电，避免瞬间电流过大。</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1.含屏体内线材，回路线缆，网线</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1.定制，四周≥40mm宽度包边封板；</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可视化大屏智能管理平台软件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1.系统兼容多种操作系统，可支持Windows、Android、IOS多种操作系统。</w:t>
            </w:r>
            <w:r/>
          </w:p>
        </w:tc>
      </w:tr>
      <w:tr>
        <w:trPr>
          <w:trHeight w:val="30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2.系统具备C/S和B/S架构，采用模块化设计，实现实时监控、录像回放、大屏管理、字幕管理、中控管理等集成，实现统一管理。</w:t>
            </w:r>
            <w:r/>
          </w:p>
        </w:tc>
      </w:tr>
      <w:tr>
        <w:trPr>
          <w:trHeight w:val="2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3.支持服务器网络地址配置，支持外网接入，配置系统端口。</w:t>
            </w:r>
            <w:r/>
          </w:p>
        </w:tc>
      </w:tr>
      <w:tr>
        <w:trPr>
          <w:trHeight w:val="97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配置客户端通信端口、通用事件接收端口、ISUP设备报警接收端口、OTAP端口、以及其他功能端口；支持开启、关闭屏幕电源进行远程屏幕控制；支持漫游窗口创建，销毁，移动，改变大小，置顶，置底操作；支持单窗口、多窗口进行画面轮巡，轮巡时间间隔最大支持3600秒。支持点击一键清屏，可快速清除大屏中的所有窗口；支持场景画面快速切换。支持设备到LCD/LED屏幕的链路识别和展示，支持链路连接、断开、异常状态诊断；（提供原厂产品彩页复印件并加盖投标人公章）</w:t>
            </w:r>
            <w:r/>
          </w:p>
        </w:tc>
      </w:tr>
      <w:tr>
        <w:trPr>
          <w:trHeight w:val="288"/>
        </w:trPr>
        <w:tc>
          <w:tcPr>
            <w:shd w:val="clear" w:color="009093" w:fill="00909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（5）数字会议系统</w:t>
            </w:r>
            <w:r/>
          </w:p>
        </w:tc>
        <w:tc>
          <w:tcPr>
            <w:shd w:val="clear" w:color="009093" w:fill="00909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高保真数字会议主机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集成专业DSP处理功能，具有智能混音、音频矩阵调节、自动增益、反馈抑制、≥31段输出图示均衡（≥8段输出参量均衡）、≥10段输入图示均衡（≥5段输入参量均衡）、闪避器、分频器、音量调节、反相功能。（提供功能界面截图并加盖投标人公章）</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2.通讯接口包括有≥3路航空接口，≥2路RS-232接口、≥1路RS-485接口、≥3路RJ45网络通信接口、≥1路RJ45内部调试接口、≥1路USB2.0接口；音频输入接口包括有≥1路LINE IN,音频输出接口有≥1路LINE OUT、≥两路SPK OUT，每一路功率≥30W。（需提供实物照片并加盖投标人公章）</w:t>
            </w:r>
            <w:r/>
          </w:p>
        </w:tc>
      </w:tr>
      <w:tr>
        <w:trPr>
          <w:trHeight w:val="12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会议话筒处理器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具有≥1个RS485、≥1个RS232接口，可对接摄像机实现摄像跟踪功能；内置≥64个话筒预置位，满足大型会议室摄像跟踪需求；处理器与数字会议主机通过网络传输链路传输会议单元音频信号，只需要通过网线即可以接收数字会议单元音频信号，并提供自动增益、</w:t>
            </w:r>
            <w:r>
              <w:rPr>
                <w:rFonts w:ascii="SimSun" w:hAnsi="SimSun" w:eastAsia="SimSun" w:cs="SimSun"/>
                <w:color w:val="000000"/>
                <w:sz w:val="20"/>
              </w:rPr>
              <w:t xml:space="preserve">自动混音、AFC反馈抑制（≥24个可编程陷波点）、EQ调节（≥31段图示均衡器调节）音频处理功能。</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功能状态指示灯、≥1个音频信号灯、≥1个处理器工作状态指示灯、≥1个工作电源指示灯）。（提供设备接口实物照片并加盖投标人公章）</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提供功能界面截图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会议话筒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备OLED屏≥0.96英寸，采用心型指向性驻极体麦克风，内部具有DSP音频处理；支持触摸按键签到功能；具备优先权功能，可关闭正在发言的所有代表话筒；具有声控功能，可智能打开话筒；具有发言计时和定时发言功能。</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会议话筒</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1.具备OLED屏≥0.96英寸，采用心型指向性驻极体麦克风，内部具有DSP音频处理；支持触摸按键签到功能；具有声控功能，可智能打开话筒；具有发言计时和定时发言功能。</w:t>
            </w:r>
            <w:r/>
          </w:p>
        </w:tc>
      </w:tr>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充电箱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充电箱具有≥10个USB接口，支持使用USB线充电，提供5V/9V供电。一端连接充电器一端连接会议单元,支持18W快充。支持同时插满所有USB接口，供设备批量充电；根据设备的耐受电流大小充电器会自动匹配合适的电流大小给设备充电，同时有过流保护功能，保证被充电单元的安全；智能自动电路保护，所有USB插口均具有短路保护功能和自恢复功能。</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发射器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1.无线接入点内置矩阵式智能天线，支持WIFI6协议（IEEE 802.11ax）支持WPA3安全协议，支持80/160MHz的高带宽频段。</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1.≥8个百兆端口支持PoE+供电，符合IEEE 802.3af/at标准，单端口PoE功率≥30W，整机最大PoE输出功率≥125W。</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会议终端主机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rPr>
                <w:rFonts w:ascii="SimSun" w:hAnsi="SimSun" w:eastAsia="SimSun" w:cs="SimSun"/>
                <w:i/>
                <w:color w:val="000000"/>
                <w:sz w:val="20"/>
                <w:u w:val="single"/>
              </w:rPr>
              <w:t xml:space="preserve">采用分体式结构，内置硬件视频处理单元，采用国产嵌入式Linux和Android 12双操作系统设计，支持国产嵌入式Linux系统与安卓系统互相切换。</w:t>
            </w:r>
            <w:r/>
          </w:p>
        </w:tc>
      </w:tr>
      <w:tr>
        <w:trPr>
          <w:trHeight w:val="265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具备≥1个USB2.0接口和≥1个USB3.0接口，支持接入USB存储设备；支持会议录制功能，可以直接录制会议过程中的视频和音频；以及支持通过USB存储设备进行程序升级、抓取数据包；具备≥4路音频输入接口，≥2路音频输出接口，以及具备≥3路高清视频输入接口、≥2路高清视频输出接口；支持设备的上电启动和风扇开关的电源管理，可配置设备是否上电自启动和启用风扇；支持IPV4和IPV6协议，支持NAT穿越，具备跨越路由器及防火墙的能力，保证系统安全。在H.323协议下，支持H.235信令加密；在SIP协议下，支</w:t>
            </w:r>
            <w:r>
              <w:rPr>
                <w:rFonts w:ascii="SimSun" w:hAnsi="SimSun" w:eastAsia="SimSun" w:cs="SimSun"/>
                <w:color w:val="000000"/>
                <w:sz w:val="20"/>
              </w:rPr>
              <w:t xml:space="preserve">持TLS、SRTP加密；媒体流支持AES128/256、SM3、SM4国密算法，保证会议安全；支持ITU-T H.323、SIP标准协议，具有良好的兼容性；支持H.239、BFCP双流协议；支持H.261、H.263、H.263+、H.264、H.264 HP视频编解码协议，支持G.711、G.722、G.722.1、G.722.1C、OPUS音频编解码协议，音质可达≥48KHz；支持会议中设置辅流全屏显示或合成显示；支持将≥2路主流画面合成一路传给远端，画面布局可选；以及辅流接口支持即插即发功能，并支持遥</w:t>
            </w:r>
            <w:r>
              <w:rPr>
                <w:rFonts w:ascii="SimSun" w:hAnsi="SimSun" w:eastAsia="SimSun" w:cs="SimSun"/>
                <w:color w:val="000000"/>
                <w:sz w:val="20"/>
              </w:rPr>
              <w:t xml:space="preserve">控器一键辅流发送或结束、画面布局切换。终端采用B/S管理架构，可通过访问浏览器登录web远程进行管理，支持中英文切换；并且终端web页面支持实时回显会议画面，以及会议声音可播放；具备辅流批注功能，发送辅流和接收辅流时都可在辅流画面上进行实时批注；可设置三种不同粗细的画笔，设置五种画笔颜色，设置圆形、方形、箭头、线条等批注图形；发送辅流时可设置是否开放批注权限给与会成员共同批注。</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具备AI实时语音转写功能，无需额外配置融合语音转写系统，终端即可对会议中的音频实时转写成字幕输出到显示器上显示，可同时显示会议实时字幕和翻译字幕，也可单独显示，支持中英文转写；并可设置字幕背景色、字体颜色、背景透明度、字体类型、字体大小。（需提供功能截图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▲4.具备AI同声传译功能，无需额外配置其他设备，终端即可将远端传输过来的音频进行翻译后播放，支持中英翻译，并且播放倍数、音色可选。（需提供功能截图并加盖投标人公章）</w:t>
            </w:r>
            <w:r/>
          </w:p>
        </w:tc>
      </w:tr>
      <w:tr>
        <w:trPr>
          <w:trHeight w:val="4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高清视频会议摄像机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1.高清摄像机具备≥20倍光学变倍镜头，并支持≥16倍数字变焦；采用1/2.8英寸、≥207万有效像素的高品质HD CMOS传感器；镜头焦距f4.42mm ~ 88.5mm, 光圈系数F1.8 ~ F2.8 。支持1080P60，1080P59.94，1080P50，1080I60，1080I59.94，1080I50，1080P30，1080P29.97，1080P25，720P60，720P59.94，720P50分辨率，支持输出帧率≥60帧/秒。水平视场角：60.7°～3.36°；支持水平转动范围：-</w:t>
            </w:r>
            <w:r>
              <w:rPr>
                <w:rFonts w:ascii="SimSun" w:hAnsi="SimSun" w:eastAsia="SimSun" w:cs="SimSun"/>
                <w:color w:val="000000"/>
                <w:sz w:val="20"/>
              </w:rPr>
              <w:t xml:space="preserve">170°～+170°，垂直转动范围：-30°～+90°，水平转动速度范围：水平：1.7°～100°/s，俯仰：1.7°～69.9°/s；支持HDMI、SDI、USB、网络四路视频同时输出；支持RS232和RS485串口，可对摄像机进行控制；支持预置位数量≥255个，预置位精度：≤0.1°；具备≥1路HDMI输出接口、≥1路3G-SDI输出接口、≥1路USB3.0输出接口，具备≥1路3.5mm音频输入接口和≥1路3.5mm音频输出接口；支持PoE供电；支持先进的2D、3D降噪技术；支持AAC音频编码，音质更佳</w:t>
            </w:r>
            <w:r>
              <w:rPr>
                <w:rFonts w:ascii="SimSun" w:hAnsi="SimSun" w:eastAsia="SimSun" w:cs="SimSun"/>
                <w:color w:val="000000"/>
                <w:sz w:val="20"/>
              </w:rPr>
              <w:t xml:space="preserve">，带宽占用更小。内置AI技术和行人重识别技术，实现自动识别目标人形并跟踪、自动框选功能。</w:t>
            </w:r>
            <w:r/>
          </w:p>
        </w:tc>
      </w:tr>
      <w:tr>
        <w:trPr>
          <w:trHeight w:val="303"/>
        </w:trPr>
        <w:tc>
          <w:tcPr>
            <w:shd w:val="clear" w:color="009093" w:fill="00909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（6）扩声系统</w:t>
            </w:r>
            <w:r/>
          </w:p>
        </w:tc>
        <w:tc>
          <w:tcPr>
            <w:shd w:val="clear" w:color="009093" w:fill="00909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72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专业音柱扬声器（含支架）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1.采用≥9只2.5寸钕磁单元组成；额定功率≥220W；标准阻抗：4Ω；扬声器单元：≥2.5"全频×9；覆盖角度(-6dB)：120°（H）20°（V）。</w:t>
            </w:r>
            <w:r/>
          </w:p>
        </w:tc>
      </w:tr>
      <w:tr>
        <w:trPr>
          <w:trHeight w:val="9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专业数字功放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标准≤1U机箱设计，采用D类数字功放设计方案；标准XLR输入接口，和LINK输出口；电源采用开关电源技术，效率高，有效的抑制电源谐波；内置智能削峰限幅器，支持开机软启动，防止开机时向电网吸收大电流，干扰其它用电设备；具有：过压保护，欠压保护，过流保护，直流保护，输出短路保护，温控风扇功能；输出功率：立体声8Ω ：≥350W×2；立体声4Ω：≥600W×2；桥接16Ω：≥700W ；桥接8Ω：≥1200W。</w:t>
            </w:r>
            <w:r/>
          </w:p>
        </w:tc>
      </w:tr>
      <w:tr>
        <w:trPr>
          <w:trHeight w:val="21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音频处理器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处理器≥4核，主频≥2.0GHz。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设备具有统一集中控制功能，支持≥65535台设备通过软件集中控制。设备具有编码旋钮和IPS屏幕，可用于控制和配置设备静音，增益，场景；IPS屏幕能够显示IP地址</w:t>
            </w:r>
            <w:r>
              <w:rPr>
                <w:rFonts w:ascii="SimSun" w:hAnsi="SimSun" w:eastAsia="SimSun" w:cs="SimSun"/>
                <w:color w:val="000000"/>
                <w:sz w:val="20"/>
              </w:rPr>
              <w:t xml:space="preserve">，输入和输出通道的实时电平；支持矩阵增益调节：每个输入通道参与混音的增益可调，增益调节范围等同或优于-72dB到12dB；具有PC客户端、手机移动端、安卓平板端、IOS手机移动端、IOS平板端不同控制方式，可以同时登入APP软件、PC客户端同时连接设备，并实现多端数据的同步；具有设备定位功能，客户端一键定位局域网内同类设备，被定位的设备会显示定位信息；采用AI人工智能宽度学习算法进行噪声抑制，根据不同使用场景提供≥三个AI语音降噪档位可调整，有效降低甚至消除语言扩声系统中非人声类噪音信号，如拍掌、敲击桌子等</w:t>
            </w:r>
            <w:r>
              <w:rPr>
                <w:rFonts w:ascii="SimSun" w:hAnsi="SimSun" w:eastAsia="SimSun" w:cs="SimSun"/>
                <w:color w:val="000000"/>
                <w:sz w:val="20"/>
              </w:rPr>
              <w:t xml:space="preserve">非稳态噪声以及空调声、风扇声等稳态噪声，确保语音清晰度和可懂度（降噪能力≥40dB）。</w:t>
            </w:r>
            <w:r/>
          </w:p>
        </w:tc>
      </w:tr>
      <w:tr>
        <w:trPr>
          <w:trHeight w:val="12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输入通道支持前级放大、信号发生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w:t>
            </w:r>
            <w:r>
              <w:rPr>
                <w:rFonts w:ascii="SimSun" w:hAnsi="SimSun" w:eastAsia="SimSun" w:cs="SimSun"/>
                <w:color w:val="000000"/>
                <w:sz w:val="20"/>
              </w:rPr>
              <w:t xml:space="preserve">由分配动态/静态点，自动/手动切换。提供功能截图并加盖投标人公章）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▲3.音频处理器具有跨平台软件，可运行于windows操作系统或国产操作系统或macOS系统或Ubuntu桌面版操作系统。（提供功能截图并加盖投标人公章）</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音频处理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截图佐证）</w:t>
            </w:r>
            <w:r/>
          </w:p>
        </w:tc>
      </w:tr>
      <w:tr>
        <w:trPr>
          <w:trHeight w:val="14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反馈抑制器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处理器主频≥1.3GHz；配置≥2个完全独立的反馈抑制通道，每通道均支持自适应反馈抑制（AFC）功能，传声增益提升≥6dB，可分别处理不同声源信号（如主讲麦克风与观众席拾音），避免多麦克风场景下的交叉啸叫干扰；每通道均支持等同或宽于0-99级数字音量调节及静音开关功能；设备具有编码旋钮和≥2.0英寸IPS屏幕，可用于控制和配置设备直通、场景。IPS屏幕能够显示IP地址，输入和输出通道的实时电平；具有设备定位，PC客户端具有一键定位局域网内同类设备功能，被定位到的设备会在显示屏上显示定位信息；支持声学校正</w:t>
            </w:r>
            <w:r>
              <w:rPr>
                <w:rFonts w:ascii="SimSun" w:hAnsi="SimSun" w:eastAsia="SimSun" w:cs="SimSun"/>
                <w:color w:val="000000"/>
                <w:sz w:val="20"/>
              </w:rPr>
              <w:t xml:space="preserve">按钮，按下可以预测声反馈回路；提供≥高/中/低三档输入电平调节；设备具有统一集中控制功能，支持≥65535台设备通过软件集中控制。支持多客户端数据同步，≥2个客户端以上连接混音器设备时，可实现多端数据同步。</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前面板具有≥48个LED灯陷波状态指示灯（具有≥2×12个静态点和≥2×12个动态点）、≥2英寸IPS真彩显示屏、≥1个编码旋钮；后面板具有≥1个船形开关、≥2路XLR母座+2路TRS母座模拟输入、≥2路XLR公座+2路TRS母座模拟输出、≥1个RJ45接口。（提供设备接口实物照片加盖投标人公章）</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反馈抑制器软件可融入会议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和一键还原配置信息功能。（提供功能界面截图并加盖投标人公章）</w:t>
            </w:r>
            <w:r/>
          </w:p>
        </w:tc>
      </w:tr>
      <w:tr>
        <w:trPr>
          <w:trHeight w:val="9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调音台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8路麦克风输入兼容6路线路输入接口，CH1-CH6线路输入接口带48V幻象开关独立控制；≥2路立体声输入接口，≥4路RCA输入接口；具有≥2组立体声输出、≥4路编组输出、≥4路辅助输出、≥1个耳机监听输出、≥1个接口双路效果输出 、≥1组控制室输出、≥1组主混音断点插入、≥6个断点插入；具备≥13个60mm行程的高精密碳膜推子；内置≥24位DSP效果器，提供≥100种预设效果。内置USB声卡模块，支持连接电脑进行音乐播放和声音录音；内置MP3播放器，支持≥1个USB接口接U盘播放音乐。</w:t>
            </w:r>
            <w:r/>
          </w:p>
        </w:tc>
      </w:tr>
      <w:tr>
        <w:trPr>
          <w:trHeight w:val="16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无线手持话筒一拖二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有≥1台接收主机、≥2只手持发射机；频率范围等同或优于470MHz-510MHz、640MHz-690MHz两个频段使用；接收机具有≥2个2.2英寸的TFT-LCD显示屏；发射机具有≥0.96英寸OLED显示屏，能够显示频率信息、音频加密状态、功率挡位、静音状态、电量格数信息；具有长时间续航，发射机使用时长≥10小时。基于数字U段的传输技术，pi/4-DQPSK调制方式，采用国产主控芯片，传输距离≥80米，接收机具有≥2路平衡输出、≥1路非平衡混音输出；具有混响、均衡、智能静音、音频加密、功率调节功能</w:t>
            </w:r>
            <w:r>
              <w:rPr>
                <w:rFonts w:ascii="SimSun" w:hAnsi="SimSun" w:eastAsia="SimSun" w:cs="SimSun"/>
                <w:color w:val="000000"/>
                <w:sz w:val="20"/>
              </w:rPr>
              <w:t xml:space="preserve">；具有ID码防串扰功能，采用32位唯一ID码，用于接收和发射配对，收发ID码必须相同才能对码，能够有效防止相同频率的信号相互串台；具有多档位混响调节功能，混响效果≥15625个，效果占比、回响延时、混响幅度调节，三种音效各具有≥25档调节方式；多频段均衡调节功能，均衡调节≥2197种，麦克风均衡器调节功能，具有高、中、低音三种调节档位，每种效果支持≥13档调节。</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显示屏、≥1个开关机/静音按键、≥2个工作状态指示灯。（提供设备接口实物照片并加盖投标人公章）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▲3.具有自动静音功能，麦克风跌落、抛掷时，毫秒级自动静音，避免冲击声；实时监测设备姿态，静置≥5秒静音，≥8分钟关机，无需手动干预。（提供功能界面截图并加盖投标人公章）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无线头戴话筒一拖二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1.频率范围：540MHz-590MHz、640MHz-690MHz，具有混响、高中低音调节；具有一键静音功能，配套有1台接收主机和2个无线头戴话筒。</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天线分配器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1.产品为天线分配器，可将一对天线接收的信号分配至4台接收机，达到扩展无线话筒系统的目的；同时带有2路级联信号端口，可用于增加接收机数量。</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无线话筒天线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1.射频频率范围等同或优于470～950MHz；指向性：≥180度指向；</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电源时序器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1.支持8通道电源时序打开/关闭，每路动作延时时间：1秒，单个通道最大负载功率2200W，所有通道负载总功率达6000W。</w:t>
            </w:r>
            <w:r/>
          </w:p>
        </w:tc>
      </w:tr>
      <w:tr>
        <w:trPr>
          <w:trHeight w:val="2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会议音频综合管理平台软件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平台集成全数字会议系统软件模块、反馈抑制器软件模块、数字音频处理器软件模块，各模块打开呈现在状态栏窗口，可快速管理和调用，并具备自动检测音频处理器、反馈抑制器设备硬件版本、软件版本功能；检测到有新版本时提供更新提示，可对硬件进行升级；登入平台后，进入各子模块无需反复输入密码，可以直接进入界面操作、控制设备；全数字会议系统软件模块具有签到、话筒管理、会议管理、模拟排位、摄像跟踪功能；反馈抑制器软件模块，支持反馈抑制AFC、场景切换及导入导出、在线固件升级、多设备管理、用户管理、信号选择、模拟输入、模拟输</w:t>
            </w:r>
            <w:r>
              <w:rPr>
                <w:rFonts w:ascii="SimSun" w:hAnsi="SimSun" w:eastAsia="SimSun" w:cs="SimSun"/>
                <w:color w:val="000000"/>
                <w:sz w:val="20"/>
              </w:rPr>
              <w:t xml:space="preserve">出、陷波器、噪声门、限幅器的音频参数配置功能；数字音频处理器软件模块支持多设备管理、8场景切换、在线批量升级、用户管理，恢复出厂设置、备份还原、摄像跟踪、实时啸叫点检测、深度可调陷波器、高精度移频、自动混音、回声消除、限幅器、均衡器、延时器、GPIO设置、串口设置等音频参数配置功能；平台具有应用中心功能，支持通过关键字查找不同系统应用（支持≥11款软件）；可针对不同客户需求选择软件版本；平台具有软件配置信息备份和还原功能，通过平台可以一键备份全数字会议系统软件模块、反馈抑制器软件模块、数字音频处理器软件模块</w:t>
            </w:r>
            <w:r>
              <w:rPr>
                <w:rFonts w:ascii="SimSun" w:hAnsi="SimSun" w:eastAsia="SimSun" w:cs="SimSun"/>
                <w:color w:val="000000"/>
                <w:sz w:val="20"/>
              </w:rPr>
              <w:t xml:space="preserve">配置信息上传云端或者保存本地；可通过平台一键还原备份的数据；支持跨系统使用，平台软件可运行于windows操作系统或国产操作系统或macOS系统或Ubuntu桌面版操作系统；</w:t>
            </w:r>
            <w:r/>
          </w:p>
        </w:tc>
      </w:tr>
      <w:tr>
        <w:trPr>
          <w:trHeight w:val="19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通过平台扫描并管理设备（包括音频处理器、反馈抑制器等）的功能，支持手动添加（包括全数字会议系统主机）设备，在平台查看设备硬件名称、硬件IP地址、在线、离线状态信息；可针对不同硬件类型选择适用软件版本，并直接下载或打开；平台具有应用列表，通过平台可下载全数字会议系统软件模块、反馈抑制器软件模块、数字音频处理器软件模块等，下载后在主界面实时显示，可选择打开应用、卸载应用，应用上移、下移功能；平台具有AI助手，联网后支持通过智能问答与快捷指令协助用户操作，能够基于语义理解识别用户意图，并完成平台内子软件的</w:t>
            </w:r>
            <w:r>
              <w:rPr>
                <w:rFonts w:ascii="SimSun" w:hAnsi="SimSun" w:eastAsia="SimSun" w:cs="SimSun"/>
                <w:color w:val="000000"/>
                <w:sz w:val="20"/>
              </w:rPr>
              <w:t xml:space="preserve">打开、关闭、下载、跳转指令执行；内置产品知识库，可通过AI助手查询产品功能、修改IP地址指引、音频处理功能说明、设备应用解答信息；支持上下文理解与多轮对话，内置可扩展的常用操作指令模板，并支持生成系统运行报告；平台可对接大模型，为用户提供实时智能问答，用户在交互界面输入问题后，AI助手生成的结果将显示在专用回答框内。（提供功能界面截图并加盖投标人公章）</w:t>
            </w:r>
            <w:r/>
          </w:p>
        </w:tc>
      </w:tr>
      <w:tr>
        <w:trPr>
          <w:trHeight w:val="288"/>
        </w:trPr>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（7）音视频切换系统</w:t>
            </w:r>
            <w:r/>
          </w:p>
        </w:tc>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9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AI智慧分布式管理主机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机架式设计，运行嵌入式Linux系统，内嵌主机软件及web管理系统，采用B/S架构，通过浏览器即可管理整个分布式系统；系统基于分布式架构，可对拼接系统进行管理、控制、数据交互；主机CPU配置等同于或优于双核，内存配置≥8GB，存储空间≥1TB，具备≥6个硬盘位可扩容空间；支持≥1路VGA和≥1路DVI视频接口输出，具备≥2个RJ45网口；支持硬件监测：故障/错误/过载和报警(包括磁盘/电力/风机/温度/IO性能)</w:t>
            </w:r>
            <w:r/>
          </w:p>
        </w:tc>
      </w:tr>
      <w:tr>
        <w:trPr>
          <w:trHeight w:val="31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分布式综合管理主机软件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系统采用B/S和C/S管理控制架构，支持网页web访问系统后台管理，支持通过web浏览器对输入盒（采集盒）、输出盒（拼接盒）的管理及状态实时监测。可扩展支持使用ipad平板软件、安卓平板软件、Windows电脑客户端对分布式系统进行可视化管理、信号切换、画面叠加、画中画、画面拼接、画面漫游、画面放大/缩小、画面移动/关闭等操作，支持对显示控制区域实时监控；支持多用户多平台同步操作，支持不同平台操作界面实时同步；支持三种开窗模式，包括固化模式、自由模式、两点模式；支持中控功能，支持自定义添加受控设备，可</w:t>
            </w:r>
            <w:r>
              <w:rPr>
                <w:rFonts w:ascii="SimSun" w:hAnsi="SimSun" w:eastAsia="SimSun" w:cs="SimSun"/>
                <w:color w:val="000000"/>
                <w:sz w:val="20"/>
              </w:rPr>
              <w:t xml:space="preserve">实现可编辑中控，支持RS-232、RS-422、RS-485、IR、I/O、TCP、UDP、REALY、场景等控制方式；支持多种控件选择，可随意配置中控界面。可控制高清矩阵信号切换、电源设备开关、摄像头的转动方向放大缩小及预置位调用、音频音量、灯光/空调开关等中控功能。支持调节拼墙的亮度值、对比度值、色调值和饱和度值，范围均为0-100。支持场景轮询功能，选择参与轮询的场景，设置轮询间隔为“禁用”、“30S”、“60S”、“90S”或者“180S”；支持场景锁屏功能。支持实现输入盒（采集盒）、输出盒（拼接盒</w:t>
            </w:r>
            <w:r>
              <w:rPr>
                <w:rFonts w:ascii="SimSun" w:hAnsi="SimSun" w:eastAsia="SimSun" w:cs="SimSun"/>
                <w:color w:val="000000"/>
                <w:sz w:val="20"/>
              </w:rPr>
              <w:t xml:space="preserve">）自动备份配置，断电重启后可自动恢复配置，无需担心数据损失；支持web端可视化预览，实时回显信号源画面及拼墙画面，可对单个输入盒进行web端KVM管控。支持添加拼墙字幕，可设置字幕的坐标、字体大小、字体颜色、背景颜色、透明度、字体间距、滚动速度、字体类型、排列方式、是否居中等，支持字幕在web端实时回显功能，可拖动字幕手动调整位置；支持自定义显示屏镜像功能，可实现副屏画面跟随主屏画面功能，适用于监视、主副屏同步等应用场景；支持系统数据备份恢复，备份的数据包括系统的配置、当前拼接模式、拼接场景等所有配置信息；</w:t>
            </w:r>
            <w:r>
              <w:rPr>
                <w:rFonts w:ascii="SimSun" w:hAnsi="SimSun" w:eastAsia="SimSun" w:cs="SimSun"/>
                <w:color w:val="000000"/>
                <w:sz w:val="20"/>
              </w:rPr>
              <w:t xml:space="preserve">支持手动下载到本地，当进行数据恢复时，只需要上传导入需要恢复的数据即可。</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对输入盒采集的音视频信号进行录制存储，可设置单个视频的录制文件大小为512MB、1GB、2GB或3GB，设置保存天数为3天、7天、15天、30天或永久，可同时录制≥8路信号；可批量删除或者批量下载已录制完成的文件。（提供功能界面截图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▲3.支持≥36路视频或图片点播，可将点播生成的视频信号开窗到拼墙上实时显示。支持mp4、jpg、png、bmp、tif、tga常用格式文件上传进行点播，支持纯音频文件点播。（提供功能界面截图并加盖投标人公章）</w:t>
            </w:r>
            <w:r/>
          </w:p>
        </w:tc>
      </w:tr>
      <w:tr>
        <w:trPr>
          <w:trHeight w:val="31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服务器跨域级联，不局限于局域网内，可部署于互联网环境。服务器级联后，上级服务器可调取下级服务器的任意信号源进行开窗显示。同时，上级服务器也支持共享指定信号源给下级服务器进行开窗显示。支持系统状态数据以图表形式展示，支持以图表形式实时统计和展示输入盒/输出盒在线数和离线数、摄像头在线数和离线数、中控设备在线数和离线数、会议室分组数量、拼墙数量、场景数量、用户数量、服务器的CPU使用率和内存使用情况、硬盘使用情况；支持网络丢包时修复机制，20%网络丢包时，音视频清晰流畅，无卡顿、无马赛克。支持音频管理，</w:t>
            </w:r>
            <w:r>
              <w:rPr>
                <w:rFonts w:ascii="SimSun" w:hAnsi="SimSun" w:eastAsia="SimSun" w:cs="SimSun"/>
                <w:color w:val="000000"/>
                <w:sz w:val="20"/>
              </w:rPr>
              <w:t xml:space="preserve">可将多个输入节点的音频信号绑定到单个输出节点上，可独立调节任意节点的音频音量大小；支持设置输出节点的音频均衡器，可启用或关闭均衡器，启用或关闭动态压缩，内置18种常用的均衡器场景，可以一键切换，也可全自定义设置，针对60Hz、170Hz、310Hz、600Hz、1KHz、3KHz、6KHz、12KHz、14KHz、16KHz等不同频段的音频可以单独控制增益，范围是-20dB至20dB。支持控制节点盒子启用或关闭国密算法SM2、SM3、SM4加密传输；支持对输入盒开启或关闭信号标注功能，支持对输入信号进行标注</w:t>
            </w:r>
            <w:r>
              <w:rPr>
                <w:rFonts w:ascii="SimSun" w:hAnsi="SimSun" w:eastAsia="SimSun" w:cs="SimSun"/>
                <w:color w:val="000000"/>
                <w:sz w:val="20"/>
              </w:rPr>
              <w:t xml:space="preserve">，支持自由画线、直线、箭头、方形、圆形、三角形等标注形态，可设置标注线条粗细、线条颜色，可撤销或还原批注操作，可通过橡皮擦框选删除标注或全部删除。支持对输出盒添加时间显示、温度显示、湿度显示、实时人数统计控件，可设置控件的坐标位置、字体大小、字体颜色、背景颜色、透明度、字体间距、字体类型等。支持PPT转视频功能，可将PPT原始文件上传到服务器并转成视频文件，同时保留PPT中的动图、视频的动态播放效果，支持播放视频时控制视频中的PPT翻页、停留一页循环播放等。支持拼墙绑定输入信号传输方式的功能，同一个输入信号</w:t>
            </w:r>
            <w:r>
              <w:rPr>
                <w:rFonts w:ascii="SimSun" w:hAnsi="SimSun" w:eastAsia="SimSun" w:cs="SimSun"/>
                <w:color w:val="000000"/>
                <w:sz w:val="20"/>
              </w:rPr>
              <w:t xml:space="preserve">传输到不同的拼墙可绑定不同的传输方式，传输方式可设置为UDP组播、UDP单播、TCP。</w:t>
            </w:r>
            <w:r/>
          </w:p>
        </w:tc>
      </w:tr>
      <w:tr>
        <w:trPr>
          <w:trHeight w:val="73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配置AI分析任务，可对支持AI分析的分布式节点盒子同时配置多种监测任务，支持绘制监测区域或直线，可给每个区域或直线分配监测任务，对指定的输入盒信号或IPC信号进行实时分析并告警，可配置自动录制告警前后≥75秒的视频，可查看每个AI分析节点的算力占用比例。（提供功能界面截图并加盖投标人公章）</w:t>
            </w:r>
            <w:r/>
          </w:p>
        </w:tc>
      </w:tr>
      <w:tr>
        <w:trPr>
          <w:trHeight w:val="19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可视化操控终端软件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自由操控，支持拖曳视频源到显示控制区域，可实现所有视频信号源的视窗管理、拼接、任意缩放、画中画、画面漫游等功能，可实现对视窗参数的调整（叠加关系、位置、大小、比例等），可打开或关闭拼墙回显视频画面，支持调整拼墙声音输出的音量大小；支持对输入信号进行标注，支持自由画线、直线、箭头、方形、圆形、三角形等标注形态，可设置标注线条粗细、线条颜色，可撤销或还原批注操作，可通过橡皮擦框选删除标注或全部删除；.支持中控功能，切换拼墙后自动显示改拼墙的中控界面，可实现高清矩阵信号切换、电源设备开关、摄像头的转动方向</w:t>
            </w:r>
            <w:r>
              <w:rPr>
                <w:rFonts w:ascii="SimSun" w:hAnsi="SimSun" w:eastAsia="SimSun" w:cs="SimSun"/>
                <w:color w:val="000000"/>
                <w:sz w:val="20"/>
              </w:rPr>
              <w:t xml:space="preserve">放大缩小及预置位调用、音频音量、灯光/空调开关等中控功能；支持虚拟KVM功能，可全屏显示信号源的画面，对信号源进行点击、滑动等操作，实现对PPT、视频播放等的控制；支持信号源可视化预览，实时显示输入盒信号源图像，支持搜索信号源；支持布局切换功能，可选择4种不同样式布局模板；支持分组显示拼墙列表，选中拼墙时，自动回显该拼墙的画面内容，可拼墙进行调整画面布局、开窗、关窗、切换场景、锁定或解锁布局等操作，开窗模式支持自由模式、固化模式、两点模式。</w:t>
            </w:r>
            <w:r/>
          </w:p>
        </w:tc>
      </w:tr>
      <w:tr>
        <w:trPr>
          <w:trHeight w:val="26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分布式输入节点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终端采用国产芯片、国产自主可控嵌入式linux系统，并且采用输入输出一体化设计，根据需求可任意配置为输入终端、输出终端、KVM输入终端或KVM输出终端。无需软件许可授权，可自行配置，操作便捷。支持国密算法SM2、SM3、SM4对信令和媒体流进行加密传输，确保数据安全可控；在不增加外部设备的情况下，具有在输入源上增加图片或者添加文字作为输入源台标的功能；具有字幕显示功能，可设置字体类型、排列方式、字体大小、字体颜色、背景颜色、透明度、滚动速度、字体间距、是否居中、显示位置，其中字幕的排列方式具有横向、竖向</w:t>
            </w:r>
            <w:r>
              <w:rPr>
                <w:rFonts w:ascii="SimSun" w:hAnsi="SimSun" w:eastAsia="SimSun" w:cs="SimSun"/>
                <w:color w:val="000000"/>
                <w:sz w:val="20"/>
              </w:rPr>
              <w:t xml:space="preserve">可选；以及具有底图功能，可在软件上启用或禁用底图功能；具有≥1路HDMI视频输入接口、≥1路HDMI视频输出接口、≥1路DP视频输出接口，≥1路3.5mm音频输入接口、≥1路3.5mm音频输出接口、≥1路3.5mm MIC输入接口，≥2路USB2.0、≥2路USB3.0、≥1路Type-C，以及≥2路网口、≥1路光纤接口；支持通过KVM安全接口限制USB设备的接入，只允许鼠标键盘HID设备接入；支持USB透传功能，无需额外增加设备，无需额外使用单独的网络，仅需接一根网线或双向光纤线即可实现媒体、信令、USB</w:t>
            </w:r>
            <w:r>
              <w:rPr>
                <w:rFonts w:ascii="SimSun" w:hAnsi="SimSun" w:eastAsia="SimSun" w:cs="SimSun"/>
                <w:color w:val="000000"/>
                <w:sz w:val="20"/>
              </w:rPr>
              <w:t xml:space="preserve">透传数据的共同传输，可透传U盘、USB摄像机、U Key、USB HID USB设备；节点HDMI视频接口具备1至7级可调节保护卡扣装置；支持KVM功能，在局域网内，视频信号经过采集、编码、传输、解码、显示后，与原始视频对比延迟在30ms以内；具备中控功能，具备独立≥1路RS-485口、≥2路RS-232口、≥2路弱继电器口、≥3路IO口及≥4路红外输出接口，支持自定义编程。</w:t>
            </w:r>
            <w:r/>
          </w:p>
        </w:tc>
      </w:tr>
      <w:tr>
        <w:trPr>
          <w:trHeight w:val="171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作为输入节点时，支持优于或等同于4K@60fps高清视频信号输入并向下兼容，4K输入可同时兼容4K及2K输出终端；作为输出节点时，支持≥2路4K@60或≥8路1080P@60fps的H.264/H.265解码显示，具备画面平铺、缩放、叠加、分割功能；作为输出节点时，支持设置音频均衡器，可启用或关闭均衡器，启用或关闭动态压缩，内置≥18种常用的均衡器场景，可以一键切换，也可全自定义设置，针对60Hz、170Hz、310Hz、600Hz、1KHz、3KHz、6KHz、12KHz、14KHz、16KHz频段的</w:t>
            </w:r>
            <w:r>
              <w:rPr>
                <w:rFonts w:ascii="SimSun" w:hAnsi="SimSun" w:eastAsia="SimSun" w:cs="SimSun"/>
                <w:color w:val="000000"/>
                <w:sz w:val="20"/>
              </w:rPr>
              <w:t xml:space="preserve">音频可以单独控制增益，范围是-20dB至20dB；内置交换机功能，节点与节点之间可用网线串联，实现设备间通信。支持信号光网备份功能，可通过≥1路光口和1路网口实现当网络链路传输异常时，自动切换至光链路传输，显示图像不受影响；当网络链路恢复时，自动切换回网络链路传输，切换过程用户无操作、无黑场；支持网络丢包时修复机制，20%网络丢包时，音视频清晰流畅，无卡顿、无马赛克。（提供原厂产品彩页复印件并加盖投标人公章）</w:t>
            </w:r>
            <w:r/>
          </w:p>
        </w:tc>
      </w:tr>
      <w:tr>
        <w:trPr>
          <w:trHeight w:val="51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信号双网口备份功能，可通过≥2路网口实现当主链路传输异常时，自动切换至备链路传输，显示图像不受影响；当主链路恢复时，自动切换回主链路传输，切换过程用户无操作、无黑场。（提供原厂产品彩页复印件并加盖投标人公章）</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▲4.支持OCR文字识别功能，可截取输入盒采集的一台电脑画面为图片进行分析，提取图片中的文字并通过KVM输出盒传输到另一台电脑，且提取的文字可粘贴到文件。（提供原厂产品彩页复印件并加盖投标人公章）</w:t>
            </w:r>
            <w:r/>
          </w:p>
        </w:tc>
      </w:tr>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分布式输出节点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满足</w:t>
            </w:r>
            <w:r>
              <w:rPr>
                <w:rFonts w:ascii="Segoe UI" w:hAnsi="Segoe UI" w:eastAsia="Segoe UI" w:cs="Segoe UI"/>
                <w:color w:val="0f1115"/>
                <w:sz w:val="20"/>
              </w:rPr>
              <w:t xml:space="preserve">“</w:t>
            </w:r>
            <w:r>
              <w:rPr>
                <w:rFonts w:ascii="SimSun" w:hAnsi="SimSun" w:eastAsia="SimSun" w:cs="SimSun"/>
                <w:color w:val="0f1115"/>
                <w:sz w:val="20"/>
              </w:rPr>
              <w:t xml:space="preserve">分布式输入节点技术参数</w:t>
            </w:r>
            <w:r>
              <w:rPr>
                <w:rFonts w:ascii="Segoe UI" w:hAnsi="Segoe UI" w:eastAsia="Segoe UI" w:cs="Segoe UI"/>
                <w:color w:val="0f1115"/>
                <w:sz w:val="20"/>
              </w:rPr>
              <w:t xml:space="preserve">”</w:t>
            </w:r>
            <w:r>
              <w:rPr>
                <w:rFonts w:ascii="SimSun" w:hAnsi="SimSun" w:eastAsia="SimSun" w:cs="SimSun"/>
                <w:color w:val="0f1115"/>
                <w:sz w:val="20"/>
              </w:rPr>
              <w:t xml:space="preserve">，配置为输出节点</w:t>
            </w:r>
            <w:r/>
          </w:p>
        </w:tc>
      </w:tr>
      <w:tr>
        <w:trP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POE千兆交换机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1.交换容量≥336Gbps，包转发率≥108Mpps，以官网最小值为准；10/100/1000Base-T 以太网端口≥24个，万兆 SFP+端口≥4个，支持POE功能，整机PoE输出功率≥370w；</w:t>
            </w:r>
            <w:r/>
          </w:p>
        </w:tc>
      </w:tr>
      <w:tr>
        <w:trPr>
          <w:trHeight w:val="288"/>
        </w:trPr>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（8）集中控制系统</w:t>
            </w:r>
            <w:r/>
          </w:p>
        </w:tc>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4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集中控制主机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处理器配置≥64位4核、主频≥1.5GHz。具备≥两个千兆网口；支持B/S架构，支持IOS、安卓等移动平台以及PC可视化触摸控制；配备≥2.23英寸OLED显示屏，可实时显示终端IP及运行状态；具备≥1路HDMI2.0高清调试监控接口和≥2路USB3.0鼠标键盘接口，方便系统的灵活管理；≥1路TYPE-C调试接口；支持双向反馈，可显示温度、湿度、PM2.5及周边环境状态；支持扩展搭配移动硬盘，可记录操作日志及运行日志；支持第三方设备的多样化控制，主机支持≥2路千兆网口，≥10路RS232，≥10路R</w:t>
            </w:r>
            <w:r>
              <w:rPr>
                <w:rFonts w:ascii="SimSun" w:hAnsi="SimSun" w:eastAsia="SimSun" w:cs="SimSun"/>
                <w:color w:val="000000"/>
                <w:sz w:val="20"/>
              </w:rPr>
              <w:t xml:space="preserve">S485/RS422（支持Modbus协议），≥8路IR（内嵌智能红外学习功能模块），≥8路弱继电器，≥8个输入输出I/O接口，≥4个模拟量输入接口，≥1个模拟量输出接口，≥1个DMX512灯光控制接口，带DC24V@1.1A输出，支持对接第三方设备；支持可编程控制平台，支持音频、视频和周边设备控制集中于一个平台软件上控制，拖拽式操作达到人机交互功能，支持多设备间一键联动控制功能；通过管理平台对多个会议室进行单独、统一控制管理，支持会议摄像实时跟踪，支持对各品牌云台、球机的控制，以及会议主机联动控制摄像头；</w:t>
            </w:r>
            <w:r>
              <w:rPr>
                <w:rFonts w:ascii="SimSun" w:hAnsi="SimSun" w:eastAsia="SimSun" w:cs="SimSun"/>
                <w:color w:val="000000"/>
                <w:sz w:val="20"/>
              </w:rPr>
              <w:t xml:space="preserve">可分配不同权限，设置不同登录帐号，具备≥双向反馈功能；支持会场的灯光、窗帘、音响音量等系统控制管理；支持对大屏、投影、一体机等设备的电源控制；支持大屏拼接控制，实时对视频窗口的放大、缩小、移动、关闭，还可以在触摸屏实现回显，预览内容和大屏内容同步，含配套红外学习和发射；</w:t>
            </w:r>
            <w:r/>
          </w:p>
        </w:tc>
      </w:tr>
      <w:tr>
        <w:trPr>
          <w:trHeight w:val="9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8路电源控制器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具有≥8路自动、手动电源控制器，内置≥8个20A继电器，负载能力≥4400W/单路；配合中控主机使用，用于控制灯光、电动投影幕、电动窗帘等会议室周边设备；每路继电器都有三连接点的接线柱,具有常开与常闭的功能；具有设备运行状态指示灯及≥8个继电器的开关状态指示灯；具有复位按键，支持恢复到出厂的默认设置。具有1路网络接口，支持通过网络实现远程控制；具有键盘锁（LOCK）功能，机器具备ID识别，通过中控主机网络控制多台时，可通过ID识别。</w:t>
            </w:r>
            <w:r/>
          </w:p>
        </w:tc>
      </w:tr>
      <w:tr>
        <w:trPr>
          <w:trHeight w:val="265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液晶控制屏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1.设备采用Android等操作系统，显示屏≥10.1 英寸，显示画面≥1920×1200分辨率，显示屏支持≥十点触控；具备前置≥500万像素的摄像头，并具有物理隐私拨片，滑动可遮挡摄像头；内置≥4个拾音麦，拾音距离≥5米，并支持拓展普通话语音控制功能，可实现语音控制信号源的开窗、切换信号源、场景布局、空调温度、音响音量、窗帘开闭、灯光开关、摄像头动作、中控场景切换等功能；具有距离传感器，支持感应人体位置，实现人来亮屏功能；具有光感传感器，支持采集周边环境光线亮度值并可将数值实时显示；具有温湿度传感器，支持</w:t>
            </w:r>
            <w:r>
              <w:rPr>
                <w:rFonts w:ascii="SimSun" w:hAnsi="SimSun" w:eastAsia="SimSun" w:cs="SimSun"/>
                <w:color w:val="000000"/>
                <w:sz w:val="20"/>
              </w:rPr>
              <w:t xml:space="preserve">采集周边温湿度环境并可将数值实时显示；支持自由操控，支持拖曳视频源到显示控制区域，可实现所有视频信号源的视窗管理、拼接、任意缩放、画中画、画面漫游等功能，可实现对视窗参数的调整（叠加关系、位置、大小、比例等），可打开或关闭拼墙回显视频画面，支持调整拼墙声音输出的音量大小；支持分组显示拼墙列表，选中拼墙时，自动回显该拼墙的画面内容，可拼墙进行调整画面布局、开窗、关窗、切换场景、锁定或解锁布局等操作，开窗模式具有自由模式、固化模式、两点模式；支持虚拟KVM功能，可全屏显示信号源的画面，对信号源进行点击、滑动等操</w:t>
            </w:r>
            <w:r>
              <w:rPr>
                <w:rFonts w:ascii="SimSun" w:hAnsi="SimSun" w:eastAsia="SimSun" w:cs="SimSun"/>
                <w:color w:val="000000"/>
                <w:sz w:val="20"/>
              </w:rPr>
              <w:t xml:space="preserve">作，实现对PPT、视频播放等的控制。支持信号源可视化预览，实时显示输入盒信号源图像，支持搜索信号源；具备布局切换功能，可选择≥6种不同样式布局模板。支持对输入信号进行标注，支持自由画线、直线、箭头、方形、圆形、三角形等标注形态，可设置标注线条粗细、线条颜色，可撤销或还原批注操作，可通过橡皮擦框选删除标注或全部删除。</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平板电脑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1.内存12G+存储256G,11英寸</w:t>
            </w:r>
            <w:r/>
          </w:p>
        </w:tc>
      </w:tr>
      <w:tr>
        <w:trPr>
          <w:trHeight w:val="288"/>
        </w:trPr>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（9）计算机网络系统</w:t>
            </w:r>
            <w:r/>
          </w:p>
        </w:tc>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接入交换机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交换容量≥520Gbps，包转发率≥144Mpps，以官网最小值为准；10/100/1000Base-T 以太网端口≥48个，万兆 SFP+端口≥2个</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POE千兆交换机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≥8个10/100/1000BASE-T以太网端口,≥2个千兆SFP，交换容量≥336Gbps，包转发率≥18Mpps,POE功率≥120W，</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高密吸顶AP</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室内型,≥2+2双频,智能天线；并发用户数≥48，整机速率≥1.775Gbps，最大发射功率≥20dBm，</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27寸超高清显示器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面板尺寸≥27英寸，屏幕比例16:9，刷新率≥100Hz。</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双屏显示器支架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一拖二电脑显示屏支架</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操作台电脑主机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I5-14500或同等配置以上处理器/ 16G DDR5 / 1TB SSD / 4G独显</w:t>
            </w:r>
            <w:r/>
          </w:p>
        </w:tc>
      </w:tr>
      <w:tr>
        <w:trPr>
          <w:trHeight w:val="2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打印机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支持打印、复印、扫描，连接方式： WIFI或USB或有线，支持自动双面打印。</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监控摄像机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半球型摄像机，≥400万红外变焦，1个内置麦克风，高清拾音，支持POE供电。</w:t>
            </w:r>
            <w:r/>
          </w:p>
        </w:tc>
      </w:tr>
      <w:tr>
        <w:trPr>
          <w:trHeight w:val="4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人脸门禁一体机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1.采用不低于宽动态 200 万双目摄像头，支持人脸、刷卡、密码认证方式，可外接身份证、指纹、蓝牙、二维码功能模块，本次配置指纹及蓝牙模块；</w:t>
            </w:r>
            <w:r/>
          </w:p>
        </w:tc>
      </w:tr>
      <w:tr>
        <w:trPr>
          <w:trHeight w:val="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硬盘录像机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支持4K高清网络视频的预览、存储与回放；支持H.265、H.264编码前端自适应接入；内置≥4个IPC直连PoE网络接口，支持IPC即插即用功能；支持IPC集中管理，包括IPC参数配置、信息的导入/导出和升级等功能；支持≥1个HDMI和1个VGA同时输出，其中HDMI支持4K高清分辨率输出；含至少一个≥8T硬盘</w:t>
            </w:r>
            <w:r/>
          </w:p>
        </w:tc>
      </w:tr>
      <w:tr>
        <w:trPr>
          <w:trHeight w:val="303"/>
        </w:trPr>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（10）调度指挥系统</w:t>
            </w:r>
            <w:r/>
          </w:p>
        </w:tc>
        <w:tc>
          <w:tcPr>
            <w:shd w:val="clear" w:color="31849b" w:fill="31849b"/>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ffffff"/>
                <w:sz w:val="20"/>
              </w:rPr>
              <w:t xml:space="preserve"> </w:t>
            </w:r>
            <w:r/>
          </w:p>
        </w:tc>
      </w:tr>
      <w:tr>
        <w:trPr>
          <w:trHeight w:val="30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474"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综合管理平台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1.提供可视化门户配置引擎，支持自定义快捷入口、动态菜单及页面元素布局；支持门户展示元素（Logo、主题色、背景）一键换肤</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2.校园一体化智能运营中心，提供统一数据看板，支持对校园监控、门禁、能耗、网络运维等业务系统进行数据可视化展示；支持单点登录（SSO），实现各业务系统统一门户入口。</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3.支持调用校园管理一张图系统服务，支持在地图上查看区域整体资源内容、设备信息、任务列表、实时天气、监控统计及任务列表；支持点击地图元素进行数据下钻与联动分析。</w:t>
            </w:r>
            <w:r/>
          </w:p>
        </w:tc>
      </w:tr>
      <w:tr>
        <w:trPr>
          <w:trHeight w:val="16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4.支持多级权限管理，适配学校 校级-年级-后勤-安保-教务等分级管理模式，支持多角色、多用户独立权限隔离，满足学校复杂组织架构的管理需求；校园消息统一推送中心：支持将能耗异常、设备告警、待办任务等消息，通过系统弹窗、短信、企业微信/钉钉等多渠道精准推送给责任人，确保“事事有回音”；数据可视化“一键导出PPT/长图”功能：支持将能耗分析报表、系统运行状态等核心数据，一键生成精美的数据长图或PPT汇报材料，极大减轻管理人员的汇报材料制作负担。提供系统运行状态监测能力，包括运行服务监控、运行服务统计、运行数据报</w:t>
            </w:r>
            <w:r>
              <w:rPr>
                <w:rFonts w:ascii="SimSun" w:hAnsi="SimSun" w:eastAsia="SimSun" w:cs="SimSun"/>
                <w:color w:val="000000"/>
                <w:sz w:val="20"/>
              </w:rPr>
              <w:t xml:space="preserve">告和运行服务解析概览，支持异常状态自动告警与日志记录；关键业务“一键直达”快捷悬浮球：在看板全局提供可自定义的“快捷操作悬浮球”，支持将高频业务（如一键开灯、一键锁门、一键呼叫安保）悬浮于看板之上，无需层层点击菜单，实现核心管控动作的“一键触达”。</w:t>
            </w:r>
            <w:r/>
          </w:p>
        </w:tc>
      </w:tr>
      <w:tr>
        <w:trPr>
          <w:trHeight w:val="4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0"/>
                <w:u w:val="single"/>
              </w:rPr>
              <w:t xml:space="preserve">5.需承诺在项目交付期内可根据甲方实际使用需求，对平台界面样式、整体布局、各类数据看板及相关模块内容提供全程免费定制化修改、调试与优化服务。（供应商需提供承诺函并加盖供应商公章，且修改所产生的一切相关费用均包含于投标总价中）</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jc w:val="left"/>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投标产品属于国家强制性产品认证目录内产品的，投标人须在投标文件中提供对应产品有效的中国强制性产品认证证书（3C 证书）扫描件或复印件，证书可在国家市场监督管理总局认监委官网查询核验；证书过期、型号不一致、无法网上核验的，视为该项不满足要求。</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本项目采购产品被财政部、国家发展改革委、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本项目装修施工部分允许依法分包。</w:t>
      </w:r>
      <w:r>
        <w:rPr>
          <w:rFonts w:ascii="FangSong" w:hAnsi="FangSong" w:eastAsia="FangSong" w:cs="FangSong"/>
          <w:i/>
          <w:color w:val="000000"/>
          <w:sz w:val="24"/>
          <w:u w:val="single"/>
        </w:rPr>
        <w:t xml:space="preserve">装修资质不作为投标人自身的资格否决条件，但实际负责装修施工的队伍必须具备有效的建筑装修装饰工程专业承包【乙级/二级】及以上资质。投标人自身具备的可自行施工；不具备的，须承诺中标后分包给具备资质的单位，并在进场前将分包单位资质等材料报采购人审核同意。（提供承诺书，格式自拟）</w:t>
      </w:r>
      <w:r/>
    </w:p>
    <w:p>
      <w:pPr>
        <w:numPr>
          <w:ilvl w:val="0"/>
          <w:numId w:val="17"/>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u w:val="single"/>
        </w:rPr>
        <w:t xml:space="preserve">所有硬件产品（含服务器及网络设备）均需满足不少于三年的免费质保/维保/上门服务要求，提供承诺书扫描件并加盖投标人电子签章。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5.方案要求</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（一）技术方案要求</w:t>
      </w:r>
      <w:r>
        <w:rPr>
          <w:rFonts w:ascii="Times New Roman" w:hAnsi="Times New Roman" w:eastAsia="Times New Roman" w:cs="Times New Roman"/>
          <w:sz w:val="21"/>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投标人需根据以下技术要求提供项目技术方案。</w:t>
      </w:r>
      <w:r>
        <w:rPr>
          <w:sz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1、系统总体架构及兼容扩展性：技术方案应符合国家、行业及江苏省现行标准规范，结合学校新大楼现场结构、层高、承重、供电、消防及弱电管网条件，明确指挥中心装饰装修、</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显示、数字会议与扩声、分布式音视频切换与坐席协作、集中控制、计算机网络、安防门禁、智慧指挥综合管理平台等各子系统的总体架构、网络拓扑、设备部署点位和线缆路由；系统应采用开放、标准、模块化架构，接口协议符合国家及行业标准，具备与学校既有校园网、校园管理一张图、统一身份认证、视频监控、门禁、能耗等系统的对接能力；应在显示点位、坐席数量、音视频通道、网络端口、平台功能及存储容量等方面预留扩展空间，满足后续扩容和功能迭代需要，不得因扩容造成已建设备重复采购或架构性改造；关键设备及软件应优先采用国产化产品，涉及密码应</w:t>
      </w:r>
      <w:r>
        <w:rPr>
          <w:rFonts w:ascii="SimSun" w:hAnsi="SimSun" w:eastAsia="SimSun" w:cs="SimSun"/>
          <w:color w:val="000000"/>
          <w:sz w:val="24"/>
        </w:rPr>
        <w:t xml:space="preserve">用的应符合国家商用密码管理相关规定。</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2、校园指挥调度、日常值守及会议管控场景适配性：技术方案应紧扣学校食品学院指挥中心的功能定位，针对校园运行监测、综合调度、应急指挥、数据展示、会商研判、领导决策支撑等业务场景，逐项说明</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大屏可视化专题、分布式坐席协作、会商研判、视频会议及日常值守功能的实现方式；应覆盖日常值守、常规会议、视频会议、专题汇报、多部门联合调度、突发事件应急指挥等使用模式，明确各场景下的信号来源、显示布局、发言与扩声方式以及灯光、窗帘、空调等中控联动关系，实现场景一键切换；系统应支持本地化运行，在校园网或上级平台中断时具备降级使用能力，满足重要会议、重大活动期间连续稳定运行的要求。</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3、音视频、显示、控制及平台系统一体化设计：技术方案应将装饰装修、</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显示系统、数字会议及专业扩声系统、分布式音视频切换与坐席协作系统、集中控制系统、计算机网络与安防门禁系统、智慧指挥综合管理平台作为一个整体统一设计，统一信号格式、编码协议、时钟同步、控制协议及运维接口，明确各系统间的联动逻辑（如发言联动摄像跟踪、场景联动灯光窗帘空调、告警联动大屏开窗与录制存储等），避免形成信息孤岛；应统一用户权限体系，实现单点登录和分级分权管理，并对系统主要组成部分、功能设计、实现思路及关键技术作出说明。</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深化设计与图纸文件：应提供指挥中心平面布置、大屏钢结构、综合布线、音视频系统、供配电与防雷接地等深化设计图纸及主要设备安装大样图、点位表，图纸应满足现场施工和设备安装要求，并与新大楼土建、消防、暖通、强电及弱电设计相衔接。</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选型与证明材料：技术方案中所投产品的品牌、型号及技术参数应与采购需求“技术参数要求”逐条对应，标注“▲”的条款及要求提供证明材料的条款，应按要求提供检测报告、原厂产品彩页、功能界面截图等有效证明材料并加盖投标人公章。</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集成与数据接口：应明确系统集成总体思路、接口对接清单、对接方式及责任边界；涉及校园管理一张图、统一身份认证、视频监控、门禁等第三方系统接口的，由中标供应商负责协调对接并承担相应费用。</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7、测试与验收：应明确设备进场检验、单机调试、系统联调、稳定性及压力测试、隐蔽工程验收、初步验收、试运行和竣工验收的方案、指标及责任分工。</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8、安全与运维设计：应说明系统的安全性、可靠性和可维护性设计，包括设备和配置数据的备份与恢复、账号与权限管理、日志审计、国密算法加密传输、故障自诊断与告警等措施。</w:t>
      </w:r>
      <w:r>
        <w:rPr>
          <w:rFonts w:ascii="Times New Roman" w:hAnsi="Times New Roman" w:eastAsia="Times New Roman" w:cs="Times New Roman"/>
          <w:sz w:val="21"/>
        </w:rPr>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（二）项目实施方案要求</w:t>
      </w:r>
      <w:r>
        <w:rPr>
          <w:rFonts w:ascii="Times New Roman" w:hAnsi="Times New Roman" w:eastAsia="Times New Roman" w:cs="Times New Roman"/>
          <w:sz w:val="21"/>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投标人需根据以下实施要求提供项目实施方案。</w:t>
      </w:r>
      <w:r>
        <w:rPr>
          <w:sz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施工组织与工艺流程：项目在实施过程中，为顺利完成本次项目，应严格按照项目管理的要求进行项目实施。根据项目整体安排科学性、合理性、可操作性，投标人需提供的项目实施方案，包含需要的环境、项目实施方案、人员组成、质量保证、进度要求、风险预防、控制措施、突发事件处置方案，有明确的时间节点和进度安排，项目管理运行机制健全。结合本项目装饰装修与设备安装交叉作业的特点，应明确施工组织设计、施工总平面布置、各专业工艺流程及衔接顺序（原状拆除与基层处理→吊顶、墙面、地面→管线预埋→防静电地板→大屏钢结构→设备安装→线</w:t>
      </w:r>
      <w:r>
        <w:rPr>
          <w:rFonts w:ascii="SimSun" w:hAnsi="SimSun" w:eastAsia="SimSun" w:cs="SimSun"/>
          <w:color w:val="000000"/>
          <w:sz w:val="24"/>
        </w:rPr>
        <w:t xml:space="preserve">缆端接→系统调试），并明确材料进场检验、样板确认、隐蔽工程验收、分项分部验收等关键控制节点。</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2、工期进度及校园教学环境适配：本项目合同履行期限为合同签订后</w:t>
      </w:r>
      <w:r>
        <w:rPr>
          <w:rFonts w:ascii="Times New Roman" w:hAnsi="Times New Roman" w:eastAsia="Times New Roman" w:cs="Times New Roman"/>
          <w:color w:val="000000"/>
          <w:sz w:val="24"/>
        </w:rPr>
        <w:t xml:space="preserve">90</w:t>
      </w:r>
      <w:r>
        <w:rPr>
          <w:rFonts w:ascii="SimSun" w:hAnsi="SimSun" w:eastAsia="SimSun" w:cs="SimSun"/>
          <w:color w:val="000000"/>
          <w:sz w:val="24"/>
        </w:rPr>
        <w:t xml:space="preserve">日内完成交付并安装调试。投标人应编制进度计划（网络计划或横道图）及工期保障措施；施工应充分考虑学校教学、办公和会议秩序，凡产生粉尘、噪声、异味或振动影响的作业，应安排在假期、夜间或周末等非教学时段进行，并避开重要会议、考试等重要活动期间，做到错峰施工，不干扰学校正常教学与办公。</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叉施工、安全文明施工及成品保护措施：应明确与大楼其他标段及土建、消防、暖通、强电、弱电等专业的交叉施工配合和协调机制；制定安全文明施工方案，包括临时用电、动火作业、高处作业、机具使用、消防与环保措施及施工人员管理；制定已完成工程及原有建筑、设备、家具的成品保护措施，明确施工垃圾清运和场地恢复责任。本项目装修施工部分依法分包的，应在方案中明确分包单位资质、管理方式及责任划分。</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4、项目组成员：需组建不少于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人的项目团队，其中项目负责人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名、技术负责人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名、团队成员不少于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项目负责人职责：负责整个项目的计划、组织、指导和控制。确保项目按时、按质量完成，并与客户保持沟通，解决项目过程中的问题，从项目架构、技术要求和实施方法论上指导项目实施。技术人员职责：制定进度计划，控制项目质量，完成分析和实施工作。负责项目的设计规划和安装、调试、集成，保证系统运行安全，负责在试运行期间调试和优化，保证系统顺利上线。</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5、设备进场前，中标供应商应提供详细专业的项目技术方案，包括但不限于网络规划、实施方案、优化方案及项目实施过程中的节点控制、质量和现场管理情况。</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6、设备安装、调试期间，保障业务的连续性，如期间出现任何非计划内中断事故，中标供应商应承担相应责任。</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试运行与文档移交：系统安装调试完成后，中标供应商应按采购人要求组织试运行，并结合重要会议、重大活动进行实战检验；应向采购人提供完整的技术文档，包括系统竣工图纸、设备点位及清单、配置参数、操作与维护手册，以及智慧指挥综合管理平台、可视化大屏智能管理平台、数字会议系统、分布式音视频管理控制软件、集中控制系统等各类软件的用户使用手册等。</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8、中标供应商入场前需进行公司和人员资质核验，核验过程中若发现有虚假应标嫌疑，采购人有权向相关部门报告并依法追究相应责任。</w:t>
      </w:r>
      <w:r>
        <w:rPr>
          <w:rFonts w:ascii="Times New Roman" w:hAnsi="Times New Roman" w:eastAsia="Times New Roman" w:cs="Times New Roman"/>
          <w:sz w:val="21"/>
        </w:rPr>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（三）售后服务要求</w:t>
      </w:r>
      <w:r>
        <w:rPr>
          <w:rFonts w:ascii="Times New Roman" w:hAnsi="Times New Roman" w:eastAsia="Times New Roman" w:cs="Times New Roman"/>
          <w:sz w:val="21"/>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投标人需根据以下售后服务要求提供售后服务方案。</w:t>
      </w:r>
      <w:r>
        <w:rPr>
          <w:sz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1、本项目售后服务期自项目通过竣工验收合格之日起计算。售后服务期内，中标供应商应提供</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小时运维服务，及时响应紧急情况下的用户服务请求和故障申报服务，接听处理用户的技术咨询、服务请求和故障申报，反馈运维服务信息。通过即时通讯软件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书面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电话等多种方式，保持与用户的紧密联系和沟通渠道，并明确售后服务组织机构、服务流程、服务人员及联系方式。</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2、售后服务期内，中标供应商应对本项目中所提供的软件升级、保修，负责对提供的设备进行现场维修和更换故障配件，费用均包含在本次报价中。</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3、中标供应商对本次提供设备提供原厂商质保函和服务；软件及相关配件材料均按相关原厂厂商提供标准的质保条款为准，中标供应商需协助采购人执行。</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4、在售后服务期内，设备由于质量或产品本身原因造成的损伤或损坏，中标供应商应修理或更换。</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5、在售后服务期内，每年提供一次本项目各系统的例行巡检，巡检范围应覆盖</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显示系统、数字会议及专业扩声系统、分布式音视频及坐席协作系统、集中控制系统、计算机网络与安防门禁系统、智慧指挥综合管理平台等，并出具巡检报告及预防性维护建议。</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6、保修的范围仅限于本合同中中标供应商提供给采购人的设备、部件和装修。</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7、保修维护到期后，双方可另行商定维护费用标准。</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8、中标供应商应采取必要的技术和管理手段保障系统的安全性，并保证信息的保密，中标供应商应根据国家相关要求与发包人签订保密协议。</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9、服务内容要求</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包括但不限于：（1）设备日常维护、巡检；（</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）故障电路及其他损坏设备的修理；（</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）备件备品的供应；（</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）重大故障或特殊故障的紧急远端或现场抢修；（</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）其他必须的技术服务（例如软件版本升级、平台功能优化、系统数据备份与恢复等）。</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供应商在售后服务期内安装的任何零配件，应是设备生产厂家原产的或是经其认可的，是新的未使用和未经修复的，除非最终发包人提供书面许可，否则不可使用此范围外的其他配件；正式更换备件必须来自设备生产厂家备件库，不得以其它方式替代。售后服务期内所有因更换或修理货物或部件而导致货物停止运行的时间应从其售后服务期内扣除。</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11、服务期内，中标供应商应对所提供的系统进行全面的管理，保证系统的安全性、可用性、可靠性，满足采购人的服务要求，承诺为采购人提供快速的技术支持，响应快速及时。</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原厂技术及专家支持：中标供应商应组织协调设备原厂工程师、项目经理等相关人员对本项目进行售后服务和实施，提供原厂技术支持、系统故障专家诊断、软件版本升级及配置优化服务；设备安装、调试所需的工具及安装材料由中标供应商自行解决。实施过程应严格执行相关的管理规范，并保证项目安全进行。</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13、备件保障：中标供应商应承诺中标后在采购人处建设备件库，提供</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显示屏箱体、接收卡、开关电源、分布式输入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输出节点、集中控制主机、会议话筒等主要备件，用于故障快速维修更换，并明确备件清单、数量及管理方式。</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14、系统持续优化：售后服务期内，中标供应商应结合系统运行情况和学校使用需求，每年提交系统运行分析报告及优化建议，并配合采购人完成平台界面、数据看板及相关功能的适应性调整。</w:t>
      </w:r>
      <w:r>
        <w:rPr>
          <w:rFonts w:ascii="Times New Roman" w:hAnsi="Times New Roman" w:eastAsia="Times New Roman" w:cs="Times New Roman"/>
          <w:sz w:val="21"/>
        </w:rPr>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应急响应要求</w:t>
      </w:r>
      <w:r>
        <w:rPr>
          <w:rFonts w:ascii="Times New Roman" w:hAnsi="Times New Roman" w:eastAsia="Times New Roman" w:cs="Times New Roman"/>
          <w:sz w:val="21"/>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投标人需根据以下应急响应要求提供应急响应方案。</w:t>
      </w:r>
      <w:r>
        <w:rPr>
          <w:sz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1、协助制定应急响应制度及应急预案。配合进行应急预案的演练，根据演练结果协助服务采购方修订应急响应预案。</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2、根据应急预案，执行重大故障事件应急响应工作。</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3、重要时期的重点运维保障。</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4、特殊时期如假期前或敏感时期，需要进行巡检并提供巡检报告。</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5、中标供应商应提供</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小时故障事件应急响应工作，在接到指挥中心应急响应服务请求后须在二十分钟内远程响应处置。应急响应主要针对突发的</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大屏黑屏或花屏、会议发言与扩声中断、分布式节点掉线、集中控制失效、网络中断、平台无法访问及数据丢失等事件进行诊断、分析并协助解决。在完成应急事件响应处理后及时向服务采购方提供事件处理记录及整改建议报告。</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6、重要会议及重大活动保障：在采购人举办重要会议、重大活动、应急演练等期间，中标供应商应根据采购人要求提前完成系统联调与隐患排查，并安排技术人员现场值守保障，确保活动期间系统稳定运行。</w:t>
      </w:r>
      <w:r>
        <w:rPr>
          <w:rFonts w:ascii="Times New Roman" w:hAnsi="Times New Roman" w:eastAsia="Times New Roman" w:cs="Times New Roman"/>
          <w:sz w:val="21"/>
        </w:rPr>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（四）培训要求</w:t>
      </w:r>
      <w:r>
        <w:rPr>
          <w:rFonts w:ascii="Times New Roman" w:hAnsi="Times New Roman" w:eastAsia="Times New Roman" w:cs="Times New Roman"/>
          <w:sz w:val="21"/>
        </w:rPr>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投标人需根据以下培训要求提供培训方案。</w:t>
      </w:r>
      <w:r>
        <w:rPr>
          <w:sz w:val="24"/>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1、中标供应商提供周全的培训计划、培训目标、培训内容、培训方法、培训频次、师资安排、考核方式及培训成果。</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应结合食品学院指挥中心实际应用场景，按培训对象分层分类开展，分别面向系统管理人员、会议会务操作人员、日常值守及调度人员、领导决策用户和运维技术人员确定培训内容和深度，确保采购单位对系统操作的熟悉性，能够全面熟练掌握软件运行、检查、维护等工作，确保日常工作的顺利完成。</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3、培训内容至少应覆盖：</w:t>
      </w:r>
      <w:r>
        <w:rPr>
          <w:rFonts w:ascii="Times New Roman" w:hAnsi="Times New Roman" w:eastAsia="Times New Roman" w:cs="Times New Roman"/>
          <w:color w:val="000000"/>
          <w:sz w:val="24"/>
        </w:rPr>
        <w:t xml:space="preserve">LED</w:t>
      </w:r>
      <w:r>
        <w:rPr>
          <w:rFonts w:ascii="SimSun" w:hAnsi="SimSun" w:eastAsia="SimSun" w:cs="SimSun"/>
          <w:color w:val="000000"/>
          <w:sz w:val="24"/>
        </w:rPr>
        <w:t xml:space="preserve">显示屏及可视化大屏智能管理平台操作、数字会议及扩声系统使用、分布式音视频切换与坐席协作操作、集中控制系统及液晶控制屏操作、智慧指挥综合管理平台及可视化专题应用、系统日常检查与常见故障处理。</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4、培训方式采取线上</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线下，以现场集中培训为主，并提供操作手册、操作视频等资料便于后续自学。</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5、供应商每年度至少提供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次培训服务，每次不少于</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小时；系统交付验收前应提供不少于</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次现场培训。</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6、培训人员不低于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人，且需具有相关专业资格和实际工作经验、参加过本项目的专家或技术人员。接受培训人员由采购人自行确定。</w:t>
      </w:r>
      <w:r>
        <w:rPr>
          <w:rFonts w:ascii="Times New Roman" w:hAnsi="Times New Roman" w:eastAsia="Times New Roman" w:cs="Times New Roman"/>
          <w:sz w:val="21"/>
        </w:rPr>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7、供应商应向接受培训人员提供技术资料、图纸、参考文献材料等。</w:t>
      </w:r>
      <w:r>
        <w:rPr>
          <w:rFonts w:ascii="Times New Roman" w:hAnsi="Times New Roman" w:eastAsia="Times New Roman" w:cs="Times New Roman"/>
          <w:sz w:val="21"/>
        </w:rPr>
      </w:r>
      <w:r/>
    </w:p>
    <w:p>
      <w:pPr>
        <w:ind w:left="0" w:right="0" w:firstLine="480"/>
        <w:jc w:val="both"/>
        <w:spacing w:before="0" w:after="0" w:line="460"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8、所有培训所涉及的所有费用包含在本次报价中，不得另行向采购单位收取。</w:t>
      </w:r>
      <w:r>
        <w:rPr>
          <w:rFonts w:ascii="Times New Roman" w:hAnsi="Times New Roman" w:eastAsia="Times New Roman" w:cs="Times New Roman"/>
          <w:sz w:val="21"/>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项目属性:货物类项目。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2．核心产品</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8"/>
        <w:gridCol w:w="26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户内全彩LED屏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分布式输入节点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3.进口产品投标</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5"/>
        <w:gridCol w:w="26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是否接受进口产品投标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7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42"/>
        <w:gridCol w:w="1451"/>
        <w:gridCol w:w="61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4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本项目政府采购活动中既有本国产品又有非本国产品参与竞争的，依法对本国产品给予价格评审优惠，对本国产品的报价给予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的价格扣除，用扣除后的价格参与评审。供应商未填写比例数值，或比例数值不足</w:t>
      </w:r>
      <w:r>
        <w:rPr>
          <w:rFonts w:ascii="SimSun" w:hAnsi="SimSun" w:eastAsia="SimSun" w:cs="SimSun"/>
          <w:color w:val="000000"/>
          <w:sz w:val="24"/>
          <w:u w:val="single"/>
        </w:rPr>
        <w:t xml:space="preserve">80%</w:t>
      </w:r>
      <w:r>
        <w:rPr>
          <w:rFonts w:ascii="SimSun" w:hAnsi="SimSun" w:eastAsia="SimSun" w:cs="SimSun"/>
          <w:color w:val="000000"/>
          <w:sz w:val="24"/>
        </w:rPr>
        <w:t xml:space="preserve">的，将不享受本国产品价格评审优惠。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供应商需按照招标文件的要求提供《关于符合本国产品标准的声明函》（以下简称《声明函》），如不提供将不享受本国产品价格评审优惠。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供应商需在《声明函》中逐一、准确填写产品名称、厂名、生产厂址三项信息（《声明函》中标注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的地方无需填写），三项信息中任意一项未填写的视为该项产品不符合本国产品标准，不享受本国产品价格评审优惠。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120" w:after="12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8"/>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116"/>
        <w:gridCol w:w="1095"/>
        <w:gridCol w:w="6712"/>
      </w:tblGrid>
      <w:tr>
        <w:trPr>
          <w:trHeight w:val="54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174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投标报价</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价格分采用低价优先法计算，即满足采购文件要求且投标价格最低的供应商投标报价为评标基准价，其价格分为满分 30 分，其它投标人的价格分统一按照以下公式计算：投标报价得分=（评标基准价/该投标人的投标报价） ×30 分。分值保留小数点后 2 位。</w:t>
            </w:r>
            <w:r/>
          </w:p>
        </w:tc>
      </w:tr>
      <w:tr>
        <w:trPr>
          <w:trHeight w:val="308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技术响应</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针对招标文件“第四部分、采购需求”中的“技术参数要求”表中所列内容进行评分，“▲”为重点参数要求共计28项，每有一项（一个句号的完整内容为一“项”）不满足的扣1分；其余一般参数项共计</w:t>
            </w:r>
            <w:r>
              <w:rPr>
                <w:rFonts w:ascii="SimSun" w:hAnsi="SimSun" w:eastAsia="SimSun" w:cs="SimSun"/>
                <w:color w:val="0000ff"/>
                <w:sz w:val="21"/>
              </w:rPr>
              <w:t xml:space="preserve">30</w:t>
            </w:r>
            <w:r>
              <w:rPr>
                <w:rFonts w:ascii="SimSun" w:hAnsi="SimSun" w:eastAsia="SimSun" w:cs="SimSun"/>
                <w:color w:val="000000"/>
                <w:sz w:val="21"/>
              </w:rPr>
              <w:t xml:space="preserve">项，每有一项（一个序号完整内容为一“项”，其中“斜体下划”和“▲”项除外）负偏离扣0.1分。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w:t>
            </w:r>
            <w:r/>
          </w:p>
        </w:tc>
      </w:tr>
      <w:tr>
        <w:trPr>
          <w:trHeight w:val="170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企业业绩</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投标人自2023 年 8 月 1 日起（以合同签订日期为准），具有承担过类似项目业绩的（合同内容至少包含 LED 大屏显示系统、分布式坐席系统、扩声系统、中控系统），每提供 1 项有效业绩得 2 分，本项最高得6分，无符合要求业绩不得分。</w:t>
            </w:r>
            <w:r>
              <w:rPr>
                <w:rFonts w:ascii="SimSun" w:hAnsi="SimSun" w:eastAsia="SimSun" w:cs="SimSun"/>
                <w:color w:val="000000"/>
                <w:sz w:val="21"/>
                <w:szCs w:val="21"/>
              </w:rPr>
            </w:r>
            <w:r/>
          </w:p>
          <w:p>
            <w:pPr>
              <w:ind w:left="0" w:right="0" w:firstLine="0"/>
              <w:spacing w:before="0" w:after="0"/>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br/>
              <w:t xml:space="preserve">注：须至少提供合同复印件合同关键页扫描件（须清晰体现签约双方名称、项目名称及内容、合同签订日期、双方盖章页）及部分发票；</w:t>
            </w:r>
            <w:r>
              <w:rPr>
                <w:rFonts w:ascii="SimSun" w:hAnsi="SimSun" w:eastAsia="SimSun" w:cs="SimSun"/>
                <w:color w:val="000000"/>
                <w:sz w:val="21"/>
                <w:szCs w:val="21"/>
              </w:rPr>
            </w:r>
            <w:r/>
          </w:p>
        </w:tc>
      </w:tr>
      <w:tr>
        <w:trPr>
          <w:trHeight w:val="56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项目组</w:t>
              <w:br/>
              <w:t xml:space="preserve">成员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1、投标人应为本项目实施配备项目经理1名，具有以下证书：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具备电子信息类高级工程师职称 或 信息系统项目管理师证书（计算机技术与软件专业技术资格），得2分；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 ITSS 信息技术服务工程师证书、CISP-CISO（注册信息安全管理人员）证书任意一项加2分，最多得 4分；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以上合计最高 6分。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2、项目技术负责人1名，具有以下证书：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具备系统规划与管理师、信息系统业务安全服务工程师（高级）证书任意一项加2分，最多得 4分；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3、团队成员要求。投标人针对本项目组建专门实施团队，团队成员不少于3 人（不含项目负责人与技术负责人），团队成员中具有智能建筑弱电高级工程师，高级系统架构设计师（计算机技术与软件专业技术资格），网络工程师或网络规划设计师（计算机技术与软件专业技术资格），CISAW信息安全保障人员证书（安全集成方向）的，每类证书每人最多提供 1 个，每提供1 个得 1 分，最多得 3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注：①以上标注为（计算机技术与软件专业技术资格证书）的需提供【中国计算机技术职业资格网https://www.ruankao.org.cn】查询截图； ②CISAW信息安全保障人员（安全集成方向）证书在中国网络安全审查认证和市场监管大数据中心【https://www.isccc.gov.cn】可查询截图，证书须在有效期内； ③CISP-CISO（注册信息安全管理人员）证书需提供【</w:t>
            </w:r>
            <w:hyperlink r:id="rId13" w:tooltip="https://www.itsec.gov.cn/" w:history="1">
              <w:r>
                <w:rPr>
                  <w:rStyle w:val="959"/>
                  <w:rFonts w:ascii="Times New Roman" w:hAnsi="Times New Roman" w:eastAsia="Times New Roman" w:cs="Times New Roman"/>
                  <w:color w:val="0000ee"/>
                  <w:sz w:val="21"/>
                  <w:u w:val="single"/>
                </w:rPr>
                <w:t xml:space="preserve">中国信息安全测评中心</w:t>
              </w:r>
            </w:hyperlink>
            <w:r>
              <w:rPr>
                <w:rFonts w:ascii="Times New Roman" w:hAnsi="Times New Roman" w:eastAsia="Times New Roman" w:cs="Times New Roman"/>
                <w:color w:val="000000"/>
                <w:sz w:val="21"/>
              </w:rPr>
              <w:t xml:space="preserve">https://www.itsec.gov.cn】证书须在有效期内；④智能建筑弱电高级工程师证书在【工业和信息化部教育与考试中心 https://www.miiteec.org.cn】查询截图；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⑤提供以上所有相关证书复印件和近半年任意一个月社保缴纳证明，社保证明以社保主管部门出具的为准，否则不得分；</w:t>
            </w:r>
            <w:r/>
          </w:p>
        </w:tc>
      </w:tr>
      <w:tr>
        <w:trPr>
          <w:trHeight w:val="34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技术方案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（1）投标文件未符合</w:t>
            </w:r>
            <w:r>
              <w:rPr>
                <w:rFonts w:ascii="SimSun" w:hAnsi="SimSun" w:eastAsia="SimSun" w:cs="SimSun"/>
                <w:color w:val="000000"/>
                <w:sz w:val="21"/>
              </w:rPr>
              <w:t xml:space="preserve">“</w:t>
            </w:r>
            <w:r>
              <w:rPr>
                <w:rFonts w:ascii="SimSun" w:hAnsi="SimSun" w:eastAsia="SimSun" w:cs="SimSun"/>
                <w:color w:val="000000"/>
                <w:sz w:val="21"/>
              </w:rPr>
              <w:t xml:space="preserve">技术</w:t>
            </w:r>
            <w:r>
              <w:rPr>
                <w:rFonts w:ascii="SimSun" w:hAnsi="SimSun" w:eastAsia="SimSun" w:cs="SimSun"/>
                <w:color w:val="000000"/>
                <w:sz w:val="21"/>
              </w:rPr>
              <w:t xml:space="preserve">方案”中</w:t>
            </w:r>
            <w:r>
              <w:rPr>
                <w:rFonts w:ascii="SimSun" w:hAnsi="SimSun" w:eastAsia="SimSun" w:cs="SimSun"/>
                <w:color w:val="000000"/>
                <w:sz w:val="21"/>
                <w:highlight w:val="none"/>
              </w:rPr>
              <w:t xml:space="preserve">全部条款要求的，视为不符合招标文件，本项得0分。</w:t>
            </w:r>
            <w:r>
              <w:rPr>
                <w:rFonts w:ascii="SimSun" w:hAnsi="SimSun" w:eastAsia="SimSun" w:cs="SimSun"/>
                <w:color w:val="000000"/>
                <w:sz w:val="21"/>
                <w:highlight w:val="none"/>
              </w:rPr>
            </w:r>
            <w:r/>
          </w:p>
          <w:p>
            <w:pPr>
              <w:ind w:left="0" w:right="0" w:firstLine="0"/>
              <w:spacing w:before="0" w:after="0"/>
              <w:rPr>
                <w:rFonts w:ascii="SimSun" w:hAnsi="SimSun" w:eastAsia="SimSun" w:cs="SimSun"/>
                <w:color w:val="000000"/>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（2）投标文件符合</w:t>
            </w:r>
            <w:r>
              <w:rPr>
                <w:rFonts w:ascii="SimSun" w:hAnsi="SimSun" w:eastAsia="SimSun" w:cs="SimSun"/>
                <w:color w:val="000000"/>
                <w:sz w:val="21"/>
              </w:rPr>
              <w:t xml:space="preserve">“</w:t>
            </w:r>
            <w:r>
              <w:rPr>
                <w:rFonts w:ascii="SimSun" w:hAnsi="SimSun" w:eastAsia="SimSun" w:cs="SimSun"/>
                <w:color w:val="000000"/>
                <w:sz w:val="21"/>
              </w:rPr>
              <w:t xml:space="preserve">技术</w:t>
            </w:r>
            <w:r>
              <w:rPr>
                <w:rFonts w:ascii="SimSun" w:hAnsi="SimSun" w:eastAsia="SimSun" w:cs="SimSun"/>
                <w:color w:val="000000"/>
                <w:sz w:val="21"/>
              </w:rPr>
              <w:t xml:space="preserve">方案”中</w:t>
            </w:r>
            <w:r>
              <w:rPr>
                <w:rFonts w:ascii="SimSun" w:hAnsi="SimSun" w:eastAsia="SimSun" w:cs="SimSun"/>
                <w:color w:val="000000"/>
                <w:sz w:val="21"/>
                <w:highlight w:val="none"/>
              </w:rPr>
              <w:t xml:space="preserve">全部条款要求的，视为符合招标文件，本项得3分。</w:t>
            </w:r>
            <w:r>
              <w:rPr>
                <w:rFonts w:ascii="SimSun" w:hAnsi="SimSun" w:eastAsia="SimSun" w:cs="SimSun"/>
                <w:color w:val="000000"/>
                <w:sz w:val="21"/>
                <w:szCs w:val="21"/>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委认定，投标文件对“技术方案”中的“系统总体架构及兼容扩展性”“校园指挥调度、日常值守及会议管控场景适配性”“音视频、显示、控制及平台系统一体化设计”三项要求的响应内容全部优于招标文件要求，且投标文件对“技术方案”中除上述三项外的其他要求响应内容均符合招标文件要求的，本项得5分。</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项目实施方案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rPr>
                <w:rFonts w:ascii="SimSun" w:hAnsi="SimSun" w:eastAsia="SimSun" w:cs="SimSun"/>
                <w:color w:val="000000"/>
                <w:sz w:val="21"/>
                <w:highlight w:val="none"/>
              </w:rPr>
              <w:t xml:space="preserve">（1）投标文件未符合</w:t>
            </w:r>
            <w:r>
              <w:rPr>
                <w:rFonts w:ascii="SimSun" w:hAnsi="SimSun" w:eastAsia="SimSun" w:cs="SimSun"/>
                <w:color w:val="000000"/>
                <w:sz w:val="21"/>
              </w:rPr>
              <w:t xml:space="preserve">“项目实施方案”中</w:t>
            </w:r>
            <w:r>
              <w:rPr>
                <w:rFonts w:ascii="SimSun" w:hAnsi="SimSun" w:eastAsia="SimSun" w:cs="SimSun"/>
                <w:color w:val="000000"/>
                <w:sz w:val="21"/>
                <w:highlight w:val="none"/>
              </w:rPr>
              <w:t xml:space="preserve">全部条款要求的，视为不符合招标文件，本项得0分。</w:t>
            </w:r>
            <w:r>
              <w:rPr>
                <w:rFonts w:ascii="SimSun" w:hAnsi="SimSun" w:eastAsia="SimSun" w:cs="SimSun"/>
                <w:color w:val="000000"/>
                <w:sz w:val="21"/>
                <w:highlight w:val="none"/>
              </w:rPr>
            </w:r>
            <w:r/>
          </w:p>
          <w:p>
            <w:pPr>
              <w:ind w:left="0" w:right="0" w:firstLine="0"/>
              <w:spacing w:before="0" w:after="0"/>
              <w:rPr>
                <w:rFonts w:ascii="SimSun" w:hAnsi="SimSun" w:eastAsia="SimSun" w:cs="SimSun"/>
                <w:color w:val="000000"/>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（2）投标文件符合</w:t>
            </w:r>
            <w:r>
              <w:rPr>
                <w:rFonts w:ascii="SimSun" w:hAnsi="SimSun" w:eastAsia="SimSun" w:cs="SimSun"/>
                <w:color w:val="000000"/>
                <w:sz w:val="21"/>
              </w:rPr>
              <w:t xml:space="preserve">“项目实施方案”中</w:t>
            </w:r>
            <w:r>
              <w:rPr>
                <w:rFonts w:ascii="SimSun" w:hAnsi="SimSun" w:eastAsia="SimSun" w:cs="SimSun"/>
                <w:color w:val="000000"/>
                <w:sz w:val="21"/>
                <w:highlight w:val="none"/>
              </w:rPr>
              <w:t xml:space="preserve">全部条款要求的，视为符合招标文件，本项得3分。</w:t>
            </w:r>
            <w:r>
              <w:rPr>
                <w:rFonts w:ascii="SimSun" w:hAnsi="SimSun" w:eastAsia="SimSun" w:cs="SimSun"/>
                <w:color w:val="000000"/>
                <w:sz w:val="21"/>
                <w:szCs w:val="21"/>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（3）经评委认定，投标文件对</w:t>
            </w:r>
            <w:r>
              <w:rPr>
                <w:rFonts w:ascii="SimSun" w:hAnsi="SimSun" w:eastAsia="SimSun" w:cs="SimSun"/>
                <w:color w:val="000000"/>
                <w:sz w:val="21"/>
              </w:rPr>
              <w:t xml:space="preserve">“项目实施方案”中</w:t>
            </w:r>
            <w:r>
              <w:rPr>
                <w:rFonts w:ascii="SimSun" w:hAnsi="SimSun" w:eastAsia="SimSun" w:cs="SimSun"/>
                <w:color w:val="000000"/>
                <w:sz w:val="21"/>
              </w:rPr>
              <w:t xml:space="preserve">“项目施工组织与工艺流程”“工期进度及校园教学环境适配”“交叉施工、安全文明施工及成品保护措施”三项要求的响应内容全部优于招标文件要求，</w:t>
            </w:r>
            <w:r>
              <w:rPr>
                <w:rFonts w:ascii="SimSun" w:hAnsi="SimSun" w:eastAsia="SimSun" w:cs="SimSun"/>
                <w:color w:val="000000"/>
                <w:sz w:val="21"/>
              </w:rPr>
              <w:t xml:space="preserve">前提是</w:t>
            </w:r>
            <w:r>
              <w:rPr>
                <w:rFonts w:ascii="SimSun" w:hAnsi="SimSun" w:eastAsia="SimSun" w:cs="SimSun"/>
                <w:color w:val="000000"/>
                <w:sz w:val="21"/>
              </w:rPr>
              <w:t xml:space="preserve">投标文件对“项目实施方案”中除上述三项外的其他要求响应内容均符合招标文件要求的，本项得5分。</w:t>
            </w:r>
            <w:r/>
          </w:p>
        </w:tc>
      </w:tr>
      <w:tr>
        <w:trPr>
          <w:trHeight w:val="342"/>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培训方案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（1）投标文件未符合“</w:t>
            </w:r>
            <w:r>
              <w:rPr>
                <w:rFonts w:ascii="SimSun" w:hAnsi="SimSun" w:eastAsia="SimSun" w:cs="SimSun"/>
                <w:color w:val="000000"/>
                <w:sz w:val="21"/>
                <w:highlight w:val="none"/>
              </w:rPr>
              <w:t xml:space="preserve">培训</w:t>
            </w:r>
            <w:r>
              <w:rPr>
                <w:rFonts w:ascii="SimSun" w:hAnsi="SimSun" w:eastAsia="SimSun" w:cs="SimSun"/>
                <w:color w:val="000000"/>
                <w:sz w:val="21"/>
                <w:highlight w:val="none"/>
              </w:rPr>
              <w:t xml:space="preserve">方案”中全部条款要求的，视为不符合招标文件，本项得0分。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（2）投标文件符合“</w:t>
            </w:r>
            <w:r>
              <w:rPr>
                <w:rFonts w:ascii="SimSun" w:hAnsi="SimSun" w:eastAsia="SimSun" w:cs="SimSun"/>
                <w:color w:val="000000"/>
                <w:sz w:val="21"/>
                <w:highlight w:val="none"/>
              </w:rPr>
              <w:t xml:space="preserve">培训</w:t>
            </w:r>
            <w:r>
              <w:rPr>
                <w:rFonts w:ascii="SimSun" w:hAnsi="SimSun" w:eastAsia="SimSun" w:cs="SimSun"/>
                <w:color w:val="000000"/>
                <w:sz w:val="21"/>
                <w:highlight w:val="none"/>
              </w:rPr>
              <w:t xml:space="preserve">方案”中全部条款要求的，视为符合招标文件，本项得2分。</w:t>
            </w:r>
            <w:r/>
          </w:p>
          <w:p>
            <w:pPr>
              <w:ind w:left="0" w:right="0" w:firstLine="0"/>
              <w:spacing w:before="0" w:after="0"/>
              <w:tabs>
                <w:tab w:val="center" w:pos="2598" w:leader="none"/>
              </w:tabs>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（3）经评委认定，投标文件对“</w:t>
            </w:r>
            <w:r>
              <w:rPr>
                <w:rFonts w:ascii="SimSun" w:hAnsi="SimSun" w:eastAsia="SimSun" w:cs="SimSun"/>
                <w:color w:val="000000"/>
                <w:sz w:val="21"/>
                <w:highlight w:val="none"/>
              </w:rPr>
              <w:t xml:space="preserve">培训</w:t>
            </w:r>
            <w:r>
              <w:rPr>
                <w:rFonts w:ascii="SimSun" w:hAnsi="SimSun" w:eastAsia="SimSun" w:cs="SimSun"/>
                <w:color w:val="000000"/>
                <w:sz w:val="21"/>
                <w:highlight w:val="none"/>
              </w:rPr>
              <w:t xml:space="preserve">方案”中</w:t>
            </w:r>
            <w:r>
              <w:rPr>
                <w:rFonts w:ascii="SimSun" w:hAnsi="SimSun" w:eastAsia="SimSun" w:cs="SimSun"/>
                <w:color w:val="000000"/>
                <w:sz w:val="21"/>
              </w:rPr>
              <w:t xml:space="preserve">培训内容、培训方式、培训时间和师资安排</w:t>
            </w:r>
            <w:r>
              <w:rPr>
                <w:rFonts w:ascii="SimSun" w:hAnsi="SimSun" w:eastAsia="SimSun" w:cs="SimSun"/>
                <w:color w:val="000000"/>
                <w:sz w:val="21"/>
                <w:highlight w:val="none"/>
              </w:rPr>
              <w:t xml:space="preserve">四</w:t>
            </w:r>
            <w:r>
              <w:rPr>
                <w:rFonts w:ascii="SimSun" w:hAnsi="SimSun" w:eastAsia="SimSun" w:cs="SimSun"/>
                <w:color w:val="000000"/>
                <w:sz w:val="21"/>
                <w:highlight w:val="none"/>
              </w:rPr>
              <w:t xml:space="preserve">项要求的响应内容全部优于招标文件要求的(前提是投标文件对“</w:t>
            </w:r>
            <w:r>
              <w:rPr>
                <w:rFonts w:ascii="SimSun" w:hAnsi="SimSun" w:eastAsia="SimSun" w:cs="SimSun"/>
                <w:color w:val="000000"/>
                <w:sz w:val="21"/>
                <w:highlight w:val="none"/>
              </w:rPr>
              <w:t xml:space="preserve">培训</w:t>
            </w:r>
            <w:r>
              <w:rPr>
                <w:rFonts w:ascii="SimSun" w:hAnsi="SimSun" w:eastAsia="SimSun" w:cs="SimSun"/>
                <w:color w:val="000000"/>
                <w:sz w:val="21"/>
                <w:highlight w:val="none"/>
              </w:rPr>
              <w:t xml:space="preserve">方案”中除</w:t>
            </w:r>
            <w:r>
              <w:rPr>
                <w:rFonts w:ascii="SimSun" w:hAnsi="SimSun" w:eastAsia="SimSun" w:cs="SimSun"/>
                <w:color w:val="000000"/>
                <w:sz w:val="21"/>
              </w:rPr>
              <w:t xml:space="preserve">培训内容、培训方式、培训时间和师资安排</w:t>
            </w:r>
            <w:r>
              <w:rPr>
                <w:rFonts w:ascii="SimSun" w:hAnsi="SimSun" w:eastAsia="SimSun" w:cs="SimSun"/>
                <w:color w:val="000000"/>
                <w:sz w:val="21"/>
                <w:highlight w:val="none"/>
              </w:rPr>
              <w:t xml:space="preserve">外其他要求响应内容将合招标文件要求)，本项得3分。</w:t>
            </w:r>
            <w:r>
              <w:rPr>
                <w:rFonts w:ascii="SimSun" w:hAnsi="SimSun" w:eastAsia="SimSun" w:cs="SimSun"/>
                <w:color w:val="000000"/>
                <w:sz w:val="21"/>
                <w:highlight w:val="none"/>
              </w:rPr>
              <w:tab/>
            </w:r>
            <w:r>
              <w:rPr>
                <w:rFonts w:ascii="SimSun" w:hAnsi="SimSun" w:eastAsia="SimSun" w:cs="SimSun"/>
                <w:color w:val="000000"/>
                <w:sz w:val="21"/>
                <w:highlight w:val="none"/>
              </w:rPr>
            </w:r>
            <w:r/>
          </w:p>
        </w:tc>
      </w:tr>
      <w:tr>
        <w:trPr>
          <w:trHeight w:val="9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售后服务方案</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（1）投标文件未符合“</w:t>
            </w:r>
            <w:r>
              <w:rPr>
                <w:rFonts w:ascii="SimSun" w:hAnsi="SimSun" w:eastAsia="SimSun" w:cs="SimSun"/>
                <w:color w:val="000000"/>
                <w:sz w:val="21"/>
                <w:highlight w:val="none"/>
              </w:rPr>
              <w:t xml:space="preserve">售后服务</w:t>
            </w:r>
            <w:r>
              <w:rPr>
                <w:rFonts w:ascii="SimSun" w:hAnsi="SimSun" w:eastAsia="SimSun" w:cs="SimSun"/>
                <w:color w:val="000000"/>
                <w:sz w:val="21"/>
                <w:highlight w:val="none"/>
              </w:rPr>
              <w:t xml:space="preserve">方案”中全部条款要求的，视为不符合招标文件，本项得0分。</w:t>
            </w:r>
            <w:r>
              <w:rPr>
                <w:rFonts w:ascii="SimSun" w:hAnsi="SimSun" w:eastAsia="SimSun" w:cs="SimSun"/>
                <w:color w:val="000000"/>
                <w:sz w:val="21"/>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（2）投标文件符合“</w:t>
            </w:r>
            <w:r>
              <w:rPr>
                <w:rFonts w:ascii="SimSun" w:hAnsi="SimSun" w:eastAsia="SimSun" w:cs="SimSun"/>
                <w:color w:val="000000"/>
                <w:sz w:val="21"/>
                <w:highlight w:val="none"/>
              </w:rPr>
              <w:t xml:space="preserve">售后服务</w:t>
            </w:r>
            <w:r>
              <w:rPr>
                <w:rFonts w:ascii="SimSun" w:hAnsi="SimSun" w:eastAsia="SimSun" w:cs="SimSun"/>
                <w:color w:val="000000"/>
                <w:sz w:val="21"/>
                <w:highlight w:val="none"/>
              </w:rPr>
              <w:t xml:space="preserve">方案”中全部条款要求的，视为符合招标文件，本项得3分。</w:t>
            </w:r>
            <w:r>
              <w:rPr>
                <w:rFonts w:ascii="SimSun" w:hAnsi="SimSun" w:eastAsia="SimSun" w:cs="SimSun"/>
                <w:color w:val="000000"/>
                <w:sz w:val="21"/>
                <w:highlight w:val="none"/>
              </w:rPr>
            </w:r>
            <w:r/>
          </w:p>
          <w:p>
            <w:pPr>
              <w:ind w:left="0" w:right="0" w:firstLine="0"/>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（3）经评委认定，投标文件对“</w:t>
            </w:r>
            <w:r>
              <w:rPr>
                <w:rFonts w:ascii="SimSun" w:hAnsi="SimSun" w:eastAsia="SimSun" w:cs="SimSun"/>
                <w:color w:val="000000"/>
                <w:sz w:val="21"/>
                <w:highlight w:val="none"/>
              </w:rPr>
              <w:t xml:space="preserve">售后服务</w:t>
            </w:r>
            <w:r>
              <w:rPr>
                <w:rFonts w:ascii="SimSun" w:hAnsi="SimSun" w:eastAsia="SimSun" w:cs="SimSun"/>
                <w:color w:val="000000"/>
                <w:sz w:val="21"/>
                <w:highlight w:val="none"/>
              </w:rPr>
              <w:t xml:space="preserve">方案”中</w:t>
            </w:r>
            <w:r>
              <w:rPr>
                <w:rFonts w:ascii="SimSun" w:hAnsi="SimSun" w:eastAsia="SimSun" w:cs="SimSun"/>
                <w:color w:val="000000"/>
                <w:sz w:val="21"/>
              </w:rPr>
              <w:t xml:space="preserve">“售后服务组织体系及服务流程”“故障响应、处理时限及应急保障措施”“设备巡检、预防性维护及系统持续优化措施”三项</w:t>
            </w:r>
            <w:r>
              <w:rPr>
                <w:rFonts w:ascii="SimSun" w:hAnsi="SimSun" w:eastAsia="SimSun" w:cs="SimSun"/>
                <w:color w:val="000000"/>
                <w:sz w:val="21"/>
                <w:highlight w:val="none"/>
              </w:rPr>
              <w:t xml:space="preserve">要求的响应内容全部优于招标文件要求的(前提是投标文件对“</w:t>
            </w:r>
            <w:r>
              <w:rPr>
                <w:rFonts w:ascii="SimSun" w:hAnsi="SimSun" w:eastAsia="SimSun" w:cs="SimSun"/>
                <w:color w:val="000000"/>
                <w:sz w:val="21"/>
                <w:highlight w:val="none"/>
              </w:rPr>
              <w:t xml:space="preserve">售后服务</w:t>
            </w:r>
            <w:r>
              <w:rPr>
                <w:rFonts w:ascii="SimSun" w:hAnsi="SimSun" w:eastAsia="SimSun" w:cs="SimSun"/>
                <w:color w:val="000000"/>
                <w:sz w:val="21"/>
                <w:highlight w:val="none"/>
              </w:rPr>
              <w:t xml:space="preserve">方案”中除</w:t>
            </w:r>
            <w:r>
              <w:rPr>
                <w:rFonts w:ascii="SimSun" w:hAnsi="SimSun" w:eastAsia="SimSun" w:cs="SimSun"/>
                <w:color w:val="000000"/>
                <w:sz w:val="21"/>
              </w:rPr>
              <w:t xml:space="preserve">“售后服务组织体系及服务流程”“故障响应、处理时限及应急保障措施”“设备巡检、预防性维护及系统持续优化措施”三项</w:t>
            </w:r>
            <w:r>
              <w:rPr>
                <w:rFonts w:ascii="SimSun" w:hAnsi="SimSun" w:eastAsia="SimSun" w:cs="SimSun"/>
                <w:color w:val="000000"/>
                <w:sz w:val="21"/>
                <w:highlight w:val="none"/>
              </w:rPr>
              <w:t xml:space="preserve">外其他要求响应内容将合招标文件要求)，本项得5分。</w:t>
            </w:r>
            <w:r>
              <w:rPr>
                <w:rFonts w:ascii="SimSun" w:hAnsi="SimSun" w:eastAsia="SimSun" w:cs="SimSun"/>
                <w:color w:val="000000"/>
                <w:sz w:val="21"/>
                <w:highlight w:val="none"/>
              </w:rPr>
            </w:r>
            <w:r/>
          </w:p>
        </w:tc>
      </w:tr>
      <w:tr>
        <w:trPr>
          <w:trHeight w:val="92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备件库</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投标人提供承诺函加盖投标人公章：中标后在招标人处建设备件库（提供主要备件供快速维修）的得1分，未提供得0分。</w:t>
            </w:r>
            <w:r/>
          </w:p>
        </w:tc>
      </w:tr>
      <w:tr>
        <w:trPr>
          <w:trHeight w:val="92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vMerge w:val="restart"/>
            <w:textDirection w:val="lrTb"/>
            <w:noWrap w:val="false"/>
          </w:tcPr>
          <w:p>
            <w:pPr>
              <w:ind w:left="0" w:right="0" w:firstLine="0"/>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color w:val="000000"/>
                <w:sz w:val="21"/>
              </w:rPr>
              <w:t xml:space="preserve">环保</w:t>
            </w:r>
            <w:r>
              <w:rPr>
                <w:rFonts w:ascii="SimSun" w:hAnsi="SimSun" w:eastAsia="SimSun" w:cs="SimSun"/>
                <w:color w:val="000000"/>
                <w:sz w:val="2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5" w:type="dxa"/>
            <w:vAlign w:val="center"/>
            <w:vMerge w:val="restart"/>
            <w:textDirection w:val="lrTb"/>
            <w:noWrap w:val="false"/>
          </w:tcPr>
          <w:p>
            <w:pPr>
              <w:ind w:left="0" w:right="0" w:firstLine="0"/>
              <w:jc w:val="center"/>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rPr>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2" w:type="dxa"/>
            <w:vAlign w:val="top"/>
            <w:vMerge w:val="restart"/>
            <w:textDirection w:val="lrTb"/>
            <w:noWrap w:val="false"/>
          </w:tcPr>
          <w:p>
            <w:pPr>
              <w:ind w:left="0" w:right="0" w:firstLine="0"/>
              <w:spacing w:before="0" w:after="0"/>
              <w:rPr>
                <w:rFonts w:ascii="SimSun" w:hAnsi="SimSun" w:eastAsia="SimSun" w:cs="SimSun"/>
                <w:color w:val="000000"/>
                <w:sz w:val="20"/>
                <w:szCs w:val="2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szCs w:val="20"/>
              </w:rPr>
            </w:r>
            <w:r>
              <w:rPr>
                <w:rFonts w:ascii="SimSun" w:hAnsi="SimSun" w:eastAsia="SimSun" w:cs="SimSun"/>
                <w:color w:val="000000"/>
                <w:sz w:val="22"/>
                <w:szCs w:val="20"/>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ascii="SimSun" w:hAnsi="SimSun" w:eastAsia="SimSun" w:cs="SimSun"/>
                <w:color w:val="000000"/>
                <w:sz w:val="20"/>
                <w:szCs w:val="20"/>
              </w:rPr>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1019"/>
        <w:ind w:left="0" w:right="0" w:firstLine="0"/>
        <w:keepLines w:val="0"/>
        <w:keepNext w:val="0"/>
        <w:pageBreakBefore w:val="0"/>
        <w:spacing w:before="0" w:beforeAutospacing="0" w:after="0" w:afterAutospacing="0" w:line="0" w:lineRule="atLeast"/>
        <w:widowControl/>
        <w:rPr>
          <w:rFonts w:hint="eastAsia" w:ascii="方正魏碑_GBK" w:hAnsi="方正魏碑_GBK" w:eastAsia="方正魏碑_GBK" w:cs="方正魏碑_GBK"/>
          <w:color w:val="ff0000"/>
          <w:sz w:val="28"/>
          <w:szCs w:val="28"/>
          <w:highlight w:val="yellow"/>
        </w:rPr>
        <w:suppressLineNumbers w:val="0"/>
      </w:pPr>
      <w:r>
        <w:rPr>
          <w:rFonts w:hint="eastAsia" w:ascii="方正魏碑_GBK" w:hAnsi="方正魏碑_GBK" w:eastAsia="方正魏碑_GBK" w:cs="方正魏碑_GBK"/>
          <w:color w:val="ff0000"/>
          <w:sz w:val="28"/>
          <w:szCs w:val="28"/>
          <w:highlight w:val="yellow"/>
        </w:rPr>
      </w:r>
      <w:r/>
    </w:p>
    <w:p>
      <w:pPr>
        <w:pStyle w:val="938"/>
        <w:rPr>
          <w:rFonts w:hint="eastAsia"/>
        </w:rPr>
      </w:pPr>
      <w:r>
        <w:rPr>
          <w:rFonts w:hint="eastAsia"/>
        </w:rPr>
      </w:r>
      <w:r/>
    </w:p>
    <w:p>
      <w:pPr>
        <w:pStyle w:val="938"/>
        <w:rPr>
          <w:rFonts w:hint="eastAsia"/>
        </w:rPr>
      </w:pPr>
      <w:r>
        <w:rPr>
          <w:rFonts w:hint="eastAsia"/>
        </w:rPr>
      </w:r>
      <w:r/>
    </w:p>
    <w:p>
      <w:pPr>
        <w:pStyle w:val="938"/>
        <w:jc w:val="center"/>
        <w:keepNext/>
        <w:rPr>
          <w:rFonts w:hint="eastAsia" w:ascii="黑体" w:hAnsi="Times New Roman" w:eastAsia="黑体"/>
          <w:bCs/>
          <w:color w:val="000000"/>
          <w:sz w:val="44"/>
          <w:szCs w:val="28"/>
        </w:rPr>
        <w:outlineLvl w:val="0"/>
      </w:pPr>
      <w:r/>
      <w:bookmarkEnd w:id="182"/>
      <w:r/>
      <w:bookmarkEnd w:id="183"/>
      <w:r/>
      <w:bookmarkEnd w:id="184"/>
      <w:r>
        <w:rPr>
          <w:rFonts w:hint="eastAsia" w:ascii="黑体" w:hAnsi="Times New Roman" w:eastAsia="黑体"/>
          <w:bCs/>
          <w:color w:val="000000"/>
          <w:sz w:val="44"/>
          <w:szCs w:val="28"/>
        </w:rPr>
        <w:t xml:space="preserve">第</w:t>
      </w:r>
      <w:r>
        <w:rPr>
          <w:rFonts w:hint="eastAsia" w:ascii="黑体" w:hAnsi="Times New Roman" w:eastAsia="黑体"/>
          <w:bCs/>
          <w:color w:val="000000"/>
          <w:sz w:val="44"/>
          <w:szCs w:val="28"/>
        </w:rPr>
        <w:t xml:space="preserve">六章  投标文件格式</w:t>
      </w:r>
      <w:r>
        <w:rPr>
          <w:rFonts w:hint="eastAsia" w:ascii="黑体" w:hAnsi="Times New Roman" w:eastAsia="黑体"/>
          <w:bCs/>
          <w:color w:val="000000"/>
          <w:sz w:val="44"/>
          <w:szCs w:val="28"/>
        </w:rPr>
      </w:r>
      <w:r/>
    </w:p>
    <w:p>
      <w:pPr>
        <w:pStyle w:val="938"/>
        <w:jc w:val="center"/>
        <w:rPr>
          <w:rFonts w:hint="eastAsia" w:ascii="宋体" w:hAnsi="宋体"/>
          <w:b/>
          <w:color w:val="000000"/>
          <w:sz w:val="72"/>
          <w:szCs w:val="21"/>
        </w:rPr>
      </w:pPr>
      <w:r/>
      <w:bookmarkStart w:id="185" w:name="_Hlt26955039"/>
      <w:r/>
      <w:bookmarkEnd w:id="185"/>
      <w:r/>
      <w:bookmarkStart w:id="186" w:name="_Hlt26671244"/>
      <w:r/>
      <w:bookmarkEnd w:id="186"/>
      <w:r/>
      <w:bookmarkStart w:id="187" w:name="_Toc49090576"/>
      <w:r/>
      <w:bookmarkStart w:id="188" w:name="_Toc26554094"/>
      <w:r/>
      <w:bookmarkStart w:id="189" w:name="_Toc120614282"/>
      <w:r>
        <w:rPr>
          <w:rFonts w:hint="eastAsia" w:ascii="宋体" w:hAnsi="宋体"/>
          <w:b/>
          <w:color w:val="000000"/>
          <w:sz w:val="72"/>
          <w:szCs w:val="21"/>
        </w:rPr>
      </w:r>
      <w:r/>
    </w:p>
    <w:p>
      <w:pPr>
        <w:pStyle w:val="93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38"/>
        <w:jc w:val="center"/>
        <w:rPr>
          <w:rFonts w:hint="eastAsia" w:ascii="宋体" w:hAnsi="宋体"/>
          <w:b/>
          <w:color w:val="000000"/>
          <w:sz w:val="36"/>
          <w:szCs w:val="21"/>
        </w:rPr>
      </w:pPr>
      <w:r>
        <w:rPr>
          <w:rFonts w:hint="eastAsia" w:ascii="宋体" w:hAnsi="宋体"/>
          <w:b/>
          <w:color w:val="000000"/>
          <w:sz w:val="36"/>
          <w:szCs w:val="21"/>
        </w:rPr>
      </w:r>
      <w:r/>
    </w:p>
    <w:p>
      <w:pPr>
        <w:pStyle w:val="938"/>
        <w:jc w:val="center"/>
        <w:rPr>
          <w:rFonts w:hint="eastAsia" w:ascii="宋体" w:hAnsi="宋体"/>
          <w:b/>
          <w:color w:val="000000"/>
          <w:sz w:val="36"/>
          <w:szCs w:val="21"/>
        </w:rPr>
      </w:pPr>
      <w:r>
        <w:rPr>
          <w:rFonts w:hint="eastAsia" w:ascii="宋体" w:hAnsi="宋体"/>
          <w:b/>
          <w:color w:val="000000"/>
          <w:sz w:val="36"/>
          <w:szCs w:val="21"/>
        </w:rPr>
      </w:r>
      <w:r/>
    </w:p>
    <w:p>
      <w:pPr>
        <w:pStyle w:val="938"/>
        <w:jc w:val="center"/>
        <w:rPr>
          <w:rFonts w:hint="eastAsia" w:ascii="宋体" w:hAnsi="宋体"/>
          <w:b/>
          <w:color w:val="000000"/>
          <w:sz w:val="36"/>
          <w:szCs w:val="21"/>
        </w:rPr>
      </w:pPr>
      <w:r>
        <w:rPr>
          <w:rFonts w:hint="eastAsia" w:ascii="宋体" w:hAnsi="宋体"/>
          <w:b/>
          <w:color w:val="000000"/>
          <w:sz w:val="36"/>
          <w:szCs w:val="21"/>
        </w:rPr>
      </w:r>
      <w:r/>
    </w:p>
    <w:p>
      <w:pPr>
        <w:pStyle w:val="938"/>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38"/>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3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ascii="宋体" w:hAnsi="宋体"/>
          <w:b/>
          <w:bCs/>
          <w:sz w:val="32"/>
          <w:szCs w:val="32"/>
          <w:highlight w:val="none"/>
        </w:rPr>
      </w: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rPr>
          <w:rFonts w:ascii="宋体" w:hAnsi="宋体"/>
          <w:b/>
          <w:bCs/>
          <w:sz w:val="32"/>
          <w:szCs w:val="32"/>
          <w:highlight w:val="none"/>
        </w:rPr>
      </w:r>
      <w:r/>
    </w:p>
    <w:p>
      <w:pPr>
        <w:pStyle w:val="938"/>
        <w:jc w:val="center"/>
        <w:rPr>
          <w:rFonts w:ascii="宋体" w:hAnsi="宋体"/>
          <w:b/>
          <w:bCs/>
          <w:sz w:val="32"/>
          <w:szCs w:val="32"/>
          <w:highlight w:val="none"/>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38"/>
        <w:jc w:val="center"/>
        <w:spacing w:line="440" w:lineRule="exact"/>
        <w:rPr>
          <w:rFonts w:hint="eastAsia" w:ascii="宋体" w:hAnsi="宋体"/>
          <w:b/>
          <w:bCs/>
          <w:sz w:val="32"/>
          <w:szCs w:val="32"/>
        </w:rPr>
      </w:pPr>
      <w:r>
        <w:rPr>
          <w:rFonts w:hint="eastAsia" w:ascii="宋体" w:hAnsi="宋体"/>
          <w:b/>
          <w:bCs/>
          <w:sz w:val="32"/>
          <w:szCs w:val="32"/>
        </w:rPr>
      </w:r>
      <w:r/>
    </w:p>
    <w:p>
      <w:pPr>
        <w:pStyle w:val="938"/>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38"/>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38"/>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38"/>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38"/>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38"/>
        <w:spacing w:line="400" w:lineRule="exact"/>
        <w:rPr>
          <w:rFonts w:hint="eastAsia" w:ascii="宋体" w:hAnsi="宋体"/>
          <w:sz w:val="24"/>
          <w:szCs w:val="21"/>
          <w:highlight w:val="yellow"/>
        </w:rPr>
      </w:pPr>
      <w:r>
        <w:rPr>
          <w:rFonts w:hint="eastAsia" w:ascii="宋体" w:hAnsi="宋体"/>
          <w:sz w:val="24"/>
          <w:szCs w:val="21"/>
          <w:highlight w:val="yellow"/>
        </w:rPr>
      </w:r>
      <w:r/>
    </w:p>
    <w:p>
      <w:pPr>
        <w:pStyle w:val="938"/>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38"/>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38"/>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38"/>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38"/>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38"/>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38"/>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38"/>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38"/>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38"/>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38"/>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38"/>
        <w:ind w:firstLine="480"/>
        <w:spacing w:line="400" w:lineRule="exact"/>
        <w:rPr>
          <w:rFonts w:hint="eastAsia" w:ascii="宋体" w:hAnsi="宋体"/>
          <w:sz w:val="24"/>
          <w:szCs w:val="21"/>
          <w:highlight w:val="yellow"/>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highlight w:val="yellow"/>
        </w:rPr>
      </w:r>
      <w:r/>
    </w:p>
    <w:p>
      <w:pPr>
        <w:pStyle w:val="938"/>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38"/>
        <w:spacing w:line="400" w:lineRule="exact"/>
        <w:rPr>
          <w:rFonts w:ascii="宋体" w:hAnsi="宋体"/>
          <w:sz w:val="24"/>
          <w:szCs w:val="24"/>
        </w:rPr>
      </w:pPr>
      <w:r>
        <w:rPr>
          <w:rFonts w:hint="eastAsia" w:ascii="宋体" w:hAnsi="宋体"/>
          <w:sz w:val="24"/>
          <w:szCs w:val="24"/>
        </w:rPr>
        <w:t xml:space="preserve">中提供相关材料，否则作无效投标处理；6条如招标文件要求必须提供相关材料而未提供的，作无效投标处理。</w:t>
      </w:r>
      <w:r>
        <w:rPr>
          <w:rFonts w:ascii="宋体" w:hAnsi="宋体"/>
          <w:sz w:val="24"/>
          <w:szCs w:val="24"/>
        </w:rPr>
      </w:r>
      <w:r/>
    </w:p>
    <w:p>
      <w:pPr>
        <w:pStyle w:val="938"/>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38"/>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38"/>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38"/>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38"/>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38"/>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38"/>
        <w:ind w:firstLine="480"/>
        <w:spacing w:line="400" w:lineRule="exact"/>
        <w:rPr>
          <w:rFonts w:hint="eastAsia" w:ascii="宋体" w:hAnsi="宋体"/>
          <w:sz w:val="24"/>
          <w:szCs w:val="21"/>
        </w:rPr>
      </w:pPr>
      <w:r>
        <w:rPr>
          <w:rFonts w:hint="eastAsia" w:ascii="宋体" w:hAnsi="宋体"/>
          <w:sz w:val="24"/>
          <w:szCs w:val="21"/>
        </w:rPr>
      </w:r>
      <w:r/>
    </w:p>
    <w:p>
      <w:pPr>
        <w:pStyle w:val="938"/>
        <w:ind w:left="480"/>
        <w:rPr>
          <w:rFonts w:ascii="宋体" w:hAnsi="宋体"/>
          <w:b/>
          <w:sz w:val="24"/>
          <w:szCs w:val="21"/>
        </w:rPr>
      </w:pPr>
      <w:r>
        <w:rPr>
          <w:rFonts w:ascii="宋体" w:hAnsi="宋体"/>
          <w:b/>
          <w:sz w:val="24"/>
          <w:szCs w:val="21"/>
        </w:rPr>
      </w:r>
      <w:r/>
    </w:p>
    <w:p>
      <w:pPr>
        <w:pStyle w:val="938"/>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38"/>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38"/>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38"/>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38"/>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38"/>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38"/>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38"/>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38"/>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38"/>
        <w:rPr>
          <w:rFonts w:ascii="宋体" w:hAnsi="宋体"/>
          <w:sz w:val="24"/>
          <w:szCs w:val="24"/>
        </w:rPr>
      </w:pPr>
      <w:r>
        <w:rPr>
          <w:rFonts w:ascii="宋体" w:hAnsi="宋体"/>
          <w:sz w:val="24"/>
          <w:szCs w:val="24"/>
        </w:rPr>
      </w:r>
      <w:r/>
    </w:p>
    <w:p>
      <w:pPr>
        <w:pStyle w:val="938"/>
        <w:rPr>
          <w:rFonts w:ascii="宋体" w:hAnsi="宋体"/>
          <w:sz w:val="24"/>
          <w:szCs w:val="24"/>
        </w:rPr>
      </w:pPr>
      <w:r>
        <w:rPr>
          <w:rFonts w:ascii="宋体" w:hAnsi="宋体"/>
          <w:sz w:val="24"/>
          <w:szCs w:val="24"/>
        </w:rPr>
      </w:r>
      <w:r/>
    </w:p>
    <w:p>
      <w:pPr>
        <w:pStyle w:val="938"/>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38"/>
        <w:jc w:val="center"/>
        <w:rPr>
          <w:rFonts w:ascii="宋体" w:hAnsi="宋体"/>
          <w:b/>
          <w:sz w:val="24"/>
          <w:szCs w:val="24"/>
        </w:rPr>
      </w:pPr>
      <w:r>
        <w:rPr>
          <w:rFonts w:ascii="宋体" w:hAnsi="宋体"/>
          <w:b/>
          <w:sz w:val="24"/>
          <w:szCs w:val="24"/>
        </w:rPr>
      </w:r>
      <w:r/>
    </w:p>
    <w:p>
      <w:pPr>
        <w:pStyle w:val="93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38"/>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38"/>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38"/>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3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38"/>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38"/>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38"/>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8"/>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8"/>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38"/>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38"/>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38"/>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1019"/>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3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8"/>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38"/>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38"/>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38"/>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38"/>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38"/>
        <w:jc w:val="center"/>
        <w:rPr>
          <w:rFonts w:hint="eastAsia" w:ascii="宋体" w:hAnsi="宋体"/>
          <w:b/>
          <w:sz w:val="24"/>
          <w:szCs w:val="24"/>
        </w:rPr>
      </w:pPr>
      <w:r>
        <w:rPr>
          <w:rFonts w:hint="eastAsia" w:ascii="宋体" w:hAnsi="宋体"/>
          <w:b/>
          <w:sz w:val="24"/>
          <w:szCs w:val="24"/>
        </w:rPr>
      </w:r>
      <w:r/>
    </w:p>
    <w:p>
      <w:pPr>
        <w:pStyle w:val="938"/>
        <w:jc w:val="center"/>
        <w:rPr>
          <w:rFonts w:hint="eastAsia" w:ascii="宋体" w:hAnsi="宋体"/>
          <w:b/>
          <w:sz w:val="24"/>
          <w:szCs w:val="24"/>
        </w:rPr>
      </w:pPr>
      <w:r>
        <w:rPr>
          <w:rFonts w:hint="eastAsia" w:ascii="宋体" w:hAnsi="宋体"/>
          <w:b/>
          <w:sz w:val="24"/>
          <w:szCs w:val="24"/>
        </w:rPr>
      </w:r>
      <w:r/>
    </w:p>
    <w:p>
      <w:pPr>
        <w:pStyle w:val="938"/>
        <w:jc w:val="center"/>
        <w:rPr>
          <w:rFonts w:hint="eastAsia" w:ascii="宋体" w:hAnsi="宋体"/>
          <w:b/>
          <w:sz w:val="24"/>
          <w:szCs w:val="24"/>
        </w:rPr>
      </w:pPr>
      <w:r>
        <w:rPr>
          <w:rFonts w:hint="eastAsia" w:ascii="宋体" w:hAnsi="宋体"/>
          <w:b/>
          <w:sz w:val="24"/>
          <w:szCs w:val="24"/>
        </w:rPr>
      </w:r>
      <w:r/>
    </w:p>
    <w:p>
      <w:pPr>
        <w:pStyle w:val="938"/>
        <w:jc w:val="center"/>
        <w:rPr>
          <w:rFonts w:hint="eastAsia" w:ascii="宋体" w:hAnsi="宋体"/>
          <w:b/>
          <w:sz w:val="24"/>
          <w:szCs w:val="24"/>
        </w:rPr>
      </w:pPr>
      <w:r>
        <w:rPr>
          <w:rFonts w:hint="eastAsia" w:ascii="宋体" w:hAnsi="宋体"/>
          <w:b/>
          <w:sz w:val="24"/>
          <w:szCs w:val="24"/>
        </w:rPr>
      </w:r>
      <w:r/>
    </w:p>
    <w:p>
      <w:pPr>
        <w:pStyle w:val="93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r>
    </w:tbl>
    <w:p>
      <w:pPr>
        <w:pStyle w:val="93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8"/>
        <w:spacing w:line="400" w:lineRule="exact"/>
        <w:rPr>
          <w:rFonts w:ascii="宋体" w:hAnsi="宋体"/>
          <w:sz w:val="24"/>
          <w:szCs w:val="24"/>
        </w:rPr>
      </w:pPr>
      <w:r>
        <w:rPr>
          <w:rFonts w:ascii="宋体" w:hAnsi="宋体"/>
          <w:sz w:val="24"/>
          <w:szCs w:val="24"/>
        </w:rPr>
      </w:r>
      <w:r/>
    </w:p>
    <w:p>
      <w:pPr>
        <w:pStyle w:val="93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8"/>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3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38"/>
              <w:jc w:val="center"/>
              <w:spacing w:line="400" w:lineRule="exact"/>
              <w:rPr>
                <w:rFonts w:hint="eastAsia" w:ascii="宋体" w:hAnsi="宋体"/>
                <w:sz w:val="24"/>
                <w:szCs w:val="24"/>
              </w:rPr>
            </w:pPr>
            <w:r>
              <w:rPr>
                <w:rFonts w:hint="eastAsia" w:ascii="宋体" w:hAnsi="宋体"/>
                <w:sz w:val="24"/>
                <w:szCs w:val="24"/>
              </w:rPr>
            </w:r>
            <w:r/>
          </w:p>
        </w:tc>
      </w:tr>
    </w:tbl>
    <w:p>
      <w:pPr>
        <w:pStyle w:val="93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38"/>
        <w:spacing w:line="400" w:lineRule="exact"/>
        <w:rPr>
          <w:rFonts w:ascii="宋体" w:hAnsi="宋体"/>
          <w:sz w:val="24"/>
          <w:szCs w:val="24"/>
        </w:rPr>
      </w:pPr>
      <w:r>
        <w:rPr>
          <w:rFonts w:ascii="宋体" w:hAnsi="宋体"/>
          <w:sz w:val="24"/>
          <w:szCs w:val="24"/>
        </w:rPr>
      </w:r>
      <w:r/>
    </w:p>
    <w:p>
      <w:pPr>
        <w:pStyle w:val="93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38"/>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38"/>
        <w:rPr>
          <w:rFonts w:hint="eastAsia" w:ascii="宋体" w:hAnsi="宋体"/>
          <w:b/>
          <w:sz w:val="24"/>
          <w:szCs w:val="21"/>
        </w:rPr>
      </w:pPr>
      <w:r>
        <w:rPr>
          <w:rFonts w:hint="eastAsia" w:ascii="宋体" w:hAnsi="宋体"/>
          <w:b/>
          <w:sz w:val="24"/>
          <w:szCs w:val="21"/>
        </w:rPr>
      </w:r>
      <w:r/>
    </w:p>
    <w:p>
      <w:pPr>
        <w:pStyle w:val="938"/>
        <w:ind w:left="480"/>
        <w:rPr>
          <w:rFonts w:ascii="宋体" w:hAnsi="宋体"/>
          <w:b/>
          <w:color w:val="000000"/>
          <w:sz w:val="24"/>
          <w:szCs w:val="21"/>
        </w:rPr>
      </w:pPr>
      <w:r>
        <w:rPr>
          <w:rFonts w:ascii="宋体" w:hAnsi="宋体"/>
          <w:b/>
          <w:color w:val="000000"/>
          <w:sz w:val="24"/>
          <w:szCs w:val="21"/>
        </w:rPr>
      </w:r>
      <w:r/>
    </w:p>
    <w:p>
      <w:pPr>
        <w:pStyle w:val="938"/>
        <w:ind w:left="480"/>
        <w:rPr>
          <w:rFonts w:hint="eastAsia" w:ascii="宋体" w:hAnsi="宋体"/>
          <w:b/>
          <w:color w:val="000000"/>
          <w:sz w:val="24"/>
          <w:szCs w:val="21"/>
        </w:rPr>
      </w:pPr>
      <w:r>
        <w:rPr>
          <w:rFonts w:hint="eastAsia" w:ascii="宋体" w:hAnsi="宋体"/>
          <w:b/>
          <w:color w:val="000000"/>
          <w:sz w:val="24"/>
          <w:szCs w:val="21"/>
        </w:rPr>
      </w:r>
      <w:r/>
    </w:p>
    <w:p>
      <w:pPr>
        <w:pStyle w:val="938"/>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3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3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38"/>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3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38"/>
        <w:ind w:left="480"/>
        <w:rPr>
          <w:rFonts w:ascii="宋体" w:hAnsi="宋体"/>
          <w:b/>
          <w:color w:val="000000"/>
          <w:sz w:val="24"/>
          <w:szCs w:val="21"/>
        </w:rPr>
      </w:pPr>
      <w:r>
        <w:rPr>
          <w:rFonts w:ascii="宋体" w:hAnsi="宋体"/>
          <w:b/>
          <w:color w:val="000000"/>
          <w:sz w:val="24"/>
          <w:szCs w:val="21"/>
        </w:rPr>
      </w:r>
      <w:r/>
    </w:p>
    <w:p>
      <w:pPr>
        <w:pStyle w:val="938"/>
        <w:ind w:left="480"/>
        <w:rPr>
          <w:rFonts w:ascii="宋体" w:hAnsi="宋体"/>
          <w:b/>
          <w:color w:val="000000"/>
          <w:sz w:val="24"/>
          <w:szCs w:val="21"/>
        </w:rPr>
      </w:pPr>
      <w:r>
        <w:rPr>
          <w:rFonts w:ascii="宋体" w:hAnsi="宋体"/>
          <w:b/>
          <w:color w:val="000000"/>
          <w:sz w:val="24"/>
          <w:szCs w:val="21"/>
        </w:rPr>
      </w:r>
      <w:r/>
    </w:p>
    <w:p>
      <w:pPr>
        <w:pStyle w:val="938"/>
        <w:ind w:left="480"/>
        <w:rPr>
          <w:rFonts w:ascii="宋体" w:hAnsi="宋体"/>
          <w:b/>
          <w:color w:val="000000"/>
          <w:sz w:val="24"/>
          <w:szCs w:val="21"/>
        </w:rPr>
      </w:pPr>
      <w:r>
        <w:rPr>
          <w:rFonts w:ascii="宋体" w:hAnsi="宋体"/>
          <w:b/>
          <w:color w:val="000000"/>
          <w:sz w:val="24"/>
          <w:szCs w:val="21"/>
        </w:rPr>
      </w:r>
      <w:r/>
    </w:p>
    <w:p>
      <w:pPr>
        <w:pStyle w:val="938"/>
        <w:ind w:left="480"/>
        <w:rPr>
          <w:rFonts w:hint="eastAsia" w:ascii="宋体" w:hAnsi="宋体"/>
          <w:b/>
          <w:color w:val="000000"/>
          <w:sz w:val="24"/>
          <w:szCs w:val="21"/>
        </w:rPr>
      </w:pPr>
      <w:r>
        <w:rPr>
          <w:rFonts w:hint="eastAsia" w:ascii="宋体" w:hAnsi="宋体"/>
          <w:b/>
          <w:color w:val="000000"/>
          <w:sz w:val="24"/>
          <w:szCs w:val="21"/>
        </w:rPr>
      </w:r>
      <w:r/>
    </w:p>
    <w:p>
      <w:pPr>
        <w:pStyle w:val="938"/>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38"/>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color w:val="000000"/>
          <w:sz w:val="24"/>
          <w:szCs w:val="21"/>
        </w:rPr>
      </w:r>
      <w:r/>
    </w:p>
    <w:p>
      <w:pPr>
        <w:pStyle w:val="938"/>
        <w:spacing w:line="460" w:lineRule="exact"/>
        <w:rPr>
          <w:rFonts w:hint="eastAsia" w:ascii="宋体" w:hAnsi="宋体"/>
          <w:b/>
          <w:color w:val="000000"/>
          <w:sz w:val="24"/>
          <w:szCs w:val="21"/>
        </w:rPr>
      </w:pPr>
      <w:r>
        <w:rPr>
          <w:rFonts w:hint="eastAsia" w:ascii="宋体" w:hAnsi="宋体"/>
          <w:b/>
          <w:color w:val="000000"/>
          <w:sz w:val="24"/>
          <w:szCs w:val="21"/>
        </w:rPr>
      </w:r>
      <w:r/>
    </w:p>
    <w:p>
      <w:pPr>
        <w:pStyle w:val="938"/>
        <w:ind w:firstLine="480"/>
        <w:spacing w:line="460" w:lineRule="exact"/>
        <w:rPr>
          <w:rFonts w:ascii="宋体" w:hAnsi="宋体"/>
          <w:b/>
          <w:color w:val="000000"/>
          <w:sz w:val="24"/>
          <w:szCs w:val="21"/>
        </w:rPr>
      </w:pPr>
      <w:r>
        <w:rPr>
          <w:rFonts w:ascii="宋体" w:hAnsi="宋体"/>
          <w:b/>
          <w:color w:val="000000"/>
          <w:sz w:val="24"/>
          <w:szCs w:val="21"/>
        </w:rPr>
      </w:r>
      <w:r/>
    </w:p>
    <w:p>
      <w:pPr>
        <w:pStyle w:val="938"/>
        <w:ind w:firstLine="480"/>
        <w:spacing w:line="460" w:lineRule="exact"/>
        <w:rPr>
          <w:rFonts w:ascii="宋体" w:hAnsi="宋体"/>
          <w:b/>
          <w:color w:val="000000"/>
          <w:sz w:val="24"/>
          <w:szCs w:val="21"/>
        </w:rPr>
      </w:pPr>
      <w:r>
        <w:rPr>
          <w:rFonts w:ascii="宋体" w:hAnsi="宋体"/>
          <w:b/>
          <w:color w:val="000000"/>
          <w:sz w:val="24"/>
          <w:szCs w:val="21"/>
        </w:rPr>
      </w:r>
      <w:r/>
    </w:p>
    <w:p>
      <w:pPr>
        <w:pStyle w:val="938"/>
        <w:ind w:firstLine="480"/>
        <w:spacing w:line="460" w:lineRule="exact"/>
        <w:rPr>
          <w:rFonts w:ascii="宋体" w:hAnsi="宋体"/>
          <w:b/>
          <w:color w:val="000000"/>
          <w:sz w:val="24"/>
          <w:szCs w:val="21"/>
        </w:rPr>
      </w:pPr>
      <w:r>
        <w:rPr>
          <w:rFonts w:ascii="宋体" w:hAnsi="宋体"/>
          <w:b/>
          <w:color w:val="000000"/>
          <w:sz w:val="24"/>
          <w:szCs w:val="21"/>
        </w:rPr>
      </w:r>
      <w:r/>
    </w:p>
    <w:p>
      <w:pPr>
        <w:pStyle w:val="938"/>
        <w:ind w:firstLine="480"/>
        <w:spacing w:line="460" w:lineRule="exact"/>
        <w:rPr>
          <w:rFonts w:ascii="宋体" w:hAnsi="宋体"/>
          <w:b/>
          <w:color w:val="000000"/>
          <w:sz w:val="24"/>
          <w:szCs w:val="21"/>
        </w:rPr>
      </w:pPr>
      <w:r>
        <w:rPr>
          <w:rFonts w:ascii="宋体" w:hAnsi="宋体"/>
          <w:b/>
          <w:color w:val="000000"/>
          <w:sz w:val="24"/>
          <w:szCs w:val="21"/>
        </w:rPr>
      </w:r>
      <w:r/>
    </w:p>
    <w:p>
      <w:pPr>
        <w:pStyle w:val="938"/>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38"/>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38"/>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38"/>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8"/>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8"/>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38"/>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38"/>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38"/>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1" w:name="_格式3__银行出具的资信证明"/>
      <w:r/>
      <w:bookmarkEnd w:id="191"/>
      <w:r/>
      <w:bookmarkStart w:id="192" w:name="_Hlt26671380"/>
      <w:r/>
      <w:bookmarkEnd w:id="192"/>
      <w:r/>
      <w:bookmarkStart w:id="193" w:name="_Hlt26955070"/>
      <w:r/>
      <w:bookmarkEnd w:id="193"/>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38"/>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38"/>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3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3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38"/>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供应商全称（加盖CA电子公章）：</w:t>
      </w:r>
      <w:r>
        <w:rPr>
          <w:rFonts w:hint="eastAsia" w:ascii="宋体" w:hAnsi="宋体"/>
          <w:color w:val="000000"/>
          <w:sz w:val="24"/>
          <w:szCs w:val="21"/>
        </w:rPr>
      </w:r>
      <w:r/>
    </w:p>
    <w:p>
      <w:pPr>
        <w:pStyle w:val="938"/>
        <w:ind w:left="420" w:firstLine="480"/>
        <w:jc w:val="righ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8"/>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38"/>
        <w:spacing w:line="560" w:lineRule="exact"/>
        <w:rPr>
          <w:rFonts w:ascii="宋体" w:hAnsi="宋体"/>
          <w:b/>
          <w:color w:val="ff0000"/>
          <w:sz w:val="24"/>
          <w:szCs w:val="21"/>
        </w:rPr>
      </w:pPr>
      <w:r>
        <w:rPr>
          <w:rFonts w:ascii="宋体" w:hAnsi="宋体"/>
          <w:b/>
          <w:color w:val="ff0000"/>
          <w:sz w:val="24"/>
          <w:szCs w:val="21"/>
        </w:rPr>
      </w:r>
      <w:r/>
    </w:p>
    <w:p>
      <w:pPr>
        <w:pStyle w:val="938"/>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38"/>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38"/>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38"/>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38"/>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38"/>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38"/>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38"/>
        <w:ind w:right="720"/>
        <w:spacing w:line="400" w:lineRule="exact"/>
        <w:rPr>
          <w:rFonts w:hint="eastAsia" w:ascii="宋体" w:hAnsi="宋体"/>
          <w:sz w:val="24"/>
          <w:szCs w:val="24"/>
        </w:rPr>
      </w:pPr>
      <w:r>
        <w:rPr>
          <w:rFonts w:hint="eastAsia" w:ascii="宋体" w:hAnsi="宋体"/>
          <w:sz w:val="24"/>
          <w:szCs w:val="24"/>
        </w:rPr>
      </w:r>
      <w:r/>
    </w:p>
    <w:p>
      <w:pPr>
        <w:pStyle w:val="938"/>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38"/>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38"/>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38"/>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38"/>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38"/>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38"/>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38"/>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38"/>
        <w:ind w:firstLine="480"/>
        <w:spacing w:line="400" w:lineRule="exact"/>
        <w:rPr>
          <w:rFonts w:ascii="宋体" w:hAnsi="宋体"/>
          <w:sz w:val="24"/>
          <w:szCs w:val="21"/>
        </w:rPr>
      </w:pPr>
      <w:r>
        <w:rPr>
          <w:rFonts w:ascii="宋体" w:hAnsi="宋体"/>
          <w:sz w:val="24"/>
          <w:szCs w:val="21"/>
        </w:rPr>
      </w:r>
      <w:r/>
    </w:p>
    <w:p>
      <w:pPr>
        <w:pStyle w:val="938"/>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38"/>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38"/>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38"/>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38"/>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38"/>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38"/>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8"/>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38"/>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38"/>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38"/>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38"/>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38"/>
        <w:ind w:firstLine="645"/>
        <w:spacing w:line="400" w:lineRule="exact"/>
        <w:rPr>
          <w:rFonts w:hint="eastAsia" w:ascii="宋体" w:hAnsi="宋体"/>
          <w:sz w:val="24"/>
          <w:szCs w:val="21"/>
        </w:rPr>
      </w:pPr>
      <w:r>
        <w:rPr>
          <w:rFonts w:hint="eastAsia" w:ascii="宋体" w:hAnsi="宋体"/>
          <w:sz w:val="24"/>
          <w:szCs w:val="21"/>
        </w:rPr>
      </w:r>
      <w:r/>
    </w:p>
    <w:p>
      <w:pPr>
        <w:pStyle w:val="938"/>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38"/>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38"/>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38"/>
        <w:ind w:firstLine="645"/>
        <w:spacing w:line="400" w:lineRule="exact"/>
        <w:rPr>
          <w:rFonts w:ascii="宋体" w:hAnsi="宋体"/>
          <w:sz w:val="24"/>
          <w:szCs w:val="21"/>
        </w:rPr>
      </w:pPr>
      <w:r>
        <w:rPr>
          <w:rFonts w:ascii="宋体" w:hAnsi="宋体"/>
          <w:sz w:val="24"/>
          <w:szCs w:val="21"/>
        </w:rPr>
      </w:r>
      <w:r/>
    </w:p>
    <w:p>
      <w:pPr>
        <w:pStyle w:val="938"/>
        <w:ind w:firstLine="645"/>
        <w:spacing w:line="400" w:lineRule="exact"/>
        <w:rPr>
          <w:rFonts w:ascii="宋体" w:hAnsi="宋体"/>
          <w:sz w:val="24"/>
          <w:szCs w:val="21"/>
        </w:rPr>
      </w:pPr>
      <w:r>
        <w:rPr>
          <w:rFonts w:ascii="宋体" w:hAnsi="宋体"/>
          <w:sz w:val="24"/>
          <w:szCs w:val="21"/>
        </w:rPr>
      </w:r>
      <w:r/>
    </w:p>
    <w:p>
      <w:pPr>
        <w:pStyle w:val="938"/>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38"/>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ascii="Times New Roman" w:hAnsi="Times New Roman"/>
          <w:color w:val="000000"/>
          <w:szCs w:val="21"/>
        </w:rPr>
      </w:pPr>
      <w:r>
        <w:rPr>
          <w:rFonts w:ascii="Times New Roman" w:hAnsi="Times New Roman"/>
          <w:color w:val="000000"/>
          <w:szCs w:val="21"/>
        </w:rPr>
      </w:r>
      <w:r/>
    </w:p>
    <w:p>
      <w:pPr>
        <w:pStyle w:val="938"/>
        <w:rPr>
          <w:rFonts w:hint="eastAsia" w:ascii="Times New Roman" w:hAnsi="Times New Roman"/>
          <w:color w:val="000000"/>
          <w:szCs w:val="21"/>
        </w:rPr>
      </w:pPr>
      <w:r>
        <w:rPr>
          <w:rFonts w:hint="eastAsia" w:ascii="Times New Roman" w:hAnsi="Times New Roman"/>
          <w:color w:val="000000"/>
          <w:szCs w:val="21"/>
        </w:rPr>
      </w:r>
      <w:r/>
    </w:p>
    <w:p>
      <w:pPr>
        <w:pStyle w:val="938"/>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38"/>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38"/>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38"/>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38"/>
        <w:spacing w:line="400" w:lineRule="exact"/>
        <w:rPr>
          <w:rFonts w:ascii="宋体" w:hAnsi="宋体"/>
          <w:color w:val="000000"/>
          <w:sz w:val="24"/>
          <w:szCs w:val="24"/>
        </w:rPr>
      </w:pPr>
      <w:r>
        <w:rPr>
          <w:rFonts w:ascii="宋体" w:hAnsi="宋体"/>
          <w:color w:val="000000"/>
          <w:sz w:val="24"/>
          <w:szCs w:val="24"/>
        </w:rPr>
      </w:r>
      <w:r/>
    </w:p>
    <w:p>
      <w:pPr>
        <w:pStyle w:val="938"/>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38"/>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3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spacing w:line="400" w:lineRule="exact"/>
        <w:rPr>
          <w:rFonts w:hint="eastAsia" w:ascii="宋体" w:hAnsi="宋体"/>
          <w:sz w:val="24"/>
          <w:szCs w:val="24"/>
        </w:rPr>
      </w:pPr>
      <w:r>
        <w:rPr>
          <w:rFonts w:hint="eastAsia" w:ascii="宋体" w:hAnsi="宋体"/>
          <w:sz w:val="24"/>
          <w:szCs w:val="24"/>
        </w:rPr>
      </w:r>
      <w:r/>
    </w:p>
    <w:p>
      <w:pPr>
        <w:pStyle w:val="938"/>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1019"/>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101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58"/>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58"/>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58"/>
          <w:rFonts w:hint="eastAsia" w:ascii="宋体" w:hAnsi="宋体" w:eastAsia="宋体" w:cs="宋体"/>
          <w:i w:val="0"/>
          <w:iCs w:val="0"/>
          <w:caps w:val="0"/>
          <w:color w:val="000000"/>
          <w:spacing w:val="0"/>
          <w:sz w:val="24"/>
          <w:szCs w:val="24"/>
          <w:u w:val="single"/>
          <w:shd w:val="clear" w:color="auto" w:fill="ffffff"/>
        </w:rPr>
        <w:t xml:space="preserve">（厂名）</w:t>
      </w:r>
      <w:r>
        <w:rPr>
          <w:rStyle w:val="958"/>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58"/>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101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58"/>
          <w:rFonts w:hint="eastAsia" w:ascii="宋体" w:hAnsi="宋体" w:eastAsia="宋体" w:cs="宋体"/>
          <w:i w:val="0"/>
          <w:iCs w:val="0"/>
          <w:caps w:val="0"/>
          <w:color w:val="000000"/>
          <w:spacing w:val="0"/>
          <w:sz w:val="24"/>
          <w:szCs w:val="24"/>
          <w:u w:val="single"/>
          <w:shd w:val="clear" w:color="auto" w:fill="ffffff"/>
        </w:rPr>
        <w:t xml:space="preserve">（产品名称</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58"/>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58"/>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58"/>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101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1019"/>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1019"/>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019"/>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1019"/>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1019"/>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101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101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101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101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101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1019"/>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58"/>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38"/>
        <w:jc w:val="center"/>
        <w:rPr>
          <w:rFonts w:ascii="黑体" w:hAnsi="黑体" w:eastAsia="黑体"/>
          <w:b/>
          <w:color w:val="000000"/>
          <w:sz w:val="32"/>
          <w:szCs w:val="32"/>
        </w:rPr>
      </w:pPr>
      <w:r>
        <w:rPr>
          <w:rFonts w:ascii="黑体" w:hAnsi="黑体" w:eastAsia="黑体"/>
          <w:b/>
          <w:color w:val="000000"/>
          <w:sz w:val="32"/>
          <w:szCs w:val="32"/>
        </w:rPr>
      </w:r>
      <w:r/>
    </w:p>
    <w:p>
      <w:pPr>
        <w:pStyle w:val="938"/>
        <w:jc w:val="center"/>
        <w:rPr>
          <w:rFonts w:ascii="黑体" w:hAnsi="黑体" w:eastAsia="黑体"/>
          <w:b/>
          <w:color w:val="000000"/>
          <w:sz w:val="32"/>
          <w:szCs w:val="32"/>
        </w:rPr>
      </w:pPr>
      <w:r>
        <w:rPr>
          <w:rFonts w:ascii="黑体" w:hAnsi="黑体" w:eastAsia="黑体"/>
          <w:b/>
          <w:color w:val="000000"/>
          <w:sz w:val="32"/>
          <w:szCs w:val="32"/>
        </w:rPr>
      </w:r>
      <w:r/>
    </w:p>
    <w:p>
      <w:pPr>
        <w:pStyle w:val="938"/>
        <w:jc w:val="center"/>
        <w:rPr>
          <w:rFonts w:ascii="黑体" w:hAnsi="黑体" w:eastAsia="黑体"/>
          <w:b/>
          <w:color w:val="000000"/>
          <w:sz w:val="32"/>
          <w:szCs w:val="32"/>
        </w:rPr>
      </w:pPr>
      <w:r>
        <w:rPr>
          <w:rFonts w:ascii="黑体" w:hAnsi="黑体" w:eastAsia="黑体"/>
          <w:b/>
          <w:color w:val="000000"/>
          <w:sz w:val="32"/>
          <w:szCs w:val="32"/>
        </w:rPr>
      </w:r>
      <w:r/>
    </w:p>
    <w:p>
      <w:pPr>
        <w:pStyle w:val="938"/>
        <w:jc w:val="center"/>
        <w:rPr>
          <w:rFonts w:ascii="黑体" w:hAnsi="黑体" w:eastAsia="黑体"/>
          <w:b/>
          <w:color w:val="000000"/>
          <w:sz w:val="32"/>
          <w:szCs w:val="32"/>
        </w:rPr>
      </w:pPr>
      <w:r>
        <w:rPr>
          <w:rFonts w:ascii="黑体" w:hAnsi="黑体" w:eastAsia="黑体"/>
          <w:b/>
          <w:color w:val="000000"/>
          <w:sz w:val="32"/>
          <w:szCs w:val="32"/>
        </w:rPr>
      </w:r>
      <w:r/>
    </w:p>
    <w:p>
      <w:pPr>
        <w:pStyle w:val="938"/>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38"/>
        <w:rPr>
          <w:rFonts w:hint="eastAsia" w:ascii="宋体" w:hAnsi="宋体" w:cs="仿宋"/>
          <w:b/>
          <w:bCs/>
          <w:color w:val="000000"/>
          <w:sz w:val="32"/>
          <w:szCs w:val="32"/>
        </w:rPr>
      </w:pPr>
      <w:r/>
      <w:bookmarkEnd w:id="190"/>
      <w:r>
        <w:rPr>
          <w:rFonts w:hint="eastAsia" w:ascii="宋体" w:hAnsi="宋体" w:cs="仿宋"/>
          <w:b/>
          <w:bCs/>
          <w:color w:val="000000"/>
          <w:sz w:val="32"/>
          <w:szCs w:val="32"/>
        </w:rPr>
      </w:r>
      <w:r/>
    </w:p>
    <w:p>
      <w:pPr>
        <w:pStyle w:val="938"/>
        <w:rPr>
          <w:rFonts w:hint="eastAsia" w:ascii="宋体" w:hAnsi="宋体" w:cs="仿宋"/>
          <w:b/>
          <w:bCs/>
          <w:color w:val="000000"/>
          <w:sz w:val="32"/>
          <w:szCs w:val="32"/>
        </w:rPr>
      </w:pPr>
      <w:r>
        <w:rPr>
          <w:rFonts w:hint="eastAsia" w:ascii="宋体" w:hAnsi="宋体" w:cs="仿宋"/>
          <w:b/>
          <w:bCs/>
          <w:color w:val="000000"/>
          <w:sz w:val="32"/>
          <w:szCs w:val="32"/>
        </w:rPr>
      </w:r>
      <w:r/>
    </w:p>
    <w:p>
      <w:pPr>
        <w:pStyle w:val="938"/>
        <w:rPr>
          <w:rFonts w:hint="eastAsia" w:ascii="宋体" w:hAnsi="宋体" w:cs="仿宋"/>
          <w:b/>
          <w:bCs/>
          <w:color w:val="000000"/>
          <w:sz w:val="32"/>
          <w:szCs w:val="32"/>
        </w:rPr>
      </w:pPr>
      <w:r>
        <w:rPr>
          <w:rFonts w:hint="eastAsia" w:ascii="宋体" w:hAnsi="宋体" w:cs="仿宋"/>
          <w:b/>
          <w:bCs/>
          <w:color w:val="000000"/>
          <w:sz w:val="32"/>
          <w:szCs w:val="32"/>
        </w:rPr>
      </w:r>
      <w:r/>
    </w:p>
    <w:p>
      <w:pPr>
        <w:pStyle w:val="938"/>
        <w:rPr>
          <w:rFonts w:hint="eastAsia" w:ascii="宋体" w:hAnsi="宋体" w:cs="仿宋"/>
          <w:b/>
          <w:bCs/>
          <w:color w:val="000000"/>
          <w:sz w:val="32"/>
          <w:szCs w:val="32"/>
        </w:rPr>
      </w:pPr>
      <w:r>
        <w:rPr>
          <w:rFonts w:hint="eastAsia" w:ascii="宋体" w:hAnsi="宋体" w:cs="仿宋"/>
          <w:b/>
          <w:bCs/>
          <w:color w:val="000000"/>
          <w:sz w:val="32"/>
          <w:szCs w:val="32"/>
        </w:rPr>
      </w:r>
      <w:r/>
    </w:p>
    <w:p>
      <w:pPr>
        <w:pStyle w:val="93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38"/>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3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3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3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38"/>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SimSun">
    <w:panose1 w:val="02010600030101010101"/>
  </w:font>
  <w:font w:name="FangSong">
    <w:panose1 w:val="02010609060101010101"/>
  </w:font>
  <w:font w:name="SimHei">
    <w:panose1 w:val="02010609060101010101"/>
  </w:font>
  <w:font w:name="汉仪书宋二S">
    <w:panose1 w:val="020B0503020202020204"/>
  </w:font>
  <w:font w:name="仿宋">
    <w:panose1 w:val="02010609060101010101"/>
  </w:font>
  <w:font w:name="方正楷体_GBK">
    <w:panose1 w:val="020B0503020202020204"/>
  </w:font>
  <w:font w:name="Symbol">
    <w:panose1 w:val="05050102010706020507"/>
  </w:font>
  <w:font w:name="方正仿宋_GBK">
    <w:panose1 w:val="020B0503020202020204"/>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19</w:t>
    </w:r>
    <w:r>
      <w:fldChar w:fldCharType="end"/>
    </w:r>
    <w:r/>
  </w:p>
  <w:p>
    <w:pPr>
      <w:pStyle w:val="99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38"/>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956"/>
      </w:rPr>
      <w:framePr w:wrap="around" w:vAnchor="text" w:hAnchor="margin" w:xAlign="center" w:y="1"/>
    </w:pPr>
    <w:r>
      <w:fldChar w:fldCharType="begin"/>
    </w:r>
    <w:r>
      <w:rPr>
        <w:rStyle w:val="956"/>
      </w:rPr>
      <w:instrText xml:space="preserve">PAGE  </w:instrText>
    </w:r>
    <w:r>
      <w:fldChar w:fldCharType="separate"/>
    </w:r>
    <w:r>
      <w:rPr>
        <w:rStyle w:val="956"/>
      </w:rPr>
      <w:t xml:space="preserve">1</w:t>
    </w:r>
    <w:r>
      <w:fldChar w:fldCharType="end"/>
    </w:r>
    <w:r>
      <w:rPr>
        <w:rStyle w:val="956"/>
      </w:rPr>
    </w:r>
    <w:r/>
  </w:p>
  <w:p>
    <w:pPr>
      <w:pStyle w:val="9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028"/>
      <w:isLgl w:val="false"/>
      <w:suff w:val="tab"/>
      <w:lvlText w:val="附录%1."/>
      <w:lvlJc w:val="left"/>
      <w:pPr>
        <w:pStyle w:val="93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9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9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37"/>
      <w:isLgl w:val="false"/>
      <w:suff w:val="tab"/>
      <w:lvlText w:val="%1."/>
      <w:lvlJc w:val="left"/>
      <w:pPr>
        <w:pStyle w:val="938"/>
        <w:ind w:left="709" w:hanging="709"/>
        <w:tabs>
          <w:tab w:val="num" w:pos="709" w:leader="none"/>
        </w:tabs>
      </w:pPr>
      <w:rPr>
        <w:rFonts w:hint="eastAsia"/>
      </w:rPr>
    </w:lvl>
    <w:lvl w:ilvl="1">
      <w:start w:val="1"/>
      <w:numFmt w:val="decimal"/>
      <w:isLgl w:val="false"/>
      <w:suff w:val="tab"/>
      <w:lvlText w:val="%1.%2"/>
      <w:lvlJc w:val="left"/>
      <w:pPr>
        <w:pStyle w:val="938"/>
        <w:ind w:left="709" w:hanging="709"/>
        <w:tabs>
          <w:tab w:val="num" w:pos="709" w:leader="none"/>
        </w:tabs>
      </w:pPr>
      <w:rPr>
        <w:rFonts w:hint="eastAsia"/>
      </w:rPr>
    </w:lvl>
    <w:lvl w:ilvl="2">
      <w:start w:val="1"/>
      <w:numFmt w:val="decimal"/>
      <w:isLgl w:val="false"/>
      <w:suff w:val="tab"/>
      <w:lvlText w:val="%1.%2.%3."/>
      <w:lvlJc w:val="left"/>
      <w:pPr>
        <w:pStyle w:val="938"/>
        <w:ind w:left="425" w:hanging="425"/>
        <w:tabs>
          <w:tab w:val="num" w:pos="425" w:leader="none"/>
        </w:tabs>
      </w:pPr>
      <w:rPr>
        <w:rFonts w:hint="eastAsia"/>
      </w:rPr>
    </w:lvl>
    <w:lvl w:ilvl="3">
      <w:start w:val="1"/>
      <w:numFmt w:val="decimal"/>
      <w:isLgl w:val="false"/>
      <w:suff w:val="tab"/>
      <w:lvlText w:val="%1.%2.%3.%4."/>
      <w:lvlJc w:val="left"/>
      <w:pPr>
        <w:pStyle w:val="938"/>
        <w:ind w:left="851" w:hanging="851"/>
        <w:tabs>
          <w:tab w:val="num" w:pos="851" w:leader="none"/>
        </w:tabs>
      </w:pPr>
      <w:rPr>
        <w:rFonts w:hint="eastAsia"/>
      </w:rPr>
    </w:lvl>
    <w:lvl w:ilvl="4">
      <w:start w:val="1"/>
      <w:numFmt w:val="decimal"/>
      <w:isLgl w:val="false"/>
      <w:suff w:val="tab"/>
      <w:lvlText w:val="%1.%2.%3.%4.%5."/>
      <w:lvlJc w:val="left"/>
      <w:pPr>
        <w:pStyle w:val="938"/>
        <w:ind w:left="992" w:hanging="992"/>
        <w:tabs>
          <w:tab w:val="num" w:pos="992" w:leader="none"/>
        </w:tabs>
      </w:pPr>
      <w:rPr>
        <w:rFonts w:hint="eastAsia"/>
      </w:rPr>
    </w:lvl>
    <w:lvl w:ilvl="5">
      <w:start w:val="1"/>
      <w:numFmt w:val="decimal"/>
      <w:isLgl w:val="false"/>
      <w:suff w:val="tab"/>
      <w:lvlText w:val="%1.%2.%3.%4.%5.%6."/>
      <w:lvlJc w:val="left"/>
      <w:pPr>
        <w:pStyle w:val="938"/>
        <w:ind w:left="1134" w:hanging="1134"/>
        <w:tabs>
          <w:tab w:val="num" w:pos="1134" w:leader="none"/>
        </w:tabs>
      </w:pPr>
      <w:rPr>
        <w:rFonts w:hint="eastAsia"/>
      </w:rPr>
    </w:lvl>
    <w:lvl w:ilvl="6">
      <w:start w:val="1"/>
      <w:numFmt w:val="decimal"/>
      <w:isLgl w:val="false"/>
      <w:suff w:val="tab"/>
      <w:lvlText w:val="%1.%2.%3.%4.%5.%6.%7."/>
      <w:lvlJc w:val="left"/>
      <w:pPr>
        <w:pStyle w:val="938"/>
        <w:ind w:left="1276" w:hanging="1276"/>
        <w:tabs>
          <w:tab w:val="num" w:pos="1276" w:leader="none"/>
        </w:tabs>
      </w:pPr>
      <w:rPr>
        <w:rFonts w:hint="eastAsia"/>
      </w:rPr>
    </w:lvl>
    <w:lvl w:ilvl="7">
      <w:start w:val="1"/>
      <w:numFmt w:val="decimal"/>
      <w:isLgl w:val="false"/>
      <w:suff w:val="tab"/>
      <w:lvlText w:val="%1.%2.%3.%4.%5.%6.%7.%8."/>
      <w:lvlJc w:val="left"/>
      <w:pPr>
        <w:pStyle w:val="938"/>
        <w:ind w:left="1418" w:hanging="1418"/>
        <w:tabs>
          <w:tab w:val="num" w:pos="1418" w:leader="none"/>
        </w:tabs>
      </w:pPr>
      <w:rPr>
        <w:rFonts w:hint="eastAsia"/>
      </w:rPr>
    </w:lvl>
    <w:lvl w:ilvl="8">
      <w:start w:val="1"/>
      <w:numFmt w:val="decimal"/>
      <w:isLgl w:val="false"/>
      <w:suff w:val="tab"/>
      <w:lvlText w:val="%1.%2.%3.%4.%5.%6.%7.%8.%9."/>
      <w:lvlJc w:val="left"/>
      <w:pPr>
        <w:pStyle w:val="938"/>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93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pStyle w:val="938"/>
        <w:ind w:left="0" w:firstLine="0"/>
      </w:pPr>
      <w:rPr>
        <w:rFonts w:hint="eastAsia"/>
      </w:rPr>
    </w:lvl>
    <w:lvl w:ilvl="1">
      <w:start w:val="1"/>
      <w:numFmt w:val="decimal"/>
      <w:isLgl w:val="false"/>
      <w:suff w:val="nothing"/>
      <w:lvlText w:val="%2、"/>
      <w:lvlJc w:val="left"/>
      <w:pPr>
        <w:pStyle w:val="938"/>
        <w:ind w:left="0" w:firstLine="0"/>
      </w:pPr>
      <w:rPr>
        <w:rFonts w:hint="eastAsia"/>
      </w:rPr>
    </w:lvl>
    <w:lvl w:ilvl="2">
      <w:start w:val="1"/>
      <w:numFmt w:val="decimal"/>
      <w:isLgl w:val="false"/>
      <w:suff w:val="nothing"/>
      <w:lvlText w:val="%2.%3 "/>
      <w:lvlJc w:val="left"/>
      <w:pPr>
        <w:pStyle w:val="938"/>
        <w:ind w:left="0" w:firstLine="0"/>
      </w:pPr>
      <w:rPr>
        <w:rFonts w:hint="eastAsia"/>
      </w:rPr>
    </w:lvl>
    <w:lvl w:ilvl="3">
      <w:start w:val="1"/>
      <w:numFmt w:val="decimal"/>
      <w:isLgl w:val="false"/>
      <w:suff w:val="nothing"/>
      <w:lvlText w:val="%2.%3.%4 "/>
      <w:lvlJc w:val="left"/>
      <w:pPr>
        <w:pStyle w:val="938"/>
        <w:ind w:left="0" w:firstLine="0"/>
      </w:pPr>
      <w:rPr>
        <w:rFonts w:hint="eastAsia"/>
      </w:rPr>
    </w:lvl>
    <w:lvl w:ilvl="4">
      <w:start w:val="1"/>
      <w:numFmt w:val="decimal"/>
      <w:isLgl w:val="false"/>
      <w:suff w:val="nothing"/>
      <w:lvlText w:val="%2.%3.%4.%5 "/>
      <w:lvlJc w:val="left"/>
      <w:pPr>
        <w:pStyle w:val="938"/>
        <w:ind w:left="0" w:firstLine="0"/>
      </w:pPr>
      <w:rPr>
        <w:rFonts w:hint="eastAsia"/>
      </w:rPr>
    </w:lvl>
    <w:lvl w:ilvl="5">
      <w:start w:val="1"/>
      <w:numFmt w:val="decimal"/>
      <w:pStyle w:val="944"/>
      <w:isLgl w:val="false"/>
      <w:suff w:val="nothing"/>
      <w:lvlText w:val=""/>
      <w:lvlJc w:val="left"/>
      <w:pPr>
        <w:pStyle w:val="938"/>
        <w:ind w:left="0" w:firstLine="0"/>
      </w:pPr>
      <w:rPr>
        <w:rFonts w:hint="eastAsia"/>
      </w:rPr>
    </w:lvl>
    <w:lvl w:ilvl="6">
      <w:start w:val="1"/>
      <w:numFmt w:val="decimal"/>
      <w:pStyle w:val="945"/>
      <w:isLgl w:val="false"/>
      <w:suff w:val="nothing"/>
      <w:lvlText w:val=""/>
      <w:lvlJc w:val="left"/>
      <w:pPr>
        <w:pStyle w:val="938"/>
        <w:ind w:left="0" w:firstLine="0"/>
      </w:pPr>
      <w:rPr>
        <w:rFonts w:hint="eastAsia"/>
      </w:rPr>
    </w:lvl>
    <w:lvl w:ilvl="7">
      <w:start w:val="1"/>
      <w:numFmt w:val="decimal"/>
      <w:pStyle w:val="946"/>
      <w:isLgl w:val="false"/>
      <w:suff w:val="nothing"/>
      <w:lvlText w:val=""/>
      <w:lvlJc w:val="left"/>
      <w:pPr>
        <w:pStyle w:val="938"/>
        <w:ind w:left="0" w:firstLine="0"/>
      </w:pPr>
      <w:rPr>
        <w:rFonts w:hint="eastAsia"/>
      </w:rPr>
    </w:lvl>
    <w:lvl w:ilvl="8">
      <w:start w:val="1"/>
      <w:numFmt w:val="decimal"/>
      <w:pStyle w:val="947"/>
      <w:isLgl w:val="false"/>
      <w:suff w:val="nothing"/>
      <w:lvlText w:val=""/>
      <w:lvlJc w:val="left"/>
      <w:pPr>
        <w:pStyle w:val="938"/>
        <w:ind w:left="0" w:firstLine="0"/>
      </w:pPr>
      <w:rPr>
        <w:rFonts w:hint="eastAsia"/>
      </w:rPr>
    </w:lvl>
  </w:abstractNum>
  <w:abstractNum w:abstractNumId="14">
    <w:multiLevelType w:val="hybridMultilevel"/>
    <w:lvl w:ilvl="0">
      <w:start w:val="1"/>
      <w:numFmt w:val="decimal"/>
      <w:isLgl w:val="false"/>
      <w:suff w:val="tab"/>
      <w:lvlText w:val="%1."/>
      <w:lvlJc w:val="left"/>
      <w:pPr>
        <w:pStyle w:val="9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9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1"/>
  </w:num>
  <w:num w:numId="4">
    <w:abstractNumId w:val="15"/>
  </w:num>
  <w:num w:numId="5">
    <w:abstractNumId w:val="3"/>
  </w:num>
  <w:num w:numId="6">
    <w:abstractNumId w:val="7"/>
  </w:num>
  <w:num w:numId="7">
    <w:abstractNumId w:val="5"/>
  </w:num>
  <w:num w:numId="8">
    <w:abstractNumId w:val="4"/>
  </w:num>
  <w:num w:numId="9">
    <w:abstractNumId w:val="2"/>
  </w:num>
  <w:num w:numId="10">
    <w:abstractNumId w:val="6"/>
  </w:num>
  <w:num w:numId="11">
    <w:abstractNumId w:val="10"/>
  </w:num>
  <w:num w:numId="12">
    <w:abstractNumId w:val="14"/>
  </w:num>
  <w:num w:numId="13">
    <w:abstractNumId w:val="9"/>
  </w:num>
  <w:num w:numId="14">
    <w:abstractNumId w:val="0"/>
  </w:num>
  <w:num w:numId="15">
    <w:abstractNumId w:val="1"/>
  </w:num>
  <w:num w:numId="16">
    <w:abstractNumId w:val="12"/>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basedOn w:val="938"/>
    <w:next w:val="938"/>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basedOn w:val="938"/>
    <w:next w:val="938"/>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basedOn w:val="938"/>
    <w:next w:val="938"/>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basedOn w:val="938"/>
    <w:next w:val="938"/>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basedOn w:val="938"/>
    <w:next w:val="938"/>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basedOn w:val="938"/>
    <w:next w:val="938"/>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basedOn w:val="938"/>
    <w:next w:val="938"/>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basedOn w:val="938"/>
    <w:next w:val="93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basedOn w:val="938"/>
    <w:next w:val="938"/>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List Paragraph"/>
    <w:basedOn w:val="938"/>
    <w:uiPriority w:val="34"/>
    <w:qFormat/>
    <w:pPr>
      <w:contextualSpacing/>
      <w:ind w:left="720"/>
    </w:pPr>
  </w:style>
  <w:style w:type="paragraph" w:styleId="779">
    <w:name w:val="No Spacing"/>
    <w:uiPriority w:val="1"/>
    <w:qFormat/>
    <w:pPr>
      <w:spacing w:before="0" w:after="0" w:line="240" w:lineRule="auto"/>
    </w:pPr>
  </w:style>
  <w:style w:type="paragraph" w:styleId="780">
    <w:name w:val="Title"/>
    <w:basedOn w:val="938"/>
    <w:next w:val="938"/>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basedOn w:val="938"/>
    <w:next w:val="938"/>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basedOn w:val="938"/>
    <w:next w:val="938"/>
    <w:link w:val="785"/>
    <w:uiPriority w:val="29"/>
    <w:qFormat/>
    <w:pPr>
      <w:ind w:left="720" w:right="720"/>
    </w:pPr>
    <w:rPr>
      <w:i/>
    </w:rPr>
  </w:style>
  <w:style w:type="character" w:styleId="785">
    <w:name w:val="Quote Char"/>
    <w:link w:val="784"/>
    <w:uiPriority w:val="29"/>
    <w:rPr>
      <w:i/>
    </w:rPr>
  </w:style>
  <w:style w:type="paragraph" w:styleId="786">
    <w:name w:val="Intense Quote"/>
    <w:basedOn w:val="938"/>
    <w:next w:val="9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basedOn w:val="938"/>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basedOn w:val="938"/>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basedOn w:val="938"/>
    <w:next w:val="938"/>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38"/>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38"/>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8"/>
    <w:next w:val="938"/>
    <w:uiPriority w:val="39"/>
    <w:unhideWhenUsed/>
    <w:pPr>
      <w:ind w:left="0" w:right="0" w:firstLine="0"/>
      <w:spacing w:after="57"/>
    </w:pPr>
  </w:style>
  <w:style w:type="paragraph" w:styleId="928">
    <w:name w:val="toc 2"/>
    <w:basedOn w:val="938"/>
    <w:next w:val="938"/>
    <w:uiPriority w:val="39"/>
    <w:unhideWhenUsed/>
    <w:pPr>
      <w:ind w:left="283" w:right="0" w:firstLine="0"/>
      <w:spacing w:after="57"/>
    </w:pPr>
  </w:style>
  <w:style w:type="paragraph" w:styleId="929">
    <w:name w:val="toc 3"/>
    <w:basedOn w:val="938"/>
    <w:next w:val="938"/>
    <w:uiPriority w:val="39"/>
    <w:unhideWhenUsed/>
    <w:pPr>
      <w:ind w:left="567" w:right="0" w:firstLine="0"/>
      <w:spacing w:after="57"/>
    </w:pPr>
  </w:style>
  <w:style w:type="paragraph" w:styleId="930">
    <w:name w:val="toc 4"/>
    <w:basedOn w:val="938"/>
    <w:next w:val="938"/>
    <w:uiPriority w:val="39"/>
    <w:unhideWhenUsed/>
    <w:pPr>
      <w:ind w:left="850" w:right="0" w:firstLine="0"/>
      <w:spacing w:after="57"/>
    </w:pPr>
  </w:style>
  <w:style w:type="paragraph" w:styleId="931">
    <w:name w:val="toc 5"/>
    <w:basedOn w:val="938"/>
    <w:next w:val="938"/>
    <w:uiPriority w:val="39"/>
    <w:unhideWhenUsed/>
    <w:pPr>
      <w:ind w:left="1134" w:right="0" w:firstLine="0"/>
      <w:spacing w:after="57"/>
    </w:pPr>
  </w:style>
  <w:style w:type="paragraph" w:styleId="932">
    <w:name w:val="toc 6"/>
    <w:basedOn w:val="938"/>
    <w:next w:val="938"/>
    <w:uiPriority w:val="39"/>
    <w:unhideWhenUsed/>
    <w:pPr>
      <w:ind w:left="1417" w:right="0" w:firstLine="0"/>
      <w:spacing w:after="57"/>
    </w:pPr>
  </w:style>
  <w:style w:type="paragraph" w:styleId="933">
    <w:name w:val="toc 7"/>
    <w:basedOn w:val="938"/>
    <w:next w:val="938"/>
    <w:uiPriority w:val="39"/>
    <w:unhideWhenUsed/>
    <w:pPr>
      <w:ind w:left="1701" w:right="0" w:firstLine="0"/>
      <w:spacing w:after="57"/>
    </w:pPr>
  </w:style>
  <w:style w:type="paragraph" w:styleId="934">
    <w:name w:val="toc 8"/>
    <w:basedOn w:val="938"/>
    <w:next w:val="938"/>
    <w:uiPriority w:val="39"/>
    <w:unhideWhenUsed/>
    <w:pPr>
      <w:ind w:left="1984" w:right="0" w:firstLine="0"/>
      <w:spacing w:after="57"/>
    </w:pPr>
  </w:style>
  <w:style w:type="paragraph" w:styleId="935">
    <w:name w:val="toc 9"/>
    <w:basedOn w:val="938"/>
    <w:next w:val="938"/>
    <w:uiPriority w:val="39"/>
    <w:unhideWhenUsed/>
    <w:pPr>
      <w:ind w:left="2268" w:right="0" w:firstLine="0"/>
      <w:spacing w:after="57"/>
    </w:p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sz w:val="21"/>
      <w:szCs w:val="22"/>
      <w:lang w:val="en-US" w:eastAsia="zh-CN" w:bidi="ar-SA"/>
    </w:rPr>
  </w:style>
  <w:style w:type="paragraph" w:styleId="939">
    <w:name w:val="标题 1"/>
    <w:basedOn w:val="938"/>
    <w:next w:val="938"/>
    <w:link w:val="978"/>
    <w:qFormat/>
    <w:pPr>
      <w:jc w:val="center"/>
      <w:keepNext/>
      <w:outlineLvl w:val="0"/>
    </w:pPr>
    <w:rPr>
      <w:rFonts w:ascii="楷体_GB2312" w:hAnsi="Times New Roman" w:eastAsia="楷体_GB2312" w:cs="Times New Roman"/>
      <w:sz w:val="28"/>
      <w:szCs w:val="28"/>
    </w:rPr>
  </w:style>
  <w:style w:type="paragraph" w:styleId="940">
    <w:name w:val="标题 2"/>
    <w:basedOn w:val="938"/>
    <w:next w:val="1001"/>
    <w:link w:val="953"/>
    <w:qFormat/>
    <w:pPr>
      <w:jc w:val="center"/>
      <w:keepLines/>
      <w:keepNext/>
      <w:spacing w:before="260" w:after="260" w:line="416" w:lineRule="auto"/>
      <w:outlineLvl w:val="1"/>
    </w:pPr>
    <w:rPr>
      <w:rFonts w:ascii="Arial" w:hAnsi="Arial" w:eastAsia="幼圆" w:cs="Arial"/>
      <w:b/>
      <w:bCs/>
      <w:sz w:val="44"/>
      <w:szCs w:val="44"/>
    </w:rPr>
  </w:style>
  <w:style w:type="paragraph" w:styleId="941">
    <w:name w:val="标题 3"/>
    <w:basedOn w:val="938"/>
    <w:next w:val="1001"/>
    <w:link w:val="979"/>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2">
    <w:name w:val="标题 4"/>
    <w:basedOn w:val="938"/>
    <w:next w:val="1001"/>
    <w:link w:val="962"/>
    <w:qFormat/>
    <w:pPr>
      <w:keepLines/>
      <w:keepNext/>
      <w:spacing w:before="280" w:after="290" w:line="376" w:lineRule="auto"/>
      <w:outlineLvl w:val="3"/>
    </w:pPr>
    <w:rPr>
      <w:rFonts w:ascii="Arial" w:hAnsi="Arial" w:eastAsia="黑体" w:cs="Arial"/>
      <w:b/>
      <w:bCs/>
      <w:sz w:val="28"/>
      <w:szCs w:val="28"/>
    </w:rPr>
  </w:style>
  <w:style w:type="paragraph" w:styleId="943">
    <w:name w:val="标题 5"/>
    <w:basedOn w:val="938"/>
    <w:next w:val="1001"/>
    <w:link w:val="957"/>
    <w:qFormat/>
    <w:pPr>
      <w:keepNext/>
      <w:outlineLvl w:val="4"/>
    </w:pPr>
    <w:rPr>
      <w:rFonts w:ascii="宋体" w:hAnsi="Times New Roman" w:eastAsia="宋体" w:cs="Times New Roman"/>
      <w:color w:val="000000"/>
      <w:sz w:val="28"/>
      <w:szCs w:val="28"/>
    </w:rPr>
  </w:style>
  <w:style w:type="paragraph" w:styleId="944">
    <w:name w:val="标题 6"/>
    <w:basedOn w:val="938"/>
    <w:next w:val="938"/>
    <w:link w:val="98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5">
    <w:name w:val="标题 7"/>
    <w:basedOn w:val="938"/>
    <w:next w:val="938"/>
    <w:link w:val="96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6">
    <w:name w:val="标题 8"/>
    <w:basedOn w:val="938"/>
    <w:next w:val="938"/>
    <w:link w:val="95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7">
    <w:name w:val="标题 9"/>
    <w:basedOn w:val="938"/>
    <w:next w:val="938"/>
    <w:link w:val="961"/>
    <w:qFormat/>
    <w:pPr>
      <w:numPr>
        <w:ilvl w:val="8"/>
        <w:numId w:val="1"/>
      </w:numPr>
      <w:keepLines/>
      <w:keepNext/>
      <w:spacing w:before="240" w:after="64" w:line="320" w:lineRule="auto"/>
      <w:outlineLvl w:val="8"/>
    </w:pPr>
    <w:rPr>
      <w:rFonts w:ascii="Arial" w:hAnsi="Arial" w:eastAsia="黑体" w:cs="Times New Roman"/>
      <w:szCs w:val="21"/>
    </w:rPr>
  </w:style>
  <w:style w:type="character" w:styleId="948">
    <w:name w:val="默认段落字体"/>
    <w:next w:val="948"/>
    <w:link w:val="938"/>
    <w:uiPriority w:val="1"/>
    <w:unhideWhenUsed/>
  </w:style>
  <w:style w:type="table" w:styleId="949">
    <w:name w:val="普通表格"/>
    <w:next w:val="949"/>
    <w:link w:val="938"/>
    <w:uiPriority w:val="99"/>
    <w:unhideWhenUsed/>
    <w:tblPr/>
  </w:style>
  <w:style w:type="character" w:styleId="950">
    <w:name w:val="正文文本缩进 2 Char"/>
    <w:next w:val="950"/>
    <w:link w:val="1017"/>
    <w:rPr>
      <w:rFonts w:ascii="Arial" w:hAnsi="Arial" w:eastAsia="仿宋_GB2312" w:cs="Arial"/>
      <w:sz w:val="32"/>
      <w:szCs w:val="32"/>
    </w:rPr>
  </w:style>
  <w:style w:type="character" w:styleId="951">
    <w:name w:val="标题 8 Char"/>
    <w:next w:val="951"/>
    <w:link w:val="946"/>
    <w:rPr>
      <w:rFonts w:ascii="Arial" w:hAnsi="Arial" w:eastAsia="黑体" w:cs="Times New Roman"/>
      <w:sz w:val="24"/>
      <w:szCs w:val="24"/>
    </w:rPr>
  </w:style>
  <w:style w:type="character" w:styleId="952">
    <w:name w:val="要点"/>
    <w:basedOn w:val="948"/>
    <w:next w:val="952"/>
    <w:link w:val="938"/>
    <w:qFormat/>
    <w:rPr>
      <w:b/>
      <w:bCs/>
    </w:rPr>
  </w:style>
  <w:style w:type="character" w:styleId="953">
    <w:name w:val="标题 2 Char"/>
    <w:next w:val="953"/>
    <w:link w:val="940"/>
    <w:rPr>
      <w:rFonts w:ascii="Arial" w:hAnsi="Arial" w:eastAsia="幼圆" w:cs="Arial"/>
      <w:b/>
      <w:bCs/>
      <w:sz w:val="44"/>
      <w:szCs w:val="44"/>
    </w:rPr>
  </w:style>
  <w:style w:type="character" w:styleId="954">
    <w:name w:val="批注引用"/>
    <w:next w:val="954"/>
    <w:link w:val="938"/>
    <w:semiHidden/>
    <w:rPr>
      <w:sz w:val="21"/>
      <w:szCs w:val="21"/>
    </w:rPr>
  </w:style>
  <w:style w:type="character" w:styleId="955">
    <w:name w:val="已访问的超链接"/>
    <w:next w:val="955"/>
    <w:link w:val="938"/>
    <w:rPr>
      <w:color w:val="800080"/>
      <w:u w:val="single"/>
    </w:rPr>
  </w:style>
  <w:style w:type="character" w:styleId="956">
    <w:name w:val="页码"/>
    <w:next w:val="956"/>
    <w:link w:val="938"/>
  </w:style>
  <w:style w:type="character" w:styleId="957">
    <w:name w:val="标题 5 Char"/>
    <w:next w:val="957"/>
    <w:link w:val="943"/>
    <w:rPr>
      <w:rFonts w:ascii="宋体" w:hAnsi="Times New Roman" w:eastAsia="宋体" w:cs="Times New Roman"/>
      <w:color w:val="000000"/>
      <w:sz w:val="28"/>
      <w:szCs w:val="28"/>
    </w:rPr>
  </w:style>
  <w:style w:type="character" w:styleId="958">
    <w:name w:val="强调"/>
    <w:basedOn w:val="948"/>
    <w:next w:val="958"/>
    <w:link w:val="938"/>
    <w:qFormat/>
    <w:rPr>
      <w:i/>
    </w:rPr>
  </w:style>
  <w:style w:type="character" w:styleId="959">
    <w:name w:val="超链接"/>
    <w:next w:val="959"/>
    <w:link w:val="938"/>
    <w:rPr>
      <w:color w:val="0000ff"/>
      <w:u w:val="single"/>
    </w:rPr>
  </w:style>
  <w:style w:type="character" w:styleId="960">
    <w:name w:val="列出段落 Char,Bullet List Char,numbered Char,FooterText Char,List Paragraph1 Char,Paragraphe de liste1 Char"/>
    <w:next w:val="960"/>
    <w:link w:val="1032"/>
    <w:rPr>
      <w:rFonts w:ascii="Calibri" w:hAnsi="Calibri"/>
      <w:sz w:val="24"/>
      <w:szCs w:val="24"/>
      <w:lang w:eastAsia="en-US" w:bidi="en-US"/>
    </w:rPr>
  </w:style>
  <w:style w:type="character" w:styleId="961">
    <w:name w:val="标题 9 Char"/>
    <w:next w:val="961"/>
    <w:link w:val="947"/>
    <w:rPr>
      <w:rFonts w:ascii="Arial" w:hAnsi="Arial" w:eastAsia="黑体" w:cs="Times New Roman"/>
      <w:szCs w:val="21"/>
    </w:rPr>
  </w:style>
  <w:style w:type="character" w:styleId="962">
    <w:name w:val="标题 4 Char"/>
    <w:next w:val="962"/>
    <w:link w:val="942"/>
    <w:rPr>
      <w:rFonts w:ascii="Arial" w:hAnsi="Arial" w:eastAsia="黑体" w:cs="Arial"/>
      <w:b/>
      <w:bCs/>
      <w:sz w:val="28"/>
      <w:szCs w:val="28"/>
    </w:rPr>
  </w:style>
  <w:style w:type="character" w:styleId="963">
    <w:name w:val="标题 7 Char"/>
    <w:next w:val="963"/>
    <w:link w:val="945"/>
    <w:rPr>
      <w:rFonts w:ascii="Times New Roman" w:hAnsi="Times New Roman" w:eastAsia="宋体" w:cs="Times New Roman"/>
      <w:b/>
      <w:bCs/>
      <w:sz w:val="24"/>
      <w:szCs w:val="24"/>
    </w:rPr>
  </w:style>
  <w:style w:type="character" w:styleId="964">
    <w:name w:val="批注文字 Char"/>
    <w:next w:val="964"/>
    <w:link w:val="995"/>
    <w:uiPriority w:val="99"/>
    <w:semiHidden/>
  </w:style>
  <w:style w:type="character" w:styleId="965">
    <w:name w:val="正文文本 Char"/>
    <w:next w:val="965"/>
    <w:link w:val="1012"/>
    <w:rPr>
      <w:rFonts w:ascii="楷体_GB2312" w:hAnsi="Arial" w:eastAsia="楷体_GB2312" w:cs="Times New Roman"/>
      <w:sz w:val="28"/>
      <w:szCs w:val="28"/>
    </w:rPr>
  </w:style>
  <w:style w:type="character" w:styleId="966">
    <w:name w:val="正文文本缩进 Char"/>
    <w:next w:val="966"/>
    <w:link w:val="998"/>
    <w:uiPriority w:val="99"/>
    <w:semiHidden/>
  </w:style>
  <w:style w:type="character" w:styleId="967">
    <w:name w:val="正文缩进 Char"/>
    <w:next w:val="967"/>
    <w:link w:val="1001"/>
    <w:rPr>
      <w:szCs w:val="21"/>
    </w:rPr>
  </w:style>
  <w:style w:type="character" w:styleId="968">
    <w:name w:val="批注框文本 Char"/>
    <w:next w:val="968"/>
    <w:link w:val="1004"/>
    <w:semiHidden/>
    <w:rPr>
      <w:rFonts w:ascii="Times New Roman" w:hAnsi="Times New Roman" w:eastAsia="宋体" w:cs="Times New Roman"/>
      <w:sz w:val="18"/>
      <w:szCs w:val="18"/>
    </w:rPr>
  </w:style>
  <w:style w:type="character" w:styleId="969">
    <w:name w:val="正文文本 3 Char"/>
    <w:next w:val="969"/>
    <w:link w:val="1006"/>
    <w:rPr>
      <w:rFonts w:ascii="仿宋_GB2312" w:hAnsi="Arial" w:eastAsia="仿宋_GB2312" w:cs="Times New Roman"/>
      <w:sz w:val="32"/>
      <w:szCs w:val="32"/>
    </w:rPr>
  </w:style>
  <w:style w:type="character" w:styleId="970">
    <w:name w:val="正文文本 2 Char"/>
    <w:next w:val="970"/>
    <w:link w:val="999"/>
    <w:rPr>
      <w:rFonts w:ascii="楷体_GB2312" w:hAnsi="Times New Roman" w:eastAsia="楷体_GB2312" w:cs="Times New Roman"/>
      <w:sz w:val="28"/>
      <w:szCs w:val="28"/>
    </w:rPr>
  </w:style>
  <w:style w:type="character" w:styleId="971">
    <w:name w:val="font5 Char"/>
    <w:next w:val="971"/>
    <w:link w:val="938"/>
    <w:rPr>
      <w:rFonts w:ascii="宋体" w:hAnsi="宋体" w:eastAsia="宋体"/>
      <w:sz w:val="28"/>
      <w:szCs w:val="28"/>
      <w:lang w:val="en-US" w:eastAsia="zh-CN" w:bidi="ar-SA"/>
    </w:rPr>
  </w:style>
  <w:style w:type="character" w:styleId="972">
    <w:name w:val="二级目录 Char"/>
    <w:next w:val="972"/>
    <w:link w:val="1029"/>
    <w:rPr>
      <w:b/>
      <w:sz w:val="30"/>
      <w:szCs w:val="28"/>
    </w:rPr>
  </w:style>
  <w:style w:type="character" w:styleId="973">
    <w:name w:val="font31"/>
    <w:basedOn w:val="948"/>
    <w:next w:val="973"/>
    <w:link w:val="938"/>
    <w:qFormat/>
    <w:rPr>
      <w:rFonts w:hint="eastAsia" w:ascii="宋体" w:hAnsi="宋体" w:eastAsia="宋体" w:cs="宋体"/>
      <w:color w:val="ff0000"/>
      <w:sz w:val="20"/>
      <w:szCs w:val="20"/>
      <w:u w:val="none"/>
    </w:rPr>
  </w:style>
  <w:style w:type="character" w:styleId="974">
    <w:name w:val="页脚 Char"/>
    <w:next w:val="974"/>
    <w:link w:val="990"/>
    <w:uiPriority w:val="99"/>
    <w:rPr>
      <w:rFonts w:ascii="Times New Roman" w:hAnsi="Times New Roman" w:eastAsia="宋体" w:cs="Times New Roman"/>
      <w:sz w:val="18"/>
      <w:szCs w:val="18"/>
    </w:rPr>
  </w:style>
  <w:style w:type="character" w:styleId="975">
    <w:name w:val="正文文本缩进 3 Char"/>
    <w:next w:val="975"/>
    <w:link w:val="992"/>
    <w:rPr>
      <w:rFonts w:ascii="Arial" w:hAnsi="Arial" w:eastAsia="仿宋_GB2312" w:cs="Arial"/>
      <w:color w:val="ffff00"/>
      <w:sz w:val="32"/>
      <w:szCs w:val="32"/>
    </w:rPr>
  </w:style>
  <w:style w:type="character" w:styleId="976">
    <w:name w:val="font21"/>
    <w:basedOn w:val="948"/>
    <w:next w:val="976"/>
    <w:link w:val="938"/>
    <w:qFormat/>
    <w:rPr>
      <w:rFonts w:hint="eastAsia" w:ascii="宋体" w:hAnsi="宋体" w:eastAsia="宋体" w:cs="宋体"/>
      <w:color w:val="000000"/>
      <w:sz w:val="24"/>
      <w:szCs w:val="24"/>
      <w:u w:val="none"/>
    </w:rPr>
  </w:style>
  <w:style w:type="character" w:styleId="977">
    <w:name w:val="页眉 Char"/>
    <w:next w:val="977"/>
    <w:link w:val="1011"/>
    <w:rPr>
      <w:rFonts w:ascii="Times New Roman" w:hAnsi="Times New Roman" w:eastAsia="宋体" w:cs="Times New Roman"/>
      <w:sz w:val="18"/>
      <w:szCs w:val="18"/>
    </w:rPr>
  </w:style>
  <w:style w:type="character" w:styleId="978">
    <w:name w:val="标题 1 Char"/>
    <w:next w:val="978"/>
    <w:link w:val="939"/>
    <w:rPr>
      <w:rFonts w:ascii="楷体_GB2312" w:hAnsi="Times New Roman" w:eastAsia="楷体_GB2312" w:cs="Times New Roman"/>
      <w:sz w:val="28"/>
      <w:szCs w:val="28"/>
    </w:rPr>
  </w:style>
  <w:style w:type="character" w:styleId="979">
    <w:name w:val="标题 3 Char"/>
    <w:next w:val="979"/>
    <w:link w:val="941"/>
    <w:rPr>
      <w:rFonts w:ascii="Times New Roman" w:hAnsi="Times New Roman" w:eastAsia="宋体" w:cs="Times New Roman"/>
      <w:b/>
      <w:bCs/>
      <w:sz w:val="32"/>
      <w:szCs w:val="32"/>
    </w:rPr>
  </w:style>
  <w:style w:type="character" w:styleId="980">
    <w:name w:val="标题 6 Char"/>
    <w:next w:val="980"/>
    <w:link w:val="944"/>
    <w:rPr>
      <w:rFonts w:ascii="Arial" w:hAnsi="Arial" w:eastAsia="黑体" w:cs="Times New Roman"/>
      <w:b/>
      <w:bCs/>
      <w:sz w:val="24"/>
      <w:szCs w:val="24"/>
    </w:rPr>
  </w:style>
  <w:style w:type="character" w:styleId="981">
    <w:name w:val="文档结构图 Char"/>
    <w:next w:val="981"/>
    <w:link w:val="996"/>
    <w:semiHidden/>
    <w:rPr>
      <w:rFonts w:ascii="Times New Roman" w:hAnsi="Times New Roman" w:eastAsia="宋体" w:cs="Times New Roman"/>
      <w:szCs w:val="21"/>
      <w:shd w:val="clear" w:color="auto" w:fill="000080"/>
    </w:rPr>
  </w:style>
  <w:style w:type="character" w:styleId="982">
    <w:name w:val="纯文本 Char"/>
    <w:next w:val="982"/>
    <w:link w:val="991"/>
    <w:rPr>
      <w:rFonts w:ascii="宋体" w:hAnsi="Courier New" w:eastAsia="宋体" w:cs="Courier New"/>
      <w:szCs w:val="21"/>
    </w:rPr>
  </w:style>
  <w:style w:type="character" w:styleId="983">
    <w:name w:val="日期 Char"/>
    <w:next w:val="983"/>
    <w:link w:val="994"/>
    <w:rPr>
      <w:rFonts w:ascii="Times New Roman" w:hAnsi="Times New Roman" w:eastAsia="宋体" w:cs="Times New Roman"/>
      <w:sz w:val="24"/>
      <w:szCs w:val="24"/>
    </w:rPr>
  </w:style>
  <w:style w:type="character" w:styleId="984">
    <w:name w:val="批注主题 Char"/>
    <w:next w:val="984"/>
    <w:link w:val="997"/>
    <w:semiHidden/>
    <w:rPr>
      <w:rFonts w:ascii="Times New Roman" w:hAnsi="Times New Roman" w:eastAsia="宋体" w:cs="Times New Roman"/>
      <w:b/>
      <w:bCs/>
      <w:szCs w:val="21"/>
    </w:rPr>
  </w:style>
  <w:style w:type="character" w:styleId="985">
    <w:name w:val="正文首行缩进 Char"/>
    <w:next w:val="985"/>
    <w:link w:val="1013"/>
    <w:rPr>
      <w:rFonts w:ascii="仿宋_GB2312" w:hAnsi="Times New Roman" w:eastAsia="仿宋_GB2312" w:cs="Times New Roman"/>
      <w:sz w:val="30"/>
      <w:szCs w:val="30"/>
    </w:rPr>
  </w:style>
  <w:style w:type="character" w:styleId="986">
    <w:name w:val="正文首行缩进 2 Char"/>
    <w:next w:val="986"/>
    <w:link w:val="1018"/>
    <w:rPr>
      <w:rFonts w:ascii="宋体" w:hAnsi="宋体" w:eastAsia="宋体" w:cs="Times New Roman"/>
      <w:szCs w:val="20"/>
    </w:rPr>
  </w:style>
  <w:style w:type="character" w:styleId="987">
    <w:name w:val="font11"/>
    <w:basedOn w:val="948"/>
    <w:next w:val="987"/>
    <w:link w:val="938"/>
    <w:qFormat/>
    <w:rPr>
      <w:rFonts w:hint="eastAsia" w:ascii="宋体" w:hAnsi="宋体" w:eastAsia="宋体" w:cs="宋体"/>
      <w:color w:val="000000"/>
      <w:sz w:val="20"/>
      <w:szCs w:val="20"/>
      <w:u w:val="none"/>
    </w:rPr>
  </w:style>
  <w:style w:type="character" w:styleId="988">
    <w:name w:val="font41"/>
    <w:basedOn w:val="948"/>
    <w:next w:val="988"/>
    <w:link w:val="938"/>
    <w:qFormat/>
    <w:rPr>
      <w:rFonts w:hint="eastAsia" w:ascii="宋体" w:hAnsi="宋体" w:eastAsia="宋体" w:cs="宋体"/>
      <w:color w:val="000000"/>
      <w:sz w:val="13"/>
      <w:szCs w:val="13"/>
      <w:u w:val="none"/>
    </w:rPr>
  </w:style>
  <w:style w:type="paragraph" w:styleId="989">
    <w:name w:val="图表目录"/>
    <w:basedOn w:val="938"/>
    <w:next w:val="938"/>
    <w:link w:val="938"/>
    <w:semiHidden/>
    <w:pPr>
      <w:ind w:left="840" w:hanging="420"/>
    </w:pPr>
    <w:rPr>
      <w:rFonts w:ascii="Times New Roman" w:hAnsi="Times New Roman" w:eastAsia="宋体" w:cs="Times New Roman"/>
      <w:szCs w:val="21"/>
    </w:rPr>
  </w:style>
  <w:style w:type="paragraph" w:styleId="990">
    <w:name w:val="页脚"/>
    <w:basedOn w:val="938"/>
    <w:next w:val="990"/>
    <w:link w:val="974"/>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91">
    <w:name w:val="纯文本"/>
    <w:basedOn w:val="938"/>
    <w:next w:val="991"/>
    <w:link w:val="982"/>
    <w:qFormat/>
    <w:rPr>
      <w:rFonts w:ascii="宋体" w:hAnsi="Courier New" w:eastAsia="宋体" w:cs="Courier New"/>
      <w:szCs w:val="21"/>
    </w:rPr>
  </w:style>
  <w:style w:type="paragraph" w:styleId="992">
    <w:name w:val="正文文本缩进 3"/>
    <w:basedOn w:val="938"/>
    <w:next w:val="992"/>
    <w:link w:val="975"/>
    <w:pPr>
      <w:ind w:left="645" w:firstLine="645"/>
    </w:pPr>
    <w:rPr>
      <w:rFonts w:ascii="Arial" w:hAnsi="Arial" w:eastAsia="仿宋_GB2312" w:cs="Arial"/>
      <w:color w:val="ffff00"/>
      <w:sz w:val="32"/>
      <w:szCs w:val="32"/>
    </w:rPr>
  </w:style>
  <w:style w:type="paragraph" w:styleId="993">
    <w:name w:val="列表 3"/>
    <w:basedOn w:val="938"/>
    <w:next w:val="993"/>
    <w:link w:val="938"/>
    <w:pPr>
      <w:ind w:left="100" w:hanging="200"/>
    </w:pPr>
    <w:rPr>
      <w:rFonts w:ascii="Times New Roman" w:hAnsi="Times New Roman" w:eastAsia="宋体" w:cs="Times New Roman"/>
      <w:szCs w:val="21"/>
    </w:rPr>
  </w:style>
  <w:style w:type="paragraph" w:styleId="994">
    <w:name w:val="日期"/>
    <w:basedOn w:val="938"/>
    <w:next w:val="938"/>
    <w:link w:val="983"/>
    <w:rPr>
      <w:rFonts w:ascii="Times New Roman" w:hAnsi="Times New Roman" w:eastAsia="宋体" w:cs="Times New Roman"/>
      <w:sz w:val="24"/>
      <w:szCs w:val="24"/>
    </w:rPr>
  </w:style>
  <w:style w:type="paragraph" w:styleId="995">
    <w:name w:val="批注文字"/>
    <w:basedOn w:val="938"/>
    <w:next w:val="995"/>
    <w:link w:val="964"/>
    <w:unhideWhenUsed/>
    <w:pPr>
      <w:jc w:val="left"/>
    </w:pPr>
  </w:style>
  <w:style w:type="paragraph" w:styleId="996">
    <w:name w:val="文档结构图"/>
    <w:basedOn w:val="938"/>
    <w:next w:val="996"/>
    <w:link w:val="981"/>
    <w:semiHidden/>
    <w:pPr>
      <w:shd w:val="clear" w:color="auto" w:fill="000080"/>
    </w:pPr>
    <w:rPr>
      <w:rFonts w:ascii="Times New Roman" w:hAnsi="Times New Roman" w:eastAsia="宋体" w:cs="Times New Roman"/>
      <w:szCs w:val="21"/>
    </w:rPr>
  </w:style>
  <w:style w:type="paragraph" w:styleId="997">
    <w:name w:val="批注主题"/>
    <w:basedOn w:val="995"/>
    <w:next w:val="995"/>
    <w:link w:val="984"/>
    <w:semiHidden/>
    <w:rPr>
      <w:rFonts w:ascii="Times New Roman" w:hAnsi="Times New Roman" w:eastAsia="宋体" w:cs="Times New Roman"/>
      <w:b/>
      <w:bCs/>
      <w:szCs w:val="21"/>
    </w:rPr>
  </w:style>
  <w:style w:type="paragraph" w:styleId="998">
    <w:name w:val="正文文本缩进"/>
    <w:basedOn w:val="938"/>
    <w:next w:val="998"/>
    <w:link w:val="966"/>
    <w:unhideWhenUsed/>
    <w:pPr>
      <w:ind w:left="420"/>
      <w:spacing w:after="120"/>
    </w:pPr>
  </w:style>
  <w:style w:type="paragraph" w:styleId="999">
    <w:name w:val="正文文本 2"/>
    <w:basedOn w:val="938"/>
    <w:next w:val="999"/>
    <w:link w:val="970"/>
    <w:pPr>
      <w:jc w:val="center"/>
      <w:widowControl/>
    </w:pPr>
    <w:rPr>
      <w:rFonts w:ascii="楷体_GB2312" w:hAnsi="Times New Roman" w:eastAsia="楷体_GB2312" w:cs="Times New Roman"/>
      <w:sz w:val="28"/>
      <w:szCs w:val="28"/>
    </w:rPr>
  </w:style>
  <w:style w:type="paragraph" w:styleId="1000">
    <w:name w:val="目录 6"/>
    <w:basedOn w:val="938"/>
    <w:next w:val="938"/>
    <w:link w:val="938"/>
    <w:semiHidden/>
    <w:pPr>
      <w:ind w:left="1050"/>
      <w:jc w:val="left"/>
    </w:pPr>
    <w:rPr>
      <w:rFonts w:ascii="Times New Roman" w:hAnsi="Times New Roman" w:eastAsia="宋体" w:cs="Times New Roman"/>
      <w:szCs w:val="21"/>
    </w:rPr>
  </w:style>
  <w:style w:type="paragraph" w:styleId="1001">
    <w:name w:val="正文缩进"/>
    <w:basedOn w:val="938"/>
    <w:next w:val="1001"/>
    <w:link w:val="967"/>
    <w:pPr>
      <w:ind w:firstLine="420"/>
    </w:pPr>
    <w:rPr>
      <w:szCs w:val="21"/>
    </w:rPr>
  </w:style>
  <w:style w:type="paragraph" w:styleId="1002">
    <w:name w:val="索引 1"/>
    <w:basedOn w:val="938"/>
    <w:next w:val="938"/>
    <w:link w:val="938"/>
    <w:semiHidden/>
    <w:pPr>
      <w:spacing w:line="240" w:lineRule="atLeast"/>
    </w:pPr>
    <w:rPr>
      <w:rFonts w:ascii="Times New Roman" w:hAnsi="Times New Roman" w:eastAsia="宋体" w:cs="Times New Roman"/>
      <w:b/>
      <w:bCs/>
      <w:szCs w:val="21"/>
    </w:rPr>
  </w:style>
  <w:style w:type="paragraph" w:styleId="1003">
    <w:name w:val="目录 2"/>
    <w:basedOn w:val="938"/>
    <w:next w:val="938"/>
    <w:link w:val="938"/>
    <w:semiHidden/>
    <w:pPr>
      <w:ind w:left="210"/>
      <w:jc w:val="left"/>
    </w:pPr>
    <w:rPr>
      <w:rFonts w:ascii="Times New Roman" w:hAnsi="Times New Roman" w:eastAsia="宋体" w:cs="Times New Roman"/>
      <w:smallCaps/>
      <w:szCs w:val="24"/>
    </w:rPr>
  </w:style>
  <w:style w:type="paragraph" w:styleId="1004">
    <w:name w:val="批注框文本"/>
    <w:basedOn w:val="938"/>
    <w:next w:val="1004"/>
    <w:link w:val="968"/>
    <w:semiHidden/>
    <w:rPr>
      <w:rFonts w:ascii="Times New Roman" w:hAnsi="Times New Roman" w:eastAsia="宋体" w:cs="Times New Roman"/>
      <w:sz w:val="18"/>
      <w:szCs w:val="18"/>
    </w:rPr>
  </w:style>
  <w:style w:type="paragraph" w:styleId="1005">
    <w:name w:val="列表 2"/>
    <w:basedOn w:val="938"/>
    <w:next w:val="1005"/>
    <w:link w:val="938"/>
    <w:pPr>
      <w:ind w:left="100" w:hanging="200"/>
    </w:pPr>
    <w:rPr>
      <w:rFonts w:ascii="Times New Roman" w:hAnsi="Times New Roman" w:eastAsia="宋体" w:cs="Times New Roman"/>
      <w:szCs w:val="21"/>
    </w:rPr>
  </w:style>
  <w:style w:type="paragraph" w:styleId="1006">
    <w:name w:val="正文文本 3"/>
    <w:basedOn w:val="938"/>
    <w:next w:val="1006"/>
    <w:link w:val="969"/>
    <w:rPr>
      <w:rFonts w:ascii="仿宋_GB2312" w:hAnsi="Arial" w:eastAsia="仿宋_GB2312" w:cs="Times New Roman"/>
      <w:sz w:val="32"/>
      <w:szCs w:val="32"/>
    </w:rPr>
  </w:style>
  <w:style w:type="paragraph" w:styleId="1007">
    <w:name w:val="目录 3"/>
    <w:basedOn w:val="938"/>
    <w:next w:val="938"/>
    <w:link w:val="938"/>
    <w:semiHidden/>
    <w:pPr>
      <w:ind w:left="420"/>
      <w:jc w:val="left"/>
    </w:pPr>
    <w:rPr>
      <w:rFonts w:ascii="Times New Roman" w:hAnsi="Times New Roman" w:eastAsia="宋体" w:cs="Times New Roman"/>
      <w:i/>
      <w:iCs/>
      <w:szCs w:val="24"/>
    </w:rPr>
  </w:style>
  <w:style w:type="paragraph" w:styleId="1008">
    <w:name w:val="目录 7"/>
    <w:basedOn w:val="938"/>
    <w:next w:val="938"/>
    <w:link w:val="938"/>
    <w:semiHidden/>
    <w:pPr>
      <w:ind w:left="1260"/>
      <w:jc w:val="left"/>
    </w:pPr>
    <w:rPr>
      <w:rFonts w:ascii="Times New Roman" w:hAnsi="Times New Roman" w:eastAsia="宋体" w:cs="Times New Roman"/>
      <w:szCs w:val="21"/>
    </w:rPr>
  </w:style>
  <w:style w:type="paragraph" w:styleId="1009">
    <w:name w:val="目录 5"/>
    <w:basedOn w:val="938"/>
    <w:next w:val="938"/>
    <w:link w:val="938"/>
    <w:semiHidden/>
    <w:pPr>
      <w:ind w:left="840"/>
      <w:jc w:val="left"/>
    </w:pPr>
    <w:rPr>
      <w:rFonts w:ascii="Times New Roman" w:hAnsi="Times New Roman" w:eastAsia="宋体" w:cs="Times New Roman"/>
      <w:szCs w:val="21"/>
    </w:rPr>
  </w:style>
  <w:style w:type="paragraph" w:styleId="1010">
    <w:name w:val="目录 1"/>
    <w:basedOn w:val="938"/>
    <w:next w:val="938"/>
    <w:link w:val="93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1">
    <w:name w:val="页眉"/>
    <w:basedOn w:val="938"/>
    <w:next w:val="1011"/>
    <w:link w:val="97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12">
    <w:name w:val="正文文本"/>
    <w:basedOn w:val="938"/>
    <w:next w:val="938"/>
    <w:link w:val="965"/>
    <w:rPr>
      <w:rFonts w:ascii="楷体_GB2312" w:hAnsi="Arial" w:eastAsia="楷体_GB2312" w:cs="Times New Roman"/>
      <w:sz w:val="28"/>
      <w:szCs w:val="28"/>
    </w:rPr>
  </w:style>
  <w:style w:type="paragraph" w:styleId="1013">
    <w:name w:val="正文首行缩进"/>
    <w:basedOn w:val="938"/>
    <w:next w:val="1013"/>
    <w:link w:val="985"/>
    <w:pPr>
      <w:ind w:firstLine="200"/>
      <w:spacing w:line="360" w:lineRule="auto"/>
    </w:pPr>
    <w:rPr>
      <w:rFonts w:ascii="仿宋_GB2312" w:hAnsi="Times New Roman" w:eastAsia="仿宋_GB2312" w:cs="Times New Roman"/>
      <w:sz w:val="30"/>
      <w:szCs w:val="30"/>
    </w:rPr>
  </w:style>
  <w:style w:type="paragraph" w:styleId="1014">
    <w:name w:val="目录 9"/>
    <w:basedOn w:val="938"/>
    <w:next w:val="938"/>
    <w:link w:val="938"/>
    <w:semiHidden/>
    <w:pPr>
      <w:ind w:left="1680"/>
      <w:jc w:val="left"/>
    </w:pPr>
    <w:rPr>
      <w:rFonts w:ascii="Times New Roman" w:hAnsi="Times New Roman" w:eastAsia="宋体" w:cs="Times New Roman"/>
      <w:szCs w:val="21"/>
    </w:rPr>
  </w:style>
  <w:style w:type="paragraph" w:styleId="1015">
    <w:name w:val="列表"/>
    <w:basedOn w:val="938"/>
    <w:next w:val="1015"/>
    <w:link w:val="938"/>
    <w:pPr>
      <w:ind w:left="200" w:hanging="200"/>
    </w:pPr>
    <w:rPr>
      <w:rFonts w:ascii="Times New Roman" w:hAnsi="Times New Roman" w:eastAsia="宋体" w:cs="Times New Roman"/>
      <w:szCs w:val="21"/>
    </w:rPr>
  </w:style>
  <w:style w:type="paragraph" w:styleId="1016">
    <w:name w:val="目录 4"/>
    <w:basedOn w:val="938"/>
    <w:next w:val="938"/>
    <w:link w:val="938"/>
    <w:semiHidden/>
    <w:pPr>
      <w:ind w:left="630"/>
      <w:jc w:val="left"/>
    </w:pPr>
    <w:rPr>
      <w:rFonts w:ascii="Times New Roman" w:hAnsi="Times New Roman" w:eastAsia="宋体" w:cs="Times New Roman"/>
      <w:szCs w:val="21"/>
    </w:rPr>
  </w:style>
  <w:style w:type="paragraph" w:styleId="1017">
    <w:name w:val="正文文本缩进 2"/>
    <w:basedOn w:val="938"/>
    <w:next w:val="1017"/>
    <w:link w:val="950"/>
    <w:pPr>
      <w:ind w:left="630" w:firstLine="645"/>
    </w:pPr>
    <w:rPr>
      <w:rFonts w:ascii="Arial" w:hAnsi="Arial" w:eastAsia="仿宋_GB2312" w:cs="Arial"/>
      <w:sz w:val="32"/>
      <w:szCs w:val="32"/>
    </w:rPr>
  </w:style>
  <w:style w:type="paragraph" w:styleId="1018">
    <w:name w:val="正文首行缩进 2"/>
    <w:basedOn w:val="998"/>
    <w:next w:val="1018"/>
    <w:link w:val="986"/>
    <w:pPr>
      <w:ind w:left="0" w:firstLine="420"/>
      <w:spacing w:after="0" w:line="360" w:lineRule="auto"/>
    </w:pPr>
    <w:rPr>
      <w:rFonts w:ascii="宋体" w:hAnsi="宋体" w:eastAsia="宋体" w:cs="Times New Roman"/>
      <w:szCs w:val="20"/>
    </w:rPr>
  </w:style>
  <w:style w:type="paragraph" w:styleId="1019">
    <w:name w:val="普通(网站)"/>
    <w:basedOn w:val="938"/>
    <w:next w:val="1019"/>
    <w:link w:val="938"/>
    <w:uiPriority w:val="99"/>
    <w:pPr>
      <w:jc w:val="left"/>
      <w:spacing w:before="100" w:beforeAutospacing="1" w:after="100" w:afterAutospacing="1"/>
      <w:widowControl/>
    </w:pPr>
    <w:rPr>
      <w:rFonts w:ascii="宋体" w:hAnsi="宋体" w:eastAsia="宋体" w:cs="宋体"/>
      <w:sz w:val="24"/>
      <w:szCs w:val="24"/>
    </w:rPr>
  </w:style>
  <w:style w:type="paragraph" w:styleId="1020">
    <w:name w:val="目录 8"/>
    <w:basedOn w:val="938"/>
    <w:next w:val="938"/>
    <w:link w:val="938"/>
    <w:semiHidden/>
    <w:pPr>
      <w:ind w:left="1470"/>
      <w:jc w:val="left"/>
    </w:pPr>
    <w:rPr>
      <w:rFonts w:ascii="Times New Roman" w:hAnsi="Times New Roman" w:eastAsia="宋体" w:cs="Times New Roman"/>
      <w:szCs w:val="21"/>
    </w:rPr>
  </w:style>
  <w:style w:type="paragraph" w:styleId="1021">
    <w:name w:val="索引 41"/>
    <w:basedOn w:val="938"/>
    <w:next w:val="938"/>
    <w:link w:val="938"/>
    <w:qFormat/>
    <w:pPr>
      <w:ind w:left="600"/>
      <w:jc w:val="both"/>
    </w:pPr>
    <w:rPr>
      <w:rFonts w:ascii="Calibri" w:hAnsi="Calibri" w:cs="Times New Roman"/>
      <w:sz w:val="21"/>
    </w:rPr>
  </w:style>
  <w:style w:type="paragraph" w:styleId="1022">
    <w:name w:val="xl26"/>
    <w:basedOn w:val="938"/>
    <w:next w:val="1022"/>
    <w:link w:val="9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 Char"/>
    <w:basedOn w:val="996"/>
    <w:next w:val="1023"/>
    <w:link w:val="938"/>
    <w:rPr>
      <w:rFonts w:ascii="Tahoma" w:hAnsi="Tahoma"/>
      <w:sz w:val="24"/>
      <w:szCs w:val="24"/>
    </w:rPr>
  </w:style>
  <w:style w:type="paragraph" w:styleId="1024">
    <w:name w:val="font5"/>
    <w:basedOn w:val="938"/>
    <w:next w:val="1024"/>
    <w:link w:val="938"/>
    <w:pPr>
      <w:jc w:val="left"/>
      <w:spacing w:before="100" w:beforeAutospacing="1" w:after="100" w:afterAutospacing="1"/>
      <w:widowControl/>
    </w:pPr>
    <w:rPr>
      <w:rFonts w:hint="eastAsia" w:ascii="宋体" w:hAnsi="宋体" w:eastAsia="宋体" w:cs="Times New Roman"/>
      <w:sz w:val="28"/>
      <w:szCs w:val="28"/>
    </w:rPr>
  </w:style>
  <w:style w:type="paragraph" w:styleId="1025">
    <w:name w:val="font6"/>
    <w:basedOn w:val="938"/>
    <w:next w:val="1025"/>
    <w:link w:val="938"/>
    <w:pPr>
      <w:jc w:val="left"/>
      <w:spacing w:before="100" w:beforeAutospacing="1" w:after="100" w:afterAutospacing="1"/>
      <w:widowControl/>
    </w:pPr>
    <w:rPr>
      <w:rFonts w:hint="eastAsia" w:ascii="宋体" w:hAnsi="宋体" w:eastAsia="宋体" w:cs="Times New Roman"/>
      <w:sz w:val="28"/>
      <w:szCs w:val="28"/>
      <w:u w:val="single"/>
    </w:rPr>
  </w:style>
  <w:style w:type="paragraph" w:styleId="1026">
    <w:name w:val="列出段落"/>
    <w:basedOn w:val="938"/>
    <w:next w:val="1026"/>
    <w:link w:val="938"/>
    <w:qFormat/>
    <w:pPr>
      <w:contextualSpacing/>
      <w:ind w:left="720"/>
      <w:jc w:val="left"/>
      <w:widowControl/>
    </w:pPr>
    <w:rPr>
      <w:rFonts w:ascii="Calibri" w:hAnsi="Calibri" w:eastAsia="宋体" w:cs="Times New Roman"/>
      <w:sz w:val="24"/>
      <w:szCs w:val="24"/>
      <w:lang w:eastAsia="en-US" w:bidi="en-US"/>
    </w:rPr>
  </w:style>
  <w:style w:type="paragraph" w:styleId="1027">
    <w:name w:val="xl30"/>
    <w:basedOn w:val="938"/>
    <w:next w:val="1027"/>
    <w:link w:val="938"/>
    <w:pPr>
      <w:jc w:val="center"/>
      <w:spacing w:before="100" w:beforeAutospacing="1" w:after="100" w:afterAutospacing="1"/>
      <w:widowControl/>
    </w:pPr>
    <w:rPr>
      <w:rFonts w:ascii="宋体" w:hAnsi="宋体" w:eastAsia="宋体" w:cs="Times New Roman"/>
      <w:b/>
      <w:bCs/>
      <w:sz w:val="36"/>
      <w:szCs w:val="36"/>
    </w:rPr>
  </w:style>
  <w:style w:type="paragraph" w:styleId="1028">
    <w:name w:val="附录1"/>
    <w:next w:val="1028"/>
    <w:link w:val="93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9">
    <w:name w:val="二级目录"/>
    <w:next w:val="938"/>
    <w:link w:val="972"/>
    <w:pPr>
      <w:numPr>
        <w:ilvl w:val="0"/>
        <w:numId w:val="2"/>
      </w:numPr>
      <w:tabs>
        <w:tab w:val="left" w:pos="907" w:leader="none"/>
        <w:tab w:val="left" w:pos="1145" w:leader="none"/>
      </w:tabs>
      <w:outlineLvl w:val="1"/>
    </w:pPr>
    <w:rPr>
      <w:b/>
      <w:sz w:val="30"/>
      <w:szCs w:val="28"/>
      <w:lang w:val="en-US" w:eastAsia="zh-CN" w:bidi="ar-SA"/>
    </w:rPr>
  </w:style>
  <w:style w:type="paragraph" w:styleId="1030">
    <w:name w:val="4"/>
    <w:basedOn w:val="938"/>
    <w:next w:val="992"/>
    <w:link w:val="938"/>
    <w:pPr>
      <w:ind w:firstLine="420"/>
      <w:spacing w:line="360" w:lineRule="auto"/>
    </w:pPr>
    <w:rPr>
      <w:rFonts w:ascii="Times New Roman" w:hAnsi="Times New Roman" w:eastAsia="宋体" w:cs="Times New Roman"/>
      <w:color w:val="ff0000"/>
      <w:sz w:val="24"/>
      <w:szCs w:val="24"/>
    </w:rPr>
  </w:style>
  <w:style w:type="paragraph" w:styleId="1031">
    <w:name w:val="xl24"/>
    <w:basedOn w:val="938"/>
    <w:next w:val="1031"/>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2">
    <w:name w:val="列出段落1"/>
    <w:basedOn w:val="938"/>
    <w:next w:val="1032"/>
    <w:link w:val="960"/>
    <w:qFormat/>
    <w:pPr>
      <w:contextualSpacing/>
      <w:ind w:left="720"/>
      <w:jc w:val="left"/>
      <w:widowControl/>
    </w:pPr>
    <w:rPr>
      <w:rFonts w:ascii="Calibri" w:hAnsi="Calibri"/>
      <w:sz w:val="24"/>
      <w:szCs w:val="24"/>
      <w:lang w:eastAsia="en-US" w:bidi="en-US"/>
    </w:rPr>
  </w:style>
  <w:style w:type="paragraph" w:styleId="1033">
    <w:name w:val="xl28"/>
    <w:basedOn w:val="938"/>
    <w:next w:val="1033"/>
    <w:link w:val="9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4">
    <w:name w:val="AONormal"/>
    <w:next w:val="1034"/>
    <w:link w:val="938"/>
    <w:qFormat/>
    <w:pPr>
      <w:ind w:firstLine="440"/>
      <w:spacing w:line="400" w:lineRule="exact"/>
    </w:pPr>
    <w:rPr>
      <w:rFonts w:ascii="华文楷体" w:hAnsi="华文楷体" w:eastAsia="华文楷体" w:cs="华文楷体"/>
      <w:sz w:val="22"/>
      <w:szCs w:val="21"/>
      <w:lang w:val="en-US" w:eastAsia="zh-CN" w:bidi="ar-SA"/>
    </w:rPr>
  </w:style>
  <w:style w:type="paragraph" w:styleId="1035">
    <w:name w:val=" Char Char Char Char"/>
    <w:basedOn w:val="996"/>
    <w:next w:val="1035"/>
    <w:link w:val="938"/>
    <w:pPr>
      <w:spacing w:line="360" w:lineRule="auto"/>
    </w:pPr>
    <w:rPr>
      <w:rFonts w:ascii="Tahoma" w:hAnsi="Tahoma"/>
      <w:sz w:val="24"/>
      <w:szCs w:val="24"/>
    </w:rPr>
  </w:style>
  <w:style w:type="paragraph" w:styleId="1036">
    <w:name w:val="xl29"/>
    <w:basedOn w:val="938"/>
    <w:next w:val="1036"/>
    <w:link w:val="93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7">
    <w:name w:val="样式1"/>
    <w:basedOn w:val="938"/>
    <w:next w:val="1037"/>
    <w:link w:val="938"/>
    <w:pPr>
      <w:numPr>
        <w:ilvl w:val="0"/>
        <w:numId w:val="3"/>
      </w:numPr>
      <w:tabs>
        <w:tab w:val="left" w:pos="709" w:leader="none"/>
      </w:tabs>
    </w:pPr>
    <w:rPr>
      <w:rFonts w:ascii="宋体" w:hAnsi="宋体" w:eastAsia="宋体" w:cs="Times New Roman"/>
      <w:szCs w:val="21"/>
    </w:rPr>
  </w:style>
  <w:style w:type="paragraph" w:styleId="1038">
    <w:name w:val=" Char Char Char Char Char Char Char Char"/>
    <w:basedOn w:val="938"/>
    <w:next w:val="1038"/>
    <w:link w:val="938"/>
    <w:pPr>
      <w:jc w:val="left"/>
      <w:spacing w:after="160" w:line="240" w:lineRule="exact"/>
      <w:widowControl/>
    </w:pPr>
    <w:rPr>
      <w:rFonts w:ascii="Verdana" w:hAnsi="Verdana" w:eastAsia="宋体" w:cs="Times New Roman"/>
      <w:sz w:val="20"/>
      <w:szCs w:val="20"/>
      <w:lang w:eastAsia="en-US"/>
    </w:rPr>
  </w:style>
  <w:style w:type="paragraph" w:styleId="1039">
    <w:name w:val=" Char Char Char Char Char Char Char Char Char Char"/>
    <w:basedOn w:val="938"/>
    <w:next w:val="1039"/>
    <w:link w:val="938"/>
    <w:pPr>
      <w:spacing w:line="360" w:lineRule="auto"/>
    </w:pPr>
    <w:rPr>
      <w:rFonts w:ascii="Times New Roman" w:hAnsi="Times New Roman" w:eastAsia="宋体" w:cs="Times New Roman"/>
      <w:sz w:val="24"/>
      <w:szCs w:val="20"/>
    </w:rPr>
  </w:style>
  <w:style w:type="paragraph" w:styleId="1040">
    <w:name w:val="无间隔"/>
    <w:next w:val="1040"/>
    <w:link w:val="938"/>
    <w:uiPriority w:val="99"/>
    <w:qFormat/>
    <w:pPr>
      <w:jc w:val="both"/>
      <w:widowControl w:val="off"/>
    </w:pPr>
    <w:rPr>
      <w:rFonts w:ascii="Times New Roman" w:hAnsi="Times New Roman"/>
      <w:sz w:val="21"/>
      <w:szCs w:val="21"/>
      <w:lang w:val="en-US" w:eastAsia="zh-CN" w:bidi="ar-SA"/>
    </w:rPr>
  </w:style>
  <w:style w:type="paragraph" w:styleId="1041">
    <w:name w:val="xl27"/>
    <w:basedOn w:val="938"/>
    <w:next w:val="1041"/>
    <w:link w:val="9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name w:val="Char"/>
    <w:basedOn w:val="938"/>
    <w:next w:val="1042"/>
    <w:link w:val="938"/>
    <w:pPr>
      <w:ind w:firstLine="200"/>
      <w:tabs>
        <w:tab w:val="left" w:pos="360" w:leader="none"/>
      </w:tabs>
    </w:pPr>
    <w:rPr>
      <w:rFonts w:ascii="Times New Roman" w:hAnsi="Times New Roman" w:eastAsia="宋体" w:cs="Times New Roman"/>
      <w:sz w:val="28"/>
      <w:szCs w:val="30"/>
    </w:rPr>
  </w:style>
  <w:style w:type="paragraph" w:styleId="1043">
    <w:name w:val="table_1stline"/>
    <w:basedOn w:val="938"/>
    <w:next w:val="1043"/>
    <w:link w:val="938"/>
    <w:pPr>
      <w:jc w:val="left"/>
      <w:spacing w:before="120"/>
      <w:widowControl/>
    </w:pPr>
    <w:rPr>
      <w:rFonts w:ascii="Times New Roman" w:hAnsi="Times New Roman" w:eastAsia="宋体" w:cs="Times New Roman"/>
      <w:bCs/>
      <w:sz w:val="20"/>
      <w:szCs w:val="20"/>
      <w:lang w:val="de-DE" w:eastAsia="de-DE"/>
    </w:rPr>
  </w:style>
  <w:style w:type="paragraph" w:styleId="1044">
    <w:name w:val="Body Text(ch)"/>
    <w:basedOn w:val="938"/>
    <w:next w:val="1012"/>
    <w:link w:val="938"/>
    <w:pPr>
      <w:spacing w:after="120"/>
    </w:pPr>
    <w:rPr>
      <w:rFonts w:ascii="宋体" w:hAnsi="Arial" w:eastAsia="宋体" w:cs="Times New Roman"/>
      <w:bCs/>
      <w:iCs/>
      <w:szCs w:val="24"/>
    </w:rPr>
  </w:style>
  <w:style w:type="paragraph" w:styleId="1045">
    <w:name w:val="图标"/>
    <w:basedOn w:val="938"/>
    <w:next w:val="938"/>
    <w:link w:val="93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6">
    <w:name w:val="普通 (Web)"/>
    <w:basedOn w:val="938"/>
    <w:next w:val="1046"/>
    <w:link w:val="938"/>
    <w:pPr>
      <w:jc w:val="left"/>
      <w:spacing w:before="100" w:beforeAutospacing="1" w:after="100" w:afterAutospacing="1"/>
      <w:widowControl/>
    </w:pPr>
    <w:rPr>
      <w:rFonts w:ascii="宋体" w:hAnsi="宋体" w:eastAsia="宋体" w:cs="Times New Roman"/>
      <w:sz w:val="24"/>
      <w:szCs w:val="24"/>
    </w:rPr>
  </w:style>
  <w:style w:type="paragraph" w:styleId="1047">
    <w:name w:val="Char Char Char Char Char Char Char Char"/>
    <w:basedOn w:val="938"/>
    <w:next w:val="1047"/>
    <w:link w:val="938"/>
    <w:pPr>
      <w:jc w:val="left"/>
      <w:spacing w:after="160" w:line="240" w:lineRule="exact"/>
      <w:widowControl/>
    </w:pPr>
    <w:rPr>
      <w:rFonts w:ascii="Verdana" w:hAnsi="Verdana" w:eastAsia="宋体" w:cs="Times New Roman"/>
      <w:sz w:val="20"/>
      <w:szCs w:val="20"/>
      <w:lang w:eastAsia="en-US"/>
    </w:rPr>
  </w:style>
  <w:style w:type="paragraph" w:styleId="1048">
    <w:name w:val="xl25"/>
    <w:basedOn w:val="938"/>
    <w:next w:val="1048"/>
    <w:link w:val="9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9">
    <w:name w:val="标题3"/>
    <w:basedOn w:val="938"/>
    <w:next w:val="938"/>
    <w:link w:val="938"/>
    <w:pPr>
      <w:ind w:firstLine="624"/>
      <w:spacing w:line="590" w:lineRule="atLeast"/>
    </w:pPr>
    <w:rPr>
      <w:rFonts w:ascii="方正黑体_GBK" w:hAnsi="Times New Roman" w:eastAsia="方正黑体_GBK" w:cs="Times New Roman"/>
      <w:sz w:val="32"/>
      <w:szCs w:val="32"/>
    </w:rPr>
  </w:style>
  <w:style w:type="paragraph" w:styleId="1050">
    <w:name w:val="table_lines"/>
    <w:basedOn w:val="938"/>
    <w:next w:val="1050"/>
    <w:link w:val="938"/>
    <w:pPr>
      <w:jc w:val="left"/>
      <w:widowControl/>
    </w:pPr>
    <w:rPr>
      <w:rFonts w:ascii="Times New Roman" w:hAnsi="Times New Roman" w:eastAsia="宋体" w:cs="Times New Roman"/>
      <w:sz w:val="20"/>
      <w:szCs w:val="20"/>
      <w:lang w:val="de-DE" w:eastAsia="de-DE"/>
    </w:rPr>
  </w:style>
  <w:style w:type="paragraph" w:styleId="1051">
    <w:name w:val="font7"/>
    <w:basedOn w:val="938"/>
    <w:next w:val="1051"/>
    <w:link w:val="938"/>
    <w:pPr>
      <w:jc w:val="left"/>
      <w:spacing w:before="100" w:beforeAutospacing="1" w:after="100" w:afterAutospacing="1"/>
      <w:widowControl/>
    </w:pPr>
    <w:rPr>
      <w:rFonts w:hint="eastAsia" w:ascii="宋体" w:hAnsi="宋体" w:eastAsia="宋体" w:cs="Times New Roman"/>
      <w:sz w:val="18"/>
      <w:szCs w:val="18"/>
    </w:rPr>
  </w:style>
  <w:style w:type="paragraph" w:styleId="1052">
    <w:name w:val="标题1"/>
    <w:basedOn w:val="938"/>
    <w:next w:val="938"/>
    <w:link w:val="93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3">
    <w:name w:val="Char Char Char Char"/>
    <w:basedOn w:val="996"/>
    <w:next w:val="1053"/>
    <w:link w:val="938"/>
    <w:pPr>
      <w:spacing w:line="360" w:lineRule="auto"/>
    </w:pPr>
    <w:rPr>
      <w:rFonts w:ascii="Tahoma" w:hAnsi="Tahoma"/>
      <w:sz w:val="24"/>
      <w:szCs w:val="24"/>
    </w:rPr>
  </w:style>
  <w:style w:type="paragraph" w:styleId="1054">
    <w:name w:val="修订"/>
    <w:next w:val="1054"/>
    <w:link w:val="938"/>
    <w:uiPriority w:val="99"/>
    <w:semiHidden/>
    <w:rPr>
      <w:rFonts w:ascii="Times New Roman" w:hAnsi="Times New Roman"/>
      <w:sz w:val="21"/>
      <w:szCs w:val="21"/>
      <w:lang w:val="en-US" w:eastAsia="zh-CN" w:bidi="ar-SA"/>
    </w:rPr>
  </w:style>
  <w:style w:type="paragraph" w:styleId="1055">
    <w:name w:val="普通正文"/>
    <w:basedOn w:val="938"/>
    <w:next w:val="1055"/>
    <w:link w:val="938"/>
    <w:pPr>
      <w:ind w:firstLine="480"/>
      <w:jc w:val="left"/>
      <w:spacing w:before="120" w:after="120" w:line="360" w:lineRule="auto"/>
    </w:pPr>
    <w:rPr>
      <w:rFonts w:ascii="Arial" w:hAnsi="Arial" w:eastAsia="宋体" w:cs="Times New Roman"/>
      <w:sz w:val="24"/>
      <w:szCs w:val="24"/>
    </w:rPr>
  </w:style>
  <w:style w:type="table" w:styleId="1056">
    <w:name w:val="网格型"/>
    <w:basedOn w:val="949"/>
    <w:next w:val="1056"/>
    <w:link w:val="938"/>
    <w:pPr>
      <w:jc w:val="both"/>
      <w:widowControl w:val="off"/>
    </w:pPr>
    <w:rPr>
      <w:rFonts w:ascii="Times New Roman" w:hAnsi="Times New Roman" w:eastAsia="宋体" w:cs="Times New Roman"/>
      <w:sz w:val="20"/>
      <w:szCs w:val="20"/>
    </w:rPr>
    <w:tblPr/>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s://www.itsec.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8</cp:revision>
  <dcterms:created xsi:type="dcterms:W3CDTF">2023-03-17T10:13:00Z</dcterms:created>
  <dcterms:modified xsi:type="dcterms:W3CDTF">2026-09-20T07:45:55Z</dcterms:modified>
</cp:coreProperties>
</file>