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ind w:firstLine="0"/>
        <w:rPr>
          <w:rFonts w:eastAsia="黑体"/>
          <w:b/>
          <w:bCs/>
          <w:sz w:val="84"/>
        </w:rPr>
      </w:pPr>
      <w:r>
        <w:rPr>
          <w:rFonts w:hint="eastAsia" w:eastAsia="黑体"/>
          <w:b/>
          <w:bCs/>
          <w:sz w:val="84"/>
        </w:rPr>
        <w:t xml:space="preserve"> </w:t>
      </w:r>
      <w:r/>
    </w:p>
    <w:p>
      <w:pPr>
        <w:pStyle w:val="877"/>
        <w:ind w:firstLine="0"/>
        <w:jc w:val="center"/>
        <w:rPr>
          <w:rFonts w:eastAsia="黑体"/>
          <w:b/>
          <w:bCs/>
          <w:sz w:val="84"/>
        </w:rPr>
      </w:pPr>
      <w:r>
        <w:rPr>
          <w:rFonts w:hint="eastAsia" w:eastAsia="黑体"/>
          <w:b/>
          <w:bCs/>
          <w:sz w:val="84"/>
        </w:rPr>
        <w:t xml:space="preserve">招　标　文　件</w:t>
      </w:r>
      <w:r/>
    </w:p>
    <w:p>
      <w:pPr>
        <w:pStyle w:val="877"/>
        <w:ind w:firstLine="0"/>
        <w:rPr>
          <w:b/>
          <w:bCs/>
          <w:sz w:val="32"/>
        </w:rPr>
      </w:pPr>
      <w:r>
        <w:rPr>
          <w:b/>
          <w:bCs/>
          <w:sz w:val="32"/>
        </w:rPr>
      </w:r>
      <w:r/>
    </w:p>
    <w:p>
      <w:pPr>
        <w:pStyle w:val="877"/>
        <w:ind w:firstLine="0"/>
        <w:jc w:val="center"/>
        <w:rPr>
          <w:b/>
          <w:bCs/>
          <w:sz w:val="32"/>
        </w:rPr>
      </w:pPr>
      <w:r>
        <w:rPr>
          <w:rFonts w:hint="eastAsia"/>
          <w:b/>
          <w:bCs/>
          <w:sz w:val="32"/>
        </w:rPr>
        <w:t xml:space="preserve">项目名称：江苏省第二中医院云灾备服务扩容</w:t>
      </w:r>
      <w:r/>
    </w:p>
    <w:p>
      <w:pPr>
        <w:jc w:val="center"/>
        <w:rPr>
          <w:b/>
          <w:sz w:val="30"/>
          <w:szCs w:val="30"/>
        </w:rPr>
      </w:pPr>
      <w:r>
        <w:rPr>
          <w:rFonts w:hint="eastAsia"/>
          <w:b/>
          <w:bCs/>
          <w:sz w:val="32"/>
        </w:rPr>
        <w:t xml:space="preserve">采购编号：</w:t>
      </w:r>
      <w:r>
        <w:rPr>
          <w:rFonts w:ascii="Arial" w:hAnsi="Arial"/>
          <w:b/>
          <w:bCs/>
          <w:sz w:val="32"/>
          <w:szCs w:val="24"/>
        </w:rPr>
        <w:t xml:space="preserve">JSZC-320000-SCZX-</w:t>
      </w:r>
      <w:r>
        <w:rPr>
          <w:rFonts w:hint="eastAsia" w:ascii="Arial" w:hAnsi="Arial"/>
          <w:b/>
          <w:bCs/>
          <w:sz w:val="32"/>
          <w:szCs w:val="24"/>
        </w:rPr>
        <w:t xml:space="preserve">G2026-0521</w:t>
      </w:r>
      <w:r/>
    </w:p>
    <w:p>
      <w:pPr>
        <w:ind w:left="2811" w:hanging="2811"/>
        <w:jc w:val="center"/>
        <w:rPr>
          <w:b/>
          <w:sz w:val="28"/>
          <w:szCs w:val="28"/>
        </w:rPr>
      </w:pPr>
      <w:r>
        <w:rPr>
          <w:b/>
          <w:sz w:val="28"/>
          <w:szCs w:val="28"/>
        </w:rPr>
      </w:r>
      <w:r/>
    </w:p>
    <w:p>
      <w:pPr>
        <w:pStyle w:val="877"/>
        <w:ind w:firstLine="0"/>
        <w:spacing w:before="0" w:after="0"/>
        <w:rPr>
          <w:rFonts w:hint="eastAsia" w:ascii="宋体" w:hAnsi="宋体"/>
        </w:rPr>
      </w:pPr>
      <w:r>
        <w:rPr>
          <w:rFonts w:hint="eastAsia" w:ascii="宋体" w:hAnsi="宋体"/>
        </w:rPr>
      </w:r>
      <w:r/>
    </w:p>
    <w:p>
      <w:pPr>
        <w:pStyle w:val="877"/>
        <w:ind w:firstLine="0"/>
        <w:spacing w:before="0" w:after="0"/>
        <w:rPr>
          <w:rFonts w:hint="eastAsia" w:ascii="宋体" w:hAnsi="宋体"/>
        </w:rPr>
      </w:pPr>
      <w:r>
        <w:rPr>
          <w:rFonts w:hint="eastAsia" w:ascii="宋体" w:hAnsi="宋体"/>
        </w:rPr>
      </w:r>
      <w:r/>
    </w:p>
    <w:p>
      <w:pPr>
        <w:pStyle w:val="877"/>
        <w:ind w:firstLine="0"/>
        <w:spacing w:before="0" w:after="0"/>
        <w:rPr>
          <w:rFonts w:hint="eastAsia" w:ascii="宋体" w:hAnsi="宋体"/>
        </w:rPr>
      </w:pPr>
      <w:r>
        <w:rPr>
          <w:rFonts w:hint="eastAsia" w:ascii="宋体" w:hAnsi="宋体"/>
        </w:rPr>
      </w:r>
      <w:r/>
    </w:p>
    <w:p>
      <w:pPr>
        <w:pStyle w:val="877"/>
        <w:ind w:firstLine="0"/>
        <w:spacing w:before="0" w:after="0"/>
        <w:rPr>
          <w:rFonts w:hint="eastAsia" w:ascii="宋体" w:hAnsi="宋体"/>
        </w:rPr>
      </w:pPr>
      <w:r>
        <w:rPr>
          <w:rFonts w:hint="eastAsia" w:ascii="宋体" w:hAnsi="宋体"/>
        </w:rPr>
      </w:r>
      <w:r/>
    </w:p>
    <w:p>
      <w:pPr>
        <w:pStyle w:val="877"/>
        <w:ind w:firstLine="0"/>
        <w:spacing w:before="0" w:after="0"/>
        <w:rPr>
          <w:rFonts w:hint="eastAsia" w:ascii="宋体" w:hAnsi="宋体"/>
        </w:rPr>
      </w:pPr>
      <w:r>
        <w:rPr>
          <w:rFonts w:hint="eastAsia" w:ascii="宋体" w:hAnsi="宋体"/>
        </w:rPr>
      </w:r>
      <w:r/>
    </w:p>
    <w:p>
      <w:pPr>
        <w:pStyle w:val="877"/>
        <w:ind w:firstLine="0"/>
        <w:spacing w:before="0" w:after="0"/>
        <w:rPr>
          <w:rFonts w:hint="eastAsia" w:ascii="宋体" w:hAnsi="宋体"/>
        </w:rPr>
      </w:pPr>
      <w:r>
        <w:rPr>
          <w:rFonts w:hint="eastAsia" w:ascii="宋体" w:hAnsi="宋体"/>
        </w:rPr>
      </w:r>
      <w:r/>
    </w:p>
    <w:p>
      <w:pPr>
        <w:pStyle w:val="877"/>
        <w:ind w:firstLine="0"/>
        <w:spacing w:before="0" w:after="0"/>
        <w:rPr>
          <w:rFonts w:hint="eastAsia" w:ascii="宋体" w:hAnsi="宋体"/>
        </w:rPr>
      </w:pPr>
      <w:r>
        <w:rPr>
          <w:rFonts w:hint="eastAsia" w:ascii="宋体" w:hAnsi="宋体"/>
        </w:rPr>
      </w:r>
      <w:r/>
    </w:p>
    <w:p>
      <w:pPr>
        <w:pStyle w:val="877"/>
        <w:ind w:firstLine="0"/>
        <w:jc w:val="center"/>
        <w:rPr>
          <w:b/>
          <w:bCs/>
          <w:sz w:val="32"/>
        </w:rPr>
      </w:pPr>
      <w:r>
        <w:rPr>
          <w:rFonts w:hint="eastAsia"/>
          <w:b/>
          <w:bCs/>
          <w:sz w:val="32"/>
        </w:rPr>
        <w:t xml:space="preserve">江苏省政府采购中心</w:t>
      </w:r>
      <w:r/>
    </w:p>
    <w:p>
      <w:pPr>
        <w:pStyle w:val="877"/>
        <w:ind w:firstLine="0"/>
        <w:jc w:val="center"/>
        <w:rPr>
          <w:b/>
          <w:bCs/>
          <w:sz w:val="32"/>
        </w:rPr>
      </w:pPr>
      <w:r>
        <w:rPr>
          <w:rFonts w:hint="eastAsia"/>
          <w:b/>
          <w:bCs/>
          <w:sz w:val="32"/>
        </w:rPr>
        <w:t xml:space="preserve">2026</w:t>
      </w:r>
      <w:r>
        <w:rPr>
          <w:rFonts w:hint="eastAsia"/>
          <w:b/>
          <w:bCs/>
          <w:sz w:val="32"/>
        </w:rPr>
        <w:t xml:space="preserve">年</w:t>
      </w:r>
      <w:r>
        <w:rPr>
          <w:b/>
          <w:bCs/>
          <w:sz w:val="32"/>
        </w:rPr>
        <w:t xml:space="preserve">10</w:t>
      </w:r>
      <w:r>
        <w:rPr>
          <w:rFonts w:hint="eastAsia"/>
          <w:b/>
          <w:bCs/>
          <w:sz w:val="32"/>
        </w:rPr>
        <w:t xml:space="preserve">月</w:t>
      </w:r>
      <w:r/>
    </w:p>
    <w:p>
      <w:pPr>
        <w:pStyle w:val="877"/>
        <w:ind w:firstLine="0"/>
        <w:rPr>
          <w:u w:val="single"/>
        </w:rPr>
      </w:pPr>
      <w:r>
        <w:rPr>
          <w:rFonts w:hint="eastAsia"/>
        </w:rPr>
        <w:t xml:space="preserve">                        </w:t>
      </w:r>
      <w:r/>
    </w:p>
    <w:p>
      <w:pPr>
        <w:pStyle w:val="877"/>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20823272"/>
      <w:r/>
      <w:bookmarkStart w:id="2" w:name="_Toc523127445"/>
      <w:r/>
      <w:bookmarkStart w:id="3" w:name="_Toc513029200"/>
      <w:r/>
      <w:bookmarkStart w:id="4" w:name="_Toc16938516"/>
      <w:r/>
      <w:bookmarkStart w:id="5" w:name="_Toc479757206"/>
      <w:r>
        <w:rPr>
          <w:rFonts w:hint="eastAsia"/>
        </w:rPr>
        <w:t xml:space="preserve"> </w:t>
      </w:r>
      <w:bookmarkStart w:id="6" w:name="_Toc239690739"/>
      <w:r>
        <w:rPr>
          <w:rFonts w:hint="eastAsia" w:ascii="黑体" w:hAnsi="Arial" w:eastAsia="黑体"/>
          <w:b/>
          <w:sz w:val="44"/>
        </w:rPr>
        <w:t xml:space="preserve">总  目</w:t>
      </w:r>
      <w:r>
        <w:rPr>
          <w:rFonts w:hint="eastAsia" w:ascii="黑体" w:hAnsi="Arial" w:eastAsia="黑体"/>
          <w:b/>
          <w:sz w:val="44"/>
        </w:rPr>
        <w:t xml:space="preserve">  录</w:t>
      </w:r>
      <w:bookmarkEnd w:id="6"/>
      <w:r/>
      <w:r/>
    </w:p>
    <w:p>
      <w:pPr>
        <w:pStyle w:val="735"/>
        <w:tabs>
          <w:tab w:val="right" w:pos="8943" w:leader="dot"/>
        </w:tabs>
        <w:rPr>
          <w:rFonts w:ascii="Arial" w:hAnsi="Arial" w:cs="Arial"/>
          <w:sz w:val="22"/>
          <w:szCs w:val="24"/>
        </w:rPr>
      </w:pPr>
      <w:r>
        <w:rPr>
          <w:b/>
          <w:bCs/>
          <w:sz w:val="36"/>
          <w:szCs w:val="36"/>
        </w:rPr>
        <w:fldChar w:fldCharType="begin"/>
      </w:r>
      <w:r>
        <w:rPr>
          <w:b/>
          <w:bCs/>
          <w:sz w:val="36"/>
          <w:szCs w:val="36"/>
        </w:rPr>
        <w:instrText xml:space="preserve"> TOC \o "1-1" \u </w:instrText>
      </w:r>
      <w:r>
        <w:rPr>
          <w:b/>
          <w:bCs/>
          <w:sz w:val="36"/>
          <w:szCs w:val="36"/>
        </w:rPr>
        <w:fldChar w:fldCharType="separate"/>
      </w:r>
      <w:r>
        <w:rPr>
          <w:rFonts w:hint="eastAsia" w:ascii="黑体" w:hAnsi="Arial" w:eastAsia="黑体"/>
          <w:b/>
        </w:rPr>
        <w:t xml:space="preserve">总  目  录</w:t>
      </w:r>
      <w:r>
        <w:rPr>
          <w:rFonts w:hint="eastAsia"/>
        </w:rPr>
        <w:tab/>
      </w:r>
      <w:r>
        <w:rPr>
          <w:rFonts w:hint="eastAsia"/>
        </w:rPr>
        <w:fldChar w:fldCharType="begin"/>
      </w:r>
      <w:r>
        <w:rPr>
          <w:rFonts w:hint="eastAsia"/>
        </w:rPr>
        <w:instrText xml:space="preserve"> </w:instrText>
      </w:r>
      <w:r>
        <w:instrText xml:space="preserve">PAGEREF _Toc239690739 \h</w:instrText>
      </w:r>
      <w:r>
        <w:rPr>
          <w:rFonts w:hint="eastAsia"/>
        </w:rPr>
        <w:instrText xml:space="preserve"> </w:instrText>
      </w:r>
      <w:r>
        <w:rPr>
          <w:rFonts w:hint="eastAsia"/>
        </w:rPr>
        <w:fldChar w:fldCharType="separate"/>
      </w:r>
      <w:r>
        <w:t xml:space="preserve">2</w:t>
      </w:r>
      <w:r>
        <w:rPr>
          <w:rFonts w:hint="eastAsia"/>
        </w:rPr>
        <w:fldChar w:fldCharType="end"/>
      </w:r>
      <w:r/>
    </w:p>
    <w:p>
      <w:pPr>
        <w:pStyle w:val="735"/>
        <w:tabs>
          <w:tab w:val="right" w:pos="8943" w:leader="dot"/>
        </w:tabs>
        <w:rPr>
          <w:rFonts w:ascii="Arial" w:hAnsi="Arial" w:cs="Arial"/>
          <w:sz w:val="22"/>
          <w:szCs w:val="24"/>
        </w:rPr>
      </w:pPr>
      <w:r>
        <w:rPr>
          <w:rFonts w:hint="eastAsia" w:ascii="黑体"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_Toc239690740 \h</w:instrText>
      </w:r>
      <w:r>
        <w:rPr>
          <w:rFonts w:hint="eastAsia"/>
        </w:rPr>
        <w:instrText xml:space="preserve"> </w:instrText>
      </w:r>
      <w:r>
        <w:rPr>
          <w:rFonts w:hint="eastAsia"/>
        </w:rPr>
        <w:fldChar w:fldCharType="separate"/>
      </w:r>
      <w:r>
        <w:t xml:space="preserve">3</w:t>
      </w:r>
      <w:r>
        <w:rPr>
          <w:rFonts w:hint="eastAsia"/>
        </w:rPr>
        <w:fldChar w:fldCharType="end"/>
      </w:r>
      <w:r/>
    </w:p>
    <w:p>
      <w:pPr>
        <w:pStyle w:val="735"/>
        <w:tabs>
          <w:tab w:val="right" w:pos="8943" w:leader="dot"/>
        </w:tabs>
        <w:rPr>
          <w:rFonts w:ascii="Arial" w:hAnsi="Arial" w:cs="Arial"/>
          <w:sz w:val="22"/>
          <w:szCs w:val="24"/>
        </w:rPr>
      </w:pPr>
      <w:r>
        <w:rPr>
          <w:rFonts w:hint="eastAsia" w:ascii="黑体" w:eastAsia="黑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_Toc239690741 \h</w:instrText>
      </w:r>
      <w:r>
        <w:rPr>
          <w:rFonts w:hint="eastAsia"/>
        </w:rPr>
        <w:instrText xml:space="preserve"> </w:instrText>
      </w:r>
      <w:r>
        <w:rPr>
          <w:rFonts w:hint="eastAsia"/>
        </w:rPr>
        <w:fldChar w:fldCharType="separate"/>
      </w:r>
      <w:r>
        <w:t xml:space="preserve">6</w:t>
      </w:r>
      <w:r>
        <w:rPr>
          <w:rFonts w:hint="eastAsia"/>
        </w:rPr>
        <w:fldChar w:fldCharType="end"/>
      </w:r>
      <w:r/>
    </w:p>
    <w:p>
      <w:pPr>
        <w:pStyle w:val="735"/>
        <w:tabs>
          <w:tab w:val="right" w:pos="8943" w:leader="dot"/>
        </w:tabs>
        <w:rPr>
          <w:rFonts w:ascii="Arial" w:hAnsi="Arial" w:cs="Arial"/>
          <w:sz w:val="22"/>
          <w:szCs w:val="24"/>
        </w:rPr>
      </w:pPr>
      <w:r>
        <w:rPr>
          <w:rFonts w:hint="eastAsia" w:ascii="黑体" w:eastAsia="黑体"/>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_Toc239690742 \h</w:instrText>
      </w:r>
      <w:r>
        <w:rPr>
          <w:rFonts w:hint="eastAsia"/>
        </w:rPr>
        <w:instrText xml:space="preserve"> </w:instrText>
      </w:r>
      <w:r>
        <w:rPr>
          <w:rFonts w:hint="eastAsia"/>
        </w:rPr>
        <w:fldChar w:fldCharType="separate"/>
      </w:r>
      <w:r>
        <w:t xml:space="preserve">16</w:t>
      </w:r>
      <w:r>
        <w:rPr>
          <w:rFonts w:hint="eastAsia"/>
        </w:rPr>
        <w:fldChar w:fldCharType="end"/>
      </w:r>
      <w:r/>
    </w:p>
    <w:p>
      <w:pPr>
        <w:pStyle w:val="735"/>
        <w:tabs>
          <w:tab w:val="right" w:pos="8943" w:leader="dot"/>
        </w:tabs>
        <w:rPr>
          <w:rFonts w:ascii="Arial" w:hAnsi="Arial" w:cs="Arial"/>
          <w:sz w:val="22"/>
          <w:szCs w:val="24"/>
        </w:rPr>
      </w:pPr>
      <w:r>
        <w:rPr>
          <w:rFonts w:hint="eastAsia" w:ascii="宋体" w:hAnsi="宋体"/>
          <w:b/>
        </w:rPr>
        <w:t xml:space="preserve">江苏省政府采购合同（服务）（合同编号）</w:t>
      </w:r>
      <w:r>
        <w:rPr>
          <w:rFonts w:hint="eastAsia"/>
        </w:rPr>
        <w:tab/>
      </w:r>
      <w:r>
        <w:rPr>
          <w:rFonts w:hint="eastAsia"/>
        </w:rPr>
        <w:fldChar w:fldCharType="begin"/>
      </w:r>
      <w:r>
        <w:rPr>
          <w:rFonts w:hint="eastAsia"/>
        </w:rPr>
        <w:instrText xml:space="preserve"> </w:instrText>
      </w:r>
      <w:r>
        <w:instrText xml:space="preserve">PAGEREF _Toc239690743 \h</w:instrText>
      </w:r>
      <w:r>
        <w:rPr>
          <w:rFonts w:hint="eastAsia"/>
        </w:rPr>
        <w:instrText xml:space="preserve"> </w:instrText>
      </w:r>
      <w:r>
        <w:rPr>
          <w:rFonts w:hint="eastAsia"/>
        </w:rPr>
        <w:fldChar w:fldCharType="separate"/>
      </w:r>
      <w:r>
        <w:t xml:space="preserve">16</w:t>
      </w:r>
      <w:r>
        <w:rPr>
          <w:rFonts w:hint="eastAsia"/>
        </w:rPr>
        <w:fldChar w:fldCharType="end"/>
      </w:r>
      <w:r/>
    </w:p>
    <w:p>
      <w:pPr>
        <w:pStyle w:val="735"/>
        <w:tabs>
          <w:tab w:val="right" w:pos="8943" w:leader="dot"/>
        </w:tabs>
        <w:rPr>
          <w:rFonts w:ascii="Arial" w:hAnsi="Arial" w:cs="Arial"/>
          <w:sz w:val="22"/>
          <w:szCs w:val="24"/>
        </w:rPr>
      </w:pPr>
      <w:r>
        <w:rPr>
          <w:rFonts w:hint="eastAsia" w:ascii="黑体" w:eastAsia="黑体"/>
          <w:bCs/>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_Toc239690744 \h</w:instrText>
      </w:r>
      <w:r>
        <w:rPr>
          <w:rFonts w:hint="eastAsia"/>
        </w:rPr>
        <w:instrText xml:space="preserve"> </w:instrText>
      </w:r>
      <w:r>
        <w:rPr>
          <w:rFonts w:hint="eastAsia"/>
        </w:rPr>
        <w:fldChar w:fldCharType="separate"/>
      </w:r>
      <w:r>
        <w:t xml:space="preserve">23</w:t>
      </w:r>
      <w:r>
        <w:rPr>
          <w:rFonts w:hint="eastAsia"/>
        </w:rPr>
        <w:fldChar w:fldCharType="end"/>
      </w:r>
      <w:r/>
    </w:p>
    <w:p>
      <w:pPr>
        <w:pStyle w:val="735"/>
        <w:tabs>
          <w:tab w:val="right" w:pos="8943" w:leader="dot"/>
        </w:tabs>
        <w:rPr>
          <w:rFonts w:ascii="Arial" w:hAnsi="Arial" w:cs="Arial"/>
          <w:sz w:val="22"/>
          <w:szCs w:val="24"/>
        </w:rPr>
      </w:pPr>
      <w:r>
        <w:rPr>
          <w:rFonts w:hint="eastAsia" w:ascii="黑体" w:eastAsia="黑体"/>
          <w:bCs/>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_Toc239690745 \h</w:instrText>
      </w:r>
      <w:r>
        <w:rPr>
          <w:rFonts w:hint="eastAsia"/>
        </w:rPr>
        <w:instrText xml:space="preserve"> </w:instrText>
      </w:r>
      <w:r>
        <w:rPr>
          <w:rFonts w:hint="eastAsia"/>
        </w:rPr>
        <w:fldChar w:fldCharType="separate"/>
      </w:r>
      <w:r>
        <w:t xml:space="preserve">36</w:t>
      </w:r>
      <w:r>
        <w:rPr>
          <w:rFonts w:hint="eastAsia"/>
        </w:rPr>
        <w:fldChar w:fldCharType="end"/>
      </w:r>
      <w:r/>
    </w:p>
    <w:p>
      <w:pPr>
        <w:pStyle w:val="735"/>
        <w:tabs>
          <w:tab w:val="right" w:pos="8943" w:leader="dot"/>
        </w:tabs>
        <w:rPr>
          <w:rFonts w:ascii="Arial" w:hAnsi="Arial" w:cs="Arial"/>
          <w:sz w:val="22"/>
          <w:szCs w:val="24"/>
        </w:rPr>
      </w:pPr>
      <w:r>
        <w:rPr>
          <w:rFonts w:hint="eastAsia" w:ascii="黑体" w:eastAsia="黑体"/>
          <w:bCs/>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_Toc239690746 \h</w:instrText>
      </w:r>
      <w:r>
        <w:rPr>
          <w:rFonts w:hint="eastAsia"/>
        </w:rPr>
        <w:instrText xml:space="preserve"> </w:instrText>
      </w:r>
      <w:r>
        <w:rPr>
          <w:rFonts w:hint="eastAsia"/>
        </w:rPr>
        <w:fldChar w:fldCharType="separate"/>
      </w:r>
      <w:r>
        <w:t xml:space="preserve">40</w:t>
      </w:r>
      <w:r>
        <w:rPr>
          <w:rFonts w:hint="eastAsia"/>
        </w:rPr>
        <w:fldChar w:fldCharType="end"/>
      </w:r>
      <w:r/>
    </w:p>
    <w:p>
      <w:r>
        <w:rPr>
          <w:rFonts w:hAnsi="宋体"/>
          <w:bCs/>
          <w:szCs w:val="36"/>
        </w:rP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br w:type="page" w:clear="all"/>
      </w:r>
      <w:r/>
    </w:p>
    <w:p>
      <w:pPr>
        <w:pStyle w:val="703"/>
        <w:rPr>
          <w:rFonts w:ascii="黑体" w:eastAsia="黑体"/>
          <w:bCs/>
          <w:sz w:val="44"/>
          <w:szCs w:val="44"/>
        </w:rPr>
      </w:pPr>
      <w:r/>
      <w:bookmarkStart w:id="7" w:name="_Toc239690740"/>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7"/>
      <w:r/>
      <w:r/>
    </w:p>
    <w:p>
      <w:pPr>
        <w:ind w:firstLine="480"/>
        <w:spacing w:line="400" w:lineRule="exact"/>
        <w:rPr>
          <w:rFonts w:hint="eastAsia" w:ascii="宋体" w:hAnsi="宋体"/>
          <w:sz w:val="24"/>
          <w:szCs w:val="24"/>
        </w:rPr>
      </w:pPr>
      <w:r>
        <w:rPr>
          <w:rFonts w:hint="eastAsia" w:ascii="宋体" w:hAnsi="宋体"/>
          <w:sz w:val="24"/>
          <w:szCs w:val="24"/>
        </w:rPr>
        <w:t xml:space="preserve">受江苏省第二中医院委托，江苏省政府采购中心就江苏省第二中医院云灾备服务扩容(JSZC-320000-SCZX-G2026</w:t>
      </w:r>
      <w:r>
        <w:rPr>
          <w:rFonts w:hint="eastAsia" w:ascii="宋体" w:hAnsi="宋体"/>
          <w:sz w:val="24"/>
          <w:szCs w:val="24"/>
        </w:rPr>
        <w:t xml:space="preserve">-0521)</w:t>
      </w:r>
      <w:r>
        <w:rPr>
          <w:rFonts w:hint="eastAsia" w:ascii="宋体" w:hAnsi="宋体"/>
          <w:sz w:val="24"/>
          <w:szCs w:val="24"/>
        </w:rPr>
        <w:t xml:space="preserve">项目进行公开招标采购，欢迎符合条件的供应商投标。</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江苏省第二中医院云灾备服务扩容</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年11月20日09点30分（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05"/>
        <w:ind w:firstLine="498"/>
        <w:spacing w:before="145" w:after="145" w:line="400" w:lineRule="exact"/>
      </w:pPr>
      <w:r/>
      <w:bookmarkStart w:id="8" w:name="_Toc28359002"/>
      <w:r/>
      <w:bookmarkStart w:id="9" w:name="_Toc35393621"/>
      <w:r/>
      <w:bookmarkStart w:id="10" w:name="_Toc38985263"/>
      <w:r/>
      <w:bookmarkStart w:id="11" w:name="_Toc35393790"/>
      <w:r/>
      <w:bookmarkStart w:id="12" w:name="_Toc28359079"/>
      <w:r/>
      <w:bookmarkStart w:id="13" w:name="_Hlk24379207"/>
      <w:r>
        <w:rPr>
          <w:rFonts w:hint="eastAsia"/>
        </w:rPr>
        <w:t xml:space="preserve">一、项目基本情况</w:t>
      </w:r>
      <w:bookmarkEnd w:id="8"/>
      <w:r/>
      <w:bookmarkEnd w:id="9"/>
      <w:r/>
      <w:bookmarkEnd w:id="10"/>
      <w:r/>
      <w:bookmarkEnd w:id="11"/>
      <w:r/>
      <w:bookmarkEnd w:id="12"/>
      <w:r/>
      <w:r/>
    </w:p>
    <w:p>
      <w:pPr>
        <w:ind w:firstLine="480"/>
        <w:spacing w:line="400" w:lineRule="exact"/>
        <w:rPr>
          <w:rFonts w:hint="eastAsia" w:ascii="宋体" w:hAnsi="宋体"/>
          <w:sz w:val="24"/>
          <w:szCs w:val="24"/>
        </w:rPr>
      </w:pPr>
      <w:r>
        <w:rPr>
          <w:rFonts w:hint="eastAsia" w:ascii="宋体" w:hAnsi="宋体"/>
          <w:sz w:val="24"/>
          <w:szCs w:val="24"/>
        </w:rPr>
        <w:t xml:space="preserve">1.采购编号：JSZC-320000-SCZX-G2026-0521</w:t>
      </w:r>
      <w:r/>
    </w:p>
    <w:p>
      <w:pPr>
        <w:ind w:firstLine="480"/>
        <w:spacing w:line="400" w:lineRule="exact"/>
        <w:rPr>
          <w:rFonts w:hint="eastAsia" w:ascii="宋体" w:hAnsi="宋体"/>
          <w:sz w:val="24"/>
          <w:szCs w:val="24"/>
        </w:rPr>
      </w:pPr>
      <w:r>
        <w:rPr>
          <w:rFonts w:hint="eastAsia" w:ascii="宋体" w:hAnsi="宋体"/>
          <w:sz w:val="24"/>
          <w:szCs w:val="24"/>
        </w:rPr>
        <w:t xml:space="preserve">2.项目名称：</w:t>
      </w:r>
      <w:bookmarkEnd w:id="13"/>
      <w:r>
        <w:rPr>
          <w:rFonts w:hint="eastAsia" w:ascii="宋体" w:hAnsi="宋体"/>
          <w:sz w:val="24"/>
          <w:szCs w:val="24"/>
        </w:rPr>
        <w:t xml:space="preserve">江苏省第二中医院云灾备服务扩容</w:t>
      </w:r>
      <w:r/>
    </w:p>
    <w:p>
      <w:pPr>
        <w:ind w:firstLine="480"/>
        <w:spacing w:line="400" w:lineRule="exact"/>
        <w:rPr>
          <w:rFonts w:hint="eastAsia" w:ascii="宋体" w:hAnsi="宋体" w:cs="宋体"/>
          <w:sz w:val="24"/>
          <w:szCs w:val="24"/>
        </w:rPr>
      </w:pPr>
      <w:r>
        <w:rPr>
          <w:rFonts w:hint="eastAsia" w:ascii="宋体" w:hAnsi="宋体"/>
          <w:sz w:val="24"/>
          <w:szCs w:val="24"/>
        </w:rPr>
        <w:t xml:space="preserve">3.预算金额</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tblGrid>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lang w:eastAsia="en-US"/>
              </w:rPr>
            </w:pPr>
            <w:r>
              <w:rPr>
                <w:rFonts w:hint="eastAsia" w:ascii="宋体" w:hAnsi="宋体" w:cs="宋体"/>
                <w:lang w:eastAsia="en-US" w:bidi="ar"/>
              </w:rPr>
              <w:t xml:space="preserve">采购包号</w:t>
            </w:r>
            <w:r/>
          </w:p>
        </w:tc>
        <w:tc>
          <w:tcPr>
            <w:tcBorders>
              <w:top w:val="single" w:color="000000" w:sz="4" w:space="0"/>
              <w:left w:val="single" w:color="000000" w:sz="4" w:space="0"/>
              <w:bottom w:val="single" w:color="000000" w:sz="4" w:space="0"/>
              <w:right w:val="single" w:color="000000" w:sz="4" w:space="0"/>
            </w:tcBorders>
            <w:tcW w:w="2800" w:type="dxa"/>
            <w:textDirection w:val="lrTb"/>
            <w:noWrap w:val="false"/>
          </w:tcPr>
          <w:p>
            <w:pPr>
              <w:jc w:val="center"/>
              <w:rPr>
                <w:rFonts w:hint="eastAsia" w:ascii="宋体" w:hAnsi="宋体" w:cs="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lang w:eastAsia="en-US"/>
              </w:rPr>
            </w:pPr>
            <w:r>
              <w:rPr>
                <w:rFonts w:hint="eastAsia" w:ascii="宋体" w:hAnsi="宋体" w:cs="宋体"/>
                <w:lang w:eastAsia="en-US" w:bidi="ar"/>
              </w:rPr>
              <w:t xml:space="preserve">1</w:t>
            </w:r>
            <w:r/>
          </w:p>
        </w:tc>
        <w:tc>
          <w:tcPr>
            <w:tcBorders>
              <w:top w:val="single" w:color="000000" w:sz="4" w:space="0"/>
              <w:left w:val="single" w:color="000000" w:sz="4" w:space="0"/>
              <w:bottom w:val="single" w:color="000000" w:sz="4" w:space="0"/>
              <w:right w:val="single" w:color="000000" w:sz="4" w:space="0"/>
            </w:tcBorders>
            <w:tcW w:w="2800" w:type="dxa"/>
            <w:textDirection w:val="lrTb"/>
            <w:noWrap w:val="false"/>
          </w:tcPr>
          <w:p>
            <w:pPr>
              <w:jc w:val="center"/>
              <w:rPr>
                <w:rFonts w:hint="eastAsia" w:ascii="宋体" w:hAnsi="宋体" w:cs="宋体"/>
                <w:lang w:eastAsia="en-US"/>
              </w:rPr>
            </w:pPr>
            <w:r>
              <w:rPr>
                <w:rFonts w:ascii="宋体" w:hAnsi="宋体"/>
                <w:lang w:eastAsia="en-US"/>
              </w:rPr>
              <w:t xml:space="preserve">210 </w:t>
            </w:r>
            <w:r/>
          </w:p>
        </w:tc>
      </w:tr>
    </w:tbl>
    <w:p>
      <w:pPr>
        <w:ind w:firstLine="480"/>
        <w:spacing w:line="400" w:lineRule="exact"/>
        <w:rPr>
          <w:rFonts w:hint="eastAsia" w:ascii="宋体" w:hAnsi="宋体" w:cs="宋体"/>
          <w:sz w:val="24"/>
          <w:szCs w:val="24"/>
        </w:rPr>
      </w:pPr>
      <w:r>
        <w:rPr>
          <w:rFonts w:hint="eastAsia" w:ascii="宋体" w:hAnsi="宋体"/>
          <w:sz w:val="24"/>
          <w:szCs w:val="24"/>
        </w:rPr>
        <w:t xml:space="preserve">4.最高限价：</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052"/>
        <w:gridCol w:w="3883"/>
      </w:tblGrid>
      <w:tr>
        <w:trPr>
          <w:trHeight w:val="549"/>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lang w:eastAsia="en-US"/>
              </w:rPr>
            </w:pPr>
            <w:r>
              <w:rPr>
                <w:rFonts w:hint="eastAsia" w:ascii="宋体" w:hAnsi="宋体" w:cs="宋体"/>
                <w:lang w:eastAsia="en-US" w:bidi="ar"/>
              </w:rPr>
              <w:t xml:space="preserve">采购包号</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rPr>
                <w:rFonts w:hint="eastAsia" w:ascii="宋体" w:hAnsi="宋体" w:cs="宋体"/>
              </w:rPr>
            </w:pPr>
            <w:r>
              <w:rPr>
                <w:rFonts w:hint="eastAsia" w:ascii="宋体" w:hAnsi="宋体" w:cs="宋体"/>
                <w:lang w:bidi="ar"/>
              </w:rPr>
              <w:t xml:space="preserve">是否设定最高限价（是/否）</w:t>
            </w:r>
            <w:r/>
          </w:p>
        </w:tc>
        <w:tc>
          <w:tcPr>
            <w:tcBorders>
              <w:top w:val="single" w:color="000000" w:sz="4" w:space="0"/>
              <w:left w:val="single" w:color="000000" w:sz="4" w:space="0"/>
              <w:bottom w:val="single" w:color="000000" w:sz="4" w:space="0"/>
              <w:right w:val="single" w:color="000000" w:sz="4" w:space="0"/>
            </w:tcBorders>
            <w:tcW w:w="3883" w:type="dxa"/>
            <w:textDirection w:val="lrTb"/>
            <w:noWrap w:val="false"/>
          </w:tcPr>
          <w:p>
            <w:pPr>
              <w:jc w:val="center"/>
              <w:rPr>
                <w:rFonts w:hint="eastAsia" w:ascii="宋体" w:hAnsi="宋体" w:cs="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lang w:eastAsia="en-US"/>
              </w:rPr>
            </w:pPr>
            <w:r>
              <w:rPr>
                <w:rFonts w:hint="eastAsia" w:ascii="宋体" w:hAnsi="宋体" w:cs="宋体"/>
                <w:lang w:eastAsia="en-US" w:bidi="ar"/>
              </w:rPr>
              <w:t xml:space="preserve">1</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rPr>
                <w:rFonts w:hint="eastAsia" w:ascii="宋体" w:hAnsi="宋体" w:cs="宋体"/>
                <w:lang w:eastAsia="en-US"/>
              </w:rPr>
            </w:pPr>
            <w:r>
              <w:rPr>
                <w:rFonts w:hint="eastAsia" w:ascii="宋体" w:hAnsi="宋体" w:cs="宋体"/>
                <w:lang w:eastAsia="en-US" w:bidi="ar"/>
              </w:rPr>
              <w:t xml:space="preserve">是</w:t>
            </w:r>
            <w:r/>
          </w:p>
        </w:tc>
        <w:tc>
          <w:tcPr>
            <w:tcBorders>
              <w:top w:val="single" w:color="000000" w:sz="4" w:space="0"/>
              <w:left w:val="single" w:color="000000" w:sz="4" w:space="0"/>
              <w:bottom w:val="single" w:color="000000" w:sz="4" w:space="0"/>
              <w:right w:val="single" w:color="000000" w:sz="4" w:space="0"/>
            </w:tcBorders>
            <w:tcW w:w="3883" w:type="dxa"/>
            <w:textDirection w:val="lrTb"/>
            <w:noWrap w:val="false"/>
          </w:tcPr>
          <w:p>
            <w:pPr>
              <w:jc w:val="center"/>
              <w:rPr>
                <w:rFonts w:hint="eastAsia" w:ascii="宋体" w:hAnsi="宋体" w:cs="宋体"/>
                <w:lang w:eastAsia="en-US"/>
              </w:rPr>
            </w:pPr>
            <w:r>
              <w:rPr>
                <w:rFonts w:ascii="宋体" w:hAnsi="宋体"/>
                <w:lang w:eastAsia="en-US"/>
              </w:rPr>
              <w:t xml:space="preserve">210 </w:t>
            </w:r>
            <w:r/>
          </w:p>
        </w:tc>
      </w:tr>
    </w:tbl>
    <w:p>
      <w:pPr>
        <w:ind w:firstLine="480"/>
        <w:spacing w:line="400" w:lineRule="exact"/>
        <w:rPr>
          <w:rFonts w:hint="eastAsia" w:ascii="宋体" w:hAnsi="宋体" w:cs="宋体"/>
          <w:sz w:val="24"/>
          <w:szCs w:val="24"/>
        </w:rPr>
      </w:pPr>
      <w:r>
        <w:rPr>
          <w:rFonts w:hint="eastAsia" w:ascii="宋体" w:hAnsi="宋体"/>
          <w:sz w:val="24"/>
          <w:szCs w:val="24"/>
        </w:rPr>
        <w:t xml:space="preserve">5.采购需求（简介）：</w:t>
      </w:r>
      <w:r>
        <w:rPr>
          <w:rFonts w:hint="eastAsia" w:ascii="宋体" w:hAnsi="宋体" w:cs="宋体"/>
          <w:sz w:val="24"/>
          <w:szCs w:val="24"/>
        </w:rPr>
        <w:t xml:space="preserve">医院云灾备服务扩容，采购一体化数字运维管控系统、云服务器（南京）、镜像服务、裸金属（南京）、云服务器（异地）、服务器托管、电路、本地运维共8类内容（详细内容见本招标文件第四章）。</w:t>
      </w:r>
      <w:r/>
    </w:p>
    <w:p>
      <w:pPr>
        <w:ind w:firstLine="480"/>
        <w:spacing w:line="400" w:lineRule="exact"/>
        <w:rPr>
          <w:rFonts w:hint="eastAsia" w:ascii="宋体" w:hAnsi="宋体" w:cs="宋体"/>
          <w:sz w:val="24"/>
          <w:szCs w:val="24"/>
        </w:rPr>
      </w:pPr>
      <w:r>
        <w:rPr>
          <w:rFonts w:hint="eastAsia" w:ascii="宋体" w:hAnsi="宋体"/>
          <w:sz w:val="24"/>
          <w:szCs w:val="24"/>
        </w:rPr>
        <w:t xml:space="preserve">6.合同履行期限：</w:t>
      </w:r>
      <w:r>
        <w:rPr>
          <w:rFonts w:hint="eastAsia" w:ascii="宋体" w:hAnsi="宋体" w:cs="宋体"/>
          <w:sz w:val="24"/>
          <w:szCs w:val="24"/>
        </w:rPr>
        <w:t xml:space="preserve">服务期限3年，合同一年一签，按月托收付款。</w:t>
      </w:r>
      <w:r/>
    </w:p>
    <w:p>
      <w:pPr>
        <w:pStyle w:val="705"/>
        <w:ind w:firstLine="498"/>
        <w:spacing w:before="145" w:after="145" w:line="400" w:lineRule="exact"/>
      </w:pPr>
      <w:r/>
      <w:bookmarkStart w:id="14" w:name="_Toc35393791"/>
      <w:r/>
      <w:bookmarkStart w:id="15" w:name="_Toc28359003"/>
      <w:r/>
      <w:bookmarkStart w:id="16" w:name="_Toc35393622"/>
      <w:r/>
      <w:bookmarkStart w:id="17" w:name="_Toc38985264"/>
      <w:r/>
      <w:bookmarkStart w:id="18" w:name="_Toc28359080"/>
      <w:r>
        <w:rPr>
          <w:rFonts w:hint="eastAsia"/>
        </w:rPr>
        <w:t xml:space="preserve">二、申请人的资格要求</w:t>
      </w:r>
      <w:bookmarkEnd w:id="14"/>
      <w:r/>
      <w:bookmarkEnd w:id="15"/>
      <w:r/>
      <w:bookmarkEnd w:id="16"/>
      <w:r/>
      <w:bookmarkEnd w:id="17"/>
      <w:r/>
      <w:bookmarkEnd w:id="18"/>
      <w:r/>
      <w:r/>
    </w:p>
    <w:p>
      <w:pPr>
        <w:ind w:firstLine="480"/>
        <w:spacing w:line="400" w:lineRule="exact"/>
        <w:rPr>
          <w:rFonts w:hint="eastAsia" w:ascii="宋体" w:hAnsi="宋体"/>
          <w:sz w:val="24"/>
          <w:szCs w:val="24"/>
        </w:rPr>
      </w:pPr>
      <w:r/>
      <w:bookmarkStart w:id="19" w:name="_Toc28359081"/>
      <w:r/>
      <w:bookmarkStart w:id="20" w:name="_Toc38985265"/>
      <w:r/>
      <w:bookmarkStart w:id="21" w:name="_Toc35393792"/>
      <w:r/>
      <w:bookmarkStart w:id="22" w:name="_Toc28359004"/>
      <w:r/>
      <w:bookmarkStart w:id="23"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hint="eastAsia" w:ascii="宋体" w:hAnsi="宋体"/>
          <w:sz w:val="24"/>
          <w:szCs w:val="24"/>
        </w:rPr>
      </w:pPr>
      <w:r>
        <w:rPr>
          <w:rFonts w:hint="eastAsia" w:ascii="宋体" w:hAnsi="宋体"/>
          <w:sz w:val="24"/>
          <w:szCs w:val="24"/>
        </w:rPr>
        <w:t xml:space="preserve">1.2 上一年度的财务状况报告（成立不满一年无需提供）；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numPr>
          <w:ilvl w:val="0"/>
          <w:numId w:val="6"/>
        </w:numPr>
        <w:ind w:firstLine="480"/>
        <w:spacing w:line="400" w:lineRule="exact"/>
        <w:rPr>
          <w:rFonts w:hint="eastAsia" w:ascii="宋体" w:hAnsi="宋体"/>
          <w:sz w:val="24"/>
          <w:szCs w:val="24"/>
        </w:rPr>
      </w:pPr>
      <w:r>
        <w:rPr>
          <w:rFonts w:hint="eastAsia" w:ascii="宋体" w:hAnsi="宋体"/>
          <w:sz w:val="24"/>
          <w:szCs w:val="24"/>
        </w:rPr>
        <w:t xml:space="preserve">在“信用中国”网站（www.creditchina.gov.cn）查询，不存在被列入失信被执行人、重大税收违法案件当事人名单、政府采购严重失信行为记录名单及其他不</w:t>
      </w:r>
      <w:r>
        <w:rPr>
          <w:rFonts w:hint="eastAsia" w:ascii="宋体" w:hAnsi="宋体"/>
          <w:sz w:val="24"/>
          <w:szCs w:val="24"/>
        </w:rPr>
        <w:t xml:space="preserve">符合《中华人民共和国政府采购法》第二十二条规定条件的信用记录情形。（投标文件中无需提供证明材料）</w:t>
      </w:r>
      <w:r/>
    </w:p>
    <w:p>
      <w:pPr>
        <w:ind w:firstLine="480"/>
        <w:spacing w:line="40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rPr>
        <w:t xml:space="preserve">：本项目不接受联合</w:t>
      </w:r>
      <w:r>
        <w:rPr>
          <w:rFonts w:ascii="宋体" w:hAnsi="宋体"/>
          <w:sz w:val="24"/>
          <w:szCs w:val="24"/>
        </w:rPr>
        <w:t xml:space="preserve">体投标</w:t>
      </w:r>
      <w:r/>
    </w:p>
    <w:p>
      <w:pPr>
        <w:ind w:firstLine="480"/>
        <w:spacing w:line="400" w:lineRule="exact"/>
        <w:rPr>
          <w:rFonts w:hint="eastAsia" w:ascii="宋体" w:hAnsi="宋体"/>
          <w:sz w:val="24"/>
          <w:szCs w:val="24"/>
        </w:rPr>
      </w:pPr>
      <w:r>
        <w:rPr>
          <w:rFonts w:hint="eastAsia" w:ascii="宋体" w:hAnsi="宋体"/>
          <w:sz w:val="24"/>
          <w:szCs w:val="24"/>
        </w:rPr>
        <w:t xml:space="preserve">（二）本项目的特定资格要求：无</w:t>
      </w:r>
      <w:r/>
    </w:p>
    <w:p>
      <w:pPr>
        <w:ind w:firstLine="480"/>
        <w:spacing w:line="400" w:lineRule="exact"/>
        <w:rPr>
          <w:b/>
          <w:bCs/>
          <w:sz w:val="32"/>
          <w:szCs w:val="32"/>
        </w:rPr>
      </w:pPr>
      <w:r>
        <w:rPr>
          <w:rFonts w:hint="eastAsia"/>
          <w:b/>
          <w:bCs/>
          <w:sz w:val="32"/>
          <w:szCs w:val="32"/>
        </w:rPr>
        <w:t xml:space="preserve">三、获取招标文件</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2.方式：在“江苏政府采购网”自行免费下载招标文件。</w:t>
      </w:r>
      <w:r/>
    </w:p>
    <w:p>
      <w:pPr>
        <w:pStyle w:val="705"/>
        <w:ind w:firstLine="498"/>
        <w:spacing w:before="145" w:after="145" w:line="400" w:lineRule="exact"/>
      </w:pPr>
      <w:r/>
      <w:bookmarkStart w:id="24" w:name="_Toc28359005"/>
      <w:r/>
      <w:bookmarkStart w:id="25" w:name="_Toc28359082"/>
      <w:r/>
      <w:bookmarkStart w:id="26" w:name="_Toc38985266"/>
      <w:r/>
      <w:bookmarkStart w:id="27" w:name="_Toc35393793"/>
      <w:r/>
      <w:bookmarkStart w:id="28" w:name="_Toc35393624"/>
      <w:r/>
      <w:bookmarkEnd w:id="19"/>
      <w:r/>
      <w:bookmarkEnd w:id="20"/>
      <w:r/>
      <w:bookmarkEnd w:id="21"/>
      <w:r/>
      <w:bookmarkEnd w:id="22"/>
      <w:r/>
      <w:bookmarkEnd w:id="23"/>
      <w:r>
        <w:rPr>
          <w:rFonts w:hint="eastAsia"/>
        </w:rPr>
        <w:t xml:space="preserve">四、提交投标文件</w:t>
      </w:r>
      <w:bookmarkEnd w:id="24"/>
      <w:r/>
      <w:bookmarkEnd w:id="25"/>
      <w:r>
        <w:rPr>
          <w:rFonts w:hint="eastAsia"/>
        </w:rPr>
        <w:t xml:space="preserve">截止时间、开标时间和地点</w:t>
      </w:r>
      <w:bookmarkEnd w:id="26"/>
      <w:r/>
      <w:bookmarkEnd w:id="27"/>
      <w:r/>
      <w:bookmarkEnd w:id="28"/>
      <w:r/>
      <w:r/>
    </w:p>
    <w:p>
      <w:pPr>
        <w:ind w:firstLine="480"/>
        <w:spacing w:line="400" w:lineRule="exact"/>
        <w:rPr>
          <w:rFonts w:hint="eastAsia"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2026年11月20日09点30分</w:t>
      </w:r>
      <w:r>
        <w:rPr>
          <w:rFonts w:hint="eastAsia" w:ascii="宋体" w:hAnsi="宋体"/>
          <w:bCs/>
          <w:sz w:val="24"/>
          <w:szCs w:val="24"/>
        </w:rPr>
        <w:t xml:space="preserve">（北京时间）</w:t>
      </w:r>
      <w:r/>
    </w:p>
    <w:p>
      <w:pPr>
        <w:ind w:firstLine="480"/>
        <w:spacing w:line="400" w:lineRule="exact"/>
        <w:rPr>
          <w:rFonts w:hint="eastAsia"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sz w:val="32"/>
          <w:szCs w:val="32"/>
        </w:rPr>
        <w:outlineLvl w:val="2"/>
      </w:pPr>
      <w:r/>
      <w:bookmarkStart w:id="29" w:name="_Toc28359084"/>
      <w:r/>
      <w:bookmarkStart w:id="30" w:name="_Toc38985267"/>
      <w:r/>
      <w:bookmarkStart w:id="31" w:name="_Toc35393625"/>
      <w:r/>
      <w:bookmarkStart w:id="32" w:name="_Toc35393794"/>
      <w:r/>
      <w:bookmarkStart w:id="33" w:name="_Toc28359007"/>
      <w:r>
        <w:rPr>
          <w:rFonts w:hint="eastAsia"/>
          <w:b/>
          <w:bCs/>
          <w:sz w:val="32"/>
          <w:szCs w:val="32"/>
        </w:rPr>
        <w:t xml:space="preserve">五、公告期限</w:t>
      </w:r>
      <w:bookmarkEnd w:id="29"/>
      <w:r/>
      <w:bookmarkEnd w:id="30"/>
      <w:r/>
      <w:bookmarkEnd w:id="31"/>
      <w:r/>
      <w:bookmarkEnd w:id="32"/>
      <w:r/>
      <w:bookmarkEnd w:id="33"/>
      <w:r/>
      <w:r/>
    </w:p>
    <w:p>
      <w:pPr>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pStyle w:val="705"/>
        <w:ind w:firstLine="498"/>
        <w:spacing w:before="145" w:after="145" w:line="400" w:lineRule="exact"/>
      </w:pPr>
      <w:r/>
      <w:bookmarkStart w:id="34" w:name="_Toc38985268"/>
      <w:r/>
      <w:bookmarkStart w:id="35" w:name="_Toc35393795"/>
      <w:r/>
      <w:bookmarkStart w:id="36" w:name="_Toc35393626"/>
      <w:r>
        <w:rPr>
          <w:rFonts w:hint="eastAsia"/>
        </w:rPr>
        <w:t xml:space="preserve">六、其他补充事宜</w:t>
      </w:r>
      <w:bookmarkEnd w:id="34"/>
      <w:r/>
      <w:bookmarkEnd w:id="35"/>
      <w:r/>
      <w:bookmarkEnd w:id="36"/>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无。</w:t>
      </w:r>
      <w:r/>
    </w:p>
    <w:p>
      <w:pPr>
        <w:pStyle w:val="705"/>
        <w:ind w:firstLine="498"/>
        <w:spacing w:before="145" w:after="145" w:line="400" w:lineRule="exact"/>
      </w:pPr>
      <w:r/>
      <w:bookmarkStart w:id="37" w:name="_Toc28359085"/>
      <w:r/>
      <w:bookmarkStart w:id="38" w:name="_Toc28359008"/>
      <w:r/>
      <w:bookmarkStart w:id="39" w:name="_Toc35393627"/>
      <w:r/>
      <w:bookmarkStart w:id="40" w:name="_Toc35393796"/>
      <w:r/>
      <w:bookmarkStart w:id="41" w:name="_Toc38985269"/>
      <w:r>
        <w:rPr>
          <w:rFonts w:hint="eastAsia"/>
        </w:rPr>
        <w:t xml:space="preserve">七、本次招标联系方式</w:t>
      </w:r>
      <w:bookmarkEnd w:id="37"/>
      <w:r/>
      <w:bookmarkEnd w:id="38"/>
      <w:r/>
      <w:bookmarkEnd w:id="39"/>
      <w:r/>
      <w:bookmarkEnd w:id="40"/>
      <w:r/>
      <w:bookmarkEnd w:id="41"/>
      <w:r/>
      <w:r/>
    </w:p>
    <w:p>
      <w:pPr>
        <w:ind w:left="1079" w:hanging="512"/>
        <w:jc w:val="left"/>
        <w:spacing w:line="400" w:lineRule="exact"/>
        <w:rPr>
          <w:rFonts w:hint="eastAsia" w:ascii="宋体" w:hAnsi="宋体" w:cs="宋体"/>
          <w:sz w:val="24"/>
          <w:szCs w:val="24"/>
        </w:rPr>
      </w:pPr>
      <w:r>
        <w:rPr>
          <w:rFonts w:hint="eastAsia" w:ascii="宋体" w:hAnsi="宋体" w:cs="宋体"/>
          <w:sz w:val="24"/>
          <w:szCs w:val="24"/>
        </w:rPr>
        <w:t xml:space="preserve">1.采购人信息</w:t>
      </w:r>
      <w:r/>
    </w:p>
    <w:p>
      <w:pPr>
        <w:ind w:left="210" w:firstLine="480"/>
        <w:spacing w:line="400" w:lineRule="exact"/>
        <w:rPr>
          <w:rFonts w:hint="eastAsia" w:ascii="宋体" w:hAnsi="宋体" w:cs="宋体"/>
          <w:bCs/>
          <w:sz w:val="24"/>
          <w:szCs w:val="24"/>
          <w:u w:val="single"/>
        </w:rPr>
      </w:pPr>
      <w:r/>
      <w:bookmarkStart w:id="42" w:name="_Toc28359009"/>
      <w:r/>
      <w:bookmarkStart w:id="43" w:name="_Toc28359086"/>
      <w:r>
        <w:rPr>
          <w:rFonts w:hint="eastAsia" w:ascii="宋体" w:hAnsi="宋体" w:cs="宋体"/>
          <w:bCs/>
          <w:sz w:val="24"/>
          <w:szCs w:val="24"/>
          <w:u w:val="single"/>
          <w:lang w:bidi="ar"/>
        </w:rPr>
        <w:t xml:space="preserve">名 称：江苏省第二中医院</w:t>
      </w:r>
      <w:r/>
    </w:p>
    <w:p>
      <w:pPr>
        <w:ind w:left="210" w:firstLine="480"/>
        <w:spacing w:line="400" w:lineRule="exact"/>
        <w:rPr>
          <w:rFonts w:hint="eastAsia" w:ascii="宋体" w:hAnsi="宋体" w:cs="宋体"/>
          <w:bCs/>
          <w:sz w:val="24"/>
          <w:szCs w:val="24"/>
          <w:u w:val="single"/>
        </w:rPr>
      </w:pPr>
      <w:r>
        <w:rPr>
          <w:rFonts w:hint="eastAsia" w:ascii="宋体" w:hAnsi="宋体" w:cs="宋体"/>
          <w:bCs/>
          <w:sz w:val="24"/>
          <w:szCs w:val="24"/>
          <w:u w:val="single"/>
          <w:lang w:bidi="ar"/>
        </w:rPr>
        <w:t xml:space="preserve">地址：</w:t>
      </w:r>
      <w:r>
        <w:rPr>
          <w:rFonts w:hint="eastAsia" w:ascii="宋体" w:hAnsi="宋体"/>
          <w:sz w:val="24"/>
          <w:szCs w:val="24"/>
          <w:u w:val="single"/>
        </w:rPr>
        <w:t xml:space="preserve">南京市南湖路23号</w:t>
      </w:r>
      <w:r/>
    </w:p>
    <w:p>
      <w:pPr>
        <w:ind w:left="210" w:firstLine="480"/>
        <w:spacing w:line="400" w:lineRule="exact"/>
        <w:rPr>
          <w:rFonts w:hint="eastAsia" w:ascii="宋体" w:hAnsi="宋体" w:cs="宋体"/>
          <w:bCs/>
          <w:sz w:val="24"/>
          <w:szCs w:val="24"/>
          <w:u w:val="single"/>
        </w:rPr>
      </w:pPr>
      <w:r>
        <w:rPr>
          <w:rFonts w:hint="eastAsia" w:ascii="宋体" w:hAnsi="宋体" w:cs="宋体"/>
          <w:bCs/>
          <w:sz w:val="24"/>
          <w:szCs w:val="24"/>
          <w:u w:val="single"/>
          <w:lang w:bidi="ar"/>
        </w:rPr>
        <w:t xml:space="preserve">联系人：</w:t>
      </w:r>
      <w:r>
        <w:rPr>
          <w:rFonts w:hint="eastAsia" w:ascii="宋体" w:hAnsi="宋体"/>
          <w:sz w:val="24"/>
          <w:szCs w:val="24"/>
          <w:u w:val="single"/>
        </w:rPr>
        <w:t xml:space="preserve">纪蓉</w:t>
      </w:r>
      <w:r/>
    </w:p>
    <w:p>
      <w:pPr>
        <w:ind w:left="210" w:firstLine="480"/>
        <w:spacing w:line="400" w:lineRule="exact"/>
        <w:rPr>
          <w:rFonts w:hint="eastAsia" w:ascii="宋体" w:hAnsi="宋体" w:cs="宋体"/>
          <w:bCs/>
          <w:sz w:val="24"/>
          <w:szCs w:val="24"/>
          <w:u w:val="single"/>
        </w:rPr>
      </w:pPr>
      <w:r>
        <w:rPr>
          <w:rFonts w:hint="eastAsia" w:ascii="宋体" w:hAnsi="宋体" w:cs="宋体"/>
          <w:bCs/>
          <w:sz w:val="24"/>
          <w:szCs w:val="24"/>
          <w:u w:val="single"/>
          <w:lang w:bidi="ar"/>
        </w:rPr>
        <w:t xml:space="preserve">联系方式：</w:t>
      </w:r>
      <w:r>
        <w:rPr>
          <w:rFonts w:ascii="宋体" w:hAnsi="宋体"/>
          <w:sz w:val="24"/>
          <w:szCs w:val="24"/>
          <w:u w:val="single"/>
        </w:rPr>
        <w:t xml:space="preserve">13951752527</w:t>
      </w:r>
      <w:r/>
    </w:p>
    <w:p>
      <w:pPr>
        <w:ind w:left="1079" w:hanging="512"/>
        <w:jc w:val="left"/>
        <w:spacing w:line="400" w:lineRule="exact"/>
        <w:rPr>
          <w:rFonts w:hint="eastAsia" w:ascii="宋体" w:hAnsi="宋体" w:cs="宋体"/>
          <w:sz w:val="24"/>
          <w:szCs w:val="24"/>
        </w:rPr>
      </w:pPr>
      <w:r>
        <w:rPr>
          <w:rFonts w:hint="eastAsia" w:ascii="宋体" w:hAnsi="宋体" w:cs="宋体"/>
          <w:sz w:val="24"/>
          <w:szCs w:val="24"/>
        </w:rPr>
        <w:t xml:space="preserve">2.江苏省政府采购中心信息</w:t>
      </w:r>
      <w:bookmarkStart w:id="44" w:name="_Toc28359087"/>
      <w:r/>
      <w:bookmarkStart w:id="45" w:name="_Toc28359010"/>
      <w:r/>
      <w:bookmarkEnd w:id="42"/>
      <w:r/>
      <w:bookmarkEnd w:id="43"/>
      <w:r/>
      <w:r/>
    </w:p>
    <w:p>
      <w:pPr>
        <w:ind w:left="1079" w:hanging="512"/>
        <w:jc w:val="left"/>
        <w:spacing w:line="400" w:lineRule="exact"/>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南京市建邺区汉中门大街145号三楼</w:t>
      </w:r>
      <w:bookmarkEnd w:id="44"/>
      <w:r/>
      <w:bookmarkEnd w:id="45"/>
      <w:r/>
      <w:r/>
    </w:p>
    <w:p>
      <w:pPr>
        <w:ind w:left="1079" w:hanging="512"/>
        <w:jc w:val="left"/>
        <w:spacing w:line="4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付钢、唐文</w:t>
      </w:r>
      <w:r/>
    </w:p>
    <w:p>
      <w:pPr>
        <w:ind w:left="1079" w:hanging="512"/>
        <w:jc w:val="left"/>
        <w:spacing w:line="400" w:lineRule="exact"/>
        <w:rPr>
          <w:rFonts w:hint="eastAsia"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w:t>
      </w:r>
      <w:r>
        <w:rPr>
          <w:rFonts w:ascii="宋体" w:hAnsi="宋体"/>
          <w:sz w:val="24"/>
          <w:szCs w:val="24"/>
          <w:u w:val="single"/>
        </w:rPr>
        <w:t xml:space="preserve">25-83668520</w:t>
      </w:r>
      <w:r>
        <w:rPr>
          <w:rFonts w:hint="eastAsia" w:ascii="宋体" w:hAnsi="宋体"/>
          <w:sz w:val="24"/>
          <w:szCs w:val="24"/>
          <w:u w:val="single"/>
        </w:rPr>
        <w:t xml:space="preserve">、83668519</w:t>
      </w:r>
      <w:r/>
    </w:p>
    <w:p>
      <w:pPr>
        <w:pStyle w:val="705"/>
        <w:ind w:firstLine="498"/>
        <w:spacing w:before="145" w:after="145" w:line="400" w:lineRule="exact"/>
      </w:pPr>
      <w:r>
        <w:rPr>
          <w:rFonts w:hint="eastAsia"/>
        </w:rPr>
        <w:t xml:space="preserve">八、其他</w:t>
      </w:r>
      <w:r/>
    </w:p>
    <w:p>
      <w:pPr>
        <w:ind w:firstLine="480"/>
        <w:spacing w:line="40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w:t>
      </w:r>
      <w:r>
        <w:rPr>
          <w:rFonts w:hint="eastAsia" w:ascii="宋体" w:hAnsi="宋体"/>
          <w:bCs/>
          <w:sz w:val="24"/>
          <w:szCs w:val="24"/>
        </w:rPr>
        <w:t xml:space="preserve">需要更换CA数字证书和电子签章。具体办理指南和操作手册见链接：</w:t>
      </w:r>
      <w:r>
        <w:rPr>
          <w:bCs/>
        </w:rPr>
        <w:t xml:space="preserve">http://www.ccgp-jiangsu.gov.cn/jiangsu/zlxz/ee/ee3a4bc5a3454aa2b0d9312230633ce9.html</w:t>
      </w:r>
      <w:r>
        <w:rPr>
          <w:bCs/>
        </w:rPr>
        <w:t xml:space="preserve">。</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3.本次招标不收取投标保证金。 </w:t>
      </w:r>
      <w:r/>
    </w:p>
    <w:p>
      <w:pPr>
        <w:ind w:right="840"/>
        <w:rPr>
          <w:rFonts w:hint="eastAsia" w:ascii="宋体" w:hAnsi="宋体"/>
          <w:sz w:val="24"/>
          <w:szCs w:val="24"/>
        </w:rPr>
      </w:pPr>
      <w:r>
        <w:rPr>
          <w:rFonts w:ascii="宋体" w:hAnsi="宋体"/>
          <w:sz w:val="24"/>
          <w:szCs w:val="24"/>
        </w:rPr>
        <w:br w:type="page" w:clear="all"/>
      </w:r>
      <w:r/>
    </w:p>
    <w:p>
      <w:pPr>
        <w:pStyle w:val="703"/>
        <w:rPr>
          <w:rFonts w:ascii="黑体" w:eastAsia="黑体"/>
          <w:sz w:val="44"/>
          <w:szCs w:val="44"/>
        </w:rPr>
      </w:pPr>
      <w:r/>
      <w:bookmarkStart w:id="46" w:name="_Toc120614211"/>
      <w:r/>
      <w:bookmarkStart w:id="47" w:name="_Toc239690741"/>
      <w:r>
        <w:rPr>
          <w:rFonts w:hint="eastAsia" w:ascii="黑体" w:eastAsia="黑体"/>
          <w:sz w:val="44"/>
          <w:szCs w:val="44"/>
        </w:rPr>
        <w:t xml:space="preserve">第二章  </w:t>
      </w:r>
      <w:bookmarkStart w:id="48" w:name="_Toc513029202"/>
      <w:r/>
      <w:bookmarkStart w:id="49" w:name="_Toc20823274"/>
      <w:r/>
      <w:bookmarkStart w:id="50" w:name="_Toc120614213"/>
      <w:r/>
      <w:bookmarkStart w:id="51" w:name="_Toc16938518"/>
      <w:r/>
      <w:bookmarkEnd w:id="1"/>
      <w:r/>
      <w:bookmarkEnd w:id="2"/>
      <w:r/>
      <w:bookmarkEnd w:id="3"/>
      <w:r/>
      <w:bookmarkEnd w:id="4"/>
      <w:r/>
      <w:bookmarkEnd w:id="5"/>
      <w:r/>
      <w:bookmarkEnd w:id="46"/>
      <w:r>
        <w:rPr>
          <w:rFonts w:hint="eastAsia" w:ascii="黑体" w:eastAsia="黑体"/>
          <w:sz w:val="44"/>
          <w:szCs w:val="44"/>
        </w:rPr>
        <w:t xml:space="preserve">投标人须知</w:t>
      </w:r>
      <w:bookmarkEnd w:id="47"/>
      <w:r/>
      <w:bookmarkEnd w:id="48"/>
      <w:r/>
      <w:bookmarkEnd w:id="49"/>
      <w:r/>
      <w:bookmarkEnd w:id="50"/>
      <w:r/>
      <w:bookmarkEnd w:id="51"/>
      <w:r/>
      <w:r/>
    </w:p>
    <w:p>
      <w:pPr>
        <w:pStyle w:val="705"/>
        <w:ind w:firstLine="498"/>
        <w:spacing w:before="145" w:after="145" w:line="400" w:lineRule="exact"/>
      </w:pPr>
      <w:r/>
      <w:bookmarkStart w:id="52" w:name="_Toc513029203"/>
      <w:r/>
      <w:bookmarkStart w:id="53" w:name="_Toc16938519"/>
      <w:r/>
      <w:bookmarkStart w:id="54" w:name="_Toc20823275"/>
      <w:r/>
      <w:bookmarkStart w:id="55" w:name="_Toc120614214"/>
      <w:r/>
      <w:bookmarkStart w:id="56" w:name="OLE_LINK4"/>
      <w:r/>
      <w:bookmarkStart w:id="57" w:name="OLE_LINK6"/>
      <w:r/>
      <w:bookmarkStart w:id="58" w:name="OLE_LINK5"/>
      <w:r>
        <w:rPr>
          <w:rFonts w:hint="eastAsia"/>
        </w:rPr>
        <w:t xml:space="preserve">一、总则</w:t>
      </w:r>
      <w:bookmarkEnd w:id="52"/>
      <w:r/>
      <w:bookmarkEnd w:id="53"/>
      <w:r/>
      <w:bookmarkEnd w:id="54"/>
      <w:r/>
      <w:bookmarkEnd w:id="55"/>
      <w:r/>
      <w:r/>
    </w:p>
    <w:p>
      <w:pPr>
        <w:pStyle w:val="706"/>
        <w:ind w:firstLine="420"/>
        <w:spacing w:before="0" w:after="0" w:line="400" w:lineRule="exact"/>
        <w:rPr>
          <w:b w:val="0"/>
          <w:bCs w:val="0"/>
        </w:rPr>
      </w:pPr>
      <w:r/>
      <w:bookmarkStart w:id="59" w:name="_Hlt16619475"/>
      <w:r/>
      <w:bookmarkStart w:id="60" w:name="_Toc458694821"/>
      <w:r/>
      <w:bookmarkStart w:id="61" w:name="_Toc513029204"/>
      <w:r/>
      <w:bookmarkStart w:id="62" w:name="_Toc16938520"/>
      <w:r/>
      <w:bookmarkStart w:id="63" w:name="_Toc20823276"/>
      <w:r/>
      <w:bookmarkEnd w:id="59"/>
      <w:r>
        <w:rPr>
          <w:rFonts w:hint="eastAsia"/>
          <w:b w:val="0"/>
          <w:bCs w:val="0"/>
        </w:rPr>
        <w:t xml:space="preserve">1</w:t>
      </w:r>
      <w:bookmarkEnd w:id="60"/>
      <w:r>
        <w:rPr>
          <w:rFonts w:hint="eastAsia"/>
          <w:b w:val="0"/>
          <w:bCs w:val="0"/>
        </w:rPr>
        <w:t xml:space="preserve">、招标方式</w:t>
      </w:r>
      <w:bookmarkEnd w:id="61"/>
      <w:r/>
      <w:bookmarkEnd w:id="62"/>
      <w:r/>
      <w:bookmarkEnd w:id="63"/>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06"/>
        <w:ind w:firstLine="420"/>
        <w:spacing w:before="0" w:after="0" w:line="400" w:lineRule="exact"/>
        <w:rPr>
          <w:b w:val="0"/>
          <w:bCs w:val="0"/>
        </w:rPr>
      </w:pPr>
      <w:r/>
      <w:bookmarkStart w:id="64" w:name="_Toc16938521"/>
      <w:r/>
      <w:bookmarkStart w:id="65" w:name="_Toc20823277"/>
      <w:r/>
      <w:bookmarkStart w:id="66" w:name="_Toc513029205"/>
      <w:r>
        <w:rPr>
          <w:rFonts w:hint="eastAsia"/>
          <w:b w:val="0"/>
          <w:bCs w:val="0"/>
        </w:rPr>
        <w:t xml:space="preserve">2</w:t>
      </w:r>
      <w:r>
        <w:rPr>
          <w:rFonts w:hint="eastAsia"/>
          <w:b w:val="0"/>
          <w:bCs w:val="0"/>
        </w:rPr>
        <w:t xml:space="preserve">、合格的投标人</w:t>
      </w:r>
      <w:bookmarkEnd w:id="64"/>
      <w:r/>
      <w:bookmarkEnd w:id="65"/>
      <w:r/>
      <w:bookmarkEnd w:id="66"/>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706"/>
        <w:ind w:firstLine="422"/>
        <w:spacing w:before="0" w:after="0" w:line="400" w:lineRule="exact"/>
      </w:pPr>
      <w:r/>
      <w:bookmarkStart w:id="67" w:name="_Toc16938522"/>
      <w:r/>
      <w:bookmarkStart w:id="68" w:name="_Toc20823278"/>
      <w:r/>
      <w:bookmarkStart w:id="69" w:name="_Toc513029206"/>
      <w:r>
        <w:rPr>
          <w:rFonts w:hint="eastAsia"/>
        </w:rPr>
        <w:t xml:space="preserve">3</w:t>
      </w:r>
      <w:r>
        <w:rPr>
          <w:rFonts w:hint="eastAsia"/>
        </w:rPr>
        <w:t xml:space="preserve">、适用法律</w:t>
      </w:r>
      <w:bookmarkEnd w:id="67"/>
      <w:r/>
      <w:bookmarkEnd w:id="68"/>
      <w:r/>
      <w:bookmarkEnd w:id="69"/>
      <w:r>
        <w:rPr>
          <w:rFonts w:hint="eastAsia"/>
        </w:rPr>
        <w:t xml:space="preserve">和标准</w:t>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hint="eastAsia" w:ascii="宋体" w:hAnsi="宋体"/>
          <w:sz w:val="24"/>
        </w:rPr>
      </w:pPr>
      <w:r/>
      <w:bookmarkStart w:id="70" w:name="_Toc20823279"/>
      <w:r/>
      <w:bookmarkStart w:id="71" w:name="_Toc16938523"/>
      <w:r/>
      <w:bookmarkStart w:id="72" w:name="_Toc513029207"/>
      <w:r/>
      <w:bookmarkStart w:id="73" w:name="_Toc462564067"/>
      <w:r>
        <w:rPr>
          <w:rFonts w:hint="eastAsia" w:ascii="宋体" w:hAnsi="宋体"/>
          <w:sz w:val="24"/>
        </w:rPr>
        <w:t xml:space="preserve">3.2 在本项目政府采购活动过程中，如果所执行的标准有更新的，按照最新标准执行。</w:t>
      </w:r>
      <w:r/>
    </w:p>
    <w:p>
      <w:pPr>
        <w:pStyle w:val="706"/>
        <w:ind w:firstLine="420"/>
        <w:spacing w:before="0" w:after="0" w:line="400" w:lineRule="exact"/>
        <w:rPr>
          <w:b w:val="0"/>
          <w:bCs w:val="0"/>
        </w:rPr>
      </w:pPr>
      <w:r>
        <w:rPr>
          <w:rFonts w:hint="eastAsia"/>
          <w:b w:val="0"/>
          <w:bCs w:val="0"/>
        </w:rPr>
        <w:t xml:space="preserve">4</w:t>
      </w:r>
      <w:r>
        <w:rPr>
          <w:rFonts w:hint="eastAsia"/>
          <w:b w:val="0"/>
          <w:bCs w:val="0"/>
        </w:rPr>
        <w:t xml:space="preserve">、投标费用</w:t>
      </w:r>
      <w:bookmarkEnd w:id="70"/>
      <w:r/>
      <w:bookmarkEnd w:id="71"/>
      <w:r/>
      <w:bookmarkEnd w:id="72"/>
      <w:r/>
      <w:bookmarkEnd w:id="73"/>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06"/>
        <w:ind w:firstLine="426"/>
        <w:spacing w:before="0" w:after="0" w:line="40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05"/>
        <w:ind w:firstLine="321"/>
        <w:spacing w:before="145" w:after="145" w:line="400" w:lineRule="exact"/>
      </w:pPr>
      <w:r/>
      <w:bookmarkStart w:id="74" w:name="_Toc120614215"/>
      <w:r/>
      <w:bookmarkStart w:id="75" w:name="_Toc20823281"/>
      <w:r/>
      <w:bookmarkStart w:id="76" w:name="_Toc16938525"/>
      <w:r/>
      <w:bookmarkStart w:id="77" w:name="_Toc513029209"/>
      <w:r>
        <w:rPr>
          <w:rFonts w:hint="eastAsia"/>
        </w:rPr>
        <w:t xml:space="preserve">二、招标文件</w:t>
      </w:r>
      <w:bookmarkEnd w:id="74"/>
      <w:r/>
      <w:bookmarkEnd w:id="75"/>
      <w:r/>
      <w:bookmarkEnd w:id="76"/>
      <w:r/>
      <w:bookmarkEnd w:id="77"/>
      <w:r/>
      <w:r/>
    </w:p>
    <w:p>
      <w:pPr>
        <w:pStyle w:val="706"/>
        <w:ind w:firstLine="420"/>
        <w:spacing w:before="0" w:after="0" w:line="400" w:lineRule="exact"/>
        <w:rPr>
          <w:b w:val="0"/>
          <w:bCs w:val="0"/>
        </w:rPr>
      </w:pPr>
      <w:r/>
      <w:bookmarkStart w:id="78" w:name="_Toc20823282"/>
      <w:r/>
      <w:bookmarkStart w:id="79" w:name="_Toc16938526"/>
      <w:r/>
      <w:bookmarkStart w:id="80" w:name="_Toc513029210"/>
      <w:r>
        <w:rPr>
          <w:rFonts w:hint="eastAsia"/>
          <w:b w:val="0"/>
          <w:bCs w:val="0"/>
        </w:rPr>
        <w:t xml:space="preserve">6</w:t>
      </w:r>
      <w:r>
        <w:rPr>
          <w:rFonts w:hint="eastAsia"/>
          <w:b w:val="0"/>
          <w:bCs w:val="0"/>
        </w:rPr>
        <w:t xml:space="preserve">、招标文件构成</w:t>
      </w:r>
      <w:bookmarkEnd w:id="78"/>
      <w:r/>
      <w:bookmarkEnd w:id="79"/>
      <w:r/>
      <w:bookmarkEnd w:id="80"/>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6"/>
        <w:ind w:firstLine="560"/>
        <w:spacing w:before="0" w:after="0" w:line="400" w:lineRule="exact"/>
        <w:rPr>
          <w:b w:val="0"/>
          <w:bCs w:val="0"/>
        </w:rPr>
      </w:pPr>
      <w:r/>
      <w:bookmarkStart w:id="81" w:name="_Toc16938528"/>
      <w:r/>
      <w:bookmarkStart w:id="82" w:name="_Toc513029212"/>
      <w:r/>
      <w:bookmarkStart w:id="83" w:name="_Toc462564071"/>
      <w:r/>
      <w:bookmarkStart w:id="84" w:name="_Toc20823284"/>
      <w:r>
        <w:rPr>
          <w:b w:val="0"/>
          <w:bCs w:val="0"/>
        </w:rPr>
        <w:t xml:space="preserve">7</w:t>
      </w:r>
      <w:r>
        <w:rPr>
          <w:rFonts w:hint="eastAsia"/>
          <w:b w:val="0"/>
          <w:bCs w:val="0"/>
        </w:rPr>
        <w:t xml:space="preserve">、招标文件的修改</w:t>
      </w:r>
      <w:bookmarkEnd w:id="81"/>
      <w:r/>
      <w:bookmarkEnd w:id="82"/>
      <w:r/>
      <w:bookmarkEnd w:id="83"/>
      <w:r/>
      <w:bookmarkEnd w:id="84"/>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05"/>
        <w:ind w:firstLine="482"/>
        <w:spacing w:before="145" w:after="145" w:line="400" w:lineRule="exact"/>
      </w:pPr>
      <w:r/>
      <w:bookmarkStart w:id="85" w:name="_Toc513029213"/>
      <w:r/>
      <w:bookmarkStart w:id="86" w:name="_Toc462564072"/>
      <w:r/>
      <w:bookmarkStart w:id="87" w:name="_Toc16938529"/>
      <w:r/>
      <w:bookmarkStart w:id="88" w:name="_Toc120614216"/>
      <w:r/>
      <w:bookmarkStart w:id="89" w:name="_Toc20823285"/>
      <w:r>
        <w:rPr>
          <w:rFonts w:hint="eastAsia"/>
        </w:rPr>
        <w:t xml:space="preserve">三、投标文件的编制</w:t>
      </w:r>
      <w:bookmarkEnd w:id="85"/>
      <w:r/>
      <w:bookmarkEnd w:id="86"/>
      <w:r/>
      <w:bookmarkEnd w:id="87"/>
      <w:r/>
      <w:bookmarkEnd w:id="88"/>
      <w:r/>
      <w:bookmarkEnd w:id="89"/>
      <w:r/>
      <w:r/>
    </w:p>
    <w:p>
      <w:pPr>
        <w:pStyle w:val="706"/>
        <w:ind w:firstLine="560"/>
        <w:spacing w:before="0" w:after="0" w:line="400" w:lineRule="exact"/>
        <w:rPr>
          <w:bCs w:val="0"/>
        </w:rPr>
      </w:pPr>
      <w:r/>
      <w:bookmarkStart w:id="90" w:name="_Toc20823286"/>
      <w:r/>
      <w:bookmarkStart w:id="91" w:name="_Toc16938530"/>
      <w:r/>
      <w:bookmarkStart w:id="92" w:name="_Toc513029214"/>
      <w:r/>
      <w:bookmarkStart w:id="93" w:name="_Toc462564073"/>
      <w:r>
        <w:rPr>
          <w:b w:val="0"/>
          <w:bCs w:val="0"/>
        </w:rPr>
        <w:t xml:space="preserve">8</w:t>
      </w:r>
      <w:r>
        <w:rPr>
          <w:rFonts w:hint="eastAsia"/>
          <w:b w:val="0"/>
          <w:bCs w:val="0"/>
        </w:rPr>
        <w:t xml:space="preserve">、投标文件的语言及度量衡单位</w:t>
      </w:r>
      <w:bookmarkEnd w:id="90"/>
      <w:r/>
      <w:bookmarkEnd w:id="91"/>
      <w:r/>
      <w:bookmarkEnd w:id="92"/>
      <w:r/>
      <w:bookmarkEnd w:id="93"/>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706"/>
        <w:ind w:firstLine="420"/>
        <w:spacing w:before="0" w:after="0" w:line="400" w:lineRule="exact"/>
        <w:rPr>
          <w:b w:val="0"/>
          <w:bCs w:val="0"/>
        </w:rPr>
      </w:pPr>
      <w:r/>
      <w:bookmarkStart w:id="94" w:name="_Toc16938531"/>
      <w:r/>
      <w:bookmarkStart w:id="95" w:name="_Toc513029215"/>
      <w:r/>
      <w:bookmarkStart w:id="96" w:name="_Toc20823287"/>
      <w:r/>
      <w:bookmarkStart w:id="97" w:name="_Toc462564074"/>
      <w:r>
        <w:rPr>
          <w:b w:val="0"/>
          <w:bCs w:val="0"/>
        </w:rPr>
        <w:t xml:space="preserve">9</w:t>
      </w:r>
      <w:r>
        <w:rPr>
          <w:rFonts w:hint="eastAsia"/>
          <w:b w:val="0"/>
          <w:bCs w:val="0"/>
        </w:rPr>
        <w:t xml:space="preserve">、投标文件构成</w:t>
      </w:r>
      <w:bookmarkEnd w:id="94"/>
      <w:r/>
      <w:bookmarkEnd w:id="95"/>
      <w:r/>
      <w:bookmarkEnd w:id="96"/>
      <w:r/>
      <w:bookmarkEnd w:id="97"/>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706"/>
        <w:ind w:firstLine="420"/>
        <w:spacing w:before="0" w:after="0" w:line="400" w:lineRule="exact"/>
        <w:rPr>
          <w:b w:val="0"/>
          <w:bCs w:val="0"/>
        </w:rPr>
      </w:pPr>
      <w:r/>
      <w:bookmarkStart w:id="98" w:name="_Hlt26954838"/>
      <w:r/>
      <w:bookmarkStart w:id="99" w:name="_Hlt26670360"/>
      <w:r/>
      <w:bookmarkStart w:id="100" w:name="_Hlt26668975"/>
      <w:r/>
      <w:bookmarkStart w:id="101" w:name="_Toc14577357"/>
      <w:r/>
      <w:bookmarkStart w:id="102" w:name="_Toc513029219"/>
      <w:r/>
      <w:bookmarkStart w:id="103" w:name="_Toc49090509"/>
      <w:r/>
      <w:bookmarkStart w:id="104" w:name="_Toc513029216"/>
      <w:r/>
      <w:bookmarkStart w:id="105" w:name="_Toc49090507"/>
      <w:r/>
      <w:bookmarkStart w:id="106" w:name="_Toc14577354"/>
      <w:r/>
      <w:bookmarkEnd w:id="98"/>
      <w:r/>
      <w:bookmarkEnd w:id="99"/>
      <w:r/>
      <w:bookmarkEnd w:id="100"/>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101"/>
      <w:r/>
      <w:bookmarkEnd w:id="102"/>
      <w:r/>
      <w:bookmarkEnd w:id="103"/>
      <w:r/>
      <w:r/>
    </w:p>
    <w:p>
      <w:pPr>
        <w:spacing w:line="400" w:lineRule="exact"/>
        <w:rPr>
          <w:rFonts w:hint="eastAsia" w:ascii="宋体" w:hAnsi="宋体"/>
          <w:sz w:val="24"/>
          <w:szCs w:val="24"/>
        </w:rPr>
      </w:pPr>
      <w:r/>
      <w:bookmarkStart w:id="107" w:name="_Toc14577355"/>
      <w:r/>
      <w:bookmarkStart w:id="108" w:name="_Toc49090508"/>
      <w:r/>
      <w:bookmarkEnd w:id="104"/>
      <w:r/>
      <w:bookmarkEnd w:id="105"/>
      <w:r/>
      <w:bookmarkEnd w:id="106"/>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706"/>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109" w:name="_Hlt26670373"/>
      <w:r/>
      <w:bookmarkEnd w:id="107"/>
      <w:r/>
      <w:bookmarkEnd w:id="109"/>
      <w:r>
        <w:rPr>
          <w:rFonts w:hint="eastAsia"/>
          <w:b w:val="0"/>
          <w:bCs w:val="0"/>
        </w:rPr>
        <w:t xml:space="preserve">表</w:t>
      </w:r>
      <w:bookmarkEnd w:id="108"/>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10" w:name="_Hlt26954840"/>
      <w:r/>
      <w:bookmarkEnd w:id="110"/>
      <w:r>
        <w:rPr>
          <w:rFonts w:hint="eastAsia" w:ascii="宋体" w:hAnsi="宋体"/>
          <w:sz w:val="24"/>
        </w:rPr>
        <w:t xml:space="preserve">标人按照招标文件规定格式填报投标分项报价表</w:t>
      </w:r>
      <w:bookmarkStart w:id="111" w:name="_Hlt26670399"/>
      <w:r/>
      <w:bookmarkEnd w:id="111"/>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06"/>
        <w:ind w:firstLine="420"/>
        <w:spacing w:before="0" w:after="0" w:line="400" w:lineRule="exact"/>
        <w:rPr>
          <w:b w:val="0"/>
          <w:bCs w:val="0"/>
        </w:rPr>
      </w:pPr>
      <w:r/>
      <w:bookmarkStart w:id="112" w:name="_Hlt26670425"/>
      <w:r/>
      <w:bookmarkStart w:id="113" w:name="_Hlt26954846"/>
      <w:r/>
      <w:bookmarkStart w:id="114" w:name="_Hlt26954844"/>
      <w:r/>
      <w:bookmarkStart w:id="115" w:name="_Hlt26954848"/>
      <w:r/>
      <w:bookmarkStart w:id="116" w:name="_Hlt26670403"/>
      <w:r/>
      <w:bookmarkStart w:id="117" w:name="_Hlt26670482"/>
      <w:r/>
      <w:bookmarkStart w:id="118" w:name="_Hlt26954842"/>
      <w:r/>
      <w:bookmarkStart w:id="119" w:name="_Hlt26668983"/>
      <w:r/>
      <w:bookmarkStart w:id="120" w:name="_Hlt26670486"/>
      <w:r/>
      <w:bookmarkStart w:id="121" w:name="_Hlt26954731"/>
      <w:r/>
      <w:bookmarkEnd w:id="112"/>
      <w:r/>
      <w:bookmarkEnd w:id="113"/>
      <w:r/>
      <w:bookmarkEnd w:id="114"/>
      <w:r/>
      <w:bookmarkEnd w:id="115"/>
      <w:r/>
      <w:bookmarkEnd w:id="116"/>
      <w:r/>
      <w:bookmarkEnd w:id="117"/>
      <w:r/>
      <w:bookmarkEnd w:id="118"/>
      <w:r/>
      <w:bookmarkEnd w:id="119"/>
      <w:r/>
      <w:bookmarkEnd w:id="120"/>
      <w:r/>
      <w:bookmarkEnd w:id="121"/>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rPr>
      </w:pPr>
      <w:r/>
      <w:bookmarkStart w:id="122" w:name="_Toc49090510"/>
      <w:r/>
      <w:bookmarkStart w:id="123"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706"/>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706"/>
        <w:ind w:firstLine="420"/>
        <w:spacing w:before="0" w:after="0" w:line="400" w:lineRule="exact"/>
        <w:rPr>
          <w:b w:val="0"/>
          <w:bCs w:val="0"/>
        </w:rPr>
      </w:pPr>
      <w:r/>
      <w:bookmarkStart w:id="124" w:name="_Hlt26954850"/>
      <w:r/>
      <w:bookmarkStart w:id="125" w:name="_Hlt26954734"/>
      <w:r/>
      <w:bookmarkStart w:id="126" w:name="_Hlt26670489"/>
      <w:r/>
      <w:bookmarkStart w:id="127" w:name="_Toc49090511"/>
      <w:r/>
      <w:bookmarkStart w:id="128" w:name="_Toc14577360"/>
      <w:r/>
      <w:bookmarkEnd w:id="122"/>
      <w:r/>
      <w:bookmarkEnd w:id="123"/>
      <w:r/>
      <w:bookmarkEnd w:id="124"/>
      <w:r/>
      <w:bookmarkEnd w:id="125"/>
      <w:r/>
      <w:bookmarkEnd w:id="126"/>
      <w:r>
        <w:rPr>
          <w:rFonts w:hint="eastAsia"/>
          <w:b w:val="0"/>
          <w:bCs w:val="0"/>
        </w:rPr>
        <w:t xml:space="preserve">1</w:t>
      </w:r>
      <w:r>
        <w:rPr>
          <w:b w:val="0"/>
          <w:bCs w:val="0"/>
        </w:rPr>
        <w:t xml:space="preserve">4</w:t>
      </w:r>
      <w:r>
        <w:rPr>
          <w:rFonts w:hint="eastAsia"/>
          <w:b w:val="0"/>
          <w:bCs w:val="0"/>
        </w:rPr>
        <w:t xml:space="preserve">、投标有效期</w:t>
      </w:r>
      <w:bookmarkEnd w:id="127"/>
      <w:r/>
      <w:bookmarkEnd w:id="128"/>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06"/>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05"/>
        <w:ind w:firstLine="482"/>
        <w:spacing w:before="145" w:after="145" w:line="400" w:lineRule="exact"/>
      </w:pPr>
      <w:r/>
      <w:bookmarkStart w:id="129" w:name="_Hlt26954852"/>
      <w:r/>
      <w:bookmarkStart w:id="130" w:name="_Hlt26954739"/>
      <w:r/>
      <w:bookmarkStart w:id="131" w:name="_Toc513029224"/>
      <w:r/>
      <w:bookmarkStart w:id="132" w:name="_Toc120614217"/>
      <w:r/>
      <w:bookmarkStart w:id="133" w:name="_Toc16938540"/>
      <w:r/>
      <w:bookmarkStart w:id="134" w:name="_Toc20823296"/>
      <w:r/>
      <w:bookmarkEnd w:id="129"/>
      <w:r/>
      <w:bookmarkEnd w:id="130"/>
      <w:r>
        <w:rPr>
          <w:rFonts w:hint="eastAsia"/>
        </w:rPr>
        <w:t xml:space="preserve">四、投标文件的递交</w:t>
      </w:r>
      <w:bookmarkEnd w:id="131"/>
      <w:r/>
      <w:bookmarkEnd w:id="132"/>
      <w:r/>
      <w:bookmarkEnd w:id="133"/>
      <w:r/>
      <w:bookmarkEnd w:id="134"/>
      <w:r/>
      <w:r/>
    </w:p>
    <w:p>
      <w:pPr>
        <w:pStyle w:val="706"/>
        <w:ind w:firstLine="560"/>
        <w:spacing w:before="0" w:after="0" w:line="400" w:lineRule="exact"/>
        <w:rPr>
          <w:rFonts w:ascii="黑体"/>
          <w:b w:val="0"/>
          <w:bCs w:val="0"/>
        </w:rPr>
      </w:pPr>
      <w:r/>
      <w:bookmarkStart w:id="135" w:name="_Toc20823297"/>
      <w:r/>
      <w:bookmarkStart w:id="136" w:name="_Toc513029225"/>
      <w:r/>
      <w:bookmarkStart w:id="137" w:name="_Toc462564084"/>
      <w:r/>
      <w:bookmarkStart w:id="138"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765"/>
        <w:ind w:firstLine="523"/>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20823298"/>
      <w:r/>
      <w:bookmarkStart w:id="140" w:name="_Toc16938542"/>
      <w:r/>
      <w:bookmarkStart w:id="141" w:name="_Toc513029226"/>
      <w:r/>
      <w:r/>
    </w:p>
    <w:p>
      <w:pPr>
        <w:pStyle w:val="706"/>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139"/>
      <w:r/>
      <w:bookmarkEnd w:id="140"/>
      <w:r/>
      <w:bookmarkEnd w:id="141"/>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06"/>
        <w:ind w:firstLine="420"/>
        <w:spacing w:before="0" w:after="0" w:line="400" w:lineRule="exact"/>
        <w:rPr>
          <w:b w:val="0"/>
          <w:bCs w:val="0"/>
        </w:rPr>
      </w:pPr>
      <w:r/>
      <w:bookmarkStart w:id="142" w:name="_Toc16938543"/>
      <w:r/>
      <w:bookmarkStart w:id="143" w:name="_Toc20823299"/>
      <w:r/>
      <w:bookmarkStart w:id="144" w:name="_Toc513029227"/>
      <w:r>
        <w:rPr>
          <w:rFonts w:hint="eastAsia"/>
          <w:b w:val="0"/>
          <w:bCs w:val="0"/>
        </w:rPr>
        <w:t xml:space="preserve">1</w:t>
      </w:r>
      <w:r>
        <w:rPr>
          <w:b w:val="0"/>
          <w:bCs w:val="0"/>
        </w:rPr>
        <w:t xml:space="preserve">8</w:t>
      </w:r>
      <w:r>
        <w:rPr>
          <w:rFonts w:hint="eastAsia"/>
          <w:b w:val="0"/>
          <w:bCs w:val="0"/>
        </w:rPr>
        <w:t xml:space="preserve">、投标文件</w:t>
      </w:r>
      <w:bookmarkEnd w:id="142"/>
      <w:r/>
      <w:bookmarkEnd w:id="143"/>
      <w:r/>
      <w:bookmarkEnd w:id="144"/>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706"/>
        <w:ind w:firstLine="420"/>
        <w:spacing w:before="0" w:after="0" w:line="400" w:lineRule="exact"/>
        <w:rPr>
          <w:b w:val="0"/>
          <w:bCs w:val="0"/>
        </w:rPr>
      </w:pPr>
      <w:r/>
      <w:bookmarkStart w:id="145" w:name="_Toc20823300"/>
      <w:r/>
      <w:bookmarkStart w:id="146" w:name="_Toc16938544"/>
      <w:r/>
      <w:bookmarkStart w:id="147" w:name="_Toc513029228"/>
      <w:r>
        <w:rPr>
          <w:b w:val="0"/>
          <w:bCs w:val="0"/>
        </w:rPr>
        <w:t xml:space="preserve">19</w:t>
      </w:r>
      <w:r>
        <w:rPr>
          <w:rFonts w:hint="eastAsia"/>
          <w:b w:val="0"/>
          <w:bCs w:val="0"/>
        </w:rPr>
        <w:t xml:space="preserve">、投标文件的撤回和修改</w:t>
      </w:r>
      <w:bookmarkEnd w:id="145"/>
      <w:r/>
      <w:bookmarkEnd w:id="146"/>
      <w:r/>
      <w:bookmarkEnd w:id="147"/>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705"/>
        <w:ind w:firstLine="482"/>
        <w:spacing w:before="145" w:after="145" w:line="400" w:lineRule="exact"/>
      </w:pPr>
      <w:r/>
      <w:bookmarkStart w:id="148" w:name="_Toc16938545"/>
      <w:r/>
      <w:bookmarkStart w:id="149" w:name="_Toc513029229"/>
      <w:r/>
      <w:bookmarkStart w:id="150" w:name="_Toc120614218"/>
      <w:r/>
      <w:bookmarkStart w:id="151" w:name="_Toc20823301"/>
      <w:r>
        <w:rPr>
          <w:rFonts w:hint="eastAsia"/>
        </w:rPr>
        <w:t xml:space="preserve">五、开标与评标</w:t>
      </w:r>
      <w:bookmarkEnd w:id="148"/>
      <w:r/>
      <w:bookmarkEnd w:id="149"/>
      <w:r/>
      <w:bookmarkEnd w:id="150"/>
      <w:r/>
      <w:bookmarkEnd w:id="151"/>
      <w:r/>
      <w:r/>
    </w:p>
    <w:p>
      <w:pPr>
        <w:pStyle w:val="706"/>
        <w:ind w:firstLine="420"/>
        <w:spacing w:before="0" w:after="0" w:line="400" w:lineRule="exact"/>
        <w:rPr>
          <w:b w:val="0"/>
          <w:bCs w:val="0"/>
        </w:rPr>
      </w:pPr>
      <w:r/>
      <w:bookmarkStart w:id="152" w:name="_Toc16938546"/>
      <w:r/>
      <w:bookmarkStart w:id="153" w:name="_Toc513029230"/>
      <w:r/>
      <w:bookmarkStart w:id="154" w:name="_Toc20823302"/>
      <w:r>
        <w:rPr>
          <w:rFonts w:hint="eastAsia"/>
          <w:b w:val="0"/>
          <w:bCs w:val="0"/>
        </w:rPr>
        <w:t xml:space="preserve">2</w:t>
      </w:r>
      <w:r>
        <w:rPr>
          <w:b w:val="0"/>
          <w:bCs w:val="0"/>
        </w:rPr>
        <w:t xml:space="preserve">0</w:t>
      </w:r>
      <w:r>
        <w:rPr>
          <w:rFonts w:hint="eastAsia"/>
          <w:b w:val="0"/>
          <w:bCs w:val="0"/>
        </w:rPr>
        <w:t xml:space="preserve">、开标</w:t>
      </w:r>
      <w:bookmarkEnd w:id="152"/>
      <w:r/>
      <w:bookmarkEnd w:id="153"/>
      <w:r/>
      <w:bookmarkEnd w:id="154"/>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706"/>
        <w:ind w:firstLine="420"/>
        <w:spacing w:before="0" w:after="0" w:line="400" w:lineRule="exact"/>
        <w:rPr>
          <w:b w:val="0"/>
          <w:bCs w:val="0"/>
        </w:rPr>
      </w:pPr>
      <w:r/>
      <w:bookmarkStart w:id="155" w:name="_Toc513029231"/>
      <w:r/>
      <w:bookmarkStart w:id="156" w:name="_Toc20823303"/>
      <w:r/>
      <w:bookmarkStart w:id="157" w:name="_Toc16938547"/>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706"/>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55"/>
      <w:r/>
      <w:bookmarkEnd w:id="156"/>
      <w:r/>
      <w:bookmarkEnd w:id="157"/>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706"/>
        <w:ind w:firstLine="420"/>
        <w:spacing w:before="0" w:after="0" w:line="400" w:lineRule="exact"/>
        <w:rPr>
          <w:b w:val="0"/>
          <w:bCs w:val="0"/>
        </w:rPr>
      </w:pPr>
      <w:r/>
      <w:bookmarkStart w:id="158" w:name="_Toc20823304"/>
      <w:r/>
      <w:bookmarkStart w:id="159" w:name="_Toc16938548"/>
      <w:r/>
      <w:bookmarkStart w:id="160" w:name="_Toc513029232"/>
      <w:r>
        <w:rPr>
          <w:rFonts w:hint="eastAsia"/>
          <w:b w:val="0"/>
          <w:bCs w:val="0"/>
        </w:rPr>
        <w:t xml:space="preserve">2</w:t>
      </w:r>
      <w:r>
        <w:rPr>
          <w:b w:val="0"/>
          <w:bCs w:val="0"/>
        </w:rPr>
        <w:t xml:space="preserve">3</w:t>
      </w:r>
      <w:r>
        <w:rPr>
          <w:rFonts w:hint="eastAsia"/>
          <w:b w:val="0"/>
          <w:bCs w:val="0"/>
        </w:rPr>
        <w:t xml:space="preserve">、投标文件的澄清</w:t>
      </w:r>
      <w:bookmarkEnd w:id="158"/>
      <w:r/>
      <w:bookmarkEnd w:id="159"/>
      <w:r/>
      <w:bookmarkEnd w:id="160"/>
      <w:r/>
      <w:r/>
    </w:p>
    <w:p>
      <w:pPr>
        <w:ind w:firstLine="480"/>
        <w:spacing w:line="400" w:lineRule="exact"/>
        <w:rPr>
          <w:rFonts w:hint="eastAsia"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w:t>
      </w:r>
      <w:r>
        <w:rPr>
          <w:rFonts w:hint="eastAsia" w:ascii="宋体" w:hAnsi="宋体"/>
          <w:sz w:val="24"/>
          <w:szCs w:val="24"/>
        </w:rPr>
        <w:t xml:space="preserve">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706"/>
        <w:ind w:firstLine="420"/>
        <w:spacing w:before="0" w:after="0" w:line="400" w:lineRule="exact"/>
        <w:rPr>
          <w:b w:val="0"/>
          <w:bCs w:val="0"/>
        </w:rPr>
      </w:pPr>
      <w:r/>
      <w:bookmarkStart w:id="161" w:name="_Toc513029233"/>
      <w:r/>
      <w:bookmarkStart w:id="162" w:name="_Toc20823305"/>
      <w:r/>
      <w:bookmarkStart w:id="163"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61"/>
      <w:r/>
      <w:bookmarkEnd w:id="162"/>
      <w:r/>
      <w:bookmarkEnd w:id="163"/>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w:t>
      </w:r>
      <w:r>
        <w:rPr>
          <w:rFonts w:hint="eastAsia" w:ascii="宋体" w:hAnsi="宋体"/>
          <w:bCs/>
          <w:sz w:val="24"/>
        </w:rPr>
        <w:t xml:space="preserve">资格,</w:t>
      </w:r>
      <w:r>
        <w:rPr>
          <w:rFonts w:hint="eastAsia" w:ascii="宋体" w:hAnsi="宋体"/>
          <w:bCs/>
          <w:sz w:val="24"/>
        </w:rPr>
        <w:t xml:space="preserve">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w:t>
      </w:r>
      <w:r>
        <w:rPr>
          <w:rFonts w:hint="eastAsia" w:ascii="宋体" w:hAnsi="宋体"/>
          <w:bCs/>
          <w:sz w:val="24"/>
        </w:rPr>
        <w:t xml:space="preserve">的,</w:t>
      </w:r>
      <w:r>
        <w:rPr>
          <w:rFonts w:hint="eastAsia" w:ascii="宋体" w:hAnsi="宋体"/>
          <w:bCs/>
          <w:sz w:val="24"/>
        </w:rPr>
        <w:t xml:space="preserve">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hint="eastAsia" w:ascii="宋体" w:hAnsi="宋体"/>
          <w:sz w:val="24"/>
        </w:rPr>
      </w:pPr>
      <w:r/>
      <w:bookmarkStart w:id="164" w:name="_Toc20823306"/>
      <w:r/>
      <w:bookmarkStart w:id="165" w:name="_Toc513029234"/>
      <w:r/>
      <w:bookmarkStart w:id="166"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宋体" w:hAnsi="宋体" w:cs="方正魏碑_GBK"/>
          <w:sz w:val="24"/>
        </w:rPr>
      </w:pPr>
      <w:r>
        <w:rPr>
          <w:rFonts w:hint="eastAsia" w:ascii="宋体" w:hAnsi="宋体" w:cs="方正魏碑_GBK"/>
          <w:sz w:val="24"/>
        </w:rPr>
        <w:t xml:space="preserve">24.7 异常低价投标审查</w:t>
      </w:r>
      <w:r/>
    </w:p>
    <w:p>
      <w:pPr>
        <w:ind w:firstLine="420"/>
        <w:spacing w:line="400" w:lineRule="exact"/>
        <w:rPr>
          <w:rFonts w:hint="eastAsia" w:ascii="宋体" w:hAnsi="宋体" w:cs="方正魏碑_GBK"/>
          <w:sz w:val="24"/>
        </w:rPr>
      </w:pPr>
      <w:r>
        <w:rPr>
          <w:rFonts w:hint="eastAsia" w:ascii="宋体" w:hAnsi="宋体" w:cs="方正魏碑_GBK"/>
          <w:sz w:val="24"/>
        </w:rPr>
        <w:t xml:space="preserve">24.7.1 评标过程中出现下列情形之一的，评标委员会应当启动异常低价投标审查程序：</w:t>
      </w:r>
      <w:r/>
    </w:p>
    <w:p>
      <w:pPr>
        <w:ind w:firstLine="420"/>
        <w:spacing w:line="400" w:lineRule="exact"/>
        <w:rPr>
          <w:rFonts w:hint="eastAsia" w:ascii="宋体" w:hAnsi="宋体" w:cs="方正魏碑_GBK"/>
          <w:sz w:val="24"/>
        </w:rPr>
      </w:pPr>
      <w:r>
        <w:rPr>
          <w:rFonts w:hint="eastAsia" w:ascii="宋体" w:hAnsi="宋体" w:cs="方正魏碑_GBK"/>
          <w:sz w:val="24"/>
        </w:rPr>
        <w:t xml:space="preserve">（1）投标报价低于全部通过符合性审查供应商投标报价平均值</w:t>
      </w:r>
      <w:r>
        <w:rPr>
          <w:rFonts w:hint="eastAsia" w:ascii="宋体" w:hAnsi="宋体" w:cs="方正魏碑_GBK"/>
          <w:sz w:val="24"/>
          <w:u w:val="single"/>
        </w:rPr>
        <w:t xml:space="preserve">65%</w:t>
      </w:r>
      <w:r>
        <w:rPr>
          <w:rFonts w:hint="eastAsia" w:ascii="宋体" w:hAnsi="宋体" w:cs="方正魏碑_GBK"/>
          <w:sz w:val="24"/>
        </w:rPr>
        <w:t xml:space="preserve">的，即投标报价&lt;全部通过符合性审查供应商投标报价平均值×</w:t>
      </w:r>
      <w:r>
        <w:rPr>
          <w:rFonts w:hint="eastAsia" w:ascii="宋体" w:hAnsi="宋体" w:cs="方正魏碑_GBK"/>
          <w:sz w:val="24"/>
          <w:u w:val="single"/>
        </w:rPr>
        <w:t xml:space="preserve">65%</w:t>
      </w:r>
      <w:r>
        <w:rPr>
          <w:rFonts w:hint="eastAsia" w:ascii="宋体" w:hAnsi="宋体" w:cs="方正魏碑_GBK"/>
          <w:sz w:val="24"/>
        </w:rPr>
        <w:t xml:space="preserve">；</w:t>
      </w:r>
      <w:r/>
    </w:p>
    <w:p>
      <w:pPr>
        <w:ind w:firstLine="420"/>
        <w:spacing w:line="400" w:lineRule="exact"/>
        <w:rPr>
          <w:rFonts w:hint="eastAsia" w:ascii="宋体" w:hAnsi="宋体" w:cs="方正魏碑_GBK"/>
          <w:sz w:val="24"/>
        </w:rPr>
      </w:pPr>
      <w:r>
        <w:rPr>
          <w:rFonts w:hint="eastAsia" w:ascii="宋体" w:hAnsi="宋体" w:cs="方正魏碑_GBK"/>
          <w:sz w:val="24"/>
        </w:rPr>
        <w:t xml:space="preserve">（2）投标报价低于通过符合性审查的次低报价供应商投标报价</w:t>
      </w:r>
      <w:r>
        <w:rPr>
          <w:rFonts w:hint="eastAsia" w:ascii="宋体" w:hAnsi="宋体" w:cs="方正魏碑_GBK"/>
          <w:sz w:val="24"/>
          <w:u w:val="single"/>
        </w:rPr>
        <w:t xml:space="preserve">65%</w:t>
      </w:r>
      <w:r>
        <w:rPr>
          <w:rFonts w:hint="eastAsia" w:ascii="宋体" w:hAnsi="宋体" w:cs="方正魏碑_GBK"/>
          <w:sz w:val="24"/>
        </w:rPr>
        <w:t xml:space="preserve">的，即投标报价&lt;通过符合性审查的次低报价供应商投标报价×</w:t>
      </w:r>
      <w:r>
        <w:rPr>
          <w:rFonts w:hint="eastAsia" w:ascii="宋体" w:hAnsi="宋体" w:cs="方正魏碑_GBK"/>
          <w:sz w:val="24"/>
          <w:u w:val="single"/>
        </w:rPr>
        <w:t xml:space="preserve">65%</w:t>
      </w:r>
      <w:r>
        <w:rPr>
          <w:rFonts w:hint="eastAsia" w:ascii="宋体" w:hAnsi="宋体" w:cs="方正魏碑_GBK"/>
          <w:sz w:val="24"/>
        </w:rPr>
        <w:t xml:space="preserve">；</w:t>
      </w:r>
      <w:r/>
    </w:p>
    <w:p>
      <w:pPr>
        <w:ind w:firstLine="420"/>
        <w:spacing w:line="400" w:lineRule="exact"/>
        <w:rPr>
          <w:rFonts w:hint="eastAsia" w:ascii="宋体" w:hAnsi="宋体" w:cs="方正魏碑_GBK"/>
          <w:sz w:val="24"/>
        </w:rPr>
      </w:pPr>
      <w:r>
        <w:rPr>
          <w:rFonts w:hint="eastAsia" w:ascii="宋体" w:hAnsi="宋体" w:cs="方正魏碑_GBK"/>
          <w:sz w:val="24"/>
        </w:rPr>
        <w:t xml:space="preserve">（3）投标报价低于采购项目最高限价</w:t>
      </w:r>
      <w:r>
        <w:rPr>
          <w:rFonts w:hint="eastAsia" w:ascii="宋体" w:hAnsi="宋体" w:cs="方正魏碑_GBK"/>
          <w:sz w:val="24"/>
          <w:u w:val="single"/>
        </w:rPr>
        <w:t xml:space="preserve">65%</w:t>
      </w:r>
      <w:r>
        <w:rPr>
          <w:rFonts w:hint="eastAsia" w:ascii="宋体" w:hAnsi="宋体" w:cs="方正魏碑_GBK"/>
          <w:sz w:val="24"/>
        </w:rPr>
        <w:t xml:space="preserve">的，即投标报价&lt;采购项目最高限价×</w:t>
      </w:r>
      <w:r>
        <w:rPr>
          <w:rFonts w:hint="eastAsia" w:ascii="宋体" w:hAnsi="宋体" w:cs="方正魏碑_GBK"/>
          <w:sz w:val="24"/>
          <w:u w:val="single"/>
        </w:rPr>
        <w:t xml:space="preserve">65%</w:t>
      </w:r>
      <w:r>
        <w:rPr>
          <w:rFonts w:hint="eastAsia" w:ascii="宋体" w:hAnsi="宋体" w:cs="方正魏碑_GBK"/>
          <w:sz w:val="24"/>
        </w:rPr>
        <w:t xml:space="preserve">；</w:t>
      </w:r>
      <w:r/>
    </w:p>
    <w:p>
      <w:pPr>
        <w:ind w:firstLine="420"/>
        <w:spacing w:line="400" w:lineRule="exact"/>
        <w:rPr>
          <w:rFonts w:hint="eastAsia" w:ascii="宋体" w:hAnsi="宋体" w:cs="方正魏碑_GBK"/>
          <w:sz w:val="24"/>
        </w:rPr>
      </w:pPr>
      <w:r>
        <w:rPr>
          <w:rFonts w:hint="eastAsia" w:ascii="宋体" w:hAnsi="宋体" w:cs="方正魏碑_GBK"/>
          <w:sz w:val="24"/>
        </w:rPr>
        <w:t xml:space="preserve">（4）评标委员会基于专业判断，认为供应商报价过低，有可能影响产品质量或者不能诚信履约的其他情形。</w:t>
      </w:r>
      <w:r/>
    </w:p>
    <w:p>
      <w:pPr>
        <w:ind w:firstLine="420"/>
        <w:spacing w:line="400" w:lineRule="exact"/>
        <w:rPr>
          <w:rFonts w:hint="eastAsia" w:ascii="宋体" w:hAnsi="宋体" w:cs="方正魏碑_GBK"/>
          <w:sz w:val="24"/>
        </w:rPr>
      </w:pPr>
      <w:r>
        <w:rPr>
          <w:rFonts w:hint="eastAsia" w:ascii="宋体" w:hAnsi="宋体" w:cs="方正魏碑_GBK"/>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hint="eastAsia" w:ascii="方正魏碑_GBK" w:hAnsi="方正魏碑_GBK" w:eastAsia="方正魏碑_GBK" w:cs="方正魏碑_GBK"/>
          <w:sz w:val="24"/>
        </w:rPr>
      </w:pPr>
      <w:r>
        <w:rPr>
          <w:rFonts w:hint="eastAsia" w:ascii="宋体" w:hAnsi="宋体" w:cs="方正魏碑_GBK"/>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06"/>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64"/>
      <w:r/>
      <w:bookmarkEnd w:id="165"/>
      <w:r/>
      <w:bookmarkEnd w:id="166"/>
      <w:r>
        <w:rPr>
          <w:rFonts w:hint="eastAsia"/>
          <w:b w:val="0"/>
          <w:bCs w:val="0"/>
        </w:rPr>
        <w:t xml:space="preserve">无效投标条款和废标条款</w:t>
      </w:r>
      <w:r/>
    </w:p>
    <w:p>
      <w:pPr>
        <w:ind w:left="479"/>
        <w:spacing w:line="400" w:lineRule="exact"/>
        <w:rPr>
          <w:rFonts w:hint="eastAsia" w:ascii="宋体" w:hAnsi="宋体"/>
          <w:bCs/>
          <w:sz w:val="24"/>
        </w:rPr>
      </w:pPr>
      <w:r/>
      <w:bookmarkStart w:id="167" w:name="_Toc20823307"/>
      <w:r/>
      <w:bookmarkStart w:id="168" w:name="_Toc16938551"/>
      <w:r/>
      <w:bookmarkStart w:id="169" w:name="_Toc513029235"/>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sz w:val="24"/>
          <w:szCs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hint="eastAsia" w:ascii="宋体" w:hAnsi="宋体" w:cs="宋体"/>
          <w:sz w:val="24"/>
          <w:szCs w:val="24"/>
        </w:rPr>
      </w:pPr>
      <w:r>
        <w:rPr>
          <w:rFonts w:hint="eastAsia" w:ascii="宋体" w:hAnsi="宋体"/>
          <w:bCs/>
          <w:sz w:val="24"/>
        </w:rPr>
        <w:t xml:space="preserve">25.1.13</w:t>
      </w:r>
      <w:r>
        <w:rPr>
          <w:rFonts w:ascii="宋体" w:hAnsi="宋体" w:cs="宋体"/>
          <w:sz w:val="24"/>
          <w:szCs w:val="24"/>
        </w:rPr>
        <w:t xml:space="preserve">专门面向中小微型企业采购的采购项目采购包，供应商未提供本项目所投采购包提供服务的人员均为依照《中华人民共和国劳动合同法》订立劳动合同的从业人员的书面声明（书面声明格式见招标文件第六章附件9-2</w:t>
      </w:r>
      <w:r>
        <w:rPr>
          <w:rFonts w:hint="eastAsia" w:ascii="宋体" w:hAnsi="宋体" w:cs="宋体"/>
          <w:bCs/>
          <w:sz w:val="24"/>
          <w:szCs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25.1.14其他法律、法规及本招标文件规定的属无效投标的情形。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705"/>
        <w:ind w:firstLine="482"/>
        <w:spacing w:before="145" w:after="145" w:line="400" w:lineRule="exact"/>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706"/>
        <w:ind w:firstLine="600"/>
        <w:spacing w:before="0" w:after="0" w:line="400" w:lineRule="exact"/>
        <w:rPr>
          <w:rFonts w:hint="eastAsia" w:ascii="黑体" w:hAnsi="宋体" w:cs="Times New Roman"/>
          <w:b w:val="0"/>
          <w:sz w:val="30"/>
          <w:szCs w:val="30"/>
        </w:rPr>
      </w:pPr>
      <w:r/>
      <w:bookmarkStart w:id="171" w:name="_Toc513029238"/>
      <w:r/>
      <w:bookmarkStart w:id="172" w:name="_Toc16938554"/>
      <w:r/>
      <w:bookmarkStart w:id="173"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w:t>
      </w:r>
      <w:r>
        <w:rPr>
          <w:rFonts w:hint="eastAsia" w:ascii="宋体" w:hAnsi="宋体"/>
          <w:sz w:val="24"/>
          <w:szCs w:val="24"/>
        </w:rPr>
        <w:t xml:space="preserve">，中标供应商出现下列情况之一的，一经查实，将被取</w:t>
      </w:r>
      <w:r>
        <w:rPr>
          <w:rFonts w:hint="eastAsia" w:ascii="宋体" w:hAnsi="宋体"/>
          <w:sz w:val="24"/>
          <w:szCs w:val="24"/>
        </w:rPr>
        <w:t xml:space="preserve">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hint="eastAsia" w:ascii="宋体" w:hAnsi="宋体"/>
          <w:sz w:val="24"/>
          <w:szCs w:val="24"/>
        </w:rPr>
      </w:pPr>
      <w:r/>
      <w:bookmarkStart w:id="174"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706"/>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74"/>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ascii="宋体" w:hAnsi="宋体"/>
          <w:b/>
          <w:bCs/>
          <w:sz w:val="24"/>
          <w:szCs w:val="24"/>
        </w:rPr>
        <w:t xml:space="preserve">供应商（含潜在供应商）对采购方式、采购需求、供应商资格条件及审查结果、评标方法与评标标准、合同文本的询问、质疑请向采购人提出，由采购人负责答复。供应商对除上述事项以外其他事项的询问、质疑请向采购中心提出，由采购中心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w:t>
      </w:r>
      <w:r>
        <w:rPr>
          <w:rFonts w:hint="eastAsia" w:ascii="宋体" w:hAnsi="宋体"/>
          <w:sz w:val="24"/>
          <w:szCs w:val="24"/>
        </w:rPr>
        <w:t xml:space="preserve">质疑,</w:t>
      </w:r>
      <w:r>
        <w:rPr>
          <w:rFonts w:hint="eastAsia" w:ascii="宋体" w:hAnsi="宋体"/>
          <w:sz w:val="24"/>
          <w:szCs w:val="24"/>
        </w:rPr>
        <w:t xml:space="preserve">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w:t>
      </w:r>
      <w:r>
        <w:rPr>
          <w:rFonts w:hint="eastAsia" w:ascii="宋体" w:hAnsi="宋体"/>
          <w:sz w:val="24"/>
          <w:szCs w:val="24"/>
        </w:rPr>
        <w:t xml:space="preserve">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w:t>
      </w:r>
      <w:r>
        <w:rPr>
          <w:rFonts w:hint="eastAsia" w:ascii="宋体" w:hAnsi="宋体"/>
          <w:sz w:val="24"/>
          <w:szCs w:val="24"/>
        </w:rPr>
        <w:t xml:space="preserve">、有据，不得捏造事实、提供虚假材料进行恶意质疑。否则，一经查实，采购中心有权依据政府采购的有关规定，报请政府采购监管部门对该供应商进行相应的行政处罚和记录该供应商的失信信息。</w:t>
      </w:r>
      <w:r/>
    </w:p>
    <w:p>
      <w:pPr>
        <w:pStyle w:val="706"/>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w:t>
      </w:r>
      <w:r>
        <w:rPr>
          <w:rFonts w:hint="eastAsia" w:ascii="宋体" w:hAnsi="宋体"/>
          <w:sz w:val="24"/>
          <w:szCs w:val="24"/>
        </w:rPr>
        <w:t xml:space="preserve">日内,</w:t>
      </w:r>
      <w:r>
        <w:rPr>
          <w:rFonts w:hint="eastAsia" w:ascii="宋体" w:hAnsi="宋体"/>
          <w:sz w:val="24"/>
          <w:szCs w:val="24"/>
        </w:rPr>
        <w:t xml:space="preserve">使用CA数字证书登录苏采云系统及时下载中标通知书。因系统存储空间有限，自中标结果公告届满之日起30日后，苏采云系统不再保证提供下载中标通知书</w:t>
      </w:r>
      <w:r>
        <w:rPr>
          <w:rFonts w:hint="eastAsia" w:ascii="宋体" w:hAnsi="宋体"/>
          <w:sz w:val="24"/>
          <w:szCs w:val="24"/>
        </w:rPr>
        <w:t xml:space="preserve">服务,</w:t>
      </w:r>
      <w:r>
        <w:rPr>
          <w:rFonts w:hint="eastAsia" w:ascii="宋体" w:hAnsi="宋体"/>
          <w:sz w:val="24"/>
          <w:szCs w:val="24"/>
        </w:rPr>
        <w:t xml:space="preserve">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05"/>
        <w:spacing w:before="145" w:after="145" w:line="400" w:lineRule="exact"/>
      </w:pPr>
      <w:r/>
      <w:bookmarkStart w:id="175" w:name="_Toc120614220"/>
      <w:r/>
      <w:bookmarkStart w:id="176" w:name="_Toc20823308"/>
      <w:r/>
      <w:bookmarkStart w:id="177" w:name="_Toc513029236"/>
      <w:r/>
      <w:bookmarkStart w:id="178" w:name="_Toc16938552"/>
      <w:r>
        <w:rPr>
          <w:rFonts w:hint="eastAsia"/>
        </w:rPr>
        <w:t xml:space="preserve">七、授予合同</w:t>
      </w:r>
      <w:bookmarkEnd w:id="175"/>
      <w:r/>
      <w:r/>
    </w:p>
    <w:p>
      <w:pPr>
        <w:pStyle w:val="706"/>
        <w:ind w:firstLine="600"/>
        <w:spacing w:before="0" w:after="0" w:line="400" w:lineRule="exact"/>
        <w:rPr>
          <w:rFonts w:hint="eastAsia" w:ascii="黑体" w:hAnsi="宋体" w:cs="Times New Roman"/>
          <w:b w:val="0"/>
          <w:sz w:val="30"/>
          <w:szCs w:val="30"/>
        </w:rPr>
      </w:pPr>
      <w:r/>
      <w:bookmarkStart w:id="179" w:name="_Toc20823309"/>
      <w:r/>
      <w:bookmarkStart w:id="180" w:name="_Toc16938553"/>
      <w:r/>
      <w:bookmarkStart w:id="181" w:name="_Toc513029237"/>
      <w:r/>
      <w:bookmarkEnd w:id="176"/>
      <w:r/>
      <w:bookmarkEnd w:id="177"/>
      <w:r/>
      <w:bookmarkEnd w:id="178"/>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06"/>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w:t>
      </w:r>
      <w:r>
        <w:rPr>
          <w:rFonts w:hint="eastAsia" w:ascii="宋体" w:hAnsi="宋体"/>
          <w:sz w:val="24"/>
          <w:szCs w:val="24"/>
        </w:rPr>
        <w:t xml:space="preserve">但所有补充合同的采购金额不超过原合同金额10%。</w:t>
      </w:r>
      <w:r/>
    </w:p>
    <w:p>
      <w:pPr>
        <w:pStyle w:val="706"/>
        <w:ind w:firstLine="600"/>
        <w:spacing w:before="0" w:after="0" w:line="400" w:lineRule="exact"/>
        <w:rPr>
          <w:rFonts w:hint="eastAsia" w:ascii="黑体" w:hAnsi="宋体" w:cs="Times New Roman"/>
          <w:b w:val="0"/>
          <w:sz w:val="30"/>
          <w:szCs w:val="30"/>
        </w:rPr>
      </w:pPr>
      <w:r/>
      <w:bookmarkStart w:id="182" w:name="_Toc513029242"/>
      <w:r/>
      <w:bookmarkStart w:id="183" w:name="_Toc120614221"/>
      <w:r/>
      <w:bookmarkStart w:id="184" w:name="_Toc16938558"/>
      <w:r/>
      <w:bookmarkStart w:id="185" w:name="_Toc479757207"/>
      <w:r/>
      <w:bookmarkStart w:id="186" w:name="_Toc20823314"/>
      <w:r/>
      <w:bookmarkEnd w:id="179"/>
      <w:r/>
      <w:bookmarkEnd w:id="180"/>
      <w:r/>
      <w:bookmarkEnd w:id="181"/>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715"/>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715"/>
        <w:ind w:firstLine="0"/>
        <w:spacing w:line="400" w:lineRule="exact"/>
        <w:rPr>
          <w:rFonts w:hint="eastAsia" w:ascii="宋体" w:hAnsi="宋体"/>
          <w:bCs/>
          <w:sz w:val="24"/>
        </w:rPr>
      </w:pPr>
      <w:r>
        <w:rPr>
          <w:rFonts w:hint="eastAsia" w:ascii="宋体" w:hAnsi="宋体"/>
          <w:bCs/>
          <w:sz w:val="24"/>
        </w:rPr>
        <w:br w:type="page" w:clear="all"/>
      </w:r>
      <w:r/>
    </w:p>
    <w:p>
      <w:pPr>
        <w:pStyle w:val="703"/>
        <w:rPr>
          <w:rFonts w:ascii="黑体" w:eastAsia="黑体"/>
          <w:bCs/>
          <w:sz w:val="44"/>
        </w:rPr>
      </w:pPr>
      <w:r/>
      <w:bookmarkStart w:id="187" w:name="_Toc239690742"/>
      <w:r/>
      <w:bookmarkEnd w:id="56"/>
      <w:r/>
      <w:bookmarkEnd w:id="57"/>
      <w:r/>
      <w:bookmarkEnd w:id="58"/>
      <w:r>
        <w:rPr>
          <w:rFonts w:hint="eastAsia" w:ascii="黑体" w:eastAsia="黑体"/>
          <w:sz w:val="44"/>
          <w:szCs w:val="44"/>
        </w:rPr>
        <w:t xml:space="preserve">第三章  合同</w:t>
      </w:r>
      <w:bookmarkEnd w:id="182"/>
      <w:r/>
      <w:bookmarkEnd w:id="183"/>
      <w:r/>
      <w:bookmarkEnd w:id="184"/>
      <w:r/>
      <w:bookmarkEnd w:id="185"/>
      <w:r/>
      <w:bookmarkEnd w:id="186"/>
      <w:r>
        <w:rPr>
          <w:rFonts w:hint="eastAsia" w:ascii="黑体" w:eastAsia="黑体"/>
          <w:sz w:val="44"/>
          <w:szCs w:val="44"/>
        </w:rPr>
        <w:t xml:space="preserve">文本</w:t>
      </w:r>
      <w:bookmarkEnd w:id="187"/>
      <w:r/>
      <w:r/>
    </w:p>
    <w:p>
      <w:pPr>
        <w:jc w:val="center"/>
        <w:spacing w:before="145" w:after="145"/>
        <w:rPr>
          <w:rFonts w:hint="eastAsia" w:ascii="宋体" w:hAnsi="宋体"/>
          <w:b/>
          <w:bCs/>
          <w:sz w:val="30"/>
          <w:szCs w:val="20"/>
        </w:rPr>
        <w:outlineLvl w:val="0"/>
      </w:pPr>
      <w:r/>
      <w:bookmarkStart w:id="188" w:name="_Hlt16619369"/>
      <w:r/>
      <w:bookmarkStart w:id="189" w:name="_Toc239690743"/>
      <w:r/>
      <w:bookmarkStart w:id="190" w:name="_Toc120614244"/>
      <w:r/>
      <w:bookmarkStart w:id="191" w:name="_Hlt16619350"/>
      <w:r/>
      <w:bookmarkStart w:id="192" w:name="_Toc20823346"/>
      <w:r/>
      <w:bookmarkStart w:id="193" w:name="_Toc16938590"/>
      <w:r/>
      <w:bookmarkStart w:id="194" w:name="_Toc479757211"/>
      <w:r/>
      <w:bookmarkStart w:id="195" w:name="_Toc462564139"/>
      <w:r/>
      <w:bookmarkEnd w:id="188"/>
      <w:r>
        <w:rPr>
          <w:rFonts w:hint="eastAsia" w:ascii="宋体" w:hAnsi="宋体"/>
          <w:b/>
          <w:sz w:val="30"/>
        </w:rPr>
        <w:t xml:space="preserve">江苏省政府采购合同（服务）（合同编号）</w:t>
      </w:r>
      <w:bookmarkEnd w:id="189"/>
      <w:r/>
      <w:r/>
    </w:p>
    <w:p>
      <w:pPr>
        <w:spacing w:before="120" w:after="120"/>
        <w:rPr>
          <w:rFonts w:hint="eastAsia"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hint="eastAsia"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1033"/>
        <w:spacing w:before="120" w:after="120"/>
        <w:rPr>
          <w:rFonts w:hint="eastAsia"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1033"/>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1033"/>
        <w:spacing w:before="120" w:after="120"/>
        <w:rPr>
          <w:rFonts w:hint="eastAsia"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1033"/>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1033"/>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1033"/>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1033"/>
        <w:spacing w:before="120" w:after="120"/>
        <w:rPr>
          <w:rFonts w:hint="eastAsia" w:hAnsi="宋体"/>
          <w:sz w:val="24"/>
          <w:szCs w:val="24"/>
        </w:rPr>
      </w:pPr>
      <w:r>
        <w:rPr>
          <w:rFonts w:hint="eastAsia" w:hAnsi="宋体"/>
          <w:sz w:val="24"/>
          <w:szCs w:val="24"/>
        </w:rPr>
        <w:t xml:space="preserve">1.3 标的数量（规模）：</w:t>
      </w:r>
      <w:r/>
    </w:p>
    <w:p>
      <w:pPr>
        <w:pStyle w:val="1033"/>
        <w:spacing w:before="120" w:after="120"/>
        <w:rPr>
          <w:rFonts w:hint="eastAsia" w:hAnsi="宋体"/>
          <w:sz w:val="24"/>
          <w:szCs w:val="24"/>
        </w:rPr>
      </w:pPr>
      <w:r>
        <w:rPr>
          <w:rFonts w:hint="eastAsia" w:hAnsi="宋体"/>
          <w:sz w:val="24"/>
          <w:szCs w:val="24"/>
        </w:rPr>
        <w:t xml:space="preserve">1.4 履行时间（期限）：</w:t>
      </w:r>
      <w:r/>
    </w:p>
    <w:p>
      <w:pPr>
        <w:pStyle w:val="1033"/>
        <w:spacing w:before="120" w:after="120"/>
        <w:rPr>
          <w:rFonts w:hint="eastAsia" w:hAnsi="宋体"/>
          <w:sz w:val="24"/>
          <w:szCs w:val="24"/>
        </w:rPr>
      </w:pPr>
      <w:r>
        <w:rPr>
          <w:rFonts w:hint="eastAsia" w:hAnsi="宋体"/>
          <w:sz w:val="24"/>
          <w:szCs w:val="24"/>
        </w:rPr>
        <w:t xml:space="preserve">1.5 履行地点：</w:t>
      </w:r>
      <w:r/>
    </w:p>
    <w:p>
      <w:pPr>
        <w:pStyle w:val="103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1033"/>
        <w:spacing w:before="120" w:after="120"/>
        <w:rPr>
          <w:rFonts w:hint="eastAsia" w:hAnsi="宋体"/>
          <w:b/>
          <w:sz w:val="24"/>
          <w:szCs w:val="24"/>
        </w:rPr>
      </w:pPr>
      <w:r>
        <w:rPr>
          <w:rFonts w:hAnsi="宋体"/>
          <w:b/>
          <w:sz w:val="24"/>
          <w:szCs w:val="24"/>
        </w:rPr>
        <w:t xml:space="preserve">二、合同金额</w:t>
      </w:r>
      <w:r/>
    </w:p>
    <w:p>
      <w:pPr>
        <w:pStyle w:val="1033"/>
        <w:ind w:left="410" w:hanging="410"/>
        <w:spacing w:before="120" w:after="120"/>
        <w:rPr>
          <w:rFonts w:hint="eastAsia"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int="eastAsia"/>
        </w:rPr>
        <w:t xml:space="preserve">（</w:t>
      </w:r>
      <w:r>
        <w:rPr>
          <w:rFonts w:hint="eastAsia" w:hAnsi="宋体"/>
          <w:sz w:val="24"/>
          <w:szCs w:val="24"/>
        </w:rPr>
        <w:t xml:space="preserve">本合同价格为含税固定总价，</w:t>
      </w:r>
      <w:r>
        <w:rPr>
          <w:rFonts w:hAnsi="宋体"/>
          <w:sz w:val="24"/>
          <w:szCs w:val="24"/>
        </w:rPr>
        <w:t xml:space="preserve">包含人工、差旅、驻场、培训、税费、测评配合等全部费用</w:t>
      </w:r>
      <w:r>
        <w:rPr>
          <w:rFonts w:hAnsi="宋体" w:cs="宋体"/>
          <w:sz w:val="24"/>
          <w:szCs w:val="24"/>
        </w:rPr>
        <w:t xml:space="preserve">。</w:t>
      </w:r>
      <w:r>
        <w:rPr>
          <w:rFonts w:hint="eastAsia" w:hAnsi="宋体"/>
          <w:sz w:val="24"/>
          <w:szCs w:val="24"/>
        </w:rPr>
        <w:t xml:space="preserve">）</w:t>
      </w:r>
      <w:r/>
    </w:p>
    <w:p>
      <w:pPr>
        <w:pStyle w:val="1033"/>
        <w:spacing w:before="120" w:after="120"/>
        <w:rPr>
          <w:rFonts w:hint="eastAsia" w:hAnsi="宋体"/>
          <w:b/>
          <w:sz w:val="24"/>
          <w:szCs w:val="24"/>
        </w:rPr>
      </w:pPr>
      <w:r>
        <w:rPr>
          <w:rFonts w:hAnsi="宋体"/>
          <w:b/>
          <w:sz w:val="24"/>
          <w:szCs w:val="24"/>
        </w:rPr>
        <w:t xml:space="preserve">三、技术资料</w:t>
      </w:r>
      <w:r/>
    </w:p>
    <w:p>
      <w:pPr>
        <w:pStyle w:val="1033"/>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1033"/>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33"/>
        <w:ind w:left="412" w:hanging="412"/>
        <w:spacing w:before="120" w:after="120"/>
        <w:rPr>
          <w:rFonts w:hint="eastAsia" w:hAnsi="宋体"/>
          <w:b/>
          <w:sz w:val="24"/>
          <w:szCs w:val="24"/>
        </w:rPr>
      </w:pPr>
      <w:r>
        <w:rPr>
          <w:rFonts w:hAnsi="宋体"/>
          <w:b/>
          <w:sz w:val="24"/>
          <w:szCs w:val="24"/>
        </w:rPr>
        <w:t xml:space="preserve">四、知识产权</w:t>
      </w:r>
      <w:r/>
    </w:p>
    <w:p>
      <w:pPr>
        <w:pStyle w:val="1033"/>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33"/>
        <w:ind w:left="408" w:hanging="408"/>
        <w:spacing w:before="120" w:after="120"/>
        <w:rPr>
          <w:rFonts w:hint="eastAsia" w:hAnsi="宋体"/>
          <w:sz w:val="24"/>
          <w:szCs w:val="24"/>
        </w:rPr>
      </w:pPr>
      <w:r>
        <w:rPr>
          <w:rFonts w:hint="eastAsia" w:hAnsi="宋体"/>
          <w:sz w:val="24"/>
          <w:szCs w:val="24"/>
        </w:rPr>
        <w:t xml:space="preserve">4.2</w:t>
      </w:r>
      <w:r>
        <w:rPr>
          <w:rFonts w:hAnsi="宋体"/>
          <w:sz w:val="24"/>
          <w:szCs w:val="24"/>
        </w:rPr>
        <w:t xml:space="preserve">乙方须签订保密协议；不得泄露、篡改、删除、非法留存甲方数据；遵守《网络安全法》《数据安全法》《个人信息保护法》；合同终止后返还并彻底删除数据。保密信息的范围、保密义务的具体要求、保密期限及违约责任等详细约定，按本合同附件一《信息安全保密协议》执行。附件一为本合同不可分割的组成部分，与本合同具有同等法律效力。</w:t>
      </w:r>
      <w:r/>
    </w:p>
    <w:p>
      <w:pPr>
        <w:pStyle w:val="1033"/>
        <w:spacing w:before="120" w:after="120"/>
        <w:rPr>
          <w:rFonts w:hint="eastAsia" w:hAnsi="宋体"/>
          <w:sz w:val="24"/>
          <w:szCs w:val="24"/>
          <w:u w:val="single"/>
        </w:rPr>
      </w:pPr>
      <w:r>
        <w:rPr>
          <w:rFonts w:hAnsi="宋体"/>
          <w:b/>
          <w:sz w:val="24"/>
          <w:szCs w:val="24"/>
        </w:rPr>
        <w:t xml:space="preserve">五、产权担保</w:t>
      </w:r>
      <w:r/>
    </w:p>
    <w:p>
      <w:pPr>
        <w:pStyle w:val="1033"/>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int="eastAsia" w:hAnsi="宋体"/>
          <w:sz w:val="24"/>
          <w:szCs w:val="24"/>
        </w:rPr>
        <w:t xml:space="preserve">本项目形成的定制开发成果、文档、数据及数据权益归甲方所有；乙方既有产品授予甲方永久、免费、不可撤销使用许可；不得设置后门、到期锁定；侵权由乙方承担全部责任并保证甲方继续使用。</w:t>
      </w:r>
      <w:r/>
    </w:p>
    <w:p>
      <w:pPr>
        <w:pStyle w:val="1033"/>
        <w:ind w:left="410" w:hanging="410"/>
        <w:spacing w:before="120" w:after="120"/>
        <w:rPr>
          <w:rFonts w:hint="eastAsia" w:hAnsi="宋体"/>
          <w:b/>
          <w:sz w:val="24"/>
          <w:szCs w:val="24"/>
        </w:rPr>
      </w:pPr>
      <w:r>
        <w:rPr>
          <w:rFonts w:hAnsi="宋体"/>
          <w:b/>
          <w:sz w:val="24"/>
          <w:szCs w:val="24"/>
        </w:rPr>
        <w:t xml:space="preserve">六、履约保证金</w:t>
      </w:r>
      <w:r/>
    </w:p>
    <w:p>
      <w:pPr>
        <w:pStyle w:val="1033"/>
        <w:ind w:left="408" w:hanging="408"/>
        <w:spacing w:before="120" w:after="120"/>
        <w:rPr>
          <w:rFonts w:hint="eastAsia" w:hAnsi="宋体"/>
          <w:sz w:val="24"/>
          <w:szCs w:val="24"/>
        </w:rPr>
      </w:pPr>
      <w:r>
        <w:rPr>
          <w:rFonts w:hAnsi="宋体"/>
          <w:sz w:val="24"/>
          <w:szCs w:val="24"/>
        </w:rPr>
        <w:t xml:space="preserve">6.1 乙方交纳人民币____</w:t>
      </w:r>
      <w:r>
        <w:rPr>
          <w:rFonts w:hint="eastAsia" w:hAnsi="宋体"/>
          <w:sz w:val="24"/>
          <w:szCs w:val="24"/>
        </w:rPr>
        <w:t xml:space="preserve">0</w:t>
      </w:r>
      <w:r>
        <w:rPr>
          <w:rFonts w:hAnsi="宋体"/>
          <w:sz w:val="24"/>
          <w:szCs w:val="24"/>
        </w:rPr>
        <w:t xml:space="preserve">_____元作为本合同的履约保证金。</w:t>
      </w:r>
      <w:r>
        <w:rPr>
          <w:rFonts w:hint="eastAsia" w:hAnsi="宋体"/>
          <w:sz w:val="24"/>
          <w:szCs w:val="24"/>
        </w:rPr>
        <w:t xml:space="preserve">（不得超过合同金额的10%）</w:t>
      </w:r>
      <w:r/>
    </w:p>
    <w:p>
      <w:pPr>
        <w:pStyle w:val="1033"/>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1033"/>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1033"/>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1033"/>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1033"/>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1033"/>
        <w:spacing w:before="120" w:after="120"/>
        <w:rPr>
          <w:rFonts w:hint="eastAsia"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预付款支付时间：合同签订后7工作日内，预付款支付比例：合同金额的40%。</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w:t>
      </w:r>
      <w:r>
        <w:rPr>
          <w:rFonts w:hint="eastAsia" w:ascii="宋体" w:hAnsi="宋体" w:cs="Arial"/>
          <w:sz w:val="24"/>
          <w:szCs w:val="24"/>
        </w:rPr>
        <w:t xml:space="preserve">开发完成且试运行满1个月后，经</w:t>
      </w:r>
      <w:r>
        <w:rPr>
          <w:rFonts w:hint="eastAsia" w:ascii="宋体" w:hAnsi="宋体"/>
          <w:sz w:val="24"/>
          <w:szCs w:val="24"/>
        </w:rPr>
        <w:t xml:space="preserve">采购人</w:t>
      </w:r>
      <w:r>
        <w:rPr>
          <w:rFonts w:hint="eastAsia" w:ascii="宋体" w:hAnsi="宋体" w:cs="Arial"/>
          <w:sz w:val="24"/>
          <w:szCs w:val="24"/>
        </w:rPr>
        <w:t xml:space="preserve">验收通过，乙方交付全部文档、完成培训，并</w:t>
      </w:r>
      <w:r>
        <w:rPr>
          <w:rFonts w:hint="eastAsia" w:ascii="宋体" w:hAnsi="宋体"/>
          <w:sz w:val="24"/>
          <w:szCs w:val="24"/>
        </w:rPr>
        <w:t xml:space="preserve">收到乙方发票后</w:t>
      </w:r>
      <w:r>
        <w:rPr>
          <w:rFonts w:ascii="宋体" w:hAnsi="宋体"/>
          <w:sz w:val="24"/>
          <w:szCs w:val="24"/>
        </w:rPr>
        <w:t xml:space="preserve">10</w:t>
      </w:r>
      <w:r>
        <w:rPr>
          <w:rFonts w:hint="eastAsia" w:ascii="宋体" w:hAnsi="宋体"/>
          <w:sz w:val="24"/>
          <w:szCs w:val="24"/>
        </w:rPr>
        <w:t xml:space="preserve">个工作日内，尾款支付比例：合同金额的60%。</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1033"/>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1033"/>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1033"/>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33"/>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1033"/>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1033"/>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w:t>
      </w:r>
      <w:r>
        <w:rPr>
          <w:rFonts w:hint="eastAsia" w:hAnsi="宋体"/>
          <w:sz w:val="24"/>
          <w:szCs w:val="24"/>
        </w:rPr>
        <w:t xml:space="preserve">时,</w:t>
      </w:r>
      <w:r>
        <w:rPr>
          <w:rFonts w:hint="eastAsia" w:hAnsi="宋体"/>
          <w:sz w:val="24"/>
          <w:szCs w:val="24"/>
        </w:rPr>
        <w:t xml:space="preserve">甲方按照采购合同的约定对每一项技术、服务、安全标准的履约情况进行确认。验收结束</w:t>
      </w:r>
      <w:r>
        <w:rPr>
          <w:rFonts w:hint="eastAsia" w:hAnsi="宋体"/>
          <w:sz w:val="24"/>
          <w:szCs w:val="24"/>
        </w:rPr>
        <w:t xml:space="preserve">后,</w:t>
      </w:r>
      <w:r>
        <w:rPr>
          <w:rFonts w:hint="eastAsia" w:hAnsi="宋体"/>
          <w:sz w:val="24"/>
          <w:szCs w:val="24"/>
        </w:rPr>
        <w:t xml:space="preserve">验收小组出具验收</w:t>
      </w:r>
      <w:r>
        <w:rPr>
          <w:rFonts w:hint="eastAsia" w:hAnsi="宋体"/>
          <w:sz w:val="24"/>
          <w:szCs w:val="24"/>
        </w:rPr>
        <w:t xml:space="preserve">书,</w:t>
      </w:r>
      <w:r>
        <w:rPr>
          <w:rFonts w:hint="eastAsia" w:hAnsi="宋体"/>
          <w:sz w:val="24"/>
          <w:szCs w:val="24"/>
        </w:rPr>
        <w:t xml:space="preserve">列明各项标准的验收情况及项目总体</w:t>
      </w:r>
      <w:r>
        <w:rPr>
          <w:rFonts w:hint="eastAsia" w:hAnsi="宋体"/>
          <w:sz w:val="24"/>
          <w:szCs w:val="24"/>
        </w:rPr>
        <w:t xml:space="preserve">评价,</w:t>
      </w:r>
      <w:r>
        <w:rPr>
          <w:rFonts w:hint="eastAsia" w:hAnsi="宋体"/>
          <w:sz w:val="24"/>
          <w:szCs w:val="24"/>
        </w:rPr>
        <w:t xml:space="preserve">由验收双方共同签署。验收结果与采购合同约定的资金支付及履约保证金返还条件挂钩。履约验收的各项资料存档备查。</w:t>
      </w:r>
      <w:r/>
    </w:p>
    <w:p>
      <w:pPr>
        <w:pStyle w:val="1033"/>
        <w:ind w:left="480" w:hanging="480"/>
        <w:spacing w:before="120" w:after="120"/>
        <w:rPr>
          <w:rFonts w:hint="eastAsia" w:hAnsi="宋体"/>
          <w:sz w:val="24"/>
          <w:szCs w:val="24"/>
        </w:rPr>
      </w:pPr>
      <w:r>
        <w:rPr>
          <w:rFonts w:hint="eastAsia" w:hAnsi="宋体"/>
          <w:sz w:val="24"/>
          <w:szCs w:val="24"/>
        </w:rPr>
        <w:t xml:space="preserve">10.6 验收合格的</w:t>
      </w:r>
      <w:r>
        <w:rPr>
          <w:rFonts w:hint="eastAsia" w:hAnsi="宋体"/>
          <w:sz w:val="24"/>
          <w:szCs w:val="24"/>
        </w:rPr>
        <w:t xml:space="preserve">项目,</w:t>
      </w:r>
      <w:r>
        <w:rPr>
          <w:rFonts w:hint="eastAsia" w:hAnsi="宋体"/>
          <w:sz w:val="24"/>
          <w:szCs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w:t>
      </w:r>
      <w:r>
        <w:rPr>
          <w:rFonts w:hint="eastAsia" w:hAnsi="宋体"/>
          <w:sz w:val="24"/>
          <w:szCs w:val="24"/>
        </w:rPr>
        <w:t xml:space="preserve">的,</w:t>
      </w:r>
      <w:r>
        <w:rPr>
          <w:rFonts w:hint="eastAsia" w:hAnsi="宋体"/>
          <w:sz w:val="24"/>
          <w:szCs w:val="24"/>
        </w:rPr>
        <w:t xml:space="preserve">甲方将及时报告本级财政部门。</w:t>
      </w:r>
      <w:r/>
    </w:p>
    <w:p>
      <w:pPr>
        <w:pStyle w:val="1033"/>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103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w:t>
      </w:r>
      <w:r>
        <w:rPr>
          <w:rFonts w:hint="eastAsia" w:hAnsi="宋体"/>
          <w:sz w:val="24"/>
          <w:szCs w:val="24"/>
        </w:rPr>
        <w:t xml:space="preserve"> 本合同生效后，任何一方不履行或不完全履行本合同约定义务的，即构成违约，守约方有权要求违约方按照守约方遭受的全部损失承担赔偿责任，该损失包括但不限于，守约方为实现权利救济而支付的律师费、差旅费等。</w:t>
      </w:r>
      <w:r/>
    </w:p>
    <w:p>
      <w:pPr>
        <w:pStyle w:val="1033"/>
        <w:spacing w:before="120" w:after="120"/>
        <w:rPr>
          <w:rFonts w:hint="eastAsia" w:hAnsi="宋体"/>
          <w:sz w:val="24"/>
          <w:szCs w:val="24"/>
        </w:rPr>
      </w:pPr>
      <w:r>
        <w:rPr>
          <w:rFonts w:hint="eastAsia" w:hAnsi="宋体"/>
          <w:sz w:val="24"/>
          <w:szCs w:val="24"/>
        </w:rPr>
        <w:t xml:space="preserve">11.2 由于乙方原因造成其提供的服务不能满足合同中规定的要求，则甲方有权在书面通知乙方后，要求乙方按照以每例情事按合同总额</w:t>
      </w:r>
      <w:r>
        <w:rPr>
          <w:rFonts w:hint="eastAsia" w:hAnsi="宋体"/>
          <w:b/>
          <w:bCs/>
          <w:sz w:val="24"/>
          <w:szCs w:val="24"/>
        </w:rPr>
        <w:t xml:space="preserve">3%</w:t>
      </w:r>
      <w:r>
        <w:rPr>
          <w:rFonts w:hint="eastAsia" w:hAnsi="宋体"/>
          <w:sz w:val="24"/>
          <w:szCs w:val="24"/>
        </w:rPr>
        <w:t xml:space="preserve">的标准支付违约金，甲方有权在向乙方的任何应付款项中直接扣除该等违约金。服务期限内，上述情事累计发生超过3次的（包含3次），或因乙方有任何履行合同不符合约定的情形，经甲方以书面形式通知乙方，乙方在7日内未能予以补正和改进的，甲方有权解除本合同。甲方依法或依本合约约定行使合同解除权的，乙方须向甲方退还甲方已经支付的全部款项，并且乙方须按照合同总额</w:t>
      </w:r>
      <w:r>
        <w:rPr>
          <w:rFonts w:hint="eastAsia" w:hAnsi="宋体"/>
          <w:b/>
          <w:bCs/>
          <w:sz w:val="24"/>
          <w:szCs w:val="24"/>
        </w:rPr>
        <w:t xml:space="preserve">30%</w:t>
      </w:r>
      <w:r>
        <w:rPr>
          <w:rFonts w:hint="eastAsia" w:hAnsi="宋体"/>
          <w:sz w:val="24"/>
          <w:szCs w:val="24"/>
        </w:rPr>
        <w:t xml:space="preserve">的标准向甲方支付违约金，该等违约金不足以弥补甲方损失的，乙方须足额赔偿。</w:t>
      </w:r>
      <w:r/>
    </w:p>
    <w:p>
      <w:pPr>
        <w:pStyle w:val="1033"/>
        <w:spacing w:before="120" w:after="120"/>
        <w:rPr>
          <w:rFonts w:hint="eastAsia" w:hAnsi="宋体"/>
          <w:sz w:val="24"/>
          <w:szCs w:val="24"/>
        </w:rPr>
      </w:pPr>
      <w:r>
        <w:rPr>
          <w:rFonts w:hint="eastAsia" w:hAnsi="宋体"/>
          <w:sz w:val="24"/>
          <w:szCs w:val="24"/>
        </w:rPr>
        <w:t xml:space="preserve">11.3 由于乙方原因造成其不能按时完成服务的，每逾期1个工作日，乙方向甲方支付合同总额的</w:t>
      </w:r>
      <w:r>
        <w:rPr>
          <w:rFonts w:hint="eastAsia" w:hAnsi="宋体"/>
          <w:b/>
          <w:bCs/>
          <w:sz w:val="24"/>
          <w:szCs w:val="24"/>
        </w:rPr>
        <w:t xml:space="preserve">3%</w:t>
      </w:r>
      <w:r>
        <w:rPr>
          <w:rFonts w:hint="eastAsia" w:hAnsi="宋体"/>
          <w:sz w:val="24"/>
          <w:szCs w:val="24"/>
        </w:rPr>
        <w:t xml:space="preserve">的违约金，甲方有权在向乙方的任何应付款项中直接扣除该等违约金。乙方逾期履行超过5个工作日的，甲方有权解除本合同，乙方须向甲方退还甲方已经支付的全部款项，并且乙方须按照合同总额</w:t>
      </w:r>
      <w:r>
        <w:rPr>
          <w:rFonts w:hint="eastAsia" w:hAnsi="宋体"/>
          <w:b/>
          <w:bCs/>
          <w:sz w:val="24"/>
          <w:szCs w:val="24"/>
        </w:rPr>
        <w:t xml:space="preserve">30%</w:t>
      </w:r>
      <w:r>
        <w:rPr>
          <w:rFonts w:hint="eastAsia" w:hAnsi="宋体"/>
          <w:sz w:val="24"/>
          <w:szCs w:val="24"/>
        </w:rPr>
        <w:t xml:space="preserve">的标准向甲方支付违约金，该等违约金不足以弥补甲方损失的，乙方须足额赔偿。 </w:t>
      </w:r>
      <w:r/>
    </w:p>
    <w:p>
      <w:pPr>
        <w:pStyle w:val="1033"/>
        <w:spacing w:before="120" w:after="120"/>
        <w:rPr>
          <w:rFonts w:hint="eastAsia" w:hAnsi="宋体"/>
          <w:sz w:val="24"/>
          <w:szCs w:val="24"/>
        </w:rPr>
      </w:pPr>
      <w:r>
        <w:rPr>
          <w:rFonts w:hint="eastAsia" w:hAnsi="宋体"/>
          <w:sz w:val="24"/>
          <w:szCs w:val="24"/>
        </w:rPr>
        <w:t xml:space="preserve">11.4 乙方所提供服务的标准不符合合同规定及招标文件规定标准的，甲方有权拒绝接受服务，并可单方面解除合同。</w:t>
      </w:r>
      <w:r/>
    </w:p>
    <w:p>
      <w:pPr>
        <w:pStyle w:val="1033"/>
        <w:spacing w:before="120" w:after="120"/>
        <w:rPr>
          <w:rFonts w:hint="eastAsia" w:hAnsi="宋体"/>
          <w:sz w:val="24"/>
          <w:szCs w:val="24"/>
        </w:rPr>
      </w:pPr>
      <w:r>
        <w:rPr>
          <w:rFonts w:hint="eastAsia" w:hAnsi="宋体"/>
          <w:sz w:val="24"/>
          <w:szCs w:val="24"/>
        </w:rPr>
        <w:t xml:space="preserve">11.5【日常管理】甲方对乙方服务情况进行季度考核，根据乙方服务完成情况、服务质量、安全保障能力、服务态度等进行综合评价，考核结果与实际付款挂钩：</w:t>
      </w:r>
      <w:r/>
    </w:p>
    <w:p>
      <w:pPr>
        <w:pStyle w:val="1033"/>
        <w:spacing w:before="120" w:after="120"/>
        <w:rPr>
          <w:rFonts w:hint="eastAsia" w:hAnsi="宋体"/>
          <w:sz w:val="24"/>
          <w:szCs w:val="24"/>
        </w:rPr>
      </w:pPr>
      <w:r>
        <w:rPr>
          <w:rFonts w:hint="eastAsia" w:hAnsi="宋体"/>
          <w:sz w:val="24"/>
          <w:szCs w:val="24"/>
        </w:rPr>
        <w:t xml:space="preserve">①当四个季度考核结果均为良好以上时，全额支付合同总价款；</w:t>
      </w:r>
      <w:r/>
    </w:p>
    <w:p>
      <w:pPr>
        <w:pStyle w:val="1033"/>
        <w:spacing w:before="120" w:after="120"/>
        <w:rPr>
          <w:rFonts w:hint="eastAsia" w:hAnsi="宋体"/>
          <w:sz w:val="24"/>
          <w:szCs w:val="24"/>
        </w:rPr>
      </w:pPr>
      <w:r>
        <w:rPr>
          <w:rFonts w:hint="eastAsia" w:hAnsi="宋体"/>
          <w:sz w:val="24"/>
          <w:szCs w:val="24"/>
        </w:rPr>
        <w:t xml:space="preserve">②当季度考核结果为一般时，每次扣除合同总价款的1%；</w:t>
      </w:r>
      <w:r/>
    </w:p>
    <w:p>
      <w:pPr>
        <w:pStyle w:val="1033"/>
        <w:spacing w:before="120" w:after="120"/>
        <w:rPr>
          <w:rFonts w:hint="eastAsia" w:hAnsi="宋体"/>
          <w:sz w:val="24"/>
          <w:szCs w:val="24"/>
        </w:rPr>
      </w:pPr>
      <w:r>
        <w:rPr>
          <w:rFonts w:hint="eastAsia" w:hAnsi="宋体"/>
          <w:sz w:val="24"/>
          <w:szCs w:val="24"/>
        </w:rPr>
        <w:t xml:space="preserve">③当季度考核结果为较差时，每次扣除合同总价款的5%。</w:t>
      </w:r>
      <w:r/>
    </w:p>
    <w:p>
      <w:pPr>
        <w:pStyle w:val="1033"/>
        <w:spacing w:before="120" w:after="120"/>
        <w:rPr>
          <w:rFonts w:hint="eastAsia" w:hAnsi="宋体"/>
          <w:sz w:val="24"/>
          <w:szCs w:val="24"/>
        </w:rPr>
      </w:pPr>
      <w:r>
        <w:rPr>
          <w:rFonts w:hint="eastAsia" w:hAnsi="宋体"/>
          <w:sz w:val="24"/>
          <w:szCs w:val="24"/>
        </w:rPr>
        <w:t xml:space="preserve">④乙方未足额提供服务人员，或未经甲方同意更换服务人员，且在甲方发出书面整改通知之后5个工作日未完成整改的，甲方有权解除合同，全额扣除剩余未支付款项。</w:t>
      </w:r>
      <w:r/>
    </w:p>
    <w:p>
      <w:pPr>
        <w:pStyle w:val="1033"/>
        <w:spacing w:before="120" w:after="120"/>
        <w:rPr>
          <w:rFonts w:hint="eastAsia" w:hAnsi="宋体"/>
          <w:sz w:val="24"/>
          <w:szCs w:val="24"/>
        </w:rPr>
      </w:pPr>
      <w:r>
        <w:rPr>
          <w:rFonts w:hint="eastAsia" w:hAnsi="宋体"/>
          <w:sz w:val="24"/>
          <w:szCs w:val="24"/>
        </w:rPr>
        <w:t xml:space="preserve">⑤乙方人员服务态度不佳、违反工作纪律、响应滞后、故障处置不及时的，乙方应当在5个工作日内完成人员更换，新人需经甲方同意后方可上岗。</w:t>
      </w:r>
      <w:r/>
    </w:p>
    <w:p>
      <w:pPr>
        <w:pStyle w:val="1033"/>
        <w:spacing w:before="120" w:after="120"/>
        <w:rPr>
          <w:rFonts w:hint="eastAsia" w:hAnsi="宋体"/>
          <w:sz w:val="24"/>
          <w:szCs w:val="24"/>
        </w:rPr>
      </w:pPr>
      <w:r>
        <w:rPr>
          <w:rFonts w:hint="eastAsia" w:hAnsi="宋体"/>
          <w:sz w:val="24"/>
          <w:szCs w:val="24"/>
        </w:rPr>
        <w:t xml:space="preserve">⑥乙方所提供服务的标准不符合合同规定及招标文件规定标准的，甲方有权拒绝接受服务，并可单方面解除合同。</w:t>
      </w:r>
      <w:r/>
    </w:p>
    <w:p>
      <w:pPr>
        <w:pStyle w:val="1033"/>
        <w:spacing w:before="120" w:after="120"/>
        <w:rPr>
          <w:rFonts w:hint="eastAsia" w:hAnsi="宋体"/>
          <w:sz w:val="24"/>
          <w:szCs w:val="24"/>
        </w:rPr>
      </w:pPr>
      <w:r>
        <w:rPr>
          <w:rFonts w:hint="eastAsia" w:hAnsi="宋体"/>
          <w:sz w:val="24"/>
          <w:szCs w:val="24"/>
        </w:rPr>
        <w:t xml:space="preserve">11.6【运行事故/事件】因乙方操作不当、配置错误、运行监测不到位、故障响应滞</w:t>
      </w:r>
      <w:r>
        <w:rPr>
          <w:rFonts w:hint="eastAsia" w:hAnsi="宋体"/>
          <w:sz w:val="24"/>
          <w:szCs w:val="24"/>
        </w:rPr>
        <w:t xml:space="preserve">后等原因：</w:t>
      </w:r>
      <w:r/>
    </w:p>
    <w:p>
      <w:pPr>
        <w:pStyle w:val="1033"/>
        <w:spacing w:before="120" w:after="120"/>
        <w:rPr>
          <w:rFonts w:hint="eastAsia" w:hAnsi="宋体"/>
          <w:sz w:val="24"/>
          <w:szCs w:val="24"/>
        </w:rPr>
      </w:pPr>
      <w:r>
        <w:rPr>
          <w:rFonts w:hint="eastAsia" w:hAnsi="宋体"/>
          <w:sz w:val="24"/>
          <w:szCs w:val="24"/>
        </w:rPr>
        <w:t xml:space="preserve">①未达到事件级别，但导致网络中断、系统宕机、服务中断超过1个小时仍未恢复的，每发生1次，乙方应支付或甲方扣除合同总价款2%的违约金，累计发生达到5次，甲方有权单方面解除合同。</w:t>
      </w:r>
      <w:r/>
    </w:p>
    <w:p>
      <w:pPr>
        <w:pStyle w:val="1033"/>
        <w:spacing w:before="120" w:after="120"/>
        <w:rPr>
          <w:rFonts w:hint="eastAsia" w:hAnsi="宋体"/>
          <w:sz w:val="24"/>
          <w:szCs w:val="24"/>
        </w:rPr>
      </w:pPr>
      <w:r>
        <w:rPr>
          <w:rFonts w:hint="eastAsia" w:hAnsi="宋体"/>
          <w:sz w:val="24"/>
          <w:szCs w:val="24"/>
        </w:rPr>
        <w:t xml:space="preserve">②经网信部门认定为较大网络安全事件的，每发生1次，乙方应支付合同总价款10%的违约金，累计发生达到2次，甲方有权单方面解除合同。</w:t>
      </w:r>
      <w:r/>
    </w:p>
    <w:p>
      <w:pPr>
        <w:pStyle w:val="1033"/>
        <w:spacing w:before="120" w:after="120"/>
        <w:rPr>
          <w:rFonts w:hint="eastAsia" w:hAnsi="宋体"/>
          <w:sz w:val="24"/>
          <w:szCs w:val="24"/>
        </w:rPr>
      </w:pPr>
      <w:r>
        <w:rPr>
          <w:rFonts w:hint="eastAsia" w:hAnsi="宋体"/>
          <w:sz w:val="24"/>
          <w:szCs w:val="24"/>
        </w:rPr>
        <w:t xml:space="preserve">③经网信部门认定为重大网络安全事件、特别重大网络安全事件的，甲方有权解除合同，全额扣除剩余未支付费用，乙方应向甲方支付合同总价款30%的违约金，违约金不足以弥补甲方损失的，乙方还需赔偿甲方因此遭受的全部损失。</w:t>
      </w:r>
      <w:r/>
    </w:p>
    <w:p>
      <w:pPr>
        <w:pStyle w:val="1033"/>
        <w:spacing w:before="120" w:after="120"/>
        <w:rPr>
          <w:rFonts w:hint="eastAsia" w:hAnsi="宋体"/>
          <w:sz w:val="24"/>
          <w:szCs w:val="24"/>
        </w:rPr>
      </w:pPr>
      <w:r>
        <w:rPr>
          <w:rFonts w:hint="eastAsia" w:hAnsi="宋体"/>
          <w:sz w:val="24"/>
          <w:szCs w:val="24"/>
        </w:rPr>
        <w:t xml:space="preserve">④发生上述情况，甲方有权向相关主管部门上报，为相关部门行政处罚、信用评价提供线索。</w:t>
      </w:r>
      <w:r/>
    </w:p>
    <w:p>
      <w:pPr>
        <w:pStyle w:val="1033"/>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1033"/>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103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103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w:t>
      </w:r>
      <w:r>
        <w:rPr>
          <w:rFonts w:hint="eastAsia" w:hAnsi="宋体"/>
          <w:sz w:val="24"/>
          <w:szCs w:val="24"/>
        </w:rPr>
        <w:t xml:space="preserve">甲方有权解除合同，已付款项按实际完成情况结算</w:t>
      </w:r>
      <w:r>
        <w:rPr>
          <w:rFonts w:hint="eastAsia" w:hAnsi="宋体"/>
          <w:sz w:val="24"/>
          <w:szCs w:val="24"/>
        </w:rPr>
        <w:t xml:space="preserve">。</w:t>
      </w:r>
      <w:r>
        <w:rPr>
          <w:rFonts w:hAnsi="宋体"/>
          <w:sz w:val="24"/>
          <w:szCs w:val="24"/>
        </w:rPr>
        <w:t xml:space="preserve">。</w:t>
      </w:r>
      <w:r/>
    </w:p>
    <w:p>
      <w:pPr>
        <w:pStyle w:val="1033"/>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1033"/>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1033"/>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103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103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1033"/>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四</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w:t>
      </w:r>
      <w:r>
        <w:rPr>
          <w:rFonts w:hint="eastAsia" w:hAnsi="宋体"/>
          <w:sz w:val="24"/>
          <w:szCs w:val="24"/>
        </w:rPr>
        <w:t xml:space="preserve">两</w:t>
      </w:r>
      <w:r>
        <w:rPr>
          <w:rFonts w:hAnsi="宋体"/>
          <w:sz w:val="24"/>
          <w:szCs w:val="24"/>
        </w:rPr>
        <w:t xml:space="preserve">份。</w:t>
      </w:r>
      <w:r/>
    </w:p>
    <w:p>
      <w:pPr>
        <w:pStyle w:val="1033"/>
        <w:ind w:left="480" w:hanging="480"/>
        <w:spacing w:before="120" w:after="120" w:line="0" w:lineRule="atLeast"/>
        <w:rPr>
          <w:rFonts w:hint="eastAsia" w:hAnsi="宋体"/>
          <w:sz w:val="24"/>
          <w:szCs w:val="24"/>
        </w:rPr>
      </w:pPr>
      <w:r>
        <w:rPr>
          <w:rFonts w:hAnsi="宋体"/>
          <w:sz w:val="24"/>
          <w:szCs w:val="24"/>
        </w:rPr>
        <w:t xml:space="preserve">  甲方：                        乙方： </w:t>
      </w:r>
      <w:r/>
    </w:p>
    <w:p>
      <w:pPr>
        <w:pStyle w:val="1033"/>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1033"/>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1033"/>
        <w:ind w:firstLine="240"/>
        <w:spacing w:before="120" w:after="120" w:line="0" w:lineRule="atLeast"/>
      </w:pPr>
      <w:r>
        <w:rPr>
          <w:rFonts w:hint="eastAsia" w:hAnsi="宋体"/>
          <w:sz w:val="24"/>
          <w:szCs w:val="24"/>
        </w:rPr>
        <w:t xml:space="preserve">联系电话：                    联系电话：          </w:t>
      </w:r>
      <w:r/>
    </w:p>
    <w:p>
      <w:pPr>
        <w:pStyle w:val="1033"/>
        <w:jc w:val="center"/>
        <w:spacing w:before="120" w:after="120" w:line="0" w:lineRule="atLeast"/>
      </w:pPr>
      <w:r>
        <w:rPr>
          <w:rFonts w:hint="eastAsia"/>
        </w:rPr>
        <w:t xml:space="preserve">                                         </w:t>
      </w:r>
      <w:r/>
    </w:p>
    <w:p>
      <w:pPr>
        <w:pStyle w:val="1033"/>
        <w:jc w:val="right"/>
        <w:spacing w:before="120" w:after="120" w:line="0" w:lineRule="atLeast"/>
        <w:rPr>
          <w:sz w:val="24"/>
          <w:szCs w:val="24"/>
        </w:rPr>
      </w:pPr>
      <w:r>
        <w:rPr>
          <w:rFonts w:hint="eastAsia"/>
          <w:sz w:val="24"/>
          <w:szCs w:val="24"/>
        </w:rPr>
        <w:t xml:space="preserve"> </w:t>
      </w:r>
      <w:r/>
    </w:p>
    <w:p>
      <w:pPr>
        <w:pStyle w:val="727"/>
        <w:jc w:val="center"/>
        <w:spacing w:before="120" w:after="120" w:line="0" w:lineRule="atLeast"/>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pStyle w:val="727"/>
        <w:jc w:val="center"/>
        <w:spacing w:before="120" w:after="120" w:line="0" w:lineRule="atLeast"/>
        <w:rPr>
          <w:sz w:val="24"/>
          <w:szCs w:val="24"/>
        </w:rPr>
      </w:pPr>
      <w:r>
        <w:rPr>
          <w:sz w:val="24"/>
          <w:szCs w:val="24"/>
        </w:rPr>
      </w:r>
      <w:r/>
    </w:p>
    <w:p>
      <w:pPr>
        <w:pStyle w:val="727"/>
        <w:jc w:val="center"/>
        <w:spacing w:before="120" w:after="120" w:line="0" w:lineRule="atLeast"/>
        <w:rPr>
          <w:sz w:val="24"/>
          <w:szCs w:val="24"/>
        </w:rPr>
      </w:pPr>
      <w:r>
        <w:rPr>
          <w:sz w:val="24"/>
          <w:szCs w:val="24"/>
        </w:rPr>
      </w:r>
      <w:r/>
    </w:p>
    <w:p>
      <w:pPr>
        <w:pStyle w:val="727"/>
        <w:jc w:val="center"/>
        <w:spacing w:before="120" w:after="120" w:line="0" w:lineRule="atLeast"/>
        <w:rPr>
          <w:sz w:val="24"/>
          <w:szCs w:val="24"/>
        </w:rPr>
      </w:pPr>
      <w:r>
        <w:rPr>
          <w:sz w:val="24"/>
          <w:szCs w:val="24"/>
        </w:rPr>
      </w:r>
      <w:r/>
    </w:p>
    <w:p>
      <w:pPr>
        <w:pStyle w:val="727"/>
        <w:jc w:val="center"/>
        <w:spacing w:before="120" w:after="120" w:line="0" w:lineRule="atLeast"/>
        <w:rPr>
          <w:sz w:val="24"/>
          <w:szCs w:val="24"/>
        </w:rPr>
      </w:pPr>
      <w:r>
        <w:rPr>
          <w:sz w:val="24"/>
          <w:szCs w:val="24"/>
        </w:rPr>
      </w:r>
      <w:r/>
    </w:p>
    <w:p>
      <w:pPr>
        <w:pStyle w:val="727"/>
        <w:jc w:val="left"/>
        <w:spacing w:before="120" w:after="120" w:line="0" w:lineRule="atLeast"/>
        <w:rPr>
          <w:sz w:val="24"/>
          <w:szCs w:val="24"/>
        </w:rPr>
      </w:pPr>
      <w:r>
        <w:rPr>
          <w:rFonts w:hint="eastAsia"/>
          <w:sz w:val="24"/>
          <w:szCs w:val="24"/>
        </w:rPr>
        <w:t xml:space="preserve">附件一：信息安全保密协议</w:t>
      </w:r>
      <w:r/>
    </w:p>
    <w:p>
      <w:pPr>
        <w:pStyle w:val="727"/>
        <w:ind w:firstLine="480"/>
        <w:jc w:val="left"/>
        <w:spacing w:line="0" w:lineRule="atLeast"/>
        <w:rPr>
          <w:sz w:val="24"/>
          <w:szCs w:val="24"/>
        </w:rPr>
      </w:pPr>
      <w:r>
        <w:rPr>
          <w:sz w:val="24"/>
          <w:szCs w:val="24"/>
        </w:rPr>
      </w:r>
      <w:r/>
    </w:p>
    <w:p>
      <w:pPr>
        <w:pStyle w:val="727"/>
        <w:ind w:firstLine="480"/>
        <w:jc w:val="left"/>
        <w:spacing w:line="0" w:lineRule="atLeast"/>
        <w:rPr>
          <w:sz w:val="24"/>
          <w:szCs w:val="24"/>
        </w:rPr>
      </w:pPr>
      <w:r>
        <w:rPr>
          <w:rFonts w:hint="eastAsia"/>
          <w:sz w:val="24"/>
          <w:szCs w:val="24"/>
        </w:rPr>
        <w:t xml:space="preserve">甲方：江苏省第二中医院</w:t>
      </w:r>
      <w:r/>
    </w:p>
    <w:p>
      <w:pPr>
        <w:pStyle w:val="727"/>
        <w:ind w:firstLine="480"/>
        <w:jc w:val="left"/>
        <w:spacing w:line="0" w:lineRule="atLeast"/>
        <w:rPr>
          <w:sz w:val="24"/>
          <w:szCs w:val="24"/>
        </w:rPr>
      </w:pPr>
      <w:r>
        <w:rPr>
          <w:rFonts w:hint="eastAsia"/>
          <w:sz w:val="24"/>
          <w:szCs w:val="24"/>
        </w:rPr>
        <w:t xml:space="preserve">乙方：</w:t>
      </w:r>
      <w:r/>
    </w:p>
    <w:p>
      <w:pPr>
        <w:pStyle w:val="727"/>
        <w:ind w:firstLine="480"/>
        <w:jc w:val="left"/>
        <w:spacing w:line="0" w:lineRule="atLeast"/>
        <w:rPr>
          <w:sz w:val="24"/>
          <w:szCs w:val="24"/>
        </w:rPr>
      </w:pPr>
      <w:r>
        <w:rPr>
          <w:sz w:val="24"/>
          <w:szCs w:val="24"/>
        </w:rPr>
      </w:r>
      <w:r/>
    </w:p>
    <w:p>
      <w:pPr>
        <w:pStyle w:val="727"/>
        <w:ind w:firstLine="480"/>
        <w:jc w:val="left"/>
        <w:spacing w:line="0" w:lineRule="atLeast"/>
        <w:rPr>
          <w:sz w:val="24"/>
          <w:szCs w:val="24"/>
        </w:rPr>
      </w:pPr>
      <w:r>
        <w:rPr>
          <w:rFonts w:hint="eastAsia"/>
          <w:sz w:val="24"/>
          <w:szCs w:val="24"/>
        </w:rPr>
        <w:t xml:space="preserve">为加强甲方</w:t>
      </w:r>
      <w:r>
        <w:rPr>
          <w:sz w:val="24"/>
          <w:szCs w:val="24"/>
        </w:rPr>
        <w:t xml:space="preserve">信息技术资料和</w:t>
      </w:r>
      <w:r>
        <w:rPr>
          <w:rFonts w:hint="eastAsia"/>
          <w:sz w:val="24"/>
          <w:szCs w:val="24"/>
        </w:rPr>
        <w:t xml:space="preserve">系统</w:t>
      </w:r>
      <w:r>
        <w:rPr>
          <w:sz w:val="24"/>
          <w:szCs w:val="24"/>
        </w:rPr>
        <w:t xml:space="preserve">数据的管理</w:t>
      </w:r>
      <w:r>
        <w:rPr>
          <w:rFonts w:hint="eastAsia"/>
          <w:sz w:val="24"/>
          <w:szCs w:val="24"/>
        </w:rPr>
        <w:t xml:space="preserve">，确保甲方的文件资料、计算机系统和信息数据安全，杜绝失密、泄密等事件发生，甲、乙双方根据甲方各项规章制度的规定和信息安全保护相关法律法规，双方在遵循平等自愿、协商一致、诚实信用的原则下，达成如下协议：</w:t>
      </w:r>
      <w:r/>
    </w:p>
    <w:p>
      <w:pPr>
        <w:pStyle w:val="727"/>
        <w:ind w:firstLine="480"/>
        <w:jc w:val="left"/>
        <w:spacing w:line="0" w:lineRule="atLeast"/>
        <w:rPr>
          <w:sz w:val="24"/>
          <w:szCs w:val="24"/>
        </w:rPr>
      </w:pPr>
      <w:r>
        <w:rPr>
          <w:rFonts w:hint="eastAsia"/>
          <w:sz w:val="24"/>
          <w:szCs w:val="24"/>
        </w:rPr>
        <w:t xml:space="preserve">一、保密内容</w:t>
      </w:r>
      <w:r/>
    </w:p>
    <w:p>
      <w:pPr>
        <w:pStyle w:val="727"/>
        <w:ind w:firstLine="480"/>
        <w:jc w:val="left"/>
        <w:spacing w:line="0" w:lineRule="atLeast"/>
        <w:rPr>
          <w:sz w:val="24"/>
          <w:szCs w:val="24"/>
        </w:rPr>
      </w:pPr>
      <w:r>
        <w:rPr>
          <w:rFonts w:hint="eastAsia"/>
          <w:sz w:val="24"/>
          <w:szCs w:val="24"/>
        </w:rPr>
        <w:t xml:space="preserve">（一）甲方</w:t>
      </w:r>
      <w:r>
        <w:rPr>
          <w:sz w:val="24"/>
          <w:szCs w:val="24"/>
        </w:rPr>
        <w:t xml:space="preserve">信息系统项目</w:t>
      </w:r>
      <w:r>
        <w:rPr>
          <w:rFonts w:hint="eastAsia"/>
          <w:sz w:val="24"/>
          <w:szCs w:val="24"/>
        </w:rPr>
        <w:t xml:space="preserve">数据信息。包括但不限于：系统</w:t>
      </w:r>
      <w:r>
        <w:rPr>
          <w:sz w:val="24"/>
          <w:szCs w:val="24"/>
        </w:rPr>
        <w:t xml:space="preserve">建设、</w:t>
      </w:r>
      <w:r>
        <w:rPr>
          <w:rFonts w:hint="eastAsia"/>
          <w:sz w:val="24"/>
          <w:szCs w:val="24"/>
        </w:rPr>
        <w:t xml:space="preserve">实施</w:t>
      </w:r>
      <w:r>
        <w:rPr>
          <w:sz w:val="24"/>
          <w:szCs w:val="24"/>
        </w:rPr>
        <w:t xml:space="preserve">及运维过程中所有</w:t>
      </w:r>
      <w:r>
        <w:rPr>
          <w:rFonts w:hint="eastAsia"/>
          <w:sz w:val="24"/>
          <w:szCs w:val="24"/>
        </w:rPr>
        <w:t xml:space="preserve">系统软件、计算机程序、信息数据、参数。</w:t>
      </w:r>
      <w:r/>
    </w:p>
    <w:p>
      <w:pPr>
        <w:pStyle w:val="727"/>
        <w:ind w:firstLine="480"/>
        <w:jc w:val="left"/>
        <w:spacing w:line="0" w:lineRule="atLeast"/>
        <w:rPr>
          <w:sz w:val="24"/>
          <w:szCs w:val="24"/>
        </w:rPr>
      </w:pPr>
      <w:r>
        <w:rPr>
          <w:rFonts w:hint="eastAsia"/>
          <w:sz w:val="24"/>
          <w:szCs w:val="24"/>
        </w:rPr>
        <w:t xml:space="preserve">（二）与甲方信息系统</w:t>
      </w:r>
      <w:r>
        <w:rPr>
          <w:sz w:val="24"/>
          <w:szCs w:val="24"/>
        </w:rPr>
        <w:t xml:space="preserve">项目</w:t>
      </w:r>
      <w:r>
        <w:rPr>
          <w:rFonts w:hint="eastAsia"/>
          <w:sz w:val="24"/>
          <w:szCs w:val="24"/>
        </w:rPr>
        <w:t xml:space="preserve">相关的</w:t>
      </w:r>
      <w:r>
        <w:rPr>
          <w:sz w:val="24"/>
          <w:szCs w:val="24"/>
        </w:rPr>
        <w:t xml:space="preserve">项目</w:t>
      </w:r>
      <w:r>
        <w:rPr>
          <w:rFonts w:hint="eastAsia"/>
          <w:sz w:val="24"/>
          <w:szCs w:val="24"/>
        </w:rPr>
        <w:t xml:space="preserve">设计</w:t>
      </w:r>
      <w:r>
        <w:rPr>
          <w:sz w:val="24"/>
          <w:szCs w:val="24"/>
        </w:rPr>
        <w:t xml:space="preserve">、开发工具</w:t>
      </w:r>
      <w:r>
        <w:rPr>
          <w:rFonts w:hint="eastAsia"/>
          <w:sz w:val="24"/>
          <w:szCs w:val="24"/>
        </w:rPr>
        <w:t xml:space="preserve">、研究成果、</w:t>
      </w:r>
      <w:r>
        <w:rPr>
          <w:sz w:val="24"/>
          <w:szCs w:val="24"/>
        </w:rPr>
        <w:t xml:space="preserve">专利技术等</w:t>
      </w:r>
      <w:r>
        <w:rPr>
          <w:rFonts w:hint="eastAsia"/>
          <w:sz w:val="24"/>
          <w:szCs w:val="24"/>
        </w:rPr>
        <w:t xml:space="preserve">。</w:t>
      </w:r>
      <w:r/>
    </w:p>
    <w:p>
      <w:pPr>
        <w:pStyle w:val="727"/>
        <w:ind w:firstLine="480"/>
        <w:jc w:val="left"/>
        <w:spacing w:line="0" w:lineRule="atLeast"/>
        <w:rPr>
          <w:sz w:val="24"/>
          <w:szCs w:val="24"/>
        </w:rPr>
      </w:pPr>
      <w:r>
        <w:rPr>
          <w:sz w:val="24"/>
          <w:szCs w:val="24"/>
        </w:rPr>
        <w:t xml:space="preserve">（</w:t>
      </w:r>
      <w:r>
        <w:rPr>
          <w:rFonts w:hint="eastAsia"/>
          <w:sz w:val="24"/>
          <w:szCs w:val="24"/>
        </w:rPr>
        <w:t xml:space="preserve">三</w:t>
      </w:r>
      <w:r>
        <w:rPr>
          <w:sz w:val="24"/>
          <w:szCs w:val="24"/>
        </w:rPr>
        <w:t xml:space="preserve">）甲方在</w:t>
      </w:r>
      <w:r>
        <w:rPr>
          <w:rFonts w:hint="eastAsia"/>
          <w:sz w:val="24"/>
          <w:szCs w:val="24"/>
        </w:rPr>
        <w:t xml:space="preserve">信息</w:t>
      </w:r>
      <w:r>
        <w:rPr>
          <w:sz w:val="24"/>
          <w:szCs w:val="24"/>
        </w:rPr>
        <w:t xml:space="preserve">系统中生成或上传的所有数据及文件资料。</w:t>
      </w:r>
      <w:r/>
    </w:p>
    <w:p>
      <w:pPr>
        <w:pStyle w:val="727"/>
        <w:ind w:firstLine="480"/>
        <w:jc w:val="left"/>
        <w:spacing w:line="0" w:lineRule="atLeast"/>
        <w:rPr>
          <w:sz w:val="24"/>
          <w:szCs w:val="24"/>
        </w:rPr>
      </w:pPr>
      <w:r>
        <w:rPr>
          <w:sz w:val="24"/>
          <w:szCs w:val="24"/>
        </w:rPr>
        <w:t xml:space="preserve">（</w:t>
      </w:r>
      <w:r>
        <w:rPr>
          <w:rFonts w:hint="eastAsia"/>
          <w:sz w:val="24"/>
          <w:szCs w:val="24"/>
        </w:rPr>
        <w:t xml:space="preserve">四</w:t>
      </w:r>
      <w:r>
        <w:rPr>
          <w:sz w:val="24"/>
          <w:szCs w:val="24"/>
        </w:rPr>
        <w:t xml:space="preserve">）在</w:t>
      </w:r>
      <w:r>
        <w:rPr>
          <w:rFonts w:hint="eastAsia"/>
          <w:sz w:val="24"/>
          <w:szCs w:val="24"/>
        </w:rPr>
        <w:t xml:space="preserve">系统</w:t>
      </w:r>
      <w:r>
        <w:rPr>
          <w:sz w:val="24"/>
          <w:szCs w:val="24"/>
        </w:rPr>
        <w:t xml:space="preserve">实施中甲方为乙方提供的网络资源、开发平台、开发工具、各用户名及口令等信息</w:t>
      </w:r>
      <w:r>
        <w:rPr>
          <w:rFonts w:hint="eastAsia"/>
          <w:sz w:val="24"/>
          <w:szCs w:val="24"/>
        </w:rPr>
        <w:t xml:space="preserve">。</w:t>
      </w:r>
      <w:r/>
    </w:p>
    <w:p>
      <w:pPr>
        <w:pStyle w:val="727"/>
        <w:ind w:firstLine="480"/>
        <w:jc w:val="left"/>
        <w:spacing w:line="0" w:lineRule="atLeast"/>
        <w:rPr>
          <w:sz w:val="24"/>
          <w:szCs w:val="24"/>
        </w:rPr>
      </w:pPr>
      <w:r>
        <w:rPr>
          <w:sz w:val="24"/>
          <w:szCs w:val="24"/>
        </w:rPr>
        <w:t xml:space="preserve">（</w:t>
      </w:r>
      <w:r>
        <w:rPr>
          <w:rFonts w:hint="eastAsia"/>
          <w:sz w:val="24"/>
          <w:szCs w:val="24"/>
        </w:rPr>
        <w:t xml:space="preserve">五</w:t>
      </w:r>
      <w:r>
        <w:rPr>
          <w:sz w:val="24"/>
          <w:szCs w:val="24"/>
        </w:rPr>
        <w:t xml:space="preserve">）乙方在实施一体化信息系统建设项目过程中所获悉的甲方基础数据及甲方接口数据、配置数据等关联数据信息。</w:t>
      </w:r>
      <w:r/>
    </w:p>
    <w:p>
      <w:pPr>
        <w:pStyle w:val="727"/>
        <w:ind w:firstLine="480"/>
        <w:jc w:val="left"/>
        <w:spacing w:line="0" w:lineRule="atLeast"/>
        <w:rPr>
          <w:sz w:val="24"/>
          <w:szCs w:val="24"/>
        </w:rPr>
      </w:pPr>
      <w:r>
        <w:rPr>
          <w:rFonts w:hint="eastAsia"/>
          <w:sz w:val="24"/>
          <w:szCs w:val="24"/>
        </w:rPr>
        <w:t xml:space="preserve">（六）乙方在服务合同期间所持有的科研成果和技术秘密，经双方协议乙方同意被甲方应用的，乙方应对研究成果和技术秘密进行保密。</w:t>
      </w:r>
      <w:r/>
    </w:p>
    <w:p>
      <w:pPr>
        <w:pStyle w:val="727"/>
        <w:ind w:firstLine="480"/>
        <w:jc w:val="left"/>
        <w:spacing w:line="0" w:lineRule="atLeast"/>
        <w:rPr>
          <w:sz w:val="24"/>
          <w:szCs w:val="24"/>
        </w:rPr>
      </w:pPr>
      <w:r>
        <w:rPr>
          <w:rFonts w:hint="eastAsia"/>
          <w:sz w:val="24"/>
          <w:szCs w:val="24"/>
        </w:rPr>
        <w:t xml:space="preserve">（七）乙方在服务合同期间的工作成果、科研成果和专利技术等。</w:t>
      </w:r>
      <w:r/>
    </w:p>
    <w:p>
      <w:pPr>
        <w:pStyle w:val="727"/>
        <w:ind w:firstLine="480"/>
        <w:jc w:val="left"/>
        <w:spacing w:line="0" w:lineRule="atLeast"/>
        <w:rPr>
          <w:sz w:val="24"/>
          <w:szCs w:val="24"/>
        </w:rPr>
      </w:pPr>
      <w:r>
        <w:rPr>
          <w:rFonts w:hint="eastAsia"/>
          <w:sz w:val="24"/>
          <w:szCs w:val="24"/>
        </w:rPr>
        <w:t xml:space="preserve">（八）乙方在服务合同期间所接触、知悉的关于甲方所拥有的资料等。</w:t>
      </w:r>
      <w:r/>
    </w:p>
    <w:p>
      <w:pPr>
        <w:pStyle w:val="727"/>
        <w:ind w:firstLine="480"/>
        <w:jc w:val="left"/>
        <w:spacing w:line="0" w:lineRule="atLeast"/>
        <w:rPr>
          <w:sz w:val="24"/>
          <w:szCs w:val="24"/>
        </w:rPr>
      </w:pPr>
      <w:r>
        <w:rPr>
          <w:rFonts w:hint="eastAsia"/>
          <w:sz w:val="24"/>
          <w:szCs w:val="24"/>
        </w:rPr>
        <w:t xml:space="preserve">（九）其他甲方认为合理并告之乙方属于保密的资料以及法律</w:t>
      </w:r>
      <w:r>
        <w:rPr>
          <w:sz w:val="24"/>
          <w:szCs w:val="24"/>
        </w:rPr>
        <w:t xml:space="preserve">、</w:t>
      </w:r>
      <w:r>
        <w:rPr>
          <w:rFonts w:hint="eastAsia"/>
          <w:sz w:val="24"/>
          <w:szCs w:val="24"/>
        </w:rPr>
        <w:t xml:space="preserve">法规规定的属于商业秘密保护范畴内的相关信息资料</w:t>
      </w:r>
      <w:r>
        <w:rPr>
          <w:sz w:val="24"/>
          <w:szCs w:val="24"/>
        </w:rPr>
        <w:t xml:space="preserve">。</w:t>
      </w:r>
      <w:r/>
    </w:p>
    <w:p>
      <w:pPr>
        <w:pStyle w:val="727"/>
        <w:ind w:firstLine="480"/>
        <w:jc w:val="left"/>
        <w:spacing w:line="0" w:lineRule="atLeast"/>
        <w:rPr>
          <w:sz w:val="24"/>
          <w:szCs w:val="24"/>
        </w:rPr>
      </w:pPr>
      <w:r>
        <w:rPr>
          <w:rFonts w:hint="eastAsia"/>
          <w:sz w:val="24"/>
          <w:szCs w:val="24"/>
        </w:rPr>
        <w:t xml:space="preserve">二、保密人员范围</w:t>
      </w:r>
      <w:r/>
    </w:p>
    <w:p>
      <w:pPr>
        <w:pStyle w:val="727"/>
        <w:ind w:firstLine="480"/>
        <w:jc w:val="left"/>
        <w:spacing w:line="0" w:lineRule="atLeast"/>
        <w:rPr>
          <w:sz w:val="24"/>
          <w:szCs w:val="24"/>
        </w:rPr>
      </w:pPr>
      <w:r>
        <w:rPr>
          <w:rFonts w:hint="eastAsia"/>
          <w:sz w:val="24"/>
          <w:szCs w:val="24"/>
        </w:rPr>
        <w:t xml:space="preserve">参与该系统项目的乙方项目经理及所有项目实施人员及关联方。</w:t>
      </w:r>
      <w:r/>
    </w:p>
    <w:p>
      <w:pPr>
        <w:pStyle w:val="727"/>
        <w:ind w:firstLine="480"/>
        <w:jc w:val="left"/>
        <w:spacing w:line="0" w:lineRule="atLeast"/>
        <w:rPr>
          <w:sz w:val="24"/>
          <w:szCs w:val="24"/>
        </w:rPr>
      </w:pPr>
      <w:r>
        <w:rPr>
          <w:rFonts w:hint="eastAsia"/>
          <w:sz w:val="24"/>
          <w:szCs w:val="24"/>
        </w:rPr>
        <w:t xml:space="preserve">三、甲方的权利和义务</w:t>
      </w:r>
      <w:r/>
    </w:p>
    <w:p>
      <w:pPr>
        <w:pStyle w:val="727"/>
        <w:ind w:firstLine="480"/>
        <w:jc w:val="left"/>
        <w:spacing w:line="0" w:lineRule="atLeast"/>
        <w:rPr>
          <w:sz w:val="24"/>
          <w:szCs w:val="24"/>
        </w:rPr>
      </w:pPr>
      <w:r>
        <w:rPr>
          <w:rFonts w:hint="eastAsia"/>
          <w:sz w:val="24"/>
          <w:szCs w:val="24"/>
        </w:rPr>
        <w:t xml:space="preserve">（一）为</w:t>
      </w:r>
      <w:r>
        <w:rPr>
          <w:sz w:val="24"/>
          <w:szCs w:val="24"/>
        </w:rPr>
        <w:t xml:space="preserve">乙方提供</w:t>
      </w:r>
      <w:r>
        <w:rPr>
          <w:rFonts w:hint="eastAsia"/>
          <w:sz w:val="24"/>
          <w:szCs w:val="24"/>
        </w:rPr>
        <w:t xml:space="preserve">所需</w:t>
      </w:r>
      <w:r>
        <w:rPr>
          <w:sz w:val="24"/>
          <w:szCs w:val="24"/>
        </w:rPr>
        <w:t xml:space="preserve">的服务器</w:t>
      </w:r>
      <w:r>
        <w:rPr>
          <w:rFonts w:hint="eastAsia"/>
          <w:sz w:val="24"/>
          <w:szCs w:val="24"/>
        </w:rPr>
        <w:t xml:space="preserve">和</w:t>
      </w:r>
      <w:r>
        <w:rPr>
          <w:sz w:val="24"/>
          <w:szCs w:val="24"/>
        </w:rPr>
        <w:t xml:space="preserve">应用软件</w:t>
      </w:r>
      <w:r>
        <w:rPr>
          <w:rFonts w:hint="eastAsia"/>
          <w:sz w:val="24"/>
          <w:szCs w:val="24"/>
        </w:rPr>
        <w:t xml:space="preserve">使用</w:t>
      </w:r>
      <w:r>
        <w:rPr>
          <w:sz w:val="24"/>
          <w:szCs w:val="24"/>
        </w:rPr>
        <w:t xml:space="preserve">权限</w:t>
      </w:r>
      <w:r>
        <w:rPr>
          <w:rFonts w:hint="eastAsia"/>
          <w:sz w:val="24"/>
          <w:szCs w:val="24"/>
        </w:rPr>
        <w:t xml:space="preserve">。</w:t>
      </w:r>
      <w:r/>
    </w:p>
    <w:p>
      <w:pPr>
        <w:pStyle w:val="727"/>
        <w:ind w:firstLine="480"/>
        <w:jc w:val="left"/>
        <w:spacing w:line="0" w:lineRule="atLeast"/>
        <w:rPr>
          <w:sz w:val="24"/>
          <w:szCs w:val="24"/>
        </w:rPr>
      </w:pPr>
      <w:r>
        <w:rPr>
          <w:rFonts w:hint="eastAsia"/>
          <w:sz w:val="24"/>
          <w:szCs w:val="24"/>
        </w:rPr>
        <w:t xml:space="preserve">（二）对工作场所进行安全保密检查，及时清理与工作无关的文件资料，消除保密隐患。</w:t>
      </w:r>
      <w:r/>
    </w:p>
    <w:p>
      <w:pPr>
        <w:pStyle w:val="727"/>
        <w:ind w:firstLine="480"/>
        <w:jc w:val="left"/>
        <w:spacing w:line="0" w:lineRule="atLeast"/>
        <w:rPr>
          <w:sz w:val="24"/>
          <w:szCs w:val="24"/>
        </w:rPr>
      </w:pPr>
      <w:r>
        <w:rPr>
          <w:rFonts w:hint="eastAsia"/>
          <w:sz w:val="24"/>
          <w:szCs w:val="24"/>
        </w:rPr>
        <w:t xml:space="preserve">（三）负责检查乙方人员保密工作情况。</w:t>
      </w:r>
      <w:r/>
    </w:p>
    <w:p>
      <w:pPr>
        <w:pStyle w:val="727"/>
        <w:ind w:firstLine="480"/>
        <w:jc w:val="left"/>
        <w:spacing w:line="0" w:lineRule="atLeast"/>
        <w:rPr>
          <w:sz w:val="24"/>
          <w:szCs w:val="24"/>
        </w:rPr>
      </w:pPr>
      <w:r>
        <w:rPr>
          <w:rFonts w:hint="eastAsia"/>
          <w:sz w:val="24"/>
          <w:szCs w:val="24"/>
        </w:rPr>
        <w:t xml:space="preserve">（四）加强对乙方执行保密制度情况的监督检查，及时发现问题，纠正错误。</w:t>
      </w:r>
      <w:r/>
    </w:p>
    <w:p>
      <w:pPr>
        <w:pStyle w:val="727"/>
        <w:ind w:firstLine="480"/>
        <w:jc w:val="left"/>
        <w:spacing w:line="0" w:lineRule="atLeast"/>
        <w:rPr>
          <w:sz w:val="24"/>
          <w:szCs w:val="24"/>
        </w:rPr>
      </w:pPr>
      <w:r>
        <w:rPr>
          <w:rFonts w:hint="eastAsia"/>
          <w:sz w:val="24"/>
          <w:szCs w:val="24"/>
        </w:rPr>
        <w:t xml:space="preserve">四、乙方的权利和义务</w:t>
      </w:r>
      <w:r/>
    </w:p>
    <w:p>
      <w:pPr>
        <w:pStyle w:val="727"/>
        <w:ind w:firstLine="480"/>
        <w:jc w:val="left"/>
        <w:spacing w:line="0" w:lineRule="atLeast"/>
        <w:rPr>
          <w:sz w:val="24"/>
          <w:szCs w:val="24"/>
        </w:rPr>
      </w:pPr>
      <w:r>
        <w:rPr>
          <w:rFonts w:hint="eastAsia"/>
          <w:sz w:val="24"/>
          <w:szCs w:val="24"/>
        </w:rPr>
        <w:t xml:space="preserve">（一）</w:t>
      </w:r>
      <w:r>
        <w:rPr>
          <w:sz w:val="24"/>
          <w:szCs w:val="24"/>
        </w:rPr>
        <w:t xml:space="preserve">严格遵守</w:t>
      </w:r>
      <w:r>
        <w:rPr>
          <w:rFonts w:hint="eastAsia"/>
          <w:sz w:val="24"/>
          <w:szCs w:val="24"/>
        </w:rPr>
        <w:t xml:space="preserve">相关法律法规和甲方的规章制度要求</w:t>
      </w:r>
      <w:r>
        <w:rPr>
          <w:sz w:val="24"/>
          <w:szCs w:val="24"/>
        </w:rPr>
        <w:t xml:space="preserve">，</w:t>
      </w:r>
      <w:r>
        <w:rPr>
          <w:rFonts w:hint="eastAsia"/>
          <w:sz w:val="24"/>
          <w:szCs w:val="24"/>
        </w:rPr>
        <w:t xml:space="preserve">乙方应采取一切合理且不低于乙方对其自身类似保密信息所采取的措施来保护甲方向其披露的保密信息，以防止保密信息被披露、公开、未经授权的使用（包括一切故意、过失、意外情况）</w:t>
      </w:r>
      <w:r>
        <w:rPr>
          <w:sz w:val="24"/>
          <w:szCs w:val="24"/>
        </w:rPr>
        <w:t xml:space="preserve">，不得以任何手段谋取私利，损害甲方的利益</w:t>
      </w:r>
      <w:r>
        <w:rPr>
          <w:rFonts w:hint="eastAsia"/>
          <w:sz w:val="24"/>
          <w:szCs w:val="24"/>
        </w:rPr>
        <w:t xml:space="preserve">。</w:t>
      </w:r>
      <w:r/>
    </w:p>
    <w:p>
      <w:pPr>
        <w:pStyle w:val="727"/>
        <w:ind w:firstLine="480"/>
        <w:jc w:val="left"/>
        <w:spacing w:line="0" w:lineRule="atLeast"/>
        <w:rPr>
          <w:sz w:val="24"/>
          <w:szCs w:val="24"/>
        </w:rPr>
      </w:pPr>
      <w:r>
        <w:rPr>
          <w:rFonts w:hint="eastAsia"/>
          <w:sz w:val="24"/>
          <w:szCs w:val="24"/>
        </w:rPr>
        <w:t xml:space="preserve">（二）乙方提供的产品不得携带病毒或设置后门程序，不得侵犯第三方的专利权、版权、商标权或其他权利。</w:t>
      </w:r>
      <w:r/>
    </w:p>
    <w:p>
      <w:pPr>
        <w:pStyle w:val="727"/>
        <w:ind w:firstLine="480"/>
        <w:jc w:val="left"/>
        <w:spacing w:line="0" w:lineRule="atLeast"/>
        <w:rPr>
          <w:sz w:val="24"/>
          <w:szCs w:val="24"/>
        </w:rPr>
      </w:pPr>
      <w:r>
        <w:rPr>
          <w:rFonts w:hint="eastAsia"/>
          <w:sz w:val="24"/>
          <w:szCs w:val="24"/>
        </w:rPr>
        <w:t xml:space="preserve">（三）</w:t>
      </w:r>
      <w:r>
        <w:rPr>
          <w:sz w:val="24"/>
          <w:szCs w:val="24"/>
        </w:rPr>
        <w:t xml:space="preserve">建立保密及监督机制，</w:t>
      </w:r>
      <w:r>
        <w:rPr>
          <w:rFonts w:hint="eastAsia"/>
          <w:sz w:val="24"/>
          <w:szCs w:val="24"/>
        </w:rPr>
        <w:t xml:space="preserve">加强对派至甲方场所工作人员的教育和管理，组织人员学习保密法律法规及有关制度，进行安全保密教育，增强保密观念。乙方内部无关人员严禁获取保密范围内的相关信息。</w:t>
      </w:r>
      <w:r/>
    </w:p>
    <w:p>
      <w:pPr>
        <w:pStyle w:val="727"/>
        <w:ind w:firstLine="480"/>
        <w:jc w:val="left"/>
        <w:spacing w:line="0" w:lineRule="atLeast"/>
        <w:rPr>
          <w:sz w:val="24"/>
          <w:szCs w:val="24"/>
        </w:rPr>
      </w:pPr>
      <w:r>
        <w:rPr>
          <w:rFonts w:hint="eastAsia"/>
          <w:sz w:val="24"/>
          <w:szCs w:val="24"/>
        </w:rPr>
        <w:t xml:space="preserve">（四）提供相关工作人员的基本情况（姓名、年龄、性别、身份证号码、居住地址、联系方式等）。乙方相关进场服务工作人员应配合甲方相关制度要求签署书面的</w:t>
      </w:r>
      <w:r>
        <w:rPr>
          <w:rFonts w:hint="eastAsia"/>
          <w:sz w:val="24"/>
          <w:szCs w:val="24"/>
        </w:rPr>
        <w:t xml:space="preserve">保密承诺。</w:t>
      </w:r>
      <w:r/>
    </w:p>
    <w:p>
      <w:pPr>
        <w:pStyle w:val="727"/>
        <w:ind w:firstLine="480"/>
        <w:jc w:val="left"/>
        <w:spacing w:line="0" w:lineRule="atLeast"/>
        <w:rPr>
          <w:sz w:val="24"/>
          <w:szCs w:val="24"/>
        </w:rPr>
      </w:pPr>
      <w:r>
        <w:rPr>
          <w:rFonts w:hint="eastAsia"/>
          <w:sz w:val="24"/>
          <w:szCs w:val="24"/>
        </w:rPr>
        <w:t xml:space="preserve">（五）若对在甲方场所的工作人员进行调换，需提前一个月与甲方沟通。</w:t>
      </w:r>
      <w:r/>
    </w:p>
    <w:p>
      <w:pPr>
        <w:pStyle w:val="727"/>
        <w:ind w:firstLine="480"/>
        <w:jc w:val="left"/>
        <w:spacing w:line="0" w:lineRule="atLeast"/>
        <w:rPr>
          <w:sz w:val="24"/>
          <w:szCs w:val="24"/>
        </w:rPr>
      </w:pPr>
      <w:r>
        <w:rPr>
          <w:rFonts w:hint="eastAsia"/>
          <w:sz w:val="24"/>
          <w:szCs w:val="24"/>
        </w:rPr>
        <w:t xml:space="preserve">（六）</w:t>
      </w:r>
      <w:r>
        <w:rPr>
          <w:sz w:val="24"/>
          <w:szCs w:val="24"/>
        </w:rPr>
        <w:t xml:space="preserve">不得在未经甲方</w:t>
      </w:r>
      <w:r>
        <w:rPr>
          <w:rFonts w:hint="eastAsia"/>
          <w:sz w:val="24"/>
          <w:szCs w:val="24"/>
        </w:rPr>
        <w:t xml:space="preserve">书面许可</w:t>
      </w:r>
      <w:r>
        <w:rPr>
          <w:sz w:val="24"/>
          <w:szCs w:val="24"/>
        </w:rPr>
        <w:t xml:space="preserve">的情况下</w:t>
      </w:r>
      <w:r>
        <w:rPr>
          <w:rFonts w:hint="eastAsia"/>
          <w:sz w:val="24"/>
          <w:szCs w:val="24"/>
        </w:rPr>
        <w:t xml:space="preserve">：</w:t>
      </w:r>
      <w:r/>
    </w:p>
    <w:p>
      <w:pPr>
        <w:pStyle w:val="727"/>
        <w:ind w:firstLine="480"/>
        <w:jc w:val="left"/>
        <w:spacing w:line="0" w:lineRule="atLeast"/>
        <w:rPr>
          <w:sz w:val="24"/>
          <w:szCs w:val="24"/>
        </w:rPr>
      </w:pPr>
      <w:r>
        <w:rPr>
          <w:rFonts w:hint="eastAsia"/>
          <w:sz w:val="24"/>
          <w:szCs w:val="24"/>
        </w:rPr>
        <w:t xml:space="preserve">1．对</w:t>
      </w:r>
      <w:r>
        <w:rPr>
          <w:sz w:val="24"/>
          <w:szCs w:val="24"/>
        </w:rPr>
        <w:t xml:space="preserve">保密信息进行修改、补充、复制</w:t>
      </w:r>
      <w:r>
        <w:rPr>
          <w:rFonts w:hint="eastAsia"/>
          <w:sz w:val="24"/>
          <w:szCs w:val="24"/>
        </w:rPr>
        <w:t xml:space="preserve">等；</w:t>
      </w:r>
      <w:r/>
    </w:p>
    <w:p>
      <w:pPr>
        <w:pStyle w:val="727"/>
        <w:ind w:firstLine="480"/>
        <w:jc w:val="left"/>
        <w:spacing w:line="0" w:lineRule="atLeast"/>
        <w:rPr>
          <w:sz w:val="24"/>
          <w:szCs w:val="24"/>
        </w:rPr>
      </w:pPr>
      <w:r>
        <w:rPr>
          <w:rFonts w:hint="eastAsia"/>
          <w:sz w:val="24"/>
          <w:szCs w:val="24"/>
        </w:rPr>
        <w:t xml:space="preserve">2．擅自抄录、复制甲方的设备资料、工作文件和电话号码等；</w:t>
      </w:r>
      <w:r/>
    </w:p>
    <w:p>
      <w:pPr>
        <w:pStyle w:val="727"/>
        <w:ind w:firstLine="480"/>
        <w:jc w:val="left"/>
        <w:spacing w:line="0" w:lineRule="atLeast"/>
        <w:rPr>
          <w:sz w:val="24"/>
          <w:szCs w:val="24"/>
        </w:rPr>
      </w:pPr>
      <w:r>
        <w:rPr>
          <w:rFonts w:hint="eastAsia"/>
          <w:sz w:val="24"/>
          <w:szCs w:val="24"/>
        </w:rPr>
        <w:t xml:space="preserve">3．将</w:t>
      </w:r>
      <w:r>
        <w:rPr>
          <w:sz w:val="24"/>
          <w:szCs w:val="24"/>
        </w:rPr>
        <w:t xml:space="preserve">保密信息</w:t>
      </w:r>
      <w:r>
        <w:rPr>
          <w:rFonts w:hint="eastAsia"/>
          <w:sz w:val="24"/>
          <w:szCs w:val="24"/>
        </w:rPr>
        <w:t xml:space="preserve">以</w:t>
      </w:r>
      <w:r>
        <w:rPr>
          <w:sz w:val="24"/>
          <w:szCs w:val="24"/>
        </w:rPr>
        <w:t xml:space="preserve">任何方式（</w:t>
      </w:r>
      <w:r>
        <w:rPr>
          <w:rFonts w:hint="eastAsia"/>
          <w:sz w:val="24"/>
          <w:szCs w:val="24"/>
        </w:rPr>
        <w:t xml:space="preserve">如E</w:t>
      </w:r>
      <w:r>
        <w:rPr>
          <w:sz w:val="24"/>
          <w:szCs w:val="24"/>
        </w:rPr>
        <w:t xml:space="preserve">-mail</w:t>
      </w:r>
      <w:r>
        <w:rPr>
          <w:rFonts w:hint="eastAsia"/>
          <w:sz w:val="24"/>
          <w:szCs w:val="24"/>
        </w:rPr>
        <w:t xml:space="preserve">、移动存储设备等</w:t>
      </w:r>
      <w:r>
        <w:rPr>
          <w:sz w:val="24"/>
          <w:szCs w:val="24"/>
        </w:rPr>
        <w:t xml:space="preserve">）</w:t>
      </w:r>
      <w:r>
        <w:rPr>
          <w:rFonts w:hint="eastAsia"/>
          <w:sz w:val="24"/>
          <w:szCs w:val="24"/>
        </w:rPr>
        <w:t xml:space="preserve">携带</w:t>
      </w:r>
      <w:r>
        <w:rPr>
          <w:sz w:val="24"/>
          <w:szCs w:val="24"/>
        </w:rPr>
        <w:t xml:space="preserve">出甲方</w:t>
      </w:r>
      <w:r>
        <w:rPr>
          <w:rFonts w:hint="eastAsia"/>
          <w:sz w:val="24"/>
          <w:szCs w:val="24"/>
        </w:rPr>
        <w:t xml:space="preserve">规定的</w:t>
      </w:r>
      <w:r>
        <w:rPr>
          <w:sz w:val="24"/>
          <w:szCs w:val="24"/>
        </w:rPr>
        <w:t xml:space="preserve">场所</w:t>
      </w:r>
      <w:r>
        <w:rPr>
          <w:rFonts w:hint="eastAsia"/>
          <w:sz w:val="24"/>
          <w:szCs w:val="24"/>
        </w:rPr>
        <w:t xml:space="preserve">或向第三方泄露；</w:t>
      </w:r>
      <w:r/>
    </w:p>
    <w:p>
      <w:pPr>
        <w:pStyle w:val="727"/>
        <w:ind w:firstLine="480"/>
        <w:jc w:val="left"/>
        <w:spacing w:line="0" w:lineRule="atLeast"/>
        <w:rPr>
          <w:sz w:val="24"/>
          <w:szCs w:val="24"/>
        </w:rPr>
      </w:pPr>
      <w:r>
        <w:rPr>
          <w:rFonts w:hint="eastAsia"/>
          <w:sz w:val="24"/>
          <w:szCs w:val="24"/>
        </w:rPr>
        <w:t xml:space="preserve">4．擅自设置、调整甲方系统设备的参数和配置，在甲方的计算机系统及网站等应用软件中预留后门等；</w:t>
      </w:r>
      <w:r/>
    </w:p>
    <w:p>
      <w:pPr>
        <w:pStyle w:val="727"/>
        <w:ind w:firstLine="480"/>
        <w:jc w:val="left"/>
        <w:spacing w:line="0" w:lineRule="atLeast"/>
        <w:rPr>
          <w:sz w:val="24"/>
          <w:szCs w:val="24"/>
        </w:rPr>
      </w:pPr>
      <w:r>
        <w:rPr>
          <w:rFonts w:hint="eastAsia"/>
          <w:sz w:val="24"/>
          <w:szCs w:val="24"/>
        </w:rPr>
        <w:t xml:space="preserve">5．擅自在甲方单位从事与项目无关的事务，与无关人员谈论甲方的情况；</w:t>
      </w:r>
      <w:r/>
    </w:p>
    <w:p>
      <w:pPr>
        <w:pStyle w:val="727"/>
        <w:ind w:firstLine="480"/>
        <w:jc w:val="left"/>
        <w:spacing w:line="0" w:lineRule="atLeast"/>
        <w:rPr>
          <w:sz w:val="24"/>
          <w:szCs w:val="24"/>
        </w:rPr>
      </w:pPr>
      <w:r>
        <w:rPr>
          <w:rFonts w:hint="eastAsia"/>
          <w:sz w:val="24"/>
          <w:szCs w:val="24"/>
        </w:rPr>
        <w:t xml:space="preserve">6．擅自进出与工作无关的甲方其他场所，擅自在甲方工作场所摄像、照相；</w:t>
      </w:r>
      <w:r/>
    </w:p>
    <w:p>
      <w:pPr>
        <w:pStyle w:val="727"/>
        <w:ind w:firstLine="480"/>
        <w:jc w:val="left"/>
        <w:spacing w:line="0" w:lineRule="atLeast"/>
        <w:rPr>
          <w:sz w:val="24"/>
          <w:szCs w:val="24"/>
        </w:rPr>
      </w:pPr>
      <w:r>
        <w:rPr>
          <w:rFonts w:hint="eastAsia"/>
          <w:sz w:val="24"/>
          <w:szCs w:val="24"/>
        </w:rPr>
        <w:t xml:space="preserve">7．其他涉及泄密、影响系统安全的行为。</w:t>
      </w:r>
      <w:r/>
    </w:p>
    <w:p>
      <w:pPr>
        <w:pStyle w:val="727"/>
        <w:ind w:firstLine="480"/>
        <w:jc w:val="left"/>
        <w:spacing w:line="0" w:lineRule="atLeast"/>
        <w:rPr>
          <w:sz w:val="24"/>
          <w:szCs w:val="24"/>
        </w:rPr>
      </w:pPr>
      <w:r>
        <w:rPr>
          <w:sz w:val="24"/>
          <w:szCs w:val="24"/>
        </w:rPr>
        <w:t xml:space="preserve">（</w:t>
      </w:r>
      <w:r>
        <w:rPr>
          <w:rFonts w:hint="eastAsia"/>
          <w:sz w:val="24"/>
          <w:szCs w:val="24"/>
        </w:rPr>
        <w:t xml:space="preserve">七</w:t>
      </w:r>
      <w:r>
        <w:rPr>
          <w:sz w:val="24"/>
          <w:szCs w:val="24"/>
        </w:rPr>
        <w:t xml:space="preserve">）</w:t>
      </w:r>
      <w:r>
        <w:rPr>
          <w:rFonts w:hint="eastAsia"/>
          <w:sz w:val="24"/>
          <w:szCs w:val="24"/>
        </w:rPr>
        <w:t xml:space="preserve">乙方应履行网络安全保护义务，保障网络免受干扰、破坏或者未经授权的访问，防止网络数据泄露或者被窃取、篡改。包括制定内部安全管理制度和操作规程，确定网络安全负责人，采取防范计算机病毒和网络攻击、网络侵入等危害网络安全行为的技术措施，采取监测、记录网络运行状态、网络安全事件的技术措施，并按照规定留存相关的网络日志不少于六个月，采取数据分类、重要数据备份和加密等措施。</w:t>
      </w:r>
      <w:r/>
    </w:p>
    <w:p>
      <w:pPr>
        <w:pStyle w:val="727"/>
        <w:ind w:firstLine="480"/>
        <w:jc w:val="left"/>
        <w:spacing w:line="0" w:lineRule="atLeast"/>
        <w:rPr>
          <w:sz w:val="24"/>
          <w:szCs w:val="24"/>
        </w:rPr>
      </w:pPr>
      <w:r>
        <w:rPr>
          <w:sz w:val="24"/>
          <w:szCs w:val="24"/>
        </w:rPr>
        <w:t xml:space="preserve">（</w:t>
      </w:r>
      <w:r>
        <w:rPr>
          <w:rFonts w:hint="eastAsia"/>
          <w:sz w:val="24"/>
          <w:szCs w:val="24"/>
        </w:rPr>
        <w:t xml:space="preserve">八</w:t>
      </w:r>
      <w:r>
        <w:rPr>
          <w:sz w:val="24"/>
          <w:szCs w:val="24"/>
        </w:rPr>
        <w:t xml:space="preserve">）</w:t>
      </w:r>
      <w:r>
        <w:rPr>
          <w:rFonts w:hint="eastAsia"/>
          <w:sz w:val="24"/>
          <w:szCs w:val="24"/>
        </w:rPr>
        <w:t xml:space="preserve">乙方一旦知悉保密信息被未经授权地使用或披露，应立即通知甲方并应采取相关救济措施。</w:t>
      </w:r>
      <w:r/>
    </w:p>
    <w:p>
      <w:pPr>
        <w:pStyle w:val="727"/>
        <w:ind w:firstLine="480"/>
        <w:jc w:val="left"/>
        <w:spacing w:line="0" w:lineRule="atLeast"/>
        <w:rPr>
          <w:sz w:val="24"/>
          <w:szCs w:val="24"/>
        </w:rPr>
      </w:pPr>
      <w:r>
        <w:rPr>
          <w:rFonts w:hint="eastAsia"/>
          <w:sz w:val="24"/>
          <w:szCs w:val="24"/>
        </w:rPr>
        <w:t xml:space="preserve">（九）加强接触系统数据人员的保密管理，落实开发运维人员的保密责任，明确追责、问责要求。</w:t>
      </w:r>
      <w:r/>
    </w:p>
    <w:p>
      <w:pPr>
        <w:pStyle w:val="727"/>
        <w:ind w:firstLine="480"/>
        <w:jc w:val="left"/>
        <w:spacing w:line="0" w:lineRule="atLeast"/>
        <w:rPr>
          <w:sz w:val="24"/>
          <w:szCs w:val="24"/>
        </w:rPr>
      </w:pPr>
      <w:r>
        <w:rPr>
          <w:rFonts w:hint="eastAsia"/>
          <w:sz w:val="24"/>
          <w:szCs w:val="24"/>
        </w:rPr>
        <w:t xml:space="preserve">（十）完成工作任务或服务终止后，向甲方上交全部资料和数据信息书面材料和电子文档，不得留存任何副本。</w:t>
      </w:r>
      <w:r/>
    </w:p>
    <w:p>
      <w:pPr>
        <w:pStyle w:val="727"/>
        <w:ind w:firstLine="480"/>
        <w:jc w:val="left"/>
        <w:spacing w:line="0" w:lineRule="atLeast"/>
        <w:rPr>
          <w:sz w:val="24"/>
          <w:szCs w:val="24"/>
        </w:rPr>
      </w:pPr>
      <w:r>
        <w:rPr>
          <w:rFonts w:hint="eastAsia"/>
          <w:sz w:val="24"/>
          <w:szCs w:val="24"/>
        </w:rPr>
        <w:t xml:space="preserve">五、保密期限</w:t>
      </w:r>
      <w:r/>
    </w:p>
    <w:p>
      <w:pPr>
        <w:pStyle w:val="727"/>
        <w:ind w:firstLine="480"/>
        <w:jc w:val="left"/>
        <w:spacing w:line="0" w:lineRule="atLeast"/>
        <w:rPr>
          <w:sz w:val="24"/>
          <w:szCs w:val="24"/>
        </w:rPr>
      </w:pPr>
      <w:r>
        <w:rPr>
          <w:rFonts w:hint="eastAsia"/>
          <w:sz w:val="24"/>
          <w:szCs w:val="24"/>
        </w:rPr>
        <w:t xml:space="preserve">（一）</w:t>
      </w:r>
      <w:r>
        <w:rPr>
          <w:sz w:val="24"/>
          <w:szCs w:val="24"/>
        </w:rPr>
        <w:t xml:space="preserve">保密期限</w:t>
      </w:r>
      <w:r>
        <w:rPr>
          <w:rFonts w:hint="eastAsia"/>
          <w:sz w:val="24"/>
          <w:szCs w:val="24"/>
        </w:rPr>
        <w:t xml:space="preserve">与甲乙双方的服务合同期限一致</w:t>
      </w:r>
      <w:r>
        <w:rPr>
          <w:sz w:val="24"/>
          <w:szCs w:val="24"/>
        </w:rPr>
        <w:t xml:space="preserve">。</w:t>
      </w:r>
      <w:r/>
    </w:p>
    <w:p>
      <w:pPr>
        <w:pStyle w:val="727"/>
        <w:ind w:firstLine="480"/>
        <w:jc w:val="left"/>
        <w:spacing w:line="0" w:lineRule="atLeast"/>
        <w:rPr>
          <w:sz w:val="24"/>
          <w:szCs w:val="24"/>
        </w:rPr>
      </w:pPr>
      <w:r>
        <w:rPr>
          <w:rFonts w:hint="eastAsia"/>
          <w:sz w:val="24"/>
          <w:szCs w:val="24"/>
        </w:rPr>
        <w:t xml:space="preserve">（二）在本协议保密期限届满</w:t>
      </w:r>
      <w:r>
        <w:rPr>
          <w:sz w:val="24"/>
          <w:szCs w:val="24"/>
        </w:rPr>
        <w:t xml:space="preserve">后，如果本协议中</w:t>
      </w:r>
      <w:r>
        <w:rPr>
          <w:rFonts w:hint="eastAsia"/>
          <w:sz w:val="24"/>
          <w:szCs w:val="24"/>
        </w:rPr>
        <w:t xml:space="preserve">部分</w:t>
      </w:r>
      <w:r>
        <w:rPr>
          <w:sz w:val="24"/>
          <w:szCs w:val="24"/>
        </w:rPr>
        <w:t xml:space="preserve">保密信息并未失去保密性，</w:t>
      </w:r>
      <w:r>
        <w:rPr>
          <w:rFonts w:hint="eastAsia"/>
          <w:sz w:val="24"/>
          <w:szCs w:val="24"/>
        </w:rPr>
        <w:t xml:space="preserve">或甲方认为应当保密并告知乙方的</w:t>
      </w:r>
      <w:r>
        <w:rPr>
          <w:sz w:val="24"/>
          <w:szCs w:val="24"/>
        </w:rPr>
        <w:t xml:space="preserve">，本协议仍对这些</w:t>
      </w:r>
      <w:r>
        <w:rPr>
          <w:rFonts w:hint="eastAsia"/>
          <w:sz w:val="24"/>
          <w:szCs w:val="24"/>
        </w:rPr>
        <w:t xml:space="preserve">未</w:t>
      </w:r>
      <w:r>
        <w:rPr>
          <w:sz w:val="24"/>
          <w:szCs w:val="24"/>
        </w:rPr>
        <w:t xml:space="preserve">失去保密性</w:t>
      </w:r>
      <w:r>
        <w:rPr>
          <w:rFonts w:hint="eastAsia"/>
          <w:sz w:val="24"/>
          <w:szCs w:val="24"/>
        </w:rPr>
        <w:t xml:space="preserve">的</w:t>
      </w:r>
      <w:r>
        <w:rPr>
          <w:sz w:val="24"/>
          <w:szCs w:val="24"/>
        </w:rPr>
        <w:t xml:space="preserve">信息</w:t>
      </w:r>
      <w:r>
        <w:rPr>
          <w:rFonts w:hint="eastAsia"/>
          <w:sz w:val="24"/>
          <w:szCs w:val="24"/>
        </w:rPr>
        <w:t xml:space="preserve">有效</w:t>
      </w:r>
      <w:r>
        <w:rPr>
          <w:sz w:val="24"/>
          <w:szCs w:val="24"/>
        </w:rPr>
        <w:t xml:space="preserve">。</w:t>
      </w:r>
      <w:r/>
    </w:p>
    <w:p>
      <w:pPr>
        <w:pStyle w:val="727"/>
        <w:ind w:firstLine="480"/>
        <w:jc w:val="left"/>
        <w:spacing w:line="0" w:lineRule="atLeast"/>
        <w:rPr>
          <w:sz w:val="24"/>
          <w:szCs w:val="24"/>
        </w:rPr>
      </w:pPr>
      <w:r>
        <w:rPr>
          <w:rFonts w:hint="eastAsia"/>
          <w:sz w:val="24"/>
          <w:szCs w:val="24"/>
        </w:rPr>
        <w:t xml:space="preserve">六、违约责任</w:t>
      </w:r>
      <w:r/>
    </w:p>
    <w:p>
      <w:pPr>
        <w:pStyle w:val="727"/>
        <w:ind w:firstLine="480"/>
        <w:jc w:val="left"/>
        <w:spacing w:line="0" w:lineRule="atLeast"/>
        <w:rPr>
          <w:sz w:val="24"/>
          <w:szCs w:val="24"/>
        </w:rPr>
      </w:pPr>
      <w:r>
        <w:rPr>
          <w:rFonts w:hint="eastAsia"/>
          <w:sz w:val="24"/>
          <w:szCs w:val="24"/>
        </w:rPr>
        <w:t xml:space="preserve">在保密协议期内，乙方违反本协议的约定，对造成严重失、泄密事故的个人，甲方有权追究其法律责任。</w:t>
      </w:r>
      <w:r/>
    </w:p>
    <w:p>
      <w:pPr>
        <w:pStyle w:val="727"/>
        <w:ind w:firstLine="480"/>
        <w:jc w:val="left"/>
        <w:spacing w:line="0" w:lineRule="atLeast"/>
        <w:rPr>
          <w:sz w:val="24"/>
          <w:szCs w:val="24"/>
        </w:rPr>
      </w:pPr>
      <w:r>
        <w:rPr>
          <w:rFonts w:hint="eastAsia"/>
          <w:sz w:val="24"/>
          <w:szCs w:val="24"/>
        </w:rPr>
        <w:t xml:space="preserve">乙方及合作中必要知晓保密信息的乙方雇员及关联方，未遵守本协议的约定泄露或使用了甲方的保密信息或违反了安全规定，甲方有权要求乙方立即返还或销毁相关保密信息</w:t>
      </w:r>
      <w:r>
        <w:rPr>
          <w:sz w:val="24"/>
          <w:szCs w:val="24"/>
        </w:rPr>
        <w:t xml:space="preserve">。</w:t>
      </w:r>
      <w:r>
        <w:rPr>
          <w:rFonts w:hint="eastAsia"/>
          <w:sz w:val="24"/>
          <w:szCs w:val="24"/>
        </w:rPr>
        <w:t xml:space="preserve">甲方有权终止双方的合作项目，乙方需返还甲方已支付的全部合同款项，并按照合同价款的30%支付违约金。违约金不足以弥补损失的</w:t>
      </w:r>
      <w:r>
        <w:rPr>
          <w:sz w:val="24"/>
          <w:szCs w:val="24"/>
        </w:rPr>
        <w:t xml:space="preserve">，</w:t>
      </w:r>
      <w:r>
        <w:rPr>
          <w:rFonts w:hint="eastAsia"/>
          <w:sz w:val="24"/>
          <w:szCs w:val="24"/>
        </w:rPr>
        <w:t xml:space="preserve">乙方还应承担赔偿损失的责任</w:t>
      </w:r>
      <w:r>
        <w:rPr>
          <w:sz w:val="24"/>
          <w:szCs w:val="24"/>
        </w:rPr>
        <w:t xml:space="preserve">，</w:t>
      </w:r>
      <w:r>
        <w:rPr>
          <w:rFonts w:hint="eastAsia"/>
          <w:sz w:val="24"/>
          <w:szCs w:val="24"/>
        </w:rPr>
        <w:t xml:space="preserve">包括甲方为维权而支出的律师费</w:t>
      </w:r>
      <w:r>
        <w:rPr>
          <w:sz w:val="24"/>
          <w:szCs w:val="24"/>
        </w:rPr>
        <w:t xml:space="preserve">、</w:t>
      </w:r>
      <w:r>
        <w:rPr>
          <w:rFonts w:hint="eastAsia"/>
          <w:sz w:val="24"/>
          <w:szCs w:val="24"/>
        </w:rPr>
        <w:t xml:space="preserve">公证费</w:t>
      </w:r>
      <w:r>
        <w:rPr>
          <w:sz w:val="24"/>
          <w:szCs w:val="24"/>
        </w:rPr>
        <w:t xml:space="preserve">、</w:t>
      </w:r>
      <w:r>
        <w:rPr>
          <w:rFonts w:hint="eastAsia"/>
          <w:sz w:val="24"/>
          <w:szCs w:val="24"/>
        </w:rPr>
        <w:t xml:space="preserve">鉴定费</w:t>
      </w:r>
      <w:r>
        <w:rPr>
          <w:sz w:val="24"/>
          <w:szCs w:val="24"/>
        </w:rPr>
        <w:t xml:space="preserve">、</w:t>
      </w:r>
      <w:r>
        <w:rPr>
          <w:rFonts w:hint="eastAsia"/>
          <w:sz w:val="24"/>
          <w:szCs w:val="24"/>
        </w:rPr>
        <w:t xml:space="preserve">保全保险费等一切合理费用</w:t>
      </w:r>
      <w:r>
        <w:rPr>
          <w:sz w:val="24"/>
          <w:szCs w:val="24"/>
        </w:rPr>
        <w:t xml:space="preserve">。</w:t>
      </w:r>
      <w:r/>
    </w:p>
    <w:p>
      <w:pPr>
        <w:pStyle w:val="727"/>
        <w:ind w:firstLine="480"/>
        <w:jc w:val="left"/>
        <w:spacing w:line="0" w:lineRule="atLeast"/>
        <w:rPr>
          <w:sz w:val="24"/>
          <w:szCs w:val="24"/>
        </w:rPr>
      </w:pPr>
      <w:r>
        <w:rPr>
          <w:rFonts w:hint="eastAsia"/>
          <w:sz w:val="24"/>
          <w:szCs w:val="24"/>
        </w:rPr>
        <w:t xml:space="preserve">七、争议解决</w:t>
      </w:r>
      <w:r/>
    </w:p>
    <w:p>
      <w:pPr>
        <w:pStyle w:val="727"/>
        <w:ind w:firstLine="480"/>
        <w:jc w:val="left"/>
        <w:spacing w:line="0" w:lineRule="atLeast"/>
        <w:rPr>
          <w:sz w:val="24"/>
          <w:szCs w:val="24"/>
        </w:rPr>
      </w:pPr>
      <w:r>
        <w:rPr>
          <w:rFonts w:hint="eastAsia"/>
          <w:sz w:val="24"/>
          <w:szCs w:val="24"/>
        </w:rPr>
        <w:t xml:space="preserve">甲乙双方因履行本协议发生争议，</w:t>
      </w:r>
      <w:r>
        <w:rPr>
          <w:sz w:val="24"/>
          <w:szCs w:val="24"/>
        </w:rPr>
        <w:t xml:space="preserve">双方应协商解决，</w:t>
      </w:r>
      <w:r>
        <w:rPr>
          <w:rFonts w:hint="eastAsia"/>
          <w:sz w:val="24"/>
          <w:szCs w:val="24"/>
        </w:rPr>
        <w:t xml:space="preserve">协调未果的，可向甲方所在地人民法院诉讼解决。</w:t>
      </w:r>
      <w:r/>
    </w:p>
    <w:p>
      <w:pPr>
        <w:pStyle w:val="727"/>
        <w:ind w:firstLine="480"/>
        <w:jc w:val="left"/>
        <w:spacing w:line="0" w:lineRule="atLeast"/>
        <w:rPr>
          <w:sz w:val="24"/>
          <w:szCs w:val="24"/>
        </w:rPr>
      </w:pPr>
      <w:r>
        <w:rPr>
          <w:rFonts w:hint="eastAsia"/>
          <w:sz w:val="24"/>
          <w:szCs w:val="24"/>
        </w:rPr>
        <w:t xml:space="preserve">八、其他事项</w:t>
      </w:r>
      <w:r/>
    </w:p>
    <w:p>
      <w:pPr>
        <w:pStyle w:val="727"/>
        <w:ind w:firstLine="480"/>
        <w:jc w:val="left"/>
        <w:spacing w:line="0" w:lineRule="atLeast"/>
        <w:rPr>
          <w:sz w:val="24"/>
          <w:szCs w:val="24"/>
        </w:rPr>
      </w:pPr>
      <w:r>
        <w:rPr>
          <w:rFonts w:hint="eastAsia"/>
          <w:sz w:val="24"/>
          <w:szCs w:val="24"/>
        </w:rPr>
        <w:t xml:space="preserve">（一）</w:t>
      </w:r>
      <w:r>
        <w:rPr>
          <w:sz w:val="24"/>
          <w:szCs w:val="24"/>
        </w:rPr>
        <w:t xml:space="preserve">本协议的订立、解释、履行、效力和争议的解决等均适用中华人民共和国法律</w:t>
      </w:r>
      <w:r>
        <w:rPr>
          <w:rFonts w:hint="eastAsia"/>
          <w:sz w:val="24"/>
          <w:szCs w:val="24"/>
        </w:rPr>
        <w:t xml:space="preserve">。</w:t>
      </w:r>
      <w:r/>
    </w:p>
    <w:p>
      <w:pPr>
        <w:pStyle w:val="727"/>
        <w:ind w:firstLine="480"/>
        <w:jc w:val="left"/>
        <w:spacing w:line="0" w:lineRule="atLeast"/>
        <w:rPr>
          <w:sz w:val="24"/>
          <w:szCs w:val="24"/>
        </w:rPr>
      </w:pPr>
      <w:r>
        <w:rPr>
          <w:rFonts w:hint="eastAsia"/>
          <w:sz w:val="24"/>
          <w:szCs w:val="24"/>
        </w:rPr>
        <w:t xml:space="preserve">（二）</w:t>
      </w:r>
      <w:r>
        <w:rPr>
          <w:sz w:val="24"/>
          <w:szCs w:val="24"/>
        </w:rPr>
        <w:t xml:space="preserve">如果本协议任何条款根据现行法律被确定为无效或无法实施，本协议的其他所有条款将继续有效</w:t>
      </w:r>
      <w:r>
        <w:rPr>
          <w:rFonts w:hint="eastAsia"/>
          <w:sz w:val="24"/>
          <w:szCs w:val="24"/>
        </w:rPr>
        <w:t xml:space="preserve">。</w:t>
      </w:r>
      <w:r/>
    </w:p>
    <w:p>
      <w:pPr>
        <w:pStyle w:val="727"/>
        <w:ind w:firstLine="480"/>
        <w:jc w:val="left"/>
        <w:spacing w:line="0" w:lineRule="atLeast"/>
        <w:rPr>
          <w:sz w:val="24"/>
          <w:szCs w:val="24"/>
        </w:rPr>
      </w:pPr>
      <w:r>
        <w:rPr>
          <w:rFonts w:hint="eastAsia"/>
          <w:sz w:val="24"/>
          <w:szCs w:val="24"/>
        </w:rPr>
        <w:t xml:space="preserve">（三）</w:t>
      </w:r>
      <w:r>
        <w:rPr>
          <w:sz w:val="24"/>
          <w:szCs w:val="24"/>
        </w:rPr>
        <w:t xml:space="preserve">本协议经双方授权代表签字并盖章，自签订日起生效</w:t>
      </w:r>
      <w:r>
        <w:rPr>
          <w:rFonts w:hint="eastAsia"/>
          <w:sz w:val="24"/>
          <w:szCs w:val="24"/>
        </w:rPr>
        <w:t xml:space="preserve">。</w:t>
      </w:r>
      <w:r/>
    </w:p>
    <w:p>
      <w:pPr>
        <w:pStyle w:val="727"/>
        <w:ind w:firstLine="480"/>
        <w:jc w:val="left"/>
        <w:spacing w:line="0" w:lineRule="atLeast"/>
        <w:rPr>
          <w:sz w:val="24"/>
          <w:szCs w:val="24"/>
        </w:rPr>
      </w:pPr>
      <w:r>
        <w:rPr>
          <w:rFonts w:hint="eastAsia"/>
          <w:sz w:val="24"/>
          <w:szCs w:val="24"/>
        </w:rPr>
        <w:t xml:space="preserve">（四）</w:t>
      </w:r>
      <w:r>
        <w:rPr>
          <w:sz w:val="24"/>
          <w:szCs w:val="24"/>
        </w:rPr>
        <w:t xml:space="preserve">本协议一式两份，</w:t>
      </w:r>
      <w:r>
        <w:rPr>
          <w:rFonts w:hint="eastAsia"/>
          <w:sz w:val="24"/>
          <w:szCs w:val="24"/>
        </w:rPr>
        <w:t xml:space="preserve">甲乙双方</w:t>
      </w:r>
      <w:r>
        <w:rPr>
          <w:sz w:val="24"/>
          <w:szCs w:val="24"/>
        </w:rPr>
        <w:t xml:space="preserve">各执一份，具有同等法律效力</w:t>
      </w:r>
      <w:r>
        <w:rPr>
          <w:rFonts w:hint="eastAsia"/>
          <w:sz w:val="24"/>
          <w:szCs w:val="24"/>
        </w:rPr>
        <w:t xml:space="preserve">。</w:t>
      </w:r>
      <w:r/>
    </w:p>
    <w:p>
      <w:pPr>
        <w:pStyle w:val="727"/>
        <w:ind w:firstLine="480"/>
        <w:jc w:val="left"/>
        <w:spacing w:line="0" w:lineRule="atLeast"/>
        <w:rPr>
          <w:sz w:val="24"/>
          <w:szCs w:val="24"/>
        </w:rPr>
      </w:pPr>
      <w:r>
        <w:rPr>
          <w:sz w:val="24"/>
          <w:szCs w:val="24"/>
        </w:rPr>
        <w:t xml:space="preserve">（</w:t>
      </w:r>
      <w:r>
        <w:rPr>
          <w:rFonts w:hint="eastAsia"/>
          <w:sz w:val="24"/>
          <w:szCs w:val="24"/>
        </w:rPr>
        <w:t xml:space="preserve">五</w:t>
      </w:r>
      <w:r>
        <w:rPr>
          <w:sz w:val="24"/>
          <w:szCs w:val="24"/>
        </w:rPr>
        <w:t xml:space="preserve">）</w:t>
      </w:r>
      <w:r>
        <w:rPr>
          <w:rFonts w:hint="eastAsia"/>
          <w:sz w:val="24"/>
          <w:szCs w:val="24"/>
        </w:rPr>
        <w:t xml:space="preserve">双方确认按照下方的约定的地址与联系方式进行送达，今后凡与本协议有关的书面材料，诉讼文书等材料送达均以此为准。若寄送邮件无人签收或被拒收的，则文书退回之日则为送达之日。</w:t>
      </w:r>
      <w:r/>
    </w:p>
    <w:p>
      <w:pPr>
        <w:pStyle w:val="727"/>
        <w:jc w:val="center"/>
        <w:spacing w:before="120" w:after="120" w:line="0" w:lineRule="atLeast"/>
        <w:rPr>
          <w:sz w:val="24"/>
          <w:szCs w:val="24"/>
        </w:rPr>
      </w:pPr>
      <w:r>
        <w:rPr>
          <w:sz w:val="24"/>
          <w:szCs w:val="24"/>
        </w:rPr>
      </w:r>
      <w:r/>
    </w:p>
    <w:p>
      <w:pPr>
        <w:pStyle w:val="727"/>
        <w:jc w:val="center"/>
        <w:spacing w:before="120" w:after="120" w:line="0" w:lineRule="atLeast"/>
        <w:rPr>
          <w:sz w:val="24"/>
          <w:szCs w:val="24"/>
        </w:rPr>
      </w:pPr>
      <w:r>
        <w:rPr>
          <w:sz w:val="24"/>
          <w:szCs w:val="24"/>
        </w:rPr>
      </w:r>
      <w:r/>
    </w:p>
    <w:p>
      <w:pPr>
        <w:pStyle w:val="727"/>
        <w:jc w:val="left"/>
        <w:spacing w:before="120" w:after="120" w:line="0" w:lineRule="atLeast"/>
        <w:rPr>
          <w:sz w:val="24"/>
          <w:szCs w:val="24"/>
        </w:rPr>
      </w:pPr>
      <w:r>
        <w:rPr>
          <w:sz w:val="24"/>
          <w:szCs w:val="24"/>
        </w:rPr>
      </w:r>
      <w:r/>
    </w:p>
    <w:p>
      <w:pPr>
        <w:pStyle w:val="1033"/>
        <w:ind w:left="480" w:hanging="480"/>
        <w:spacing w:before="120" w:after="120" w:line="0" w:lineRule="atLeast"/>
        <w:rPr>
          <w:rFonts w:hint="eastAsia" w:hAnsi="宋体"/>
          <w:sz w:val="24"/>
          <w:szCs w:val="24"/>
        </w:rPr>
      </w:pPr>
      <w:r>
        <w:rPr>
          <w:rFonts w:hAnsi="宋体"/>
          <w:sz w:val="24"/>
          <w:szCs w:val="24"/>
        </w:rPr>
        <w:t xml:space="preserve"> 甲方：                        乙方： </w:t>
      </w:r>
      <w:r/>
    </w:p>
    <w:p>
      <w:pPr>
        <w:pStyle w:val="1033"/>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1033"/>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1033"/>
        <w:ind w:firstLine="240"/>
        <w:spacing w:before="120" w:after="120" w:line="0" w:lineRule="atLeast"/>
      </w:pPr>
      <w:r>
        <w:rPr>
          <w:rFonts w:hint="eastAsia" w:hAnsi="宋体"/>
          <w:sz w:val="24"/>
          <w:szCs w:val="24"/>
        </w:rPr>
        <w:t xml:space="preserve">联系电话：                    联系电话：          </w:t>
      </w:r>
      <w:r/>
    </w:p>
    <w:p>
      <w:pPr>
        <w:pStyle w:val="1033"/>
        <w:jc w:val="center"/>
        <w:spacing w:before="120" w:after="120" w:line="0" w:lineRule="atLeast"/>
      </w:pPr>
      <w:r>
        <w:rPr>
          <w:rFonts w:hint="eastAsia"/>
        </w:rPr>
        <w:t xml:space="preserve">                                         </w:t>
      </w:r>
      <w:r/>
    </w:p>
    <w:p>
      <w:pPr>
        <w:pStyle w:val="1033"/>
        <w:jc w:val="right"/>
        <w:spacing w:before="120" w:after="120" w:line="0" w:lineRule="atLeast"/>
        <w:rPr>
          <w:sz w:val="24"/>
          <w:szCs w:val="24"/>
        </w:rPr>
      </w:pPr>
      <w:r>
        <w:rPr>
          <w:rFonts w:hint="eastAsia"/>
          <w:sz w:val="24"/>
          <w:szCs w:val="24"/>
        </w:rPr>
        <w:t xml:space="preserve"> </w:t>
      </w:r>
      <w:r/>
    </w:p>
    <w:p>
      <w:pPr>
        <w:pStyle w:val="727"/>
        <w:jc w:val="center"/>
        <w:spacing w:before="120" w:after="120" w:line="0" w:lineRule="atLeast"/>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pStyle w:val="727"/>
        <w:jc w:val="center"/>
        <w:spacing w:before="120" w:after="120" w:line="0" w:lineRule="atLeast"/>
        <w:rPr>
          <w:sz w:val="24"/>
          <w:szCs w:val="24"/>
        </w:rPr>
      </w:pPr>
      <w:r>
        <w:rPr>
          <w:sz w:val="24"/>
          <w:szCs w:val="24"/>
        </w:rPr>
      </w:r>
      <w:r/>
    </w:p>
    <w:p>
      <w:pPr>
        <w:pStyle w:val="727"/>
        <w:jc w:val="center"/>
        <w:spacing w:before="120" w:after="120" w:line="0" w:lineRule="atLeast"/>
        <w:rPr>
          <w:sz w:val="24"/>
          <w:szCs w:val="24"/>
        </w:rPr>
      </w:pPr>
      <w:r>
        <w:rPr>
          <w:sz w:val="24"/>
          <w:szCs w:val="24"/>
        </w:rPr>
      </w:r>
      <w:r/>
    </w:p>
    <w:p>
      <w:pPr>
        <w:pStyle w:val="727"/>
        <w:jc w:val="center"/>
        <w:spacing w:before="120" w:after="120" w:line="0" w:lineRule="atLeast"/>
        <w:rPr>
          <w:rFonts w:ascii="黑体" w:eastAsia="黑体"/>
          <w:bCs/>
          <w:sz w:val="44"/>
        </w:rPr>
      </w:pPr>
      <w:r>
        <w:rPr>
          <w:rFonts w:ascii="黑体" w:eastAsia="黑体"/>
          <w:bCs/>
          <w:sz w:val="44"/>
        </w:rPr>
        <w:br w:type="page" w:clear="all"/>
      </w:r>
      <w:r/>
    </w:p>
    <w:p>
      <w:pPr>
        <w:pStyle w:val="703"/>
        <w:rPr>
          <w:rFonts w:ascii="黑体" w:eastAsia="黑体"/>
          <w:bCs/>
          <w:sz w:val="44"/>
        </w:rPr>
      </w:pPr>
      <w:r/>
      <w:bookmarkStart w:id="196" w:name="_Toc239690744"/>
      <w:r>
        <w:rPr>
          <w:rFonts w:ascii="黑体" w:eastAsia="黑体"/>
          <w:bCs/>
          <w:sz w:val="44"/>
        </w:rPr>
        <w:t xml:space="preserve">第四章 采购需求</w:t>
      </w:r>
      <w:bookmarkEnd w:id="196"/>
      <w:r/>
      <w:r/>
    </w:p>
    <w:p>
      <w:r/>
      <w:r/>
    </w:p>
    <w:p>
      <w:pPr>
        <w:numPr>
          <w:ilvl w:val="1"/>
          <w:numId w:val="0"/>
        </w:numPr>
        <w:jc w:val="left"/>
        <w:spacing w:before="120" w:after="120"/>
        <w:tabs>
          <w:tab w:val="left" w:pos="420" w:leader="none"/>
        </w:tabs>
        <w:rPr>
          <w:rFonts w:hint="eastAsia" w:ascii="Microsoft JhengHei" w:hAnsi="Microsoft JhengHei" w:cs="Microsoft JhengHei"/>
          <w:b/>
          <w:bCs/>
          <w:sz w:val="30"/>
          <w:szCs w:val="32"/>
        </w:rPr>
        <w:outlineLvl w:val="1"/>
      </w:pPr>
      <w:r/>
      <w:bookmarkStart w:id="197" w:name="OLE_LINK25"/>
      <w:r/>
      <w:bookmarkStart w:id="198" w:name="OLE_LINK24"/>
      <w:r/>
      <w:bookmarkStart w:id="199" w:name="_Toc120614281"/>
      <w:r/>
      <w:bookmarkStart w:id="200" w:name="_Toc49090575"/>
      <w:r/>
      <w:bookmarkStart w:id="201" w:name="_Toc26554093"/>
      <w:r/>
      <w:bookmarkEnd w:id="190"/>
      <w:r/>
      <w:bookmarkEnd w:id="191"/>
      <w:r/>
      <w:bookmarkEnd w:id="192"/>
      <w:r/>
      <w:bookmarkEnd w:id="193"/>
      <w:r>
        <w:rPr>
          <w:rFonts w:hint="eastAsia" w:ascii="Microsoft JhengHei" w:hAnsi="Microsoft JhengHei" w:cs="Microsoft JhengHei"/>
          <w:b/>
          <w:bCs/>
          <w:sz w:val="30"/>
          <w:szCs w:val="32"/>
        </w:rPr>
        <w:t xml:space="preserve">一、</w:t>
      </w:r>
      <w:r>
        <w:rPr>
          <w:rFonts w:ascii="Microsoft JhengHei" w:hAnsi="Microsoft JhengHei" w:cs="Microsoft JhengHei"/>
          <w:b/>
          <w:bCs/>
          <w:sz w:val="30"/>
          <w:szCs w:val="32"/>
        </w:rPr>
        <w:t xml:space="preserve">采购标的清单</w:t>
      </w:r>
      <w:r/>
    </w:p>
    <w:tbl>
      <w:tblPr>
        <w:tblW w:w="0" w:type="auto"/>
        <w:tblInd w:w="93" w:type="dxa"/>
        <w:tblLayout w:type="fixed"/>
        <w:tblLook w:val="04A0" w:firstRow="1" w:lastRow="0" w:firstColumn="1" w:lastColumn="0" w:noHBand="0" w:noVBand="1"/>
      </w:tblPr>
      <w:tblGrid>
        <w:gridCol w:w="859"/>
        <w:gridCol w:w="1500"/>
        <w:gridCol w:w="4181"/>
        <w:gridCol w:w="975"/>
        <w:gridCol w:w="914"/>
      </w:tblGrid>
      <w:tr>
        <w:trPr>
          <w:trHeight w:val="74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360" w:lineRule="auto"/>
              <w:widowControl/>
              <w:rPr>
                <w:rFonts w:hint="eastAsia" w:ascii="宋体" w:hAnsi="宋体" w:cs="宋体"/>
                <w:b/>
                <w:sz w:val="24"/>
              </w:rPr>
            </w:pPr>
            <w:r>
              <w:rPr>
                <w:rFonts w:ascii="宋体" w:hAnsi="宋体" w:cs="宋体"/>
                <w:b/>
                <w:sz w:val="24"/>
              </w:rPr>
              <w:t xml:space="preserve">序号</w:t>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jc w:val="center"/>
              <w:spacing w:line="360" w:lineRule="auto"/>
              <w:widowControl/>
              <w:rPr>
                <w:rFonts w:hint="eastAsia" w:ascii="宋体" w:hAnsi="宋体" w:cs="宋体"/>
                <w:b/>
                <w:sz w:val="24"/>
              </w:rPr>
            </w:pPr>
            <w:r>
              <w:rPr>
                <w:rFonts w:ascii="宋体" w:hAnsi="宋体" w:cs="宋体"/>
                <w:b/>
                <w:sz w:val="24"/>
              </w:rPr>
              <w:t xml:space="preserve">名称</w:t>
            </w:r>
            <w:r/>
          </w:p>
        </w:tc>
        <w:tc>
          <w:tcPr>
            <w:tcBorders>
              <w:top w:val="single" w:color="000000" w:sz="4" w:space="0"/>
              <w:left w:val="none" w:color="000000" w:sz="4" w:space="0"/>
              <w:bottom w:val="single" w:color="000000" w:sz="4" w:space="0"/>
              <w:right w:val="single" w:color="000000" w:sz="4" w:space="0"/>
            </w:tcBorders>
            <w:tcW w:w="4181" w:type="dxa"/>
            <w:vAlign w:val="center"/>
            <w:textDirection w:val="lrTb"/>
            <w:noWrap w:val="false"/>
          </w:tcPr>
          <w:p>
            <w:pPr>
              <w:jc w:val="center"/>
              <w:spacing w:line="360" w:lineRule="auto"/>
              <w:widowControl/>
              <w:rPr>
                <w:rFonts w:hint="eastAsia" w:ascii="宋体" w:hAnsi="宋体" w:cs="宋体"/>
                <w:b/>
                <w:sz w:val="24"/>
              </w:rPr>
            </w:pPr>
            <w:r>
              <w:rPr>
                <w:rFonts w:ascii="宋体" w:hAnsi="宋体" w:cs="宋体"/>
                <w:b/>
                <w:sz w:val="24"/>
              </w:rPr>
              <w:t xml:space="preserve">服务内容</w:t>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rFonts w:hint="eastAsia" w:ascii="宋体" w:hAnsi="宋体" w:cs="宋体"/>
                <w:b/>
                <w:sz w:val="24"/>
              </w:rPr>
            </w:pPr>
            <w:r>
              <w:rPr>
                <w:rFonts w:ascii="宋体" w:hAnsi="宋体" w:cs="宋体"/>
                <w:b/>
                <w:sz w:val="24"/>
              </w:rPr>
              <w:t xml:space="preserve">数量</w:t>
            </w:r>
            <w:r/>
          </w:p>
        </w:tc>
        <w:tc>
          <w:tcPr>
            <w:tcBorders>
              <w:top w:val="single" w:color="000000" w:sz="4" w:space="0"/>
              <w:left w:val="none" w:color="000000" w:sz="4" w:space="0"/>
              <w:bottom w:val="single" w:color="000000" w:sz="4" w:space="0"/>
              <w:right w:val="single" w:color="000000" w:sz="4" w:space="0"/>
            </w:tcBorders>
            <w:tcW w:w="914" w:type="dxa"/>
            <w:vAlign w:val="center"/>
            <w:textDirection w:val="lrTb"/>
            <w:noWrap w:val="false"/>
          </w:tcPr>
          <w:p>
            <w:pPr>
              <w:jc w:val="center"/>
              <w:spacing w:line="360" w:lineRule="auto"/>
              <w:widowControl/>
              <w:rPr>
                <w:rFonts w:hint="eastAsia" w:ascii="宋体" w:hAnsi="宋体" w:cs="宋体"/>
                <w:b/>
                <w:sz w:val="24"/>
              </w:rPr>
            </w:pPr>
            <w:r>
              <w:rPr>
                <w:rFonts w:ascii="宋体" w:hAnsi="宋体" w:cs="宋体"/>
                <w:b/>
                <w:sz w:val="24"/>
              </w:rPr>
              <w:t xml:space="preserve">单位</w:t>
            </w:r>
            <w:r/>
          </w:p>
        </w:tc>
      </w:tr>
      <w:tr>
        <w:trPr>
          <w:trHeight w:val="90"/>
        </w:trPr>
        <w:tc>
          <w:tcPr>
            <w:tcBorders>
              <w:top w:val="single" w:color="000000" w:sz="4" w:space="0"/>
              <w:left w:val="single" w:color="000000" w:sz="4" w:space="0"/>
              <w:bottom w:val="single" w:color="auto" w:sz="4" w:space="0"/>
              <w:right w:val="single" w:color="000000" w:sz="4" w:space="0"/>
            </w:tcBorders>
            <w:tcW w:w="859"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1</w:t>
            </w:r>
            <w:r/>
          </w:p>
        </w:tc>
        <w:tc>
          <w:tcPr>
            <w:tcBorders>
              <w:top w:val="single" w:color="000000" w:sz="4" w:space="0"/>
              <w:left w:val="none" w:color="000000" w:sz="4" w:space="0"/>
              <w:bottom w:val="single" w:color="auto" w:sz="4" w:space="0"/>
              <w:right w:val="single" w:color="000000" w:sz="4" w:space="0"/>
            </w:tcBorders>
            <w:tcW w:w="1500" w:type="dxa"/>
            <w:vAlign w:val="center"/>
            <w:textDirection w:val="lrTb"/>
            <w:noWrap w:val="false"/>
          </w:tcPr>
          <w:p>
            <w:pPr>
              <w:jc w:val="center"/>
              <w:spacing w:line="360" w:lineRule="auto"/>
              <w:widowControl/>
              <w:rPr>
                <w:rFonts w:hint="eastAsia" w:ascii="宋体" w:hAnsi="宋体" w:cs="宋体"/>
                <w:sz w:val="24"/>
                <w:highlight w:val="yellow"/>
              </w:rPr>
            </w:pPr>
            <w:r>
              <w:rPr>
                <w:rFonts w:ascii="宋体" w:hAnsi="宋体" w:cs="宋体"/>
                <w:bCs/>
                <w:sz w:val="24"/>
                <w:szCs w:val="24"/>
              </w:rPr>
              <w:t xml:space="preserve">一体化数字运维管控系统</w:t>
            </w:r>
            <w:r/>
          </w:p>
        </w:tc>
        <w:tc>
          <w:tcPr>
            <w:tcBorders>
              <w:top w:val="single" w:color="000000" w:sz="4" w:space="0"/>
              <w:left w:val="none" w:color="000000" w:sz="4" w:space="0"/>
              <w:right w:val="single" w:color="000000" w:sz="4" w:space="0"/>
            </w:tcBorders>
            <w:tcW w:w="4181" w:type="dxa"/>
            <w:vAlign w:val="center"/>
            <w:textDirection w:val="lrTb"/>
            <w:noWrap w:val="false"/>
          </w:tcPr>
          <w:p>
            <w:pPr>
              <w:jc w:val="left"/>
              <w:spacing w:line="360" w:lineRule="auto"/>
              <w:rPr>
                <w:rFonts w:hint="eastAsia" w:ascii="宋体" w:hAnsi="宋体" w:cs="宋体"/>
                <w:sz w:val="24"/>
                <w:szCs w:val="24"/>
                <w:highlight w:val="yellow"/>
              </w:rPr>
            </w:pPr>
            <w:r>
              <w:rPr>
                <w:rFonts w:ascii="宋体" w:hAnsi="宋体" w:cs="宋体"/>
                <w:sz w:val="24"/>
                <w:szCs w:val="24"/>
              </w:rPr>
              <w:t xml:space="preserve">资源管理模块、环境监测管理模块、系统管理模块、资产节点授权750个、业务节点授权3个</w:t>
            </w:r>
            <w:r/>
          </w:p>
        </w:tc>
        <w:tc>
          <w:tcPr>
            <w:tcBorders>
              <w:top w:val="single" w:color="000000" w:sz="4" w:space="0"/>
              <w:left w:val="none" w:color="000000" w:sz="4" w:space="0"/>
              <w:right w:val="single" w:color="000000" w:sz="4" w:space="0"/>
            </w:tcBorders>
            <w:tcW w:w="975"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1</w:t>
            </w:r>
            <w:r/>
          </w:p>
        </w:tc>
        <w:tc>
          <w:tcPr>
            <w:tcBorders>
              <w:top w:val="single" w:color="000000" w:sz="4" w:space="0"/>
              <w:left w:val="none" w:color="000000" w:sz="4" w:space="0"/>
              <w:bottom w:val="single" w:color="000000" w:sz="4" w:space="0"/>
              <w:right w:val="single" w:color="000000" w:sz="4" w:space="0"/>
            </w:tcBorders>
            <w:tcW w:w="914"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套</w:t>
            </w:r>
            <w:r/>
          </w:p>
        </w:tc>
      </w:tr>
      <w:tr>
        <w:trPr>
          <w:trHeight w:val="606"/>
        </w:trPr>
        <w:tc>
          <w:tcPr>
            <w:tcBorders>
              <w:top w:val="single" w:color="auto" w:sz="4" w:space="0"/>
              <w:left w:val="single" w:color="000000" w:sz="4" w:space="0"/>
              <w:bottom w:val="single" w:color="auto" w:sz="4" w:space="0"/>
              <w:right w:val="single" w:color="000000" w:sz="4" w:space="0"/>
            </w:tcBorders>
            <w:tcW w:w="859" w:type="dxa"/>
            <w:vAlign w:val="center"/>
            <w:vMerge w:val="restart"/>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2</w:t>
            </w:r>
            <w:r/>
          </w:p>
        </w:tc>
        <w:tc>
          <w:tcPr>
            <w:tcBorders>
              <w:top w:val="single" w:color="auto" w:sz="4" w:space="0"/>
              <w:left w:val="none" w:color="000000" w:sz="4" w:space="0"/>
              <w:bottom w:val="single" w:color="auto" w:sz="4" w:space="0"/>
              <w:right w:val="single" w:color="000000" w:sz="4" w:space="0"/>
            </w:tcBorders>
            <w:tcW w:w="1500" w:type="dxa"/>
            <w:vAlign w:val="center"/>
            <w:vMerge w:val="restart"/>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云服务器</w:t>
            </w:r>
            <w:r>
              <w:rPr>
                <w:rFonts w:ascii="宋体" w:hAnsi="宋体" w:cs="宋体"/>
                <w:sz w:val="24"/>
              </w:rPr>
              <w:br/>
              <w:t xml:space="preserve">（南京）</w:t>
            </w:r>
            <w:r/>
          </w:p>
        </w:tc>
        <w:tc>
          <w:tcPr>
            <w:tcBorders>
              <w:top w:val="single" w:color="000000" w:sz="4" w:space="0"/>
              <w:left w:val="none" w:color="000000" w:sz="4" w:space="0"/>
              <w:bottom w:val="single" w:color="000000" w:sz="4" w:space="0"/>
              <w:right w:val="single" w:color="000000" w:sz="4" w:space="0"/>
            </w:tcBorders>
            <w:tcW w:w="4181" w:type="dxa"/>
            <w:vAlign w:val="center"/>
            <w:textDirection w:val="lrTb"/>
            <w:noWrap w:val="false"/>
          </w:tcPr>
          <w:p>
            <w:pPr>
              <w:jc w:val="left"/>
              <w:spacing w:line="360" w:lineRule="auto"/>
              <w:widowControl/>
              <w:rPr>
                <w:rFonts w:hint="eastAsia" w:ascii="宋体" w:hAnsi="宋体" w:cs="宋体"/>
                <w:sz w:val="24"/>
              </w:rPr>
            </w:pPr>
            <w:r>
              <w:rPr>
                <w:rFonts w:ascii="宋体" w:hAnsi="宋体" w:cs="宋体"/>
                <w:sz w:val="24"/>
              </w:rPr>
              <w:t xml:space="preserve">不低于16vCPU、64GB内存，6TB数据盘</w:t>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1</w:t>
            </w:r>
            <w:r/>
          </w:p>
        </w:tc>
        <w:tc>
          <w:tcPr>
            <w:tcBorders>
              <w:top w:val="single" w:color="000000" w:sz="4" w:space="0"/>
              <w:left w:val="none" w:color="000000" w:sz="4" w:space="0"/>
              <w:bottom w:val="single" w:color="000000" w:sz="4" w:space="0"/>
              <w:right w:val="single" w:color="000000" w:sz="4" w:space="0"/>
            </w:tcBorders>
            <w:tcW w:w="914"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台</w:t>
            </w:r>
            <w:r/>
          </w:p>
        </w:tc>
      </w:tr>
      <w:tr>
        <w:trPr>
          <w:trHeight w:val="737"/>
        </w:trPr>
        <w:tc>
          <w:tcPr>
            <w:tcBorders>
              <w:top w:val="single" w:color="auto" w:sz="4" w:space="0"/>
              <w:left w:val="single" w:color="000000" w:sz="4" w:space="0"/>
              <w:bottom w:val="single" w:color="auto" w:sz="4" w:space="0"/>
              <w:right w:val="single" w:color="000000" w:sz="4" w:space="0"/>
            </w:tcBorders>
            <w:tcW w:w="859" w:type="dxa"/>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000000" w:sz="4" w:space="0"/>
            </w:tcBorders>
            <w:tcW w:w="1500" w:type="dxa"/>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4181" w:type="dxa"/>
            <w:vAlign w:val="center"/>
            <w:textDirection w:val="lrTb"/>
            <w:noWrap w:val="false"/>
          </w:tcPr>
          <w:p>
            <w:pPr>
              <w:jc w:val="left"/>
              <w:spacing w:line="360" w:lineRule="auto"/>
              <w:widowControl/>
              <w:rPr>
                <w:rFonts w:hint="eastAsia" w:ascii="宋体" w:hAnsi="宋体" w:cs="宋体"/>
                <w:sz w:val="24"/>
              </w:rPr>
            </w:pPr>
            <w:r>
              <w:rPr>
                <w:rFonts w:ascii="宋体" w:hAnsi="宋体" w:cs="宋体"/>
                <w:sz w:val="24"/>
              </w:rPr>
              <w:t xml:space="preserve">不低于16vCPU、64GB内存，6TB数据盘</w:t>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1</w:t>
            </w:r>
            <w:r/>
          </w:p>
        </w:tc>
        <w:tc>
          <w:tcPr>
            <w:tcBorders>
              <w:top w:val="single" w:color="000000" w:sz="4" w:space="0"/>
              <w:left w:val="none" w:color="000000" w:sz="4" w:space="0"/>
              <w:bottom w:val="single" w:color="000000" w:sz="4" w:space="0"/>
              <w:right w:val="single" w:color="000000" w:sz="4" w:space="0"/>
            </w:tcBorders>
            <w:tcW w:w="914"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台</w:t>
            </w:r>
            <w:r/>
          </w:p>
        </w:tc>
      </w:tr>
      <w:tr>
        <w:trPr>
          <w:trHeight w:val="769"/>
        </w:trPr>
        <w:tc>
          <w:tcPr>
            <w:tcBorders>
              <w:top w:val="single" w:color="auto" w:sz="4" w:space="0"/>
              <w:left w:val="single" w:color="000000" w:sz="4" w:space="0"/>
              <w:bottom w:val="single" w:color="auto" w:sz="4" w:space="0"/>
              <w:right w:val="single" w:color="000000" w:sz="4" w:space="0"/>
            </w:tcBorders>
            <w:tcW w:w="859" w:type="dxa"/>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000000" w:sz="4" w:space="0"/>
            </w:tcBorders>
            <w:tcW w:w="1500" w:type="dxa"/>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4181" w:type="dxa"/>
            <w:vAlign w:val="center"/>
            <w:textDirection w:val="lrTb"/>
            <w:noWrap w:val="false"/>
          </w:tcPr>
          <w:p>
            <w:pPr>
              <w:jc w:val="left"/>
              <w:spacing w:line="360" w:lineRule="auto"/>
              <w:widowControl/>
              <w:rPr>
                <w:rFonts w:hint="eastAsia" w:ascii="宋体" w:hAnsi="宋体" w:cs="宋体"/>
                <w:sz w:val="24"/>
              </w:rPr>
            </w:pPr>
            <w:r>
              <w:rPr>
                <w:rFonts w:ascii="宋体" w:hAnsi="宋体" w:cs="宋体"/>
                <w:sz w:val="24"/>
              </w:rPr>
              <w:t xml:space="preserve">不低于32vCPU、128GB内存，系统盘300GB（SSD），数据盘：140TB</w:t>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1</w:t>
            </w:r>
            <w:r/>
          </w:p>
        </w:tc>
        <w:tc>
          <w:tcPr>
            <w:tcBorders>
              <w:top w:val="single" w:color="000000" w:sz="4" w:space="0"/>
              <w:left w:val="none" w:color="000000" w:sz="4" w:space="0"/>
              <w:bottom w:val="single" w:color="000000" w:sz="4" w:space="0"/>
              <w:right w:val="single" w:color="000000" w:sz="4" w:space="0"/>
            </w:tcBorders>
            <w:tcW w:w="914"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台</w:t>
            </w:r>
            <w:r/>
          </w:p>
        </w:tc>
      </w:tr>
      <w:tr>
        <w:trPr>
          <w:trHeight w:val="769"/>
        </w:trPr>
        <w:tc>
          <w:tcPr>
            <w:tcBorders>
              <w:top w:val="single" w:color="auto" w:sz="4" w:space="0"/>
              <w:left w:val="single" w:color="000000" w:sz="4" w:space="0"/>
              <w:bottom w:val="single" w:color="000000" w:sz="4" w:space="0"/>
              <w:right w:val="single" w:color="000000" w:sz="4" w:space="0"/>
            </w:tcBorders>
            <w:tcW w:w="859" w:type="dxa"/>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000000" w:sz="4" w:space="0"/>
              <w:right w:val="single" w:color="000000" w:sz="4" w:space="0"/>
            </w:tcBorders>
            <w:tcW w:w="1500"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镜像服务</w:t>
            </w:r>
            <w:r/>
          </w:p>
        </w:tc>
        <w:tc>
          <w:tcPr>
            <w:tcBorders>
              <w:top w:val="single" w:color="000000" w:sz="4" w:space="0"/>
              <w:left w:val="none" w:color="000000" w:sz="4" w:space="0"/>
              <w:bottom w:val="single" w:color="000000" w:sz="4" w:space="0"/>
              <w:right w:val="single" w:color="000000" w:sz="4" w:space="0"/>
            </w:tcBorders>
            <w:tcW w:w="4181" w:type="dxa"/>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用于存放主流Linux发行版自定义镜像</w:t>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1</w:t>
            </w:r>
            <w:r/>
          </w:p>
        </w:tc>
        <w:tc>
          <w:tcPr>
            <w:tcBorders>
              <w:top w:val="single" w:color="000000" w:sz="4" w:space="0"/>
              <w:left w:val="none" w:color="000000" w:sz="4" w:space="0"/>
              <w:bottom w:val="single" w:color="000000" w:sz="4" w:space="0"/>
              <w:right w:val="single" w:color="000000" w:sz="4" w:space="0"/>
            </w:tcBorders>
            <w:tcW w:w="914"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个</w:t>
            </w:r>
            <w:r/>
          </w:p>
        </w:tc>
      </w:tr>
      <w:tr>
        <w:trPr>
          <w:trHeight w:val="769"/>
        </w:trPr>
        <w:tc>
          <w:tcPr>
            <w:tcBorders>
              <w:top w:val="non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val="false"/>
          </w:tcPr>
          <w:p>
            <w:pPr>
              <w:jc w:val="center"/>
              <w:spacing w:line="360" w:lineRule="auto"/>
              <w:widowControl/>
              <w:rPr>
                <w:rFonts w:hint="eastAsia" w:ascii="宋体" w:hAnsi="宋体" w:cs="宋体"/>
                <w:sz w:val="24"/>
                <w:szCs w:val="24"/>
              </w:rPr>
            </w:pPr>
            <w:r>
              <w:rPr>
                <w:rFonts w:ascii="宋体" w:hAnsi="宋体" w:cs="宋体"/>
                <w:sz w:val="24"/>
              </w:rPr>
              <w:t xml:space="preserve">裸金属</w:t>
            </w:r>
            <w:r>
              <w:rPr>
                <w:rFonts w:ascii="宋体" w:hAnsi="宋体" w:cs="宋体"/>
                <w:sz w:val="24"/>
                <w:szCs w:val="24"/>
              </w:rPr>
              <w:t xml:space="preserve">（南京）</w:t>
            </w:r>
            <w:r/>
          </w:p>
        </w:tc>
        <w:tc>
          <w:tcPr>
            <w:tcBorders>
              <w:top w:val="single" w:color="000000" w:sz="4" w:space="0"/>
              <w:left w:val="none" w:color="000000" w:sz="4" w:space="0"/>
              <w:bottom w:val="single" w:color="000000" w:sz="4" w:space="0"/>
              <w:right w:val="single" w:color="000000" w:sz="4" w:space="0"/>
            </w:tcBorders>
            <w:tcW w:w="4181" w:type="dxa"/>
            <w:vAlign w:val="center"/>
            <w:textDirection w:val="lrTb"/>
            <w:noWrap w:val="false"/>
          </w:tcPr>
          <w:p>
            <w:pPr>
              <w:jc w:val="left"/>
              <w:spacing w:line="360" w:lineRule="auto"/>
              <w:widowControl/>
              <w:rPr>
                <w:rFonts w:hint="eastAsia" w:ascii="宋体" w:hAnsi="宋体" w:cs="宋体"/>
                <w:sz w:val="24"/>
              </w:rPr>
            </w:pPr>
            <w:r>
              <w:rPr>
                <w:rFonts w:ascii="宋体" w:hAnsi="宋体" w:cs="宋体"/>
                <w:sz w:val="24"/>
              </w:rPr>
              <w:t xml:space="preserve">不低于52CPUs、512GB内存，处理器型号不低于Intel Gold 5320或同等档次产品</w:t>
            </w:r>
            <w:r/>
          </w:p>
          <w:p>
            <w:pPr>
              <w:jc w:val="left"/>
              <w:spacing w:after="120" w:line="360" w:lineRule="auto"/>
              <w:rPr>
                <w:rFonts w:hint="eastAsia" w:ascii="宋体" w:hAnsi="宋体" w:cs="宋体"/>
                <w:sz w:val="24"/>
                <w:szCs w:val="24"/>
              </w:rPr>
            </w:pPr>
            <w:r>
              <w:rPr>
                <w:rFonts w:ascii="宋体" w:hAnsi="宋体" w:cs="宋体"/>
                <w:sz w:val="24"/>
                <w:szCs w:val="24"/>
              </w:rPr>
              <w:t xml:space="preserve">系统盘：SSD,960GB,2块 RAID1</w:t>
            </w:r>
            <w:r/>
          </w:p>
          <w:p>
            <w:pPr>
              <w:jc w:val="left"/>
              <w:spacing w:after="120" w:line="360" w:lineRule="auto"/>
              <w:rPr>
                <w:rFonts w:hint="eastAsia" w:ascii="宋体" w:hAnsi="宋体" w:cs="宋体"/>
                <w:sz w:val="24"/>
                <w:szCs w:val="24"/>
              </w:rPr>
            </w:pPr>
            <w:r>
              <w:rPr>
                <w:rFonts w:ascii="宋体" w:hAnsi="宋体" w:cs="宋体"/>
                <w:sz w:val="24"/>
                <w:szCs w:val="24"/>
              </w:rPr>
              <w:t xml:space="preserve">数据盘：SSD,3.84TB,12块 RAID5</w:t>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1</w:t>
            </w:r>
            <w:r/>
          </w:p>
        </w:tc>
        <w:tc>
          <w:tcPr>
            <w:tcBorders>
              <w:top w:val="single" w:color="000000" w:sz="4" w:space="0"/>
              <w:left w:val="none" w:color="000000" w:sz="4" w:space="0"/>
              <w:bottom w:val="single" w:color="000000" w:sz="4" w:space="0"/>
              <w:right w:val="single" w:color="000000" w:sz="4" w:space="0"/>
            </w:tcBorders>
            <w:tcW w:w="914"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台</w:t>
            </w:r>
            <w:r/>
          </w:p>
        </w:tc>
      </w:tr>
      <w:tr>
        <w:trPr>
          <w:trHeight w:val="947"/>
        </w:trPr>
        <w:tc>
          <w:tcPr>
            <w:tcBorders>
              <w:top w:val="non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0" w:type="dxa"/>
            <w:vAlign w:val="center"/>
            <w:vMerge w:val="restart"/>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云服务器</w:t>
            </w:r>
            <w:r>
              <w:rPr>
                <w:rFonts w:ascii="宋体" w:hAnsi="宋体" w:cs="宋体"/>
                <w:sz w:val="24"/>
              </w:rPr>
              <w:br/>
              <w:t xml:space="preserve">（异地）</w:t>
            </w:r>
            <w:r/>
          </w:p>
        </w:tc>
        <w:tc>
          <w:tcPr>
            <w:tcBorders>
              <w:top w:val="single" w:color="000000" w:sz="4" w:space="0"/>
              <w:left w:val="none" w:color="000000" w:sz="4" w:space="0"/>
              <w:bottom w:val="single" w:color="000000" w:sz="4" w:space="0"/>
              <w:right w:val="single" w:color="000000" w:sz="4" w:space="0"/>
            </w:tcBorders>
            <w:tcW w:w="4181" w:type="dxa"/>
            <w:vAlign w:val="center"/>
            <w:textDirection w:val="lrTb"/>
            <w:noWrap w:val="false"/>
          </w:tcPr>
          <w:p>
            <w:pPr>
              <w:jc w:val="left"/>
              <w:spacing w:line="360" w:lineRule="auto"/>
              <w:widowControl/>
              <w:rPr>
                <w:rFonts w:hint="eastAsia" w:ascii="宋体" w:hAnsi="宋体" w:cs="宋体"/>
                <w:sz w:val="24"/>
              </w:rPr>
            </w:pPr>
            <w:r>
              <w:rPr>
                <w:rFonts w:ascii="宋体" w:hAnsi="宋体" w:cs="宋体"/>
                <w:sz w:val="24"/>
              </w:rPr>
              <w:t xml:space="preserve">不低于16vCPU、64GB内存，系统盘：300GB（SSD），数据盘：140TB</w:t>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1</w:t>
            </w:r>
            <w:r/>
          </w:p>
        </w:tc>
        <w:tc>
          <w:tcPr>
            <w:tcBorders>
              <w:top w:val="single" w:color="000000" w:sz="4" w:space="0"/>
              <w:left w:val="none" w:color="000000" w:sz="4" w:space="0"/>
              <w:bottom w:val="single" w:color="000000" w:sz="4" w:space="0"/>
              <w:right w:val="single" w:color="000000" w:sz="4" w:space="0"/>
            </w:tcBorders>
            <w:tcW w:w="914"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台</w:t>
            </w:r>
            <w:r/>
          </w:p>
        </w:tc>
      </w:tr>
      <w:tr>
        <w:trPr>
          <w:trHeight w:val="530"/>
        </w:trPr>
        <w:tc>
          <w:tcPr>
            <w:tcBorders>
              <w:top w:val="none" w:color="000000" w:sz="4" w:space="0"/>
              <w:left w:val="single" w:color="000000" w:sz="4" w:space="0"/>
              <w:bottom w:val="single" w:color="000000" w:sz="4" w:space="0"/>
              <w:right w:val="single" w:color="000000" w:sz="4" w:space="0"/>
            </w:tcBorders>
            <w:tcW w:w="859" w:type="dxa"/>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500" w:type="dxa"/>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4181" w:type="dxa"/>
            <w:vAlign w:val="center"/>
            <w:textDirection w:val="lrTb"/>
            <w:noWrap w:val="false"/>
          </w:tcPr>
          <w:p>
            <w:pPr>
              <w:jc w:val="left"/>
              <w:spacing w:line="360" w:lineRule="auto"/>
              <w:widowControl/>
              <w:rPr>
                <w:rFonts w:hint="eastAsia" w:ascii="宋体" w:hAnsi="宋体" w:cs="宋体"/>
                <w:sz w:val="24"/>
              </w:rPr>
            </w:pPr>
            <w:r>
              <w:rPr>
                <w:rFonts w:ascii="宋体" w:hAnsi="宋体" w:cs="宋体"/>
                <w:sz w:val="24"/>
              </w:rPr>
              <w:t xml:space="preserve">16核vCPU、32GB内存，16T数据盘</w:t>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1</w:t>
            </w:r>
            <w:r/>
          </w:p>
        </w:tc>
        <w:tc>
          <w:tcPr>
            <w:tcBorders>
              <w:top w:val="single" w:color="000000" w:sz="4" w:space="0"/>
              <w:left w:val="none" w:color="000000" w:sz="4" w:space="0"/>
              <w:bottom w:val="single" w:color="000000" w:sz="4" w:space="0"/>
              <w:right w:val="single" w:color="000000" w:sz="4" w:space="0"/>
            </w:tcBorders>
            <w:tcW w:w="914"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台</w:t>
            </w:r>
            <w:r/>
          </w:p>
        </w:tc>
      </w:tr>
      <w:tr>
        <w:trPr>
          <w:trHeight w:val="911"/>
        </w:trPr>
        <w:tc>
          <w:tcPr>
            <w:tcBorders>
              <w:top w:val="single" w:color="000000" w:sz="4" w:space="0"/>
              <w:left w:val="single" w:color="000000" w:sz="4" w:space="0"/>
              <w:bottom w:val="single" w:color="auto" w:sz="4" w:space="0"/>
              <w:right w:val="single" w:color="000000" w:sz="4" w:space="0"/>
            </w:tcBorders>
            <w:tcW w:w="859"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3</w:t>
            </w:r>
            <w:r/>
          </w:p>
        </w:tc>
        <w:tc>
          <w:tcPr>
            <w:tcBorders>
              <w:top w:val="single" w:color="000000" w:sz="4" w:space="0"/>
              <w:left w:val="none" w:color="000000" w:sz="4" w:space="0"/>
              <w:bottom w:val="single" w:color="auto" w:sz="4" w:space="0"/>
              <w:right w:val="single" w:color="000000" w:sz="4" w:space="0"/>
            </w:tcBorders>
            <w:tcW w:w="1500"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服务器托管</w:t>
            </w:r>
            <w:r/>
          </w:p>
        </w:tc>
        <w:tc>
          <w:tcPr>
            <w:tcBorders>
              <w:top w:val="single" w:color="000000" w:sz="4" w:space="0"/>
              <w:left w:val="none" w:color="000000" w:sz="4" w:space="0"/>
              <w:bottom w:val="single" w:color="auto" w:sz="4" w:space="0"/>
              <w:right w:val="single" w:color="000000" w:sz="4" w:space="0"/>
            </w:tcBorders>
            <w:tcW w:w="4181" w:type="dxa"/>
            <w:vAlign w:val="center"/>
            <w:textDirection w:val="lrTb"/>
            <w:noWrap w:val="false"/>
          </w:tcPr>
          <w:p>
            <w:pPr>
              <w:jc w:val="left"/>
              <w:spacing w:line="360" w:lineRule="auto"/>
              <w:widowControl/>
              <w:rPr>
                <w:rFonts w:hint="eastAsia" w:ascii="宋体" w:hAnsi="宋体" w:cs="宋体"/>
                <w:sz w:val="24"/>
              </w:rPr>
            </w:pPr>
            <w:r>
              <w:rPr>
                <w:rFonts w:ascii="宋体" w:hAnsi="宋体" w:cs="宋体"/>
                <w:sz w:val="24"/>
              </w:rPr>
              <w:t xml:space="preserve">1个IDC标准机柜（可扩展至2个机柜）</w:t>
            </w:r>
            <w:r/>
          </w:p>
        </w:tc>
        <w:tc>
          <w:tcPr>
            <w:tcBorders>
              <w:top w:val="single" w:color="000000" w:sz="4" w:space="0"/>
              <w:left w:val="none" w:color="000000" w:sz="4" w:space="0"/>
              <w:bottom w:val="single" w:color="auto" w:sz="4" w:space="0"/>
              <w:right w:val="single" w:color="000000" w:sz="4" w:space="0"/>
            </w:tcBorders>
            <w:tcW w:w="975"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1</w:t>
            </w:r>
            <w:r/>
          </w:p>
        </w:tc>
        <w:tc>
          <w:tcPr>
            <w:tcBorders>
              <w:top w:val="single" w:color="000000" w:sz="4" w:space="0"/>
              <w:left w:val="none" w:color="000000" w:sz="4" w:space="0"/>
              <w:bottom w:val="single" w:color="auto" w:sz="4" w:space="0"/>
              <w:right w:val="single" w:color="000000" w:sz="4" w:space="0"/>
            </w:tcBorders>
            <w:tcW w:w="914"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个</w:t>
            </w:r>
            <w:r/>
          </w:p>
        </w:tc>
      </w:tr>
      <w:tr>
        <w:trPr>
          <w:trHeight w:val="90"/>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电路</w:t>
            </w:r>
            <w:r/>
          </w:p>
        </w:tc>
        <w:tc>
          <w:tcPr>
            <w:tcBorders>
              <w:top w:val="single" w:color="auto" w:sz="4" w:space="0"/>
              <w:left w:val="single" w:color="auto" w:sz="4" w:space="0"/>
              <w:bottom w:val="single" w:color="auto" w:sz="4" w:space="0"/>
              <w:right w:val="single" w:color="auto" w:sz="4" w:space="0"/>
            </w:tcBorders>
            <w:tcW w:w="4181" w:type="dxa"/>
            <w:vAlign w:val="center"/>
            <w:textDirection w:val="lrTb"/>
            <w:noWrap w:val="false"/>
          </w:tcPr>
          <w:p>
            <w:pPr>
              <w:jc w:val="left"/>
              <w:spacing w:line="360" w:lineRule="auto"/>
              <w:widowControl/>
              <w:rPr>
                <w:rFonts w:hint="eastAsia" w:ascii="宋体" w:hAnsi="宋体" w:cs="宋体"/>
                <w:sz w:val="24"/>
              </w:rPr>
            </w:pPr>
            <w:r>
              <w:rPr>
                <w:rFonts w:ascii="宋体" w:hAnsi="宋体" w:cs="宋体"/>
                <w:sz w:val="24"/>
              </w:rPr>
              <w:t xml:space="preserve">1条10G与1条2G点对点OTN传输线路，满足医院机房与云机房互通；</w:t>
            </w:r>
            <w:r/>
          </w:p>
          <w:p>
            <w:pPr>
              <w:jc w:val="left"/>
              <w:spacing w:line="360" w:lineRule="auto"/>
              <w:widowControl/>
              <w:rPr>
                <w:rFonts w:hint="eastAsia" w:ascii="宋体" w:hAnsi="宋体" w:cs="宋体"/>
                <w:sz w:val="24"/>
              </w:rPr>
            </w:pPr>
            <w:r>
              <w:rPr>
                <w:rFonts w:ascii="宋体" w:hAnsi="宋体" w:cs="宋体"/>
                <w:sz w:val="24"/>
              </w:rPr>
              <w:t xml:space="preserve">1条1G点对点OTN传输线路，满足医</w:t>
            </w:r>
            <w:r>
              <w:rPr>
                <w:rFonts w:ascii="宋体" w:hAnsi="宋体" w:cs="宋体"/>
                <w:sz w:val="24"/>
              </w:rPr>
              <w:t xml:space="preserve">院机房与IDC托管机房互通；</w:t>
            </w:r>
            <w:r/>
          </w:p>
          <w:p>
            <w:pPr>
              <w:jc w:val="left"/>
              <w:spacing w:line="360" w:lineRule="auto"/>
              <w:widowControl/>
              <w:rPr>
                <w:rFonts w:hint="eastAsia" w:ascii="宋体" w:hAnsi="宋体" w:cs="宋体"/>
                <w:sz w:val="24"/>
              </w:rPr>
            </w:pPr>
            <w:r>
              <w:rPr>
                <w:rFonts w:ascii="宋体" w:hAnsi="宋体" w:cs="宋体"/>
                <w:sz w:val="24"/>
              </w:rPr>
              <w:t xml:space="preserve">1条100M点对点OTN跨域电路，满足南京云机房与异地云机房互通。</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条</w:t>
            </w:r>
            <w:r/>
          </w:p>
        </w:tc>
      </w:tr>
      <w:tr>
        <w:trPr>
          <w:trHeight w:val="90"/>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5</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本地运维</w:t>
            </w:r>
            <w:r/>
          </w:p>
        </w:tc>
        <w:tc>
          <w:tcPr>
            <w:tcBorders>
              <w:top w:val="single" w:color="auto" w:sz="4" w:space="0"/>
              <w:left w:val="single" w:color="auto" w:sz="4" w:space="0"/>
              <w:bottom w:val="single" w:color="auto" w:sz="4" w:space="0"/>
              <w:right w:val="single" w:color="auto" w:sz="4" w:space="0"/>
            </w:tcBorders>
            <w:tcW w:w="4181" w:type="dxa"/>
            <w:vAlign w:val="center"/>
            <w:textDirection w:val="lrTb"/>
            <w:noWrap w:val="false"/>
          </w:tcPr>
          <w:p>
            <w:pPr>
              <w:jc w:val="left"/>
              <w:spacing w:line="360" w:lineRule="auto"/>
              <w:widowControl/>
              <w:rPr>
                <w:rFonts w:hint="eastAsia" w:ascii="宋体" w:hAnsi="宋体" w:cs="宋体"/>
                <w:sz w:val="24"/>
              </w:rPr>
            </w:pPr>
            <w:r>
              <w:rPr>
                <w:rFonts w:ascii="宋体" w:hAnsi="宋体" w:cs="宋体"/>
                <w:sz w:val="24"/>
              </w:rPr>
              <w:t xml:space="preserve">提供本地和云端统一运维服务，配置1名专职本地驻场运维工程师。</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套</w:t>
            </w:r>
            <w:r/>
          </w:p>
        </w:tc>
      </w:tr>
    </w:tbl>
    <w:p>
      <w:pPr>
        <w:jc w:val="left"/>
        <w:spacing w:line="360" w:lineRule="auto"/>
        <w:rPr>
          <w:rFonts w:ascii="Calibri" w:hAnsi="Calibri" w:cs="Times New Roman"/>
          <w:sz w:val="24"/>
          <w:szCs w:val="24"/>
        </w:rPr>
      </w:pPr>
      <w:r>
        <w:rPr>
          <w:rFonts w:ascii="Calibri" w:hAnsi="Calibri" w:cs="Times New Roman"/>
          <w:sz w:val="24"/>
          <w:szCs w:val="24"/>
        </w:rPr>
      </w:r>
      <w:r/>
    </w:p>
    <w:p>
      <w:pPr>
        <w:numPr>
          <w:ilvl w:val="1"/>
          <w:numId w:val="0"/>
        </w:numPr>
        <w:jc w:val="left"/>
        <w:spacing w:before="120" w:after="120"/>
        <w:tabs>
          <w:tab w:val="left" w:pos="420" w:leader="none"/>
        </w:tabs>
        <w:rPr>
          <w:rFonts w:hint="eastAsia" w:ascii="Microsoft JhengHei" w:hAnsi="Microsoft JhengHei" w:cs="Microsoft JhengHei"/>
          <w:b/>
          <w:bCs/>
          <w:sz w:val="30"/>
          <w:szCs w:val="32"/>
        </w:rPr>
        <w:outlineLvl w:val="1"/>
      </w:pPr>
      <w:r>
        <w:rPr>
          <w:rFonts w:ascii="Microsoft JhengHei" w:hAnsi="Microsoft JhengHei" w:cs="Microsoft JhengHei"/>
          <w:b/>
          <w:bCs/>
          <w:sz w:val="30"/>
          <w:szCs w:val="32"/>
        </w:rPr>
        <w:t xml:space="preserve">二</w:t>
      </w:r>
      <w:r>
        <w:rPr>
          <w:rFonts w:hint="eastAsia" w:ascii="Microsoft JhengHei" w:hAnsi="Microsoft JhengHei" w:cs="Microsoft JhengHei"/>
          <w:b/>
          <w:bCs/>
          <w:sz w:val="30"/>
          <w:szCs w:val="32"/>
        </w:rPr>
        <w:t xml:space="preserve">、</w:t>
      </w:r>
      <w:r>
        <w:rPr>
          <w:rFonts w:ascii="Microsoft JhengHei" w:hAnsi="Microsoft JhengHei" w:cs="Microsoft JhengHei"/>
          <w:b/>
          <w:bCs/>
          <w:sz w:val="30"/>
          <w:szCs w:val="32"/>
        </w:rPr>
        <w:t xml:space="preserve">技术要求</w:t>
      </w:r>
      <w:r/>
    </w:p>
    <w:p>
      <w:pPr>
        <w:numPr>
          <w:ilvl w:val="2"/>
          <w:numId w:val="0"/>
        </w:numPr>
        <w:jc w:val="left"/>
        <w:spacing w:line="360" w:lineRule="auto"/>
        <w:tabs>
          <w:tab w:val="left" w:pos="0" w:leader="none"/>
        </w:tabs>
        <w:rPr>
          <w:rFonts w:hint="eastAsia" w:ascii="宋体" w:hAnsi="宋体" w:cs="Times New Roman"/>
          <w:b/>
          <w:bCs/>
          <w:sz w:val="28"/>
          <w:szCs w:val="27"/>
        </w:rPr>
        <w:outlineLvl w:val="2"/>
      </w:pPr>
      <w:r>
        <w:rPr>
          <w:rFonts w:ascii="宋体" w:hAnsi="宋体" w:cs="Times New Roman"/>
          <w:b/>
          <w:bCs/>
          <w:sz w:val="28"/>
          <w:szCs w:val="27"/>
        </w:rPr>
        <w:t xml:space="preserve">2.1一体化数字运维管控系统</w:t>
      </w:r>
      <w:r/>
    </w:p>
    <w:tbl>
      <w:tblPr>
        <w:tblW w:w="4999" w:type="pct"/>
        <w:tblCellMar>
          <w:left w:w="15" w:type="dxa"/>
          <w:top w:w="15" w:type="dxa"/>
          <w:right w:w="15" w:type="dxa"/>
          <w:bottom w:w="15" w:type="dxa"/>
        </w:tblCellMar>
        <w:tblLook w:val="04A0" w:firstRow="1" w:lastRow="0" w:firstColumn="1" w:lastColumn="0" w:noHBand="0" w:noVBand="1"/>
      </w:tblPr>
      <w:tblGrid>
        <w:gridCol w:w="1043"/>
        <w:gridCol w:w="2537"/>
        <w:gridCol w:w="5506"/>
      </w:tblGrid>
      <w:tr>
        <w:trPr/>
        <w:tc>
          <w:tcPr>
            <w:tcBorders>
              <w:top w:val="single" w:color="000000" w:sz="6" w:space="0"/>
              <w:left w:val="single" w:color="000000" w:sz="6" w:space="0"/>
              <w:right w:val="single" w:color="000000" w:sz="6" w:space="0"/>
            </w:tcBorders>
            <w:tcW w:w="574" w:type="pct"/>
            <w:vAlign w:val="center"/>
            <w:textDirection w:val="lrTb"/>
            <w:noWrap w:val="false"/>
          </w:tcPr>
          <w:p>
            <w:pPr>
              <w:jc w:val="left"/>
              <w:spacing w:after="120" w:line="360" w:lineRule="auto"/>
              <w:rPr>
                <w:rFonts w:hint="eastAsia" w:ascii="宋体" w:hAnsi="宋体" w:cs="宋体"/>
                <w:b/>
                <w:sz w:val="24"/>
                <w:szCs w:val="24"/>
              </w:rPr>
            </w:pPr>
            <w:r>
              <w:rPr>
                <w:rFonts w:ascii="宋体" w:hAnsi="宋体" w:cs="宋体"/>
                <w:b/>
                <w:sz w:val="24"/>
                <w:szCs w:val="24"/>
              </w:rPr>
              <w:t xml:space="preserve">功能模块</w:t>
            </w: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395" w:type="pct"/>
            <w:textDirection w:val="lrTb"/>
            <w:noWrap w:val="false"/>
          </w:tcPr>
          <w:p>
            <w:pPr>
              <w:jc w:val="left"/>
              <w:spacing w:after="120" w:line="360" w:lineRule="auto"/>
              <w:rPr>
                <w:rFonts w:hint="eastAsia" w:ascii="宋体" w:hAnsi="宋体" w:cs="宋体"/>
                <w:b/>
                <w:sz w:val="24"/>
                <w:szCs w:val="24"/>
              </w:rPr>
            </w:pPr>
            <w:r>
              <w:rPr>
                <w:rFonts w:ascii="宋体" w:hAnsi="宋体" w:cs="宋体"/>
                <w:b/>
                <w:sz w:val="24"/>
                <w:szCs w:val="24"/>
              </w:rPr>
              <w:t xml:space="preserve">功能点</w:t>
            </w: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3029" w:type="pct"/>
            <w:textDirection w:val="lrTb"/>
            <w:noWrap w:val="false"/>
          </w:tcPr>
          <w:p>
            <w:pPr>
              <w:jc w:val="left"/>
              <w:spacing w:after="120" w:line="360" w:lineRule="auto"/>
              <w:rPr>
                <w:rFonts w:hint="eastAsia" w:ascii="宋体" w:hAnsi="宋体" w:cs="宋体"/>
                <w:b/>
                <w:sz w:val="24"/>
                <w:szCs w:val="24"/>
              </w:rPr>
            </w:pPr>
            <w:r>
              <w:rPr>
                <w:rFonts w:ascii="宋体" w:hAnsi="宋体" w:cs="宋体"/>
                <w:b/>
                <w:sz w:val="24"/>
                <w:szCs w:val="24"/>
              </w:rPr>
              <w:t xml:space="preserve">参数要求</w:t>
            </w:r>
            <w:r/>
          </w:p>
        </w:tc>
      </w:tr>
      <w:tr>
        <w:trPr/>
        <w:tc>
          <w:tcPr>
            <w:tcBorders>
              <w:top w:val="single" w:color="000000" w:sz="6" w:space="0"/>
              <w:left w:val="single" w:color="000000" w:sz="6" w:space="0"/>
              <w:right w:val="single" w:color="000000" w:sz="6" w:space="0"/>
            </w:tcBorders>
            <w:tcW w:w="574" w:type="pct"/>
            <w:vAlign w:val="center"/>
            <w:vMerge w:val="restart"/>
            <w:textDirection w:val="lrTb"/>
            <w:noWrap w:val="false"/>
          </w:tcPr>
          <w:p>
            <w:pPr>
              <w:jc w:val="left"/>
              <w:spacing w:after="120" w:line="360" w:lineRule="auto"/>
              <w:rPr>
                <w:rFonts w:hint="eastAsia" w:ascii="宋体" w:hAnsi="宋体" w:cs="宋体"/>
                <w:sz w:val="24"/>
                <w:szCs w:val="24"/>
              </w:rPr>
            </w:pPr>
            <w:r>
              <w:rPr>
                <w:rFonts w:ascii="宋体" w:hAnsi="宋体" w:cs="宋体"/>
                <w:sz w:val="24"/>
                <w:szCs w:val="24"/>
              </w:rPr>
              <w:t xml:space="preserve">资源管理</w:t>
            </w: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395" w:type="pct"/>
            <w:textDirection w:val="lrTb"/>
            <w:noWrap w:val="false"/>
          </w:tcPr>
          <w:p>
            <w:pPr>
              <w:jc w:val="left"/>
              <w:spacing w:after="120" w:line="360" w:lineRule="auto"/>
              <w:rPr>
                <w:rFonts w:hint="eastAsia" w:ascii="宋体" w:hAnsi="宋体" w:cs="宋体"/>
                <w:sz w:val="24"/>
                <w:szCs w:val="24"/>
              </w:rPr>
            </w:pPr>
            <w:r>
              <w:rPr>
                <w:rFonts w:ascii="宋体" w:hAnsi="宋体" w:cs="宋体"/>
                <w:sz w:val="24"/>
                <w:szCs w:val="24"/>
              </w:rPr>
              <w:t xml:space="preserve">存储设备</w:t>
            </w: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3029" w:type="pct"/>
            <w:textDirection w:val="lrTb"/>
            <w:noWrap w:val="false"/>
          </w:tcPr>
          <w:p>
            <w:pPr>
              <w:jc w:val="left"/>
              <w:spacing w:after="120" w:line="360" w:lineRule="auto"/>
              <w:rPr>
                <w:rFonts w:hint="eastAsia" w:ascii="宋体" w:hAnsi="宋体" w:cs="宋体"/>
                <w:sz w:val="24"/>
                <w:szCs w:val="24"/>
              </w:rPr>
            </w:pPr>
            <w:r>
              <w:rPr>
                <w:rFonts w:ascii="宋体" w:hAnsi="宋体" w:cs="宋体"/>
                <w:sz w:val="24"/>
                <w:szCs w:val="24"/>
              </w:rPr>
              <w:t xml:space="preserve">1.应支持对接现有运维系统，针对思科、华为、华三等主流厂商存储设备的监控；应支持为设备设置设备图片、标签组、所在分组、物理位置等扩展属性；需支持通过列表多种方式查询，并展示IP地址、关联业务等信息；应支持手动添加新资源，并支持设备信息的批量导出、启用/停用、批量配置和打印二维码。</w:t>
            </w:r>
            <w:r/>
          </w:p>
          <w:p>
            <w:pPr>
              <w:jc w:val="left"/>
              <w:spacing w:after="120" w:line="360" w:lineRule="auto"/>
              <w:rPr>
                <w:rFonts w:hint="eastAsia" w:ascii="宋体" w:hAnsi="宋体" w:cs="宋体"/>
                <w:sz w:val="24"/>
                <w:szCs w:val="24"/>
              </w:rPr>
            </w:pPr>
            <w:r>
              <w:rPr>
                <w:rFonts w:ascii="宋体" w:hAnsi="宋体" w:cs="宋体"/>
                <w:sz w:val="24"/>
                <w:szCs w:val="24"/>
              </w:rPr>
              <w:t xml:space="preserve">2.应提供设备详情页面，包含监控状态、设备型号、序列号等基本信息，以及CPU繁忙度、磁盘每秒读写字节数等关键指标；需支持查看总存储空间使用占比、剩余空间容量，以及电源、风扇、磁盘的总数和异常数量。</w:t>
            </w:r>
            <w:r/>
          </w:p>
          <w:p>
            <w:pPr>
              <w:jc w:val="left"/>
              <w:spacing w:after="120" w:line="360" w:lineRule="auto"/>
              <w:rPr>
                <w:rFonts w:hint="eastAsia" w:ascii="宋体" w:hAnsi="宋体" w:cs="宋体"/>
                <w:sz w:val="24"/>
                <w:szCs w:val="24"/>
              </w:rPr>
            </w:pPr>
            <w:r>
              <w:rPr>
                <w:rFonts w:ascii="宋体" w:hAnsi="宋体" w:cs="宋体"/>
                <w:sz w:val="24"/>
                <w:szCs w:val="24"/>
              </w:rPr>
              <w:t xml:space="preserve">3.需支持设置设备运行状态等基础信息监控和磁盘读写字节数等性能指标，并支持查看实时数据及至少180天内的历史数据。</w:t>
            </w:r>
            <w:r/>
          </w:p>
        </w:tc>
      </w:tr>
      <w:tr>
        <w:trPr/>
        <w:tc>
          <w:tcPr>
            <w:tcBorders>
              <w:left w:val="single" w:color="000000" w:sz="6" w:space="0"/>
              <w:right w:val="single" w:color="000000" w:sz="6" w:space="0"/>
            </w:tcBorders>
            <w:tcW w:w="574" w:type="pct"/>
            <w:vAlign w:val="center"/>
            <w:vMerge w:val="continue"/>
            <w:textDirection w:val="lrTb"/>
            <w:noWrap w:val="false"/>
          </w:tcPr>
          <w:p>
            <w:pPr>
              <w:ind w:left="420"/>
              <w:jc w:val="left"/>
              <w:spacing w:after="120"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1395" w:type="pct"/>
            <w:vAlign w:val="center"/>
            <w:textDirection w:val="lrTb"/>
            <w:noWrap w:val="false"/>
          </w:tcPr>
          <w:p>
            <w:pPr>
              <w:jc w:val="left"/>
              <w:spacing w:after="120" w:line="360" w:lineRule="auto"/>
              <w:rPr>
                <w:rFonts w:hint="eastAsia" w:ascii="宋体" w:hAnsi="宋体" w:cs="宋体"/>
                <w:bCs/>
                <w:sz w:val="24"/>
                <w:szCs w:val="24"/>
              </w:rPr>
            </w:pPr>
            <w:r>
              <w:rPr>
                <w:rFonts w:ascii="宋体" w:hAnsi="宋体" w:cs="宋体"/>
                <w:bCs/>
                <w:sz w:val="24"/>
                <w:szCs w:val="24"/>
              </w:rPr>
              <w:t xml:space="preserve">服务进程监控</w:t>
            </w: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3029" w:type="pct"/>
            <w:textDirection w:val="lrTb"/>
            <w:noWrap w:val="false"/>
          </w:tcPr>
          <w:p>
            <w:pPr>
              <w:jc w:val="left"/>
              <w:spacing w:after="120" w:line="360" w:lineRule="auto"/>
              <w:rPr>
                <w:rFonts w:hint="eastAsia" w:ascii="宋体" w:hAnsi="宋体" w:cs="宋体"/>
                <w:sz w:val="24"/>
                <w:szCs w:val="24"/>
              </w:rPr>
            </w:pPr>
            <w:r>
              <w:rPr>
                <w:rFonts w:ascii="宋体" w:hAnsi="宋体" w:cs="宋体"/>
                <w:sz w:val="24"/>
                <w:szCs w:val="24"/>
              </w:rPr>
              <w:t xml:space="preserve">▲应支持对接现有运维系统，针对业务系统的进程进行监控；支持列表模式和进程组模式展示进程信息，列表模式需展示进程名称、PID、启动参</w:t>
            </w:r>
            <w:r>
              <w:rPr>
                <w:rFonts w:ascii="宋体" w:hAnsi="宋体" w:cs="宋体"/>
                <w:sz w:val="24"/>
                <w:szCs w:val="24"/>
              </w:rPr>
              <w:t xml:space="preserve">数、进程路径、CPU使用率、内存使用率、内存消耗、端口号、端口协议；进程组模式对CPU使用率、端口号、端口协议进行数据采集，同时可按需要进行告警的配置（告警规则、告警启用状态、故障等级、状态）；配置进程组时需配置进程组名称、关键词、关键词匹配方式；CPU告警支持设置阈值上限和连续次数；内存告警支持设置大小上限和连续次数；存活告警支持设置进程数量和连续次数。</w:t>
            </w:r>
            <w:r>
              <w:rPr>
                <w:rFonts w:ascii="宋体" w:hAnsi="宋体" w:cs="宋体"/>
                <w:color w:val="000000"/>
                <w:sz w:val="24"/>
                <w:szCs w:val="24"/>
                <w:lang w:val="zh-CN"/>
              </w:rPr>
              <w:t xml:space="preserve">（</w:t>
            </w:r>
            <w:r>
              <w:rPr>
                <w:rFonts w:ascii="宋体" w:hAnsi="宋体" w:cs="宋体"/>
                <w:color w:val="000000"/>
                <w:sz w:val="24"/>
                <w:szCs w:val="24"/>
              </w:rPr>
              <w:t xml:space="preserve">提供功能截图并加盖原厂公章</w:t>
            </w:r>
            <w:r>
              <w:rPr>
                <w:rFonts w:ascii="宋体" w:hAnsi="宋体" w:cs="宋体"/>
                <w:color w:val="000000"/>
                <w:sz w:val="24"/>
                <w:szCs w:val="24"/>
                <w:lang w:val="zh-CN"/>
              </w:rPr>
              <w:t xml:space="preserve">）</w:t>
            </w:r>
            <w:r/>
          </w:p>
        </w:tc>
      </w:tr>
      <w:tr>
        <w:trPr/>
        <w:tc>
          <w:tcPr>
            <w:tcBorders>
              <w:left w:val="single" w:color="000000" w:sz="6" w:space="0"/>
              <w:bottom w:val="single" w:color="auto" w:sz="4" w:space="0"/>
              <w:right w:val="single" w:color="000000" w:sz="6" w:space="0"/>
            </w:tcBorders>
            <w:tcW w:w="574" w:type="pct"/>
            <w:vAlign w:val="center"/>
            <w:vMerge w:val="continue"/>
            <w:textDirection w:val="lrTb"/>
            <w:noWrap w:val="false"/>
          </w:tcPr>
          <w:p>
            <w:pPr>
              <w:ind w:left="420"/>
              <w:jc w:val="left"/>
              <w:spacing w:after="120"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auto" w:sz="4" w:space="0"/>
              <w:right w:val="single" w:color="000000" w:sz="6" w:space="0"/>
            </w:tcBorders>
            <w:tcMar>
              <w:left w:w="120" w:type="dxa"/>
              <w:top w:w="60" w:type="dxa"/>
              <w:right w:w="120" w:type="dxa"/>
              <w:bottom w:w="60" w:type="dxa"/>
            </w:tcMar>
            <w:tcW w:w="1395" w:type="pct"/>
            <w:vAlign w:val="center"/>
            <w:textDirection w:val="lrTb"/>
            <w:noWrap w:val="false"/>
          </w:tcPr>
          <w:p>
            <w:pPr>
              <w:jc w:val="left"/>
              <w:spacing w:after="120" w:line="360" w:lineRule="auto"/>
              <w:rPr>
                <w:rFonts w:hint="eastAsia" w:ascii="宋体" w:hAnsi="宋体" w:cs="宋体"/>
                <w:bCs/>
                <w:sz w:val="24"/>
                <w:szCs w:val="24"/>
              </w:rPr>
            </w:pPr>
            <w:r>
              <w:rPr>
                <w:rFonts w:ascii="宋体" w:hAnsi="宋体" w:cs="宋体"/>
                <w:bCs/>
                <w:sz w:val="24"/>
                <w:szCs w:val="24"/>
              </w:rPr>
              <w:t xml:space="preserve">目录文件监控</w:t>
            </w:r>
            <w:r/>
          </w:p>
        </w:tc>
        <w:tc>
          <w:tcPr>
            <w:tcBorders>
              <w:top w:val="single" w:color="000000" w:sz="6" w:space="0"/>
              <w:left w:val="single" w:color="000000" w:sz="6" w:space="0"/>
              <w:bottom w:val="single" w:color="000000" w:sz="6" w:space="0"/>
              <w:right w:val="single" w:color="000000" w:sz="6" w:space="0"/>
            </w:tcBorders>
            <w:tcMar>
              <w:left w:w="120" w:type="dxa"/>
              <w:top w:w="60" w:type="dxa"/>
              <w:right w:w="120" w:type="dxa"/>
              <w:bottom w:w="60" w:type="dxa"/>
            </w:tcMar>
            <w:tcW w:w="3029" w:type="pct"/>
            <w:textDirection w:val="lrTb"/>
            <w:noWrap w:val="false"/>
          </w:tcPr>
          <w:p>
            <w:pPr>
              <w:jc w:val="left"/>
              <w:spacing w:after="120" w:line="360" w:lineRule="auto"/>
              <w:rPr>
                <w:rFonts w:hint="eastAsia" w:ascii="宋体" w:hAnsi="宋体" w:cs="宋体"/>
                <w:bCs/>
                <w:sz w:val="24"/>
                <w:szCs w:val="24"/>
                <w:lang w:val="zh-CN"/>
              </w:rPr>
            </w:pPr>
            <w:r>
              <w:rPr>
                <w:rFonts w:ascii="宋体" w:hAnsi="宋体" w:cs="宋体"/>
                <w:sz w:val="24"/>
                <w:szCs w:val="24"/>
              </w:rPr>
              <w:t xml:space="preserve">▲应支持对接现有运维系统，针对业务系统的目录、文件进行监控；目录监控对目录的文件数量、目录大小进行数据采集，同时可按需要进行告警的配置，包含文件数量告警、目录大小告警、文件大小增长率告警，文件大小增长率告警支持按照时间维度进行对比分析，且能够灵活配置对比的时间段，按照增长率和增长大小两个维度通过与和或的关系设置告警规则；</w:t>
            </w:r>
            <w:r>
              <w:rPr>
                <w:rFonts w:ascii="宋体" w:hAnsi="宋体" w:cs="宋体"/>
                <w:sz w:val="24"/>
                <w:szCs w:val="24"/>
              </w:rPr>
              <w:t xml:space="preserve">配置目录监控时需配置监控名称、监控路径、目录采集范围、采集间隔时间，支持对监控路径的校验，校验包含文件权限、目录路径存在、文件存在、文件大小、匹配到的文件数量；支持目录筛选的高级配置：通过正则表达式对文件名进行过滤，且能够按照文件类型和时间进行统计。文件监控对文件的存在性、文件大小、最近更新时间进行数据采集，同时可按需进行告警的配置（存在性告警、文件大小告警、文件大小增长率告警、最近修改时间告警）；配置文件监控时需配置监控名称、监控路径、采集间隔时间；支持对监控路径的校验，校验包含文件权限、目录路径存在、文</w:t>
            </w:r>
            <w:r>
              <w:rPr>
                <w:rFonts w:ascii="宋体" w:hAnsi="宋体" w:cs="宋体"/>
                <w:sz w:val="24"/>
                <w:szCs w:val="24"/>
              </w:rPr>
              <w:t xml:space="preserve">件存在、文件大小、最后修改时间；存在性告警支持设置连续次数，文件大小告警支持设置文件大小上限，日志更新时间告警支持按照天或周进行时间段配置，每种告警配置支持设置不同故障等级。</w:t>
            </w:r>
            <w:r>
              <w:rPr>
                <w:rFonts w:ascii="宋体" w:hAnsi="宋体" w:cs="宋体"/>
                <w:color w:val="000000"/>
                <w:sz w:val="24"/>
                <w:szCs w:val="24"/>
                <w:lang w:val="zh-CN"/>
              </w:rPr>
              <w:t xml:space="preserve">（</w:t>
            </w:r>
            <w:r>
              <w:rPr>
                <w:rFonts w:ascii="宋体" w:hAnsi="宋体" w:cs="宋体"/>
                <w:color w:val="000000"/>
                <w:sz w:val="24"/>
                <w:szCs w:val="24"/>
              </w:rPr>
              <w:t xml:space="preserve">提供功能截图并加盖原厂公章</w:t>
            </w:r>
            <w:r>
              <w:rPr>
                <w:rFonts w:ascii="宋体" w:hAnsi="宋体" w:cs="宋体"/>
                <w:color w:val="000000"/>
                <w:sz w:val="24"/>
                <w:szCs w:val="24"/>
                <w:lang w:val="zh-CN"/>
              </w:rPr>
              <w:t xml:space="preserve">）</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60" w:type="dxa"/>
            </w:tcMar>
            <w:tcW w:w="574" w:type="pct"/>
            <w:vMerge w:val="restart"/>
            <w:textDirection w:val="lrTb"/>
            <w:noWrap w:val="false"/>
          </w:tcPr>
          <w:p>
            <w:pPr>
              <w:jc w:val="left"/>
              <w:spacing w:after="120" w:line="360" w:lineRule="auto"/>
              <w:rPr>
                <w:rFonts w:hint="eastAsia" w:ascii="宋体" w:hAnsi="宋体" w:cs="宋体"/>
                <w:sz w:val="24"/>
                <w:szCs w:val="24"/>
              </w:rPr>
            </w:pPr>
            <w:r>
              <w:rPr>
                <w:rFonts w:ascii="宋体" w:hAnsi="宋体" w:cs="宋体"/>
                <w:sz w:val="24"/>
                <w:szCs w:val="24"/>
              </w:rPr>
              <w:t xml:space="preserve">环境监测管理</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60" w:type="dxa"/>
            </w:tcMar>
            <w:tcW w:w="1395" w:type="pct"/>
            <w:textDirection w:val="lrTb"/>
            <w:noWrap w:val="false"/>
          </w:tcPr>
          <w:p>
            <w:pPr>
              <w:jc w:val="left"/>
              <w:spacing w:after="120" w:line="360" w:lineRule="auto"/>
              <w:rPr>
                <w:rFonts w:hint="eastAsia" w:ascii="宋体" w:hAnsi="宋体" w:cs="宋体"/>
                <w:sz w:val="24"/>
                <w:szCs w:val="24"/>
              </w:rPr>
            </w:pPr>
            <w:r>
              <w:rPr>
                <w:rFonts w:ascii="宋体" w:hAnsi="宋体" w:cs="宋体"/>
                <w:sz w:val="24"/>
                <w:szCs w:val="24"/>
              </w:rPr>
              <w:t xml:space="preserve">环境指标监测</w:t>
            </w:r>
            <w:r/>
          </w:p>
        </w:tc>
        <w:tc>
          <w:tcPr>
            <w:tcBorders>
              <w:top w:val="single" w:color="000000" w:sz="6" w:space="0"/>
              <w:left w:val="single" w:color="auto" w:sz="4" w:space="0"/>
              <w:bottom w:val="single" w:color="000000" w:sz="6" w:space="0"/>
              <w:right w:val="single" w:color="000000" w:sz="6" w:space="0"/>
            </w:tcBorders>
            <w:tcMar>
              <w:left w:w="120" w:type="dxa"/>
              <w:top w:w="60" w:type="dxa"/>
              <w:right w:w="120" w:type="dxa"/>
              <w:bottom w:w="60" w:type="dxa"/>
            </w:tcMar>
            <w:tcW w:w="3029" w:type="pct"/>
            <w:textDirection w:val="lrTb"/>
            <w:noWrap w:val="false"/>
          </w:tcPr>
          <w:p>
            <w:pPr>
              <w:rPr>
                <w:rFonts w:hint="eastAsia" w:ascii="宋体" w:hAnsi="宋体" w:cs="宋体"/>
                <w:bCs/>
                <w:sz w:val="24"/>
                <w:szCs w:val="24"/>
              </w:rPr>
            </w:pPr>
            <w:r>
              <w:rPr>
                <w:rFonts w:ascii="宋体" w:hAnsi="宋体" w:cs="宋体"/>
                <w:bCs/>
                <w:sz w:val="24"/>
                <w:szCs w:val="24"/>
              </w:rPr>
              <w:t xml:space="preserve">1.</w:t>
            </w:r>
            <w:r>
              <w:rPr>
                <w:rFonts w:ascii="宋体" w:hAnsi="宋体" w:cs="宋体"/>
                <w:sz w:val="24"/>
                <w:szCs w:val="24"/>
              </w:rPr>
              <w:t xml:space="preserve">▲</w:t>
            </w:r>
            <w:r>
              <w:rPr>
                <w:rFonts w:ascii="宋体" w:hAnsi="宋体" w:cs="宋体"/>
                <w:bCs/>
                <w:sz w:val="24"/>
                <w:szCs w:val="24"/>
              </w:rPr>
              <w:t xml:space="preserve">支持提供以太网环控设备，实现对机房、弱电间7*24小时温湿度等指标的监控，并通过移动端进行告警推送。</w:t>
            </w:r>
            <w:r>
              <w:rPr>
                <w:rFonts w:ascii="宋体" w:hAnsi="宋体" w:cs="宋体"/>
                <w:bCs/>
                <w:sz w:val="24"/>
                <w:szCs w:val="24"/>
                <w:lang w:val="zh-CN"/>
              </w:rPr>
              <w:t xml:space="preserve">（</w:t>
            </w:r>
            <w:r>
              <w:rPr>
                <w:rFonts w:ascii="宋体" w:hAnsi="宋体" w:cs="宋体"/>
                <w:bCs/>
                <w:sz w:val="24"/>
                <w:szCs w:val="24"/>
              </w:rPr>
              <w:t xml:space="preserve">提供功能截图并加盖原厂公章</w:t>
            </w:r>
            <w:r>
              <w:rPr>
                <w:rFonts w:ascii="宋体" w:hAnsi="宋体" w:cs="宋体"/>
                <w:bCs/>
                <w:sz w:val="24"/>
                <w:szCs w:val="24"/>
                <w:lang w:val="zh-CN"/>
              </w:rPr>
              <w:t xml:space="preserve">）</w:t>
            </w:r>
            <w:r/>
          </w:p>
          <w:p>
            <w:pPr>
              <w:rPr>
                <w:rFonts w:hint="eastAsia" w:ascii="宋体" w:hAnsi="宋体" w:cs="宋体"/>
                <w:bCs/>
                <w:sz w:val="24"/>
                <w:szCs w:val="24"/>
              </w:rPr>
            </w:pPr>
            <w:r>
              <w:rPr>
                <w:rFonts w:ascii="宋体" w:hAnsi="宋体" w:cs="宋体"/>
                <w:bCs/>
                <w:sz w:val="24"/>
                <w:szCs w:val="24"/>
              </w:rPr>
              <w:t xml:space="preserve">2.支持可视化面板展示方式，能够对异常的监测点进行标记；</w:t>
            </w:r>
            <w:r/>
          </w:p>
          <w:p>
            <w:pPr>
              <w:rPr>
                <w:rFonts w:hint="eastAsia" w:ascii="宋体" w:hAnsi="宋体" w:cs="宋体"/>
                <w:bCs/>
                <w:sz w:val="24"/>
                <w:szCs w:val="24"/>
              </w:rPr>
            </w:pPr>
            <w:r>
              <w:rPr>
                <w:rFonts w:ascii="宋体" w:hAnsi="宋体" w:cs="宋体"/>
                <w:bCs/>
                <w:sz w:val="24"/>
                <w:szCs w:val="24"/>
              </w:rPr>
              <w:t xml:space="preserve">3.支持告警阈值自定义设置，实现不同监测点对温湿度管理的个性化需求。</w:t>
            </w:r>
            <w:r/>
          </w:p>
          <w:p>
            <w:pPr>
              <w:jc w:val="left"/>
              <w:rPr>
                <w:rFonts w:hint="eastAsia" w:ascii="宋体" w:hAnsi="宋体" w:cs="宋体"/>
                <w:sz w:val="24"/>
                <w:szCs w:val="24"/>
              </w:rPr>
            </w:pPr>
            <w:r>
              <w:rPr>
                <w:rFonts w:ascii="宋体" w:hAnsi="宋体" w:cs="宋体"/>
                <w:bCs/>
                <w:sz w:val="24"/>
                <w:szCs w:val="24"/>
              </w:rPr>
              <w:t xml:space="preserve">4.支持通过以太网方式上传数据，实现局域网内通信、跨网关广域网通信。</w:t>
            </w:r>
            <w:r/>
          </w:p>
        </w:tc>
      </w:tr>
      <w:tr>
        <w:trPr/>
        <w:tc>
          <w:tcPr>
            <w:tcBorders>
              <w:top w:val="single" w:color="auto" w:sz="4" w:space="0"/>
              <w:left w:val="single" w:color="auto" w:sz="4" w:space="0"/>
              <w:bottom w:val="single" w:color="auto" w:sz="4" w:space="0"/>
              <w:right w:val="single" w:color="auto" w:sz="4" w:space="0"/>
            </w:tcBorders>
            <w:tcW w:w="574" w:type="pct"/>
            <w:vAlign w:val="center"/>
            <w:vMerge w:val="continue"/>
            <w:textDirection w:val="lrTb"/>
            <w:noWrap w:val="false"/>
          </w:tcPr>
          <w:p>
            <w:pPr>
              <w:ind w:left="420"/>
              <w:jc w:val="left"/>
              <w:spacing w:after="120"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60" w:type="dxa"/>
            </w:tcMar>
            <w:tcW w:w="1395" w:type="pct"/>
            <w:textDirection w:val="lrTb"/>
            <w:noWrap w:val="false"/>
          </w:tcPr>
          <w:p>
            <w:pPr>
              <w:jc w:val="left"/>
              <w:spacing w:after="120" w:line="360" w:lineRule="auto"/>
              <w:rPr>
                <w:rFonts w:hint="eastAsia" w:ascii="宋体" w:hAnsi="宋体" w:cs="宋体"/>
                <w:sz w:val="24"/>
                <w:szCs w:val="24"/>
              </w:rPr>
            </w:pPr>
            <w:r>
              <w:rPr>
                <w:rFonts w:ascii="宋体" w:hAnsi="宋体" w:cs="宋体"/>
                <w:sz w:val="24"/>
                <w:szCs w:val="24"/>
              </w:rPr>
              <w:t xml:space="preserve">环境指标可视化</w:t>
            </w:r>
            <w:r/>
          </w:p>
        </w:tc>
        <w:tc>
          <w:tcPr>
            <w:tcBorders>
              <w:top w:val="single" w:color="000000" w:sz="6" w:space="0"/>
              <w:left w:val="single" w:color="auto" w:sz="4" w:space="0"/>
              <w:bottom w:val="single" w:color="000000" w:sz="6" w:space="0"/>
              <w:right w:val="single" w:color="000000" w:sz="6" w:space="0"/>
            </w:tcBorders>
            <w:tcMar>
              <w:left w:w="120" w:type="dxa"/>
              <w:top w:w="60" w:type="dxa"/>
              <w:right w:w="120" w:type="dxa"/>
              <w:bottom w:w="60" w:type="dxa"/>
            </w:tcMar>
            <w:tcW w:w="3029" w:type="pct"/>
            <w:textDirection w:val="lrTb"/>
            <w:noWrap w:val="false"/>
          </w:tcPr>
          <w:p>
            <w:pPr>
              <w:jc w:val="left"/>
              <w:spacing w:after="120" w:line="360" w:lineRule="auto"/>
              <w:rPr>
                <w:rFonts w:hint="eastAsia" w:ascii="宋体" w:hAnsi="宋体" w:cs="宋体"/>
                <w:sz w:val="24"/>
                <w:szCs w:val="24"/>
              </w:rPr>
            </w:pPr>
            <w:r>
              <w:rPr>
                <w:rFonts w:ascii="宋体" w:hAnsi="宋体" w:cs="宋体"/>
                <w:sz w:val="24"/>
                <w:szCs w:val="24"/>
              </w:rPr>
              <w:t xml:space="preserve">应支持可视化面板展示环境监测数据，能够对异常的监测点进行标记；需支持告警阈值的自定义设置，以满足不同监测点的个性化管理需求。</w:t>
            </w:r>
            <w:r/>
          </w:p>
        </w:tc>
      </w:tr>
      <w:tr>
        <w:trPr/>
        <w:tc>
          <w:tcPr>
            <w:tcBorders>
              <w:top w:val="single" w:color="auto" w:sz="4" w:space="0"/>
              <w:left w:val="single" w:color="000000" w:sz="6" w:space="0"/>
              <w:right w:val="single" w:color="000000" w:sz="6" w:space="0"/>
            </w:tcBorders>
            <w:tcW w:w="574" w:type="pct"/>
            <w:vAlign w:val="center"/>
            <w:vMerge w:val="restart"/>
            <w:textDirection w:val="lrTb"/>
            <w:noWrap w:val="false"/>
          </w:tcPr>
          <w:p>
            <w:pPr>
              <w:jc w:val="left"/>
              <w:spacing w:after="120" w:line="360" w:lineRule="auto"/>
              <w:rPr>
                <w:rFonts w:hint="eastAsia" w:ascii="宋体" w:hAnsi="宋体" w:cs="宋体"/>
                <w:sz w:val="24"/>
                <w:szCs w:val="24"/>
              </w:rPr>
            </w:pPr>
            <w:r>
              <w:rPr>
                <w:rFonts w:ascii="宋体" w:hAnsi="宋体" w:cs="宋体"/>
                <w:sz w:val="24"/>
                <w:szCs w:val="24"/>
              </w:rPr>
              <w:t xml:space="preserve">系统管理</w:t>
            </w:r>
            <w:r/>
          </w:p>
        </w:tc>
        <w:tc>
          <w:tcPr>
            <w:tcBorders>
              <w:top w:val="single" w:color="auto" w:sz="4" w:space="0"/>
              <w:left w:val="single" w:color="000000" w:sz="6" w:space="0"/>
              <w:bottom w:val="single" w:color="auto" w:sz="4" w:space="0"/>
              <w:right w:val="single" w:color="000000" w:sz="6" w:space="0"/>
            </w:tcBorders>
            <w:tcMar>
              <w:left w:w="120" w:type="dxa"/>
              <w:top w:w="60" w:type="dxa"/>
              <w:right w:w="120" w:type="dxa"/>
              <w:bottom w:w="60" w:type="dxa"/>
            </w:tcMar>
            <w:tcW w:w="1395" w:type="pct"/>
            <w:textDirection w:val="lrTb"/>
            <w:noWrap w:val="false"/>
          </w:tcPr>
          <w:p>
            <w:pPr>
              <w:jc w:val="left"/>
              <w:spacing w:after="120" w:line="360" w:lineRule="auto"/>
              <w:rPr>
                <w:rFonts w:hint="eastAsia" w:ascii="宋体" w:hAnsi="宋体" w:cs="宋体"/>
                <w:sz w:val="24"/>
                <w:szCs w:val="24"/>
              </w:rPr>
            </w:pPr>
            <w:r>
              <w:rPr>
                <w:rFonts w:ascii="宋体" w:hAnsi="宋体" w:cs="宋体"/>
                <w:sz w:val="24"/>
                <w:szCs w:val="24"/>
              </w:rPr>
              <w:t xml:space="preserve">数据备份</w:t>
            </w:r>
            <w:r/>
          </w:p>
        </w:tc>
        <w:tc>
          <w:tcPr>
            <w:tcBorders>
              <w:top w:val="single" w:color="000000" w:sz="6" w:space="0"/>
              <w:left w:val="single" w:color="000000" w:sz="6" w:space="0"/>
              <w:bottom w:val="single" w:color="auto" w:sz="4" w:space="0"/>
              <w:right w:val="single" w:color="000000" w:sz="6" w:space="0"/>
            </w:tcBorders>
            <w:tcMar>
              <w:left w:w="120" w:type="dxa"/>
              <w:top w:w="60" w:type="dxa"/>
              <w:right w:w="120" w:type="dxa"/>
              <w:bottom w:w="60" w:type="dxa"/>
            </w:tcMar>
            <w:tcW w:w="3029" w:type="pct"/>
            <w:textDirection w:val="lrTb"/>
            <w:noWrap w:val="false"/>
          </w:tcPr>
          <w:p>
            <w:pPr>
              <w:jc w:val="left"/>
              <w:spacing w:after="120" w:line="360" w:lineRule="auto"/>
              <w:rPr>
                <w:rFonts w:hint="eastAsia" w:ascii="宋体" w:hAnsi="宋体" w:cs="宋体"/>
                <w:sz w:val="24"/>
                <w:szCs w:val="24"/>
              </w:rPr>
            </w:pPr>
            <w:r>
              <w:rPr>
                <w:rFonts w:ascii="宋体" w:hAnsi="宋体" w:cs="宋体"/>
                <w:sz w:val="24"/>
                <w:szCs w:val="24"/>
              </w:rPr>
              <w:t xml:space="preserve">▲应支持全系统数据的手动备份和定时备份；定时备份需支持按每天、每周的某几天、每月的某几天，在设定时间自动执行；需支持本地和异地备份，并能设置自动备份文件的定时清理规则；备份成功的文件应支持下载，且应支持上传备份文件进行系统配置的覆盖恢复。</w:t>
            </w:r>
            <w:r>
              <w:rPr>
                <w:rFonts w:ascii="宋体" w:hAnsi="宋体" w:cs="宋体"/>
                <w:color w:val="000000"/>
                <w:sz w:val="24"/>
                <w:szCs w:val="24"/>
                <w:lang w:val="zh-CN"/>
              </w:rPr>
              <w:t xml:space="preserve">（</w:t>
            </w:r>
            <w:r>
              <w:rPr>
                <w:rFonts w:ascii="宋体" w:hAnsi="宋体" w:cs="宋体"/>
                <w:color w:val="000000"/>
                <w:sz w:val="24"/>
                <w:szCs w:val="24"/>
              </w:rPr>
              <w:t xml:space="preserve">提供功能截图并加盖原厂公章</w:t>
            </w:r>
            <w:r>
              <w:rPr>
                <w:rFonts w:ascii="宋体" w:hAnsi="宋体" w:cs="宋体"/>
                <w:color w:val="000000"/>
                <w:sz w:val="24"/>
                <w:szCs w:val="24"/>
                <w:lang w:val="zh-CN"/>
              </w:rPr>
              <w:t xml:space="preserve">）</w:t>
            </w:r>
            <w:r/>
          </w:p>
        </w:tc>
      </w:tr>
      <w:tr>
        <w:trPr/>
        <w:tc>
          <w:tcPr>
            <w:tcBorders>
              <w:left w:val="single" w:color="000000" w:sz="6" w:space="0"/>
              <w:bottom w:val="single" w:color="auto" w:sz="4" w:space="0"/>
              <w:right w:val="single" w:color="000000" w:sz="6" w:space="0"/>
            </w:tcBorders>
            <w:tcW w:w="574" w:type="pct"/>
            <w:vAlign w:val="center"/>
            <w:vMerge w:val="continue"/>
            <w:textDirection w:val="lrTb"/>
            <w:noWrap w:val="false"/>
          </w:tcPr>
          <w:p>
            <w:pPr>
              <w:ind w:left="420"/>
              <w:jc w:val="left"/>
              <w:spacing w:after="120"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auto" w:sz="4" w:space="0"/>
              <w:right w:val="single" w:color="000000" w:sz="6" w:space="0"/>
            </w:tcBorders>
            <w:tcMar>
              <w:left w:w="120" w:type="dxa"/>
              <w:top w:w="60" w:type="dxa"/>
              <w:right w:w="120" w:type="dxa"/>
              <w:bottom w:w="60" w:type="dxa"/>
            </w:tcMar>
            <w:tcW w:w="1395" w:type="pct"/>
            <w:textDirection w:val="lrTb"/>
            <w:noWrap w:val="false"/>
          </w:tcPr>
          <w:p>
            <w:pPr>
              <w:jc w:val="left"/>
              <w:spacing w:after="120" w:line="360" w:lineRule="auto"/>
              <w:rPr>
                <w:rFonts w:hint="eastAsia" w:ascii="宋体" w:hAnsi="宋体" w:cs="宋体"/>
                <w:bCs/>
                <w:sz w:val="24"/>
                <w:szCs w:val="24"/>
              </w:rPr>
            </w:pPr>
            <w:r>
              <w:rPr>
                <w:rFonts w:ascii="宋体" w:hAnsi="宋体" w:cs="宋体"/>
                <w:sz w:val="24"/>
                <w:szCs w:val="24"/>
              </w:rPr>
              <w:t xml:space="preserve">任务管理</w:t>
            </w:r>
            <w:r/>
          </w:p>
        </w:tc>
        <w:tc>
          <w:tcPr>
            <w:tcBorders>
              <w:top w:val="single" w:color="000000" w:sz="6" w:space="0"/>
              <w:left w:val="single" w:color="000000" w:sz="6" w:space="0"/>
              <w:bottom w:val="single" w:color="auto" w:sz="4" w:space="0"/>
              <w:right w:val="single" w:color="000000" w:sz="6" w:space="0"/>
            </w:tcBorders>
            <w:tcMar>
              <w:left w:w="120" w:type="dxa"/>
              <w:top w:w="60" w:type="dxa"/>
              <w:right w:w="120" w:type="dxa"/>
              <w:bottom w:w="60" w:type="dxa"/>
            </w:tcMar>
            <w:tcW w:w="3029" w:type="pct"/>
            <w:textDirection w:val="lrTb"/>
            <w:noWrap w:val="false"/>
          </w:tcPr>
          <w:p>
            <w:pPr>
              <w:jc w:val="left"/>
              <w:spacing w:after="120" w:line="360" w:lineRule="auto"/>
              <w:rPr>
                <w:rFonts w:hint="eastAsia" w:ascii="宋体" w:hAnsi="宋体" w:cs="宋体"/>
                <w:bCs/>
                <w:sz w:val="24"/>
                <w:szCs w:val="24"/>
              </w:rPr>
            </w:pPr>
            <w:r>
              <w:rPr>
                <w:rFonts w:ascii="宋体" w:hAnsi="宋体" w:cs="宋体"/>
                <w:sz w:val="24"/>
                <w:szCs w:val="24"/>
              </w:rPr>
              <w:t xml:space="preserve">▲应支持脚本管理，通过脚本的方式，对网络设备等资源进行单个、批量、立即执行、定时执行、周期性执行任务的配置下发；执行错误时，应能选择继续执行或中断任务；执行完成后，需能查看成功/失败数量，所有执行记录应保存在任务日志中，并支持批量操作失败的记录重新执行。</w:t>
            </w:r>
            <w:r>
              <w:rPr>
                <w:rFonts w:ascii="宋体" w:hAnsi="宋体" w:cs="宋体"/>
                <w:sz w:val="24"/>
                <w:szCs w:val="24"/>
                <w:lang w:val="zh-CN"/>
              </w:rPr>
              <w:t xml:space="preserve">（</w:t>
            </w:r>
            <w:r>
              <w:rPr>
                <w:rFonts w:ascii="宋体" w:hAnsi="宋体" w:cs="宋体"/>
                <w:sz w:val="24"/>
                <w:szCs w:val="24"/>
              </w:rPr>
              <w:t xml:space="preserve">提供功能截图并加盖原厂公章</w:t>
            </w:r>
            <w:r>
              <w:rPr>
                <w:rFonts w:ascii="宋体" w:hAnsi="宋体" w:cs="宋体"/>
                <w:sz w:val="24"/>
                <w:szCs w:val="24"/>
                <w:lang w:val="zh-CN"/>
              </w:rPr>
              <w:t xml:space="preserve">）</w:t>
            </w:r>
            <w:r/>
          </w:p>
        </w:tc>
      </w:tr>
      <w:tr>
        <w:trPr>
          <w:trHeight w:val="986"/>
        </w:trPr>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jc w:val="left"/>
              <w:spacing w:after="120" w:line="360" w:lineRule="auto"/>
              <w:rPr>
                <w:rFonts w:hint="eastAsia" w:ascii="宋体" w:hAnsi="宋体" w:cs="宋体"/>
                <w:sz w:val="24"/>
                <w:szCs w:val="24"/>
              </w:rPr>
            </w:pPr>
            <w:r>
              <w:rPr>
                <w:rFonts w:ascii="宋体" w:hAnsi="宋体" w:cs="宋体"/>
                <w:sz w:val="24"/>
                <w:szCs w:val="24"/>
              </w:rPr>
              <w:t xml:space="preserve">兼容性要求</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60" w:type="dxa"/>
            </w:tcMar>
            <w:tcW w:w="1395" w:type="pct"/>
            <w:vAlign w:val="center"/>
            <w:textDirection w:val="lrTb"/>
            <w:noWrap w:val="false"/>
          </w:tcPr>
          <w:p>
            <w:pPr>
              <w:jc w:val="left"/>
              <w:spacing w:line="360" w:lineRule="auto"/>
              <w:rPr>
                <w:rFonts w:hint="eastAsia" w:ascii="宋体" w:hAnsi="宋体" w:cs="宋体"/>
                <w:bCs/>
                <w:sz w:val="24"/>
                <w:szCs w:val="24"/>
              </w:rPr>
            </w:pPr>
            <w:r>
              <w:rPr>
                <w:rFonts w:ascii="宋体" w:hAnsi="宋体" w:cs="宋体"/>
                <w:bCs/>
                <w:sz w:val="24"/>
                <w:szCs w:val="24"/>
              </w:rPr>
              <w:t xml:space="preserve">兼容性要求</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60" w:type="dxa"/>
            </w:tcMar>
            <w:tcW w:w="3029" w:type="pct"/>
            <w:vAlign w:val="center"/>
            <w:textDirection w:val="lrTb"/>
            <w:noWrap w:val="false"/>
          </w:tcPr>
          <w:p>
            <w:pPr>
              <w:jc w:val="left"/>
              <w:spacing w:line="360" w:lineRule="auto"/>
              <w:rPr>
                <w:rFonts w:hint="eastAsia" w:ascii="宋体" w:hAnsi="宋体" w:cs="宋体"/>
                <w:bCs/>
                <w:color w:val="000000"/>
                <w:sz w:val="24"/>
                <w:szCs w:val="24"/>
              </w:rPr>
            </w:pPr>
            <w:r>
              <w:rPr>
                <w:rFonts w:ascii="宋体" w:hAnsi="宋体" w:cs="宋体"/>
                <w:bCs/>
                <w:sz w:val="24"/>
                <w:szCs w:val="24"/>
              </w:rPr>
              <w:t xml:space="preserve">★需满足与现有运维管理平台的无缝对接，中标人承担所有对接、开发费用。（投标人需要提供加盖公章的承诺函）</w:t>
            </w:r>
            <w:r/>
          </w:p>
        </w:tc>
      </w:tr>
      <w:tr>
        <w:trPr/>
        <w:tc>
          <w:tcPr>
            <w:tcBorders>
              <w:top w:val="single" w:color="auto" w:sz="4" w:space="0"/>
              <w:left w:val="single" w:color="000000" w:sz="6" w:space="0"/>
              <w:bottom w:val="single" w:color="000000" w:sz="6" w:space="0"/>
              <w:right w:val="single" w:color="000000" w:sz="6" w:space="0"/>
            </w:tcBorders>
            <w:tcMar>
              <w:left w:w="120" w:type="dxa"/>
              <w:top w:w="60" w:type="dxa"/>
              <w:right w:w="120" w:type="dxa"/>
              <w:bottom w:w="60" w:type="dxa"/>
            </w:tcMar>
            <w:tcW w:w="574" w:type="pct"/>
            <w:textDirection w:val="lrTb"/>
            <w:noWrap w:val="false"/>
          </w:tcPr>
          <w:p>
            <w:pPr>
              <w:jc w:val="left"/>
              <w:spacing w:after="120" w:line="360" w:lineRule="auto"/>
              <w:rPr>
                <w:rFonts w:hint="eastAsia" w:ascii="宋体" w:hAnsi="宋体" w:cs="宋体"/>
                <w:sz w:val="24"/>
                <w:szCs w:val="24"/>
              </w:rPr>
            </w:pPr>
            <w:r>
              <w:rPr>
                <w:rFonts w:ascii="宋体" w:hAnsi="宋体" w:cs="宋体"/>
                <w:sz w:val="24"/>
                <w:szCs w:val="24"/>
              </w:rPr>
              <w:t xml:space="preserve">配置要求</w:t>
            </w:r>
            <w:r/>
          </w:p>
        </w:tc>
        <w:tc>
          <w:tcPr>
            <w:tcBorders>
              <w:top w:val="single" w:color="auto" w:sz="4" w:space="0"/>
              <w:left w:val="single" w:color="000000" w:sz="6" w:space="0"/>
              <w:bottom w:val="single" w:color="000000" w:sz="6" w:space="0"/>
              <w:right w:val="single" w:color="000000" w:sz="6" w:space="0"/>
            </w:tcBorders>
            <w:tcMar>
              <w:left w:w="120" w:type="dxa"/>
              <w:top w:w="60" w:type="dxa"/>
              <w:right w:w="120" w:type="dxa"/>
              <w:bottom w:w="60" w:type="dxa"/>
            </w:tcMar>
            <w:tcW w:w="1395" w:type="pct"/>
            <w:textDirection w:val="lrTb"/>
            <w:noWrap w:val="false"/>
          </w:tcPr>
          <w:p>
            <w:pPr>
              <w:ind w:left="420"/>
              <w:jc w:val="left"/>
              <w:spacing w:after="120" w:line="360" w:lineRule="auto"/>
              <w:rPr>
                <w:rFonts w:hint="eastAsia" w:ascii="宋体" w:hAnsi="宋体" w:cs="宋体"/>
                <w:sz w:val="24"/>
                <w:szCs w:val="24"/>
              </w:rPr>
            </w:pPr>
            <w:r>
              <w:rPr>
                <w:rFonts w:ascii="宋体" w:hAnsi="宋体" w:cs="宋体"/>
                <w:sz w:val="24"/>
                <w:szCs w:val="24"/>
              </w:rPr>
              <w:t xml:space="preserve">配置要求</w:t>
            </w:r>
            <w:r/>
          </w:p>
        </w:tc>
        <w:tc>
          <w:tcPr>
            <w:tcBorders>
              <w:top w:val="single" w:color="auto" w:sz="4" w:space="0"/>
              <w:left w:val="single" w:color="000000" w:sz="6" w:space="0"/>
              <w:bottom w:val="single" w:color="000000" w:sz="6" w:space="0"/>
              <w:right w:val="single" w:color="000000" w:sz="6" w:space="0"/>
            </w:tcBorders>
            <w:tcMar>
              <w:left w:w="120" w:type="dxa"/>
              <w:top w:w="60" w:type="dxa"/>
              <w:right w:w="120" w:type="dxa"/>
              <w:bottom w:w="60" w:type="dxa"/>
            </w:tcMar>
            <w:tcW w:w="3029" w:type="pct"/>
            <w:textDirection w:val="lrTb"/>
            <w:noWrap w:val="false"/>
          </w:tcPr>
          <w:p>
            <w:pPr>
              <w:jc w:val="left"/>
              <w:spacing w:line="360" w:lineRule="auto"/>
              <w:rPr>
                <w:rFonts w:hint="eastAsia" w:ascii="宋体" w:hAnsi="宋体" w:cs="宋体"/>
                <w:sz w:val="24"/>
                <w:szCs w:val="24"/>
              </w:rPr>
            </w:pPr>
            <w:r>
              <w:rPr>
                <w:rFonts w:ascii="宋体" w:hAnsi="宋体" w:cs="宋体"/>
                <w:sz w:val="24"/>
                <w:szCs w:val="24"/>
              </w:rPr>
              <w:t xml:space="preserve">1.要求扩容配置≥750个设备节点永久性授权；</w:t>
            </w:r>
            <w:r/>
          </w:p>
          <w:p>
            <w:pPr>
              <w:jc w:val="left"/>
              <w:spacing w:line="360" w:lineRule="auto"/>
              <w:rPr>
                <w:rFonts w:hint="eastAsia" w:ascii="宋体" w:hAnsi="宋体" w:cs="宋体"/>
                <w:sz w:val="24"/>
                <w:szCs w:val="24"/>
              </w:rPr>
            </w:pPr>
            <w:r>
              <w:rPr>
                <w:rFonts w:ascii="宋体" w:hAnsi="宋体" w:cs="宋体"/>
                <w:sz w:val="24"/>
                <w:szCs w:val="24"/>
              </w:rPr>
              <w:t xml:space="preserve">2.要求扩容配置≥3个业务节点永久性授权。</w:t>
            </w:r>
            <w:r/>
          </w:p>
        </w:tc>
      </w:tr>
    </w:tbl>
    <w:p>
      <w:pPr>
        <w:jc w:val="left"/>
        <w:spacing w:line="360" w:lineRule="auto"/>
        <w:rPr>
          <w:rFonts w:ascii="Calibri" w:hAnsi="Calibri" w:cs="Times New Roman"/>
          <w:sz w:val="24"/>
          <w:szCs w:val="24"/>
        </w:rPr>
      </w:pPr>
      <w:r>
        <w:rPr>
          <w:rFonts w:ascii="Calibri" w:hAnsi="Calibri" w:cs="Times New Roman"/>
          <w:sz w:val="24"/>
          <w:szCs w:val="24"/>
        </w:rPr>
      </w:r>
      <w:r/>
    </w:p>
    <w:p>
      <w:pPr>
        <w:numPr>
          <w:ilvl w:val="2"/>
          <w:numId w:val="0"/>
        </w:numPr>
        <w:jc w:val="left"/>
        <w:spacing w:line="360" w:lineRule="auto"/>
        <w:tabs>
          <w:tab w:val="left" w:pos="0" w:leader="none"/>
        </w:tabs>
        <w:rPr>
          <w:rFonts w:hint="eastAsia" w:ascii="宋体" w:hAnsi="宋体" w:cs="Times New Roman"/>
          <w:b/>
          <w:bCs/>
          <w:sz w:val="28"/>
          <w:szCs w:val="27"/>
        </w:rPr>
        <w:outlineLvl w:val="2"/>
      </w:pPr>
      <w:r>
        <w:rPr>
          <w:rFonts w:ascii="宋体" w:hAnsi="宋体" w:cs="Times New Roman"/>
          <w:b/>
          <w:bCs/>
          <w:sz w:val="28"/>
          <w:szCs w:val="27"/>
        </w:rPr>
        <w:t xml:space="preserve">2.2云服务器</w:t>
      </w:r>
      <w:r/>
    </w:p>
    <w:p>
      <w:pPr>
        <w:numPr>
          <w:ilvl w:val="3"/>
          <w:numId w:val="0"/>
        </w:numPr>
        <w:jc w:val="left"/>
        <w:keepLines/>
        <w:keepNext/>
        <w:spacing w:before="80" w:after="40" w:line="360" w:lineRule="auto"/>
        <w:tabs>
          <w:tab w:val="left" w:pos="0" w:leader="none"/>
        </w:tabs>
        <w:rPr>
          <w:rFonts w:ascii="Calibri" w:hAnsi="Calibri" w:cs="Times New Roman"/>
          <w:color w:val="2d53a0"/>
          <w:sz w:val="28"/>
          <w:szCs w:val="28"/>
        </w:rPr>
        <w:outlineLvl w:val="3"/>
      </w:pPr>
      <w:r>
        <w:rPr>
          <w:rFonts w:ascii="Calibri" w:hAnsi="Calibri" w:cs="Times New Roman"/>
          <w:color w:val="2d53a0"/>
          <w:sz w:val="28"/>
          <w:szCs w:val="28"/>
        </w:rPr>
        <w:t xml:space="preserve">2.2.1</w:t>
      </w:r>
      <w:r>
        <w:rPr>
          <w:rFonts w:ascii="Calibri" w:hAnsi="Calibri" w:cs="Times New Roman"/>
          <w:color w:val="2d53a0"/>
          <w:sz w:val="28"/>
          <w:szCs w:val="28"/>
        </w:rPr>
        <w:t xml:space="preserve">裸金属</w:t>
      </w:r>
      <w:r/>
    </w:p>
    <w:tbl>
      <w:tblPr>
        <w:tblW w:w="8278" w:type="dxa"/>
        <w:tblInd w:w="98" w:type="dxa"/>
        <w:tblLook w:val="04A0" w:firstRow="1" w:lastRow="0" w:firstColumn="1" w:lastColumn="0" w:noHBand="0" w:noVBand="1"/>
      </w:tblPr>
      <w:tblGrid>
        <w:gridCol w:w="1018"/>
        <w:gridCol w:w="1300"/>
        <w:gridCol w:w="5960"/>
      </w:tblGrid>
      <w:tr>
        <w:trPr>
          <w:trHeight w:val="322"/>
        </w:trPr>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spacing w:line="360" w:lineRule="auto"/>
              <w:widowControl/>
              <w:rPr>
                <w:rFonts w:hint="eastAsia" w:ascii="宋体" w:hAnsi="宋体" w:cs="宋体"/>
                <w:b/>
                <w:bCs/>
                <w:color w:val="000000"/>
                <w:sz w:val="24"/>
              </w:rPr>
            </w:pPr>
            <w:r>
              <w:rPr>
                <w:rFonts w:ascii="宋体" w:hAnsi="宋体" w:cs="宋体"/>
                <w:b/>
                <w:bCs/>
                <w:color w:val="000000"/>
                <w:sz w:val="24"/>
                <w:lang w:bidi="ar"/>
              </w:rPr>
              <w:t xml:space="preserve">服务类别</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spacing w:line="360" w:lineRule="auto"/>
              <w:widowControl/>
              <w:rPr>
                <w:rFonts w:hint="eastAsia" w:ascii="宋体" w:hAnsi="宋体" w:cs="宋体"/>
                <w:b/>
                <w:bCs/>
                <w:color w:val="000000"/>
                <w:sz w:val="24"/>
              </w:rPr>
            </w:pPr>
            <w:r>
              <w:rPr>
                <w:rFonts w:ascii="宋体" w:hAnsi="宋体" w:cs="宋体"/>
                <w:b/>
                <w:bCs/>
                <w:color w:val="000000"/>
                <w:sz w:val="24"/>
                <w:lang w:bidi="ar"/>
              </w:rPr>
              <w:t xml:space="preserve">技术指标</w:t>
            </w:r>
            <w:r/>
          </w:p>
        </w:tc>
        <w:tc>
          <w:tcPr>
            <w:tcBorders>
              <w:top w:val="single" w:color="000000" w:sz="4" w:space="0"/>
              <w:left w:val="single" w:color="000000" w:sz="4" w:space="0"/>
              <w:bottom w:val="single" w:color="000000" w:sz="4" w:space="0"/>
              <w:right w:val="single" w:color="000000" w:sz="4" w:space="0"/>
            </w:tcBorders>
            <w:tcW w:w="5960" w:type="dxa"/>
            <w:vAlign w:val="center"/>
            <w:textDirection w:val="lrTb"/>
            <w:noWrap w:val="false"/>
          </w:tcPr>
          <w:p>
            <w:pPr>
              <w:jc w:val="left"/>
              <w:spacing w:line="360" w:lineRule="auto"/>
              <w:widowControl/>
              <w:rPr>
                <w:rFonts w:hint="eastAsia" w:ascii="宋体" w:hAnsi="宋体" w:cs="宋体"/>
                <w:b/>
                <w:bCs/>
                <w:color w:val="000000"/>
                <w:sz w:val="24"/>
              </w:rPr>
            </w:pPr>
            <w:r>
              <w:rPr>
                <w:rFonts w:ascii="宋体" w:hAnsi="宋体" w:cs="宋体"/>
                <w:b/>
                <w:bCs/>
                <w:color w:val="000000"/>
                <w:sz w:val="24"/>
                <w:lang w:bidi="ar"/>
              </w:rPr>
              <w:t xml:space="preserve">参数</w:t>
            </w:r>
            <w:r/>
          </w:p>
        </w:tc>
      </w:tr>
      <w:tr>
        <w:trPr>
          <w:trHeight w:val="1258"/>
        </w:trPr>
        <w:tc>
          <w:tcPr>
            <w:tcBorders>
              <w:top w:val="single" w:color="000000" w:sz="4" w:space="0"/>
              <w:left w:val="single" w:color="000000" w:sz="4" w:space="0"/>
              <w:right w:val="single" w:color="000000" w:sz="4" w:space="0"/>
            </w:tcBorders>
            <w:tcW w:w="1018" w:type="dxa"/>
            <w:vAlign w:val="center"/>
            <w:vMerge w:val="restart"/>
            <w:textDirection w:val="lrTb"/>
            <w:noWrap w:val="false"/>
          </w:tcPr>
          <w:p>
            <w:pPr>
              <w:jc w:val="center"/>
              <w:spacing w:line="360" w:lineRule="auto"/>
              <w:widowControl/>
              <w:rPr>
                <w:rFonts w:hint="eastAsia" w:ascii="宋体" w:hAnsi="宋体" w:cs="宋体"/>
                <w:color w:val="000000"/>
                <w:sz w:val="24"/>
                <w:lang w:bidi="ar"/>
              </w:rPr>
            </w:pPr>
            <w:r>
              <w:rPr>
                <w:rFonts w:ascii="宋体" w:hAnsi="宋体" w:cs="宋体"/>
                <w:color w:val="000000"/>
                <w:sz w:val="24"/>
                <w:lang w:bidi="ar"/>
              </w:rPr>
              <w:t xml:space="preserve">裸金属</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spacing w:line="360" w:lineRule="auto"/>
              <w:widowControl/>
              <w:rPr>
                <w:rFonts w:hint="eastAsia" w:ascii="宋体" w:hAnsi="宋体" w:cs="宋体"/>
                <w:color w:val="000000"/>
                <w:sz w:val="24"/>
                <w:lang w:bidi="ar"/>
              </w:rPr>
            </w:pPr>
            <w:r>
              <w:rPr>
                <w:rFonts w:ascii="宋体" w:hAnsi="宋体" w:cs="宋体"/>
                <w:color w:val="000000"/>
                <w:sz w:val="24"/>
                <w:lang w:bidi="ar"/>
              </w:rPr>
              <w:t xml:space="preserve">硬件参数</w:t>
            </w:r>
            <w:r/>
          </w:p>
        </w:tc>
        <w:tc>
          <w:tcPr>
            <w:tcBorders>
              <w:top w:val="single" w:color="000000" w:sz="4" w:space="0"/>
              <w:left w:val="single" w:color="000000" w:sz="4" w:space="0"/>
              <w:bottom w:val="single" w:color="000000" w:sz="4" w:space="0"/>
              <w:right w:val="single" w:color="000000" w:sz="4" w:space="0"/>
            </w:tcBorders>
            <w:tcW w:w="5960" w:type="dxa"/>
            <w:vAlign w:val="center"/>
            <w:textDirection w:val="lrTb"/>
            <w:noWrap w:val="false"/>
          </w:tcPr>
          <w:p>
            <w:pPr>
              <w:jc w:val="left"/>
              <w:spacing w:line="360" w:lineRule="auto"/>
              <w:widowControl/>
              <w:rPr>
                <w:rFonts w:hint="eastAsia" w:ascii="宋体" w:hAnsi="宋体" w:cs="宋体"/>
                <w:color w:val="000000"/>
                <w:sz w:val="24"/>
                <w:lang w:bidi="ar"/>
              </w:rPr>
            </w:pPr>
            <w:r>
              <w:rPr>
                <w:rFonts w:ascii="宋体" w:hAnsi="宋体" w:cs="宋体"/>
                <w:color w:val="000000"/>
                <w:sz w:val="24"/>
                <w:lang w:bidi="ar"/>
              </w:rPr>
              <w:t xml:space="preserve">裸金属硬件配置CPU</w:t>
            </w:r>
            <w:r>
              <w:rPr>
                <w:rFonts w:hint="eastAsia" w:ascii="宋体" w:hAnsi="宋体" w:cs="宋体"/>
                <w:color w:val="000000"/>
                <w:sz w:val="24"/>
                <w:lang w:bidi="ar"/>
              </w:rPr>
              <w:t xml:space="preserve">主频、核心数及性能不低于Intel Gold 5320或同等性能处理</w:t>
            </w:r>
            <w:r/>
          </w:p>
          <w:p>
            <w:pPr>
              <w:jc w:val="left"/>
              <w:spacing w:line="360" w:lineRule="auto"/>
              <w:widowControl/>
              <w:rPr>
                <w:rFonts w:ascii="Calibri" w:hAnsi="Calibri" w:cs="Times New Roman"/>
                <w:sz w:val="24"/>
                <w:szCs w:val="24"/>
              </w:rPr>
            </w:pPr>
            <w:r>
              <w:rPr>
                <w:rFonts w:hint="eastAsia" w:ascii="宋体" w:hAnsi="宋体" w:cs="宋体"/>
                <w:color w:val="000000"/>
                <w:sz w:val="24"/>
                <w:lang w:bidi="ar"/>
              </w:rPr>
              <w:t xml:space="preserve">器</w:t>
            </w:r>
            <w:r>
              <w:rPr>
                <w:rFonts w:ascii="宋体" w:hAnsi="宋体" w:cs="宋体"/>
                <w:color w:val="000000"/>
                <w:sz w:val="24"/>
                <w:lang w:bidi="ar"/>
              </w:rPr>
              <w:t xml:space="preserve"> 物理核数≥52核，内存≥512G，系统盘（SSD）≥960GB*2（RAID 1），数据盘（</w:t>
            </w:r>
            <w:r>
              <w:rPr>
                <w:rFonts w:ascii="宋体" w:hAnsi="宋体" w:cs="Times New Roman"/>
                <w:sz w:val="24"/>
              </w:rPr>
              <w:t xml:space="preserve">SSD</w:t>
            </w:r>
            <w:r>
              <w:rPr>
                <w:rFonts w:ascii="宋体" w:hAnsi="宋体" w:cs="宋体"/>
                <w:color w:val="000000"/>
                <w:sz w:val="24"/>
                <w:lang w:bidi="ar"/>
              </w:rPr>
              <w:t xml:space="preserve">）≥</w:t>
            </w:r>
            <w:r>
              <w:rPr>
                <w:rFonts w:ascii="宋体" w:hAnsi="宋体" w:cs="Times New Roman"/>
                <w:sz w:val="24"/>
              </w:rPr>
              <w:t xml:space="preserve">3.84TB*12 （RAID5）</w:t>
            </w:r>
            <w:r/>
          </w:p>
        </w:tc>
      </w:tr>
      <w:tr>
        <w:trPr>
          <w:trHeight w:val="1258"/>
        </w:trPr>
        <w:tc>
          <w:tcPr>
            <w:tcBorders>
              <w:left w:val="single" w:color="000000" w:sz="4" w:space="0"/>
              <w:right w:val="single" w:color="000000" w:sz="4" w:space="0"/>
            </w:tcBorders>
            <w:tcW w:w="1018" w:type="dxa"/>
            <w:vAlign w:val="center"/>
            <w:vMerge w:val="continue"/>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spacing w:line="360" w:lineRule="auto"/>
              <w:widowControl/>
              <w:rPr>
                <w:rFonts w:hint="eastAsia" w:ascii="宋体" w:hAnsi="宋体" w:cs="宋体"/>
                <w:color w:val="000000"/>
                <w:sz w:val="24"/>
              </w:rPr>
            </w:pPr>
            <w:r>
              <w:rPr>
                <w:rFonts w:ascii="宋体" w:hAnsi="宋体" w:cs="宋体"/>
                <w:color w:val="000000"/>
                <w:sz w:val="24"/>
                <w:lang w:bidi="ar"/>
              </w:rPr>
              <w:t xml:space="preserve">自定义实例初始化</w:t>
            </w:r>
            <w:r/>
          </w:p>
        </w:tc>
        <w:tc>
          <w:tcPr>
            <w:tcBorders>
              <w:top w:val="single" w:color="000000" w:sz="4" w:space="0"/>
              <w:left w:val="single" w:color="000000" w:sz="4" w:space="0"/>
              <w:bottom w:val="single" w:color="000000" w:sz="4" w:space="0"/>
              <w:right w:val="single" w:color="000000" w:sz="4" w:space="0"/>
            </w:tcBorders>
            <w:tcW w:w="5960" w:type="dxa"/>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lang w:bidi="ar"/>
              </w:rPr>
              <w:t xml:space="preserve">可自由选择裸金属规格、操作系统类型、网卡bond模式、专有网络VPC、弹性公网IP以及设置实例名称、登录密码等。</w:t>
            </w:r>
            <w:r/>
          </w:p>
        </w:tc>
      </w:tr>
      <w:tr>
        <w:trPr>
          <w:trHeight w:val="946"/>
        </w:trPr>
        <w:tc>
          <w:tcPr>
            <w:tcBorders>
              <w:left w:val="single" w:color="000000" w:sz="4" w:space="0"/>
              <w:right w:val="single" w:color="000000" w:sz="4" w:space="0"/>
            </w:tcBorders>
            <w:tcW w:w="1018" w:type="dxa"/>
            <w:vAlign w:val="center"/>
            <w:vMerge w:val="continue"/>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spacing w:line="360" w:lineRule="auto"/>
              <w:widowControl/>
              <w:rPr>
                <w:rFonts w:hint="eastAsia" w:ascii="宋体" w:hAnsi="宋体" w:cs="宋体"/>
                <w:color w:val="000000"/>
                <w:sz w:val="24"/>
              </w:rPr>
            </w:pPr>
            <w:r>
              <w:rPr>
                <w:rFonts w:ascii="宋体" w:hAnsi="宋体" w:cs="宋体"/>
                <w:color w:val="000000"/>
                <w:sz w:val="24"/>
                <w:lang w:bidi="ar"/>
              </w:rPr>
              <w:t xml:space="preserve">实例操作</w:t>
            </w:r>
            <w:r/>
          </w:p>
        </w:tc>
        <w:tc>
          <w:tcPr>
            <w:tcBorders>
              <w:top w:val="single" w:color="000000" w:sz="4" w:space="0"/>
              <w:left w:val="single" w:color="000000" w:sz="4" w:space="0"/>
              <w:bottom w:val="single" w:color="000000" w:sz="4" w:space="0"/>
              <w:right w:val="single" w:color="000000" w:sz="4" w:space="0"/>
            </w:tcBorders>
            <w:tcW w:w="5960" w:type="dxa"/>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lang w:bidi="ar"/>
              </w:rPr>
              <w:t xml:space="preserve">密码重置、修改以及创建、查询、开机、关机、重启、销毁操作，支持对实例的操作系统进行更换、格式化，配置实例的自定义标签</w:t>
            </w:r>
            <w:r/>
          </w:p>
        </w:tc>
      </w:tr>
      <w:tr>
        <w:trPr>
          <w:trHeight w:val="760"/>
        </w:trPr>
        <w:tc>
          <w:tcPr>
            <w:tcBorders>
              <w:left w:val="single" w:color="000000" w:sz="4" w:space="0"/>
              <w:right w:val="single" w:color="000000" w:sz="4" w:space="0"/>
            </w:tcBorders>
            <w:tcW w:w="1018" w:type="dxa"/>
            <w:vAlign w:val="center"/>
            <w:vMerge w:val="continue"/>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spacing w:line="360" w:lineRule="auto"/>
              <w:widowControl/>
              <w:rPr>
                <w:rFonts w:hint="eastAsia" w:ascii="宋体" w:hAnsi="宋体" w:cs="宋体"/>
                <w:color w:val="000000"/>
                <w:sz w:val="24"/>
              </w:rPr>
            </w:pPr>
            <w:r>
              <w:rPr>
                <w:rFonts w:ascii="宋体" w:hAnsi="宋体" w:cs="宋体"/>
                <w:color w:val="000000"/>
                <w:sz w:val="24"/>
                <w:lang w:bidi="ar"/>
              </w:rPr>
              <w:t xml:space="preserve">IPv4/IPv6双栈配置</w:t>
            </w:r>
            <w:r/>
          </w:p>
        </w:tc>
        <w:tc>
          <w:tcPr>
            <w:tcBorders>
              <w:top w:val="single" w:color="000000" w:sz="4" w:space="0"/>
              <w:left w:val="single" w:color="000000" w:sz="4" w:space="0"/>
              <w:bottom w:val="single" w:color="000000" w:sz="4" w:space="0"/>
              <w:right w:val="single" w:color="000000" w:sz="4" w:space="0"/>
            </w:tcBorders>
            <w:tcW w:w="5960" w:type="dxa"/>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lang w:bidi="ar"/>
              </w:rPr>
              <w:t xml:space="preserve">支持IPv4地址协议和配置、支持IPv6地址协议和配置，创建实例时，手动配置内网IP、IP地址占用校验</w:t>
            </w:r>
            <w:r/>
          </w:p>
        </w:tc>
      </w:tr>
      <w:tr>
        <w:trPr>
          <w:trHeight w:val="634"/>
        </w:trPr>
        <w:tc>
          <w:tcPr>
            <w:tcBorders>
              <w:left w:val="single" w:color="000000" w:sz="4" w:space="0"/>
              <w:right w:val="single" w:color="000000" w:sz="4" w:space="0"/>
            </w:tcBorders>
            <w:tcW w:w="1018" w:type="dxa"/>
            <w:vAlign w:val="center"/>
            <w:vMerge w:val="continue"/>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spacing w:line="360" w:lineRule="auto"/>
              <w:widowControl/>
              <w:rPr>
                <w:rFonts w:hint="eastAsia" w:ascii="宋体" w:hAnsi="宋体" w:cs="宋体"/>
                <w:color w:val="000000"/>
                <w:sz w:val="24"/>
              </w:rPr>
            </w:pPr>
            <w:r>
              <w:rPr>
                <w:rFonts w:ascii="宋体" w:hAnsi="宋体" w:cs="宋体"/>
                <w:color w:val="000000"/>
                <w:sz w:val="24"/>
                <w:lang w:bidi="ar"/>
              </w:rPr>
              <w:t xml:space="preserve">VNC远程控制</w:t>
            </w:r>
            <w:r/>
          </w:p>
        </w:tc>
        <w:tc>
          <w:tcPr>
            <w:tcBorders>
              <w:top w:val="single" w:color="000000" w:sz="4" w:space="0"/>
              <w:left w:val="single" w:color="000000" w:sz="4" w:space="0"/>
              <w:bottom w:val="single" w:color="000000" w:sz="4" w:space="0"/>
              <w:right w:val="single" w:color="000000" w:sz="4" w:space="0"/>
            </w:tcBorders>
            <w:tcW w:w="5960" w:type="dxa"/>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lang w:bidi="ar"/>
              </w:rPr>
              <w:t xml:space="preserve">远程连接（VNC）实例，查看操作界面的实时状态</w:t>
            </w:r>
            <w:r/>
          </w:p>
        </w:tc>
      </w:tr>
      <w:tr>
        <w:trPr>
          <w:trHeight w:val="322"/>
        </w:trPr>
        <w:tc>
          <w:tcPr>
            <w:tcBorders>
              <w:left w:val="single" w:color="000000" w:sz="4" w:space="0"/>
              <w:right w:val="single" w:color="000000" w:sz="4" w:space="0"/>
            </w:tcBorders>
            <w:tcW w:w="1018" w:type="dxa"/>
            <w:vAlign w:val="center"/>
            <w:vMerge w:val="continue"/>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spacing w:line="360" w:lineRule="auto"/>
              <w:widowControl/>
              <w:rPr>
                <w:rFonts w:hint="eastAsia" w:ascii="宋体" w:hAnsi="宋体" w:cs="宋体"/>
                <w:color w:val="000000"/>
                <w:sz w:val="24"/>
              </w:rPr>
            </w:pPr>
            <w:r>
              <w:rPr>
                <w:rFonts w:ascii="宋体" w:hAnsi="宋体" w:cs="宋体"/>
                <w:color w:val="000000"/>
                <w:sz w:val="24"/>
                <w:lang w:bidi="ar"/>
              </w:rPr>
              <w:t xml:space="preserve">实例查询</w:t>
            </w:r>
            <w:r/>
          </w:p>
        </w:tc>
        <w:tc>
          <w:tcPr>
            <w:tcBorders>
              <w:top w:val="single" w:color="000000" w:sz="4" w:space="0"/>
              <w:left w:val="single" w:color="000000" w:sz="4" w:space="0"/>
              <w:bottom w:val="single" w:color="000000" w:sz="4" w:space="0"/>
              <w:right w:val="single" w:color="000000" w:sz="4" w:space="0"/>
            </w:tcBorders>
            <w:tcW w:w="5960" w:type="dxa"/>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lang w:bidi="ar"/>
              </w:rPr>
              <w:t xml:space="preserve">根据实例信息的单项、多项信息进行查询</w:t>
            </w:r>
            <w:r/>
          </w:p>
        </w:tc>
      </w:tr>
      <w:tr>
        <w:trPr>
          <w:trHeight w:val="322"/>
        </w:trPr>
        <w:tc>
          <w:tcPr>
            <w:tcBorders>
              <w:left w:val="single" w:color="000000" w:sz="4" w:space="0"/>
              <w:bottom w:val="single" w:color="000000" w:sz="4" w:space="0"/>
              <w:right w:val="single" w:color="000000" w:sz="4" w:space="0"/>
            </w:tcBorders>
            <w:tcW w:w="1018" w:type="dxa"/>
            <w:vAlign w:val="center"/>
            <w:vMerge w:val="continue"/>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spacing w:line="360" w:lineRule="auto"/>
              <w:widowControl/>
              <w:rPr>
                <w:rFonts w:hint="eastAsia" w:ascii="宋体" w:hAnsi="宋体" w:cs="宋体"/>
                <w:color w:val="000000"/>
                <w:sz w:val="24"/>
              </w:rPr>
            </w:pPr>
            <w:r>
              <w:rPr>
                <w:rFonts w:ascii="宋体" w:hAnsi="宋体" w:cs="宋体"/>
                <w:color w:val="000000"/>
                <w:sz w:val="24"/>
                <w:lang w:bidi="ar"/>
              </w:rPr>
              <w:t xml:space="preserve">监控告警</w:t>
            </w:r>
            <w:r/>
          </w:p>
        </w:tc>
        <w:tc>
          <w:tcPr>
            <w:tcBorders>
              <w:top w:val="single" w:color="000000" w:sz="4" w:space="0"/>
              <w:left w:val="single" w:color="000000" w:sz="4" w:space="0"/>
              <w:bottom w:val="single" w:color="000000" w:sz="4" w:space="0"/>
              <w:right w:val="single" w:color="000000" w:sz="4" w:space="0"/>
            </w:tcBorders>
            <w:tcW w:w="5960" w:type="dxa"/>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lang w:bidi="ar"/>
              </w:rPr>
              <w:t xml:space="preserve">实例CPU、内存、网络、磁盘等全量实例监控</w:t>
            </w:r>
            <w:r/>
          </w:p>
        </w:tc>
      </w:tr>
    </w:tbl>
    <w:p>
      <w:pPr>
        <w:numPr>
          <w:ilvl w:val="3"/>
          <w:numId w:val="0"/>
        </w:numPr>
        <w:jc w:val="left"/>
        <w:keepLines/>
        <w:keepNext/>
        <w:spacing w:before="80" w:after="40" w:line="360" w:lineRule="auto"/>
        <w:tabs>
          <w:tab w:val="left" w:pos="0" w:leader="none"/>
        </w:tabs>
        <w:rPr>
          <w:rFonts w:ascii="Calibri" w:hAnsi="Calibri" w:cs="Times New Roman"/>
          <w:color w:val="2d53a0"/>
          <w:sz w:val="28"/>
          <w:szCs w:val="28"/>
        </w:rPr>
        <w:outlineLvl w:val="3"/>
      </w:pPr>
      <w:r>
        <w:rPr>
          <w:rFonts w:ascii="Calibri" w:hAnsi="Calibri" w:cs="Times New Roman"/>
          <w:color w:val="2d53a0"/>
          <w:sz w:val="28"/>
          <w:szCs w:val="28"/>
        </w:rPr>
        <w:t xml:space="preserve">2.2.2</w:t>
      </w:r>
      <w:r>
        <w:rPr>
          <w:rFonts w:ascii="Calibri" w:hAnsi="Calibri" w:cs="Times New Roman"/>
          <w:color w:val="2d53a0"/>
          <w:sz w:val="28"/>
          <w:szCs w:val="28"/>
        </w:rPr>
        <w:t xml:space="preserve">云平台</w:t>
      </w:r>
      <w:r/>
    </w:p>
    <w:tbl>
      <w:tblPr>
        <w:tblW w:w="4998" w:type="pct"/>
        <w:tblLook w:val="04A0" w:firstRow="1" w:lastRow="0" w:firstColumn="1" w:lastColumn="0" w:noHBand="0" w:noVBand="1"/>
      </w:tblPr>
      <w:tblGrid>
        <w:gridCol w:w="1653"/>
        <w:gridCol w:w="1307"/>
        <w:gridCol w:w="6205"/>
      </w:tblGrid>
      <w:tr>
        <w:trPr>
          <w:trHeight w:val="710"/>
        </w:trPr>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60" w:lineRule="auto"/>
              <w:widowControl/>
              <w:rPr>
                <w:rFonts w:hint="eastAsia" w:ascii="宋体" w:hAnsi="宋体" w:cs="Times New Roman"/>
                <w:b/>
                <w:sz w:val="24"/>
                <w:szCs w:val="24"/>
              </w:rPr>
            </w:pPr>
            <w:r>
              <w:rPr>
                <w:rFonts w:ascii="宋体" w:hAnsi="宋体" w:cs="Times New Roman"/>
                <w:b/>
                <w:sz w:val="24"/>
                <w:szCs w:val="24"/>
              </w:rPr>
              <w:t xml:space="preserve">服务类别</w:t>
            </w:r>
            <w:r/>
          </w:p>
        </w:tc>
        <w:tc>
          <w:tcPr>
            <w:tcBorders>
              <w:top w:val="single" w:color="auto"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
                <w:sz w:val="24"/>
                <w:szCs w:val="24"/>
              </w:rPr>
            </w:pPr>
            <w:r>
              <w:rPr>
                <w:rFonts w:ascii="宋体" w:hAnsi="宋体" w:cs="Times New Roman"/>
                <w:b/>
                <w:sz w:val="24"/>
                <w:szCs w:val="24"/>
              </w:rPr>
              <w:t xml:space="preserve">技术指标</w:t>
            </w:r>
            <w:r/>
          </w:p>
        </w:tc>
        <w:tc>
          <w:tcPr>
            <w:tcBorders>
              <w:top w:val="single" w:color="auto" w:sz="4" w:space="0"/>
              <w:left w:val="none" w:color="000000" w:sz="4" w:space="0"/>
              <w:bottom w:val="single" w:color="auto" w:sz="4" w:space="0"/>
              <w:right w:val="single" w:color="auto" w:sz="4" w:space="0"/>
            </w:tcBorders>
            <w:tcW w:w="3384" w:type="pct"/>
            <w:vAlign w:val="center"/>
            <w:textDirection w:val="lrTb"/>
            <w:noWrap w:val="false"/>
          </w:tcPr>
          <w:p>
            <w:pPr>
              <w:jc w:val="center"/>
              <w:spacing w:line="360" w:lineRule="auto"/>
              <w:widowControl/>
              <w:rPr>
                <w:rFonts w:hint="eastAsia" w:ascii="宋体" w:hAnsi="宋体" w:cs="Times New Roman"/>
                <w:b/>
                <w:sz w:val="24"/>
                <w:szCs w:val="24"/>
              </w:rPr>
            </w:pPr>
            <w:r>
              <w:rPr>
                <w:rFonts w:ascii="宋体" w:hAnsi="宋体" w:cs="Times New Roman"/>
                <w:b/>
                <w:sz w:val="24"/>
                <w:szCs w:val="24"/>
              </w:rPr>
              <w:t xml:space="preserve">技术要求</w:t>
            </w:r>
            <w:r/>
          </w:p>
        </w:tc>
      </w:tr>
      <w:tr>
        <w:trPr>
          <w:trHeight w:val="570"/>
        </w:trPr>
        <w:tc>
          <w:tcPr>
            <w:tcBorders>
              <w:top w:val="none" w:color="000000" w:sz="4" w:space="0"/>
              <w:left w:val="single" w:color="auto" w:sz="4" w:space="0"/>
              <w:bottom w:val="none" w:color="000000" w:sz="4" w:space="0"/>
              <w:right w:val="single" w:color="auto" w:sz="4" w:space="0"/>
            </w:tcBorders>
            <w:tcW w:w="901" w:type="pct"/>
            <w:vAlign w:val="center"/>
            <w:vMerge w:val="restart"/>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云服务平台</w:t>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技术路线</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云管理平台软件需自主可控。 </w:t>
            </w:r>
            <w:r/>
          </w:p>
        </w:tc>
      </w:tr>
      <w:tr>
        <w:trPr>
          <w:trHeight w:val="570"/>
        </w:trPr>
        <w:tc>
          <w:tcPr>
            <w:tcBorders>
              <w:top w:val="none" w:color="000000" w:sz="4" w:space="0"/>
              <w:left w:val="single" w:color="auto" w:sz="4" w:space="0"/>
              <w:bottom w:val="none" w:color="000000" w:sz="4" w:space="0"/>
              <w:right w:val="single" w:color="auto" w:sz="4" w:space="0"/>
            </w:tcBorders>
            <w:tcW w:w="901" w:type="pct"/>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信息安全等级保护</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trike/>
                <w:sz w:val="24"/>
                <w:szCs w:val="24"/>
              </w:rPr>
            </w:pPr>
            <w:r>
              <w:rPr>
                <w:rFonts w:ascii="宋体" w:hAnsi="宋体" w:cs="Times New Roman"/>
                <w:bCs/>
                <w:sz w:val="24"/>
                <w:szCs w:val="24"/>
              </w:rPr>
              <w:t xml:space="preserve">▲云服务平台通过信息安全等级保护三级及以上测评（</w:t>
            </w:r>
            <w:r>
              <w:rPr>
                <w:rFonts w:hint="eastAsia" w:ascii="宋体" w:hAnsi="宋体" w:cs="Times New Roman"/>
                <w:bCs/>
                <w:sz w:val="24"/>
                <w:szCs w:val="24"/>
              </w:rPr>
              <w:t xml:space="preserve">提供信息安全等级保护三级及以上测评证书清晰复印件</w:t>
            </w:r>
            <w:r>
              <w:rPr>
                <w:rFonts w:ascii="宋体" w:hAnsi="宋体" w:cs="Times New Roman"/>
                <w:bCs/>
                <w:sz w:val="24"/>
                <w:szCs w:val="24"/>
              </w:rPr>
              <w:t xml:space="preserve">，并加盖服务提供商公章）。</w:t>
            </w:r>
            <w:r/>
          </w:p>
        </w:tc>
      </w:tr>
      <w:tr>
        <w:trPr>
          <w:trHeight w:val="660"/>
        </w:trPr>
        <w:tc>
          <w:tcPr>
            <w:tcBorders>
              <w:top w:val="none" w:color="000000" w:sz="4" w:space="0"/>
              <w:left w:val="single" w:color="auto" w:sz="4" w:space="0"/>
              <w:bottom w:val="none" w:color="000000" w:sz="4" w:space="0"/>
              <w:right w:val="single" w:color="auto" w:sz="4" w:space="0"/>
            </w:tcBorders>
            <w:tcW w:w="901" w:type="pct"/>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监控分析</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云管理平台软件需对用户使用的资源如虚拟机、存储、IP、负载均衡、虚拟网络等资源的使用做到精细化管理并提供统计分析功能。</w:t>
            </w:r>
            <w:r/>
          </w:p>
        </w:tc>
      </w:tr>
      <w:tr>
        <w:trPr>
          <w:trHeight w:val="795"/>
        </w:trPr>
        <w:tc>
          <w:tcPr>
            <w:tcBorders>
              <w:top w:val="none" w:color="000000" w:sz="4" w:space="0"/>
              <w:left w:val="single" w:color="auto" w:sz="4" w:space="0"/>
              <w:bottom w:val="none" w:color="000000" w:sz="4" w:space="0"/>
              <w:right w:val="single" w:color="auto" w:sz="4" w:space="0"/>
            </w:tcBorders>
            <w:tcW w:w="901" w:type="pct"/>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自助管理</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支持用户自助管理，查看已申请的虚拟资源信息：虚拟机名称、描述、资源配置、操作系统、IP地址、申请时间、虚拟机运行状态。</w:t>
            </w:r>
            <w:r/>
          </w:p>
        </w:tc>
      </w:tr>
      <w:tr>
        <w:trPr>
          <w:trHeight w:val="825"/>
        </w:trPr>
        <w:tc>
          <w:tcPr>
            <w:tcBorders>
              <w:top w:val="none" w:color="000000" w:sz="4" w:space="0"/>
              <w:left w:val="single" w:color="auto" w:sz="4" w:space="0"/>
              <w:bottom w:val="none" w:color="000000" w:sz="4" w:space="0"/>
              <w:right w:val="single" w:color="auto" w:sz="4" w:space="0"/>
            </w:tcBorders>
            <w:tcW w:w="901" w:type="pct"/>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生命周期管理</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密码重置、修改以及创建、查询、开机、关机、重启、销毁多台实例的批量操作，支持对实例的操作系</w:t>
            </w:r>
            <w:r>
              <w:rPr>
                <w:rFonts w:ascii="宋体" w:hAnsi="宋体" w:cs="Times New Roman"/>
                <w:bCs/>
                <w:sz w:val="24"/>
                <w:szCs w:val="24"/>
              </w:rPr>
              <w:br/>
              <w:t xml:space="preserve">统进行更换、格式化，配置实例的自定义标签</w:t>
            </w:r>
            <w:r/>
          </w:p>
        </w:tc>
      </w:tr>
      <w:tr>
        <w:trPr>
          <w:trHeight w:val="840"/>
        </w:trPr>
        <w:tc>
          <w:tcPr>
            <w:tcBorders>
              <w:top w:val="none" w:color="000000" w:sz="4" w:space="0"/>
              <w:left w:val="single" w:color="auto" w:sz="4" w:space="0"/>
              <w:bottom w:val="none" w:color="000000" w:sz="4" w:space="0"/>
              <w:right w:val="single" w:color="auto" w:sz="4" w:space="0"/>
            </w:tcBorders>
            <w:tcW w:w="901" w:type="pct"/>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操作系统</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虚拟机平台需要支持主流的X86架构的操作系统。</w:t>
            </w:r>
            <w:r/>
          </w:p>
        </w:tc>
      </w:tr>
      <w:tr>
        <w:trPr>
          <w:trHeight w:val="840"/>
        </w:trPr>
        <w:tc>
          <w:tcPr>
            <w:tcBorders>
              <w:top w:val="none" w:color="000000" w:sz="4" w:space="0"/>
              <w:left w:val="single" w:color="auto" w:sz="4" w:space="0"/>
              <w:bottom w:val="none" w:color="000000" w:sz="4" w:space="0"/>
              <w:right w:val="single" w:color="auto" w:sz="4" w:space="0"/>
            </w:tcBorders>
            <w:tcW w:w="901" w:type="pct"/>
            <w:vAlign w:val="center"/>
            <w:vMerge w:val="restart"/>
            <w:textDirection w:val="lrTb"/>
            <w:noWrap w:val="false"/>
          </w:tcPr>
          <w:p>
            <w:pPr>
              <w:jc w:val="center"/>
              <w:spacing w:line="360" w:lineRule="auto"/>
              <w:widowControl/>
              <w:rPr>
                <w:rFonts w:hint="eastAsia" w:ascii="宋体" w:hAnsi="宋体" w:cs="Times New Roman"/>
                <w:bCs/>
                <w:color w:val="000000"/>
                <w:sz w:val="24"/>
                <w:szCs w:val="24"/>
              </w:rPr>
            </w:pPr>
            <w:r>
              <w:rPr>
                <w:rFonts w:ascii="宋体" w:hAnsi="宋体" w:cs="Times New Roman"/>
                <w:bCs/>
                <w:color w:val="000000"/>
                <w:sz w:val="24"/>
                <w:szCs w:val="24"/>
              </w:rPr>
              <w:t xml:space="preserve">运维监控</w:t>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统一监控</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OpenStack底层各个组件的运行状态，可以对vCPU、内存、存储、云服务器、IP、VPC、路由器等虚拟化信息和服务器设备、网络设备、安全设备等物理信息的监控</w:t>
            </w:r>
            <w:r/>
          </w:p>
        </w:tc>
      </w:tr>
      <w:tr>
        <w:trPr>
          <w:trHeight w:val="840"/>
        </w:trPr>
        <w:tc>
          <w:tcPr>
            <w:tcBorders>
              <w:top w:val="none" w:color="000000" w:sz="4" w:space="0"/>
              <w:left w:val="single" w:color="auto" w:sz="4" w:space="0"/>
              <w:bottom w:val="none" w:color="000000" w:sz="4" w:space="0"/>
              <w:right w:val="single" w:color="auto" w:sz="4" w:space="0"/>
            </w:tcBorders>
            <w:tcW w:w="901" w:type="pct"/>
            <w:vAlign w:val="center"/>
            <w:vMerge w:val="continue"/>
            <w:textDirection w:val="lrTb"/>
            <w:noWrap w:val="false"/>
          </w:tcPr>
          <w:p>
            <w:pPr>
              <w:jc w:val="left"/>
              <w:spacing w:line="360" w:lineRule="auto"/>
              <w:widowControl/>
              <w:rPr>
                <w:rFonts w:hint="eastAsia" w:ascii="宋体" w:hAnsi="宋体" w:cs="Times New Roman"/>
                <w:bCs/>
                <w:color w:val="000000"/>
                <w:sz w:val="24"/>
                <w:szCs w:val="24"/>
              </w:rPr>
            </w:pPr>
            <w:r>
              <w:rPr>
                <w:rFonts w:hint="eastAsia" w:ascii="宋体" w:hAnsi="宋体" w:cs="Times New Roman"/>
                <w:bCs/>
                <w:color w:val="000000"/>
                <w:sz w:val="24"/>
                <w:szCs w:val="24"/>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资源视图</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资源池的资源信息的各项性能、使用率等监控</w:t>
            </w:r>
            <w:r/>
          </w:p>
        </w:tc>
      </w:tr>
      <w:tr>
        <w:trPr>
          <w:trHeight w:val="840"/>
        </w:trPr>
        <w:tc>
          <w:tcPr>
            <w:tcBorders>
              <w:top w:val="none" w:color="000000" w:sz="4" w:space="0"/>
              <w:left w:val="single" w:color="auto" w:sz="4" w:space="0"/>
              <w:bottom w:val="none" w:color="000000" w:sz="4" w:space="0"/>
              <w:right w:val="single" w:color="auto" w:sz="4" w:space="0"/>
            </w:tcBorders>
            <w:tcW w:w="901" w:type="pct"/>
            <w:vAlign w:val="center"/>
            <w:vMerge w:val="continue"/>
            <w:textDirection w:val="lrTb"/>
            <w:noWrap w:val="false"/>
          </w:tcPr>
          <w:p>
            <w:pPr>
              <w:jc w:val="left"/>
              <w:spacing w:line="360" w:lineRule="auto"/>
              <w:widowControl/>
              <w:rPr>
                <w:rFonts w:hint="eastAsia" w:ascii="宋体" w:hAnsi="宋体" w:cs="Times New Roman"/>
                <w:bCs/>
                <w:color w:val="000000"/>
                <w:sz w:val="24"/>
                <w:szCs w:val="24"/>
              </w:rPr>
            </w:pPr>
            <w:r>
              <w:rPr>
                <w:rFonts w:hint="eastAsia" w:ascii="宋体" w:hAnsi="宋体" w:cs="Times New Roman"/>
                <w:bCs/>
                <w:color w:val="000000"/>
                <w:sz w:val="24"/>
                <w:szCs w:val="24"/>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设备视图</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物理服务器（裸金属服务器、宿主机和管理服务器）、网络设备、存储设备等硬件资源的各项性能、使用率等监控</w:t>
            </w:r>
            <w:r/>
          </w:p>
        </w:tc>
      </w:tr>
      <w:tr>
        <w:trPr>
          <w:trHeight w:val="840"/>
        </w:trPr>
        <w:tc>
          <w:tcPr>
            <w:tcBorders>
              <w:top w:val="none" w:color="000000" w:sz="4" w:space="0"/>
              <w:left w:val="single" w:color="auto" w:sz="4" w:space="0"/>
              <w:bottom w:val="none" w:color="000000" w:sz="4" w:space="0"/>
              <w:right w:val="single" w:color="auto" w:sz="4" w:space="0"/>
            </w:tcBorders>
            <w:tcW w:w="901" w:type="pct"/>
            <w:vAlign w:val="center"/>
            <w:vMerge w:val="continue"/>
            <w:textDirection w:val="lrTb"/>
            <w:noWrap w:val="false"/>
          </w:tcPr>
          <w:p>
            <w:pPr>
              <w:jc w:val="left"/>
              <w:spacing w:line="360" w:lineRule="auto"/>
              <w:widowControl/>
              <w:rPr>
                <w:rFonts w:hint="eastAsia" w:ascii="宋体" w:hAnsi="宋体" w:cs="Times New Roman"/>
                <w:bCs/>
                <w:color w:val="000000"/>
                <w:sz w:val="24"/>
                <w:szCs w:val="24"/>
              </w:rPr>
            </w:pPr>
            <w:r>
              <w:rPr>
                <w:rFonts w:hint="eastAsia" w:ascii="宋体" w:hAnsi="宋体" w:cs="Times New Roman"/>
                <w:bCs/>
                <w:color w:val="000000"/>
                <w:sz w:val="24"/>
                <w:szCs w:val="24"/>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告警信息</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展示指标类（CPU、内存和存储设置阈值）和事件类（虚机监控不到数据、网络不通等）告警信息</w:t>
            </w:r>
            <w:r/>
          </w:p>
        </w:tc>
      </w:tr>
      <w:tr>
        <w:trPr>
          <w:trHeight w:val="840"/>
        </w:trPr>
        <w:tc>
          <w:tcPr>
            <w:tcBorders>
              <w:top w:val="none" w:color="000000" w:sz="4" w:space="0"/>
              <w:left w:val="single" w:color="auto" w:sz="4" w:space="0"/>
              <w:bottom w:val="none" w:color="000000" w:sz="4" w:space="0"/>
              <w:right w:val="single" w:color="auto" w:sz="4" w:space="0"/>
            </w:tcBorders>
            <w:tcW w:w="901" w:type="pct"/>
            <w:vAlign w:val="center"/>
            <w:vMerge w:val="continue"/>
            <w:textDirection w:val="lrTb"/>
            <w:noWrap w:val="false"/>
          </w:tcPr>
          <w:p>
            <w:pPr>
              <w:jc w:val="left"/>
              <w:spacing w:line="360" w:lineRule="auto"/>
              <w:widowControl/>
              <w:rPr>
                <w:rFonts w:hint="eastAsia" w:ascii="宋体" w:hAnsi="宋体" w:cs="Times New Roman"/>
                <w:bCs/>
                <w:color w:val="000000"/>
                <w:sz w:val="24"/>
                <w:szCs w:val="24"/>
              </w:rPr>
            </w:pPr>
            <w:r>
              <w:rPr>
                <w:rFonts w:hint="eastAsia" w:ascii="宋体" w:hAnsi="宋体" w:cs="Times New Roman"/>
                <w:bCs/>
                <w:color w:val="000000"/>
                <w:sz w:val="24"/>
                <w:szCs w:val="24"/>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告警规则配置</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指标类告警和事件类告警规则进行配置</w:t>
            </w:r>
            <w:r/>
          </w:p>
        </w:tc>
      </w:tr>
      <w:tr>
        <w:trPr>
          <w:trHeight w:val="619"/>
        </w:trPr>
        <w:tc>
          <w:tcPr>
            <w:tcBorders>
              <w:top w:val="none" w:color="000000" w:sz="4" w:space="0"/>
              <w:left w:val="single" w:color="auto" w:sz="4" w:space="0"/>
              <w:bottom w:val="none" w:color="000000" w:sz="4" w:space="0"/>
              <w:right w:val="single" w:color="auto" w:sz="4" w:space="0"/>
            </w:tcBorders>
            <w:tcW w:w="901" w:type="pct"/>
            <w:vAlign w:val="center"/>
            <w:vMerge w:val="continue"/>
            <w:textDirection w:val="lrTb"/>
            <w:noWrap w:val="false"/>
          </w:tcPr>
          <w:p>
            <w:pPr>
              <w:jc w:val="left"/>
              <w:spacing w:line="360" w:lineRule="auto"/>
              <w:widowControl/>
              <w:rPr>
                <w:rFonts w:hint="eastAsia" w:ascii="宋体" w:hAnsi="宋体" w:cs="Times New Roman"/>
                <w:bCs/>
                <w:color w:val="000000"/>
                <w:sz w:val="24"/>
                <w:szCs w:val="24"/>
              </w:rPr>
            </w:pPr>
            <w:r>
              <w:rPr>
                <w:rFonts w:hint="eastAsia" w:ascii="宋体" w:hAnsi="宋体" w:cs="Times New Roman"/>
                <w:bCs/>
                <w:color w:val="000000"/>
                <w:sz w:val="24"/>
                <w:szCs w:val="24"/>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任务故障</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通过任务故障功能将告警任务生成工单，通过工单流程处理告警信息</w:t>
            </w:r>
            <w:r/>
          </w:p>
        </w:tc>
      </w:tr>
      <w:tr>
        <w:trPr>
          <w:trHeight w:val="840"/>
        </w:trPr>
        <w:tc>
          <w:tcPr>
            <w:tcBorders>
              <w:top w:val="none" w:color="000000" w:sz="4" w:space="0"/>
              <w:left w:val="single" w:color="auto" w:sz="4" w:space="0"/>
              <w:bottom w:val="none" w:color="000000" w:sz="4" w:space="0"/>
              <w:right w:val="single" w:color="auto" w:sz="4" w:space="0"/>
            </w:tcBorders>
            <w:tcW w:w="901" w:type="pct"/>
            <w:vAlign w:val="center"/>
            <w:vMerge w:val="continue"/>
            <w:textDirection w:val="lrTb"/>
            <w:noWrap w:val="false"/>
          </w:tcPr>
          <w:p>
            <w:pPr>
              <w:jc w:val="left"/>
              <w:spacing w:line="360" w:lineRule="auto"/>
              <w:widowControl/>
              <w:rPr>
                <w:rFonts w:hint="eastAsia" w:ascii="宋体" w:hAnsi="宋体" w:cs="Times New Roman"/>
                <w:bCs/>
                <w:color w:val="000000"/>
                <w:sz w:val="24"/>
                <w:szCs w:val="24"/>
              </w:rPr>
            </w:pPr>
            <w:r>
              <w:rPr>
                <w:rFonts w:hint="eastAsia" w:ascii="宋体" w:hAnsi="宋体" w:cs="Times New Roman"/>
                <w:bCs/>
                <w:color w:val="000000"/>
                <w:sz w:val="24"/>
                <w:szCs w:val="24"/>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基础资源</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机房、机架、服务器、网络设备、网卡、链路、网络出口、公网IP、端口等基础资源进行管理</w:t>
            </w:r>
            <w:r/>
          </w:p>
        </w:tc>
      </w:tr>
      <w:tr>
        <w:trPr>
          <w:trHeight w:val="629"/>
        </w:trPr>
        <w:tc>
          <w:tcPr>
            <w:tcBorders>
              <w:top w:val="none" w:color="000000" w:sz="4" w:space="0"/>
              <w:left w:val="single" w:color="auto" w:sz="4" w:space="0"/>
              <w:bottom w:val="none" w:color="000000" w:sz="4" w:space="0"/>
              <w:right w:val="single" w:color="auto" w:sz="4" w:space="0"/>
            </w:tcBorders>
            <w:tcW w:w="901" w:type="pct"/>
            <w:vAlign w:val="center"/>
            <w:vMerge w:val="continue"/>
            <w:textDirection w:val="lrTb"/>
            <w:noWrap w:val="false"/>
          </w:tcPr>
          <w:p>
            <w:pPr>
              <w:jc w:val="left"/>
              <w:spacing w:line="360" w:lineRule="auto"/>
              <w:widowControl/>
              <w:rPr>
                <w:rFonts w:hint="eastAsia" w:ascii="宋体" w:hAnsi="宋体" w:cs="Times New Roman"/>
                <w:bCs/>
                <w:color w:val="000000"/>
                <w:sz w:val="24"/>
                <w:szCs w:val="24"/>
              </w:rPr>
            </w:pPr>
            <w:r>
              <w:rPr>
                <w:rFonts w:hint="eastAsia" w:ascii="宋体" w:hAnsi="宋体" w:cs="Times New Roman"/>
                <w:bCs/>
                <w:color w:val="000000"/>
                <w:sz w:val="24"/>
                <w:szCs w:val="24"/>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软件资源</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操作系统、系统镜像、驱动列表、内核管理等软件资源进行管理</w:t>
            </w:r>
            <w:r/>
          </w:p>
        </w:tc>
      </w:tr>
      <w:tr>
        <w:trPr>
          <w:trHeight w:val="634"/>
        </w:trPr>
        <w:tc>
          <w:tcPr>
            <w:tcBorders>
              <w:top w:val="none" w:color="000000" w:sz="4" w:space="0"/>
              <w:left w:val="single" w:color="auto" w:sz="4" w:space="0"/>
              <w:bottom w:val="none" w:color="000000" w:sz="4" w:space="0"/>
              <w:right w:val="single" w:color="auto" w:sz="4" w:space="0"/>
            </w:tcBorders>
            <w:tcW w:w="901" w:type="pct"/>
            <w:vAlign w:val="center"/>
            <w:vMerge w:val="continue"/>
            <w:textDirection w:val="lrTb"/>
            <w:noWrap w:val="false"/>
          </w:tcPr>
          <w:p>
            <w:pPr>
              <w:jc w:val="left"/>
              <w:spacing w:line="360" w:lineRule="auto"/>
              <w:widowControl/>
              <w:rPr>
                <w:rFonts w:hint="eastAsia" w:ascii="宋体" w:hAnsi="宋体" w:cs="Times New Roman"/>
                <w:bCs/>
                <w:color w:val="000000"/>
                <w:sz w:val="24"/>
                <w:szCs w:val="24"/>
              </w:rPr>
            </w:pPr>
            <w:r>
              <w:rPr>
                <w:rFonts w:hint="eastAsia" w:ascii="宋体" w:hAnsi="宋体" w:cs="Times New Roman"/>
                <w:bCs/>
                <w:color w:val="000000"/>
                <w:sz w:val="24"/>
                <w:szCs w:val="24"/>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逻辑资源</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对资源池、可用域和集中存储等逻辑资源进行管理</w:t>
            </w:r>
            <w:r/>
          </w:p>
        </w:tc>
      </w:tr>
      <w:tr>
        <w:trPr>
          <w:trHeight w:val="536"/>
        </w:trPr>
        <w:tc>
          <w:tcPr>
            <w:tcBorders>
              <w:top w:val="none" w:color="000000" w:sz="4" w:space="0"/>
              <w:left w:val="single" w:color="auto" w:sz="4" w:space="0"/>
              <w:bottom w:val="none" w:color="000000" w:sz="4" w:space="0"/>
              <w:right w:val="single" w:color="auto" w:sz="4" w:space="0"/>
            </w:tcBorders>
            <w:tcW w:w="901" w:type="pct"/>
            <w:vAlign w:val="center"/>
            <w:vMerge w:val="continue"/>
            <w:textDirection w:val="lrTb"/>
            <w:noWrap w:val="false"/>
          </w:tcPr>
          <w:p>
            <w:pPr>
              <w:jc w:val="left"/>
              <w:spacing w:line="360" w:lineRule="auto"/>
              <w:widowControl/>
              <w:rPr>
                <w:rFonts w:hint="eastAsia" w:ascii="宋体" w:hAnsi="宋体" w:cs="Times New Roman"/>
                <w:bCs/>
                <w:color w:val="000000"/>
                <w:sz w:val="24"/>
                <w:szCs w:val="24"/>
              </w:rPr>
            </w:pPr>
            <w:r>
              <w:rPr>
                <w:rFonts w:hint="eastAsia" w:ascii="宋体" w:hAnsi="宋体" w:cs="Times New Roman"/>
                <w:bCs/>
                <w:color w:val="000000"/>
                <w:sz w:val="24"/>
                <w:szCs w:val="24"/>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业务资源</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对已标注业务标签的云服务器进行资源统计</w:t>
            </w:r>
            <w:r/>
          </w:p>
        </w:tc>
      </w:tr>
      <w:tr>
        <w:trPr>
          <w:trHeight w:val="560"/>
        </w:trPr>
        <w:tc>
          <w:tcPr>
            <w:tcBorders>
              <w:top w:val="none" w:color="000000" w:sz="4" w:space="0"/>
              <w:left w:val="single" w:color="auto" w:sz="4" w:space="0"/>
              <w:bottom w:val="none" w:color="000000" w:sz="4" w:space="0"/>
              <w:right w:val="single" w:color="auto" w:sz="4" w:space="0"/>
            </w:tcBorders>
            <w:tcW w:w="901" w:type="pct"/>
            <w:vAlign w:val="center"/>
            <w:vMerge w:val="continue"/>
            <w:textDirection w:val="lrTb"/>
            <w:noWrap w:val="false"/>
          </w:tcPr>
          <w:p>
            <w:pPr>
              <w:jc w:val="left"/>
              <w:spacing w:line="360" w:lineRule="auto"/>
              <w:widowControl/>
              <w:rPr>
                <w:rFonts w:hint="eastAsia" w:ascii="宋体" w:hAnsi="宋体" w:cs="Times New Roman"/>
                <w:bCs/>
                <w:color w:val="000000"/>
                <w:sz w:val="24"/>
                <w:szCs w:val="24"/>
              </w:rPr>
            </w:pPr>
            <w:r>
              <w:rPr>
                <w:rFonts w:hint="eastAsia" w:ascii="宋体" w:hAnsi="宋体" w:cs="Times New Roman"/>
                <w:bCs/>
                <w:color w:val="000000"/>
                <w:sz w:val="24"/>
                <w:szCs w:val="24"/>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服务配置</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云平台的服务名称和服务状态、服务描述等信息</w:t>
            </w:r>
            <w:r/>
          </w:p>
        </w:tc>
      </w:tr>
      <w:tr>
        <w:trPr>
          <w:trHeight w:val="840"/>
        </w:trPr>
        <w:tc>
          <w:tcPr>
            <w:tcBorders>
              <w:top w:val="none" w:color="000000" w:sz="4" w:space="0"/>
              <w:left w:val="single" w:color="auto" w:sz="4" w:space="0"/>
              <w:bottom w:val="none" w:color="000000" w:sz="4" w:space="0"/>
              <w:right w:val="single" w:color="auto" w:sz="4" w:space="0"/>
            </w:tcBorders>
            <w:tcW w:w="901" w:type="pct"/>
            <w:vAlign w:val="center"/>
            <w:vMerge w:val="continue"/>
            <w:textDirection w:val="lrTb"/>
            <w:noWrap w:val="false"/>
          </w:tcPr>
          <w:p>
            <w:pPr>
              <w:jc w:val="left"/>
              <w:spacing w:line="360" w:lineRule="auto"/>
              <w:widowControl/>
              <w:rPr>
                <w:rFonts w:hint="eastAsia" w:ascii="宋体" w:hAnsi="宋体" w:cs="Times New Roman"/>
                <w:bCs/>
                <w:color w:val="000000"/>
                <w:sz w:val="24"/>
                <w:szCs w:val="24"/>
              </w:rPr>
            </w:pPr>
            <w:r>
              <w:rPr>
                <w:rFonts w:hint="eastAsia" w:ascii="宋体" w:hAnsi="宋体" w:cs="Times New Roman"/>
                <w:bCs/>
                <w:color w:val="000000"/>
                <w:sz w:val="24"/>
                <w:szCs w:val="24"/>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迁移规则配置</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手动迁移和自动迁移的迁移规则配置</w:t>
            </w:r>
            <w:r/>
          </w:p>
        </w:tc>
      </w:tr>
      <w:tr>
        <w:trPr>
          <w:trHeight w:val="572"/>
        </w:trPr>
        <w:tc>
          <w:tcPr>
            <w:tcBorders>
              <w:top w:val="none" w:color="000000" w:sz="4" w:space="0"/>
              <w:left w:val="single" w:color="auto" w:sz="4" w:space="0"/>
              <w:bottom w:val="none" w:color="000000" w:sz="4" w:space="0"/>
              <w:right w:val="single" w:color="auto" w:sz="4" w:space="0"/>
            </w:tcBorders>
            <w:tcW w:w="901" w:type="pct"/>
            <w:vAlign w:val="center"/>
            <w:vMerge w:val="continue"/>
            <w:textDirection w:val="lrTb"/>
            <w:noWrap w:val="false"/>
          </w:tcPr>
          <w:p>
            <w:pPr>
              <w:jc w:val="left"/>
              <w:spacing w:line="360" w:lineRule="auto"/>
              <w:widowControl/>
              <w:rPr>
                <w:rFonts w:hint="eastAsia" w:ascii="宋体" w:hAnsi="宋体" w:cs="Times New Roman"/>
                <w:bCs/>
                <w:color w:val="000000"/>
                <w:sz w:val="24"/>
                <w:szCs w:val="24"/>
              </w:rPr>
            </w:pPr>
            <w:r>
              <w:rPr>
                <w:rFonts w:hint="eastAsia" w:ascii="宋体" w:hAnsi="宋体" w:cs="Times New Roman"/>
                <w:bCs/>
                <w:color w:val="000000"/>
                <w:sz w:val="24"/>
                <w:szCs w:val="24"/>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迁移记录</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手动迁移和自动迁移迁移成功后的迁移记录</w:t>
            </w:r>
            <w:r/>
          </w:p>
        </w:tc>
      </w:tr>
      <w:tr>
        <w:trPr>
          <w:trHeight w:val="704"/>
        </w:trPr>
        <w:tc>
          <w:tcPr>
            <w:tcBorders>
              <w:top w:val="none" w:color="000000" w:sz="4" w:space="0"/>
              <w:left w:val="single" w:color="auto" w:sz="4" w:space="0"/>
              <w:bottom w:val="none" w:color="000000" w:sz="4" w:space="0"/>
              <w:right w:val="single" w:color="auto" w:sz="4" w:space="0"/>
            </w:tcBorders>
            <w:tcW w:w="901" w:type="pct"/>
            <w:vAlign w:val="center"/>
            <w:vMerge w:val="continue"/>
            <w:textDirection w:val="lrTb"/>
            <w:noWrap w:val="false"/>
          </w:tcPr>
          <w:p>
            <w:pPr>
              <w:jc w:val="left"/>
              <w:spacing w:line="360" w:lineRule="auto"/>
              <w:widowControl/>
              <w:rPr>
                <w:rFonts w:hint="eastAsia" w:ascii="宋体" w:hAnsi="宋体" w:cs="Times New Roman"/>
                <w:bCs/>
                <w:color w:val="000000"/>
                <w:sz w:val="24"/>
                <w:szCs w:val="24"/>
              </w:rPr>
            </w:pPr>
            <w:r>
              <w:rPr>
                <w:rFonts w:hint="eastAsia" w:ascii="宋体" w:hAnsi="宋体" w:cs="Times New Roman"/>
                <w:bCs/>
                <w:color w:val="000000"/>
                <w:sz w:val="24"/>
                <w:szCs w:val="24"/>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产品清单</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对资源池下所有与云服务器、私有网络、云硬盘、网络接入和负载均衡相关联的信息进行查询和导出报表的功能操作</w:t>
            </w:r>
            <w:r/>
          </w:p>
        </w:tc>
      </w:tr>
      <w:tr>
        <w:trPr>
          <w:trHeight w:val="840"/>
        </w:trPr>
        <w:tc>
          <w:tcPr>
            <w:tcBorders>
              <w:top w:val="none" w:color="000000" w:sz="4" w:space="0"/>
              <w:left w:val="single" w:color="auto" w:sz="4" w:space="0"/>
              <w:bottom w:val="none" w:color="000000" w:sz="4" w:space="0"/>
              <w:right w:val="single" w:color="auto" w:sz="4" w:space="0"/>
            </w:tcBorders>
            <w:tcW w:w="901" w:type="pct"/>
            <w:vAlign w:val="center"/>
            <w:vMerge w:val="continue"/>
            <w:textDirection w:val="lrTb"/>
            <w:noWrap w:val="false"/>
          </w:tcPr>
          <w:p>
            <w:pPr>
              <w:jc w:val="left"/>
              <w:spacing w:line="360" w:lineRule="auto"/>
              <w:widowControl/>
              <w:rPr>
                <w:rFonts w:hint="eastAsia" w:ascii="宋体" w:hAnsi="宋体" w:cs="Times New Roman"/>
                <w:bCs/>
                <w:color w:val="000000"/>
                <w:sz w:val="24"/>
                <w:szCs w:val="24"/>
              </w:rPr>
            </w:pPr>
            <w:r>
              <w:rPr>
                <w:rFonts w:hint="eastAsia" w:ascii="宋体" w:hAnsi="宋体" w:cs="Times New Roman"/>
                <w:bCs/>
                <w:color w:val="000000"/>
                <w:sz w:val="24"/>
                <w:szCs w:val="24"/>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统计报表</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监控报表和容量报表，统计资源池下的资源总量、监控等信息，监控性能报表并将报表导出Excel</w:t>
            </w:r>
            <w:r/>
          </w:p>
        </w:tc>
      </w:tr>
      <w:tr>
        <w:trPr>
          <w:trHeight w:val="714"/>
        </w:trPr>
        <w:tc>
          <w:tcPr>
            <w:tcBorders>
              <w:top w:val="none" w:color="000000" w:sz="4" w:space="0"/>
              <w:left w:val="single" w:color="auto" w:sz="4" w:space="0"/>
              <w:bottom w:val="none" w:color="000000" w:sz="4" w:space="0"/>
              <w:right w:val="single" w:color="auto" w:sz="4" w:space="0"/>
            </w:tcBorders>
            <w:tcW w:w="901" w:type="pct"/>
            <w:vAlign w:val="center"/>
            <w:vMerge w:val="continue"/>
            <w:textDirection w:val="lrTb"/>
            <w:noWrap w:val="false"/>
          </w:tcPr>
          <w:p>
            <w:pPr>
              <w:jc w:val="left"/>
              <w:spacing w:line="360" w:lineRule="auto"/>
              <w:widowControl/>
              <w:rPr>
                <w:rFonts w:hint="eastAsia" w:ascii="宋体" w:hAnsi="宋体" w:cs="Times New Roman"/>
                <w:bCs/>
                <w:color w:val="000000"/>
                <w:sz w:val="24"/>
                <w:szCs w:val="24"/>
              </w:rPr>
            </w:pPr>
            <w:r>
              <w:rPr>
                <w:rFonts w:hint="eastAsia" w:ascii="宋体" w:hAnsi="宋体" w:cs="Times New Roman"/>
                <w:bCs/>
                <w:color w:val="000000"/>
                <w:sz w:val="24"/>
                <w:szCs w:val="24"/>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日志查看</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查看云计算基础产品实例的名称、操作类型、操作结果、操作时间、资源拥有者，实现更细粒度管理</w:t>
            </w:r>
            <w:r/>
          </w:p>
        </w:tc>
      </w:tr>
      <w:tr>
        <w:trPr>
          <w:trHeight w:val="570"/>
        </w:trPr>
        <w:tc>
          <w:tcPr>
            <w:tcBorders>
              <w:top w:val="none" w:color="000000" w:sz="4" w:space="0"/>
              <w:left w:val="single" w:color="auto" w:sz="4" w:space="0"/>
              <w:bottom w:val="none" w:color="000000" w:sz="4" w:space="0"/>
              <w:right w:val="single" w:color="auto" w:sz="4" w:space="0"/>
            </w:tcBorders>
            <w:tcW w:w="901" w:type="pct"/>
            <w:vAlign w:val="center"/>
            <w:vMerge w:val="continue"/>
            <w:textDirection w:val="lrTb"/>
            <w:noWrap w:val="false"/>
          </w:tcPr>
          <w:p>
            <w:pPr>
              <w:jc w:val="left"/>
              <w:spacing w:line="360" w:lineRule="auto"/>
              <w:widowControl/>
              <w:rPr>
                <w:rFonts w:hint="eastAsia" w:ascii="宋体" w:hAnsi="宋体" w:cs="Times New Roman"/>
                <w:bCs/>
                <w:color w:val="000000"/>
                <w:sz w:val="24"/>
                <w:szCs w:val="24"/>
              </w:rPr>
            </w:pPr>
            <w:r>
              <w:rPr>
                <w:rFonts w:hint="eastAsia" w:ascii="宋体" w:hAnsi="宋体" w:cs="Times New Roman"/>
                <w:bCs/>
                <w:color w:val="000000"/>
                <w:sz w:val="24"/>
                <w:szCs w:val="24"/>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日志操作</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支持根据云计算基础产品实例的名称、操作类型、时间等进行筛选</w:t>
            </w:r>
            <w:r/>
          </w:p>
        </w:tc>
      </w:tr>
      <w:tr>
        <w:trPr>
          <w:trHeight w:val="582"/>
        </w:trPr>
        <w:tc>
          <w:tcPr>
            <w:tcBorders>
              <w:top w:val="none" w:color="000000" w:sz="4" w:space="0"/>
              <w:left w:val="single" w:color="auto" w:sz="4" w:space="0"/>
              <w:bottom w:val="none" w:color="000000" w:sz="4" w:space="0"/>
              <w:right w:val="single" w:color="auto" w:sz="4" w:space="0"/>
            </w:tcBorders>
            <w:tcW w:w="901" w:type="pct"/>
            <w:vAlign w:val="center"/>
            <w:vMerge w:val="continue"/>
            <w:textDirection w:val="lrTb"/>
            <w:noWrap w:val="false"/>
          </w:tcPr>
          <w:p>
            <w:pPr>
              <w:jc w:val="left"/>
              <w:spacing w:line="360" w:lineRule="auto"/>
              <w:widowControl/>
              <w:rPr>
                <w:rFonts w:hint="eastAsia" w:ascii="宋体" w:hAnsi="宋体" w:cs="Times New Roman"/>
                <w:bCs/>
                <w:color w:val="000000"/>
                <w:sz w:val="24"/>
                <w:szCs w:val="24"/>
              </w:rPr>
            </w:pPr>
            <w:r>
              <w:rPr>
                <w:rFonts w:hint="eastAsia" w:ascii="宋体" w:hAnsi="宋体" w:cs="Times New Roman"/>
                <w:bCs/>
                <w:color w:val="000000"/>
                <w:sz w:val="24"/>
                <w:szCs w:val="24"/>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告警分析</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记录平台的所有操作日志，对记录日志进行分析和故障告警</w:t>
            </w:r>
            <w:r/>
          </w:p>
        </w:tc>
      </w:tr>
      <w:tr>
        <w:trPr>
          <w:trHeight w:val="557"/>
        </w:trPr>
        <w:tc>
          <w:tcPr>
            <w:tcBorders>
              <w:top w:val="none" w:color="000000" w:sz="4" w:space="0"/>
              <w:left w:val="single" w:color="auto" w:sz="4" w:space="0"/>
              <w:bottom w:val="none" w:color="000000" w:sz="4" w:space="0"/>
              <w:right w:val="single" w:color="auto" w:sz="4" w:space="0"/>
            </w:tcBorders>
            <w:tcW w:w="901" w:type="pct"/>
            <w:vAlign w:val="center"/>
            <w:vMerge w:val="continue"/>
            <w:textDirection w:val="lrTb"/>
            <w:noWrap w:val="false"/>
          </w:tcPr>
          <w:p>
            <w:pPr>
              <w:jc w:val="left"/>
              <w:spacing w:line="360" w:lineRule="auto"/>
              <w:widowControl/>
              <w:rPr>
                <w:rFonts w:hint="eastAsia" w:ascii="宋体" w:hAnsi="宋体" w:cs="Times New Roman"/>
                <w:bCs/>
                <w:color w:val="000000"/>
                <w:sz w:val="24"/>
                <w:szCs w:val="24"/>
              </w:rPr>
            </w:pPr>
            <w:r>
              <w:rPr>
                <w:rFonts w:hint="eastAsia" w:ascii="宋体" w:hAnsi="宋体" w:cs="Times New Roman"/>
                <w:bCs/>
                <w:color w:val="000000"/>
                <w:sz w:val="24"/>
                <w:szCs w:val="24"/>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公告发布</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面向系统、指定部分用户进行公告的编写和发布</w:t>
            </w:r>
            <w:r/>
          </w:p>
        </w:tc>
      </w:tr>
      <w:tr>
        <w:trPr>
          <w:trHeight w:val="569"/>
        </w:trPr>
        <w:tc>
          <w:tcPr>
            <w:tcBorders>
              <w:top w:val="none" w:color="000000" w:sz="4" w:space="0"/>
              <w:left w:val="single" w:color="auto" w:sz="4" w:space="0"/>
              <w:bottom w:val="none" w:color="000000" w:sz="4" w:space="0"/>
              <w:right w:val="single" w:color="auto" w:sz="4" w:space="0"/>
            </w:tcBorders>
            <w:tcW w:w="901" w:type="pct"/>
            <w:vAlign w:val="center"/>
            <w:vMerge w:val="continue"/>
            <w:textDirection w:val="lrTb"/>
            <w:noWrap w:val="false"/>
          </w:tcPr>
          <w:p>
            <w:pPr>
              <w:jc w:val="left"/>
              <w:spacing w:line="360" w:lineRule="auto"/>
              <w:widowControl/>
              <w:rPr>
                <w:rFonts w:hint="eastAsia" w:ascii="宋体" w:hAnsi="宋体" w:cs="Times New Roman"/>
                <w:bCs/>
                <w:color w:val="000000"/>
                <w:sz w:val="24"/>
                <w:szCs w:val="24"/>
              </w:rPr>
            </w:pPr>
            <w:r>
              <w:rPr>
                <w:rFonts w:hint="eastAsia" w:ascii="宋体" w:hAnsi="宋体" w:cs="Times New Roman"/>
                <w:bCs/>
                <w:color w:val="000000"/>
                <w:sz w:val="24"/>
                <w:szCs w:val="24"/>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公告编辑</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对已发布的公告进行删除、编辑</w:t>
            </w:r>
            <w:r/>
          </w:p>
        </w:tc>
      </w:tr>
      <w:tr>
        <w:trPr>
          <w:trHeight w:val="549"/>
        </w:trPr>
        <w:tc>
          <w:tcPr>
            <w:tcBorders>
              <w:top w:val="none" w:color="000000" w:sz="4" w:space="0"/>
              <w:left w:val="single" w:color="auto" w:sz="4" w:space="0"/>
              <w:bottom w:val="none" w:color="000000" w:sz="4" w:space="0"/>
              <w:right w:val="single" w:color="auto" w:sz="4" w:space="0"/>
            </w:tcBorders>
            <w:tcW w:w="901" w:type="pct"/>
            <w:vAlign w:val="center"/>
            <w:vMerge w:val="continue"/>
            <w:textDirection w:val="lrTb"/>
            <w:noWrap w:val="false"/>
          </w:tcPr>
          <w:p>
            <w:pPr>
              <w:jc w:val="left"/>
              <w:spacing w:line="360" w:lineRule="auto"/>
              <w:widowControl/>
              <w:rPr>
                <w:rFonts w:hint="eastAsia" w:ascii="宋体" w:hAnsi="宋体" w:cs="Times New Roman"/>
                <w:bCs/>
                <w:color w:val="000000"/>
                <w:sz w:val="24"/>
                <w:szCs w:val="24"/>
              </w:rPr>
            </w:pPr>
            <w:r>
              <w:rPr>
                <w:rFonts w:hint="eastAsia" w:ascii="宋体" w:hAnsi="宋体" w:cs="Times New Roman"/>
                <w:bCs/>
                <w:color w:val="000000"/>
                <w:sz w:val="24"/>
                <w:szCs w:val="24"/>
              </w:rPr>
            </w:r>
            <w:r/>
          </w:p>
        </w:tc>
        <w:tc>
          <w:tcPr>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权限管理</w:t>
            </w:r>
            <w:r/>
          </w:p>
        </w:tc>
        <w:tc>
          <w:tcPr>
            <w:tcBorders>
              <w:top w:val="none" w:color="000000" w:sz="4" w:space="0"/>
              <w:left w:val="none" w:color="000000" w:sz="4" w:space="0"/>
              <w:bottom w:val="single" w:color="auto" w:sz="4" w:space="0"/>
              <w:right w:val="single" w:color="auto" w:sz="4" w:space="0"/>
            </w:tcBorders>
            <w:tcW w:w="3384" w:type="pct"/>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可以对不同用户设置对公告的查看、发布、编辑的权限</w:t>
            </w:r>
            <w:r/>
          </w:p>
        </w:tc>
      </w:tr>
    </w:tbl>
    <w:p>
      <w:pPr>
        <w:numPr>
          <w:ilvl w:val="3"/>
          <w:numId w:val="0"/>
        </w:numPr>
        <w:jc w:val="left"/>
        <w:keepLines/>
        <w:keepNext/>
        <w:spacing w:before="80" w:after="40" w:line="360" w:lineRule="auto"/>
        <w:tabs>
          <w:tab w:val="left" w:pos="0" w:leader="none"/>
        </w:tabs>
        <w:rPr>
          <w:rFonts w:ascii="Calibri" w:hAnsi="Calibri" w:cs="Times New Roman"/>
          <w:color w:val="2d53a0"/>
          <w:sz w:val="28"/>
          <w:szCs w:val="28"/>
        </w:rPr>
        <w:outlineLvl w:val="3"/>
      </w:pPr>
      <w:r>
        <w:rPr>
          <w:rFonts w:ascii="Calibri" w:hAnsi="Calibri" w:cs="Times New Roman"/>
          <w:color w:val="2d53a0"/>
          <w:sz w:val="28"/>
          <w:szCs w:val="28"/>
        </w:rPr>
        <w:t xml:space="preserve">2.2.3</w:t>
      </w:r>
      <w:r>
        <w:rPr>
          <w:rFonts w:ascii="Calibri" w:hAnsi="Calibri" w:cs="Times New Roman"/>
          <w:color w:val="2d53a0"/>
          <w:sz w:val="28"/>
          <w:szCs w:val="28"/>
        </w:rPr>
        <w:t xml:space="preserve">云主机</w:t>
      </w:r>
      <w:r/>
    </w:p>
    <w:tbl>
      <w:tblPr>
        <w:tblW w:w="0" w:type="auto"/>
        <w:tblInd w:w="-34" w:type="dxa"/>
        <w:tblLayout w:type="fixed"/>
        <w:tblLook w:val="04A0" w:firstRow="1" w:lastRow="0" w:firstColumn="1" w:lastColumn="0" w:noHBand="0" w:noVBand="1"/>
      </w:tblPr>
      <w:tblGrid>
        <w:gridCol w:w="1550"/>
        <w:gridCol w:w="1218"/>
        <w:gridCol w:w="5788"/>
      </w:tblGrid>
      <w:tr>
        <w:trPr>
          <w:trHeight w:val="825"/>
        </w:trPr>
        <w:tc>
          <w:tcPr>
            <w:tcBorders>
              <w:top w:val="single" w:color="auto" w:sz="4" w:space="0"/>
              <w:left w:val="single" w:color="auto" w:sz="4" w:space="0"/>
              <w:bottom w:val="single" w:color="auto" w:sz="4" w:space="0"/>
              <w:right w:val="none" w:color="000000" w:sz="4" w:space="0"/>
            </w:tcBorders>
            <w:tcW w:w="1550" w:type="dxa"/>
            <w:vAlign w:val="center"/>
            <w:textDirection w:val="lrTb"/>
            <w:noWrap w:val="false"/>
          </w:tcPr>
          <w:p>
            <w:pPr>
              <w:jc w:val="center"/>
              <w:spacing w:line="360" w:lineRule="auto"/>
              <w:widowControl/>
              <w:rPr>
                <w:rFonts w:hint="eastAsia" w:ascii="宋体" w:hAnsi="宋体" w:cs="Times New Roman"/>
                <w:b/>
                <w:sz w:val="24"/>
                <w:szCs w:val="24"/>
              </w:rPr>
            </w:pPr>
            <w:r>
              <w:rPr>
                <w:rFonts w:ascii="宋体" w:hAnsi="宋体" w:cs="Times New Roman"/>
                <w:b/>
                <w:sz w:val="24"/>
                <w:szCs w:val="24"/>
              </w:rPr>
              <w:t xml:space="preserve">服务类别</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Times New Roman"/>
                <w:b/>
                <w:sz w:val="24"/>
                <w:szCs w:val="24"/>
              </w:rPr>
            </w:pPr>
            <w:r>
              <w:rPr>
                <w:rFonts w:ascii="宋体" w:hAnsi="宋体" w:cs="Times New Roman"/>
                <w:b/>
                <w:sz w:val="24"/>
                <w:szCs w:val="24"/>
              </w:rPr>
              <w:t xml:space="preserve">技术指标</w:t>
            </w:r>
            <w:r/>
          </w:p>
        </w:tc>
        <w:tc>
          <w:tcPr>
            <w:tcBorders>
              <w:top w:val="single" w:color="auto" w:sz="4" w:space="0"/>
              <w:left w:val="none" w:color="000000" w:sz="4" w:space="0"/>
              <w:bottom w:val="single" w:color="auto" w:sz="4" w:space="0"/>
              <w:right w:val="single" w:color="auto" w:sz="4" w:space="0"/>
            </w:tcBorders>
            <w:tcW w:w="5788" w:type="dxa"/>
            <w:vAlign w:val="center"/>
            <w:textDirection w:val="lrTb"/>
            <w:noWrap w:val="false"/>
          </w:tcPr>
          <w:p>
            <w:pPr>
              <w:jc w:val="center"/>
              <w:spacing w:line="360" w:lineRule="auto"/>
              <w:widowControl/>
              <w:rPr>
                <w:rFonts w:hint="eastAsia" w:ascii="宋体" w:hAnsi="宋体" w:cs="Times New Roman"/>
                <w:b/>
                <w:sz w:val="24"/>
                <w:szCs w:val="24"/>
              </w:rPr>
            </w:pPr>
            <w:r>
              <w:rPr>
                <w:rFonts w:ascii="宋体" w:hAnsi="宋体" w:cs="Times New Roman"/>
                <w:b/>
                <w:sz w:val="24"/>
                <w:szCs w:val="24"/>
              </w:rPr>
              <w:t xml:space="preserve">技术要求</w:t>
            </w:r>
            <w:r/>
          </w:p>
        </w:tc>
      </w:tr>
      <w:tr>
        <w:trPr>
          <w:trHeight w:val="825"/>
        </w:trPr>
        <w:tc>
          <w:tcPr>
            <w:tcBorders>
              <w:top w:val="none" w:color="000000" w:sz="4" w:space="0"/>
              <w:left w:val="single" w:color="auto" w:sz="4" w:space="0"/>
              <w:bottom w:val="single" w:color="auto" w:sz="4" w:space="0"/>
              <w:right w:val="none" w:color="000000" w:sz="4" w:space="0"/>
            </w:tcBorders>
            <w:tcW w:w="1550" w:type="dxa"/>
            <w:vAlign w:val="center"/>
            <w:vMerge w:val="restart"/>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云主机</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虚拟机热迁移</w:t>
            </w:r>
            <w:r/>
          </w:p>
        </w:tc>
        <w:tc>
          <w:tcPr>
            <w:tcBorders>
              <w:top w:val="single" w:color="auto" w:sz="4" w:space="0"/>
              <w:left w:val="none" w:color="000000" w:sz="4" w:space="0"/>
              <w:bottom w:val="single" w:color="auto" w:sz="4" w:space="0"/>
              <w:right w:val="single" w:color="auto" w:sz="4" w:space="0"/>
            </w:tcBorders>
            <w:tcW w:w="5788"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当虚拟机所在的硬件设备维护升级时能够实时迁移到其它硬件设备上运行，而虚拟机中的服务不应停止；当原硬件设备维护升级结束后可以将虚拟机从其他硬件中迁移回来，在迁移过程中服务正常运转。</w:t>
            </w:r>
            <w:r/>
          </w:p>
        </w:tc>
      </w:tr>
      <w:tr>
        <w:trPr>
          <w:trHeight w:val="660"/>
        </w:trPr>
        <w:tc>
          <w:tcPr>
            <w:tcBorders>
              <w:top w:val="none" w:color="000000" w:sz="4" w:space="0"/>
              <w:left w:val="single" w:color="auto" w:sz="4" w:space="0"/>
              <w:bottom w:val="single" w:color="auto" w:sz="4" w:space="0"/>
              <w:right w:val="none" w:color="000000" w:sz="4" w:space="0"/>
            </w:tcBorders>
            <w:tcW w:w="1550"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自定义实例初始化</w:t>
            </w:r>
            <w:r/>
          </w:p>
        </w:tc>
        <w:tc>
          <w:tcPr>
            <w:tcBorders>
              <w:top w:val="none" w:color="000000" w:sz="4" w:space="0"/>
              <w:left w:val="none" w:color="000000" w:sz="4" w:space="0"/>
              <w:bottom w:val="single" w:color="auto" w:sz="4" w:space="0"/>
              <w:right w:val="single" w:color="auto" w:sz="4" w:space="0"/>
            </w:tcBorders>
            <w:tcW w:w="5788"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按vCPU、内存、系统盘、磁盘、IP、安全组等进行自定义云服务器实例初始化创建，创建实例时指定宿主机服务器</w:t>
            </w:r>
            <w:r/>
          </w:p>
        </w:tc>
      </w:tr>
      <w:tr>
        <w:trPr>
          <w:trHeight w:val="795"/>
        </w:trPr>
        <w:tc>
          <w:tcPr>
            <w:tcBorders>
              <w:top w:val="none" w:color="000000" w:sz="4" w:space="0"/>
              <w:left w:val="single" w:color="auto" w:sz="4" w:space="0"/>
              <w:bottom w:val="single" w:color="auto" w:sz="4" w:space="0"/>
              <w:right w:val="none" w:color="000000" w:sz="4" w:space="0"/>
            </w:tcBorders>
            <w:tcW w:w="1550"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实例操作</w:t>
            </w:r>
            <w:r/>
          </w:p>
        </w:tc>
        <w:tc>
          <w:tcPr>
            <w:tcBorders>
              <w:top w:val="none" w:color="000000" w:sz="4" w:space="0"/>
              <w:left w:val="none" w:color="000000" w:sz="4" w:space="0"/>
              <w:bottom w:val="single" w:color="auto" w:sz="4" w:space="0"/>
              <w:right w:val="single" w:color="auto" w:sz="4" w:space="0"/>
            </w:tcBorders>
            <w:tcW w:w="5788"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密码重置、修改以及创建、查询、开机、关机、重启、销毁多台实例的批量操作，支持对实例的操作系统进行更换、格式化，配置实例的自定义标签</w:t>
            </w:r>
            <w:r/>
          </w:p>
        </w:tc>
      </w:tr>
      <w:tr>
        <w:trPr>
          <w:trHeight w:val="675"/>
        </w:trPr>
        <w:tc>
          <w:tcPr>
            <w:tcBorders>
              <w:top w:val="none" w:color="000000" w:sz="4" w:space="0"/>
              <w:left w:val="single" w:color="auto" w:sz="4" w:space="0"/>
              <w:bottom w:val="single" w:color="auto" w:sz="4" w:space="0"/>
              <w:right w:val="none" w:color="000000" w:sz="4" w:space="0"/>
            </w:tcBorders>
            <w:tcW w:w="1550"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IPv4/IPv6双栈配置</w:t>
            </w:r>
            <w:r/>
          </w:p>
        </w:tc>
        <w:tc>
          <w:tcPr>
            <w:tcBorders>
              <w:top w:val="none" w:color="000000" w:sz="4" w:space="0"/>
              <w:left w:val="none" w:color="000000" w:sz="4" w:space="0"/>
              <w:bottom w:val="single" w:color="auto" w:sz="4" w:space="0"/>
              <w:right w:val="single" w:color="auto" w:sz="4" w:space="0"/>
            </w:tcBorders>
            <w:tcW w:w="5788"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支持IPv4地址协议和配置、支持IPv6地址协议和配置，创建实例时，手动配置内网IP、IP地址占用校验</w:t>
            </w:r>
            <w:r/>
          </w:p>
        </w:tc>
      </w:tr>
      <w:tr>
        <w:trPr>
          <w:trHeight w:val="540"/>
        </w:trPr>
        <w:tc>
          <w:tcPr>
            <w:tcBorders>
              <w:top w:val="none" w:color="000000" w:sz="4" w:space="0"/>
              <w:left w:val="single" w:color="auto" w:sz="4" w:space="0"/>
              <w:bottom w:val="single" w:color="auto" w:sz="4" w:space="0"/>
              <w:right w:val="none" w:color="000000" w:sz="4" w:space="0"/>
            </w:tcBorders>
            <w:tcW w:w="1550"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基础配置变更</w:t>
            </w:r>
            <w:r/>
          </w:p>
        </w:tc>
        <w:tc>
          <w:tcPr>
            <w:tcBorders>
              <w:top w:val="none" w:color="000000" w:sz="4" w:space="0"/>
              <w:left w:val="none" w:color="000000" w:sz="4" w:space="0"/>
              <w:bottom w:val="single" w:color="auto" w:sz="4" w:space="0"/>
              <w:right w:val="single" w:color="auto" w:sz="4" w:space="0"/>
            </w:tcBorders>
            <w:tcW w:w="5788"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实例的vCPU、内存、系统盘基础配置的增加和减少</w:t>
            </w:r>
            <w:r/>
          </w:p>
        </w:tc>
      </w:tr>
      <w:tr>
        <w:trPr>
          <w:trHeight w:val="420"/>
        </w:trPr>
        <w:tc>
          <w:tcPr>
            <w:tcBorders>
              <w:top w:val="none" w:color="000000" w:sz="4" w:space="0"/>
              <w:left w:val="single" w:color="auto" w:sz="4" w:space="0"/>
              <w:bottom w:val="single" w:color="auto" w:sz="4" w:space="0"/>
              <w:right w:val="none" w:color="000000" w:sz="4" w:space="0"/>
            </w:tcBorders>
            <w:tcW w:w="1550"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安全组配置</w:t>
            </w:r>
            <w:r/>
          </w:p>
        </w:tc>
        <w:tc>
          <w:tcPr>
            <w:tcBorders>
              <w:top w:val="none" w:color="000000" w:sz="4" w:space="0"/>
              <w:left w:val="none" w:color="000000" w:sz="4" w:space="0"/>
              <w:bottom w:val="single" w:color="auto" w:sz="4" w:space="0"/>
              <w:right w:val="single" w:color="auto" w:sz="4" w:space="0"/>
            </w:tcBorders>
            <w:tcW w:w="5788"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更换实例所在安全组、修改实例所在安全组规则和作用范围</w:t>
            </w:r>
            <w:r/>
          </w:p>
        </w:tc>
      </w:tr>
      <w:tr>
        <w:trPr>
          <w:trHeight w:val="420"/>
        </w:trPr>
        <w:tc>
          <w:tcPr>
            <w:tcBorders>
              <w:top w:val="none" w:color="000000" w:sz="4" w:space="0"/>
              <w:left w:val="single" w:color="auto" w:sz="4" w:space="0"/>
              <w:bottom w:val="single" w:color="auto" w:sz="4" w:space="0"/>
              <w:right w:val="none" w:color="000000" w:sz="4" w:space="0"/>
            </w:tcBorders>
            <w:tcW w:w="1550"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VNC远程控制</w:t>
            </w:r>
            <w:r/>
          </w:p>
        </w:tc>
        <w:tc>
          <w:tcPr>
            <w:tcBorders>
              <w:top w:val="none" w:color="000000" w:sz="4" w:space="0"/>
              <w:left w:val="none" w:color="000000" w:sz="4" w:space="0"/>
              <w:bottom w:val="single" w:color="auto" w:sz="4" w:space="0"/>
              <w:right w:val="single" w:color="auto" w:sz="4" w:space="0"/>
            </w:tcBorders>
            <w:tcW w:w="5788"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远程连接（VNC）实例，查看操作界面的实时状态</w:t>
            </w:r>
            <w:r/>
          </w:p>
        </w:tc>
      </w:tr>
      <w:tr>
        <w:trPr>
          <w:trHeight w:val="420"/>
        </w:trPr>
        <w:tc>
          <w:tcPr>
            <w:tcBorders>
              <w:top w:val="none" w:color="000000" w:sz="4" w:space="0"/>
              <w:left w:val="single" w:color="auto" w:sz="4" w:space="0"/>
              <w:bottom w:val="single" w:color="auto" w:sz="4" w:space="0"/>
              <w:right w:val="none" w:color="000000" w:sz="4" w:space="0"/>
            </w:tcBorders>
            <w:tcW w:w="1550"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实例查询</w:t>
            </w:r>
            <w:r/>
          </w:p>
        </w:tc>
        <w:tc>
          <w:tcPr>
            <w:tcBorders>
              <w:top w:val="none" w:color="000000" w:sz="4" w:space="0"/>
              <w:left w:val="none" w:color="000000" w:sz="4" w:space="0"/>
              <w:bottom w:val="single" w:color="auto" w:sz="4" w:space="0"/>
              <w:right w:val="single" w:color="auto" w:sz="4" w:space="0"/>
            </w:tcBorders>
            <w:tcW w:w="5788"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根据实例信息的单项、多项信息进行查询</w:t>
            </w:r>
            <w:r/>
          </w:p>
        </w:tc>
      </w:tr>
      <w:tr>
        <w:trPr>
          <w:trHeight w:val="420"/>
        </w:trPr>
        <w:tc>
          <w:tcPr>
            <w:tcBorders>
              <w:top w:val="none" w:color="000000" w:sz="4" w:space="0"/>
              <w:left w:val="single" w:color="auto" w:sz="4" w:space="0"/>
              <w:bottom w:val="single" w:color="auto" w:sz="4" w:space="0"/>
              <w:right w:val="none" w:color="000000" w:sz="4" w:space="0"/>
            </w:tcBorders>
            <w:tcW w:w="1550"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监控告警</w:t>
            </w:r>
            <w:r/>
          </w:p>
        </w:tc>
        <w:tc>
          <w:tcPr>
            <w:tcBorders>
              <w:top w:val="none" w:color="000000" w:sz="4" w:space="0"/>
              <w:left w:val="none" w:color="000000" w:sz="4" w:space="0"/>
              <w:bottom w:val="single" w:color="auto" w:sz="4" w:space="0"/>
              <w:right w:val="single" w:color="auto" w:sz="4" w:space="0"/>
            </w:tcBorders>
            <w:tcW w:w="5788"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实例vCPU、内存、网络、磁盘等全量实例监控</w:t>
            </w:r>
            <w:r/>
          </w:p>
        </w:tc>
      </w:tr>
      <w:tr>
        <w:trPr>
          <w:trHeight w:val="420"/>
        </w:trPr>
        <w:tc>
          <w:tcPr>
            <w:tcBorders>
              <w:top w:val="none" w:color="000000" w:sz="4" w:space="0"/>
              <w:left w:val="single" w:color="auto" w:sz="4" w:space="0"/>
              <w:bottom w:val="single" w:color="auto" w:sz="4" w:space="0"/>
              <w:right w:val="none" w:color="000000" w:sz="4" w:space="0"/>
            </w:tcBorders>
            <w:tcW w:w="1550"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回收站</w:t>
            </w:r>
            <w:r/>
          </w:p>
        </w:tc>
        <w:tc>
          <w:tcPr>
            <w:tcBorders>
              <w:top w:val="none" w:color="000000" w:sz="4" w:space="0"/>
              <w:left w:val="none" w:color="000000" w:sz="4" w:space="0"/>
              <w:bottom w:val="single" w:color="auto" w:sz="4" w:space="0"/>
              <w:right w:val="single" w:color="auto" w:sz="4" w:space="0"/>
            </w:tcBorders>
            <w:tcW w:w="5788"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对已删除的实例进行回收处理</w:t>
            </w:r>
            <w:r/>
          </w:p>
        </w:tc>
      </w:tr>
      <w:tr>
        <w:trPr>
          <w:trHeight w:val="420"/>
        </w:trPr>
        <w:tc>
          <w:tcPr>
            <w:tcBorders>
              <w:top w:val="none" w:color="000000" w:sz="4" w:space="0"/>
              <w:left w:val="single" w:color="auto" w:sz="4" w:space="0"/>
              <w:bottom w:val="single" w:color="auto" w:sz="4" w:space="0"/>
              <w:right w:val="none" w:color="000000" w:sz="4" w:space="0"/>
            </w:tcBorders>
            <w:tcW w:w="1550"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实例复制</w:t>
            </w:r>
            <w:r/>
          </w:p>
        </w:tc>
        <w:tc>
          <w:tcPr>
            <w:tcBorders>
              <w:top w:val="none" w:color="000000" w:sz="4" w:space="0"/>
              <w:left w:val="none" w:color="000000" w:sz="4" w:space="0"/>
              <w:bottom w:val="single" w:color="auto" w:sz="4" w:space="0"/>
              <w:right w:val="single" w:color="auto" w:sz="4" w:space="0"/>
            </w:tcBorders>
            <w:tcW w:w="5788"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配置实例复制的数量、时间</w:t>
            </w:r>
            <w:r/>
          </w:p>
        </w:tc>
      </w:tr>
      <w:tr>
        <w:trPr>
          <w:trHeight w:val="420"/>
        </w:trPr>
        <w:tc>
          <w:tcPr>
            <w:tcBorders>
              <w:top w:val="none" w:color="000000" w:sz="4" w:space="0"/>
              <w:left w:val="single" w:color="auto" w:sz="4" w:space="0"/>
              <w:bottom w:val="single" w:color="auto" w:sz="4" w:space="0"/>
              <w:right w:val="none" w:color="000000" w:sz="4" w:space="0"/>
            </w:tcBorders>
            <w:tcW w:w="1550"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自动快照</w:t>
            </w:r>
            <w:r/>
          </w:p>
        </w:tc>
        <w:tc>
          <w:tcPr>
            <w:tcBorders>
              <w:top w:val="none" w:color="000000" w:sz="4" w:space="0"/>
              <w:left w:val="none" w:color="000000" w:sz="4" w:space="0"/>
              <w:bottom w:val="single" w:color="auto" w:sz="4" w:space="0"/>
              <w:right w:val="single" w:color="auto" w:sz="4" w:space="0"/>
            </w:tcBorders>
            <w:tcW w:w="5788"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根据时间、频率进行自动快照</w:t>
            </w:r>
            <w:r/>
          </w:p>
        </w:tc>
      </w:tr>
      <w:tr>
        <w:trPr>
          <w:trHeight w:val="420"/>
        </w:trPr>
        <w:tc>
          <w:tcPr>
            <w:tcBorders>
              <w:top w:val="none" w:color="000000" w:sz="4" w:space="0"/>
              <w:left w:val="single" w:color="auto" w:sz="4" w:space="0"/>
              <w:bottom w:val="single" w:color="auto" w:sz="4" w:space="0"/>
              <w:right w:val="none" w:color="000000" w:sz="4" w:space="0"/>
            </w:tcBorders>
            <w:tcW w:w="1550"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快照管理</w:t>
            </w:r>
            <w:r/>
          </w:p>
        </w:tc>
        <w:tc>
          <w:tcPr>
            <w:tcBorders>
              <w:top w:val="none" w:color="000000" w:sz="4" w:space="0"/>
              <w:left w:val="none" w:color="000000" w:sz="4" w:space="0"/>
              <w:bottom w:val="single" w:color="auto" w:sz="4" w:space="0"/>
              <w:right w:val="single" w:color="auto" w:sz="4" w:space="0"/>
            </w:tcBorders>
            <w:tcW w:w="5788"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快照恢复、快照删除、快照创建</w:t>
            </w:r>
            <w:r/>
          </w:p>
        </w:tc>
      </w:tr>
      <w:tr>
        <w:trPr>
          <w:trHeight w:val="420"/>
        </w:trPr>
        <w:tc>
          <w:tcPr>
            <w:tcBorders>
              <w:top w:val="none" w:color="000000" w:sz="4" w:space="0"/>
              <w:left w:val="single" w:color="auto" w:sz="4" w:space="0"/>
              <w:bottom w:val="single" w:color="auto" w:sz="4" w:space="0"/>
              <w:right w:val="none" w:color="000000" w:sz="4" w:space="0"/>
            </w:tcBorders>
            <w:tcW w:w="1550"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镜像列表</w:t>
            </w:r>
            <w:r/>
          </w:p>
        </w:tc>
        <w:tc>
          <w:tcPr>
            <w:tcBorders>
              <w:top w:val="none" w:color="000000" w:sz="4" w:space="0"/>
              <w:left w:val="none" w:color="000000" w:sz="4" w:space="0"/>
              <w:bottom w:val="single" w:color="auto" w:sz="4" w:space="0"/>
              <w:right w:val="single" w:color="auto" w:sz="4" w:space="0"/>
            </w:tcBorders>
            <w:tcW w:w="5788"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Windows\Linux(CentOS、OpenSUSE、Ubuntu)常用版</w:t>
            </w:r>
            <w:r>
              <w:rPr>
                <w:rFonts w:ascii="宋体" w:hAnsi="宋体" w:cs="Times New Roman"/>
                <w:bCs/>
                <w:sz w:val="24"/>
                <w:szCs w:val="24"/>
              </w:rPr>
              <w:t xml:space="preserve">本及客户自定义镜像</w:t>
            </w:r>
            <w:r/>
          </w:p>
        </w:tc>
      </w:tr>
      <w:tr>
        <w:trPr>
          <w:trHeight w:val="420"/>
        </w:trPr>
        <w:tc>
          <w:tcPr>
            <w:tcBorders>
              <w:top w:val="none" w:color="000000" w:sz="4" w:space="0"/>
              <w:left w:val="single" w:color="auto" w:sz="4" w:space="0"/>
              <w:bottom w:val="single" w:color="auto" w:sz="4" w:space="0"/>
              <w:right w:val="none" w:color="000000" w:sz="4" w:space="0"/>
            </w:tcBorders>
            <w:tcW w:w="1550"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镜像管理</w:t>
            </w:r>
            <w:r/>
          </w:p>
        </w:tc>
        <w:tc>
          <w:tcPr>
            <w:tcBorders>
              <w:top w:val="none" w:color="000000" w:sz="4" w:space="0"/>
              <w:left w:val="none" w:color="000000" w:sz="4" w:space="0"/>
              <w:bottom w:val="single" w:color="auto" w:sz="4" w:space="0"/>
              <w:right w:val="single" w:color="auto" w:sz="4" w:space="0"/>
            </w:tcBorders>
            <w:tcW w:w="5788"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自定义镜像管理，可修改、删除、增加</w:t>
            </w:r>
            <w:r/>
          </w:p>
        </w:tc>
      </w:tr>
      <w:tr>
        <w:trPr>
          <w:trHeight w:val="450"/>
        </w:trPr>
        <w:tc>
          <w:tcPr>
            <w:tcBorders>
              <w:top w:val="none" w:color="000000" w:sz="4" w:space="0"/>
              <w:left w:val="single" w:color="auto" w:sz="4" w:space="0"/>
              <w:bottom w:val="none" w:color="000000" w:sz="4" w:space="0"/>
              <w:right w:val="single" w:color="auto" w:sz="4" w:space="0"/>
            </w:tcBorders>
            <w:tcW w:w="1550" w:type="dxa"/>
            <w:vAlign w:val="center"/>
            <w:vMerge w:val="restart"/>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安全组</w:t>
            </w:r>
            <w:r/>
          </w:p>
        </w:tc>
        <w:tc>
          <w:tcPr>
            <w:tcBorders>
              <w:top w:val="none" w:color="000000" w:sz="4" w:space="0"/>
              <w:left w:val="none" w:color="000000"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自定义实例初始化</w:t>
            </w:r>
            <w:r/>
          </w:p>
        </w:tc>
        <w:tc>
          <w:tcPr>
            <w:tcBorders>
              <w:top w:val="none" w:color="000000" w:sz="4" w:space="0"/>
              <w:left w:val="none" w:color="000000" w:sz="4" w:space="0"/>
              <w:bottom w:val="single" w:color="auto" w:sz="4" w:space="0"/>
              <w:right w:val="single" w:color="auto" w:sz="4" w:space="0"/>
            </w:tcBorders>
            <w:tcW w:w="5788"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设置安全组实例的名称、描述、出入方向端口配置</w:t>
            </w:r>
            <w:r/>
          </w:p>
        </w:tc>
      </w:tr>
      <w:tr>
        <w:trPr>
          <w:trHeight w:val="450"/>
        </w:trPr>
        <w:tc>
          <w:tcPr>
            <w:tcBorders>
              <w:top w:val="none" w:color="000000" w:sz="4" w:space="0"/>
              <w:left w:val="single" w:color="auto" w:sz="4" w:space="0"/>
              <w:bottom w:val="none" w:color="000000" w:sz="4" w:space="0"/>
              <w:right w:val="single" w:color="auto" w:sz="4" w:space="0"/>
            </w:tcBorders>
            <w:tcW w:w="1550"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none" w:color="000000"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修改访问策略</w:t>
            </w:r>
            <w:r/>
          </w:p>
        </w:tc>
        <w:tc>
          <w:tcPr>
            <w:tcBorders>
              <w:top w:val="none" w:color="000000" w:sz="4" w:space="0"/>
              <w:left w:val="none" w:color="000000" w:sz="4" w:space="0"/>
              <w:bottom w:val="single" w:color="auto" w:sz="4" w:space="0"/>
              <w:right w:val="single" w:color="auto" w:sz="4" w:space="0"/>
            </w:tcBorders>
            <w:tcW w:w="5788"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安全组实例的入方向、出方向配置修改</w:t>
            </w:r>
            <w:r/>
          </w:p>
        </w:tc>
      </w:tr>
      <w:tr>
        <w:trPr>
          <w:trHeight w:val="450"/>
        </w:trPr>
        <w:tc>
          <w:tcPr>
            <w:tcBorders>
              <w:top w:val="none" w:color="000000" w:sz="4" w:space="0"/>
              <w:left w:val="single" w:color="auto" w:sz="4" w:space="0"/>
              <w:bottom w:val="none" w:color="000000" w:sz="4" w:space="0"/>
              <w:right w:val="single" w:color="auto" w:sz="4" w:space="0"/>
            </w:tcBorders>
            <w:tcW w:w="1550"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none" w:color="000000"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IPv4/IPv6配置</w:t>
            </w:r>
            <w:r/>
          </w:p>
        </w:tc>
        <w:tc>
          <w:tcPr>
            <w:tcBorders>
              <w:top w:val="none" w:color="000000" w:sz="4" w:space="0"/>
              <w:left w:val="none" w:color="000000" w:sz="4" w:space="0"/>
              <w:bottom w:val="single" w:color="auto" w:sz="4" w:space="0"/>
              <w:right w:val="single" w:color="auto" w:sz="4" w:space="0"/>
            </w:tcBorders>
            <w:tcW w:w="5788"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可配置IPv4/IPv6两种类型</w:t>
            </w:r>
            <w:r/>
          </w:p>
        </w:tc>
      </w:tr>
      <w:tr>
        <w:trPr>
          <w:trHeight w:val="450"/>
        </w:trPr>
        <w:tc>
          <w:tcPr>
            <w:tcBorders>
              <w:top w:val="none" w:color="000000" w:sz="4" w:space="0"/>
              <w:left w:val="single" w:color="auto" w:sz="4" w:space="0"/>
              <w:bottom w:val="none" w:color="000000" w:sz="4" w:space="0"/>
              <w:right w:val="single" w:color="auto" w:sz="4" w:space="0"/>
            </w:tcBorders>
            <w:tcW w:w="1550"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none" w:color="000000"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管理安全组</w:t>
            </w:r>
            <w:r/>
          </w:p>
        </w:tc>
        <w:tc>
          <w:tcPr>
            <w:tcBorders>
              <w:top w:val="none" w:color="000000" w:sz="4" w:space="0"/>
              <w:left w:val="none" w:color="000000" w:sz="4" w:space="0"/>
              <w:bottom w:val="single" w:color="auto" w:sz="4" w:space="0"/>
              <w:right w:val="single" w:color="auto" w:sz="4" w:space="0"/>
            </w:tcBorders>
            <w:tcW w:w="5788"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修改名称、查看安全组下实例、按相同配置复制安全组、自定义销毁安全组</w:t>
            </w:r>
            <w:r/>
          </w:p>
        </w:tc>
      </w:tr>
    </w:tbl>
    <w:p>
      <w:pPr>
        <w:numPr>
          <w:ilvl w:val="3"/>
          <w:numId w:val="0"/>
        </w:numPr>
        <w:jc w:val="left"/>
        <w:keepLines/>
        <w:keepNext/>
        <w:spacing w:before="80" w:after="40" w:line="360" w:lineRule="auto"/>
        <w:tabs>
          <w:tab w:val="left" w:pos="0" w:leader="none"/>
        </w:tabs>
        <w:rPr>
          <w:rFonts w:ascii="Calibri" w:hAnsi="Calibri" w:cs="Times New Roman"/>
          <w:color w:val="2d53a0"/>
          <w:sz w:val="28"/>
          <w:szCs w:val="28"/>
        </w:rPr>
        <w:outlineLvl w:val="3"/>
      </w:pPr>
      <w:r>
        <w:rPr>
          <w:rFonts w:ascii="Calibri" w:hAnsi="Calibri" w:cs="Times New Roman"/>
          <w:color w:val="2d53a0"/>
          <w:sz w:val="28"/>
          <w:szCs w:val="28"/>
        </w:rPr>
        <w:t xml:space="preserve">2.2.4</w:t>
      </w:r>
      <w:r>
        <w:rPr>
          <w:rFonts w:ascii="Calibri" w:hAnsi="Calibri" w:cs="Times New Roman"/>
          <w:color w:val="2d53a0"/>
          <w:sz w:val="28"/>
          <w:szCs w:val="28"/>
        </w:rPr>
        <w:t xml:space="preserve">云存储</w:t>
      </w:r>
      <w:r/>
    </w:p>
    <w:tbl>
      <w:tblPr>
        <w:tblW w:w="0" w:type="auto"/>
        <w:tblInd w:w="113" w:type="dxa"/>
        <w:tblLayout w:type="fixed"/>
        <w:tblLook w:val="04A0" w:firstRow="1" w:lastRow="0" w:firstColumn="1" w:lastColumn="0" w:noHBand="0" w:noVBand="1"/>
      </w:tblPr>
      <w:tblGrid>
        <w:gridCol w:w="1234"/>
        <w:gridCol w:w="1238"/>
        <w:gridCol w:w="6050"/>
      </w:tblGrid>
      <w:tr>
        <w:trPr>
          <w:trHeight w:val="643"/>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360" w:lineRule="auto"/>
              <w:widowControl/>
              <w:rPr>
                <w:rFonts w:hint="eastAsia" w:ascii="宋体" w:hAnsi="宋体" w:cs="Times New Roman"/>
                <w:b/>
                <w:sz w:val="24"/>
                <w:szCs w:val="24"/>
              </w:rPr>
            </w:pPr>
            <w:r>
              <w:rPr>
                <w:rFonts w:ascii="宋体" w:hAnsi="宋体" w:cs="Times New Roman"/>
                <w:b/>
                <w:sz w:val="24"/>
                <w:szCs w:val="24"/>
              </w:rPr>
              <w:t xml:space="preserve">服务类别</w:t>
            </w:r>
            <w:r/>
          </w:p>
        </w:tc>
        <w:tc>
          <w:tcPr>
            <w:tcBorders>
              <w:top w:val="single" w:color="auto" w:sz="4" w:space="0"/>
              <w:left w:val="none" w:color="000000" w:sz="4" w:space="0"/>
              <w:bottom w:val="single" w:color="auto" w:sz="4" w:space="0"/>
              <w:right w:val="single" w:color="auto" w:sz="4" w:space="0"/>
            </w:tcBorders>
            <w:tcW w:w="1238" w:type="dxa"/>
            <w:vAlign w:val="center"/>
            <w:textDirection w:val="lrTb"/>
            <w:noWrap w:val="false"/>
          </w:tcPr>
          <w:p>
            <w:pPr>
              <w:jc w:val="center"/>
              <w:spacing w:line="360" w:lineRule="auto"/>
              <w:widowControl/>
              <w:rPr>
                <w:rFonts w:hint="eastAsia" w:ascii="宋体" w:hAnsi="宋体" w:cs="Times New Roman"/>
                <w:b/>
                <w:sz w:val="24"/>
                <w:szCs w:val="24"/>
              </w:rPr>
            </w:pPr>
            <w:r>
              <w:rPr>
                <w:rFonts w:ascii="宋体" w:hAnsi="宋体" w:cs="Times New Roman"/>
                <w:b/>
                <w:sz w:val="24"/>
                <w:szCs w:val="24"/>
              </w:rPr>
              <w:t xml:space="preserve">技术指标</w:t>
            </w:r>
            <w:r/>
          </w:p>
        </w:tc>
        <w:tc>
          <w:tcPr>
            <w:tcBorders>
              <w:top w:val="single" w:color="auto" w:sz="4" w:space="0"/>
              <w:left w:val="none" w:color="000000" w:sz="4" w:space="0"/>
              <w:bottom w:val="single" w:color="auto" w:sz="4" w:space="0"/>
              <w:right w:val="single" w:color="auto" w:sz="4" w:space="0"/>
            </w:tcBorders>
            <w:tcW w:w="6050" w:type="dxa"/>
            <w:vAlign w:val="center"/>
            <w:textDirection w:val="lrTb"/>
            <w:noWrap w:val="false"/>
          </w:tcPr>
          <w:p>
            <w:pPr>
              <w:jc w:val="center"/>
              <w:spacing w:line="360" w:lineRule="auto"/>
              <w:widowControl/>
              <w:rPr>
                <w:rFonts w:hint="eastAsia" w:ascii="宋体" w:hAnsi="宋体" w:cs="Times New Roman"/>
                <w:b/>
                <w:sz w:val="24"/>
                <w:szCs w:val="24"/>
              </w:rPr>
            </w:pPr>
            <w:r>
              <w:rPr>
                <w:rFonts w:ascii="宋体" w:hAnsi="宋体" w:cs="Times New Roman"/>
                <w:b/>
                <w:sz w:val="24"/>
                <w:szCs w:val="24"/>
              </w:rPr>
              <w:t xml:space="preserve">技术要求</w:t>
            </w:r>
            <w:r/>
          </w:p>
        </w:tc>
      </w:tr>
      <w:tr>
        <w:trPr>
          <w:trHeight w:val="420"/>
        </w:trPr>
        <w:tc>
          <w:tcPr>
            <w:tcBorders>
              <w:top w:val="none" w:color="000000" w:sz="4" w:space="0"/>
              <w:left w:val="single" w:color="auto" w:sz="4" w:space="0"/>
              <w:bottom w:val="single" w:color="auto" w:sz="4" w:space="0"/>
              <w:right w:val="single" w:color="auto" w:sz="4" w:space="0"/>
            </w:tcBorders>
            <w:tcW w:w="1234" w:type="dxa"/>
            <w:vAlign w:val="center"/>
            <w:vMerge w:val="restart"/>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云硬盘</w:t>
            </w:r>
            <w:r/>
          </w:p>
        </w:tc>
        <w:tc>
          <w:tcPr>
            <w:tcBorders>
              <w:top w:val="single" w:color="auto" w:sz="4" w:space="0"/>
              <w:left w:val="none" w:color="000000" w:sz="4" w:space="0"/>
              <w:bottom w:val="single" w:color="auto" w:sz="4" w:space="0"/>
              <w:right w:val="single" w:color="auto" w:sz="4" w:space="0"/>
            </w:tcBorders>
            <w:tcW w:w="123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自定义实例初始化</w:t>
            </w:r>
            <w:r/>
          </w:p>
        </w:tc>
        <w:tc>
          <w:tcPr>
            <w:tcBorders>
              <w:top w:val="single" w:color="auto" w:sz="4" w:space="0"/>
              <w:left w:val="none" w:color="000000" w:sz="4" w:space="0"/>
              <w:bottom w:val="single" w:color="auto" w:sz="4" w:space="0"/>
              <w:right w:val="single" w:color="auto" w:sz="4" w:space="0"/>
            </w:tcBorders>
            <w:tcW w:w="6050"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支持按自定义名称、容量、类型、可用域等进行自定义实例初始化</w:t>
            </w:r>
            <w:r/>
          </w:p>
        </w:tc>
      </w:tr>
      <w:tr>
        <w:trPr>
          <w:trHeight w:val="420"/>
        </w:trPr>
        <w:tc>
          <w:tcPr>
            <w:tcBorders>
              <w:top w:val="none" w:color="000000" w:sz="4" w:space="0"/>
              <w:left w:val="single" w:color="auto" w:sz="4" w:space="0"/>
              <w:bottom w:val="single" w:color="auto" w:sz="4" w:space="0"/>
              <w:right w:val="single" w:color="auto" w:sz="4" w:space="0"/>
            </w:tcBorders>
            <w:tcW w:w="1234"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none" w:color="000000" w:sz="4" w:space="0"/>
              <w:bottom w:val="single" w:color="auto" w:sz="4" w:space="0"/>
              <w:right w:val="single" w:color="auto" w:sz="4" w:space="0"/>
            </w:tcBorders>
            <w:tcW w:w="123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实例操作</w:t>
            </w:r>
            <w:r/>
          </w:p>
        </w:tc>
        <w:tc>
          <w:tcPr>
            <w:tcBorders>
              <w:top w:val="none" w:color="000000" w:sz="4" w:space="0"/>
              <w:left w:val="none" w:color="000000" w:sz="4" w:space="0"/>
              <w:bottom w:val="single" w:color="auto" w:sz="4" w:space="0"/>
              <w:right w:val="single" w:color="auto" w:sz="4" w:space="0"/>
            </w:tcBorders>
            <w:tcW w:w="6050"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支持名称修改、按需进行实例销毁、卸载/挂载到指定的云服务器实例</w:t>
            </w:r>
            <w:r/>
          </w:p>
        </w:tc>
      </w:tr>
      <w:tr>
        <w:trPr>
          <w:trHeight w:val="420"/>
        </w:trPr>
        <w:tc>
          <w:tcPr>
            <w:tcBorders>
              <w:top w:val="none" w:color="000000" w:sz="4" w:space="0"/>
              <w:left w:val="single" w:color="auto" w:sz="4" w:space="0"/>
              <w:bottom w:val="single" w:color="auto" w:sz="4" w:space="0"/>
              <w:right w:val="single" w:color="auto" w:sz="4" w:space="0"/>
            </w:tcBorders>
            <w:tcW w:w="1234"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none" w:color="000000" w:sz="4" w:space="0"/>
              <w:bottom w:val="single" w:color="auto" w:sz="4" w:space="0"/>
              <w:right w:val="single" w:color="auto" w:sz="4" w:space="0"/>
            </w:tcBorders>
            <w:tcW w:w="123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实例查询</w:t>
            </w:r>
            <w:r/>
          </w:p>
        </w:tc>
        <w:tc>
          <w:tcPr>
            <w:tcBorders>
              <w:top w:val="none" w:color="000000" w:sz="4" w:space="0"/>
              <w:left w:val="none" w:color="000000" w:sz="4" w:space="0"/>
              <w:bottom w:val="single" w:color="auto" w:sz="4" w:space="0"/>
              <w:right w:val="single" w:color="auto" w:sz="4" w:space="0"/>
            </w:tcBorders>
            <w:tcW w:w="6050"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支持根据实例信息的单项、多项信息进行查询</w:t>
            </w:r>
            <w:r/>
          </w:p>
        </w:tc>
      </w:tr>
      <w:tr>
        <w:trPr>
          <w:trHeight w:val="579"/>
        </w:trPr>
        <w:tc>
          <w:tcPr>
            <w:tcBorders>
              <w:top w:val="none" w:color="000000" w:sz="4" w:space="0"/>
              <w:left w:val="single" w:color="auto" w:sz="4" w:space="0"/>
              <w:bottom w:val="single" w:color="auto" w:sz="4" w:space="0"/>
              <w:right w:val="single" w:color="auto" w:sz="4" w:space="0"/>
            </w:tcBorders>
            <w:tcW w:w="1234"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none" w:color="000000" w:sz="4" w:space="0"/>
              <w:bottom w:val="single" w:color="auto" w:sz="4" w:space="0"/>
              <w:right w:val="single" w:color="auto" w:sz="4" w:space="0"/>
            </w:tcBorders>
            <w:tcW w:w="123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云服务器加载</w:t>
            </w:r>
            <w:r/>
          </w:p>
        </w:tc>
        <w:tc>
          <w:tcPr>
            <w:tcBorders>
              <w:top w:val="none" w:color="000000" w:sz="4" w:space="0"/>
              <w:left w:val="none" w:color="000000" w:sz="4" w:space="0"/>
              <w:bottom w:val="single" w:color="auto" w:sz="4" w:space="0"/>
              <w:right w:val="single" w:color="auto" w:sz="4" w:space="0"/>
            </w:tcBorders>
            <w:tcW w:w="6050"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支持自定义实例加载到指定的云服务器</w:t>
            </w:r>
            <w:r/>
          </w:p>
        </w:tc>
      </w:tr>
      <w:tr>
        <w:trPr>
          <w:trHeight w:val="420"/>
        </w:trPr>
        <w:tc>
          <w:tcPr>
            <w:tcBorders>
              <w:top w:val="none" w:color="000000" w:sz="4" w:space="0"/>
              <w:left w:val="single" w:color="auto" w:sz="4" w:space="0"/>
              <w:bottom w:val="single" w:color="auto" w:sz="4" w:space="0"/>
              <w:right w:val="single" w:color="auto" w:sz="4" w:space="0"/>
            </w:tcBorders>
            <w:tcW w:w="1234"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none" w:color="000000" w:sz="4" w:space="0"/>
              <w:bottom w:val="single" w:color="auto" w:sz="4" w:space="0"/>
              <w:right w:val="single" w:color="auto" w:sz="4" w:space="0"/>
            </w:tcBorders>
            <w:tcW w:w="123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可用域优化</w:t>
            </w:r>
            <w:r/>
          </w:p>
        </w:tc>
        <w:tc>
          <w:tcPr>
            <w:tcBorders>
              <w:top w:val="none" w:color="000000" w:sz="4" w:space="0"/>
              <w:left w:val="none" w:color="000000" w:sz="4" w:space="0"/>
              <w:bottom w:val="single" w:color="auto" w:sz="4" w:space="0"/>
              <w:right w:val="single" w:color="auto" w:sz="4" w:space="0"/>
            </w:tcBorders>
            <w:tcW w:w="6050"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支持挂载时的用户校验、配额校验</w:t>
            </w:r>
            <w:r/>
          </w:p>
        </w:tc>
      </w:tr>
      <w:tr>
        <w:trPr>
          <w:trHeight w:val="420"/>
        </w:trPr>
        <w:tc>
          <w:tcPr>
            <w:tcBorders>
              <w:top w:val="none" w:color="000000" w:sz="4" w:space="0"/>
              <w:left w:val="single" w:color="auto" w:sz="4" w:space="0"/>
              <w:bottom w:val="single" w:color="auto" w:sz="4" w:space="0"/>
              <w:right w:val="single" w:color="auto" w:sz="4" w:space="0"/>
            </w:tcBorders>
            <w:tcW w:w="1234"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none" w:color="000000" w:sz="4" w:space="0"/>
              <w:bottom w:val="single" w:color="auto" w:sz="4" w:space="0"/>
              <w:right w:val="single" w:color="auto" w:sz="4" w:space="0"/>
            </w:tcBorders>
            <w:tcW w:w="123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回收站</w:t>
            </w:r>
            <w:r/>
          </w:p>
        </w:tc>
        <w:tc>
          <w:tcPr>
            <w:tcBorders>
              <w:top w:val="none" w:color="000000" w:sz="4" w:space="0"/>
              <w:left w:val="none" w:color="000000" w:sz="4" w:space="0"/>
              <w:bottom w:val="single" w:color="auto" w:sz="4" w:space="0"/>
              <w:right w:val="single" w:color="auto" w:sz="4" w:space="0"/>
            </w:tcBorders>
            <w:tcW w:w="6050"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支持对已删除的实例进行回收处理</w:t>
            </w:r>
            <w:r/>
          </w:p>
        </w:tc>
      </w:tr>
      <w:tr>
        <w:trPr>
          <w:trHeight w:val="420"/>
        </w:trPr>
        <w:tc>
          <w:tcPr>
            <w:tcBorders>
              <w:top w:val="none" w:color="000000" w:sz="4" w:space="0"/>
              <w:left w:val="single" w:color="auto" w:sz="4" w:space="0"/>
              <w:bottom w:val="single" w:color="auto" w:sz="4" w:space="0"/>
              <w:right w:val="single" w:color="auto" w:sz="4" w:space="0"/>
            </w:tcBorders>
            <w:tcW w:w="1234"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none" w:color="000000" w:sz="4" w:space="0"/>
              <w:bottom w:val="single" w:color="auto" w:sz="4" w:space="0"/>
              <w:right w:val="single" w:color="auto" w:sz="4" w:space="0"/>
            </w:tcBorders>
            <w:tcW w:w="123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监控告警</w:t>
            </w:r>
            <w:r/>
          </w:p>
        </w:tc>
        <w:tc>
          <w:tcPr>
            <w:tcBorders>
              <w:top w:val="none" w:color="000000" w:sz="4" w:space="0"/>
              <w:left w:val="none" w:color="000000" w:sz="4" w:space="0"/>
              <w:bottom w:val="single" w:color="auto" w:sz="4" w:space="0"/>
              <w:right w:val="single" w:color="auto" w:sz="4" w:space="0"/>
            </w:tcBorders>
            <w:tcW w:w="6050"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支持对实例的写入、读取、性能等指标的监控展示</w:t>
            </w:r>
            <w:r/>
          </w:p>
        </w:tc>
      </w:tr>
      <w:tr>
        <w:trPr>
          <w:trHeight w:val="420"/>
        </w:trPr>
        <w:tc>
          <w:tcPr>
            <w:tcBorders>
              <w:top w:val="none" w:color="000000" w:sz="4" w:space="0"/>
              <w:left w:val="single" w:color="auto" w:sz="4" w:space="0"/>
              <w:bottom w:val="single" w:color="auto" w:sz="4" w:space="0"/>
              <w:right w:val="single" w:color="auto" w:sz="4" w:space="0"/>
            </w:tcBorders>
            <w:tcW w:w="1234"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none" w:color="000000" w:sz="4" w:space="0"/>
              <w:bottom w:val="single" w:color="auto" w:sz="4" w:space="0"/>
              <w:right w:val="single" w:color="auto" w:sz="4" w:space="0"/>
            </w:tcBorders>
            <w:tcW w:w="123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自动快照</w:t>
            </w:r>
            <w:r/>
          </w:p>
        </w:tc>
        <w:tc>
          <w:tcPr>
            <w:tcBorders>
              <w:top w:val="none" w:color="000000" w:sz="4" w:space="0"/>
              <w:left w:val="none" w:color="000000" w:sz="4" w:space="0"/>
              <w:bottom w:val="single" w:color="auto" w:sz="4" w:space="0"/>
              <w:right w:val="single" w:color="auto" w:sz="4" w:space="0"/>
            </w:tcBorders>
            <w:tcW w:w="6050"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可根据时间、指定云硬盘实例设置自动快照策略</w:t>
            </w:r>
            <w:r/>
          </w:p>
        </w:tc>
      </w:tr>
      <w:tr>
        <w:trPr>
          <w:trHeight w:val="420"/>
        </w:trPr>
        <w:tc>
          <w:tcPr>
            <w:tcBorders>
              <w:top w:val="none" w:color="000000" w:sz="4" w:space="0"/>
              <w:left w:val="single" w:color="auto" w:sz="4" w:space="0"/>
              <w:bottom w:val="single" w:color="auto" w:sz="4" w:space="0"/>
              <w:right w:val="single" w:color="auto" w:sz="4" w:space="0"/>
            </w:tcBorders>
            <w:tcW w:w="1234"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none" w:color="000000" w:sz="4" w:space="0"/>
              <w:bottom w:val="single" w:color="auto" w:sz="4" w:space="0"/>
              <w:right w:val="single" w:color="auto" w:sz="4" w:space="0"/>
            </w:tcBorders>
            <w:tcW w:w="1238"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快照管理</w:t>
            </w:r>
            <w:r/>
          </w:p>
        </w:tc>
        <w:tc>
          <w:tcPr>
            <w:tcBorders>
              <w:top w:val="none" w:color="000000" w:sz="4" w:space="0"/>
              <w:left w:val="none" w:color="000000" w:sz="4" w:space="0"/>
              <w:bottom w:val="single" w:color="auto" w:sz="4" w:space="0"/>
              <w:right w:val="single" w:color="auto" w:sz="4" w:space="0"/>
            </w:tcBorders>
            <w:tcW w:w="6050"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支持云硬盘实例的快照创建、修改、恢复、删除</w:t>
            </w:r>
            <w:r/>
          </w:p>
        </w:tc>
      </w:tr>
    </w:tbl>
    <w:p>
      <w:pPr>
        <w:numPr>
          <w:ilvl w:val="3"/>
          <w:numId w:val="0"/>
        </w:numPr>
        <w:jc w:val="left"/>
        <w:keepLines/>
        <w:keepNext/>
        <w:spacing w:before="80" w:after="40" w:line="360" w:lineRule="auto"/>
        <w:tabs>
          <w:tab w:val="left" w:pos="0" w:leader="none"/>
        </w:tabs>
        <w:rPr>
          <w:rFonts w:ascii="Calibri" w:hAnsi="Calibri" w:cs="Times New Roman"/>
          <w:color w:val="2d53a0"/>
          <w:sz w:val="28"/>
          <w:szCs w:val="28"/>
        </w:rPr>
        <w:outlineLvl w:val="3"/>
      </w:pPr>
      <w:r>
        <w:rPr>
          <w:rFonts w:ascii="Calibri" w:hAnsi="Calibri" w:cs="Times New Roman"/>
          <w:color w:val="2d53a0"/>
          <w:sz w:val="28"/>
          <w:szCs w:val="28"/>
        </w:rPr>
        <w:t xml:space="preserve">2.2.5</w:t>
      </w:r>
      <w:r>
        <w:rPr>
          <w:rFonts w:ascii="Calibri" w:hAnsi="Calibri" w:cs="Times New Roman"/>
          <w:color w:val="2d53a0"/>
          <w:sz w:val="28"/>
          <w:szCs w:val="28"/>
        </w:rPr>
        <w:t xml:space="preserve">可信云认证</w:t>
      </w:r>
      <w:r/>
    </w:p>
    <w:tbl>
      <w:tblPr>
        <w:tblW w:w="0" w:type="auto"/>
        <w:jc w:val="center"/>
        <w:tblLayout w:type="fixed"/>
        <w:tblLook w:val="04A0" w:firstRow="1" w:lastRow="0" w:firstColumn="1" w:lastColumn="0" w:noHBand="0" w:noVBand="1"/>
      </w:tblPr>
      <w:tblGrid>
        <w:gridCol w:w="1253"/>
        <w:gridCol w:w="1294"/>
        <w:gridCol w:w="5975"/>
      </w:tblGrid>
      <w:tr>
        <w:trPr>
          <w:jc w:val="center"/>
          <w:trHeight w:val="524"/>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360" w:lineRule="auto"/>
              <w:widowControl/>
              <w:rPr>
                <w:rFonts w:hint="eastAsia" w:ascii="宋体" w:hAnsi="宋体" w:cs="Times New Roman"/>
                <w:b/>
                <w:sz w:val="24"/>
                <w:szCs w:val="24"/>
              </w:rPr>
            </w:pPr>
            <w:r>
              <w:rPr>
                <w:rFonts w:ascii="宋体" w:hAnsi="宋体" w:cs="Times New Roman"/>
                <w:b/>
                <w:sz w:val="24"/>
                <w:szCs w:val="24"/>
              </w:rPr>
              <w:t xml:space="preserve">服务类别</w:t>
            </w:r>
            <w:r/>
          </w:p>
        </w:tc>
        <w:tc>
          <w:tcPr>
            <w:tcBorders>
              <w:top w:val="single" w:color="auto" w:sz="4" w:space="0"/>
              <w:left w:val="none" w:color="000000" w:sz="4" w:space="0"/>
              <w:bottom w:val="single" w:color="auto" w:sz="4" w:space="0"/>
              <w:right w:val="single" w:color="auto" w:sz="4" w:space="0"/>
            </w:tcBorders>
            <w:tcW w:w="1294" w:type="dxa"/>
            <w:vAlign w:val="center"/>
            <w:textDirection w:val="lrTb"/>
            <w:noWrap w:val="false"/>
          </w:tcPr>
          <w:p>
            <w:pPr>
              <w:jc w:val="center"/>
              <w:spacing w:line="360" w:lineRule="auto"/>
              <w:widowControl/>
              <w:rPr>
                <w:rFonts w:hint="eastAsia" w:ascii="宋体" w:hAnsi="宋体" w:cs="Times New Roman"/>
                <w:b/>
                <w:sz w:val="24"/>
                <w:szCs w:val="24"/>
              </w:rPr>
            </w:pPr>
            <w:r>
              <w:rPr>
                <w:rFonts w:ascii="宋体" w:hAnsi="宋体" w:cs="Times New Roman"/>
                <w:b/>
                <w:sz w:val="24"/>
                <w:szCs w:val="24"/>
              </w:rPr>
              <w:t xml:space="preserve">技术指标</w:t>
            </w:r>
            <w:r/>
          </w:p>
        </w:tc>
        <w:tc>
          <w:tcPr>
            <w:tcBorders>
              <w:top w:val="single" w:color="auto" w:sz="4" w:space="0"/>
              <w:left w:val="none" w:color="000000" w:sz="4" w:space="0"/>
              <w:bottom w:val="single" w:color="auto" w:sz="4" w:space="0"/>
              <w:right w:val="single" w:color="auto" w:sz="4" w:space="0"/>
            </w:tcBorders>
            <w:tcW w:w="5975" w:type="dxa"/>
            <w:vAlign w:val="center"/>
            <w:textDirection w:val="lrTb"/>
            <w:noWrap w:val="false"/>
          </w:tcPr>
          <w:p>
            <w:pPr>
              <w:jc w:val="center"/>
              <w:spacing w:line="360" w:lineRule="auto"/>
              <w:widowControl/>
              <w:rPr>
                <w:rFonts w:hint="eastAsia" w:ascii="宋体" w:hAnsi="宋体" w:cs="Times New Roman"/>
                <w:b/>
                <w:sz w:val="24"/>
                <w:szCs w:val="24"/>
              </w:rPr>
            </w:pPr>
            <w:r>
              <w:rPr>
                <w:rFonts w:ascii="宋体" w:hAnsi="宋体" w:cs="Times New Roman"/>
                <w:b/>
                <w:sz w:val="24"/>
                <w:szCs w:val="24"/>
              </w:rPr>
              <w:t xml:space="preserve">技术要求</w:t>
            </w:r>
            <w:r/>
          </w:p>
        </w:tc>
      </w:tr>
      <w:tr>
        <w:trPr>
          <w:jc w:val="center"/>
          <w:trHeight w:val="795"/>
        </w:trPr>
        <w:tc>
          <w:tcPr>
            <w:tcBorders>
              <w:top w:val="none" w:color="000000" w:sz="4" w:space="0"/>
              <w:left w:val="single" w:color="auto" w:sz="4" w:space="0"/>
              <w:bottom w:val="none" w:color="000000" w:sz="4" w:space="0"/>
              <w:right w:val="single" w:color="auto" w:sz="4" w:space="0"/>
            </w:tcBorders>
            <w:tcW w:w="1253" w:type="dxa"/>
            <w:vAlign w:val="center"/>
            <w:vMerge w:val="restart"/>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可信云认证</w:t>
            </w:r>
            <w:r/>
          </w:p>
        </w:tc>
        <w:tc>
          <w:tcPr>
            <w:tcBorders>
              <w:top w:val="single" w:color="auto" w:sz="4" w:space="0"/>
              <w:left w:val="none" w:color="000000" w:sz="4" w:space="0"/>
              <w:bottom w:val="single" w:color="auto" w:sz="4" w:space="0"/>
              <w:right w:val="single" w:color="auto" w:sz="4" w:space="0"/>
            </w:tcBorders>
            <w:tcW w:w="1294"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可信云云主机 </w:t>
            </w:r>
            <w:r/>
          </w:p>
        </w:tc>
        <w:tc>
          <w:tcPr>
            <w:tcBorders>
              <w:top w:val="none" w:color="000000" w:sz="4" w:space="0"/>
              <w:left w:val="none" w:color="000000" w:sz="4" w:space="0"/>
              <w:bottom w:val="single" w:color="auto" w:sz="4" w:space="0"/>
              <w:right w:val="single" w:color="auto" w:sz="4" w:space="0"/>
            </w:tcBorders>
            <w:tcW w:w="5975"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▲可信云云主机业务可用性优于基本要求且≥99.95%，数据存储持久性≥99.9999999999%。（需提供可信云网站截图，并加盖服务提供商公章）参照可信云官网最新数据。 </w:t>
            </w:r>
            <w:r/>
          </w:p>
        </w:tc>
      </w:tr>
      <w:tr>
        <w:trPr>
          <w:jc w:val="center"/>
          <w:trHeight w:val="795"/>
        </w:trPr>
        <w:tc>
          <w:tcPr>
            <w:tcBorders>
              <w:top w:val="none" w:color="000000" w:sz="4" w:space="0"/>
              <w:left w:val="single" w:color="auto" w:sz="4" w:space="0"/>
              <w:bottom w:val="none" w:color="000000" w:sz="4" w:space="0"/>
              <w:right w:val="single" w:color="auto" w:sz="4" w:space="0"/>
            </w:tcBorders>
            <w:tcW w:w="1253"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none" w:color="000000" w:sz="4" w:space="0"/>
              <w:bottom w:val="single" w:color="auto" w:sz="4" w:space="0"/>
              <w:right w:val="single" w:color="auto" w:sz="4" w:space="0"/>
            </w:tcBorders>
            <w:tcW w:w="1294"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可信云块存储</w:t>
            </w:r>
            <w:r/>
          </w:p>
        </w:tc>
        <w:tc>
          <w:tcPr>
            <w:tcBorders>
              <w:top w:val="none" w:color="000000" w:sz="4" w:space="0"/>
              <w:left w:val="none" w:color="000000" w:sz="4" w:space="0"/>
              <w:bottom w:val="single" w:color="auto" w:sz="4" w:space="0"/>
              <w:right w:val="single" w:color="auto" w:sz="4" w:space="0"/>
            </w:tcBorders>
            <w:tcW w:w="5975"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▲可信云块存储业务可用性优于基本要求且≥99.999% ，数据存储持久性≥99.9999999999%。（需提供可信云网站截图，并加盖服务提供商公章）参照可信云官网最新数据。 </w:t>
            </w:r>
            <w:r/>
          </w:p>
        </w:tc>
      </w:tr>
      <w:tr>
        <w:trPr>
          <w:jc w:val="center"/>
          <w:trHeight w:val="795"/>
        </w:trPr>
        <w:tc>
          <w:tcPr>
            <w:tcBorders>
              <w:top w:val="none" w:color="000000" w:sz="4" w:space="0"/>
              <w:left w:val="single" w:color="auto" w:sz="4" w:space="0"/>
              <w:bottom w:val="none" w:color="000000" w:sz="4" w:space="0"/>
              <w:right w:val="single" w:color="auto" w:sz="4" w:space="0"/>
            </w:tcBorders>
            <w:tcW w:w="1253"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none" w:color="000000" w:sz="4" w:space="0"/>
              <w:bottom w:val="single" w:color="auto" w:sz="4" w:space="0"/>
              <w:right w:val="single" w:color="auto" w:sz="4" w:space="0"/>
            </w:tcBorders>
            <w:tcW w:w="1294"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可信云云数据库</w:t>
            </w:r>
            <w:r/>
          </w:p>
        </w:tc>
        <w:tc>
          <w:tcPr>
            <w:tcBorders>
              <w:top w:val="none" w:color="000000" w:sz="4" w:space="0"/>
              <w:left w:val="none" w:color="000000" w:sz="4" w:space="0"/>
              <w:bottom w:val="single" w:color="auto" w:sz="4" w:space="0"/>
              <w:right w:val="single" w:color="auto" w:sz="4" w:space="0"/>
            </w:tcBorders>
            <w:tcW w:w="5975"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▲可信云云数据库业务可用性优于基本要求且≥99.95%，数据存储持久性≥99.9999999999%。（需提供可信云网站截图，并加盖服务提供商公章）参照可信云官网最新数据。</w:t>
            </w:r>
            <w:r/>
          </w:p>
        </w:tc>
      </w:tr>
      <w:tr>
        <w:trPr>
          <w:jc w:val="center"/>
          <w:trHeight w:val="795"/>
        </w:trPr>
        <w:tc>
          <w:tcPr>
            <w:tcBorders>
              <w:top w:val="none" w:color="000000" w:sz="4" w:space="0"/>
              <w:left w:val="single" w:color="auto" w:sz="4" w:space="0"/>
              <w:bottom w:val="none" w:color="000000" w:sz="4" w:space="0"/>
              <w:right w:val="single" w:color="auto" w:sz="4" w:space="0"/>
            </w:tcBorders>
            <w:tcW w:w="1253" w:type="dxa"/>
            <w:vAlign w:val="center"/>
            <w:vMerge w:val="continue"/>
            <w:textDirection w:val="lrTb"/>
            <w:noWrap w:val="false"/>
          </w:tcPr>
          <w:p>
            <w:pPr>
              <w:jc w:val="left"/>
              <w:spacing w:line="360" w:lineRule="auto"/>
              <w:widowControl/>
              <w:rPr>
                <w:rFonts w:hint="eastAsia" w:ascii="宋体" w:hAnsi="宋体" w:cs="Times New Roman"/>
                <w:bCs/>
                <w:sz w:val="24"/>
                <w:szCs w:val="24"/>
              </w:rPr>
            </w:pPr>
            <w:r>
              <w:rPr>
                <w:rFonts w:hint="eastAsia" w:ascii="宋体" w:hAnsi="宋体" w:cs="Times New Roman"/>
                <w:bCs/>
                <w:sz w:val="24"/>
                <w:szCs w:val="24"/>
              </w:rPr>
            </w:r>
            <w:r/>
          </w:p>
        </w:tc>
        <w:tc>
          <w:tcPr>
            <w:tcBorders>
              <w:top w:val="none" w:color="000000" w:sz="4" w:space="0"/>
              <w:left w:val="none" w:color="000000" w:sz="4" w:space="0"/>
              <w:bottom w:val="single" w:color="auto" w:sz="4" w:space="0"/>
              <w:right w:val="single" w:color="auto" w:sz="4" w:space="0"/>
            </w:tcBorders>
            <w:tcW w:w="1294" w:type="dxa"/>
            <w:vAlign w:val="center"/>
            <w:textDirection w:val="lrTb"/>
            <w:noWrap w:val="false"/>
          </w:tcPr>
          <w:p>
            <w:pPr>
              <w:jc w:val="center"/>
              <w:spacing w:line="360" w:lineRule="auto"/>
              <w:widowControl/>
              <w:rPr>
                <w:rFonts w:hint="eastAsia" w:ascii="宋体" w:hAnsi="宋体" w:cs="Times New Roman"/>
                <w:bCs/>
                <w:sz w:val="24"/>
                <w:szCs w:val="24"/>
              </w:rPr>
            </w:pPr>
            <w:r>
              <w:rPr>
                <w:rFonts w:ascii="宋体" w:hAnsi="宋体" w:cs="Times New Roman"/>
                <w:bCs/>
                <w:sz w:val="24"/>
                <w:szCs w:val="24"/>
              </w:rPr>
              <w:t xml:space="preserve">可信云云缓存</w:t>
            </w:r>
            <w:r/>
          </w:p>
        </w:tc>
        <w:tc>
          <w:tcPr>
            <w:tcBorders>
              <w:top w:val="none" w:color="000000" w:sz="4" w:space="0"/>
              <w:left w:val="none" w:color="000000" w:sz="4" w:space="0"/>
              <w:bottom w:val="single" w:color="auto" w:sz="4" w:space="0"/>
              <w:right w:val="single" w:color="auto" w:sz="4" w:space="0"/>
            </w:tcBorders>
            <w:tcW w:w="5975" w:type="dxa"/>
            <w:vAlign w:val="center"/>
            <w:textDirection w:val="lrTb"/>
            <w:noWrap w:val="false"/>
          </w:tcPr>
          <w:p>
            <w:pPr>
              <w:jc w:val="left"/>
              <w:spacing w:line="360" w:lineRule="auto"/>
              <w:widowControl/>
              <w:rPr>
                <w:rFonts w:hint="eastAsia" w:ascii="宋体" w:hAnsi="宋体" w:cs="Times New Roman"/>
                <w:bCs/>
                <w:sz w:val="24"/>
                <w:szCs w:val="24"/>
              </w:rPr>
            </w:pPr>
            <w:r>
              <w:rPr>
                <w:rFonts w:ascii="宋体" w:hAnsi="宋体" w:cs="Times New Roman"/>
                <w:bCs/>
                <w:sz w:val="24"/>
                <w:szCs w:val="24"/>
              </w:rPr>
              <w:t xml:space="preserve">▲可信云云缓存业务可用性满足基本要求，数据存储持久性≥99.9999%。（需提供可信云网站截图，并加盖服务提供商公章）参照可信云官网最新数据。</w:t>
            </w:r>
            <w:r/>
          </w:p>
        </w:tc>
      </w:tr>
    </w:tbl>
    <w:p>
      <w:pPr>
        <w:jc w:val="left"/>
        <w:spacing w:after="120" w:line="360" w:lineRule="auto"/>
        <w:rPr>
          <w:rFonts w:ascii="Calibri" w:hAnsi="Calibri" w:cs="Times New Roman"/>
          <w:sz w:val="24"/>
          <w:szCs w:val="24"/>
        </w:rPr>
      </w:pPr>
      <w:r>
        <w:rPr>
          <w:rFonts w:ascii="Calibri" w:hAnsi="Calibri" w:cs="Times New Roman"/>
          <w:sz w:val="24"/>
          <w:szCs w:val="24"/>
        </w:rPr>
      </w:r>
      <w:r/>
    </w:p>
    <w:p>
      <w:pPr>
        <w:numPr>
          <w:ilvl w:val="2"/>
          <w:numId w:val="0"/>
        </w:numPr>
        <w:jc w:val="left"/>
        <w:spacing w:line="360" w:lineRule="auto"/>
        <w:tabs>
          <w:tab w:val="left" w:pos="0" w:leader="none"/>
        </w:tabs>
        <w:rPr>
          <w:rFonts w:hint="eastAsia" w:ascii="宋体" w:hAnsi="宋体" w:cs="Times New Roman"/>
          <w:b/>
          <w:bCs/>
          <w:sz w:val="28"/>
          <w:szCs w:val="27"/>
        </w:rPr>
        <w:outlineLvl w:val="2"/>
      </w:pPr>
      <w:r>
        <w:rPr>
          <w:rFonts w:ascii="宋体" w:hAnsi="宋体" w:cs="Times New Roman"/>
          <w:b/>
          <w:bCs/>
          <w:sz w:val="28"/>
          <w:szCs w:val="27"/>
        </w:rPr>
        <w:t xml:space="preserve">2.3服务器托管</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72"/>
        <w:gridCol w:w="6839"/>
      </w:tblGrid>
      <w:tr>
        <w:trPr>
          <w:jc w:val="center"/>
          <w:trHeight w:val="947"/>
        </w:trPr>
        <w:tc>
          <w:tcPr>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jc w:val="center"/>
              <w:spacing w:line="360" w:lineRule="auto"/>
              <w:widowControl/>
              <w:rPr>
                <w:rFonts w:hint="eastAsia" w:ascii="宋体" w:hAnsi="宋体" w:cs="Times New Roman"/>
                <w:b/>
                <w:bCs/>
                <w:color w:val="000000"/>
                <w:sz w:val="24"/>
              </w:rPr>
            </w:pPr>
            <w:r>
              <w:rPr>
                <w:rFonts w:ascii="宋体" w:hAnsi="宋体" w:cs="Times New Roman"/>
                <w:b/>
                <w:bCs/>
                <w:color w:val="000000"/>
                <w:sz w:val="24"/>
              </w:rPr>
              <w:t xml:space="preserve">服务内容</w:t>
            </w:r>
            <w:r/>
          </w:p>
        </w:tc>
        <w:tc>
          <w:tcPr>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jc w:val="center"/>
              <w:spacing w:line="360" w:lineRule="auto"/>
              <w:widowControl/>
              <w:rPr>
                <w:rFonts w:hint="eastAsia" w:ascii="宋体" w:hAnsi="宋体" w:cs="Times New Roman"/>
                <w:b/>
                <w:bCs/>
                <w:color w:val="000000"/>
                <w:sz w:val="24"/>
              </w:rPr>
            </w:pPr>
            <w:r>
              <w:rPr>
                <w:rFonts w:ascii="宋体" w:hAnsi="宋体" w:cs="Times New Roman"/>
                <w:b/>
                <w:bCs/>
                <w:color w:val="000000"/>
                <w:sz w:val="24"/>
              </w:rPr>
              <w:t xml:space="preserve">技术要求</w:t>
            </w:r>
            <w:r/>
          </w:p>
        </w:tc>
      </w:tr>
      <w:tr>
        <w:trPr>
          <w:jc w:val="center"/>
          <w:trHeight w:val="591"/>
        </w:trPr>
        <w:tc>
          <w:tcPr>
            <w:tcBorders>
              <w:top w:val="none" w:color="000000" w:sz="4" w:space="0"/>
              <w:left w:val="single" w:color="auto" w:sz="4" w:space="0"/>
              <w:bottom w:val="single" w:color="auto" w:sz="4" w:space="0"/>
              <w:right w:val="single" w:color="auto" w:sz="4" w:space="0"/>
            </w:tcBorders>
            <w:tcW w:w="1572" w:type="dxa"/>
            <w:vAlign w:val="center"/>
            <w:vMerge w:val="restart"/>
            <w:textDirection w:val="lrTb"/>
            <w:noWrap w:val="false"/>
          </w:tcPr>
          <w:p>
            <w:pPr>
              <w:jc w:val="center"/>
              <w:spacing w:line="360" w:lineRule="auto"/>
              <w:rPr>
                <w:rFonts w:hint="eastAsia" w:ascii="宋体" w:hAnsi="宋体" w:cs="Times New Roman"/>
                <w:color w:val="000000"/>
                <w:sz w:val="24"/>
              </w:rPr>
            </w:pPr>
            <w:r>
              <w:rPr>
                <w:rFonts w:ascii="宋体" w:hAnsi="宋体" w:cs="Times New Roman"/>
                <w:color w:val="000000"/>
                <w:sz w:val="24"/>
              </w:rPr>
              <w:t xml:space="preserve">基本要求</w:t>
            </w:r>
            <w:r/>
          </w:p>
        </w:tc>
        <w:tc>
          <w:tcPr>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jc w:val="left"/>
              <w:spacing w:line="360" w:lineRule="auto"/>
              <w:rPr>
                <w:rFonts w:hint="eastAsia" w:ascii="宋体" w:hAnsi="宋体" w:cs="Times New Roman"/>
                <w:color w:val="000000"/>
                <w:sz w:val="24"/>
              </w:rPr>
            </w:pPr>
            <w:r>
              <w:rPr>
                <w:rFonts w:ascii="宋体" w:hAnsi="宋体" w:cs="Times New Roman"/>
                <w:color w:val="000000"/>
                <w:sz w:val="24"/>
              </w:rPr>
              <w:t xml:space="preserve">机房必须位于南京市内</w:t>
            </w:r>
            <w:r/>
          </w:p>
        </w:tc>
      </w:tr>
      <w:tr>
        <w:trPr>
          <w:jc w:val="center"/>
          <w:trHeight w:val="589"/>
        </w:trPr>
        <w:tc>
          <w:tcPr>
            <w:tcBorders>
              <w:top w:val="none" w:color="000000" w:sz="4" w:space="0"/>
              <w:left w:val="single" w:color="auto" w:sz="4" w:space="0"/>
              <w:bottom w:val="single" w:color="auto" w:sz="4" w:space="0"/>
              <w:right w:val="single" w:color="auto" w:sz="4" w:space="0"/>
            </w:tcBorders>
            <w:tcW w:w="1572" w:type="dxa"/>
            <w:vAlign w:val="center"/>
            <w:vMerge w:val="continue"/>
            <w:textDirection w:val="lrTb"/>
            <w:noWrap w:val="false"/>
          </w:tcPr>
          <w:p>
            <w:pPr>
              <w:jc w:val="left"/>
              <w:spacing w:line="360" w:lineRule="auto"/>
              <w:widowControl/>
              <w:rPr>
                <w:rFonts w:hint="eastAsia" w:ascii="宋体" w:hAnsi="宋体" w:cs="Times New Roman"/>
                <w:color w:val="000000"/>
                <w:sz w:val="24"/>
              </w:rPr>
            </w:pPr>
            <w:r>
              <w:rPr>
                <w:rFonts w:hint="eastAsia" w:ascii="宋体" w:hAnsi="宋体" w:cs="Times New Roman"/>
                <w:color w:val="000000"/>
                <w:sz w:val="24"/>
              </w:rPr>
            </w:r>
            <w:r/>
          </w:p>
        </w:tc>
        <w:tc>
          <w:tcPr>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jc w:val="left"/>
              <w:spacing w:line="360" w:lineRule="auto"/>
              <w:rPr>
                <w:rFonts w:hint="eastAsia" w:ascii="宋体" w:hAnsi="宋体" w:cs="Times New Roman"/>
                <w:color w:val="000000"/>
                <w:sz w:val="24"/>
              </w:rPr>
            </w:pPr>
            <w:r>
              <w:rPr>
                <w:rFonts w:ascii="宋体" w:hAnsi="宋体" w:cs="Times New Roman"/>
                <w:color w:val="000000"/>
                <w:sz w:val="24"/>
              </w:rPr>
              <w:t xml:space="preserve">服务期三年</w:t>
            </w:r>
            <w:r/>
          </w:p>
        </w:tc>
      </w:tr>
      <w:tr>
        <w:trPr>
          <w:jc w:val="center"/>
          <w:trHeight w:val="741"/>
        </w:trPr>
        <w:tc>
          <w:tcPr>
            <w:tcBorders>
              <w:top w:val="single" w:color="auto" w:sz="4" w:space="0"/>
              <w:left w:val="single" w:color="auto" w:sz="4" w:space="0"/>
              <w:right w:val="single" w:color="auto" w:sz="4" w:space="0"/>
            </w:tcBorders>
            <w:tcW w:w="1572" w:type="dxa"/>
            <w:vAlign w:val="center"/>
            <w:vMerge w:val="restart"/>
            <w:textDirection w:val="lrTb"/>
            <w:noWrap w:val="false"/>
          </w:tcPr>
          <w:p>
            <w:pPr>
              <w:jc w:val="center"/>
              <w:spacing w:line="360" w:lineRule="auto"/>
              <w:rPr>
                <w:rFonts w:hint="eastAsia" w:ascii="宋体" w:hAnsi="宋体" w:cs="Times New Roman"/>
                <w:color w:val="000000"/>
                <w:sz w:val="24"/>
              </w:rPr>
            </w:pPr>
            <w:r>
              <w:rPr>
                <w:rFonts w:ascii="宋体" w:hAnsi="宋体" w:cs="Times New Roman"/>
                <w:color w:val="000000"/>
                <w:sz w:val="24"/>
              </w:rPr>
              <w:t xml:space="preserve">技术要求</w:t>
            </w:r>
            <w:r/>
          </w:p>
        </w:tc>
        <w:tc>
          <w:tcPr>
            <w:tcBorders>
              <w:top w:val="single" w:color="auto" w:sz="4" w:space="0"/>
              <w:left w:val="single" w:color="auto" w:sz="4" w:space="0"/>
              <w:bottom w:val="single" w:color="auto" w:sz="4" w:space="0"/>
              <w:right w:val="single" w:color="auto" w:sz="4" w:space="0"/>
            </w:tcBorders>
            <w:tcW w:w="6839" w:type="dxa"/>
            <w:textDirection w:val="lrTb"/>
            <w:noWrap w:val="false"/>
          </w:tcPr>
          <w:p>
            <w:pPr>
              <w:jc w:val="left"/>
              <w:spacing w:line="360" w:lineRule="auto"/>
              <w:rPr>
                <w:rFonts w:hint="eastAsia" w:ascii="宋体" w:hAnsi="宋体" w:cs="Times New Roman"/>
                <w:color w:val="000000"/>
                <w:sz w:val="24"/>
              </w:rPr>
            </w:pPr>
            <w:r>
              <w:rPr>
                <w:rFonts w:ascii="宋体" w:hAnsi="宋体" w:cs="Times New Roman"/>
                <w:color w:val="000000"/>
                <w:sz w:val="24"/>
              </w:rPr>
              <w:t xml:space="preserve">标准服务器单机柜不小于42U,功率不小于3KW，机柜应安装机柜门，并单独配置机构锁。</w:t>
            </w:r>
            <w:r/>
          </w:p>
        </w:tc>
      </w:tr>
      <w:tr>
        <w:trPr>
          <w:jc w:val="center"/>
          <w:trHeight w:val="566"/>
        </w:trPr>
        <w:tc>
          <w:tcPr>
            <w:tcBorders>
              <w:left w:val="single" w:color="auto" w:sz="4" w:space="0"/>
              <w:right w:val="single" w:color="auto" w:sz="4" w:space="0"/>
            </w:tcBorders>
            <w:tcW w:w="1572" w:type="dxa"/>
            <w:vAlign w:val="center"/>
            <w:vMerge w:val="continue"/>
            <w:textDirection w:val="lrTb"/>
            <w:noWrap w:val="false"/>
          </w:tcPr>
          <w:p>
            <w:pPr>
              <w:jc w:val="left"/>
              <w:spacing w:line="360" w:lineRule="auto"/>
              <w:rPr>
                <w:rFonts w:hint="eastAsia" w:ascii="宋体" w:hAnsi="宋体" w:cs="Times New Roman"/>
                <w:color w:val="000000"/>
                <w:sz w:val="24"/>
              </w:rPr>
            </w:pPr>
            <w:r>
              <w:rPr>
                <w:rFonts w:hint="eastAsia" w:ascii="宋体" w:hAnsi="宋体" w:cs="Times New Roman"/>
                <w:color w:val="000000"/>
                <w:sz w:val="24"/>
              </w:rPr>
            </w:r>
            <w:r/>
          </w:p>
        </w:tc>
        <w:tc>
          <w:tcPr>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jc w:val="left"/>
              <w:spacing w:line="360" w:lineRule="auto"/>
              <w:rPr>
                <w:rFonts w:hint="eastAsia" w:ascii="宋体" w:hAnsi="宋体" w:cs="Times New Roman"/>
                <w:color w:val="000000"/>
                <w:sz w:val="24"/>
              </w:rPr>
            </w:pPr>
            <w:r>
              <w:rPr>
                <w:rFonts w:ascii="宋体" w:hAnsi="宋体" w:cs="Times New Roman"/>
                <w:color w:val="000000"/>
                <w:sz w:val="24"/>
              </w:rPr>
              <w:t xml:space="preserve">提供双路市电+UPS</w:t>
            </w:r>
            <w:r>
              <w:rPr>
                <w:rFonts w:ascii="宋体" w:hAnsi="宋体" w:cs="Times New Roman"/>
                <w:color w:val="000000"/>
                <w:sz w:val="24"/>
              </w:rPr>
              <w:t xml:space="preserve">供电,</w:t>
            </w:r>
            <w:r>
              <w:rPr>
                <w:rFonts w:ascii="宋体" w:hAnsi="宋体" w:cs="Times New Roman"/>
                <w:color w:val="000000"/>
                <w:sz w:val="24"/>
              </w:rPr>
              <w:t xml:space="preserve">机柜支持双路PDU电源接入（A/B路独立供电）</w:t>
            </w:r>
            <w:r/>
          </w:p>
        </w:tc>
      </w:tr>
      <w:tr>
        <w:trPr>
          <w:jc w:val="center"/>
          <w:trHeight w:val="646"/>
        </w:trPr>
        <w:tc>
          <w:tcPr>
            <w:tcBorders>
              <w:left w:val="single" w:color="auto" w:sz="4" w:space="0"/>
              <w:right w:val="single" w:color="auto" w:sz="4" w:space="0"/>
            </w:tcBorders>
            <w:tcW w:w="1572" w:type="dxa"/>
            <w:vAlign w:val="center"/>
            <w:vMerge w:val="continue"/>
            <w:textDirection w:val="lrTb"/>
            <w:noWrap w:val="false"/>
          </w:tcPr>
          <w:p>
            <w:pPr>
              <w:jc w:val="left"/>
              <w:spacing w:line="360" w:lineRule="auto"/>
              <w:rPr>
                <w:rFonts w:hint="eastAsia" w:ascii="宋体" w:hAnsi="宋体" w:cs="Times New Roman"/>
                <w:color w:val="000000"/>
                <w:sz w:val="24"/>
              </w:rPr>
            </w:pPr>
            <w:r>
              <w:rPr>
                <w:rFonts w:hint="eastAsia" w:ascii="宋体" w:hAnsi="宋体" w:cs="Times New Roman"/>
                <w:color w:val="000000"/>
                <w:sz w:val="24"/>
              </w:rPr>
            </w:r>
            <w:r/>
          </w:p>
        </w:tc>
        <w:tc>
          <w:tcPr>
            <w:tcBorders>
              <w:top w:val="single" w:color="auto" w:sz="4" w:space="0"/>
              <w:left w:val="single" w:color="auto" w:sz="4" w:space="0"/>
              <w:bottom w:val="single" w:color="auto" w:sz="4" w:space="0"/>
              <w:right w:val="single" w:color="auto" w:sz="4" w:space="0"/>
            </w:tcBorders>
            <w:tcW w:w="6839" w:type="dxa"/>
            <w:textDirection w:val="lrTb"/>
            <w:noWrap w:val="false"/>
          </w:tcPr>
          <w:p>
            <w:pPr>
              <w:jc w:val="left"/>
              <w:spacing w:line="360" w:lineRule="auto"/>
              <w:rPr>
                <w:rFonts w:hint="eastAsia" w:ascii="宋体" w:hAnsi="宋体" w:cs="Times New Roman"/>
                <w:color w:val="000000"/>
                <w:sz w:val="24"/>
              </w:rPr>
            </w:pPr>
            <w:r>
              <w:rPr>
                <w:rFonts w:ascii="宋体" w:hAnsi="宋体" w:cs="Times New Roman"/>
                <w:color w:val="000000"/>
                <w:sz w:val="24"/>
              </w:rPr>
              <w:t xml:space="preserve">投标人负责机房环境及基础设施的日常维护和监控，保证招标人的设备在机房内正常</w:t>
            </w:r>
            <w:r>
              <w:rPr>
                <w:rFonts w:ascii="宋体" w:hAnsi="宋体" w:cs="Times New Roman"/>
                <w:color w:val="000000"/>
                <w:sz w:val="24"/>
              </w:rPr>
              <w:t xml:space="preserve">运行,</w:t>
            </w:r>
            <w:r>
              <w:rPr>
                <w:rFonts w:ascii="宋体" w:hAnsi="宋体" w:cs="Times New Roman"/>
                <w:color w:val="000000"/>
                <w:sz w:val="24"/>
              </w:rPr>
              <w:t xml:space="preserve">保证用户数据安全。</w:t>
            </w:r>
            <w:r/>
          </w:p>
        </w:tc>
      </w:tr>
      <w:tr>
        <w:trPr>
          <w:jc w:val="center"/>
          <w:trHeight w:val="699"/>
        </w:trPr>
        <w:tc>
          <w:tcPr>
            <w:tcBorders>
              <w:left w:val="single" w:color="auto" w:sz="4" w:space="0"/>
              <w:right w:val="single" w:color="auto" w:sz="4" w:space="0"/>
            </w:tcBorders>
            <w:tcW w:w="1572" w:type="dxa"/>
            <w:vAlign w:val="center"/>
            <w:vMerge w:val="continue"/>
            <w:textDirection w:val="lrTb"/>
            <w:noWrap w:val="false"/>
          </w:tcPr>
          <w:p>
            <w:pPr>
              <w:jc w:val="left"/>
              <w:spacing w:line="360" w:lineRule="auto"/>
              <w:widowControl/>
              <w:rPr>
                <w:rFonts w:hint="eastAsia" w:ascii="宋体" w:hAnsi="宋体" w:cs="Times New Roman"/>
                <w:color w:val="000000"/>
                <w:sz w:val="24"/>
              </w:rPr>
            </w:pPr>
            <w:r>
              <w:rPr>
                <w:rFonts w:hint="eastAsia" w:ascii="宋体" w:hAnsi="宋体" w:cs="Times New Roman"/>
                <w:color w:val="000000"/>
                <w:sz w:val="24"/>
              </w:rPr>
            </w:r>
            <w:r/>
          </w:p>
        </w:tc>
        <w:tc>
          <w:tcPr>
            <w:tcBorders>
              <w:top w:val="single" w:color="auto" w:sz="4" w:space="0"/>
              <w:left w:val="single" w:color="auto" w:sz="4" w:space="0"/>
              <w:bottom w:val="single" w:color="auto" w:sz="4" w:space="0"/>
              <w:right w:val="single" w:color="auto" w:sz="4" w:space="0"/>
            </w:tcBorders>
            <w:tcW w:w="6839" w:type="dxa"/>
            <w:textDirection w:val="lrTb"/>
            <w:noWrap w:val="false"/>
          </w:tcPr>
          <w:p>
            <w:pPr>
              <w:jc w:val="left"/>
              <w:spacing w:line="360" w:lineRule="auto"/>
              <w:rPr>
                <w:rFonts w:hint="eastAsia" w:ascii="宋体" w:hAnsi="宋体" w:cs="Times New Roman"/>
                <w:color w:val="000000"/>
                <w:sz w:val="24"/>
              </w:rPr>
            </w:pPr>
            <w:r>
              <w:rPr>
                <w:rFonts w:ascii="宋体" w:hAnsi="宋体" w:cs="Times New Roman"/>
                <w:color w:val="000000"/>
                <w:sz w:val="24"/>
              </w:rPr>
              <w:t xml:space="preserve">投标人应组建专业技术及服务团队，并指定一名工作对接人与</w:t>
            </w:r>
            <w:r>
              <w:rPr>
                <w:rFonts w:ascii="宋体" w:hAnsi="宋体" w:cs="Times New Roman"/>
                <w:color w:val="000000"/>
                <w:sz w:val="24"/>
              </w:rPr>
              <w:t xml:space="preserve">招标人保持紧密的工作沟通机制。</w:t>
            </w:r>
            <w:r/>
          </w:p>
        </w:tc>
      </w:tr>
      <w:tr>
        <w:trPr>
          <w:jc w:val="center"/>
          <w:trHeight w:val="623"/>
        </w:trPr>
        <w:tc>
          <w:tcPr>
            <w:tcBorders>
              <w:left w:val="single" w:color="auto" w:sz="4" w:space="0"/>
              <w:bottom w:val="single" w:color="auto" w:sz="4" w:space="0"/>
              <w:right w:val="single" w:color="auto" w:sz="4" w:space="0"/>
            </w:tcBorders>
            <w:tcW w:w="1572" w:type="dxa"/>
            <w:vAlign w:val="center"/>
            <w:vMerge w:val="continue"/>
            <w:textDirection w:val="lrTb"/>
            <w:noWrap w:val="false"/>
          </w:tcPr>
          <w:p>
            <w:pPr>
              <w:jc w:val="left"/>
              <w:spacing w:line="360" w:lineRule="auto"/>
              <w:widowControl/>
              <w:rPr>
                <w:rFonts w:hint="eastAsia" w:ascii="宋体" w:hAnsi="宋体" w:cs="Times New Roman"/>
                <w:color w:val="000000"/>
                <w:sz w:val="24"/>
              </w:rPr>
            </w:pPr>
            <w:r>
              <w:rPr>
                <w:rFonts w:hint="eastAsia" w:ascii="宋体" w:hAnsi="宋体" w:cs="Times New Roman"/>
                <w:color w:val="000000"/>
                <w:sz w:val="24"/>
              </w:rPr>
            </w:r>
            <w:r/>
          </w:p>
        </w:tc>
        <w:tc>
          <w:tcPr>
            <w:tcBorders>
              <w:top w:val="single" w:color="auto" w:sz="4" w:space="0"/>
              <w:left w:val="single" w:color="auto" w:sz="4" w:space="0"/>
              <w:bottom w:val="single" w:color="auto" w:sz="4" w:space="0"/>
              <w:right w:val="single" w:color="auto" w:sz="4" w:space="0"/>
            </w:tcBorders>
            <w:tcW w:w="6839" w:type="dxa"/>
            <w:textDirection w:val="lrTb"/>
            <w:noWrap w:val="false"/>
          </w:tcPr>
          <w:p>
            <w:pPr>
              <w:jc w:val="left"/>
              <w:spacing w:line="360" w:lineRule="auto"/>
              <w:rPr>
                <w:rFonts w:hint="eastAsia" w:ascii="宋体" w:hAnsi="宋体" w:cs="Times New Roman"/>
                <w:color w:val="000000"/>
                <w:sz w:val="24"/>
              </w:rPr>
            </w:pPr>
            <w:r>
              <w:rPr>
                <w:rFonts w:ascii="宋体" w:hAnsi="宋体" w:cs="Times New Roman"/>
                <w:color w:val="000000"/>
                <w:sz w:val="24"/>
              </w:rPr>
              <w:t xml:space="preserve">投标人承诺在收到中标通知书后的5个工作日内，按招标人提出的全部要求提供机房，确保租赁区域具备IT设备进场、安装、调试及运行使用的条件。</w:t>
            </w:r>
            <w:r/>
          </w:p>
        </w:tc>
      </w:tr>
    </w:tbl>
    <w:p>
      <w:pPr>
        <w:numPr>
          <w:ilvl w:val="2"/>
          <w:numId w:val="0"/>
        </w:numPr>
        <w:jc w:val="left"/>
        <w:spacing w:line="360" w:lineRule="auto"/>
        <w:tabs>
          <w:tab w:val="left" w:pos="0" w:leader="none"/>
        </w:tabs>
        <w:rPr>
          <w:rFonts w:hint="eastAsia" w:ascii="宋体" w:hAnsi="宋体" w:cs="Times New Roman"/>
          <w:b/>
          <w:bCs/>
          <w:sz w:val="28"/>
          <w:szCs w:val="27"/>
        </w:rPr>
        <w:outlineLvl w:val="2"/>
      </w:pPr>
      <w:r>
        <w:rPr>
          <w:rFonts w:ascii="宋体" w:hAnsi="宋体" w:cs="Times New Roman"/>
          <w:b/>
          <w:bCs/>
          <w:sz w:val="28"/>
          <w:szCs w:val="27"/>
        </w:rPr>
        <w:t xml:space="preserve">2.4电路</w:t>
      </w:r>
      <w:r/>
    </w:p>
    <w:tbl>
      <w:tblPr>
        <w:tblW w:w="0" w:type="auto"/>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38"/>
        <w:gridCol w:w="7081"/>
      </w:tblGrid>
      <w:tr>
        <w:trPr>
          <w:trHeight w:val="802"/>
        </w:trPr>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widowControl/>
              <w:rPr>
                <w:rFonts w:hint="eastAsia" w:ascii="宋体" w:hAnsi="宋体" w:cs="Times New Roman"/>
                <w:b/>
                <w:bCs/>
                <w:sz w:val="24"/>
              </w:rPr>
            </w:pPr>
            <w:r>
              <w:rPr>
                <w:rFonts w:ascii="宋体" w:hAnsi="宋体" w:cs="Times New Roman"/>
                <w:b/>
                <w:bCs/>
                <w:sz w:val="24"/>
              </w:rPr>
              <w:t xml:space="preserve">服务内容</w:t>
            </w:r>
            <w:r/>
          </w:p>
        </w:tc>
        <w:tc>
          <w:tcPr>
            <w:tcBorders>
              <w:top w:val="single" w:color="auto" w:sz="4" w:space="0"/>
              <w:left w:val="single" w:color="auto" w:sz="4" w:space="0"/>
              <w:bottom w:val="single" w:color="auto" w:sz="4" w:space="0"/>
              <w:right w:val="single" w:color="auto" w:sz="4" w:space="0"/>
            </w:tcBorders>
            <w:tcW w:w="7081" w:type="dxa"/>
            <w:vAlign w:val="center"/>
            <w:textDirection w:val="lrTb"/>
            <w:noWrap w:val="false"/>
          </w:tcPr>
          <w:p>
            <w:pPr>
              <w:jc w:val="center"/>
              <w:spacing w:line="360" w:lineRule="auto"/>
              <w:widowControl/>
              <w:rPr>
                <w:rFonts w:hint="eastAsia" w:ascii="宋体" w:hAnsi="宋体" w:cs="Times New Roman"/>
                <w:b/>
                <w:bCs/>
                <w:sz w:val="24"/>
              </w:rPr>
            </w:pPr>
            <w:r>
              <w:rPr>
                <w:rFonts w:ascii="宋体" w:hAnsi="宋体" w:cs="Times New Roman"/>
                <w:b/>
                <w:bCs/>
                <w:sz w:val="24"/>
              </w:rPr>
              <w:t xml:space="preserve">技术要求</w:t>
            </w:r>
            <w:r/>
          </w:p>
        </w:tc>
      </w:tr>
      <w:tr>
        <w:trPr>
          <w:trHeight w:val="478"/>
        </w:trPr>
        <w:tc>
          <w:tcPr>
            <w:tcBorders>
              <w:top w:val="none" w:color="000000" w:sz="4" w:space="0"/>
              <w:left w:val="single" w:color="auto" w:sz="4" w:space="0"/>
              <w:bottom w:val="single" w:color="auto" w:sz="4" w:space="0"/>
              <w:right w:val="single" w:color="auto" w:sz="4" w:space="0"/>
            </w:tcBorders>
            <w:tcW w:w="1338" w:type="dxa"/>
            <w:vAlign w:val="center"/>
            <w:vMerge w:val="restart"/>
            <w:textDirection w:val="lrTb"/>
            <w:noWrap w:val="false"/>
          </w:tcPr>
          <w:p>
            <w:pPr>
              <w:jc w:val="center"/>
              <w:spacing w:line="360" w:lineRule="auto"/>
              <w:widowControl/>
              <w:rPr>
                <w:rFonts w:hint="eastAsia" w:ascii="宋体" w:hAnsi="宋体" w:cs="Times New Roman"/>
                <w:sz w:val="24"/>
              </w:rPr>
            </w:pPr>
            <w:r>
              <w:rPr>
                <w:rFonts w:ascii="宋体" w:hAnsi="宋体" w:cs="Times New Roman"/>
                <w:sz w:val="24"/>
              </w:rPr>
              <w:t xml:space="preserve">电路</w:t>
            </w:r>
            <w:r/>
          </w:p>
        </w:tc>
        <w:tc>
          <w:tcPr>
            <w:tcBorders>
              <w:top w:val="single" w:color="auto" w:sz="4" w:space="0"/>
              <w:left w:val="single" w:color="auto" w:sz="4" w:space="0"/>
              <w:bottom w:val="single" w:color="auto" w:sz="4" w:space="0"/>
              <w:right w:val="single" w:color="auto" w:sz="4" w:space="0"/>
            </w:tcBorders>
            <w:tcW w:w="7081" w:type="dxa"/>
            <w:vAlign w:val="center"/>
            <w:textDirection w:val="lrTb"/>
            <w:noWrap w:val="false"/>
          </w:tcPr>
          <w:p>
            <w:pPr>
              <w:jc w:val="left"/>
              <w:spacing w:line="360" w:lineRule="auto"/>
              <w:widowControl/>
              <w:rPr>
                <w:rFonts w:hint="eastAsia" w:ascii="宋体" w:hAnsi="宋体" w:cs="Times New Roman"/>
                <w:sz w:val="24"/>
              </w:rPr>
            </w:pPr>
            <w:r>
              <w:rPr>
                <w:rFonts w:ascii="宋体" w:hAnsi="宋体" w:cs="Times New Roman"/>
                <w:sz w:val="24"/>
              </w:rPr>
              <w:t xml:space="preserve">吞吐量：采用1518字节测试吞吐量达到带宽的100%</w:t>
            </w:r>
            <w:r/>
          </w:p>
        </w:tc>
      </w:tr>
      <w:tr>
        <w:trPr>
          <w:trHeight w:val="478"/>
        </w:trPr>
        <w:tc>
          <w:tcPr>
            <w:tcBorders>
              <w:top w:val="none" w:color="000000" w:sz="4" w:space="0"/>
              <w:left w:val="single" w:color="auto" w:sz="4" w:space="0"/>
              <w:bottom w:val="single" w:color="auto" w:sz="4" w:space="0"/>
              <w:right w:val="single" w:color="auto" w:sz="4" w:space="0"/>
            </w:tcBorders>
            <w:tcW w:w="1338" w:type="dxa"/>
            <w:vAlign w:val="center"/>
            <w:vMerge w:val="continue"/>
            <w:textDirection w:val="lrTb"/>
            <w:noWrap w:val="false"/>
          </w:tcPr>
          <w:p>
            <w:pPr>
              <w:jc w:val="left"/>
              <w:spacing w:line="360" w:lineRule="auto"/>
              <w:widowControl/>
              <w:rPr>
                <w:rFonts w:hint="eastAsia" w:ascii="宋体" w:hAnsi="宋体" w:cs="Times New Roman"/>
                <w:sz w:val="24"/>
              </w:rPr>
            </w:pPr>
            <w:r>
              <w:rPr>
                <w:rFonts w:hint="eastAsia" w:ascii="宋体" w:hAnsi="宋体" w:cs="Times New Roman"/>
                <w:sz w:val="24"/>
              </w:rPr>
            </w:r>
            <w:r/>
          </w:p>
        </w:tc>
        <w:tc>
          <w:tcPr>
            <w:tcBorders>
              <w:top w:val="single" w:color="auto" w:sz="4" w:space="0"/>
              <w:left w:val="single" w:color="auto" w:sz="4" w:space="0"/>
              <w:bottom w:val="single" w:color="auto" w:sz="4" w:space="0"/>
              <w:right w:val="single" w:color="auto" w:sz="4" w:space="0"/>
            </w:tcBorders>
            <w:tcW w:w="7081" w:type="dxa"/>
            <w:vAlign w:val="center"/>
            <w:textDirection w:val="lrTb"/>
            <w:noWrap w:val="false"/>
          </w:tcPr>
          <w:p>
            <w:pPr>
              <w:jc w:val="left"/>
              <w:spacing w:line="360" w:lineRule="auto"/>
              <w:widowControl/>
              <w:rPr>
                <w:rFonts w:hint="eastAsia" w:ascii="宋体" w:hAnsi="宋体" w:cs="Times New Roman"/>
                <w:sz w:val="24"/>
              </w:rPr>
            </w:pPr>
            <w:r>
              <w:rPr>
                <w:rFonts w:ascii="宋体" w:hAnsi="宋体" w:cs="Times New Roman"/>
                <w:sz w:val="24"/>
              </w:rPr>
              <w:t xml:space="preserve">丢包</w:t>
            </w:r>
            <w:r>
              <w:rPr>
                <w:rFonts w:ascii="宋体" w:hAnsi="宋体" w:cs="Times New Roman"/>
                <w:sz w:val="24"/>
              </w:rPr>
              <w:t xml:space="preserve">率:</w:t>
            </w:r>
            <w:r>
              <w:rPr>
                <w:rFonts w:ascii="宋体" w:hAnsi="宋体" w:cs="Times New Roman"/>
                <w:sz w:val="24"/>
              </w:rPr>
              <w:t xml:space="preserve">采用1518字节测试，丢包率&lt; 0.01%</w:t>
            </w:r>
            <w:r/>
          </w:p>
        </w:tc>
      </w:tr>
      <w:tr>
        <w:trPr>
          <w:trHeight w:val="478"/>
        </w:trPr>
        <w:tc>
          <w:tcPr>
            <w:tcBorders>
              <w:top w:val="none" w:color="000000" w:sz="4" w:space="0"/>
              <w:left w:val="single" w:color="auto" w:sz="4" w:space="0"/>
              <w:bottom w:val="single" w:color="auto" w:sz="4" w:space="0"/>
              <w:right w:val="single" w:color="auto" w:sz="4" w:space="0"/>
            </w:tcBorders>
            <w:tcW w:w="1338" w:type="dxa"/>
            <w:vAlign w:val="center"/>
            <w:vMerge w:val="continue"/>
            <w:textDirection w:val="lrTb"/>
            <w:noWrap w:val="false"/>
          </w:tcPr>
          <w:p>
            <w:pPr>
              <w:jc w:val="left"/>
              <w:spacing w:line="360" w:lineRule="auto"/>
              <w:widowControl/>
              <w:rPr>
                <w:rFonts w:hint="eastAsia" w:ascii="宋体" w:hAnsi="宋体" w:cs="Times New Roman"/>
                <w:sz w:val="24"/>
              </w:rPr>
            </w:pPr>
            <w:r>
              <w:rPr>
                <w:rFonts w:hint="eastAsia" w:ascii="宋体" w:hAnsi="宋体" w:cs="Times New Roman"/>
                <w:sz w:val="24"/>
              </w:rPr>
            </w:r>
            <w:r/>
          </w:p>
        </w:tc>
        <w:tc>
          <w:tcPr>
            <w:tcBorders>
              <w:top w:val="single" w:color="auto" w:sz="4" w:space="0"/>
              <w:left w:val="single" w:color="auto" w:sz="4" w:space="0"/>
              <w:bottom w:val="single" w:color="auto" w:sz="4" w:space="0"/>
              <w:right w:val="single" w:color="auto" w:sz="4" w:space="0"/>
            </w:tcBorders>
            <w:tcW w:w="7081" w:type="dxa"/>
            <w:vAlign w:val="center"/>
            <w:textDirection w:val="lrTb"/>
            <w:noWrap w:val="false"/>
          </w:tcPr>
          <w:p>
            <w:pPr>
              <w:jc w:val="left"/>
              <w:spacing w:line="360" w:lineRule="auto"/>
              <w:widowControl/>
              <w:rPr>
                <w:rFonts w:hint="eastAsia" w:ascii="宋体" w:hAnsi="宋体" w:cs="Times New Roman"/>
                <w:sz w:val="24"/>
              </w:rPr>
            </w:pPr>
            <w:r>
              <w:rPr>
                <w:rFonts w:ascii="宋体" w:hAnsi="宋体" w:cs="Times New Roman"/>
                <w:sz w:val="24"/>
              </w:rPr>
              <w:t xml:space="preserve">时延 </w:t>
            </w:r>
            <w:r>
              <w:rPr>
                <w:rFonts w:ascii="宋体" w:hAnsi="宋体" w:cs="Times New Roman"/>
                <w:sz w:val="24"/>
              </w:rPr>
              <w:t xml:space="preserve">(</w:t>
            </w:r>
            <w:r>
              <w:rPr>
                <w:rFonts w:ascii="宋体" w:hAnsi="宋体" w:cs="Times New Roman"/>
                <w:sz w:val="24"/>
              </w:rPr>
              <w:t xml:space="preserve">ms</w:t>
            </w:r>
            <w:r>
              <w:rPr>
                <w:rFonts w:ascii="宋体" w:hAnsi="宋体" w:cs="Times New Roman"/>
                <w:sz w:val="24"/>
              </w:rPr>
              <w:t xml:space="preserve">)</w:t>
            </w:r>
            <w:r>
              <w:rPr>
                <w:rFonts w:ascii="宋体" w:hAnsi="宋体" w:cs="Times New Roman"/>
                <w:sz w:val="24"/>
              </w:rPr>
              <w:t xml:space="preserve">：本地电路时延不大于10ms；省内电路时延不大于50ms</w:t>
            </w:r>
            <w:r/>
          </w:p>
        </w:tc>
      </w:tr>
      <w:tr>
        <w:trPr>
          <w:trHeight w:val="931"/>
        </w:trPr>
        <w:tc>
          <w:tcPr>
            <w:tcBorders>
              <w:top w:val="none" w:color="000000" w:sz="4" w:space="0"/>
              <w:left w:val="single" w:color="auto" w:sz="4" w:space="0"/>
              <w:bottom w:val="single" w:color="auto" w:sz="4" w:space="0"/>
              <w:right w:val="single" w:color="auto" w:sz="4" w:space="0"/>
            </w:tcBorders>
            <w:tcW w:w="1338" w:type="dxa"/>
            <w:vAlign w:val="center"/>
            <w:vMerge w:val="continue"/>
            <w:textDirection w:val="lrTb"/>
            <w:noWrap w:val="false"/>
          </w:tcPr>
          <w:p>
            <w:pPr>
              <w:jc w:val="left"/>
              <w:spacing w:line="360" w:lineRule="auto"/>
              <w:widowControl/>
              <w:rPr>
                <w:rFonts w:hint="eastAsia" w:ascii="宋体" w:hAnsi="宋体" w:cs="Times New Roman"/>
                <w:sz w:val="24"/>
              </w:rPr>
            </w:pPr>
            <w:r>
              <w:rPr>
                <w:rFonts w:hint="eastAsia" w:ascii="宋体" w:hAnsi="宋体" w:cs="Times New Roman"/>
                <w:sz w:val="24"/>
              </w:rPr>
            </w:r>
            <w:r/>
          </w:p>
        </w:tc>
        <w:tc>
          <w:tcPr>
            <w:tcBorders>
              <w:top w:val="single" w:color="auto" w:sz="4" w:space="0"/>
              <w:left w:val="single" w:color="auto" w:sz="4" w:space="0"/>
              <w:bottom w:val="single" w:color="auto" w:sz="4" w:space="0"/>
              <w:right w:val="single" w:color="auto" w:sz="4" w:space="0"/>
            </w:tcBorders>
            <w:tcW w:w="7081" w:type="dxa"/>
            <w:vAlign w:val="center"/>
            <w:textDirection w:val="lrTb"/>
            <w:noWrap w:val="false"/>
          </w:tcPr>
          <w:p>
            <w:pPr>
              <w:jc w:val="left"/>
              <w:spacing w:line="360" w:lineRule="auto"/>
              <w:widowControl/>
              <w:rPr>
                <w:rFonts w:hint="eastAsia" w:ascii="宋体" w:hAnsi="宋体" w:cs="Times New Roman"/>
                <w:sz w:val="24"/>
              </w:rPr>
            </w:pPr>
            <w:r>
              <w:rPr>
                <w:rFonts w:ascii="宋体" w:hAnsi="宋体" w:cs="Times New Roman"/>
                <w:sz w:val="24"/>
              </w:rPr>
              <w:t xml:space="preserve">电路类型：基于OTN设备，提供安全、稳定、带宽独享的数字电路组网方式，与互联网物理隔离；不得采用分组网设备接入。</w:t>
            </w:r>
            <w:r/>
          </w:p>
        </w:tc>
      </w:tr>
      <w:tr>
        <w:trPr>
          <w:trHeight w:val="478"/>
        </w:trPr>
        <w:tc>
          <w:tcPr>
            <w:tcBorders>
              <w:top w:val="none" w:color="000000" w:sz="4" w:space="0"/>
              <w:left w:val="single" w:color="auto" w:sz="4" w:space="0"/>
              <w:bottom w:val="single" w:color="auto" w:sz="4" w:space="0"/>
              <w:right w:val="single" w:color="auto" w:sz="4" w:space="0"/>
            </w:tcBorders>
            <w:tcW w:w="1338" w:type="dxa"/>
            <w:vAlign w:val="center"/>
            <w:vMerge w:val="continue"/>
            <w:textDirection w:val="lrTb"/>
            <w:noWrap w:val="false"/>
          </w:tcPr>
          <w:p>
            <w:pPr>
              <w:jc w:val="left"/>
              <w:spacing w:line="360" w:lineRule="auto"/>
              <w:widowControl/>
              <w:rPr>
                <w:rFonts w:hint="eastAsia" w:ascii="宋体" w:hAnsi="宋体" w:cs="Times New Roman"/>
                <w:sz w:val="24"/>
              </w:rPr>
            </w:pPr>
            <w:r>
              <w:rPr>
                <w:rFonts w:hint="eastAsia" w:ascii="宋体" w:hAnsi="宋体" w:cs="Times New Roman"/>
                <w:sz w:val="24"/>
              </w:rPr>
            </w:r>
            <w:r/>
          </w:p>
        </w:tc>
        <w:tc>
          <w:tcPr>
            <w:tcBorders>
              <w:top w:val="single" w:color="auto" w:sz="4" w:space="0"/>
              <w:left w:val="single" w:color="auto" w:sz="4" w:space="0"/>
              <w:bottom w:val="single" w:color="auto" w:sz="4" w:space="0"/>
              <w:right w:val="single" w:color="auto" w:sz="4" w:space="0"/>
            </w:tcBorders>
            <w:tcW w:w="7081" w:type="dxa"/>
            <w:vAlign w:val="center"/>
            <w:textDirection w:val="lrTb"/>
            <w:noWrap w:val="false"/>
          </w:tcPr>
          <w:p>
            <w:pPr>
              <w:jc w:val="left"/>
              <w:spacing w:line="360" w:lineRule="auto"/>
              <w:widowControl/>
              <w:rPr>
                <w:rFonts w:hint="eastAsia" w:ascii="宋体" w:hAnsi="宋体" w:cs="Times New Roman"/>
                <w:sz w:val="24"/>
              </w:rPr>
            </w:pPr>
            <w:r>
              <w:rPr>
                <w:rFonts w:ascii="宋体" w:hAnsi="宋体" w:cs="Times New Roman"/>
                <w:sz w:val="24"/>
              </w:rPr>
              <w:t xml:space="preserve">双路由保护倒换：倒换时间≤50ms</w:t>
            </w:r>
            <w:r/>
          </w:p>
        </w:tc>
      </w:tr>
      <w:tr>
        <w:trPr>
          <w:trHeight w:val="478"/>
        </w:trPr>
        <w:tc>
          <w:tcPr>
            <w:tcBorders>
              <w:top w:val="none" w:color="000000" w:sz="4" w:space="0"/>
              <w:left w:val="single" w:color="auto" w:sz="4" w:space="0"/>
              <w:bottom w:val="single" w:color="auto" w:sz="4" w:space="0"/>
              <w:right w:val="single" w:color="auto" w:sz="4" w:space="0"/>
            </w:tcBorders>
            <w:tcW w:w="1338" w:type="dxa"/>
            <w:vAlign w:val="center"/>
            <w:vMerge w:val="continue"/>
            <w:textDirection w:val="lrTb"/>
            <w:noWrap w:val="false"/>
          </w:tcPr>
          <w:p>
            <w:pPr>
              <w:jc w:val="left"/>
              <w:spacing w:line="360" w:lineRule="auto"/>
              <w:widowControl/>
              <w:rPr>
                <w:rFonts w:hint="eastAsia" w:ascii="宋体" w:hAnsi="宋体" w:cs="Times New Roman"/>
                <w:sz w:val="24"/>
              </w:rPr>
            </w:pPr>
            <w:r>
              <w:rPr>
                <w:rFonts w:hint="eastAsia" w:ascii="宋体" w:hAnsi="宋体" w:cs="Times New Roman"/>
                <w:sz w:val="24"/>
              </w:rPr>
            </w:r>
            <w:r/>
          </w:p>
        </w:tc>
        <w:tc>
          <w:tcPr>
            <w:tcBorders>
              <w:top w:val="single" w:color="auto" w:sz="4" w:space="0"/>
              <w:left w:val="single" w:color="auto" w:sz="4" w:space="0"/>
              <w:bottom w:val="single" w:color="auto" w:sz="4" w:space="0"/>
              <w:right w:val="single" w:color="auto" w:sz="4" w:space="0"/>
            </w:tcBorders>
            <w:tcW w:w="7081" w:type="dxa"/>
            <w:vAlign w:val="center"/>
            <w:textDirection w:val="lrTb"/>
            <w:noWrap w:val="false"/>
          </w:tcPr>
          <w:p>
            <w:pPr>
              <w:jc w:val="left"/>
              <w:spacing w:line="360" w:lineRule="auto"/>
              <w:widowControl/>
              <w:rPr>
                <w:rFonts w:hint="eastAsia" w:ascii="宋体" w:hAnsi="宋体" w:cs="Times New Roman"/>
                <w:sz w:val="24"/>
              </w:rPr>
            </w:pPr>
            <w:r>
              <w:rPr>
                <w:rFonts w:ascii="宋体" w:hAnsi="宋体" w:cs="Times New Roman"/>
                <w:sz w:val="24"/>
              </w:rPr>
              <w:t xml:space="preserve">电路全年可用率平均达到99.9％ </w:t>
            </w:r>
            <w:r/>
          </w:p>
        </w:tc>
      </w:tr>
      <w:tr>
        <w:trPr>
          <w:trHeight w:val="478"/>
        </w:trPr>
        <w:tc>
          <w:tcPr>
            <w:tcBorders>
              <w:top w:val="none" w:color="000000" w:sz="4" w:space="0"/>
              <w:left w:val="single" w:color="auto" w:sz="4" w:space="0"/>
              <w:bottom w:val="single" w:color="auto" w:sz="4" w:space="0"/>
              <w:right w:val="single" w:color="auto" w:sz="4" w:space="0"/>
            </w:tcBorders>
            <w:tcW w:w="1338" w:type="dxa"/>
            <w:vAlign w:val="center"/>
            <w:vMerge w:val="continue"/>
            <w:textDirection w:val="lrTb"/>
            <w:noWrap w:val="false"/>
          </w:tcPr>
          <w:p>
            <w:pPr>
              <w:jc w:val="left"/>
              <w:spacing w:line="360" w:lineRule="auto"/>
              <w:widowControl/>
              <w:rPr>
                <w:rFonts w:hint="eastAsia" w:ascii="宋体" w:hAnsi="宋体" w:cs="Times New Roman"/>
                <w:sz w:val="24"/>
              </w:rPr>
            </w:pPr>
            <w:r>
              <w:rPr>
                <w:rFonts w:hint="eastAsia" w:ascii="宋体" w:hAnsi="宋体" w:cs="Times New Roman"/>
                <w:sz w:val="24"/>
              </w:rPr>
            </w:r>
            <w:r/>
          </w:p>
        </w:tc>
        <w:tc>
          <w:tcPr>
            <w:tcBorders>
              <w:top w:val="single" w:color="auto" w:sz="4" w:space="0"/>
              <w:left w:val="single" w:color="auto" w:sz="4" w:space="0"/>
              <w:bottom w:val="single" w:color="auto" w:sz="4" w:space="0"/>
              <w:right w:val="single" w:color="auto" w:sz="4" w:space="0"/>
            </w:tcBorders>
            <w:tcW w:w="7081" w:type="dxa"/>
            <w:vAlign w:val="center"/>
            <w:textDirection w:val="lrTb"/>
            <w:noWrap w:val="false"/>
          </w:tcPr>
          <w:p>
            <w:pPr>
              <w:jc w:val="left"/>
              <w:spacing w:line="360" w:lineRule="auto"/>
              <w:widowControl/>
              <w:rPr>
                <w:rFonts w:hint="eastAsia" w:ascii="宋体" w:hAnsi="宋体" w:cs="Times New Roman"/>
                <w:sz w:val="24"/>
              </w:rPr>
            </w:pPr>
            <w:r>
              <w:rPr>
                <w:rFonts w:ascii="宋体" w:hAnsi="宋体" w:cs="Times New Roman"/>
                <w:sz w:val="24"/>
              </w:rPr>
              <w:t xml:space="preserve">误码率及时延要求：误码率≤1×10-7</w:t>
            </w:r>
            <w:r/>
          </w:p>
        </w:tc>
      </w:tr>
      <w:tr>
        <w:trPr>
          <w:trHeight w:val="478"/>
        </w:trPr>
        <w:tc>
          <w:tcPr>
            <w:tcBorders>
              <w:top w:val="none" w:color="000000" w:sz="4" w:space="0"/>
              <w:left w:val="single" w:color="auto" w:sz="4" w:space="0"/>
              <w:bottom w:val="single" w:color="auto" w:sz="4" w:space="0"/>
              <w:right w:val="single" w:color="auto" w:sz="4" w:space="0"/>
            </w:tcBorders>
            <w:tcW w:w="1338" w:type="dxa"/>
            <w:vAlign w:val="center"/>
            <w:vMerge w:val="continue"/>
            <w:textDirection w:val="lrTb"/>
            <w:noWrap w:val="false"/>
          </w:tcPr>
          <w:p>
            <w:pPr>
              <w:jc w:val="left"/>
              <w:spacing w:line="360" w:lineRule="auto"/>
              <w:widowControl/>
              <w:rPr>
                <w:rFonts w:hint="eastAsia" w:ascii="宋体" w:hAnsi="宋体" w:cs="Times New Roman"/>
                <w:sz w:val="24"/>
              </w:rPr>
            </w:pPr>
            <w:r>
              <w:rPr>
                <w:rFonts w:hint="eastAsia" w:ascii="宋体" w:hAnsi="宋体" w:cs="Times New Roman"/>
                <w:sz w:val="24"/>
              </w:rPr>
            </w:r>
            <w:r/>
          </w:p>
        </w:tc>
        <w:tc>
          <w:tcPr>
            <w:tcBorders>
              <w:top w:val="single" w:color="auto" w:sz="4" w:space="0"/>
              <w:left w:val="single" w:color="auto" w:sz="4" w:space="0"/>
              <w:bottom w:val="single" w:color="auto" w:sz="4" w:space="0"/>
              <w:right w:val="single" w:color="auto" w:sz="4" w:space="0"/>
            </w:tcBorders>
            <w:tcW w:w="7081" w:type="dxa"/>
            <w:vAlign w:val="center"/>
            <w:textDirection w:val="lrTb"/>
            <w:noWrap w:val="false"/>
          </w:tcPr>
          <w:p>
            <w:pPr>
              <w:jc w:val="left"/>
              <w:spacing w:line="360" w:lineRule="auto"/>
              <w:widowControl/>
              <w:rPr>
                <w:rFonts w:hint="eastAsia" w:ascii="宋体" w:hAnsi="宋体" w:cs="Times New Roman"/>
                <w:sz w:val="24"/>
              </w:rPr>
            </w:pPr>
            <w:r>
              <w:rPr>
                <w:rFonts w:ascii="宋体" w:hAnsi="宋体" w:cs="Times New Roman"/>
                <w:sz w:val="24"/>
              </w:rPr>
              <w:t xml:space="preserve">故障修复时间小于1小时</w:t>
            </w:r>
            <w:r/>
          </w:p>
        </w:tc>
      </w:tr>
      <w:tr>
        <w:trPr>
          <w:trHeight w:val="478"/>
        </w:trPr>
        <w:tc>
          <w:tcPr>
            <w:tcBorders>
              <w:top w:val="none" w:color="000000" w:sz="4" w:space="0"/>
              <w:left w:val="single" w:color="auto" w:sz="4" w:space="0"/>
              <w:bottom w:val="single" w:color="auto" w:sz="4" w:space="0"/>
              <w:right w:val="single" w:color="auto" w:sz="4" w:space="0"/>
            </w:tcBorders>
            <w:tcW w:w="1338" w:type="dxa"/>
            <w:vAlign w:val="center"/>
            <w:vMerge w:val="continue"/>
            <w:textDirection w:val="lrTb"/>
            <w:noWrap w:val="false"/>
          </w:tcPr>
          <w:p>
            <w:pPr>
              <w:jc w:val="left"/>
              <w:spacing w:line="360" w:lineRule="auto"/>
              <w:widowControl/>
              <w:rPr>
                <w:rFonts w:hint="eastAsia" w:ascii="宋体" w:hAnsi="宋体" w:cs="Times New Roman"/>
                <w:sz w:val="24"/>
              </w:rPr>
            </w:pPr>
            <w:r>
              <w:rPr>
                <w:rFonts w:hint="eastAsia" w:ascii="宋体" w:hAnsi="宋体" w:cs="Times New Roman"/>
                <w:sz w:val="24"/>
              </w:rPr>
            </w:r>
            <w:r/>
          </w:p>
        </w:tc>
        <w:tc>
          <w:tcPr>
            <w:tcBorders>
              <w:top w:val="single" w:color="auto" w:sz="4" w:space="0"/>
              <w:left w:val="single" w:color="auto" w:sz="4" w:space="0"/>
              <w:bottom w:val="single" w:color="auto" w:sz="4" w:space="0"/>
              <w:right w:val="single" w:color="auto" w:sz="4" w:space="0"/>
            </w:tcBorders>
            <w:tcW w:w="7081" w:type="dxa"/>
            <w:vAlign w:val="center"/>
            <w:textDirection w:val="lrTb"/>
            <w:noWrap w:val="false"/>
          </w:tcPr>
          <w:p>
            <w:pPr>
              <w:jc w:val="left"/>
              <w:spacing w:line="360" w:lineRule="auto"/>
              <w:widowControl/>
              <w:rPr>
                <w:rFonts w:hint="eastAsia" w:ascii="宋体" w:hAnsi="宋体" w:cs="Times New Roman"/>
                <w:sz w:val="24"/>
              </w:rPr>
            </w:pPr>
            <w:r>
              <w:rPr>
                <w:rFonts w:ascii="宋体" w:hAnsi="宋体" w:cs="Times New Roman"/>
                <w:sz w:val="24"/>
              </w:rPr>
              <w:t xml:space="preserve">服务期三年</w:t>
            </w:r>
            <w:r/>
          </w:p>
        </w:tc>
      </w:tr>
    </w:tbl>
    <w:p>
      <w:pPr>
        <w:numPr>
          <w:ilvl w:val="2"/>
          <w:numId w:val="0"/>
        </w:numPr>
        <w:jc w:val="left"/>
        <w:spacing w:line="360" w:lineRule="auto"/>
        <w:tabs>
          <w:tab w:val="left" w:pos="0" w:leader="none"/>
        </w:tabs>
        <w:rPr>
          <w:rFonts w:hint="eastAsia" w:ascii="宋体" w:hAnsi="宋体" w:cs="Times New Roman"/>
          <w:b/>
          <w:bCs/>
          <w:sz w:val="28"/>
          <w:szCs w:val="27"/>
        </w:rPr>
        <w:outlineLvl w:val="2"/>
      </w:pPr>
      <w:r>
        <w:rPr>
          <w:rFonts w:ascii="宋体" w:hAnsi="宋体" w:cs="Times New Roman"/>
          <w:b/>
          <w:bCs/>
          <w:sz w:val="28"/>
          <w:szCs w:val="27"/>
        </w:rPr>
        <w:t xml:space="preserve">2.5本地运维</w:t>
      </w:r>
      <w:r/>
    </w:p>
    <w:tbl>
      <w:tblPr>
        <w:tblW w:w="0" w:type="auto"/>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38"/>
        <w:gridCol w:w="7081"/>
      </w:tblGrid>
      <w:tr>
        <w:trPr>
          <w:trHeight w:val="802"/>
        </w:trPr>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widowControl/>
              <w:rPr>
                <w:rFonts w:hint="eastAsia" w:ascii="宋体" w:hAnsi="宋体" w:cs="Times New Roman"/>
                <w:b/>
                <w:bCs/>
                <w:sz w:val="24"/>
              </w:rPr>
            </w:pPr>
            <w:r>
              <w:rPr>
                <w:rFonts w:ascii="宋体" w:hAnsi="宋体" w:cs="Times New Roman"/>
                <w:b/>
                <w:bCs/>
                <w:sz w:val="24"/>
              </w:rPr>
              <w:t xml:space="preserve">服务内容</w:t>
            </w:r>
            <w:r/>
          </w:p>
        </w:tc>
        <w:tc>
          <w:tcPr>
            <w:tcBorders>
              <w:top w:val="single" w:color="auto" w:sz="4" w:space="0"/>
              <w:left w:val="single" w:color="auto" w:sz="4" w:space="0"/>
              <w:bottom w:val="single" w:color="auto" w:sz="4" w:space="0"/>
              <w:right w:val="single" w:color="auto" w:sz="4" w:space="0"/>
            </w:tcBorders>
            <w:tcW w:w="7081" w:type="dxa"/>
            <w:vAlign w:val="center"/>
            <w:textDirection w:val="lrTb"/>
            <w:noWrap w:val="false"/>
          </w:tcPr>
          <w:p>
            <w:pPr>
              <w:jc w:val="center"/>
              <w:spacing w:line="360" w:lineRule="auto"/>
              <w:widowControl/>
              <w:rPr>
                <w:rFonts w:hint="eastAsia" w:ascii="宋体" w:hAnsi="宋体" w:cs="Times New Roman"/>
                <w:b/>
                <w:bCs/>
                <w:sz w:val="24"/>
              </w:rPr>
            </w:pPr>
            <w:r>
              <w:rPr>
                <w:rFonts w:ascii="宋体" w:hAnsi="宋体" w:cs="Times New Roman"/>
                <w:b/>
                <w:bCs/>
                <w:sz w:val="24"/>
              </w:rPr>
              <w:t xml:space="preserve">技术要求</w:t>
            </w:r>
            <w:r/>
          </w:p>
        </w:tc>
      </w:tr>
      <w:tr>
        <w:trPr>
          <w:trHeight w:val="274"/>
        </w:trPr>
        <w:tc>
          <w:tcPr>
            <w:tcBorders>
              <w:top w:val="none" w:color="000000"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widowControl/>
              <w:rPr>
                <w:rFonts w:hint="eastAsia" w:ascii="宋体" w:hAnsi="宋体" w:cs="Times New Roman"/>
                <w:sz w:val="24"/>
              </w:rPr>
            </w:pPr>
            <w:r>
              <w:rPr>
                <w:rFonts w:ascii="宋体" w:hAnsi="宋体" w:cs="Times New Roman"/>
                <w:sz w:val="24"/>
              </w:rPr>
              <w:t xml:space="preserve">本地运维</w:t>
            </w:r>
            <w:r/>
          </w:p>
        </w:tc>
        <w:tc>
          <w:tcPr>
            <w:tcBorders>
              <w:top w:val="single" w:color="auto" w:sz="4" w:space="0"/>
              <w:left w:val="single" w:color="auto" w:sz="4" w:space="0"/>
              <w:bottom w:val="single" w:color="auto" w:sz="4" w:space="0"/>
              <w:right w:val="single" w:color="auto" w:sz="4" w:space="0"/>
            </w:tcBorders>
            <w:tcW w:w="7081" w:type="dxa"/>
            <w:vAlign w:val="center"/>
            <w:textDirection w:val="lrTb"/>
            <w:noWrap w:val="false"/>
          </w:tcPr>
          <w:p>
            <w:pPr>
              <w:jc w:val="left"/>
              <w:spacing w:line="360" w:lineRule="auto"/>
              <w:widowControl/>
              <w:rPr>
                <w:rFonts w:hint="eastAsia" w:ascii="宋体" w:hAnsi="宋体" w:cs="Times New Roman"/>
                <w:sz w:val="24"/>
              </w:rPr>
            </w:pPr>
            <w:r>
              <w:rPr>
                <w:rFonts w:ascii="宋体" w:hAnsi="宋体" w:cs="宋体"/>
                <w:sz w:val="24"/>
                <w:szCs w:val="24"/>
                <w:lang w:bidi="ar"/>
              </w:rPr>
              <w:t xml:space="preserve">投标人须为本项目配置</w:t>
            </w:r>
            <w:r>
              <w:rPr>
                <w:rFonts w:ascii="宋体" w:hAnsi="宋体" w:cs="宋体"/>
                <w:b/>
                <w:sz w:val="24"/>
                <w:szCs w:val="24"/>
                <w:lang w:bidi="ar"/>
              </w:rPr>
              <w:t xml:space="preserve">1名专职本地驻场运维工程师</w:t>
            </w:r>
            <w:r>
              <w:rPr>
                <w:rFonts w:ascii="宋体" w:hAnsi="宋体" w:cs="宋体"/>
                <w:sz w:val="24"/>
                <w:szCs w:val="24"/>
                <w:lang w:bidi="ar"/>
              </w:rPr>
              <w:t xml:space="preserve">，全程负责本项目云灾备系统及本地设备的现场运维工作。驻场人员须具备云灾备、服务器、存储、网络等相关运维实操能力，熟悉本项目云端灾备架构及本地软硬件环境，能够独立完成日常运维、故障排查、巡检核查、对接响应等工作。服务周期内驻场人员须保持稳定，未经采购人书面同意不得随意更换、撤场，确保运维服务连续性。</w:t>
            </w:r>
            <w:r/>
          </w:p>
        </w:tc>
      </w:tr>
    </w:tbl>
    <w:p>
      <w:pPr>
        <w:spacing w:line="360" w:lineRule="auto"/>
        <w:rPr>
          <w:rFonts w:ascii="Calibri" w:hAnsi="Calibri" w:cs="Times New Roman"/>
          <w:sz w:val="24"/>
          <w:szCs w:val="24"/>
        </w:rPr>
      </w:pPr>
      <w:r>
        <w:rPr>
          <w:rFonts w:ascii="Calibri" w:hAnsi="Calibri" w:cs="Times New Roman"/>
          <w:sz w:val="24"/>
          <w:szCs w:val="24"/>
        </w:rPr>
      </w:r>
      <w:r/>
    </w:p>
    <w:p>
      <w:pPr>
        <w:numPr>
          <w:ilvl w:val="1"/>
          <w:numId w:val="0"/>
        </w:numPr>
        <w:jc w:val="left"/>
        <w:spacing w:before="120" w:after="120"/>
        <w:tabs>
          <w:tab w:val="left" w:pos="420" w:leader="none"/>
        </w:tabs>
        <w:rPr>
          <w:rFonts w:hint="eastAsia" w:ascii="Microsoft JhengHei" w:hAnsi="Microsoft JhengHei" w:cs="Microsoft JhengHei"/>
          <w:b/>
          <w:bCs/>
          <w:sz w:val="30"/>
          <w:szCs w:val="32"/>
        </w:rPr>
        <w:outlineLvl w:val="1"/>
      </w:pPr>
      <w:r>
        <w:rPr>
          <w:rFonts w:hint="eastAsia" w:ascii="Microsoft JhengHei" w:hAnsi="Microsoft JhengHei" w:cs="Microsoft JhengHei"/>
          <w:b/>
          <w:bCs/>
          <w:sz w:val="30"/>
          <w:szCs w:val="32"/>
        </w:rPr>
        <w:t xml:space="preserve">三、</w:t>
      </w:r>
      <w:r>
        <w:rPr>
          <w:rFonts w:ascii="Microsoft JhengHei" w:hAnsi="Microsoft JhengHei" w:cs="Microsoft JhengHei"/>
          <w:b/>
          <w:bCs/>
          <w:sz w:val="30"/>
          <w:szCs w:val="32"/>
        </w:rPr>
        <w:t xml:space="preserve">项目实施方案</w:t>
      </w:r>
      <w:r/>
    </w:p>
    <w:p>
      <w:pPr>
        <w:spacing w:line="360" w:lineRule="auto"/>
        <w:rPr>
          <w:rFonts w:ascii="Calibri" w:hAnsi="Calibri" w:cs="Times New Roman"/>
          <w:sz w:val="24"/>
          <w:szCs w:val="24"/>
        </w:rPr>
      </w:pPr>
      <w:r>
        <w:rPr>
          <w:rFonts w:ascii="宋体" w:hAnsi="宋体" w:cs="宋体"/>
          <w:sz w:val="24"/>
          <w:szCs w:val="24"/>
        </w:rPr>
        <w:t xml:space="preserve">内容包含：1.合理化建议及实施进度安排；2.协调配合措施；3.应急措施。以上</w:t>
      </w:r>
      <w:r>
        <w:rPr>
          <w:rFonts w:ascii="Calibri" w:hAnsi="Calibri" w:cs="Times New Roman"/>
          <w:sz w:val="24"/>
          <w:szCs w:val="24"/>
        </w:rPr>
        <w:t xml:space="preserve">每项内容逐项评分：</w:t>
      </w:r>
      <w:r/>
    </w:p>
    <w:p>
      <w:pPr>
        <w:spacing w:line="360" w:lineRule="auto"/>
        <w:rPr>
          <w:rFonts w:ascii="Calibri" w:hAnsi="Calibri" w:cs="Times New Roman"/>
          <w:sz w:val="24"/>
          <w:szCs w:val="24"/>
        </w:rPr>
      </w:pPr>
      <w:r>
        <w:rPr>
          <w:rFonts w:ascii="Calibri" w:hAnsi="Calibri" w:cs="Times New Roman"/>
          <w:sz w:val="24"/>
          <w:szCs w:val="24"/>
        </w:rPr>
        <w:t xml:space="preserve">方案内容完整详实、逻辑清晰、措施具体、具备可落地性，且专门针对本项目，契合采购需求视为符合；方案内容属于通用类，非专门针对本项目，部分契合采购需求视为部分符合；方案内容非专门针对本项目，脱离采购需求视为不符合。</w:t>
      </w:r>
      <w:r/>
    </w:p>
    <w:p>
      <w:pPr>
        <w:spacing w:line="360" w:lineRule="auto"/>
        <w:rPr>
          <w:rFonts w:ascii="Calibri" w:hAnsi="Calibri" w:cs="Times New Roman"/>
          <w:sz w:val="24"/>
          <w:szCs w:val="24"/>
        </w:rPr>
      </w:pPr>
      <w:r>
        <w:rPr>
          <w:rFonts w:ascii="Calibri" w:hAnsi="Calibri" w:cs="Times New Roman"/>
          <w:sz w:val="24"/>
          <w:szCs w:val="24"/>
        </w:rPr>
      </w:r>
      <w:r/>
    </w:p>
    <w:p>
      <w:pPr>
        <w:numPr>
          <w:ilvl w:val="1"/>
          <w:numId w:val="0"/>
        </w:numPr>
        <w:jc w:val="left"/>
        <w:spacing w:before="120" w:after="120"/>
        <w:tabs>
          <w:tab w:val="left" w:pos="420" w:leader="none"/>
        </w:tabs>
        <w:rPr>
          <w:rFonts w:hint="eastAsia" w:ascii="Microsoft JhengHei" w:hAnsi="Microsoft JhengHei" w:cs="Microsoft JhengHei"/>
          <w:b/>
          <w:bCs/>
          <w:sz w:val="30"/>
          <w:szCs w:val="32"/>
        </w:rPr>
        <w:outlineLvl w:val="1"/>
      </w:pPr>
      <w:r>
        <w:rPr>
          <w:rFonts w:hint="eastAsia" w:ascii="Microsoft JhengHei" w:hAnsi="Microsoft JhengHei" w:cs="Microsoft JhengHei"/>
          <w:b/>
          <w:bCs/>
          <w:sz w:val="30"/>
          <w:szCs w:val="32"/>
        </w:rPr>
        <w:t xml:space="preserve">四、</w:t>
      </w:r>
      <w:r>
        <w:rPr>
          <w:rFonts w:ascii="Microsoft JhengHei" w:hAnsi="Microsoft JhengHei" w:cs="Microsoft JhengHei"/>
          <w:b/>
          <w:bCs/>
          <w:sz w:val="30"/>
          <w:szCs w:val="32"/>
        </w:rPr>
        <w:t xml:space="preserve">培训方案</w:t>
      </w:r>
      <w:r/>
    </w:p>
    <w:p>
      <w:pPr>
        <w:spacing w:line="360" w:lineRule="auto"/>
        <w:rPr>
          <w:rFonts w:ascii="Calibri" w:hAnsi="Calibri" w:cs="Times New Roman"/>
          <w:sz w:val="24"/>
          <w:szCs w:val="24"/>
        </w:rPr>
      </w:pPr>
      <w:r>
        <w:rPr>
          <w:rFonts w:ascii="宋体" w:hAnsi="宋体" w:cs="宋体"/>
          <w:sz w:val="24"/>
          <w:szCs w:val="24"/>
        </w:rPr>
        <w:t xml:space="preserve">内容包含：1.培训设计方案；2.培训师资与组织方案；3.培训考核方案。以上每</w:t>
      </w:r>
      <w:r>
        <w:rPr>
          <w:rFonts w:ascii="Calibri" w:hAnsi="Calibri" w:cs="Times New Roman"/>
          <w:sz w:val="24"/>
          <w:szCs w:val="24"/>
        </w:rPr>
        <w:t xml:space="preserve">项内容逐项评分：</w:t>
      </w:r>
      <w:r/>
    </w:p>
    <w:p>
      <w:pPr>
        <w:spacing w:line="360" w:lineRule="auto"/>
        <w:rPr>
          <w:rFonts w:ascii="Calibri" w:hAnsi="Calibri" w:cs="Times New Roman"/>
          <w:sz w:val="24"/>
          <w:szCs w:val="24"/>
        </w:rPr>
      </w:pPr>
      <w:r>
        <w:rPr>
          <w:rFonts w:ascii="Calibri" w:hAnsi="Calibri" w:cs="Times New Roman"/>
          <w:sz w:val="24"/>
          <w:szCs w:val="24"/>
        </w:rPr>
        <w:t xml:space="preserve">方案内容完整详实、逻辑清晰、措施具体、具备可落地性，且专门针对本项目，契合采购需求视为符合；方案内容属于通用类，非专门针对本项目，部分契合采购需求视为部分符合；方案内容非专门针对本项目，脱离采购需求视为不符合。</w:t>
      </w:r>
      <w:r/>
    </w:p>
    <w:p>
      <w:pPr>
        <w:spacing w:line="360" w:lineRule="auto"/>
        <w:rPr>
          <w:rFonts w:ascii="Calibri" w:hAnsi="Calibri" w:cs="Times New Roman"/>
          <w:sz w:val="24"/>
          <w:szCs w:val="24"/>
        </w:rPr>
      </w:pPr>
      <w:r>
        <w:rPr>
          <w:rFonts w:ascii="Calibri" w:hAnsi="Calibri" w:cs="Times New Roman"/>
          <w:sz w:val="24"/>
          <w:szCs w:val="24"/>
        </w:rPr>
      </w:r>
      <w:r/>
    </w:p>
    <w:p>
      <w:pPr>
        <w:numPr>
          <w:ilvl w:val="1"/>
          <w:numId w:val="0"/>
        </w:numPr>
        <w:jc w:val="left"/>
        <w:spacing w:before="120" w:after="120"/>
        <w:tabs>
          <w:tab w:val="left" w:pos="420" w:leader="none"/>
        </w:tabs>
        <w:rPr>
          <w:rFonts w:hint="eastAsia" w:ascii="Microsoft JhengHei" w:hAnsi="Microsoft JhengHei" w:cs="Microsoft JhengHei"/>
          <w:b/>
          <w:bCs/>
          <w:sz w:val="30"/>
          <w:szCs w:val="32"/>
        </w:rPr>
        <w:outlineLvl w:val="1"/>
      </w:pPr>
      <w:r>
        <w:rPr>
          <w:rFonts w:hint="eastAsia" w:ascii="Microsoft JhengHei" w:hAnsi="Microsoft JhengHei" w:cs="Microsoft JhengHei"/>
          <w:b/>
          <w:bCs/>
          <w:sz w:val="30"/>
          <w:szCs w:val="32"/>
        </w:rPr>
        <w:t xml:space="preserve">五、</w:t>
      </w:r>
      <w:r>
        <w:rPr>
          <w:rFonts w:ascii="Microsoft JhengHei" w:hAnsi="Microsoft JhengHei" w:cs="Microsoft JhengHei"/>
          <w:b/>
          <w:bCs/>
          <w:sz w:val="30"/>
          <w:szCs w:val="32"/>
        </w:rPr>
        <w:t xml:space="preserve">售后服务方案</w:t>
      </w:r>
      <w:r/>
    </w:p>
    <w:p>
      <w:pPr>
        <w:spacing w:line="360" w:lineRule="auto"/>
        <w:rPr>
          <w:rFonts w:ascii="Calibri" w:hAnsi="Calibri" w:cs="Times New Roman"/>
          <w:sz w:val="24"/>
          <w:szCs w:val="24"/>
        </w:rPr>
      </w:pPr>
      <w:r>
        <w:rPr>
          <w:rFonts w:ascii="宋体" w:hAnsi="宋体" w:cs="宋体"/>
          <w:sz w:val="24"/>
          <w:szCs w:val="24"/>
        </w:rPr>
        <w:t xml:space="preserve">内容包含：1.售后服务内容；2.故障解决方案；3.售后服务体系。以上每项内容</w:t>
      </w:r>
      <w:r>
        <w:rPr>
          <w:rFonts w:ascii="Calibri" w:hAnsi="Calibri" w:cs="Times New Roman"/>
          <w:sz w:val="24"/>
          <w:szCs w:val="24"/>
        </w:rPr>
        <w:t xml:space="preserve">逐项评分：</w:t>
      </w:r>
      <w:r/>
    </w:p>
    <w:p>
      <w:pPr>
        <w:spacing w:line="360" w:lineRule="auto"/>
        <w:rPr>
          <w:rFonts w:ascii="Calibri" w:hAnsi="Calibri" w:cs="Times New Roman"/>
          <w:sz w:val="24"/>
          <w:szCs w:val="24"/>
        </w:rPr>
      </w:pPr>
      <w:r>
        <w:rPr>
          <w:rFonts w:ascii="Calibri" w:hAnsi="Calibri" w:cs="Times New Roman"/>
          <w:sz w:val="24"/>
          <w:szCs w:val="24"/>
        </w:rPr>
        <w:t xml:space="preserve">方案内容完整详实、逻辑清晰、措施具体、具备可落地性，且专门针对本项目，契合采购需求视为符合；方案内容属于通用类，非专门针对本项目，部分契合采购需求视为部分符合；方案内容非专门针对本项目，脱离采购需求视为不符合。</w:t>
      </w:r>
      <w:r/>
    </w:p>
    <w:p>
      <w:pPr>
        <w:numPr>
          <w:ilvl w:val="1"/>
          <w:numId w:val="0"/>
        </w:numPr>
        <w:jc w:val="left"/>
        <w:spacing w:before="120" w:after="120"/>
        <w:tabs>
          <w:tab w:val="left" w:pos="420" w:leader="none"/>
        </w:tabs>
        <w:rPr>
          <w:rFonts w:hint="eastAsia" w:ascii="Microsoft JhengHei" w:hAnsi="Microsoft JhengHei" w:cs="Microsoft JhengHei"/>
          <w:b/>
          <w:bCs/>
          <w:sz w:val="30"/>
          <w:szCs w:val="32"/>
        </w:rPr>
        <w:outlineLvl w:val="1"/>
      </w:pPr>
      <w:r>
        <w:rPr>
          <w:rFonts w:hint="eastAsia" w:ascii="Microsoft JhengHei" w:hAnsi="Microsoft JhengHei" w:cs="Microsoft JhengHei"/>
          <w:b/>
          <w:bCs/>
          <w:sz w:val="30"/>
          <w:szCs w:val="32"/>
        </w:rPr>
        <w:t xml:space="preserve">六、</w:t>
      </w:r>
      <w:r>
        <w:rPr>
          <w:rFonts w:ascii="Microsoft JhengHei" w:hAnsi="Microsoft JhengHei" w:cs="Microsoft JhengHei"/>
          <w:b/>
          <w:bCs/>
          <w:sz w:val="30"/>
          <w:szCs w:val="32"/>
        </w:rPr>
        <w:t xml:space="preserve">商务条款</w:t>
      </w:r>
      <w:r/>
    </w:p>
    <w:p>
      <w:pPr>
        <w:spacing w:line="360" w:lineRule="auto"/>
        <w:rPr>
          <w:rFonts w:ascii="Calibri" w:hAnsi="Calibri" w:cs="Times New Roman"/>
          <w:sz w:val="24"/>
          <w:szCs w:val="24"/>
        </w:rPr>
      </w:pPr>
      <w:r>
        <w:rPr>
          <w:rFonts w:ascii="Calibri" w:hAnsi="Calibri" w:cs="Times New Roman"/>
          <w:sz w:val="24"/>
          <w:szCs w:val="24"/>
        </w:rPr>
        <w:t xml:space="preserve">服务期限</w:t>
      </w:r>
      <w:r>
        <w:rPr>
          <w:rFonts w:ascii="Calibri" w:hAnsi="Calibri" w:cs="Times New Roman"/>
          <w:sz w:val="24"/>
          <w:szCs w:val="24"/>
        </w:rPr>
        <w:t xml:space="preserve">3</w:t>
      </w:r>
      <w:r>
        <w:rPr>
          <w:rFonts w:ascii="Calibri" w:hAnsi="Calibri" w:cs="Times New Roman"/>
          <w:sz w:val="24"/>
          <w:szCs w:val="24"/>
        </w:rPr>
        <w:t xml:space="preserve">年，合同一年一签，按月托收付款。</w:t>
      </w:r>
      <w:r/>
    </w:p>
    <w:p>
      <w:pPr>
        <w:numPr>
          <w:ilvl w:val="1"/>
          <w:numId w:val="0"/>
        </w:numPr>
        <w:jc w:val="left"/>
        <w:spacing w:before="120" w:after="120"/>
        <w:tabs>
          <w:tab w:val="left" w:pos="420" w:leader="none"/>
        </w:tabs>
        <w:rPr>
          <w:rFonts w:hint="eastAsia" w:ascii="Microsoft JhengHei" w:hAnsi="Microsoft JhengHei" w:cs="Microsoft JhengHei"/>
          <w:b/>
          <w:bCs/>
          <w:sz w:val="30"/>
          <w:szCs w:val="32"/>
        </w:rPr>
        <w:outlineLvl w:val="1"/>
      </w:pPr>
      <w:r>
        <w:rPr>
          <w:rFonts w:hint="eastAsia" w:ascii="Microsoft JhengHei" w:hAnsi="Microsoft JhengHei" w:cs="Microsoft JhengHei"/>
          <w:b/>
          <w:bCs/>
          <w:sz w:val="30"/>
          <w:szCs w:val="32"/>
        </w:rPr>
        <w:t xml:space="preserve">七</w:t>
      </w:r>
      <w:r>
        <w:rPr>
          <w:rFonts w:ascii="Microsoft JhengHei" w:hAnsi="Microsoft JhengHei" w:cs="Microsoft JhengHei"/>
          <w:b/>
          <w:bCs/>
          <w:sz w:val="30"/>
          <w:szCs w:val="32"/>
        </w:rPr>
        <w:t xml:space="preserve">、其他要求</w:t>
      </w:r>
      <w:r/>
    </w:p>
    <w:p>
      <w:pPr>
        <w:spacing w:line="0" w:lineRule="atLeast"/>
        <w:rPr>
          <w:rFonts w:hint="eastAsia" w:ascii="宋体" w:hAnsi="宋体"/>
          <w:sz w:val="24"/>
          <w:szCs w:val="24"/>
        </w:rPr>
      </w:pPr>
      <w:r>
        <w:rPr>
          <w:rFonts w:hint="eastAsia" w:ascii="宋体" w:hAnsi="宋体"/>
          <w:sz w:val="24"/>
          <w:szCs w:val="24"/>
        </w:rPr>
        <w:t xml:space="preserve">1、项目</w:t>
      </w:r>
      <w:r>
        <w:rPr>
          <w:rFonts w:hint="eastAsia" w:ascii="宋体" w:hAnsi="宋体"/>
          <w:sz w:val="24"/>
          <w:szCs w:val="24"/>
        </w:rPr>
        <w:t xml:space="preserve">属性:</w:t>
      </w:r>
      <w:r>
        <w:rPr>
          <w:rFonts w:hint="eastAsia" w:ascii="宋体" w:hAnsi="宋体"/>
          <w:sz w:val="24"/>
          <w:szCs w:val="24"/>
        </w:rPr>
        <w:t xml:space="preserve">服务类项目。</w:t>
      </w:r>
      <w:r/>
    </w:p>
    <w:p>
      <w:pPr>
        <w:spacing w:line="0" w:lineRule="atLeas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3094"/>
      </w:tblGrid>
      <w:tr>
        <w:trPr>
          <w:trHeight w:val="458"/>
        </w:trPr>
        <w:tc>
          <w:tcPr>
            <w:tcW w:w="1148" w:type="dxa"/>
            <w:textDirection w:val="lrTb"/>
            <w:noWrap w:val="false"/>
          </w:tcPr>
          <w:p>
            <w:pPr>
              <w:jc w:val="center"/>
              <w:rPr>
                <w:rFonts w:hint="eastAsia" w:ascii="宋体" w:hAnsi="宋体"/>
                <w:lang w:eastAsia="en-US"/>
              </w:rPr>
            </w:pPr>
            <w:r>
              <w:rPr>
                <w:rFonts w:hint="eastAsia" w:ascii="宋体" w:hAnsi="宋体"/>
                <w:lang w:eastAsia="en-US"/>
              </w:rPr>
              <w:t xml:space="preserve">采购包号</w:t>
            </w:r>
            <w:r/>
          </w:p>
        </w:tc>
        <w:tc>
          <w:tcPr>
            <w:tcW w:w="3094" w:type="dxa"/>
            <w:textDirection w:val="lrTb"/>
            <w:noWrap w:val="false"/>
          </w:tcPr>
          <w:p>
            <w:pPr>
              <w:jc w:val="center"/>
              <w:rPr>
                <w:rFonts w:hint="eastAsia"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p>
        </w:tc>
      </w:tr>
      <w:tr>
        <w:trPr/>
        <w:tc>
          <w:tcPr>
            <w:tcW w:w="1148" w:type="dxa"/>
            <w:textDirection w:val="lrTb"/>
            <w:noWrap w:val="false"/>
          </w:tcPr>
          <w:p>
            <w:pPr>
              <w:jc w:val="center"/>
              <w:rPr>
                <w:rFonts w:hint="eastAsia" w:ascii="宋体" w:hAnsi="宋体"/>
                <w:lang w:eastAsia="en-US"/>
              </w:rPr>
            </w:pPr>
            <w:r>
              <w:rPr>
                <w:rFonts w:hint="eastAsia" w:ascii="宋体" w:hAnsi="宋体"/>
                <w:lang w:eastAsia="en-US"/>
              </w:rPr>
              <w:t xml:space="preserve">1</w:t>
            </w:r>
            <w:r/>
          </w:p>
        </w:tc>
        <w:tc>
          <w:tcPr>
            <w:tcW w:w="3094" w:type="dxa"/>
            <w:textDirection w:val="lrTb"/>
            <w:noWrap w:val="false"/>
          </w:tcPr>
          <w:p>
            <w:pPr>
              <w:jc w:val="center"/>
              <w:rPr>
                <w:rFonts w:hint="eastAsia" w:ascii="宋体" w:hAnsi="宋体"/>
                <w:lang w:eastAsia="en-US"/>
              </w:rPr>
            </w:pPr>
            <w:r>
              <w:rPr>
                <w:rFonts w:hint="eastAsia" w:ascii="宋体" w:hAnsi="宋体"/>
                <w:lang w:eastAsia="en-US"/>
              </w:rPr>
              <w:t xml:space="preserve">否</w:t>
            </w:r>
            <w:r/>
          </w:p>
        </w:tc>
      </w:tr>
    </w:tbl>
    <w:p>
      <w:pPr>
        <w:ind w:firstLine="480"/>
        <w:spacing w:line="400" w:lineRule="exact"/>
        <w:rPr>
          <w:rFonts w:hint="eastAsia" w:ascii="宋体" w:hAnsi="宋体"/>
          <w:sz w:val="24"/>
          <w:szCs w:val="24"/>
        </w:rPr>
      </w:pPr>
      <w:r>
        <w:rPr>
          <w:rFonts w:hint="eastAsia" w:ascii="宋体" w:hAnsi="宋体"/>
          <w:sz w:val="24"/>
          <w:szCs w:val="24"/>
        </w:rPr>
      </w:r>
      <w:r/>
    </w:p>
    <w:p>
      <w:pPr>
        <w:numPr>
          <w:ilvl w:val="1"/>
          <w:numId w:val="0"/>
        </w:numPr>
        <w:jc w:val="left"/>
        <w:spacing w:before="120" w:after="120"/>
        <w:tabs>
          <w:tab w:val="left" w:pos="420" w:leader="none"/>
        </w:tabs>
        <w:rPr>
          <w:rFonts w:hint="eastAsia" w:ascii="Microsoft JhengHei" w:hAnsi="Microsoft JhengHei" w:cs="Microsoft JhengHei"/>
          <w:b/>
          <w:bCs/>
          <w:sz w:val="30"/>
          <w:szCs w:val="32"/>
        </w:rPr>
        <w:outlineLvl w:val="1"/>
      </w:pPr>
      <w:r/>
      <w:bookmarkStart w:id="202" w:name="_Toc220489001"/>
      <w:r/>
      <w:bookmarkStart w:id="203" w:name="_Toc227167504"/>
      <w:r>
        <w:rPr>
          <w:rFonts w:hint="eastAsia" w:ascii="Microsoft JhengHei" w:hAnsi="Microsoft JhengHei" w:cs="Microsoft JhengHei"/>
          <w:b/>
          <w:bCs/>
          <w:sz w:val="30"/>
          <w:szCs w:val="32"/>
        </w:rPr>
        <w:t xml:space="preserve">八、政府采购中实施本国产品标准及相关政策</w:t>
      </w:r>
      <w:bookmarkEnd w:id="202"/>
      <w:r/>
      <w:bookmarkEnd w:id="203"/>
      <w:r/>
      <w:r/>
    </w:p>
    <w:p>
      <w:pPr>
        <w:ind w:firstLine="480"/>
        <w:spacing w:line="560" w:lineRule="exact"/>
        <w:rPr>
          <w:rFonts w:hint="eastAsia" w:ascii="宋体" w:hAnsi="宋体" w:cs="方正魏碑_GBK"/>
          <w:bCs/>
          <w:sz w:val="24"/>
          <w:szCs w:val="24"/>
        </w:rPr>
      </w:pPr>
      <w:r>
        <w:rPr>
          <w:rFonts w:hint="eastAsia" w:ascii="宋体" w:hAnsi="宋体" w:cs="方正魏碑_GBK"/>
          <w:bCs/>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482"/>
        <w:spacing w:line="560" w:lineRule="exact"/>
        <w:rPr>
          <w:rFonts w:hint="eastAsia" w:ascii="宋体" w:hAnsi="宋体" w:cs="方正魏碑_GBK"/>
          <w:bCs/>
          <w:sz w:val="24"/>
          <w:szCs w:val="24"/>
        </w:rPr>
      </w:pPr>
      <w:r>
        <w:rPr>
          <w:rFonts w:hint="eastAsia" w:ascii="宋体" w:hAnsi="宋体" w:cs="方正魏碑_GBK"/>
          <w:b/>
          <w:sz w:val="24"/>
          <w:szCs w:val="24"/>
        </w:rPr>
        <w:t xml:space="preserve">2.本国产品标准适用于服务项目中涉及的货物。</w:t>
      </w:r>
      <w:r>
        <w:rPr>
          <w:rFonts w:hint="eastAsia" w:ascii="宋体" w:hAnsi="宋体" w:cs="方正魏碑_GBK"/>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60" w:lineRule="exact"/>
        <w:rPr>
          <w:rFonts w:hint="eastAsia" w:ascii="宋体" w:hAnsi="宋体"/>
          <w:sz w:val="24"/>
          <w:szCs w:val="24"/>
        </w:rPr>
      </w:pPr>
      <w:r>
        <w:rPr>
          <w:rFonts w:hint="eastAsia" w:ascii="宋体" w:hAnsi="宋体" w:cs="方正魏碑_GBK"/>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97"/>
      <w:r/>
      <w:bookmarkEnd w:id="198"/>
      <w:r/>
      <w:r/>
    </w:p>
    <w:p>
      <w:pPr>
        <w:jc w:val="left"/>
        <w:widowControl/>
        <w:rPr>
          <w:rFonts w:hint="eastAsia" w:ascii="宋体" w:hAnsi="宋体"/>
          <w:sz w:val="24"/>
          <w:szCs w:val="24"/>
        </w:rPr>
      </w:pPr>
      <w:r>
        <w:rPr>
          <w:rFonts w:hint="eastAsia" w:ascii="宋体" w:hAnsi="宋体"/>
          <w:sz w:val="24"/>
          <w:szCs w:val="24"/>
        </w:rPr>
        <w:br w:type="page" w:clear="all"/>
      </w:r>
      <w:r/>
    </w:p>
    <w:p>
      <w:pPr>
        <w:pStyle w:val="703"/>
        <w:rPr>
          <w:rFonts w:ascii="黑体" w:eastAsia="黑体"/>
          <w:bCs/>
          <w:sz w:val="44"/>
        </w:rPr>
      </w:pPr>
      <w:r/>
      <w:bookmarkStart w:id="204" w:name="_Toc239690745"/>
      <w:r>
        <w:rPr>
          <w:rFonts w:hint="eastAsia" w:ascii="黑体" w:eastAsia="黑体"/>
          <w:bCs/>
          <w:sz w:val="44"/>
        </w:rPr>
        <w:t xml:space="preserve">第五章  评标方法与评标标准</w:t>
      </w:r>
      <w:bookmarkEnd w:id="204"/>
      <w:r/>
      <w:r/>
    </w:p>
    <w:p>
      <w:r/>
      <w:r/>
    </w:p>
    <w:p>
      <w:pPr>
        <w:pStyle w:val="877"/>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量化指标评审得分最高的投标人为中标候选人。</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93"/>
        <w:gridCol w:w="1701"/>
        <w:gridCol w:w="5656"/>
      </w:tblGrid>
      <w:tr>
        <w:trPr>
          <w:trHeight w:val="571"/>
        </w:trPr>
        <w:tc>
          <w:tcPr>
            <w:tcW w:w="1093" w:type="dxa"/>
            <w:textDirection w:val="lrTb"/>
            <w:noWrap w:val="false"/>
          </w:tcPr>
          <w:p>
            <w:pPr>
              <w:jc w:val="center"/>
              <w:rPr>
                <w:rFonts w:hint="eastAsia" w:ascii="宋体" w:hAnsi="宋体"/>
                <w:lang w:eastAsia="en-US"/>
              </w:rPr>
            </w:pPr>
            <w:r>
              <w:rPr>
                <w:rFonts w:hint="eastAsia" w:ascii="宋体" w:hAnsi="宋体"/>
                <w:lang w:eastAsia="en-US"/>
              </w:rPr>
              <w:t xml:space="preserve">采购包号</w:t>
            </w:r>
            <w:r/>
          </w:p>
        </w:tc>
        <w:tc>
          <w:tcPr>
            <w:tcW w:w="1701" w:type="dxa"/>
            <w:textDirection w:val="lrTb"/>
            <w:noWrap w:val="false"/>
          </w:tcPr>
          <w:p>
            <w:pPr>
              <w:jc w:val="center"/>
              <w:rPr>
                <w:rFonts w:hint="eastAsia" w:ascii="宋体" w:hAnsi="宋体"/>
                <w:lang w:eastAsia="en-US"/>
              </w:rPr>
            </w:pPr>
            <w:r>
              <w:rPr>
                <w:rFonts w:hint="eastAsia" w:ascii="宋体" w:hAnsi="宋体"/>
                <w:lang w:eastAsia="en-US"/>
              </w:rPr>
              <w:t xml:space="preserve">选取</w:t>
            </w:r>
            <w:r>
              <w:rPr>
                <w:rFonts w:ascii="宋体" w:hAnsi="宋体"/>
                <w:lang w:eastAsia="en-US"/>
              </w:rPr>
              <w:t xml:space="preserve">中标候选人数量</w:t>
            </w:r>
            <w:r/>
          </w:p>
        </w:tc>
        <w:tc>
          <w:tcPr>
            <w:tcW w:w="5656" w:type="dxa"/>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rHeight w:val="584"/>
        </w:trPr>
        <w:tc>
          <w:tcPr>
            <w:tcW w:w="1093" w:type="dxa"/>
            <w:textDirection w:val="lrTb"/>
            <w:noWrap w:val="false"/>
          </w:tcPr>
          <w:p>
            <w:pPr>
              <w:jc w:val="center"/>
              <w:rPr>
                <w:rFonts w:hint="eastAsia" w:ascii="宋体" w:hAnsi="宋体"/>
                <w:lang w:eastAsia="en-US"/>
              </w:rPr>
            </w:pPr>
            <w:r>
              <w:rPr>
                <w:rFonts w:hint="eastAsia" w:ascii="宋体" w:hAnsi="宋体"/>
                <w:lang w:eastAsia="en-US"/>
              </w:rPr>
              <w:t xml:space="preserve">1</w:t>
            </w:r>
            <w:r/>
          </w:p>
        </w:tc>
        <w:tc>
          <w:tcPr>
            <w:tcW w:w="1701" w:type="dxa"/>
            <w:textDirection w:val="lrTb"/>
            <w:noWrap w:val="false"/>
          </w:tcPr>
          <w:p>
            <w:pPr>
              <w:jc w:val="center"/>
              <w:rPr>
                <w:rFonts w:hint="eastAsia" w:ascii="宋体" w:hAnsi="宋体"/>
                <w:lang w:eastAsia="en-US"/>
              </w:rPr>
            </w:pPr>
            <w:r>
              <w:rPr>
                <w:rFonts w:hint="eastAsia" w:ascii="宋体" w:hAnsi="宋体"/>
                <w:lang w:eastAsia="en-US"/>
              </w:rPr>
              <w:t xml:space="preserve">1</w:t>
            </w:r>
            <w:r/>
          </w:p>
        </w:tc>
        <w:tc>
          <w:tcPr>
            <w:tcW w:w="5656" w:type="dxa"/>
            <w:textDirection w:val="lrTb"/>
            <w:noWrap w:val="false"/>
          </w:tcPr>
          <w:p>
            <w:pPr>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877"/>
        <w:ind w:firstLine="420"/>
        <w:spacing w:line="0" w:lineRule="atLeast"/>
        <w:rPr>
          <w:rFonts w:hint="eastAsia" w:ascii="宋体" w:hAnsi="宋体"/>
          <w:b/>
        </w:rPr>
      </w:pPr>
      <w:r>
        <w:rPr>
          <w:rFonts w:hint="eastAsia" w:ascii="宋体" w:hAnsi="宋体"/>
        </w:rPr>
        <w:t xml:space="preserve">本项目按照采购包各选取1名中标候选人。</w:t>
      </w:r>
      <w:r/>
    </w:p>
    <w:p>
      <w:pPr>
        <w:pStyle w:val="877"/>
        <w:ind w:firstLine="441"/>
        <w:spacing w:line="0" w:lineRule="atLeast"/>
        <w:rPr>
          <w:rFonts w:hint="eastAsia" w:ascii="宋体" w:hAnsi="宋体"/>
          <w:b/>
        </w:rPr>
      </w:pPr>
      <w:r>
        <w:rPr>
          <w:rFonts w:hint="eastAsia" w:ascii="宋体" w:hAnsi="宋体"/>
          <w:b/>
        </w:rPr>
        <w:t xml:space="preserve">政府采购政策功能落实</w:t>
      </w:r>
      <w:r/>
    </w:p>
    <w:p>
      <w:pPr>
        <w:pStyle w:val="877"/>
        <w:spacing w:line="0" w:lineRule="atLeast"/>
        <w:rPr>
          <w:rFonts w:hint="eastAsia" w:ascii="宋体" w:hAnsi="宋体"/>
        </w:rPr>
      </w:pPr>
      <w:r>
        <w:rPr>
          <w:rFonts w:hint="eastAsia" w:ascii="宋体" w:hAnsi="宋体"/>
        </w:rPr>
        <w:t xml:space="preserve">1、小微型企业价格扣除</w:t>
      </w:r>
      <w:r/>
    </w:p>
    <w:p>
      <w:pPr>
        <w:pStyle w:val="877"/>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877"/>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877"/>
        <w:ind w:firstLine="360"/>
        <w:spacing w:line="0" w:lineRule="atLeast"/>
        <w:rPr>
          <w:rFonts w:hint="eastAsia" w:ascii="宋体" w:hAnsi="宋体"/>
        </w:rPr>
      </w:pPr>
      <w:r>
        <w:rPr>
          <w:rFonts w:ascii="仿宋" w:hAnsi="仿宋" w:eastAsia="仿宋" w:cs="仿宋"/>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9-2</w:t>
      </w:r>
      <w:r>
        <w:rPr>
          <w:rFonts w:hint="eastAsia" w:ascii="宋体" w:hAnsi="宋体"/>
        </w:rPr>
        <w:t xml:space="preserve">）</w:t>
      </w:r>
      <w:r>
        <w:rPr>
          <w:rFonts w:ascii="仿宋" w:hAnsi="仿宋" w:eastAsia="仿宋" w:cs="仿宋"/>
        </w:rPr>
        <w:t xml:space="preserve">供应商将不享受《政府采购促进中小企业发展管理办法》规定的价格扣除优惠政策。</w:t>
      </w:r>
      <w:r/>
    </w:p>
    <w:p>
      <w:pPr>
        <w:pStyle w:val="877"/>
        <w:spacing w:line="0" w:lineRule="atLeast"/>
        <w:rPr>
          <w:rFonts w:hint="eastAsia" w:ascii="宋体" w:hAnsi="宋体"/>
        </w:rPr>
      </w:pPr>
      <w:r>
        <w:rPr>
          <w:rFonts w:hint="eastAsia" w:ascii="宋体" w:hAnsi="宋体"/>
        </w:rPr>
        <w:t xml:space="preserve">2、残疾人福利单位价格扣除</w:t>
      </w:r>
      <w:r/>
    </w:p>
    <w:p>
      <w:pPr>
        <w:pStyle w:val="877"/>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877"/>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877"/>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877"/>
        <w:spacing w:line="0" w:lineRule="atLeast"/>
        <w:rPr>
          <w:rFonts w:hint="eastAsia" w:ascii="宋体" w:hAnsi="宋体"/>
        </w:rPr>
      </w:pPr>
      <w:r>
        <w:rPr>
          <w:rFonts w:hint="eastAsia" w:ascii="宋体" w:hAnsi="宋体"/>
        </w:rPr>
        <w:t xml:space="preserve">3、监狱和戒毒企业价格扣除</w:t>
      </w:r>
      <w:r/>
    </w:p>
    <w:p>
      <w:pPr>
        <w:pStyle w:val="877"/>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877"/>
        <w:spacing w:line="0" w:lineRule="atLeast"/>
        <w:rPr>
          <w:rFonts w:hint="eastAsia" w:ascii="宋体" w:hAnsi="宋体"/>
        </w:rPr>
      </w:pPr>
      <w:r>
        <w:rPr>
          <w:rFonts w:hint="eastAsia" w:ascii="宋体" w:hAnsi="宋体"/>
        </w:rPr>
        <w:t xml:space="preserve">（2）监狱企业参加政府采购活动时，需提供由省级以上监狱管理局、戒毒管理局</w:t>
      </w:r>
      <w:r>
        <w:rPr>
          <w:rFonts w:hint="eastAsia" w:ascii="宋体" w:hAnsi="宋体"/>
        </w:rPr>
        <w:t xml:space="preserve">(含新疆生产建设兵团)</w:t>
      </w:r>
      <w:r>
        <w:rPr>
          <w:rFonts w:hint="eastAsia" w:ascii="宋体" w:hAnsi="宋体"/>
        </w:rPr>
        <w:t xml:space="preserve">出具的属于监狱企业的证明文件。供应商如不提供上述证明文件，价格将不做相应扣除。</w:t>
      </w:r>
      <w:r/>
    </w:p>
    <w:p>
      <w:pPr>
        <w:pStyle w:val="877"/>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877"/>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877"/>
        <w:spacing w:line="400" w:lineRule="exact"/>
        <w:rPr>
          <w:rFonts w:hint="eastAsia" w:ascii="宋体" w:hAnsi="宋体"/>
        </w:rPr>
      </w:pPr>
      <w:r>
        <w:rPr>
          <w:rFonts w:hint="eastAsia" w:ascii="宋体" w:hAnsi="宋体"/>
        </w:rPr>
        <w:t xml:space="preserve">5、如果本项目同意联合体投标或同意分包履行合同</w:t>
      </w:r>
      <w:r>
        <w:rPr>
          <w:rFonts w:hint="eastAsia" w:ascii="宋体" w:hAnsi="宋体"/>
        </w:rPr>
        <w:t xml:space="preserve">的,</w:t>
      </w:r>
      <w:r>
        <w:rPr>
          <w:rFonts w:hint="eastAsia" w:ascii="宋体" w:hAnsi="宋体"/>
        </w:rPr>
        <w:t xml:space="preserve">大中型企业与小微型企业</w:t>
      </w:r>
      <w:r>
        <w:rPr>
          <w:rFonts w:hint="eastAsia" w:ascii="宋体" w:hAnsi="宋体"/>
        </w:rPr>
        <w:t xml:space="preserve">（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877"/>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7、采购本国产品的支持政策</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7.1 当采购包中含有货物的，供应商为该采购包提供的符合本国产品标准的货物成本之和占该供应商提供的整个采购包成本之和的比例达到</w:t>
      </w:r>
      <w:r>
        <w:rPr>
          <w:rFonts w:hint="eastAsia" w:ascii="宋体" w:hAnsi="宋体" w:cs="方正魏碑_GBK"/>
          <w:sz w:val="24"/>
          <w:szCs w:val="24"/>
          <w:u w:val="single"/>
        </w:rPr>
        <w:t xml:space="preserve">80%</w:t>
      </w:r>
      <w:r>
        <w:rPr>
          <w:rFonts w:hint="eastAsia" w:ascii="宋体" w:hAnsi="宋体" w:cs="方正魏碑_GBK"/>
          <w:sz w:val="24"/>
          <w:szCs w:val="24"/>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宋体" w:hAnsi="宋体" w:cs="方正魏碑_GBK"/>
          <w:sz w:val="24"/>
          <w:szCs w:val="24"/>
          <w:u w:val="single"/>
        </w:rPr>
        <w:t xml:space="preserve">20%</w:t>
      </w:r>
      <w:r>
        <w:rPr>
          <w:rFonts w:hint="eastAsia" w:ascii="宋体" w:hAnsi="宋体" w:cs="方正魏碑_GBK"/>
          <w:sz w:val="24"/>
          <w:szCs w:val="24"/>
        </w:rPr>
        <w:t xml:space="preserve">的价格扣除，用扣除后的价格参与评审。供应商未填写比例数值，或比例数值不足</w:t>
      </w:r>
      <w:r>
        <w:rPr>
          <w:rFonts w:hint="eastAsia" w:ascii="宋体" w:hAnsi="宋体" w:cs="方正魏碑_GBK"/>
          <w:sz w:val="24"/>
          <w:szCs w:val="24"/>
          <w:u w:val="single"/>
        </w:rPr>
        <w:t xml:space="preserve">80%</w:t>
      </w:r>
      <w:r>
        <w:rPr>
          <w:rFonts w:hint="eastAsia" w:ascii="宋体" w:hAnsi="宋体" w:cs="方正魏碑_GBK"/>
          <w:sz w:val="24"/>
          <w:szCs w:val="24"/>
        </w:rPr>
        <w:t xml:space="preserve">的，将不享受本国产品价格评审优惠。</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7.2 供应商需按照招标文件的要求提供《关于符合本国产品标准的声明函》（以下简称《声明函》），如不提供将不享受本国产品价格评审优惠。</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7.3 供应商需在《声明函》中逐一、准确填写产品名称、厂名、生产厂址三项信息（《声明函》中标注</w:t>
      </w:r>
      <w:r>
        <w:rPr>
          <w:rFonts w:hint="eastAsia" w:ascii="宋体" w:hAnsi="宋体" w:cs="方正魏碑_GBK"/>
          <w:sz w:val="24"/>
          <w:szCs w:val="24"/>
          <w:u w:val="single"/>
        </w:rPr>
        <w:t xml:space="preserve">“ </w:t>
      </w:r>
      <w:r>
        <w:rPr>
          <w:rFonts w:hint="eastAsia" w:ascii="宋体" w:hAnsi="宋体" w:cs="方正魏碑_GBK"/>
          <w:sz w:val="24"/>
          <w:szCs w:val="24"/>
          <w:u w:val="single"/>
        </w:rPr>
        <w:t xml:space="preserve"> </w:t>
      </w:r>
      <w:r>
        <w:rPr>
          <w:rFonts w:hint="eastAsia" w:ascii="宋体" w:hAnsi="宋体" w:cs="方正魏碑_GBK"/>
          <w:sz w:val="24"/>
          <w:szCs w:val="24"/>
          <w:u w:val="single"/>
        </w:rPr>
        <w:t xml:space="preserve">/  ”</w:t>
      </w:r>
      <w:r>
        <w:rPr>
          <w:rFonts w:hint="eastAsia" w:ascii="宋体" w:hAnsi="宋体" w:cs="方正魏碑_GBK"/>
          <w:sz w:val="24"/>
          <w:szCs w:val="24"/>
        </w:rPr>
        <w:t xml:space="preserve">的地方无需填写），三项信息中任意一项未填写的视为该项产品不符合本国产品标准，不享受本国产品价格评审优惠。</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评标方法与评标标准</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本项目采用综合评分法确定中标候选人。评标委员会将按下列评分办法和标准进</w:t>
      </w:r>
      <w:r>
        <w:rPr>
          <w:rFonts w:hint="eastAsia" w:ascii="宋体" w:hAnsi="宋体" w:cs="方正魏碑_GBK"/>
          <w:sz w:val="24"/>
          <w:szCs w:val="24"/>
        </w:rPr>
        <w:t xml:space="preserve">行评分，总分值为100分。</w:t>
      </w:r>
      <w:r/>
    </w:p>
    <w:p>
      <w:pPr>
        <w:pStyle w:val="877"/>
        <w:ind w:firstLine="482"/>
        <w:spacing w:line="0" w:lineRule="atLeast"/>
        <w:rPr>
          <w:rFonts w:hint="eastAsia" w:ascii="宋体" w:hAnsi="宋体" w:cs="宋体"/>
          <w:b/>
        </w:rPr>
      </w:pPr>
      <w:r>
        <w:rPr>
          <w:rFonts w:hint="eastAsia" w:ascii="宋体" w:hAnsi="宋体" w:cs="宋体"/>
          <w:b/>
        </w:rPr>
        <w:t xml:space="preserve">评标方法与评标标准</w:t>
      </w:r>
      <w:r/>
    </w:p>
    <w:p>
      <w:pPr>
        <w:pStyle w:val="877"/>
        <w:numPr>
          <w:ilvl w:val="0"/>
          <w:numId w:val="7"/>
        </w:numPr>
        <w:ind w:firstLine="482"/>
        <w:spacing w:line="0" w:lineRule="atLeast"/>
        <w:rPr>
          <w:rFonts w:hint="eastAsia" w:ascii="宋体" w:hAnsi="宋体" w:cs="宋体"/>
          <w:b/>
        </w:rPr>
      </w:pPr>
      <w:r>
        <w:rPr>
          <w:rFonts w:hint="eastAsia" w:ascii="宋体" w:hAnsi="宋体" w:cs="宋体"/>
          <w:b/>
        </w:rPr>
        <w:t xml:space="preserve">价格分：10分</w:t>
      </w:r>
      <w:r/>
    </w:p>
    <w:p>
      <w:pPr>
        <w:ind w:firstLine="422"/>
        <w:spacing w:line="500" w:lineRule="exact"/>
        <w:rPr>
          <w:rFonts w:hint="eastAsia" w:ascii="宋体" w:hAnsi="宋体" w:cs="宋体"/>
        </w:rPr>
      </w:pPr>
      <w:r>
        <w:rPr>
          <w:rFonts w:hint="eastAsia" w:ascii="宋体" w:hAnsi="宋体" w:cs="宋体"/>
          <w:sz w:val="24"/>
          <w:szCs w:val="24"/>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cs="宋体"/>
        </w:rPr>
      </w:pPr>
      <w:r>
        <w:rPr>
          <w:rFonts w:hint="eastAsia" w:ascii="宋体" w:hAnsi="宋体" w:cs="宋体"/>
          <w:sz w:val="24"/>
          <w:szCs w:val="24"/>
        </w:rPr>
        <w:t xml:space="preserve">投标报价得分=（评标基准价/投标报价）×价格权值×100</w:t>
      </w:r>
      <w:r/>
    </w:p>
    <w:p>
      <w:pPr>
        <w:pStyle w:val="877"/>
        <w:ind w:firstLine="0"/>
        <w:spacing w:line="0" w:lineRule="atLeast"/>
        <w:rPr>
          <w:rFonts w:hint="eastAsia" w:ascii="宋体" w:hAnsi="宋体" w:cs="宋体"/>
          <w:b/>
        </w:rPr>
      </w:pPr>
      <w:r>
        <w:rPr>
          <w:rFonts w:hint="eastAsia" w:ascii="宋体" w:hAnsi="宋体" w:cs="宋体"/>
          <w:b/>
        </w:rPr>
      </w:r>
      <w:r/>
    </w:p>
    <w:p>
      <w:pPr>
        <w:pStyle w:val="877"/>
        <w:numPr>
          <w:ilvl w:val="0"/>
          <w:numId w:val="7"/>
        </w:numPr>
        <w:ind w:firstLine="482"/>
        <w:spacing w:line="0" w:lineRule="atLeast"/>
        <w:rPr>
          <w:rFonts w:hint="eastAsia" w:ascii="宋体" w:hAnsi="宋体" w:cs="宋体"/>
          <w:b/>
        </w:rPr>
      </w:pPr>
      <w:r>
        <w:rPr>
          <w:rFonts w:hint="eastAsia" w:ascii="宋体" w:hAnsi="宋体" w:cs="宋体"/>
          <w:b/>
        </w:rPr>
        <w:t xml:space="preserve">技术分：46分</w:t>
      </w:r>
      <w:r/>
    </w:p>
    <w:p>
      <w:pPr>
        <w:rPr>
          <w:rFonts w:hint="eastAsia" w:ascii="宋体" w:hAnsi="宋体" w:cs="宋体"/>
          <w:b/>
          <w:bCs/>
        </w:rPr>
      </w:pPr>
      <w:r>
        <w:rPr>
          <w:rFonts w:hint="eastAsia" w:ascii="宋体" w:hAnsi="宋体" w:cs="宋体"/>
          <w:b/>
          <w:bCs/>
        </w:rPr>
        <w:t xml:space="preserve">2.1产品技术参数（36分）</w:t>
      </w:r>
      <w:r/>
    </w:p>
    <w:p>
      <w:pPr>
        <w:ind w:firstLine="480"/>
        <w:spacing w:line="440" w:lineRule="exact"/>
        <w:rPr>
          <w:rFonts w:cs="Times New Roman"/>
        </w:rPr>
      </w:pPr>
      <w:r>
        <w:rPr>
          <w:rFonts w:hint="eastAsia" w:cs="Times New Roman"/>
          <w:sz w:val="24"/>
          <w:szCs w:val="24"/>
        </w:rPr>
        <w:t xml:space="preserve">根据第四章采购需求中第二部分技术指标要求进行打分。针对招标要求逐条响应，完全响应即满足招标文件各项技术指标、参数要求的得</w:t>
      </w:r>
      <w:r>
        <w:rPr>
          <w:rFonts w:hint="eastAsia" w:cs="Times New Roman"/>
          <w:sz w:val="24"/>
          <w:szCs w:val="24"/>
        </w:rPr>
        <w:t xml:space="preserve">36</w:t>
      </w:r>
      <w:r>
        <w:rPr>
          <w:rFonts w:hint="eastAsia" w:cs="Times New Roman"/>
          <w:sz w:val="24"/>
          <w:szCs w:val="24"/>
        </w:rPr>
        <w:t xml:space="preserve">分。</w:t>
      </w:r>
      <w:r/>
    </w:p>
    <w:p>
      <w:pPr>
        <w:ind w:firstLine="480"/>
        <w:spacing w:line="440" w:lineRule="exact"/>
        <w:rPr>
          <w:rFonts w:cs="Times New Roman"/>
        </w:rPr>
      </w:pPr>
      <w:r>
        <w:rPr>
          <w:rFonts w:hint="eastAsia" w:cs="Times New Roman"/>
          <w:sz w:val="24"/>
          <w:szCs w:val="24"/>
        </w:rPr>
        <w:t xml:space="preserve">其中，斜体加下划线为必须满足项，如有负偏离将作为无效投标。</w:t>
      </w:r>
      <w:r/>
    </w:p>
    <w:p>
      <w:pPr>
        <w:ind w:firstLine="480"/>
        <w:spacing w:line="440" w:lineRule="exact"/>
        <w:rPr>
          <w:rFonts w:cs="Times New Roman"/>
        </w:rPr>
      </w:pPr>
      <w:r>
        <w:rPr>
          <w:rFonts w:hint="eastAsia" w:cs="Times New Roman"/>
          <w:sz w:val="24"/>
          <w:szCs w:val="24"/>
        </w:rPr>
        <w:t xml:space="preserve">其中，带▲的参数为重要技术参数指标项，不符合要求每项扣</w:t>
      </w:r>
      <w:r>
        <w:rPr>
          <w:rFonts w:hint="eastAsia" w:cs="Times New Roman"/>
          <w:sz w:val="24"/>
          <w:szCs w:val="24"/>
        </w:rPr>
        <w:t xml:space="preserve">2</w:t>
      </w:r>
      <w:r>
        <w:rPr>
          <w:rFonts w:hint="eastAsia" w:cs="Times New Roman"/>
          <w:sz w:val="24"/>
          <w:szCs w:val="24"/>
        </w:rPr>
        <w:t xml:space="preserve">分，总分</w:t>
      </w:r>
      <w:r>
        <w:rPr>
          <w:rFonts w:hint="eastAsia" w:cs="Times New Roman"/>
          <w:sz w:val="24"/>
          <w:szCs w:val="24"/>
        </w:rPr>
        <w:t xml:space="preserve">20</w:t>
      </w:r>
      <w:r>
        <w:rPr>
          <w:rFonts w:hint="eastAsia" w:cs="Times New Roman"/>
          <w:sz w:val="24"/>
          <w:szCs w:val="24"/>
        </w:rPr>
        <w:t xml:space="preserve">分，扣完为止。</w:t>
      </w:r>
      <w:r/>
    </w:p>
    <w:p>
      <w:pPr>
        <w:ind w:firstLine="480"/>
        <w:spacing w:line="440" w:lineRule="exact"/>
        <w:rPr>
          <w:rFonts w:cs="Times New Roman"/>
        </w:rPr>
      </w:pPr>
      <w:r>
        <w:rPr>
          <w:rFonts w:hint="eastAsia" w:cs="Times New Roman"/>
          <w:sz w:val="24"/>
          <w:szCs w:val="24"/>
        </w:rPr>
        <w:t xml:space="preserve">其余为普通技术参数指标项，不符合要求每项扣</w:t>
      </w:r>
      <w:r>
        <w:rPr>
          <w:rFonts w:hint="eastAsia" w:cs="Times New Roman"/>
          <w:sz w:val="24"/>
          <w:szCs w:val="24"/>
        </w:rPr>
        <w:t xml:space="preserve">0.5</w:t>
      </w:r>
      <w:r>
        <w:rPr>
          <w:rFonts w:hint="eastAsia" w:cs="Times New Roman"/>
          <w:sz w:val="24"/>
          <w:szCs w:val="24"/>
        </w:rPr>
        <w:t xml:space="preserve">分，总分</w:t>
      </w:r>
      <w:r>
        <w:rPr>
          <w:rFonts w:hint="eastAsia" w:cs="Times New Roman"/>
          <w:sz w:val="24"/>
          <w:szCs w:val="24"/>
        </w:rPr>
        <w:t xml:space="preserve">16</w:t>
      </w:r>
      <w:r>
        <w:rPr>
          <w:rFonts w:hint="eastAsia" w:cs="Times New Roman"/>
          <w:sz w:val="24"/>
          <w:szCs w:val="24"/>
        </w:rPr>
        <w:t xml:space="preserve">分，扣完为止。</w:t>
      </w:r>
      <w:r/>
    </w:p>
    <w:p>
      <w:pPr>
        <w:rPr>
          <w:rFonts w:cs="Times New Roman"/>
        </w:rPr>
      </w:pPr>
      <w:r>
        <w:rPr>
          <w:rFonts w:hint="eastAsia" w:cs="Times New Roman"/>
          <w:sz w:val="24"/>
          <w:szCs w:val="24"/>
        </w:rPr>
        <w:t xml:space="preserve">（投标人需在“技术参数响应及偏离表”中如实逐项填列所投产品的参数及承诺，如招标文件要求提供截图或其他相关证明材料需加盖投标人公章，须按采购文件要求提供截图或其他相关证明材料，否则评标委员会有权做负偏离处理。）</w:t>
      </w:r>
      <w:r/>
    </w:p>
    <w:p>
      <w:pPr>
        <w:rPr>
          <w:rFonts w:hint="eastAsia" w:ascii="宋体" w:hAnsi="宋体" w:cs="宋体"/>
          <w:b/>
          <w:bCs/>
        </w:rPr>
      </w:pPr>
      <w:r>
        <w:rPr>
          <w:rFonts w:hint="eastAsia" w:ascii="宋体" w:hAnsi="宋体" w:cs="宋体"/>
          <w:b/>
          <w:bCs/>
        </w:rPr>
        <w:t xml:space="preserve">2.2项目实施方案（5分）</w:t>
      </w:r>
      <w:r/>
    </w:p>
    <w:p>
      <w:pPr>
        <w:pStyle w:val="720"/>
      </w:pPr>
      <w:r>
        <w:t xml:space="preserve">评委根据投标文件对第四章</w:t>
      </w:r>
      <w:r>
        <w:t xml:space="preserve">“</w:t>
      </w:r>
      <w:r>
        <w:t xml:space="preserve">采购需求</w:t>
      </w:r>
      <w:r>
        <w:t xml:space="preserve">”</w:t>
      </w:r>
      <w:r>
        <w:t xml:space="preserve">中</w:t>
      </w:r>
      <w:r>
        <w:t xml:space="preserve">“</w:t>
      </w:r>
      <w:r>
        <w:rPr>
          <w:rFonts w:hint="eastAsia"/>
        </w:rPr>
        <w:t xml:space="preserve">项目实施方案</w:t>
      </w:r>
      <w:r>
        <w:t xml:space="preserve">”</w:t>
      </w:r>
      <w:r>
        <w:t xml:space="preserve">响应情况进行评审</w:t>
      </w:r>
      <w:r/>
    </w:p>
    <w:p>
      <w:pPr>
        <w:pStyle w:val="720"/>
      </w:pPr>
      <w:r>
        <w:t xml:space="preserve">（</w:t>
      </w:r>
      <w:r>
        <w:t xml:space="preserve">1</w:t>
      </w:r>
      <w:r>
        <w:t xml:space="preserve">）投标文件未符合</w:t>
      </w:r>
      <w:r>
        <w:t xml:space="preserve">“</w:t>
      </w:r>
      <w:r>
        <w:rPr>
          <w:rFonts w:hint="eastAsia"/>
        </w:rPr>
        <w:t xml:space="preserve">项目实施方案</w:t>
      </w:r>
      <w:r>
        <w:t xml:space="preserve">”</w:t>
      </w:r>
      <w:r>
        <w:t xml:space="preserve">中全部条款要求的，视为不符合招标文件，本项得</w:t>
      </w:r>
      <w:r>
        <w:t xml:space="preserve">0</w:t>
      </w:r>
      <w:r>
        <w:t xml:space="preserve">分。</w:t>
      </w:r>
      <w:r/>
    </w:p>
    <w:p>
      <w:pPr>
        <w:pStyle w:val="720"/>
      </w:pPr>
      <w:r>
        <w:t xml:space="preserve">（</w:t>
      </w:r>
      <w:r>
        <w:t xml:space="preserve">2</w:t>
      </w:r>
      <w:r>
        <w:t xml:space="preserve">）投标文件符合</w:t>
      </w:r>
      <w:r>
        <w:t xml:space="preserve"> “</w:t>
      </w:r>
      <w:r>
        <w:rPr>
          <w:rFonts w:hint="eastAsia"/>
        </w:rPr>
        <w:t xml:space="preserve">项目实施方案</w:t>
      </w:r>
      <w:r>
        <w:t xml:space="preserve">”</w:t>
      </w:r>
      <w:r>
        <w:t xml:space="preserve">中全部条款要求的，视为符合招标文件，本项得</w:t>
      </w:r>
      <w:r>
        <w:t xml:space="preserve">3</w:t>
      </w:r>
      <w:r>
        <w:t xml:space="preserve">分。</w:t>
      </w:r>
      <w:r/>
    </w:p>
    <w:p>
      <w:pPr>
        <w:pStyle w:val="720"/>
      </w:pPr>
      <w:r>
        <w:t xml:space="preserve">（</w:t>
      </w:r>
      <w:r>
        <w:t xml:space="preserve">3</w:t>
      </w:r>
      <w:r>
        <w:t xml:space="preserve">）经评委认定，投标文件对</w:t>
      </w:r>
      <w:r>
        <w:t xml:space="preserve">“</w:t>
      </w:r>
      <w:r>
        <w:rPr>
          <w:rFonts w:hint="eastAsia"/>
        </w:rPr>
        <w:t xml:space="preserve">项目实施方案</w:t>
      </w:r>
      <w:r>
        <w:t xml:space="preserve">”</w:t>
      </w:r>
      <w:r>
        <w:t xml:space="preserve">中</w:t>
      </w:r>
      <w:r>
        <w:t xml:space="preserve">“</w:t>
      </w:r>
      <w:r>
        <w:rPr>
          <w:rFonts w:hint="eastAsia"/>
        </w:rPr>
        <w:t xml:space="preserve">合理化建议及实施进度安排</w:t>
      </w:r>
      <w:r>
        <w:t xml:space="preserve">”</w:t>
      </w:r>
      <w:r>
        <w:t xml:space="preserve">、</w:t>
      </w:r>
      <w:r>
        <w:t xml:space="preserve">“</w:t>
      </w:r>
      <w:r>
        <w:rPr>
          <w:rFonts w:hint="eastAsia"/>
        </w:rPr>
        <w:t xml:space="preserve">协调配合措施</w:t>
      </w:r>
      <w:r>
        <w:t xml:space="preserve">”</w:t>
      </w:r>
      <w:r>
        <w:t xml:space="preserve">、</w:t>
      </w:r>
      <w:r>
        <w:t xml:space="preserve">“</w:t>
      </w:r>
      <w:r>
        <w:rPr>
          <w:rFonts w:hint="eastAsia"/>
        </w:rPr>
        <w:t xml:space="preserve">应急措施</w:t>
      </w:r>
      <w:r>
        <w:t xml:space="preserve">”</w:t>
      </w:r>
      <w:r>
        <w:rPr>
          <w:rFonts w:hint="eastAsia"/>
        </w:rPr>
        <w:t xml:space="preserve">三</w:t>
      </w:r>
      <w:r>
        <w:t xml:space="preserve">项要求的响应内容全部优于招标文件要求的（投标文件对</w:t>
      </w:r>
      <w:r>
        <w:t xml:space="preserve">“</w:t>
      </w:r>
      <w:r>
        <w:rPr>
          <w:rFonts w:hint="eastAsia"/>
        </w:rPr>
        <w:t xml:space="preserve">项目实施</w:t>
      </w:r>
      <w:r>
        <w:t xml:space="preserve">方案</w:t>
      </w:r>
      <w:r>
        <w:t xml:space="preserve">”</w:t>
      </w:r>
      <w:r>
        <w:t xml:space="preserve">中除</w:t>
      </w:r>
      <w:r>
        <w:t xml:space="preserve">“</w:t>
      </w:r>
      <w:r>
        <w:rPr>
          <w:rFonts w:hint="eastAsia"/>
        </w:rPr>
        <w:t xml:space="preserve">合理化建议及实施进度安排</w:t>
      </w:r>
      <w:r>
        <w:t xml:space="preserve">”</w:t>
      </w:r>
      <w:r>
        <w:t xml:space="preserve">、</w:t>
      </w:r>
      <w:r>
        <w:t xml:space="preserve">“</w:t>
      </w:r>
      <w:r>
        <w:rPr>
          <w:rFonts w:hint="eastAsia"/>
        </w:rPr>
        <w:t xml:space="preserve">协调配合措施</w:t>
      </w:r>
      <w:r>
        <w:t xml:space="preserve">”</w:t>
      </w:r>
      <w:r>
        <w:t xml:space="preserve">、</w:t>
      </w:r>
      <w:r>
        <w:t xml:space="preserve">“</w:t>
      </w:r>
      <w:r>
        <w:rPr>
          <w:rFonts w:hint="eastAsia"/>
        </w:rPr>
        <w:t xml:space="preserve">应急措施</w:t>
      </w:r>
      <w:r>
        <w:t xml:space="preserve">”</w:t>
      </w:r>
      <w:r>
        <w:t xml:space="preserve">外其他要求响应内容符合招标文件要求），本项得</w:t>
      </w:r>
      <w:r>
        <w:t xml:space="preserve">5</w:t>
      </w:r>
      <w:r>
        <w:t xml:space="preserve">分。</w:t>
      </w:r>
      <w:r/>
    </w:p>
    <w:p>
      <w:pPr>
        <w:rPr>
          <w:rFonts w:hint="eastAsia" w:ascii="宋体" w:hAnsi="宋体" w:cs="宋体"/>
          <w:b/>
          <w:bCs/>
        </w:rPr>
      </w:pPr>
      <w:r>
        <w:rPr>
          <w:rFonts w:hint="eastAsia" w:ascii="宋体" w:hAnsi="宋体" w:cs="宋体"/>
          <w:b/>
          <w:bCs/>
        </w:rPr>
        <w:t xml:space="preserve">2.3培训方案（5分）</w:t>
      </w:r>
      <w:r/>
    </w:p>
    <w:p>
      <w:pPr>
        <w:pStyle w:val="720"/>
      </w:pPr>
      <w:r>
        <w:t xml:space="preserve">评委根据投标文件对第四章</w:t>
      </w:r>
      <w:r>
        <w:t xml:space="preserve">“</w:t>
      </w:r>
      <w:r>
        <w:t xml:space="preserve">采购需求</w:t>
      </w:r>
      <w:r>
        <w:t xml:space="preserve">”</w:t>
      </w:r>
      <w:r>
        <w:t xml:space="preserve">中</w:t>
      </w:r>
      <w:r>
        <w:t xml:space="preserve">“</w:t>
      </w:r>
      <w:r>
        <w:rPr>
          <w:rFonts w:hint="eastAsia"/>
        </w:rPr>
        <w:t xml:space="preserve">培训方案</w:t>
      </w:r>
      <w:r>
        <w:t xml:space="preserve">”</w:t>
      </w:r>
      <w:r>
        <w:t xml:space="preserve">响应情况进行评审</w:t>
      </w:r>
      <w:r/>
    </w:p>
    <w:p>
      <w:pPr>
        <w:pStyle w:val="720"/>
      </w:pPr>
      <w:r>
        <w:t xml:space="preserve">（</w:t>
      </w:r>
      <w:r>
        <w:t xml:space="preserve">1</w:t>
      </w:r>
      <w:r>
        <w:t xml:space="preserve">）投标文件未符合</w:t>
      </w:r>
      <w:r>
        <w:t xml:space="preserve">“</w:t>
      </w:r>
      <w:r>
        <w:rPr>
          <w:rFonts w:hint="eastAsia"/>
        </w:rPr>
        <w:t xml:space="preserve">培训方案</w:t>
      </w:r>
      <w:r>
        <w:t xml:space="preserve">”</w:t>
      </w:r>
      <w:r>
        <w:t xml:space="preserve">中全部条款要求的，视为不符合招标文件，本项得</w:t>
      </w:r>
      <w:r>
        <w:t xml:space="preserve">0</w:t>
      </w:r>
      <w:r>
        <w:t xml:space="preserve">分。</w:t>
      </w:r>
      <w:r/>
    </w:p>
    <w:p>
      <w:pPr>
        <w:pStyle w:val="720"/>
      </w:pPr>
      <w:r>
        <w:t xml:space="preserve">（</w:t>
      </w:r>
      <w:r>
        <w:t xml:space="preserve">2</w:t>
      </w:r>
      <w:r>
        <w:t xml:space="preserve">）投标文件符合</w:t>
      </w:r>
      <w:r>
        <w:t xml:space="preserve"> “</w:t>
      </w:r>
      <w:r>
        <w:rPr>
          <w:rFonts w:hint="eastAsia"/>
        </w:rPr>
        <w:t xml:space="preserve">培训方案</w:t>
      </w:r>
      <w:r>
        <w:t xml:space="preserve">”</w:t>
      </w:r>
      <w:r>
        <w:t xml:space="preserve">中全部条款要求的，视为符合招标文件，本项得</w:t>
      </w:r>
      <w:r>
        <w:t xml:space="preserve">3</w:t>
      </w:r>
      <w:r>
        <w:t xml:space="preserve">分。</w:t>
      </w:r>
      <w:r/>
    </w:p>
    <w:p>
      <w:pPr>
        <w:pStyle w:val="720"/>
      </w:pPr>
      <w:r>
        <w:t xml:space="preserve">（</w:t>
      </w:r>
      <w:r>
        <w:t xml:space="preserve">3</w:t>
      </w:r>
      <w:r>
        <w:t xml:space="preserve">）经评委认定，投标文件对</w:t>
      </w:r>
      <w:r>
        <w:t xml:space="preserve">“</w:t>
      </w:r>
      <w:r>
        <w:rPr>
          <w:rFonts w:hint="eastAsia"/>
        </w:rPr>
        <w:t xml:space="preserve">培训方案</w:t>
      </w:r>
      <w:r>
        <w:t xml:space="preserve">”</w:t>
      </w:r>
      <w:r>
        <w:t xml:space="preserve">中</w:t>
      </w:r>
      <w:r>
        <w:t xml:space="preserve">“</w:t>
      </w:r>
      <w:r>
        <w:rPr>
          <w:rFonts w:hint="eastAsia"/>
        </w:rPr>
        <w:t xml:space="preserve">培训设计方案</w:t>
      </w:r>
      <w:r>
        <w:t xml:space="preserve">”</w:t>
      </w:r>
      <w:r>
        <w:t xml:space="preserve">、</w:t>
      </w:r>
      <w:r>
        <w:t xml:space="preserve">“</w:t>
      </w:r>
      <w:r>
        <w:rPr>
          <w:rFonts w:hint="eastAsia"/>
        </w:rPr>
        <w:t xml:space="preserve">培训师资与组织方案</w:t>
      </w:r>
      <w:r>
        <w:t xml:space="preserve">”</w:t>
      </w:r>
      <w:r>
        <w:t xml:space="preserve">、</w:t>
      </w:r>
      <w:r>
        <w:t xml:space="preserve">“</w:t>
      </w:r>
      <w:r>
        <w:rPr>
          <w:rFonts w:hint="eastAsia"/>
        </w:rPr>
        <w:t xml:space="preserve">培训考核方案</w:t>
      </w:r>
      <w:r>
        <w:t xml:space="preserve">”</w:t>
      </w:r>
      <w:r>
        <w:rPr>
          <w:rFonts w:hint="eastAsia"/>
        </w:rPr>
        <w:t xml:space="preserve">三</w:t>
      </w:r>
      <w:r>
        <w:t xml:space="preserve">项要求的响应内容全部优于招标文件要求的（投标文件对</w:t>
      </w:r>
      <w:r>
        <w:t xml:space="preserve">“</w:t>
      </w:r>
      <w:r>
        <w:rPr>
          <w:rFonts w:hint="eastAsia"/>
        </w:rPr>
        <w:t xml:space="preserve">培训</w:t>
      </w:r>
      <w:r>
        <w:t xml:space="preserve">方案</w:t>
      </w:r>
      <w:r>
        <w:t xml:space="preserve">”</w:t>
      </w:r>
      <w:r>
        <w:t xml:space="preserve">中除</w:t>
      </w:r>
      <w:r>
        <w:t xml:space="preserve">“</w:t>
      </w:r>
      <w:r>
        <w:rPr>
          <w:rFonts w:hint="eastAsia"/>
        </w:rPr>
        <w:t xml:space="preserve">培训设计方案</w:t>
      </w:r>
      <w:r>
        <w:t xml:space="preserve">”</w:t>
      </w:r>
      <w:r>
        <w:t xml:space="preserve">、</w:t>
      </w:r>
      <w:r>
        <w:t xml:space="preserve">“</w:t>
      </w:r>
      <w:r>
        <w:rPr>
          <w:rFonts w:hint="eastAsia"/>
        </w:rPr>
        <w:t xml:space="preserve">培训师资与组织方案</w:t>
      </w:r>
      <w:r>
        <w:t xml:space="preserve">”</w:t>
      </w:r>
      <w:r>
        <w:t xml:space="preserve">、</w:t>
      </w:r>
      <w:r>
        <w:t xml:space="preserve">“</w:t>
      </w:r>
      <w:r>
        <w:rPr>
          <w:rFonts w:hint="eastAsia"/>
        </w:rPr>
        <w:t xml:space="preserve">培训考核方案</w:t>
      </w:r>
      <w:r>
        <w:t xml:space="preserve">”</w:t>
      </w:r>
      <w:r>
        <w:t xml:space="preserve">外其他要求响应内容符合招标文件要求），本项得</w:t>
      </w:r>
      <w:r>
        <w:t xml:space="preserve">5</w:t>
      </w:r>
      <w:r>
        <w:t xml:space="preserve">分。</w:t>
      </w:r>
      <w:r/>
    </w:p>
    <w:p>
      <w:pPr>
        <w:rPr>
          <w:rFonts w:cs="Times New Roman"/>
        </w:rPr>
      </w:pPr>
      <w:r>
        <w:rPr>
          <w:rFonts w:cs="Times New Roman"/>
        </w:rPr>
      </w:r>
      <w:r/>
    </w:p>
    <w:p>
      <w:pPr>
        <w:pStyle w:val="877"/>
        <w:numPr>
          <w:ilvl w:val="0"/>
          <w:numId w:val="7"/>
        </w:numPr>
        <w:ind w:firstLine="482"/>
        <w:spacing w:line="0" w:lineRule="atLeast"/>
        <w:rPr>
          <w:rFonts w:hint="eastAsia" w:ascii="宋体" w:hAnsi="宋体" w:cs="宋体"/>
          <w:b/>
        </w:rPr>
      </w:pPr>
      <w:r>
        <w:rPr>
          <w:rFonts w:hint="eastAsia" w:ascii="宋体" w:hAnsi="宋体" w:cs="宋体"/>
          <w:b/>
        </w:rPr>
        <w:t xml:space="preserve">服务分：5分</w:t>
      </w:r>
      <w:r/>
    </w:p>
    <w:p>
      <w:pPr>
        <w:rPr>
          <w:rFonts w:hint="eastAsia" w:ascii="宋体" w:hAnsi="宋体" w:cs="宋体"/>
          <w:b/>
          <w:bCs/>
        </w:rPr>
      </w:pPr>
      <w:r>
        <w:rPr>
          <w:rFonts w:hint="eastAsia" w:ascii="宋体" w:hAnsi="宋体" w:cs="宋体"/>
          <w:b/>
          <w:bCs/>
        </w:rPr>
        <w:t xml:space="preserve">3.1售后服务方案（5分）</w:t>
      </w:r>
      <w:r/>
    </w:p>
    <w:p>
      <w:pPr>
        <w:pStyle w:val="720"/>
      </w:pPr>
      <w:r>
        <w:t xml:space="preserve">评委根据投标文件对第四章</w:t>
      </w:r>
      <w:r>
        <w:t xml:space="preserve">“</w:t>
      </w:r>
      <w:r>
        <w:t xml:space="preserve">采购需求</w:t>
      </w:r>
      <w:r>
        <w:t xml:space="preserve">”</w:t>
      </w:r>
      <w:r>
        <w:t xml:space="preserve">中</w:t>
      </w:r>
      <w:r>
        <w:t xml:space="preserve">“</w:t>
      </w:r>
      <w:r>
        <w:rPr>
          <w:rFonts w:hint="eastAsia"/>
        </w:rPr>
        <w:t xml:space="preserve">售后服务方案</w:t>
      </w:r>
      <w:r>
        <w:t xml:space="preserve">”</w:t>
      </w:r>
      <w:r>
        <w:t xml:space="preserve">响应情况进行评审</w:t>
      </w:r>
      <w:r/>
    </w:p>
    <w:p>
      <w:pPr>
        <w:pStyle w:val="720"/>
      </w:pPr>
      <w:r>
        <w:t xml:space="preserve">（</w:t>
      </w:r>
      <w:r>
        <w:t xml:space="preserve">1</w:t>
      </w:r>
      <w:r>
        <w:t xml:space="preserve">）投标文件未符合</w:t>
      </w:r>
      <w:r>
        <w:t xml:space="preserve">“</w:t>
      </w:r>
      <w:r>
        <w:rPr>
          <w:rFonts w:hint="eastAsia"/>
        </w:rPr>
        <w:t xml:space="preserve">售后服务方案</w:t>
      </w:r>
      <w:r>
        <w:t xml:space="preserve">”</w:t>
      </w:r>
      <w:r>
        <w:t xml:space="preserve">中全部条款要求的，视为不符合招标文件，本项得</w:t>
      </w:r>
      <w:r>
        <w:t xml:space="preserve">0</w:t>
      </w:r>
      <w:r>
        <w:t xml:space="preserve">分。</w:t>
      </w:r>
      <w:r/>
    </w:p>
    <w:p>
      <w:pPr>
        <w:pStyle w:val="720"/>
      </w:pPr>
      <w:r>
        <w:t xml:space="preserve">（</w:t>
      </w:r>
      <w:r>
        <w:t xml:space="preserve">2</w:t>
      </w:r>
      <w:r>
        <w:t xml:space="preserve">）投标文件符合</w:t>
      </w:r>
      <w:r>
        <w:t xml:space="preserve"> “</w:t>
      </w:r>
      <w:r>
        <w:rPr>
          <w:rFonts w:hint="eastAsia"/>
        </w:rPr>
        <w:t xml:space="preserve">售后服务方案</w:t>
      </w:r>
      <w:r>
        <w:t xml:space="preserve">”</w:t>
      </w:r>
      <w:r>
        <w:t xml:space="preserve">中全部条款要求的，视为符合招标文件，本项得</w:t>
      </w:r>
      <w:r>
        <w:t xml:space="preserve">3</w:t>
      </w:r>
      <w:r>
        <w:t xml:space="preserve">分。</w:t>
      </w:r>
      <w:r/>
    </w:p>
    <w:p>
      <w:pPr>
        <w:pStyle w:val="720"/>
      </w:pPr>
      <w:r>
        <w:t xml:space="preserve">（</w:t>
      </w:r>
      <w:r>
        <w:t xml:space="preserve">3</w:t>
      </w:r>
      <w:r>
        <w:t xml:space="preserve">）经评委认定，投标文件对</w:t>
      </w:r>
      <w:r>
        <w:t xml:space="preserve">“</w:t>
      </w:r>
      <w:r>
        <w:rPr>
          <w:rFonts w:hint="eastAsia"/>
        </w:rPr>
        <w:t xml:space="preserve">售后服务方案</w:t>
      </w:r>
      <w:r>
        <w:t xml:space="preserve">”</w:t>
      </w:r>
      <w:r>
        <w:t xml:space="preserve">中</w:t>
      </w:r>
      <w:r>
        <w:t xml:space="preserve">“</w:t>
      </w:r>
      <w:r>
        <w:rPr>
          <w:rFonts w:hint="eastAsia"/>
        </w:rPr>
        <w:t xml:space="preserve">售后服务内容</w:t>
      </w:r>
      <w:r>
        <w:t xml:space="preserve">”</w:t>
      </w:r>
      <w:r>
        <w:t xml:space="preserve">、</w:t>
      </w:r>
      <w:r>
        <w:t xml:space="preserve">“</w:t>
      </w:r>
      <w:r>
        <w:rPr>
          <w:rFonts w:hint="eastAsia"/>
        </w:rPr>
        <w:t xml:space="preserve">故障解决方案</w:t>
      </w:r>
      <w:r>
        <w:t xml:space="preserve">”</w:t>
      </w:r>
      <w:r>
        <w:t xml:space="preserve">、</w:t>
      </w:r>
      <w:r>
        <w:t xml:space="preserve">“</w:t>
      </w:r>
      <w:r>
        <w:rPr>
          <w:rFonts w:hint="eastAsia"/>
        </w:rPr>
        <w:t xml:space="preserve">售后服务体系</w:t>
      </w:r>
      <w:r>
        <w:t xml:space="preserve">”</w:t>
      </w:r>
      <w:r>
        <w:rPr>
          <w:rFonts w:hint="eastAsia"/>
        </w:rPr>
        <w:t xml:space="preserve">三</w:t>
      </w:r>
      <w:r>
        <w:t xml:space="preserve">项要求的响应内容全部优于招标文件要求的（投标文件对</w:t>
      </w:r>
      <w:r>
        <w:t xml:space="preserve">“</w:t>
      </w:r>
      <w:r>
        <w:rPr>
          <w:rFonts w:hint="eastAsia"/>
        </w:rPr>
        <w:t xml:space="preserve">售后服务</w:t>
      </w:r>
      <w:r>
        <w:t xml:space="preserve">方案</w:t>
      </w:r>
      <w:r>
        <w:t xml:space="preserve">”</w:t>
      </w:r>
      <w:r>
        <w:t xml:space="preserve">中除</w:t>
      </w:r>
      <w:r>
        <w:t xml:space="preserve">“</w:t>
      </w:r>
      <w:r>
        <w:rPr>
          <w:rFonts w:hint="eastAsia"/>
        </w:rPr>
        <w:t xml:space="preserve">售后服务内容</w:t>
      </w:r>
      <w:r>
        <w:t xml:space="preserve">”</w:t>
      </w:r>
      <w:r>
        <w:t xml:space="preserve">、</w:t>
      </w:r>
      <w:r>
        <w:t xml:space="preserve">“</w:t>
      </w:r>
      <w:r>
        <w:rPr>
          <w:rFonts w:hint="eastAsia"/>
        </w:rPr>
        <w:t xml:space="preserve">故障解决方案</w:t>
      </w:r>
      <w:r>
        <w:t xml:space="preserve">”</w:t>
      </w:r>
      <w:r>
        <w:t xml:space="preserve">、</w:t>
      </w:r>
      <w:r>
        <w:t xml:space="preserve">“</w:t>
      </w:r>
      <w:r>
        <w:rPr>
          <w:rFonts w:hint="eastAsia"/>
        </w:rPr>
        <w:t xml:space="preserve">售后服务体系</w:t>
      </w:r>
      <w:r>
        <w:t xml:space="preserve">”</w:t>
      </w:r>
      <w:r>
        <w:t xml:space="preserve">外其他要求响应内容符合招标文件要求），本项得</w:t>
      </w:r>
      <w:r>
        <w:t xml:space="preserve">5</w:t>
      </w:r>
      <w:r>
        <w:t xml:space="preserve">分。</w:t>
      </w:r>
      <w:r/>
    </w:p>
    <w:p>
      <w:pPr>
        <w:rPr>
          <w:rFonts w:cs="Times New Roman"/>
        </w:rPr>
      </w:pPr>
      <w:r>
        <w:rPr>
          <w:rFonts w:cs="Times New Roman"/>
        </w:rPr>
      </w:r>
      <w:r/>
    </w:p>
    <w:p>
      <w:pPr>
        <w:pStyle w:val="877"/>
        <w:numPr>
          <w:ilvl w:val="0"/>
          <w:numId w:val="7"/>
        </w:numPr>
        <w:ind w:firstLine="482"/>
        <w:spacing w:line="0" w:lineRule="atLeast"/>
        <w:rPr>
          <w:rFonts w:hint="eastAsia" w:ascii="宋体" w:hAnsi="宋体" w:cs="宋体"/>
          <w:b/>
        </w:rPr>
      </w:pPr>
      <w:r>
        <w:rPr>
          <w:rFonts w:hint="eastAsia" w:ascii="宋体" w:hAnsi="宋体" w:cs="宋体"/>
          <w:b/>
        </w:rPr>
        <w:t xml:space="preserve">业绩：9分</w:t>
      </w:r>
      <w:r/>
    </w:p>
    <w:p>
      <w:pPr>
        <w:rPr>
          <w:rFonts w:hint="eastAsia" w:ascii="宋体" w:hAnsi="宋体" w:cs="宋体"/>
          <w:b/>
          <w:bCs/>
        </w:rPr>
      </w:pPr>
      <w:r>
        <w:rPr>
          <w:rFonts w:hint="eastAsia" w:ascii="宋体" w:hAnsi="宋体" w:cs="宋体"/>
          <w:b/>
          <w:bCs/>
        </w:rPr>
        <w:t xml:space="preserve">4.1投标人业绩（9分）</w:t>
      </w:r>
      <w:r/>
    </w:p>
    <w:p>
      <w:pPr>
        <w:ind w:firstLine="420"/>
        <w:rPr>
          <w:rFonts w:hint="eastAsia" w:ascii="宋体" w:hAnsi="宋体" w:cs="宋体"/>
        </w:rPr>
      </w:pPr>
      <w:r>
        <w:rPr>
          <w:rFonts w:hint="eastAsia" w:ascii="宋体" w:hAnsi="宋体" w:cs="宋体"/>
          <w:sz w:val="24"/>
          <w:szCs w:val="24"/>
        </w:rPr>
        <w:t xml:space="preserve">提供2023年1月1日（含）以来（以合同签订时间为准）具有与本项目类似（至少包含云服务）的项目案例的销售业绩合同复印件并加盖投标人公章，证明材料复印件需清晰可见内容主体。每提供一个有效合同得3分，最高得9分，未提供或未按照要求提供不得分。</w:t>
      </w:r>
      <w:r/>
    </w:p>
    <w:p>
      <w:pPr>
        <w:rPr>
          <w:rFonts w:hint="eastAsia" w:ascii="宋体" w:hAnsi="宋体" w:cs="宋体"/>
        </w:rPr>
      </w:pPr>
      <w:r>
        <w:rPr>
          <w:rFonts w:hint="eastAsia" w:ascii="宋体" w:hAnsi="宋体" w:cs="宋体"/>
          <w:sz w:val="24"/>
          <w:szCs w:val="24"/>
        </w:rPr>
        <w:t xml:space="preserve">注：如投标文件中提供的业绩关键词名称表述与招标文件描述的关键字样不一致，而该投标文件中能提供相关材料证明该业绩具有相同或相似功能和效果，且评标委员会认可的，视同符合要求。</w:t>
      </w:r>
      <w:r/>
    </w:p>
    <w:p>
      <w:pPr>
        <w:rPr>
          <w:rFonts w:hint="eastAsia" w:ascii="宋体" w:hAnsi="宋体" w:cs="宋体"/>
        </w:rPr>
      </w:pPr>
      <w:r>
        <w:rPr>
          <w:rFonts w:hint="eastAsia" w:ascii="宋体" w:hAnsi="宋体" w:cs="宋体"/>
        </w:rPr>
      </w:r>
      <w:r/>
    </w:p>
    <w:p>
      <w:pPr>
        <w:pStyle w:val="877"/>
        <w:numPr>
          <w:ilvl w:val="0"/>
          <w:numId w:val="7"/>
        </w:numPr>
        <w:ind w:firstLine="482"/>
        <w:spacing w:line="0" w:lineRule="atLeast"/>
        <w:rPr>
          <w:rFonts w:hint="eastAsia" w:ascii="宋体" w:hAnsi="宋体" w:cs="宋体"/>
          <w:b/>
        </w:rPr>
      </w:pPr>
      <w:r>
        <w:rPr>
          <w:rFonts w:hint="eastAsia" w:ascii="宋体" w:hAnsi="宋体" w:cs="宋体"/>
          <w:b/>
        </w:rPr>
        <w:t xml:space="preserve">团队人员：30分</w:t>
      </w:r>
      <w:r/>
    </w:p>
    <w:p>
      <w:pPr>
        <w:rPr>
          <w:rFonts w:hint="eastAsia" w:ascii="宋体" w:hAnsi="宋体" w:cs="宋体"/>
          <w:b/>
          <w:bCs/>
        </w:rPr>
      </w:pPr>
      <w:r>
        <w:rPr>
          <w:rFonts w:hint="eastAsia" w:ascii="宋体" w:hAnsi="宋体" w:cs="宋体"/>
          <w:b/>
          <w:bCs/>
        </w:rPr>
        <w:t xml:space="preserve">5.1项目经理（8分）</w:t>
      </w:r>
      <w:r/>
    </w:p>
    <w:p>
      <w:pPr>
        <w:ind w:firstLine="420"/>
        <w:rPr>
          <w:rFonts w:hint="eastAsia" w:ascii="宋体" w:hAnsi="宋体" w:cs="宋体"/>
        </w:rPr>
      </w:pPr>
      <w:r>
        <w:rPr>
          <w:rFonts w:ascii="宋体" w:hAnsi="宋体" w:cs="宋体"/>
        </w:rPr>
        <w:t xml:space="preserve">供应商拟派项目经理具有高级工程师（信息与通信）、信息系统项目管理师、系统架构设计师、系统分析师证书的，每提供1张得2分，最多得8分。</w:t>
      </w:r>
      <w:r/>
    </w:p>
    <w:p>
      <w:pPr>
        <w:rPr>
          <w:rFonts w:hint="eastAsia" w:ascii="宋体" w:hAnsi="宋体" w:cs="宋体"/>
        </w:rPr>
      </w:pPr>
      <w:r>
        <w:rPr>
          <w:rFonts w:ascii="宋体" w:hAnsi="宋体" w:cs="宋体"/>
        </w:rPr>
        <w:t xml:space="preserve">（需提供有效期内的证书复印件及投标人近三个月内为上述人员缴纳的社保证明复印件并加盖公章，未提供或提供不全不得分）</w:t>
      </w:r>
      <w:r/>
    </w:p>
    <w:p>
      <w:pPr>
        <w:rPr>
          <w:rFonts w:hint="eastAsia" w:ascii="宋体" w:hAnsi="宋体" w:cs="宋体"/>
          <w:b/>
          <w:bCs/>
        </w:rPr>
      </w:pPr>
      <w:r>
        <w:rPr>
          <w:rFonts w:hint="eastAsia" w:ascii="宋体" w:hAnsi="宋体" w:cs="宋体"/>
          <w:b/>
          <w:bCs/>
        </w:rPr>
        <w:t xml:space="preserve">5.2技术负责人（8分）</w:t>
      </w:r>
      <w:r/>
    </w:p>
    <w:p>
      <w:pPr>
        <w:ind w:firstLine="420"/>
        <w:rPr>
          <w:rFonts w:hint="eastAsia" w:ascii="宋体" w:hAnsi="宋体" w:cs="宋体"/>
        </w:rPr>
      </w:pPr>
      <w:r>
        <w:rPr>
          <w:rFonts w:ascii="宋体" w:hAnsi="宋体" w:cs="宋体"/>
        </w:rPr>
        <w:t xml:space="preserve">供应商拟派技术负责人具有高级工程师（计算机与网络）、信息系统项目管理师、IT服务项目经理、系统规划与管理师</w:t>
      </w:r>
      <w:r>
        <w:rPr>
          <w:rFonts w:hint="eastAsia" w:ascii="宋体" w:hAnsi="宋体" w:cs="宋体"/>
        </w:rPr>
        <w:t xml:space="preserve">证书</w:t>
      </w:r>
      <w:r>
        <w:rPr>
          <w:rFonts w:ascii="宋体" w:hAnsi="宋体" w:cs="宋体"/>
        </w:rPr>
        <w:t xml:space="preserve">的，每提供1张得2分，最多得8分。</w:t>
      </w:r>
      <w:r/>
    </w:p>
    <w:p>
      <w:pPr>
        <w:rPr>
          <w:rFonts w:hint="eastAsia" w:ascii="宋体" w:hAnsi="宋体" w:cs="宋体"/>
        </w:rPr>
      </w:pPr>
      <w:r>
        <w:rPr>
          <w:rFonts w:ascii="宋体" w:hAnsi="宋体" w:cs="宋体"/>
        </w:rPr>
        <w:t xml:space="preserve">（需提供有效期内的证书复印件及投标人近三个月内为上述人员缴纳的社保证明复印件并加盖公章，未提供或提供不全不得分）</w:t>
      </w:r>
      <w:r/>
    </w:p>
    <w:p>
      <w:pPr>
        <w:rPr>
          <w:rFonts w:hint="eastAsia" w:ascii="宋体" w:hAnsi="宋体" w:cs="宋体"/>
          <w:b/>
          <w:bCs/>
        </w:rPr>
      </w:pPr>
      <w:r>
        <w:rPr>
          <w:rFonts w:hint="eastAsia" w:ascii="宋体" w:hAnsi="宋体" w:cs="宋体"/>
          <w:b/>
          <w:bCs/>
        </w:rPr>
        <w:t xml:space="preserve">5.3运维负责人（8分）</w:t>
      </w:r>
      <w:r/>
    </w:p>
    <w:p>
      <w:pPr>
        <w:ind w:firstLine="420"/>
        <w:rPr>
          <w:rFonts w:hint="eastAsia" w:ascii="宋体" w:hAnsi="宋体" w:cs="宋体"/>
        </w:rPr>
      </w:pPr>
      <w:r>
        <w:rPr>
          <w:rFonts w:ascii="宋体" w:hAnsi="宋体" w:cs="宋体"/>
        </w:rPr>
        <w:t xml:space="preserve">供应商拟派运维负责人具有高级工程师（电子信息）、信息系统项目管理师、IT服务项目经理、CISAW-CCRC（安全运维）</w:t>
      </w:r>
      <w:r>
        <w:rPr>
          <w:rFonts w:hint="eastAsia" w:ascii="宋体" w:hAnsi="宋体" w:cs="宋体"/>
        </w:rPr>
        <w:t xml:space="preserve">证书</w:t>
      </w:r>
      <w:r>
        <w:rPr>
          <w:rFonts w:ascii="宋体" w:hAnsi="宋体" w:cs="宋体"/>
        </w:rPr>
        <w:t xml:space="preserve">的，每提供1张得2分，最多得8分。</w:t>
      </w:r>
      <w:r/>
    </w:p>
    <w:p>
      <w:pPr>
        <w:rPr>
          <w:rFonts w:hint="eastAsia" w:ascii="宋体" w:hAnsi="宋体" w:cs="宋体"/>
        </w:rPr>
      </w:pPr>
      <w:r>
        <w:rPr>
          <w:rFonts w:ascii="宋体" w:hAnsi="宋体" w:cs="宋体"/>
        </w:rPr>
        <w:t xml:space="preserve">（需提供有效期内的证书复印件及投标人近三个月内为上述人员缴纳的社保证明复印件并加盖公章，未提供或提供不全不得分）</w:t>
      </w:r>
      <w:r/>
    </w:p>
    <w:p>
      <w:pPr>
        <w:rPr>
          <w:rFonts w:hint="eastAsia" w:ascii="宋体" w:hAnsi="宋体" w:cs="宋体"/>
          <w:b/>
          <w:bCs/>
        </w:rPr>
      </w:pPr>
      <w:r>
        <w:rPr>
          <w:rFonts w:hint="eastAsia" w:ascii="宋体" w:hAnsi="宋体" w:cs="宋体"/>
          <w:b/>
          <w:bCs/>
        </w:rPr>
        <w:t xml:space="preserve">5.4安全负责人（6分）</w:t>
      </w:r>
      <w:r/>
    </w:p>
    <w:p>
      <w:pPr>
        <w:ind w:firstLine="420"/>
        <w:rPr>
          <w:rFonts w:hint="eastAsia" w:ascii="宋体" w:hAnsi="宋体" w:cs="宋体"/>
        </w:rPr>
      </w:pPr>
      <w:r>
        <w:rPr>
          <w:rFonts w:ascii="宋体" w:hAnsi="宋体" w:cs="宋体"/>
        </w:rPr>
        <w:t xml:space="preserve">供应商拟派</w:t>
      </w:r>
      <w:r>
        <w:rPr>
          <w:rFonts w:hint="eastAsia" w:ascii="宋体" w:hAnsi="宋体" w:cs="宋体"/>
        </w:rPr>
        <w:t xml:space="preserve">安全</w:t>
      </w:r>
      <w:r>
        <w:rPr>
          <w:rFonts w:ascii="宋体" w:hAnsi="宋体" w:cs="宋体"/>
        </w:rPr>
        <w:t xml:space="preserve">负责人具有</w:t>
      </w:r>
      <w:r>
        <w:rPr>
          <w:rFonts w:hint="eastAsia" w:ascii="宋体" w:hAnsi="宋体" w:cs="宋体"/>
        </w:rPr>
        <w:t xml:space="preserve">注册信息安全管理人员（CISO）、</w:t>
      </w:r>
      <w:r>
        <w:rPr>
          <w:rFonts w:ascii="宋体" w:hAnsi="宋体" w:cs="宋体"/>
        </w:rPr>
        <w:t xml:space="preserve">CISAW-CCRC（安全</w:t>
      </w:r>
      <w:r>
        <w:rPr>
          <w:rFonts w:hint="eastAsia" w:ascii="宋体" w:hAnsi="宋体" w:cs="宋体"/>
        </w:rPr>
        <w:t xml:space="preserve">集成</w:t>
      </w:r>
      <w:r>
        <w:rPr>
          <w:rFonts w:ascii="宋体" w:hAnsi="宋体" w:cs="宋体"/>
        </w:rPr>
        <w:t xml:space="preserve">）</w:t>
      </w:r>
      <w:r>
        <w:rPr>
          <w:rFonts w:hint="eastAsia" w:ascii="宋体" w:hAnsi="宋体" w:cs="宋体"/>
        </w:rPr>
        <w:t xml:space="preserve">、信息技术应用创新服务经理证书的，</w:t>
      </w:r>
      <w:r>
        <w:rPr>
          <w:rFonts w:ascii="宋体" w:hAnsi="宋体" w:cs="宋体"/>
        </w:rPr>
        <w:t xml:space="preserve">每提供1张得2分，最多得</w:t>
      </w:r>
      <w:r>
        <w:rPr>
          <w:rFonts w:hint="eastAsia" w:ascii="宋体" w:hAnsi="宋体" w:cs="宋体"/>
        </w:rPr>
        <w:t xml:space="preserve">6</w:t>
      </w:r>
      <w:r>
        <w:rPr>
          <w:rFonts w:ascii="宋体" w:hAnsi="宋体" w:cs="宋体"/>
        </w:rPr>
        <w:t xml:space="preserve">分。</w:t>
      </w:r>
      <w:r/>
    </w:p>
    <w:p>
      <w:r>
        <w:rPr>
          <w:rFonts w:ascii="宋体" w:hAnsi="宋体" w:cs="宋体"/>
        </w:rPr>
        <w:t xml:space="preserve">（需提供有效期内的证书复印件及投标人近三个月内为上述人员缴纳的社保证明复印件并加盖公章，未提供或提供不全不得分）</w:t>
      </w:r>
      <w:r/>
    </w:p>
    <w:p>
      <w:pPr>
        <w:rPr>
          <w:rFonts w:hint="eastAsia" w:ascii="宋体" w:hAnsi="宋体" w:cs="宋体"/>
        </w:rPr>
      </w:pPr>
      <w:r>
        <w:rPr>
          <w:rFonts w:hint="eastAsia" w:ascii="宋体" w:hAnsi="宋体" w:cs="宋体"/>
        </w:rPr>
        <w:t xml:space="preserve">以上岗位每岗一人，不得兼任。</w:t>
      </w:r>
      <w:r/>
    </w:p>
    <w:p>
      <w:pPr>
        <w:jc w:val="left"/>
        <w:widowControl/>
      </w:pPr>
      <w:r>
        <w:br w:type="page" w:clear="all"/>
      </w:r>
      <w:r/>
    </w:p>
    <w:p>
      <w:r/>
      <w:r/>
    </w:p>
    <w:p>
      <w:pPr>
        <w:pStyle w:val="703"/>
        <w:rPr>
          <w:rFonts w:ascii="黑体" w:eastAsia="黑体"/>
          <w:bCs/>
          <w:sz w:val="44"/>
        </w:rPr>
      </w:pPr>
      <w:r/>
      <w:bookmarkStart w:id="205" w:name="_Toc239690746"/>
      <w:r>
        <w:rPr>
          <w:rFonts w:hint="eastAsia" w:ascii="黑体" w:eastAsia="黑体"/>
          <w:bCs/>
          <w:sz w:val="44"/>
        </w:rPr>
        <w:t xml:space="preserve">第六章  投标</w:t>
      </w:r>
      <w:bookmarkEnd w:id="199"/>
      <w:r/>
      <w:bookmarkEnd w:id="200"/>
      <w:r/>
      <w:bookmarkEnd w:id="201"/>
      <w:r>
        <w:rPr>
          <w:rFonts w:hint="eastAsia" w:ascii="黑体" w:eastAsia="黑体"/>
          <w:bCs/>
          <w:sz w:val="44"/>
        </w:rPr>
        <w:t xml:space="preserve">文件格式</w:t>
      </w:r>
      <w:bookmarkEnd w:id="205"/>
      <w:r>
        <w:rPr>
          <w:rFonts w:hint="eastAsia" w:ascii="黑体" w:eastAsia="黑体"/>
          <w:bCs/>
          <w:sz w:val="44"/>
        </w:rPr>
        <w:t xml:space="preserve"> </w:t>
      </w:r>
      <w:r/>
    </w:p>
    <w:p>
      <w:pPr>
        <w:jc w:val="center"/>
        <w:rPr>
          <w:rFonts w:hint="eastAsia" w:ascii="宋体" w:hAnsi="宋体"/>
          <w:b/>
          <w:sz w:val="72"/>
        </w:rPr>
      </w:pPr>
      <w:r/>
      <w:bookmarkStart w:id="206" w:name="_Hlt26955039"/>
      <w:r/>
      <w:bookmarkStart w:id="207" w:name="_Hlt26671244"/>
      <w:r/>
      <w:bookmarkStart w:id="208" w:name="_Toc120614282"/>
      <w:r/>
      <w:bookmarkStart w:id="209" w:name="_Toc26554094"/>
      <w:r/>
      <w:bookmarkStart w:id="210" w:name="_Toc49090576"/>
      <w:r/>
      <w:bookmarkEnd w:id="206"/>
      <w:r/>
      <w:bookmarkEnd w:id="207"/>
      <w:r/>
      <w:r/>
    </w:p>
    <w:p>
      <w:pPr>
        <w:jc w:val="center"/>
        <w:rPr>
          <w:rFonts w:hint="eastAsia" w:ascii="宋体" w:hAnsi="宋体"/>
          <w:b/>
          <w:sz w:val="72"/>
        </w:rPr>
      </w:pPr>
      <w:r>
        <w:rPr>
          <w:rFonts w:hint="eastAsia" w:ascii="宋体" w:hAnsi="宋体"/>
          <w:b/>
          <w:sz w:val="72"/>
        </w:rPr>
        <w:t xml:space="preserve">投  标</w:t>
      </w:r>
      <w:r>
        <w:rPr>
          <w:rFonts w:hint="eastAsia" w:ascii="宋体" w:hAnsi="宋体"/>
          <w:b/>
          <w:sz w:val="72"/>
        </w:rPr>
        <w:t xml:space="preserve">  </w:t>
      </w:r>
      <w:r>
        <w:rPr>
          <w:rFonts w:hint="eastAsia" w:ascii="宋体" w:hAnsi="宋体"/>
          <w:b/>
          <w:sz w:val="72"/>
        </w:rPr>
        <w:t xml:space="preserve">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w:t>
      </w:r>
      <w:r>
        <w:rPr>
          <w:rFonts w:hint="eastAsia" w:ascii="宋体" w:hAnsi="宋体"/>
          <w:b/>
          <w:sz w:val="36"/>
        </w:rPr>
        <w:t xml:space="preserve">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w:t>
      </w:r>
      <w:r>
        <w:rPr>
          <w:rFonts w:hint="eastAsia" w:ascii="宋体" w:hAnsi="宋体"/>
          <w:b/>
          <w:sz w:val="36"/>
        </w:rPr>
        <w:t xml:space="preserve">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ind w:firstLine="2891"/>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ind w:left="480"/>
        <w:spacing w:line="400" w:lineRule="exact"/>
        <w:rPr>
          <w:rFonts w:hint="eastAsia"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hint="eastAsia"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hint="eastAsia" w:ascii="宋体" w:hAnsi="宋体"/>
          <w:sz w:val="24"/>
          <w:szCs w:val="24"/>
        </w:rPr>
      </w:pPr>
      <w:r>
        <w:rPr>
          <w:rFonts w:hint="eastAsia" w:ascii="宋体" w:hAnsi="宋体"/>
          <w:sz w:val="24"/>
          <w:szCs w:val="24"/>
        </w:rPr>
        <w:t xml:space="preserve">供相关材料，否则作无效投标处理。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w:t>
      </w:r>
      <w:r>
        <w:rPr>
          <w:rFonts w:hint="eastAsia" w:ascii="宋体" w:hAnsi="宋体"/>
          <w:sz w:val="24"/>
        </w:rPr>
        <w:t xml:space="preserve">1）</w:t>
      </w:r>
      <w:r/>
    </w:p>
    <w:p>
      <w:pPr>
        <w:ind w:firstLine="480"/>
        <w:rPr>
          <w:rFonts w:hint="eastAsia"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2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2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jc w:val="left"/>
        <w:spacing w:line="420" w:lineRule="exact"/>
        <w:rPr>
          <w:rFonts w:hint="eastAsia" w:ascii="宋体" w:hAnsi="宋体"/>
          <w:sz w:val="24"/>
        </w:rPr>
      </w:pPr>
      <w:r>
        <w:rPr>
          <w:rFonts w:hint="eastAsia" w:ascii="宋体" w:hAnsi="宋体"/>
          <w:sz w:val="24"/>
        </w:rPr>
        <w:t xml:space="preserve">3.关于符合本国产品标准的声明函（格式见附件12）</w:t>
      </w:r>
      <w:r/>
    </w:p>
    <w:p>
      <w:pPr>
        <w:ind w:firstLine="480"/>
        <w:spacing w:line="400" w:lineRule="exact"/>
        <w:rPr>
          <w:rFonts w:hint="eastAsia" w:ascii="宋体" w:hAnsi="宋体"/>
          <w:sz w:val="24"/>
        </w:rPr>
      </w:pPr>
      <w:r>
        <w:rPr>
          <w:rFonts w:hint="eastAsia" w:ascii="宋体" w:hAnsi="宋体"/>
          <w:sz w:val="24"/>
        </w:rPr>
      </w:r>
      <w:r/>
    </w:p>
    <w:p>
      <w:pPr>
        <w:rPr>
          <w:rFonts w:hint="eastAsia" w:ascii="宋体" w:hAnsi="宋体"/>
          <w:b/>
          <w:sz w:val="24"/>
          <w:szCs w:val="24"/>
        </w:rPr>
      </w:pPr>
      <w:r>
        <w:rPr>
          <w:rFonts w:hint="eastAsia" w:ascii="宋体" w:hAnsi="宋体"/>
          <w:b/>
          <w:sz w:val="24"/>
          <w:szCs w:val="24"/>
        </w:rPr>
      </w:r>
      <w:r/>
    </w:p>
    <w:p>
      <w:pPr>
        <w:rPr>
          <w:rFonts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hint="eastAsia" w:ascii="宋体" w:hAnsi="宋体"/>
          <w:sz w:val="24"/>
          <w:szCs w:val="24"/>
        </w:rPr>
      </w:pPr>
      <w:r>
        <w:rPr>
          <w:rFonts w:hint="eastAsia" w:ascii="宋体" w:hAnsi="宋体"/>
          <w:sz w:val="24"/>
          <w:szCs w:val="24"/>
        </w:rPr>
        <w:t xml:space="preserve">采购编号：                                   </w:t>
      </w:r>
      <w:r/>
    </w:p>
    <w:p>
      <w:pPr>
        <w:ind w:firstLine="482"/>
        <w:spacing w:line="0" w:lineRule="atLeast"/>
        <w:rPr>
          <w:rFonts w:hint="eastAsia" w:ascii="宋体" w:hAnsi="宋体"/>
          <w:sz w:val="24"/>
          <w:szCs w:val="24"/>
        </w:rPr>
      </w:pPr>
      <w:r>
        <w:rPr>
          <w:rFonts w:hint="eastAsia" w:ascii="宋体" w:hAnsi="宋体"/>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lang w:eastAsia="en-US"/>
              </w:rPr>
            </w:pPr>
            <w:r>
              <w:rPr>
                <w:rFonts w:hint="eastAsia" w:ascii="宋体" w:hAnsi="宋体" w:cs="宋体"/>
                <w:sz w:val="24"/>
                <w:szCs w:val="24"/>
                <w:lang w:eastAsia="en-US"/>
              </w:rPr>
              <w:t xml:space="preserve">                      </w:t>
            </w:r>
            <w:r>
              <w:rPr>
                <w:rFonts w:hint="eastAsia" w:ascii="宋体" w:hAnsi="宋体"/>
                <w:sz w:val="24"/>
                <w:szCs w:val="24"/>
                <w:lang w:eastAsia="en-US"/>
              </w:rPr>
              <w:t xml:space="preserve">投标总报价</w:t>
            </w:r>
            <w:r/>
          </w:p>
        </w:tc>
      </w:tr>
      <w:tr>
        <w:trPr>
          <w:cantSplit/>
          <w:trHeight w:val="612"/>
        </w:trPr>
        <w:tc>
          <w:tcPr>
            <w:tcW w:w="8206" w:type="dxa"/>
            <w:vAlign w:val="center"/>
            <w:textDirection w:val="lrTb"/>
            <w:noWrap w:val="false"/>
          </w:tcPr>
          <w:p>
            <w:pPr>
              <w:pStyle w:val="877"/>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序号</w:t>
            </w:r>
            <w:r/>
          </w:p>
        </w:tc>
        <w:tc>
          <w:tcPr>
            <w:tcW w:w="1106"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1</w:t>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2</w:t>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3</w:t>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4</w:t>
            </w:r>
            <w:r/>
          </w:p>
        </w:tc>
        <w:tc>
          <w:tcPr>
            <w:tcW w:w="104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5</w:t>
            </w:r>
            <w:r/>
          </w:p>
        </w:tc>
        <w:tc>
          <w:tcPr>
            <w:tcW w:w="125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6</w:t>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7</w:t>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8</w:t>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9</w:t>
            </w:r>
            <w:r/>
          </w:p>
        </w:tc>
      </w:tr>
      <w:tr>
        <w:trPr>
          <w:cantSplit/>
          <w:trHeight w:val="294"/>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1</w:t>
            </w:r>
            <w:r/>
          </w:p>
        </w:tc>
        <w:tc>
          <w:tcPr>
            <w:tcW w:w="1106" w:type="dxa"/>
            <w:vAlign w:val="center"/>
            <w:textDirection w:val="lrTb"/>
            <w:noWrap w:val="false"/>
          </w:tcPr>
          <w:p>
            <w:pPr>
              <w:spacing w:line="0" w:lineRule="atLeast"/>
              <w:rPr>
                <w:rFonts w:hint="eastAsia" w:ascii="宋体" w:hAnsi="宋体" w:cs="方正魏碑_GBK"/>
                <w:sz w:val="24"/>
                <w:szCs w:val="24"/>
              </w:rPr>
            </w:pPr>
            <w:r>
              <w:rPr>
                <w:rFonts w:hint="eastAsia" w:ascii="宋体" w:hAnsi="宋体" w:cs="方正魏碑_GBK"/>
                <w:sz w:val="24"/>
                <w:szCs w:val="24"/>
              </w:rPr>
              <w:t xml:space="preserve">分项服务名称/货物名称</w:t>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品牌</w:t>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规格</w:t>
            </w:r>
            <w:r/>
          </w:p>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型号</w:t>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制造商名称</w:t>
            </w:r>
            <w:r/>
          </w:p>
        </w:tc>
        <w:tc>
          <w:tcPr>
            <w:tcW w:w="104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产地</w:t>
            </w:r>
            <w:r/>
          </w:p>
        </w:tc>
        <w:tc>
          <w:tcPr>
            <w:tcW w:w="125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交付期</w:t>
            </w:r>
            <w:r>
              <w:rPr>
                <w:rFonts w:hint="eastAsia" w:ascii="宋体" w:hAnsi="宋体" w:cs="方正魏碑_GBK"/>
                <w:sz w:val="24"/>
                <w:szCs w:val="24"/>
                <w:lang w:eastAsia="en-US"/>
              </w:rPr>
              <w:t xml:space="preserve">/</w:t>
            </w:r>
            <w:r>
              <w:rPr>
                <w:rFonts w:hint="eastAsia" w:ascii="宋体" w:hAnsi="宋体" w:cs="方正魏碑_GBK"/>
                <w:sz w:val="24"/>
                <w:szCs w:val="24"/>
                <w:lang w:eastAsia="en-US"/>
              </w:rPr>
              <w:t xml:space="preserve">服务期</w:t>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数量</w:t>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分项</w:t>
            </w:r>
            <w:r/>
          </w:p>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单价</w:t>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分项</w:t>
            </w:r>
            <w:r/>
          </w:p>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总价</w:t>
            </w:r>
            <w:r/>
          </w:p>
        </w:tc>
      </w:tr>
      <w:tr>
        <w:trPr>
          <w:cantSplit/>
          <w:trHeight w:val="696"/>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2</w:t>
            </w:r>
            <w:r/>
          </w:p>
        </w:tc>
        <w:tc>
          <w:tcPr>
            <w:tcW w:w="1106"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jc w:val="center"/>
              <w:spacing w:line="0" w:lineRule="atLeast"/>
              <w:rPr>
                <w:rFonts w:hint="eastAsia" w:ascii="宋体" w:hAnsi="宋体" w:cs="方正魏碑_GBK"/>
                <w:sz w:val="24"/>
                <w:szCs w:val="24"/>
                <w:u w:val="single"/>
                <w:lang w:eastAsia="en-US"/>
              </w:rPr>
            </w:pPr>
            <w:r>
              <w:rPr>
                <w:rFonts w:hint="eastAsia" w:ascii="宋体" w:hAnsi="宋体" w:cs="方正魏碑_GBK"/>
                <w:sz w:val="24"/>
                <w:szCs w:val="24"/>
                <w:lang w:eastAsia="en-US"/>
              </w:rPr>
              <w:t xml:space="preserve">合同签订后</w:t>
            </w:r>
            <w:r>
              <w:rPr>
                <w:rFonts w:hint="eastAsia" w:ascii="宋体" w:hAnsi="宋体" w:cs="方正魏碑_GBK"/>
                <w:sz w:val="24"/>
                <w:szCs w:val="24"/>
                <w:u w:val="single"/>
                <w:lang w:eastAsia="en-US"/>
              </w:rPr>
              <w:t xml:space="preserve">  </w:t>
            </w:r>
            <w:r>
              <w:rPr>
                <w:rFonts w:hint="eastAsia" w:ascii="宋体" w:hAnsi="宋体" w:cs="方正魏碑_GBK"/>
                <w:sz w:val="24"/>
                <w:szCs w:val="24"/>
                <w:lang w:eastAsia="en-US"/>
              </w:rPr>
              <w:t xml:space="preserve">日</w:t>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724"/>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3</w:t>
            </w:r>
            <w:r/>
          </w:p>
        </w:tc>
        <w:tc>
          <w:tcPr>
            <w:tcW w:w="1106"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640"/>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4</w:t>
            </w:r>
            <w:r/>
          </w:p>
        </w:tc>
        <w:tc>
          <w:tcPr>
            <w:tcW w:w="1106"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580"/>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w:t>
            </w:r>
            <w:r/>
          </w:p>
        </w:tc>
        <w:tc>
          <w:tcPr>
            <w:tcW w:w="1106"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w:t>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434"/>
        </w:trPr>
        <w:tc>
          <w:tcPr>
            <w:gridSpan w:val="10"/>
            <w:tcW w:w="9861" w:type="dxa"/>
            <w:vAlign w:val="center"/>
            <w:textDirection w:val="lrTb"/>
            <w:noWrap w:val="false"/>
          </w:tcPr>
          <w:p>
            <w:pPr>
              <w:spacing w:line="0" w:lineRule="atLeast"/>
              <w:rPr>
                <w:rFonts w:hint="eastAsia" w:ascii="宋体" w:hAnsi="宋体" w:cs="方正魏碑_GBK"/>
                <w:sz w:val="24"/>
                <w:szCs w:val="24"/>
                <w:u w:val="single"/>
              </w:rPr>
            </w:pPr>
            <w:r>
              <w:rPr>
                <w:rFonts w:hint="eastAsia" w:ascii="宋体" w:hAnsi="宋体" w:cs="方正魏碑_GBK"/>
                <w:sz w:val="24"/>
                <w:szCs w:val="24"/>
              </w:rPr>
              <w:t xml:space="preserve">投标总报价（人民币：元）</w:t>
            </w:r>
            <w:r>
              <w:rPr>
                <w:rFonts w:hint="eastAsia" w:ascii="宋体" w:hAnsi="宋体" w:cs="方正魏碑_GBK"/>
                <w:sz w:val="24"/>
                <w:szCs w:val="24"/>
                <w:u w:val="single"/>
              </w:rPr>
              <w:t xml:space="preserve">                             </w:t>
            </w:r>
            <w:r/>
          </w:p>
        </w:tc>
      </w:tr>
      <w:tr>
        <w:trPr>
          <w:cantSplit/>
          <w:trHeight w:val="757"/>
        </w:trPr>
        <w:tc>
          <w:tcPr>
            <w:gridSpan w:val="10"/>
            <w:tcW w:w="9861" w:type="dxa"/>
            <w:vAlign w:val="center"/>
            <w:textDirection w:val="lrTb"/>
            <w:noWrap w:val="false"/>
          </w:tcPr>
          <w:p>
            <w:pPr>
              <w:pStyle w:val="746"/>
              <w:jc w:val="both"/>
              <w:spacing w:before="0" w:beforeAutospacing="0" w:after="0" w:afterAutospacing="0" w:line="0" w:lineRule="atLeast"/>
              <w:rPr>
                <w:rFonts w:hint="eastAsia" w:cs="方正魏碑_GBK"/>
              </w:rPr>
            </w:pPr>
            <w:r>
              <w:rPr>
                <w:rFonts w:hint="eastAsia" w:cs="方正魏碑_GBK"/>
              </w:rPr>
              <w:t xml:space="preserve">本采购包中提供的符合本国产品标准的货物成本之和占该采购包全部成本之和的比例为</w:t>
            </w:r>
            <w:r>
              <w:rPr>
                <w:rFonts w:hint="eastAsia" w:cs="Times New Roman"/>
                <w:u w:val="single"/>
              </w:rPr>
              <w:t xml:space="preserve">XX</w:t>
            </w:r>
            <w:r>
              <w:rPr>
                <w:rFonts w:hint="eastAsia" w:cs="方正魏碑_GBK"/>
              </w:rPr>
              <w:t xml:space="preserve">%。</w:t>
            </w:r>
            <w:r/>
          </w:p>
        </w:tc>
      </w:tr>
    </w:tbl>
    <w:p>
      <w:pPr>
        <w:spacing w:line="0" w:lineRule="atLeast"/>
        <w:rPr>
          <w:rFonts w:hint="eastAsia" w:ascii="宋体" w:hAnsi="宋体"/>
          <w:sz w:val="24"/>
          <w:szCs w:val="24"/>
        </w:rPr>
      </w:pPr>
      <w:r>
        <w:rPr>
          <w:rFonts w:hint="eastAsia" w:ascii="宋体" w:hAnsi="宋体"/>
          <w:sz w:val="24"/>
          <w:szCs w:val="24"/>
        </w:rPr>
        <w:t xml:space="preserve">备注：</w:t>
      </w:r>
      <w:r/>
    </w:p>
    <w:p>
      <w:pPr>
        <w:spacing w:line="0" w:lineRule="atLeast"/>
        <w:rPr>
          <w:rFonts w:hint="eastAsia"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hint="eastAsia"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spacing w:line="0" w:lineRule="atLeast"/>
        <w:rPr>
          <w:rFonts w:hint="eastAsia" w:ascii="宋体" w:hAnsi="宋体"/>
          <w:sz w:val="24"/>
          <w:szCs w:val="24"/>
        </w:rPr>
      </w:pPr>
      <w:r>
        <w:rPr>
          <w:rFonts w:hint="eastAsia" w:ascii="宋体" w:hAnsi="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3063"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1</w:t>
            </w:r>
            <w:r/>
          </w:p>
        </w:tc>
        <w:tc>
          <w:tcPr>
            <w:tcW w:w="3063"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191"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063" w:type="dxa"/>
            <w:textDirection w:val="lrTb"/>
            <w:noWrap w:val="false"/>
          </w:tcPr>
          <w:p>
            <w:pPr>
              <w:jc w:val="center"/>
              <w:spacing w:line="400" w:lineRule="exact"/>
              <w:rPr>
                <w:rFonts w:hint="eastAsia" w:ascii="宋体" w:hAnsi="宋体"/>
                <w:sz w:val="24"/>
                <w:szCs w:val="24"/>
                <w:lang w:eastAsia="en-US"/>
              </w:rPr>
            </w:pPr>
            <w:r>
              <w:rPr>
                <w:rFonts w:ascii="宋体" w:hAnsi="宋体"/>
                <w:sz w:val="24"/>
                <w:szCs w:val="24"/>
                <w:lang w:eastAsia="en-US"/>
              </w:rPr>
              <w:t xml:space="preserve">……</w:t>
            </w:r>
            <w:r/>
          </w:p>
        </w:tc>
        <w:tc>
          <w:tcPr>
            <w:tcW w:w="3191"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3063"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商务要求</w:t>
            </w:r>
            <w:r>
              <w:rPr>
                <w:rFonts w:hint="eastAsia" w:ascii="宋体" w:hAnsi="宋体"/>
                <w:sz w:val="24"/>
                <w:szCs w:val="24"/>
                <w:lang w:eastAsia="en-US"/>
              </w:rPr>
              <w:t xml:space="preserve"> </w:t>
            </w:r>
            <w:r/>
          </w:p>
        </w:tc>
        <w:tc>
          <w:tcPr>
            <w:tcW w:w="3191"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1</w:t>
            </w:r>
            <w:r/>
          </w:p>
        </w:tc>
        <w:tc>
          <w:tcPr>
            <w:tcW w:w="3063"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191"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063" w:type="dxa"/>
            <w:textDirection w:val="lrTb"/>
            <w:noWrap w:val="false"/>
          </w:tcPr>
          <w:p>
            <w:pPr>
              <w:jc w:val="center"/>
              <w:spacing w:line="400" w:lineRule="exact"/>
              <w:rPr>
                <w:rFonts w:hint="eastAsia" w:ascii="宋体" w:hAnsi="宋体"/>
                <w:sz w:val="24"/>
                <w:szCs w:val="24"/>
                <w:lang w:eastAsia="en-US"/>
              </w:rPr>
            </w:pPr>
            <w:r>
              <w:rPr>
                <w:rFonts w:ascii="宋体" w:hAnsi="宋体"/>
                <w:sz w:val="24"/>
                <w:szCs w:val="24"/>
                <w:lang w:eastAsia="en-US"/>
              </w:rPr>
              <w:t xml:space="preserve">……</w:t>
            </w:r>
            <w:r/>
          </w:p>
        </w:tc>
        <w:tc>
          <w:tcPr>
            <w:tcW w:w="3191"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jc w:val="left"/>
        <w:widowControl/>
        <w:rPr>
          <w:rFonts w:hint="eastAsia" w:ascii="宋体" w:hAnsi="宋体"/>
          <w:b/>
          <w:sz w:val="24"/>
        </w:rPr>
      </w:pPr>
      <w:r>
        <w:rPr>
          <w:rFonts w:hint="eastAsia" w:ascii="宋体" w:hAnsi="宋体"/>
          <w:b/>
          <w:sz w:val="24"/>
        </w:rPr>
        <w:br w:type="page" w:clear="all"/>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t xml:space="preserve">                                     </w:t>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jc w:val="center"/>
        <w:spacing w:line="460" w:lineRule="exact"/>
        <w:rPr>
          <w:rFonts w:hint="eastAsia" w:ascii="宋体" w:hAnsi="宋体"/>
          <w:b/>
          <w:bCs/>
          <w:sz w:val="24"/>
        </w:rPr>
      </w:pPr>
      <w:r>
        <w:rPr>
          <w:rFonts w:hint="eastAsia" w:ascii="宋体" w:hAnsi="宋体"/>
          <w:b/>
          <w:bCs/>
          <w:sz w:val="24"/>
        </w:rPr>
      </w:r>
      <w:r/>
    </w:p>
    <w:p>
      <w:pPr>
        <w:ind w:firstLine="480"/>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（被授权人的姓名）为我方就采购编号为</w:t>
      </w:r>
      <w:r>
        <w:rPr>
          <w:rFonts w:hint="eastAsia"/>
          <w:sz w:val="24"/>
          <w:szCs w:val="24"/>
        </w:rPr>
        <w:t xml:space="preserve">JSZC-320000-SCZX-G20**-****</w:t>
      </w:r>
      <w:r>
        <w:rPr>
          <w:rFonts w:hint="eastAsia"/>
          <w:sz w:val="24"/>
          <w:szCs w:val="24"/>
        </w:rPr>
        <w:t xml:space="preserve">，</w:t>
      </w:r>
      <w:r>
        <w:rPr>
          <w:rFonts w:hint="eastAsia"/>
          <w:sz w:val="24"/>
          <w:szCs w:val="24"/>
          <w:u w:val="single"/>
        </w:rPr>
        <w:t xml:space="preserve">      </w:t>
      </w:r>
      <w:r>
        <w:rPr>
          <w:rFonts w:hint="eastAsia"/>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rFonts w:hint="eastAsia" w:ascii="楷体" w:hAnsi="楷体" w:eastAsia="楷体"/>
          <w:sz w:val="24"/>
          <w:szCs w:val="24"/>
        </w:rPr>
      </w:pPr>
      <w:r>
        <w:rPr>
          <w:rFonts w:hint="eastAsia" w:ascii="楷体" w:hAnsi="楷体" w:eastAsia="楷体"/>
          <w:sz w:val="24"/>
          <w:szCs w:val="24"/>
        </w:rPr>
      </w:r>
      <w:r/>
    </w:p>
    <w:p>
      <w:pPr>
        <w:ind w:firstLine="480"/>
        <w:spacing w:line="460" w:lineRule="exact"/>
        <w:rPr>
          <w:rFonts w:hint="eastAsia" w:ascii="黑体" w:hAnsi="黑体" w:eastAsia="黑体"/>
          <w:b/>
          <w:i/>
          <w:sz w:val="32"/>
          <w:szCs w:val="32"/>
          <w:u w:val="single"/>
        </w:rPr>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p>
    <w:p>
      <w:pPr>
        <w:jc w:val="left"/>
        <w:spacing w:line="420" w:lineRule="exact"/>
        <w:rPr>
          <w:rFonts w:hint="eastAsia" w:ascii="宋体" w:hAnsi="宋体"/>
          <w:sz w:val="24"/>
        </w:rPr>
      </w:pPr>
      <w:r>
        <w:rPr>
          <w:rFonts w:hint="eastAsia" w:ascii="宋体" w:hAnsi="宋体"/>
          <w:sz w:val="24"/>
        </w:rPr>
        <w:t xml:space="preserve">致：江苏省政府采购中心</w:t>
      </w:r>
      <w:r/>
    </w:p>
    <w:p>
      <w:pPr>
        <w:pStyle w:val="877"/>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rPr>
        <w:t xml:space="preserve">采购编号为</w:t>
      </w:r>
      <w:r>
        <w:rPr>
          <w:rFonts w:hint="eastAsia" w:ascii="Times New Roman" w:hAnsi="Times New Roman"/>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szCs w:val="21"/>
        </w:rPr>
        <w:t xml:space="preserve">招标文件，正式授权下述签字人______</w:t>
      </w:r>
      <w:r>
        <w:rPr>
          <w:rFonts w:hint="eastAsia" w:ascii="宋体" w:hAnsi="宋体"/>
          <w:szCs w:val="21"/>
        </w:rPr>
        <w:t xml:space="preserve">(姓名)</w:t>
      </w:r>
      <w:r>
        <w:rPr>
          <w:rFonts w:hint="eastAsia" w:ascii="宋体" w:hAnsi="宋体"/>
          <w:szCs w:val="21"/>
        </w:rPr>
        <w:t xml:space="preserve">代表我方______________（投标人的名称），全权处理本次项目投标的有关事宜。</w:t>
      </w:r>
      <w:r/>
    </w:p>
    <w:p>
      <w:pPr>
        <w:pStyle w:val="877"/>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87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87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87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p>
    <w:p>
      <w:pPr>
        <w:pStyle w:val="87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7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7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w:t>
      </w:r>
      <w:r>
        <w:rPr>
          <w:rFonts w:hint="eastAsia" w:ascii="宋体" w:hAnsi="宋体"/>
          <w:szCs w:val="21"/>
        </w:rPr>
        <w:t xml:space="preserve">中标,</w:t>
      </w:r>
      <w:r>
        <w:rPr>
          <w:rFonts w:hint="eastAsia" w:ascii="宋体" w:hAnsi="宋体"/>
          <w:szCs w:val="21"/>
        </w:rPr>
        <w:t xml:space="preserve">我方将根据招标文件的规定，严格履行合同的责任和</w:t>
      </w:r>
      <w:r>
        <w:rPr>
          <w:rFonts w:hint="eastAsia" w:ascii="宋体" w:hAnsi="宋体"/>
          <w:szCs w:val="21"/>
        </w:rPr>
        <w:t xml:space="preserve">义务,</w:t>
      </w:r>
      <w:r>
        <w:rPr>
          <w:rFonts w:hint="eastAsia" w:ascii="宋体" w:hAnsi="宋体"/>
          <w:szCs w:val="21"/>
        </w:rPr>
        <w:t xml:space="preserve">并保证在招标文件规定的时间完成项目，交付买方验收、使用。</w:t>
      </w:r>
      <w:r/>
    </w:p>
    <w:p>
      <w:pPr>
        <w:pStyle w:val="877"/>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77"/>
        <w:ind w:left="420"/>
        <w:spacing w:before="0" w:after="0" w:line="420" w:lineRule="exact"/>
        <w:rPr>
          <w:rFonts w:hint="eastAsia" w:ascii="宋体" w:hAnsi="宋体"/>
          <w:szCs w:val="21"/>
        </w:rPr>
      </w:pPr>
      <w:r>
        <w:rPr>
          <w:rFonts w:hint="eastAsia" w:ascii="宋体" w:hAnsi="宋体"/>
          <w:szCs w:val="21"/>
        </w:rPr>
        <w:t xml:space="preserve">地          址：</w:t>
      </w:r>
      <w:r/>
    </w:p>
    <w:p>
      <w:pPr>
        <w:pStyle w:val="877"/>
        <w:ind w:left="420"/>
        <w:spacing w:before="0" w:after="0" w:line="420" w:lineRule="exact"/>
        <w:rPr>
          <w:rFonts w:hint="eastAsia" w:ascii="宋体" w:hAnsi="宋体"/>
          <w:szCs w:val="21"/>
        </w:rPr>
      </w:pPr>
      <w:r>
        <w:rPr>
          <w:rFonts w:hint="eastAsia" w:ascii="宋体" w:hAnsi="宋体"/>
          <w:szCs w:val="21"/>
        </w:rPr>
        <w:t xml:space="preserve">邮          编：</w:t>
      </w:r>
      <w:r/>
    </w:p>
    <w:p>
      <w:pPr>
        <w:pStyle w:val="877"/>
        <w:ind w:left="420"/>
        <w:spacing w:before="0" w:after="0" w:line="420" w:lineRule="exact"/>
        <w:rPr>
          <w:rFonts w:hint="eastAsia" w:ascii="宋体" w:hAnsi="宋体"/>
          <w:szCs w:val="21"/>
        </w:rPr>
      </w:pPr>
      <w:r>
        <w:rPr>
          <w:rFonts w:hint="eastAsia" w:ascii="宋体" w:hAnsi="宋体"/>
          <w:szCs w:val="21"/>
        </w:rPr>
        <w:t xml:space="preserve">电          话：</w:t>
      </w:r>
      <w:r/>
    </w:p>
    <w:p>
      <w:pPr>
        <w:pStyle w:val="877"/>
        <w:ind w:left="420"/>
        <w:spacing w:before="0" w:after="0" w:line="420" w:lineRule="exact"/>
        <w:rPr>
          <w:rFonts w:hint="eastAsia" w:ascii="宋体" w:hAnsi="宋体"/>
          <w:szCs w:val="21"/>
        </w:rPr>
      </w:pPr>
      <w:r>
        <w:rPr>
          <w:rFonts w:hint="eastAsia" w:ascii="宋体" w:hAnsi="宋体"/>
          <w:szCs w:val="21"/>
        </w:rPr>
        <w:t xml:space="preserve">传          真：</w:t>
      </w:r>
      <w:r/>
    </w:p>
    <w:p>
      <w:pPr>
        <w:pStyle w:val="877"/>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877"/>
        <w:ind w:left="420"/>
        <w:spacing w:before="0" w:after="0" w:line="420" w:lineRule="exact"/>
        <w:rPr>
          <w:rFonts w:hint="eastAsia" w:ascii="宋体" w:hAnsi="宋体"/>
          <w:szCs w:val="21"/>
        </w:rPr>
      </w:pPr>
      <w:r>
        <w:rPr>
          <w:rFonts w:hint="eastAsia" w:ascii="宋体" w:hAnsi="宋体"/>
          <w:szCs w:val="21"/>
        </w:rPr>
        <w:t xml:space="preserve">账          号： </w:t>
      </w:r>
      <w:r/>
    </w:p>
    <w:p>
      <w:pPr>
        <w:pStyle w:val="877"/>
        <w:ind w:left="420"/>
        <w:spacing w:before="0" w:after="0" w:line="420" w:lineRule="exact"/>
        <w:rPr>
          <w:rFonts w:hint="eastAsia" w:ascii="宋体" w:hAnsi="宋体"/>
          <w:szCs w:val="21"/>
        </w:rPr>
      </w:pPr>
      <w:r>
        <w:rPr>
          <w:rFonts w:hint="eastAsia" w:ascii="宋体" w:hAnsi="宋体"/>
          <w:szCs w:val="21"/>
        </w:rPr>
      </w:r>
      <w:r/>
    </w:p>
    <w:p>
      <w:pPr>
        <w:jc w:val="right"/>
        <w:spacing w:line="420" w:lineRule="exact"/>
        <w:rPr>
          <w:rFonts w:hint="eastAsia" w:ascii="宋体" w:hAnsi="宋体"/>
          <w:sz w:val="24"/>
        </w:rPr>
      </w:pPr>
      <w:r>
        <w:rPr>
          <w:rFonts w:hint="eastAsia" w:ascii="宋体" w:hAnsi="宋体"/>
          <w:sz w:val="24"/>
        </w:rPr>
        <w:t xml:space="preserve">供应商全称（加盖CA电子公章）：</w:t>
      </w:r>
      <w:r/>
    </w:p>
    <w:p>
      <w:pPr>
        <w:pStyle w:val="877"/>
        <w:jc w:val="right"/>
        <w:spacing w:before="0" w:after="0" w:line="420" w:lineRule="exact"/>
        <w:rPr>
          <w:rFonts w:hint="eastAsia" w:ascii="宋体" w:hAnsi="宋体" w:cs="方正仿宋_GBK"/>
          <w:bCs/>
        </w:rPr>
      </w:pPr>
      <w:r>
        <w:rPr>
          <w:rFonts w:hint="eastAsia" w:ascii="宋体" w:hAnsi="宋体" w:cs="方正仿宋_GBK"/>
        </w:rPr>
        <w:t xml:space="preserve">日      期：___年____月____日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spacing w:line="460" w:lineRule="exact"/>
        <w:rPr>
          <w:rFonts w:hint="eastAsia" w:ascii="黑体" w:hAnsi="黑体" w:eastAsia="黑体"/>
          <w:b/>
          <w:sz w:val="32"/>
          <w:szCs w:val="32"/>
        </w:rPr>
      </w:pPr>
      <w:r/>
      <w:bookmarkStart w:id="211" w:name="_Toc120614284"/>
      <w:r/>
      <w:bookmarkEnd w:id="208"/>
      <w:r/>
      <w:bookmarkEnd w:id="209"/>
      <w:r/>
      <w:bookmarkEnd w:id="210"/>
      <w:r/>
      <w:r/>
    </w:p>
    <w:p>
      <w:pPr>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9-1</w:t>
      </w:r>
      <w:r>
        <w:rPr>
          <w:rFonts w:hint="eastAsia" w:ascii="宋体" w:hAnsi="宋体"/>
          <w:b/>
          <w:sz w:val="24"/>
          <w:szCs w:val="24"/>
        </w:rPr>
        <w:t xml:space="preserve"> 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rPr>
        <w:t xml:space="preserve">(财库</w:t>
      </w:r>
      <w:r>
        <w:rPr>
          <w:rFonts w:hint="eastAsia" w:ascii="宋体" w:hAnsi="宋体"/>
          <w:sz w:val="24"/>
          <w:szCs w:val="24"/>
        </w:rPr>
        <w:t xml:space="preserve">〔2020〕46</w:t>
      </w:r>
      <w:r>
        <w:rPr>
          <w:rFonts w:hint="eastAsia" w:ascii="宋体" w:hAnsi="宋体"/>
          <w:sz w:val="24"/>
          <w:szCs w:val="24"/>
        </w:rPr>
        <w:t xml:space="preserve">号)</w:t>
      </w:r>
      <w:r>
        <w:rPr>
          <w:rFonts w:hint="eastAsia" w:ascii="宋体" w:hAnsi="宋体"/>
          <w:sz w:val="24"/>
          <w:szCs w:val="24"/>
        </w:rPr>
        <w:t xml:space="preserve">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hint="eastAsia"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hint="eastAsia" w:ascii="宋体" w:hAnsi="宋体"/>
          <w:sz w:val="24"/>
          <w:szCs w:val="24"/>
        </w:rPr>
      </w:pPr>
      <w:r>
        <w:rPr>
          <w:rFonts w:hint="eastAsia" w:ascii="宋体" w:hAnsi="宋体"/>
          <w:sz w:val="24"/>
          <w:szCs w:val="24"/>
        </w:rPr>
        <w:t xml:space="preserve">关于印发中小企业划型标准规定的通知》</w:t>
      </w:r>
      <w:r>
        <w:rPr>
          <w:rFonts w:hint="eastAsia" w:ascii="宋体" w:hAnsi="宋体"/>
          <w:sz w:val="24"/>
          <w:szCs w:val="24"/>
        </w:rPr>
        <w:t xml:space="preserve">(工</w:t>
      </w:r>
      <w:r>
        <w:rPr>
          <w:rFonts w:hint="eastAsia" w:ascii="宋体" w:hAnsi="宋体"/>
          <w:sz w:val="24"/>
          <w:szCs w:val="24"/>
        </w:rPr>
        <w:t xml:space="preserve">信部联企业〔2011〕300</w:t>
      </w:r>
      <w:r>
        <w:rPr>
          <w:rFonts w:hint="eastAsia" w:ascii="宋体" w:hAnsi="宋体"/>
          <w:sz w:val="24"/>
          <w:szCs w:val="24"/>
        </w:rPr>
        <w:t xml:space="preserve">号)</w:t>
      </w:r>
      <w:r>
        <w:rPr>
          <w:rFonts w:hint="eastAsia" w:ascii="宋体" w:hAnsi="宋体"/>
          <w:sz w:val="24"/>
          <w:szCs w:val="24"/>
        </w:rPr>
        <w:t xml:space="preserve">《国家统计局关于印发〈统计上大中小微型企业划分办法（2017）〉的通知》（国统字〔2017〕213号）的规定，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b/>
          <w:bCs/>
          <w:sz w:val="24"/>
          <w:szCs w:val="24"/>
        </w:rPr>
      </w:pPr>
      <w:r>
        <w:rPr>
          <w:rFonts w:hint="eastAsia" w:ascii="宋体" w:hAnsi="宋体"/>
          <w:b/>
          <w:bCs/>
          <w:sz w:val="24"/>
          <w:szCs w:val="24"/>
        </w:rPr>
      </w:r>
      <w:r/>
    </w:p>
    <w:p>
      <w:pPr>
        <w:spacing w:line="400" w:lineRule="exact"/>
        <w:rPr>
          <w:rFonts w:hint="eastAsia" w:ascii="宋体" w:hAnsi="宋体"/>
          <w:b/>
          <w:bCs/>
          <w:sz w:val="24"/>
          <w:szCs w:val="24"/>
        </w:rPr>
      </w:pPr>
      <w:r>
        <w:rPr>
          <w:rFonts w:hint="eastAsia" w:ascii="宋体" w:hAnsi="宋体"/>
          <w:b/>
          <w:bCs/>
          <w:sz w:val="24"/>
          <w:szCs w:val="24"/>
        </w:rPr>
      </w:r>
      <w:r/>
    </w:p>
    <w:p>
      <w:pP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附件9-2</w:t>
      </w:r>
      <w:r/>
    </w:p>
    <w:p>
      <w:pPr>
        <w:ind w:firstLine="624"/>
        <w:spacing w:line="589" w:lineRule="atLeast"/>
        <w:pBdr>
          <w:top w:val="none" w:color="000000" w:sz="0" w:space="0"/>
          <w:left w:val="none" w:color="000000" w:sz="0" w:space="0"/>
          <w:bottom w:val="none" w:color="000000" w:sz="0" w:space="0"/>
          <w:right w:val="none" w:color="000000" w:sz="0" w:space="0"/>
        </w:pBdr>
      </w:pPr>
      <w:r>
        <w:rPr>
          <w:rFonts w:eastAsia="Times New Roman" w:cs="Times New Roman"/>
          <w:sz w:val="32"/>
        </w:rPr>
        <w:t xml:space="preserve"> </w:t>
      </w:r>
      <w:r/>
    </w:p>
    <w:p>
      <w:pPr>
        <w:ind w:firstLine="640"/>
        <w:jc w:val="cente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提供服务的人员均为订立劳动合同的从业人员的书面声明</w:t>
      </w:r>
      <w:r/>
    </w:p>
    <w:p>
      <w:pPr>
        <w:ind w:firstLine="640"/>
        <w:jc w:val="cente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（采购包号：XX）</w:t>
      </w:r>
      <w:r/>
    </w:p>
    <w:p>
      <w:pPr>
        <w:ind w:firstLine="640"/>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本企业（本联合体，如项目采购包接受联合体参加的）参加江苏省政府采购中心组织的项目编号为</w:t>
      </w:r>
      <w:r>
        <w:rPr>
          <w:rFonts w:eastAsia="Times New Roman" w:cs="Times New Roman"/>
          <w:sz w:val="32"/>
        </w:rPr>
        <w:t xml:space="preserve">JSZC-320000-SCZX-G</w:t>
      </w:r>
      <w:r>
        <w:rPr>
          <w:rFonts w:ascii="仿宋" w:hAnsi="仿宋" w:eastAsia="仿宋" w:cs="仿宋"/>
          <w:sz w:val="32"/>
        </w:rPr>
        <w:t xml:space="preserve">（</w:t>
      </w:r>
      <w:r>
        <w:rPr>
          <w:rFonts w:eastAsia="Times New Roman" w:cs="Times New Roman"/>
          <w:sz w:val="32"/>
        </w:rPr>
        <w:t xml:space="preserve">C</w:t>
      </w:r>
      <w:r>
        <w:rPr>
          <w:rFonts w:ascii="仿宋" w:hAnsi="仿宋" w:eastAsia="仿宋" w:cs="仿宋"/>
          <w:sz w:val="32"/>
        </w:rPr>
        <w:t xml:space="preserve">、</w:t>
      </w:r>
      <w:r>
        <w:rPr>
          <w:rFonts w:eastAsia="Times New Roman" w:cs="Times New Roman"/>
          <w:sz w:val="32"/>
        </w:rPr>
        <w:t xml:space="preserve">T</w:t>
      </w:r>
      <w:r>
        <w:rPr>
          <w:rFonts w:ascii="仿宋" w:hAnsi="仿宋" w:eastAsia="仿宋" w:cs="仿宋"/>
          <w:sz w:val="32"/>
        </w:rPr>
        <w:t xml:space="preserve">、</w:t>
      </w:r>
      <w:r>
        <w:rPr>
          <w:rFonts w:eastAsia="Times New Roman" w:cs="Times New Roman"/>
          <w:sz w:val="32"/>
        </w:rPr>
        <w:t xml:space="preserve">K</w:t>
      </w:r>
      <w:r>
        <w:rPr>
          <w:rFonts w:ascii="仿宋" w:hAnsi="仿宋" w:eastAsia="仿宋" w:cs="仿宋"/>
          <w:sz w:val="32"/>
        </w:rPr>
        <w:t xml:space="preserve">）</w:t>
      </w:r>
      <w:r>
        <w:rPr>
          <w:rFonts w:eastAsia="Times New Roman" w:cs="Times New Roman"/>
          <w:sz w:val="32"/>
        </w:rPr>
        <w:t xml:space="preserve">20XX-XXXX</w:t>
      </w:r>
      <w:r>
        <w:rPr>
          <w:rFonts w:ascii="仿宋" w:hAnsi="仿宋" w:eastAsia="仿宋" w:cs="仿宋"/>
          <w:sz w:val="32"/>
        </w:rPr>
        <w:t xml:space="preserve">，</w:t>
      </w:r>
      <w:r>
        <w:rPr>
          <w:rFonts w:eastAsia="Times New Roman" w:cs="Times New Roman"/>
          <w:sz w:val="32"/>
        </w:rPr>
        <w:t xml:space="preserve">XXXX</w:t>
      </w:r>
      <w:r>
        <w:rPr>
          <w:rFonts w:ascii="仿宋" w:hAnsi="仿宋" w:eastAsia="仿宋" w:cs="仿宋"/>
          <w:sz w:val="32"/>
        </w:rPr>
        <w:t xml:space="preserve">（项目名称）（采购包号：</w:t>
      </w:r>
      <w:r>
        <w:rPr>
          <w:rFonts w:eastAsia="Times New Roman" w:cs="Times New Roman"/>
          <w:sz w:val="32"/>
        </w:rPr>
        <w:t xml:space="preserve">XX</w:t>
      </w:r>
      <w:r>
        <w:rPr>
          <w:rFonts w:ascii="仿宋" w:hAnsi="仿宋" w:eastAsia="仿宋" w:cs="仿宋"/>
          <w:sz w:val="32"/>
        </w:rPr>
        <w:t xml:space="preserve">）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p>
    <w:p>
      <w:pPr>
        <w:ind w:firstLine="640"/>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本企业（联合体）对上述声明的真实性负责。如有虚假，将依法承担相应责任。</w:t>
      </w:r>
      <w:r/>
    </w:p>
    <w:p>
      <w:pPr>
        <w:ind w:firstLine="624"/>
        <w:spacing w:line="589" w:lineRule="atLeast"/>
        <w:pBdr>
          <w:top w:val="none" w:color="000000" w:sz="0" w:space="0"/>
          <w:left w:val="none" w:color="000000" w:sz="0" w:space="0"/>
          <w:bottom w:val="none" w:color="000000" w:sz="0" w:space="0"/>
          <w:right w:val="none" w:color="000000" w:sz="0" w:space="0"/>
        </w:pBdr>
      </w:pPr>
      <w:r>
        <w:rPr>
          <w:rFonts w:eastAsia="Times New Roman" w:cs="Times New Roman"/>
          <w:sz w:val="32"/>
        </w:rPr>
        <w:t xml:space="preserve"> </w:t>
      </w:r>
      <w:r/>
    </w:p>
    <w:p>
      <w:pPr>
        <w:ind w:firstLine="624"/>
        <w:spacing w:line="589"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注：专门面向中小微型企业采购的采购项目采购包，投标人（供应商）未提供该书面声明的，投标（响应）无效。</w:t>
      </w:r>
      <w:r/>
    </w:p>
    <w:p>
      <w:pPr>
        <w:spacing w:line="400" w:lineRule="exact"/>
        <w:rPr>
          <w:rFonts w:hint="eastAsia" w:ascii="宋体" w:hAnsi="宋体"/>
          <w:b/>
          <w:bCs/>
          <w:sz w:val="24"/>
          <w:szCs w:val="24"/>
        </w:rPr>
      </w:pP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ind w:firstLine="480"/>
        <w:spacing w:line="0" w:lineRule="atLeas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hint="eastAsia" w:ascii="宋体" w:hAnsi="宋体"/>
          <w:sz w:val="24"/>
        </w:rPr>
      </w:pPr>
      <w:r>
        <w:rPr>
          <w:rFonts w:hint="eastAsia" w:ascii="宋体" w:hAnsi="宋体"/>
          <w:sz w:val="24"/>
        </w:rPr>
        <w:t xml:space="preserve">备注：</w:t>
      </w:r>
      <w:r/>
    </w:p>
    <w:p>
      <w:pPr>
        <w:ind w:firstLine="480"/>
        <w:spacing w:line="0" w:lineRule="atLeas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hint="eastAsia"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hint="eastAsia"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1 实质性要求响应及偏离表（采购包号：**）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1</w:t>
            </w:r>
            <w:r/>
          </w:p>
        </w:tc>
        <w:tc>
          <w:tcPr>
            <w:tcW w:w="3609"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317"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1526"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2</w:t>
            </w:r>
            <w:r/>
          </w:p>
        </w:tc>
        <w:tc>
          <w:tcPr>
            <w:tcW w:w="3609"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317"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1526"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609" w:type="dxa"/>
            <w:textDirection w:val="lrTb"/>
            <w:noWrap w:val="false"/>
          </w:tcPr>
          <w:p>
            <w:pPr>
              <w:jc w:val="center"/>
              <w:spacing w:line="400" w:lineRule="exact"/>
              <w:rPr>
                <w:rFonts w:hint="eastAsia" w:ascii="宋体" w:hAnsi="宋体"/>
                <w:sz w:val="24"/>
                <w:szCs w:val="24"/>
                <w:lang w:eastAsia="en-US"/>
              </w:rPr>
            </w:pPr>
            <w:r>
              <w:rPr>
                <w:rFonts w:ascii="宋体" w:hAnsi="宋体"/>
                <w:sz w:val="24"/>
                <w:szCs w:val="24"/>
                <w:lang w:eastAsia="en-US"/>
              </w:rPr>
              <w:t xml:space="preserve">……</w:t>
            </w:r>
            <w:r/>
          </w:p>
        </w:tc>
        <w:tc>
          <w:tcPr>
            <w:tcW w:w="3317"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1526"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left"/>
        <w:widowControl/>
        <w:rPr>
          <w:rFonts w:hint="eastAsia" w:ascii="宋体" w:hAnsi="宋体" w:cs="方正魏碑_GBK"/>
          <w:sz w:val="24"/>
          <w:szCs w:val="24"/>
        </w:rPr>
      </w:pPr>
      <w:r>
        <w:rPr>
          <w:rFonts w:hint="eastAsia" w:ascii="宋体" w:hAnsi="宋体"/>
          <w:sz w:val="24"/>
          <w:szCs w:val="24"/>
        </w:rPr>
        <w:br w:type="page" w:clear="all"/>
      </w:r>
      <w:r>
        <w:rPr>
          <w:rFonts w:hint="eastAsia" w:ascii="宋体" w:hAnsi="宋体" w:cs="方正魏碑_GBK"/>
          <w:sz w:val="24"/>
          <w:szCs w:val="24"/>
        </w:rPr>
        <w:t xml:space="preserve">附件</w:t>
      </w:r>
      <w:r>
        <w:rPr>
          <w:rFonts w:hint="eastAsia" w:ascii="宋体" w:hAnsi="宋体" w:cs="方正魏碑_GBK"/>
          <w:sz w:val="24"/>
          <w:szCs w:val="24"/>
        </w:rPr>
        <w:t xml:space="preserve">12  关于符合本国产品标准的声明函</w:t>
      </w:r>
      <w:r>
        <w:rPr>
          <w:rFonts w:hint="eastAsia" w:ascii="宋体" w:hAnsi="宋体" w:cs="方正魏碑_GBK"/>
          <w:sz w:val="24"/>
          <w:szCs w:val="24"/>
        </w:rPr>
        <w:t xml:space="preserve">（采购包号：XX）</w:t>
      </w:r>
      <w:r/>
    </w:p>
    <w:p>
      <w:pPr>
        <w:pStyle w:val="746"/>
        <w:ind w:firstLine="480"/>
        <w:spacing w:before="0" w:beforeAutospacing="0" w:after="0" w:afterAutospacing="0" w:line="460" w:lineRule="exact"/>
        <w:rPr>
          <w:rFonts w:hint="eastAsia"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6"/>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1.</w:t>
      </w:r>
      <w:r>
        <w:rPr>
          <w:rStyle w:val="755"/>
          <w:rFonts w:hint="eastAsia" w:cs="方正魏碑_GBK"/>
          <w:i w:val="0"/>
          <w:u w:val="single"/>
          <w:shd w:val="clear" w:color="auto" w:fill="ffffff"/>
        </w:rPr>
        <w:t xml:space="preserve">（产品名称1）</w:t>
      </w:r>
      <w:r>
        <w:rPr>
          <w:rStyle w:val="755"/>
          <w:rFonts w:hint="eastAsia" w:cs="方正魏碑_GBK"/>
          <w:i w:val="0"/>
          <w:shd w:val="clear" w:color="auto" w:fill="ffffff"/>
          <w:vertAlign w:val="superscript"/>
        </w:rPr>
        <w:t xml:space="preserve">1</w:t>
      </w:r>
      <w:r>
        <w:rPr>
          <w:rFonts w:hint="eastAsia" w:cs="方正魏碑_GBK"/>
          <w:shd w:val="clear" w:color="auto" w:fill="ffffff"/>
        </w:rPr>
        <w:t xml:space="preserve">，生产厂为</w:t>
      </w:r>
      <w:r>
        <w:rPr>
          <w:rStyle w:val="755"/>
          <w:rFonts w:hint="eastAsia" w:cs="方正魏碑_GBK"/>
          <w:i w:val="0"/>
          <w:u w:val="single"/>
          <w:shd w:val="clear" w:color="auto" w:fill="ffffff"/>
        </w:rPr>
        <w:t xml:space="preserve">（厂名）</w:t>
      </w:r>
      <w:r>
        <w:rPr>
          <w:rStyle w:val="755"/>
          <w:rFonts w:hint="eastAsia" w:cs="方正魏碑_GBK"/>
          <w:i w:val="0"/>
          <w:shd w:val="clear" w:color="auto" w:fill="ffffff"/>
          <w:vertAlign w:val="superscript"/>
        </w:rPr>
        <w:t xml:space="preserve">2</w:t>
      </w:r>
      <w:r>
        <w:rPr>
          <w:rFonts w:hint="eastAsia" w:cs="方正魏碑_GBK"/>
          <w:shd w:val="clear" w:color="auto" w:fill="ffffff"/>
        </w:rPr>
        <w:t xml:space="preserve">，厂址为</w:t>
      </w:r>
      <w:r>
        <w:rPr>
          <w:rStyle w:val="755"/>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755"/>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shd w:val="clear" w:color="auto" w:fill="ffffff"/>
        </w:rPr>
        <w:t xml:space="preserve">≥</w:t>
      </w:r>
      <w:r>
        <w:rPr>
          <w:rFonts w:hint="eastAsia" w:cs="方正魏碑_GBK"/>
          <w:u w:val="single"/>
          <w:shd w:val="clear" w:color="auto" w:fill="ffffff"/>
        </w:rPr>
        <w:t xml:space="preserve">  </w:t>
      </w:r>
      <w:r>
        <w:rPr>
          <w:rStyle w:val="755"/>
          <w:rFonts w:hint="eastAsia" w:cs="方正魏碑_GBK"/>
          <w:i w:val="0"/>
          <w:u w:val="single"/>
          <w:shd w:val="clear" w:color="auto" w:fill="ffffff"/>
        </w:rPr>
        <w:t xml:space="preserve">/</w:t>
      </w:r>
      <w:r>
        <w:rPr>
          <w:rStyle w:val="755"/>
          <w:rFonts w:hint="eastAsia" w:cs="方正魏碑_GBK"/>
          <w:i w:val="0"/>
          <w:u w:val="single"/>
          <w:shd w:val="clear" w:color="auto" w:fill="ffffff"/>
        </w:rPr>
        <w:t xml:space="preserve">  </w:t>
      </w:r>
      <w:r>
        <w:rPr>
          <w:rStyle w:val="755"/>
          <w:rFonts w:hint="eastAsia" w:cs="方正魏碑_GBK"/>
          <w:i w:val="0"/>
          <w:shd w:val="clear" w:color="auto" w:fill="ffffff"/>
          <w:vertAlign w:val="superscript"/>
        </w:rPr>
        <w:t xml:space="preserve">3</w:t>
      </w:r>
      <w:r>
        <w:rPr>
          <w:rFonts w:hint="eastAsia" w:cs="方正魏碑_GBK"/>
          <w:shd w:val="clear" w:color="auto" w:fill="ffffff"/>
        </w:rPr>
        <w:t xml:space="preserve">。</w:t>
      </w:r>
      <w:r>
        <w:rPr>
          <w:rFonts w:hint="eastAsia" w:cs="方正魏碑_GBK"/>
          <w:u w:val="single"/>
          <w:shd w:val="clear" w:color="auto" w:fill="ffffff"/>
        </w:rPr>
        <w:t xml:space="preserve">  </w:t>
      </w:r>
      <w:r>
        <w:rPr>
          <w:rStyle w:val="755"/>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55"/>
          <w:rFonts w:hint="eastAsia" w:cs="方正魏碑_GBK"/>
          <w:i w:val="0"/>
          <w:u w:val="single"/>
          <w:shd w:val="clear" w:color="auto" w:fill="ffffff"/>
        </w:rPr>
        <w:t xml:space="preserve">/  </w:t>
      </w:r>
      <w:r>
        <w:rPr>
          <w:rStyle w:val="755"/>
          <w:rFonts w:hint="eastAsia" w:cs="方正魏碑_GBK"/>
          <w:i w:val="0"/>
          <w:shd w:val="clear" w:color="auto" w:fill="ffffff"/>
          <w:vertAlign w:val="superscript"/>
        </w:rPr>
        <w:t xml:space="preserve">4</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755"/>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55"/>
          <w:rFonts w:hint="eastAsia" w:cs="方正魏碑_GBK"/>
          <w:i w:val="0"/>
          <w:u w:val="single"/>
          <w:shd w:val="clear" w:color="auto" w:fill="ffffff"/>
        </w:rPr>
        <w:t xml:space="preserve">/  </w:t>
      </w:r>
      <w:r>
        <w:rPr>
          <w:rStyle w:val="755"/>
          <w:rFonts w:hint="eastAsia" w:cs="方正魏碑_GBK"/>
          <w:i w:val="0"/>
          <w:shd w:val="clear" w:color="auto" w:fill="ffffff"/>
          <w:vertAlign w:val="superscript"/>
        </w:rPr>
        <w:t xml:space="preserve">5</w:t>
      </w:r>
      <w:r>
        <w:rPr>
          <w:rFonts w:hint="eastAsia" w:cs="方正魏碑_GBK"/>
          <w:shd w:val="clear" w:color="auto" w:fill="ffffff"/>
        </w:rPr>
        <w:t xml:space="preserve">在中国境内完成。</w:t>
      </w:r>
      <w:r/>
    </w:p>
    <w:p>
      <w:pPr>
        <w:pStyle w:val="746"/>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2.</w:t>
      </w:r>
      <w:r>
        <w:rPr>
          <w:rStyle w:val="755"/>
          <w:rFonts w:hint="eastAsia" w:cs="方正魏碑_GBK"/>
          <w:i w:val="0"/>
          <w:u w:val="single"/>
          <w:shd w:val="clear" w:color="auto" w:fill="ffffff"/>
        </w:rPr>
        <w:t xml:space="preserve">（产品名称2）</w:t>
      </w:r>
      <w:r>
        <w:rPr>
          <w:rFonts w:hint="eastAsia" w:cs="方正魏碑_GBK"/>
          <w:shd w:val="clear" w:color="auto" w:fill="ffffff"/>
        </w:rPr>
        <w:t xml:space="preserve">，生产厂为</w:t>
      </w:r>
      <w:r>
        <w:rPr>
          <w:rStyle w:val="755"/>
          <w:rFonts w:hint="eastAsia" w:cs="方正魏碑_GBK"/>
          <w:i w:val="0"/>
          <w:u w:val="single"/>
          <w:shd w:val="clear" w:color="auto" w:fill="ffffff"/>
        </w:rPr>
        <w:t xml:space="preserve">（厂名）</w:t>
      </w:r>
      <w:r>
        <w:rPr>
          <w:rFonts w:hint="eastAsia" w:cs="方正魏碑_GBK"/>
          <w:shd w:val="clear" w:color="auto" w:fill="ffffff"/>
        </w:rPr>
        <w:t xml:space="preserve">，厂址为</w:t>
      </w:r>
      <w:r>
        <w:rPr>
          <w:rStyle w:val="755"/>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755"/>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755"/>
          <w:rFonts w:hint="eastAsia" w:cs="方正魏碑_GBK"/>
          <w:i w:val="0"/>
          <w:u w:val="single"/>
          <w:shd w:val="clear" w:color="auto" w:fill="ffffff"/>
        </w:rPr>
        <w:t xml:space="preserve">/</w:t>
      </w:r>
      <w:r>
        <w:rPr>
          <w:rStyle w:val="755"/>
          <w:rFonts w:hint="eastAsia" w:cs="方正魏碑_GBK"/>
          <w:i w:val="0"/>
          <w:u w:val="single"/>
          <w:shd w:val="clear" w:color="auto" w:fill="ffffff"/>
        </w:rPr>
        <w:t xml:space="preserve"> </w:t>
      </w:r>
      <w:r>
        <w:rPr>
          <w:rStyle w:val="755"/>
          <w:rFonts w:hint="eastAsia" w:cs="方正魏碑_GBK"/>
          <w:i w:val="0"/>
          <w:u w:val="single"/>
          <w:shd w:val="clear" w:color="auto" w:fill="ffffff"/>
        </w:rPr>
        <w:t xml:space="preserve"> </w:t>
      </w:r>
      <w:r>
        <w:rPr>
          <w:rFonts w:hint="eastAsia" w:cs="方正魏碑_GBK"/>
          <w:shd w:val="clear" w:color="auto" w:fill="ffffff"/>
        </w:rPr>
        <w:t xml:space="preserve">。</w:t>
      </w:r>
      <w:r>
        <w:rPr>
          <w:rFonts w:hint="eastAsia" w:cs="方正魏碑_GBK"/>
          <w:u w:val="single"/>
          <w:shd w:val="clear" w:color="auto" w:fill="ffffff"/>
        </w:rPr>
        <w:t xml:space="preserve">  </w:t>
      </w:r>
      <w:r>
        <w:rPr>
          <w:rStyle w:val="755"/>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55"/>
          <w:rFonts w:hint="eastAsia" w:cs="方正魏碑_GBK"/>
          <w:i w:val="0"/>
          <w:u w:val="single"/>
          <w:shd w:val="clear" w:color="auto" w:fill="ffffff"/>
        </w:rPr>
        <w:t xml:space="preserve">/  </w:t>
      </w:r>
      <w:r>
        <w:rPr>
          <w:rFonts w:hint="eastAsia" w:cs="方正魏碑_GBK"/>
          <w:shd w:val="clear" w:color="auto" w:fill="ffffff"/>
        </w:rPr>
        <w:t xml:space="preserve">在中国境内生产</w:t>
      </w:r>
      <w:r>
        <w:rPr>
          <w:rFonts w:hint="eastAsia" w:cs="方正魏碑_GBK"/>
          <w:shd w:val="clear" w:color="auto" w:fill="ffffff"/>
        </w:rPr>
        <w:t xml:space="preserve">。</w:t>
      </w:r>
      <w:r>
        <w:rPr>
          <w:rFonts w:hint="eastAsia" w:cs="方正魏碑_GBK"/>
          <w:u w:val="single"/>
          <w:shd w:val="clear" w:color="auto" w:fill="ffffff"/>
        </w:rPr>
        <w:t xml:space="preserve">  </w:t>
      </w:r>
      <w:r>
        <w:rPr>
          <w:rStyle w:val="755"/>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55"/>
          <w:rFonts w:hint="eastAsia" w:cs="方正魏碑_GBK"/>
          <w:i w:val="0"/>
          <w:u w:val="single"/>
          <w:shd w:val="clear" w:color="auto" w:fill="ffffff"/>
        </w:rPr>
        <w:t xml:space="preserve">/  </w:t>
      </w:r>
      <w:r>
        <w:rPr>
          <w:rFonts w:hint="eastAsia" w:cs="方正魏碑_GBK"/>
          <w:shd w:val="clear" w:color="auto" w:fill="ffffff"/>
        </w:rPr>
        <w:t xml:space="preserve">在中国境内完成</w:t>
      </w:r>
      <w:r>
        <w:rPr>
          <w:rFonts w:hint="eastAsia" w:cs="方正魏碑_GBK"/>
          <w:shd w:val="clear" w:color="auto" w:fill="ffffff"/>
        </w:rPr>
        <w:t xml:space="preserve">。</w:t>
      </w:r>
      <w:r/>
    </w:p>
    <w:p>
      <w:pPr>
        <w:pStyle w:val="746"/>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w:t>
      </w:r>
      <w:r/>
    </w:p>
    <w:p>
      <w:pPr>
        <w:pStyle w:val="746"/>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本公司（单位）对上述声明内容的真实性负责。如有虚假，愿承担相应法律责任。</w:t>
      </w:r>
      <w:r/>
    </w:p>
    <w:p>
      <w:pPr>
        <w:pStyle w:val="746"/>
        <w:ind w:firstLine="480"/>
        <w:spacing w:before="30" w:beforeAutospacing="0" w:after="30" w:afterAutospacing="0" w:line="460" w:lineRule="exact"/>
        <w:rPr>
          <w:rFonts w:hint="eastAsia" w:cs="方正魏碑_GBK"/>
        </w:rPr>
      </w:pPr>
      <w:r>
        <w:rPr>
          <w:rFonts w:hint="eastAsia" w:cs="方正魏碑_GBK"/>
        </w:rPr>
      </w:r>
      <w:r/>
    </w:p>
    <w:p>
      <w:pPr>
        <w:pStyle w:val="746"/>
        <w:ind w:firstLine="480"/>
        <w:jc w:val="right"/>
        <w:spacing w:before="30" w:beforeAutospacing="0" w:after="30" w:afterAutospacing="0" w:line="460" w:lineRule="exact"/>
        <w:rPr>
          <w:rFonts w:hint="eastAsia" w:cs="方正魏碑_GBK"/>
        </w:rPr>
      </w:pPr>
      <w:r>
        <w:rPr>
          <w:rFonts w:hint="eastAsia" w:cs="方正魏碑_GBK"/>
          <w:shd w:val="clear" w:color="auto" w:fill="ffffff"/>
        </w:rPr>
        <w:t xml:space="preserve">    公司（单位）名称（加盖CA电子公章）：　        </w:t>
      </w:r>
      <w:r/>
    </w:p>
    <w:p>
      <w:pPr>
        <w:pStyle w:val="746"/>
        <w:ind w:firstLine="480"/>
        <w:jc w:val="center"/>
        <w:spacing w:before="30" w:beforeAutospacing="0" w:after="30" w:afterAutospacing="0" w:line="460" w:lineRule="exact"/>
        <w:rPr>
          <w:rFonts w:hint="eastAsia" w:cs="方正魏碑_GBK"/>
        </w:rPr>
      </w:pPr>
      <w:r>
        <w:rPr>
          <w:rFonts w:hint="eastAsia" w:cs="方正魏碑_GBK"/>
          <w:shd w:val="clear" w:color="auto" w:fill="ffffff"/>
        </w:rPr>
        <w:t xml:space="preserve">          日期：</w:t>
      </w:r>
      <w:r>
        <w:rPr>
          <w:rFonts w:hint="eastAsia" w:cs="方正魏碑_GBK"/>
        </w:rPr>
        <w:t xml:space="preserve">___年____月____日</w:t>
      </w:r>
      <w:r>
        <w:rPr>
          <w:rFonts w:hint="eastAsia" w:cs="方正魏碑_GBK"/>
          <w:shd w:val="clear" w:color="auto" w:fill="ffffff"/>
        </w:rPr>
        <w:t xml:space="preserve">        </w:t>
      </w:r>
      <w:r/>
    </w:p>
    <w:p>
      <w:pPr>
        <w:pStyle w:val="746"/>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__________________</w:t>
      </w:r>
      <w:r/>
    </w:p>
    <w:p>
      <w:pPr>
        <w:pStyle w:val="746"/>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1.产品如有型号，请在“产品名称”栏一并填写。</w:t>
      </w:r>
      <w:r/>
    </w:p>
    <w:p>
      <w:pPr>
        <w:pStyle w:val="746"/>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2.生产厂名与厂址应与生产厂营业执照载明的相关信息保持一致。</w:t>
      </w:r>
      <w:r/>
    </w:p>
    <w:p>
      <w:pPr>
        <w:pStyle w:val="746"/>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3.该产品的中国境内生产的组件成本占比相关要求实施前，“规定比例”栏可不填，下同。</w:t>
      </w:r>
      <w:r/>
    </w:p>
    <w:p>
      <w:pPr>
        <w:pStyle w:val="746"/>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4.该产品的关键组件要求实施前，“关键组件”栏可不填，下同。</w:t>
      </w:r>
      <w:r/>
    </w:p>
    <w:p>
      <w:pPr>
        <w:pStyle w:val="746"/>
        <w:ind w:firstLine="480"/>
        <w:spacing w:before="30" w:beforeAutospacing="0" w:after="30" w:afterAutospacing="0" w:line="460" w:lineRule="exact"/>
        <w:rPr>
          <w:rFonts w:hint="eastAsia"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746"/>
        <w:ind w:firstLine="480"/>
        <w:spacing w:before="30" w:beforeAutospacing="0" w:after="30" w:afterAutospacing="0" w:line="460" w:lineRule="exact"/>
        <w:rPr>
          <w:rFonts w:hint="eastAsia" w:cs="方正魏碑_GBK"/>
          <w:shd w:val="clear" w:color="auto" w:fill="ffffff"/>
        </w:rPr>
      </w:pPr>
      <w:r>
        <w:rPr>
          <w:rFonts w:hint="eastAsia" w:cs="方正魏碑_GBK"/>
          <w:shd w:val="clear" w:color="auto" w:fill="ffffff"/>
        </w:rPr>
        <w:t xml:space="preserve">6.《声明函》中标注</w:t>
      </w:r>
      <w:r>
        <w:rPr>
          <w:rFonts w:hint="eastAsia" w:cs="方正魏碑_GBK"/>
          <w:shd w:val="clear" w:color="auto" w:fill="ffffff"/>
        </w:rPr>
        <w:t xml:space="preserve">“</w:t>
      </w:r>
      <w:r>
        <w:rPr>
          <w:rFonts w:hint="eastAsia" w:cs="方正魏碑_GBK"/>
          <w:u w:val="single"/>
          <w:shd w:val="clear" w:color="auto" w:fill="ffffff"/>
        </w:rPr>
        <w:t xml:space="preserve"> </w:t>
      </w:r>
      <w:r>
        <w:rPr>
          <w:rFonts w:hint="eastAsia" w:cs="方正魏碑_GBK"/>
          <w:u w:val="single"/>
          <w:shd w:val="clear" w:color="auto" w:fill="ffffff"/>
        </w:rPr>
        <w:t xml:space="preserve"> </w:t>
      </w:r>
      <w:r>
        <w:rPr>
          <w:rStyle w:val="755"/>
          <w:rFonts w:hint="eastAsia" w:cs="方正魏碑_GBK"/>
          <w:i w:val="0"/>
          <w:u w:val="single"/>
          <w:shd w:val="clear" w:color="auto" w:fill="ffffff"/>
        </w:rPr>
        <w:t xml:space="preserve">/  </w:t>
      </w:r>
      <w:r>
        <w:rPr>
          <w:rFonts w:hint="eastAsia" w:cs="方正魏碑_GBK"/>
          <w:shd w:val="clear" w:color="auto" w:fill="ffffff"/>
        </w:rPr>
        <w:t xml:space="preserve">”</w:t>
      </w:r>
      <w:r>
        <w:rPr>
          <w:rFonts w:hint="eastAsia" w:cs="方正魏碑_GBK"/>
          <w:shd w:val="clear" w:color="auto" w:fill="ffffff"/>
        </w:rPr>
        <w:t xml:space="preserve">的地方无需填写。</w:t>
      </w:r>
      <w:r/>
    </w:p>
    <w:p>
      <w:pPr>
        <w:jc w:val="left"/>
        <w:widowControl/>
        <w:rPr>
          <w:rFonts w:hint="eastAsia" w:ascii="宋体" w:hAnsi="宋体"/>
          <w:bCs/>
          <w:sz w:val="24"/>
          <w:szCs w:val="24"/>
        </w:rPr>
      </w:pPr>
      <w:r>
        <w:rPr>
          <w:rFonts w:hint="eastAsia" w:ascii="宋体" w:hAnsi="宋体"/>
          <w:bCs/>
          <w:sz w:val="24"/>
          <w:szCs w:val="24"/>
        </w:rPr>
        <w:br w:type="page" w:clear="all"/>
      </w:r>
      <w:bookmarkEnd w:id="194"/>
      <w:r/>
      <w:bookmarkEnd w:id="195"/>
      <w:r/>
      <w:bookmarkEnd w:id="211"/>
      <w:r/>
      <w:r/>
    </w:p>
    <w:p>
      <w:pPr>
        <w:jc w:val="left"/>
        <w:widowControl/>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(签章)</w:t>
      </w:r>
      <w:r>
        <w:rPr>
          <w:rFonts w:hint="eastAsia" w:ascii="宋体" w:hAnsi="宋体"/>
          <w:sz w:val="24"/>
          <w:szCs w:val="24"/>
        </w:rPr>
        <w:t xml:space="preserve">：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Symbol">
    <w:panose1 w:val="05050102010706020507"/>
  </w:font>
  <w:font w:name="Wingdings">
    <w:panose1 w:val="05000000000000000000"/>
  </w:font>
  <w:font w:name="方正楷体_GBK">
    <w:panose1 w:val="020B0503020202020204"/>
  </w:font>
  <w:font w:name="Tahoma">
    <w:panose1 w:val="020B0604030504040204"/>
  </w:font>
  <w:font w:name="方正仿宋_GBK">
    <w:panose1 w:val="020B0503020202020204"/>
  </w:font>
  <w:font w:name="方正黑体_GBK">
    <w:panose1 w:val="020B0503020202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方正小标宋_GBK">
    <w:panose1 w:val="020B0503020202020204"/>
  </w:font>
  <w:font w:name="Times New Roman">
    <w:panose1 w:val="02020603050405020304"/>
  </w:font>
  <w:font w:name="Arial Unicode MS">
    <w:panose1 w:val="020B0604020202020204"/>
  </w:font>
  <w:font w:name="Arial">
    <w:panose1 w:val="020B0604020202020204"/>
  </w:font>
  <w:font w:name="Microsoft JhengHei">
    <w:panose1 w:val="020B0604030504040204"/>
  </w:font>
  <w:font w:name="宋体">
    <w:panose1 w:val="02010600030101010101"/>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Style w:val="753"/>
        <w:rFonts w:hint="eastAsia" w:ascii="宋体" w:hAnsi="宋体"/>
      </w:rPr>
      <w:framePr w:wrap="around" w:vAnchor="text" w:hAnchor="margin" w:xAlign="center" w:y="1"/>
    </w:pPr>
    <w:r>
      <w:rPr>
        <w:rFonts w:ascii="宋体" w:hAnsi="宋体"/>
      </w:rPr>
      <w:fldChar w:fldCharType="begin"/>
    </w:r>
    <w:r>
      <w:rPr>
        <w:rStyle w:val="753"/>
        <w:rFonts w:ascii="宋体" w:hAnsi="宋体"/>
      </w:rPr>
      <w:instrText xml:space="preserve">PAGE  </w:instrText>
    </w:r>
    <w:r>
      <w:rPr>
        <w:rFonts w:ascii="宋体" w:hAnsi="宋体"/>
      </w:rPr>
      <w:fldChar w:fldCharType="separate"/>
    </w:r>
    <w:r>
      <w:rPr>
        <w:rStyle w:val="753"/>
        <w:rFonts w:ascii="宋体" w:hAnsi="宋体"/>
      </w:rPr>
      <w:t xml:space="preserve">25</w:t>
    </w:r>
    <w:r>
      <w:rPr>
        <w:rFonts w:ascii="宋体" w:hAnsi="宋体"/>
      </w:rPr>
      <w:fldChar w:fldCharType="end"/>
    </w:r>
    <w:r/>
  </w:p>
  <w:p>
    <w:pPr>
      <w:pStyle w:val="83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Style w:val="753"/>
      </w:rPr>
      <w:framePr w:wrap="around" w:vAnchor="text" w:hAnchor="margin" w:xAlign="center" w:y="1"/>
    </w:pPr>
    <w:r>
      <w:fldChar w:fldCharType="begin"/>
    </w:r>
    <w:r>
      <w:rPr>
        <w:rStyle w:val="753"/>
      </w:rPr>
      <w:instrText xml:space="preserve">PAGE  </w:instrText>
    </w:r>
    <w:r>
      <w:fldChar w:fldCharType="separate"/>
    </w:r>
    <w:r>
      <w:rPr>
        <w:rStyle w:val="753"/>
      </w:rPr>
      <w:t xml:space="preserve">1</w:t>
    </w:r>
    <w:r>
      <w:fldChar w:fldCharType="end"/>
    </w:r>
    <w:r/>
  </w:p>
  <w:p>
    <w:pPr>
      <w:pStyle w:val="8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pPr>
    <w:r>
      <w:fldChar w:fldCharType="begin"/>
    </w:r>
    <w:r>
      <w:instrText xml:space="preserve">PAGE   \* MERGEFORMAT</w:instrText>
    </w:r>
    <w:r>
      <w:fldChar w:fldCharType="separate"/>
    </w:r>
    <w:r>
      <w:rPr>
        <w:lang w:val="zh-CN"/>
      </w:rPr>
      <w:t xml:space="preserve">1</w:t>
    </w:r>
    <w:r>
      <w:fldChar w:fldCharType="end"/>
    </w:r>
    <w:r/>
  </w:p>
  <w:p>
    <w:pPr>
      <w:pStyle w:val="8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0"/>
      <w:isLgl w:val="false"/>
      <w:suff w:val="nothing"/>
      <w:lvlText w:val=""/>
      <w:lvlJc w:val="left"/>
      <w:pPr>
        <w:ind w:left="0" w:firstLine="0"/>
      </w:pPr>
      <w:rPr>
        <w:rFonts w:hint="eastAsia"/>
      </w:rPr>
    </w:lvl>
    <w:lvl w:ilvl="6">
      <w:start w:val="1"/>
      <w:numFmt w:val="decimal"/>
      <w:pStyle w:val="1041"/>
      <w:isLgl w:val="false"/>
      <w:suff w:val="nothing"/>
      <w:lvlText w:val=""/>
      <w:lvlJc w:val="left"/>
      <w:pPr>
        <w:ind w:left="0" w:firstLine="0"/>
      </w:pPr>
      <w:rPr>
        <w:rFonts w:hint="eastAsia"/>
      </w:rPr>
    </w:lvl>
    <w:lvl w:ilvl="7">
      <w:start w:val="1"/>
      <w:numFmt w:val="decimal"/>
      <w:pStyle w:val="1042"/>
      <w:isLgl w:val="false"/>
      <w:suff w:val="nothing"/>
      <w:lvlText w:val=""/>
      <w:lvlJc w:val="left"/>
      <w:pPr>
        <w:ind w:left="0" w:firstLine="0"/>
      </w:pPr>
      <w:rPr>
        <w:rFonts w:hint="eastAsia"/>
      </w:rPr>
    </w:lvl>
    <w:lvl w:ilvl="8">
      <w:start w:val="1"/>
      <w:numFmt w:val="decimal"/>
      <w:pStyle w:val="1043"/>
      <w:isLgl w:val="false"/>
      <w:suff w:val="nothing"/>
      <w:lvlText w:val=""/>
      <w:lvlJc w:val="left"/>
      <w:pPr>
        <w:ind w:left="0" w:firstLine="0"/>
      </w:pPr>
      <w:rPr>
        <w:rFonts w:hint="eastAsia"/>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space"/>
      <w:lvlText w:val="%1.%2 "/>
      <w:lvlJc w:val="left"/>
      <w:pPr>
        <w:ind w:left="794" w:hanging="794"/>
      </w:pPr>
    </w:lvl>
    <w:lvl w:ilvl="2">
      <w:start w:val="1"/>
      <w:numFmt w:val="decimal"/>
      <w:isLgl w:val="false"/>
      <w:suff w:val="tab"/>
      <w:lvlText w:val=""/>
      <w:lvlJc w:val="left"/>
      <w:pPr>
        <w:tabs>
          <w:tab w:val="left" w:pos="360" w:leader="none"/>
        </w:tabs>
      </w:pPr>
      <w:rPr>
        <w:rFonts w:cs="Times New Roman"/>
      </w:rPr>
    </w:lvl>
    <w:lvl w:ilvl="3">
      <w:start w:val="1"/>
      <w:numFmt w:val="decimal"/>
      <w:isLgl w:val="false"/>
      <w:suff w:val="tab"/>
      <w:lvlText w:val=""/>
      <w:lvlJc w:val="left"/>
      <w:pPr>
        <w:tabs>
          <w:tab w:val="left" w:pos="360" w:leader="none"/>
        </w:tabs>
      </w:pPr>
      <w:rPr>
        <w:rFonts w:cs="Times New Roman"/>
      </w:rPr>
    </w:lvl>
    <w:lvl w:ilvl="4">
      <w:start w:val="1"/>
      <w:numFmt w:val="decimal"/>
      <w:pStyle w:val="1028"/>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08"/>
      <w:isLgl w:val="false"/>
      <w:suff w:val="nothing"/>
      <w:lvlText w:val=""/>
      <w:lvlJc w:val="left"/>
      <w:pPr>
        <w:ind w:left="0" w:firstLine="0"/>
      </w:pPr>
      <w:rPr>
        <w:rFonts w:hint="eastAsia"/>
      </w:rPr>
    </w:lvl>
    <w:lvl w:ilvl="6">
      <w:start w:val="1"/>
      <w:numFmt w:val="decimal"/>
      <w:pStyle w:val="709"/>
      <w:isLgl w:val="false"/>
      <w:suff w:val="nothing"/>
      <w:lvlText w:val=""/>
      <w:lvlJc w:val="left"/>
      <w:pPr>
        <w:ind w:left="0" w:firstLine="0"/>
      </w:pPr>
      <w:rPr>
        <w:rFonts w:hint="eastAsia"/>
      </w:rPr>
    </w:lvl>
    <w:lvl w:ilvl="7">
      <w:start w:val="1"/>
      <w:numFmt w:val="decimal"/>
      <w:pStyle w:val="710"/>
      <w:isLgl w:val="false"/>
      <w:suff w:val="nothing"/>
      <w:lvlText w:val=""/>
      <w:lvlJc w:val="left"/>
      <w:pPr>
        <w:ind w:left="0" w:firstLine="0"/>
      </w:pPr>
      <w:rPr>
        <w:rFonts w:hint="eastAsia"/>
      </w:rPr>
    </w:lvl>
    <w:lvl w:ilvl="8">
      <w:start w:val="1"/>
      <w:numFmt w:val="decimal"/>
      <w:pStyle w:val="711"/>
      <w:isLgl w:val="false"/>
      <w:suff w:val="nothing"/>
      <w:lvlText w:val=""/>
      <w:lvlJc w:val="left"/>
      <w:pPr>
        <w:ind w:left="0" w:firstLine="0"/>
      </w:pPr>
      <w:rPr>
        <w:rFonts w:hint="eastAsia"/>
      </w:rPr>
    </w:lvl>
  </w:abstractNum>
  <w:abstractNum w:abstractNumId="6">
    <w:multiLevelType w:val="hybridMultilevel"/>
    <w:lvl w:ilvl="0">
      <w:start w:val="1"/>
      <w:numFmt w:val="decimal"/>
      <w:pStyle w:val="79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6"/>
  </w:num>
  <w:num w:numId="3">
    <w:abstractNumId w:val="2"/>
  </w:num>
  <w:num w:numId="4">
    <w:abstractNumId w:val="4"/>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42">
    <w:name w:val="Header Char"/>
    <w:basedOn w:val="712"/>
    <w:link w:val="734"/>
    <w:uiPriority w:val="99"/>
  </w:style>
  <w:style w:type="character" w:styleId="46">
    <w:name w:val="Caption Char"/>
    <w:basedOn w:val="718"/>
    <w:link w:val="733"/>
    <w:uiPriority w:val="99"/>
  </w:style>
  <w:style w:type="table" w:styleId="49">
    <w:name w:val="Plain Table 1"/>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2" w:default="1">
    <w:name w:val="Normal"/>
    <w:next w:val="706"/>
    <w:qFormat/>
    <w:pPr>
      <w:jc w:val="both"/>
      <w:widowControl w:val="off"/>
    </w:pPr>
    <w:rPr>
      <w:rFonts w:ascii="Times New Roman" w:hAnsi="Times New Roman"/>
      <w:sz w:val="21"/>
      <w:szCs w:val="21"/>
    </w:rPr>
  </w:style>
  <w:style w:type="paragraph" w:styleId="703">
    <w:name w:val="Heading 1"/>
    <w:basedOn w:val="702"/>
    <w:next w:val="702"/>
    <w:link w:val="813"/>
    <w:uiPriority w:val="9"/>
    <w:qFormat/>
    <w:pPr>
      <w:jc w:val="center"/>
      <w:keepNext/>
      <w:outlineLvl w:val="0"/>
    </w:pPr>
    <w:rPr>
      <w:rFonts w:ascii="楷体_GB2312" w:eastAsia="楷体_GB2312"/>
      <w:sz w:val="28"/>
      <w:szCs w:val="28"/>
    </w:rPr>
  </w:style>
  <w:style w:type="paragraph" w:styleId="704">
    <w:name w:val="Heading 2"/>
    <w:basedOn w:val="702"/>
    <w:next w:val="715"/>
    <w:link w:val="814"/>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705">
    <w:name w:val="Heading 3"/>
    <w:basedOn w:val="702"/>
    <w:next w:val="715"/>
    <w:link w:val="815"/>
    <w:uiPriority w:val="9"/>
    <w:qFormat/>
    <w:pPr>
      <w:keepLines/>
      <w:keepNext/>
      <w:spacing w:before="260" w:after="260" w:line="416" w:lineRule="auto"/>
      <w:outlineLvl w:val="2"/>
    </w:pPr>
    <w:rPr>
      <w:b/>
      <w:bCs/>
      <w:sz w:val="32"/>
      <w:szCs w:val="32"/>
    </w:rPr>
  </w:style>
  <w:style w:type="paragraph" w:styleId="706">
    <w:name w:val="Heading 4"/>
    <w:basedOn w:val="702"/>
    <w:next w:val="702"/>
    <w:link w:val="816"/>
    <w:uiPriority w:val="9"/>
    <w:qFormat/>
    <w:pPr>
      <w:keepLines/>
      <w:keepNext/>
      <w:spacing w:before="280" w:after="290" w:line="376" w:lineRule="auto"/>
      <w:outlineLvl w:val="3"/>
    </w:pPr>
    <w:rPr>
      <w:rFonts w:ascii="Arial" w:hAnsi="Arial" w:eastAsia="黑体" w:cs="Arial"/>
      <w:b/>
      <w:bCs/>
      <w:sz w:val="28"/>
      <w:szCs w:val="28"/>
    </w:rPr>
  </w:style>
  <w:style w:type="paragraph" w:styleId="707">
    <w:name w:val="Heading 5"/>
    <w:basedOn w:val="702"/>
    <w:next w:val="715"/>
    <w:link w:val="817"/>
    <w:uiPriority w:val="9"/>
    <w:qFormat/>
    <w:pPr>
      <w:keepNext/>
      <w:outlineLvl w:val="4"/>
    </w:pPr>
    <w:rPr>
      <w:rFonts w:ascii="宋体"/>
      <w:color w:val="000000"/>
      <w:sz w:val="28"/>
      <w:szCs w:val="28"/>
    </w:rPr>
  </w:style>
  <w:style w:type="paragraph" w:styleId="708">
    <w:name w:val="Heading 6"/>
    <w:basedOn w:val="702"/>
    <w:next w:val="702"/>
    <w:link w:val="818"/>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09">
    <w:name w:val="Heading 7"/>
    <w:basedOn w:val="702"/>
    <w:next w:val="702"/>
    <w:link w:val="819"/>
    <w:uiPriority w:val="9"/>
    <w:qFormat/>
    <w:pPr>
      <w:numPr>
        <w:ilvl w:val="6"/>
        <w:numId w:val="1"/>
      </w:numPr>
      <w:keepLines/>
      <w:keepNext/>
      <w:spacing w:before="240" w:after="64" w:line="320" w:lineRule="auto"/>
      <w:outlineLvl w:val="6"/>
    </w:pPr>
    <w:rPr>
      <w:b/>
      <w:bCs/>
      <w:sz w:val="24"/>
      <w:szCs w:val="24"/>
    </w:rPr>
  </w:style>
  <w:style w:type="paragraph" w:styleId="710">
    <w:name w:val="Heading 8"/>
    <w:basedOn w:val="702"/>
    <w:next w:val="702"/>
    <w:link w:val="820"/>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11">
    <w:name w:val="Heading 9"/>
    <w:basedOn w:val="702"/>
    <w:next w:val="702"/>
    <w:link w:val="821"/>
    <w:uiPriority w:val="9"/>
    <w:qFormat/>
    <w:pPr>
      <w:numPr>
        <w:ilvl w:val="8"/>
        <w:numId w:val="1"/>
      </w:numPr>
      <w:keepLines/>
      <w:keepNext/>
      <w:spacing w:before="240" w:after="64" w:line="320" w:lineRule="auto"/>
      <w:outlineLvl w:val="8"/>
    </w:pPr>
    <w:rPr>
      <w:rFonts w:ascii="Arial" w:hAnsi="Arial" w:eastAsia="黑体"/>
    </w:rPr>
  </w:style>
  <w:style w:type="character" w:styleId="712" w:default="1">
    <w:name w:val="Default Paragraph Font"/>
    <w:uiPriority w:val="1"/>
    <w:semiHidden/>
    <w:unhideWhenUsed/>
  </w:style>
  <w:style w:type="table" w:styleId="713" w:default="1">
    <w:name w:val="Normal Table"/>
    <w:uiPriority w:val="99"/>
    <w:semiHidden/>
    <w:unhideWhenUsed/>
    <w:tblPr>
      <w:tblInd w:w="0" w:type="dxa"/>
      <w:tblCellMar>
        <w:left w:w="108" w:type="dxa"/>
        <w:top w:w="0" w:type="dxa"/>
        <w:right w:w="108" w:type="dxa"/>
        <w:bottom w:w="0" w:type="dxa"/>
      </w:tblCellMar>
    </w:tblPr>
  </w:style>
  <w:style w:type="numbering" w:styleId="714" w:default="1">
    <w:name w:val="No List"/>
    <w:uiPriority w:val="99"/>
    <w:semiHidden/>
    <w:unhideWhenUsed/>
  </w:style>
  <w:style w:type="paragraph" w:styleId="715">
    <w:name w:val="Normal Indent"/>
    <w:basedOn w:val="702"/>
    <w:link w:val="795"/>
    <w:qFormat/>
    <w:pPr>
      <w:ind w:firstLine="420"/>
    </w:pPr>
  </w:style>
  <w:style w:type="paragraph" w:styleId="716">
    <w:name w:val="List 3"/>
    <w:basedOn w:val="702"/>
    <w:qFormat/>
    <w:pPr>
      <w:ind w:left="100" w:hanging="200"/>
    </w:pPr>
  </w:style>
  <w:style w:type="paragraph" w:styleId="717">
    <w:name w:val="toc 7"/>
    <w:basedOn w:val="702"/>
    <w:next w:val="702"/>
    <w:uiPriority w:val="39"/>
    <w:unhideWhenUsed/>
    <w:qFormat/>
    <w:pPr>
      <w:ind w:left="1701"/>
      <w:spacing w:after="57"/>
    </w:pPr>
  </w:style>
  <w:style w:type="paragraph" w:styleId="718">
    <w:name w:val="Caption"/>
    <w:basedOn w:val="702"/>
    <w:next w:val="702"/>
    <w:uiPriority w:val="35"/>
    <w:semiHidden/>
    <w:unhideWhenUsed/>
    <w:qFormat/>
    <w:pPr>
      <w:spacing w:line="276" w:lineRule="auto"/>
    </w:pPr>
    <w:rPr>
      <w:b/>
      <w:bCs/>
      <w:color w:val="4f81bd"/>
      <w:sz w:val="18"/>
      <w:szCs w:val="18"/>
    </w:rPr>
  </w:style>
  <w:style w:type="paragraph" w:styleId="719">
    <w:name w:val="Document Map"/>
    <w:basedOn w:val="702"/>
    <w:link w:val="796"/>
    <w:semiHidden/>
    <w:qFormat/>
    <w:pPr>
      <w:shd w:val="clear" w:color="auto" w:fill="000080"/>
    </w:pPr>
  </w:style>
  <w:style w:type="paragraph" w:styleId="720">
    <w:name w:val="annotation text"/>
    <w:basedOn w:val="702"/>
    <w:link w:val="797"/>
    <w:qFormat/>
    <w:pPr>
      <w:jc w:val="left"/>
    </w:pPr>
  </w:style>
  <w:style w:type="paragraph" w:styleId="721">
    <w:name w:val="Body Text 3"/>
    <w:basedOn w:val="702"/>
    <w:link w:val="798"/>
    <w:qFormat/>
    <w:rPr>
      <w:rFonts w:ascii="仿宋_GB2312" w:hAnsi="Arial" w:eastAsia="仿宋_GB2312"/>
      <w:sz w:val="32"/>
      <w:szCs w:val="32"/>
    </w:rPr>
  </w:style>
  <w:style w:type="paragraph" w:styleId="722">
    <w:name w:val="Body Text"/>
    <w:basedOn w:val="702"/>
    <w:link w:val="799"/>
    <w:qFormat/>
    <w:rPr>
      <w:rFonts w:ascii="楷体_GB2312" w:hAnsi="Arial" w:eastAsia="楷体_GB2312"/>
      <w:sz w:val="28"/>
      <w:szCs w:val="28"/>
    </w:rPr>
  </w:style>
  <w:style w:type="paragraph" w:styleId="723">
    <w:name w:val="Body Text Indent"/>
    <w:basedOn w:val="702"/>
    <w:link w:val="800"/>
    <w:qFormat/>
    <w:pPr>
      <w:ind w:firstLine="645"/>
    </w:pPr>
    <w:rPr>
      <w:rFonts w:ascii="楷体_GB2312" w:eastAsia="楷体_GB2312"/>
      <w:sz w:val="32"/>
      <w:szCs w:val="32"/>
    </w:rPr>
  </w:style>
  <w:style w:type="paragraph" w:styleId="724">
    <w:name w:val="List 2"/>
    <w:basedOn w:val="702"/>
    <w:qFormat/>
    <w:pPr>
      <w:ind w:left="100" w:hanging="200"/>
    </w:pPr>
  </w:style>
  <w:style w:type="paragraph" w:styleId="725">
    <w:name w:val="toc 5"/>
    <w:basedOn w:val="702"/>
    <w:next w:val="702"/>
    <w:uiPriority w:val="39"/>
    <w:unhideWhenUsed/>
    <w:qFormat/>
    <w:pPr>
      <w:ind w:left="1134"/>
      <w:spacing w:after="57"/>
    </w:pPr>
  </w:style>
  <w:style w:type="paragraph" w:styleId="726">
    <w:name w:val="toc 3"/>
    <w:basedOn w:val="702"/>
    <w:next w:val="702"/>
    <w:uiPriority w:val="39"/>
    <w:unhideWhenUsed/>
    <w:qFormat/>
    <w:pPr>
      <w:ind w:left="567"/>
      <w:spacing w:after="57"/>
    </w:pPr>
  </w:style>
  <w:style w:type="paragraph" w:styleId="727">
    <w:name w:val="Plain Text"/>
    <w:basedOn w:val="702"/>
    <w:link w:val="801"/>
    <w:qFormat/>
    <w:rPr>
      <w:rFonts w:ascii="宋体" w:hAnsi="Courier New" w:cs="Courier New"/>
    </w:rPr>
  </w:style>
  <w:style w:type="paragraph" w:styleId="728">
    <w:name w:val="toc 8"/>
    <w:basedOn w:val="702"/>
    <w:next w:val="702"/>
    <w:uiPriority w:val="39"/>
    <w:unhideWhenUsed/>
    <w:qFormat/>
    <w:pPr>
      <w:ind w:left="1984"/>
      <w:spacing w:after="57"/>
    </w:pPr>
  </w:style>
  <w:style w:type="paragraph" w:styleId="729">
    <w:name w:val="Date"/>
    <w:basedOn w:val="702"/>
    <w:next w:val="702"/>
    <w:link w:val="802"/>
    <w:qFormat/>
    <w:rPr>
      <w:sz w:val="24"/>
      <w:szCs w:val="24"/>
    </w:rPr>
  </w:style>
  <w:style w:type="paragraph" w:styleId="730">
    <w:name w:val="Body Text Indent 2"/>
    <w:basedOn w:val="702"/>
    <w:link w:val="803"/>
    <w:qFormat/>
    <w:pPr>
      <w:ind w:left="630" w:firstLine="645"/>
    </w:pPr>
    <w:rPr>
      <w:rFonts w:ascii="Arial" w:hAnsi="Arial" w:eastAsia="仿宋_GB2312" w:cs="Arial"/>
      <w:sz w:val="32"/>
      <w:szCs w:val="32"/>
    </w:rPr>
  </w:style>
  <w:style w:type="paragraph" w:styleId="731">
    <w:name w:val="endnote text"/>
    <w:basedOn w:val="702"/>
    <w:link w:val="804"/>
    <w:uiPriority w:val="99"/>
    <w:unhideWhenUsed/>
    <w:qFormat/>
    <w:rPr>
      <w:rFonts w:ascii="等线" w:hAnsi="等线"/>
      <w:sz w:val="20"/>
      <w:szCs w:val="22"/>
    </w:rPr>
  </w:style>
  <w:style w:type="paragraph" w:styleId="732">
    <w:name w:val="Balloon Text"/>
    <w:basedOn w:val="702"/>
    <w:link w:val="805"/>
    <w:uiPriority w:val="99"/>
    <w:semiHidden/>
    <w:qFormat/>
    <w:rPr>
      <w:sz w:val="18"/>
      <w:szCs w:val="18"/>
    </w:rPr>
  </w:style>
  <w:style w:type="paragraph" w:styleId="733">
    <w:name w:val="Footer"/>
    <w:basedOn w:val="702"/>
    <w:link w:val="792"/>
    <w:uiPriority w:val="99"/>
    <w:unhideWhenUsed/>
    <w:pPr>
      <w:tabs>
        <w:tab w:val="center" w:pos="7143" w:leader="none"/>
        <w:tab w:val="right" w:pos="14287" w:leader="none"/>
      </w:tabs>
    </w:pPr>
  </w:style>
  <w:style w:type="paragraph" w:styleId="734">
    <w:name w:val="Header"/>
    <w:basedOn w:val="702"/>
    <w:link w:val="837"/>
    <w:uiPriority w:val="99"/>
    <w:unhideWhenUsed/>
    <w:qFormat/>
    <w:pPr>
      <w:tabs>
        <w:tab w:val="center" w:pos="7143" w:leader="none"/>
        <w:tab w:val="right" w:pos="14287" w:leader="none"/>
      </w:tabs>
    </w:pPr>
  </w:style>
  <w:style w:type="paragraph" w:styleId="735">
    <w:name w:val="toc 1"/>
    <w:basedOn w:val="702"/>
    <w:next w:val="702"/>
    <w:uiPriority w:val="39"/>
    <w:unhideWhenUsed/>
    <w:qFormat/>
    <w:pPr>
      <w:spacing w:after="57"/>
    </w:pPr>
  </w:style>
  <w:style w:type="paragraph" w:styleId="736">
    <w:name w:val="toc 4"/>
    <w:basedOn w:val="702"/>
    <w:next w:val="702"/>
    <w:uiPriority w:val="39"/>
    <w:unhideWhenUsed/>
    <w:qFormat/>
    <w:pPr>
      <w:ind w:left="850"/>
      <w:spacing w:after="57"/>
    </w:pPr>
  </w:style>
  <w:style w:type="paragraph" w:styleId="737">
    <w:name w:val="Subtitle"/>
    <w:basedOn w:val="702"/>
    <w:next w:val="702"/>
    <w:link w:val="807"/>
    <w:uiPriority w:val="11"/>
    <w:qFormat/>
    <w:pPr>
      <w:spacing w:before="200" w:after="200"/>
    </w:pPr>
    <w:rPr>
      <w:rFonts w:ascii="等线" w:hAnsi="等线"/>
      <w:sz w:val="24"/>
      <w:szCs w:val="24"/>
    </w:rPr>
  </w:style>
  <w:style w:type="paragraph" w:styleId="738">
    <w:name w:val="List"/>
    <w:basedOn w:val="702"/>
    <w:qFormat/>
    <w:pPr>
      <w:ind w:left="200" w:hanging="200"/>
    </w:pPr>
  </w:style>
  <w:style w:type="paragraph" w:styleId="739">
    <w:name w:val="footnote text"/>
    <w:basedOn w:val="702"/>
    <w:link w:val="808"/>
    <w:uiPriority w:val="99"/>
    <w:unhideWhenUsed/>
    <w:qFormat/>
    <w:pPr>
      <w:spacing w:after="40"/>
    </w:pPr>
    <w:rPr>
      <w:rFonts w:ascii="等线" w:hAnsi="等线"/>
      <w:sz w:val="18"/>
      <w:szCs w:val="22"/>
    </w:rPr>
  </w:style>
  <w:style w:type="paragraph" w:styleId="740">
    <w:name w:val="toc 6"/>
    <w:basedOn w:val="702"/>
    <w:next w:val="702"/>
    <w:uiPriority w:val="39"/>
    <w:unhideWhenUsed/>
    <w:qFormat/>
    <w:pPr>
      <w:ind w:left="1417"/>
      <w:spacing w:after="57"/>
    </w:pPr>
  </w:style>
  <w:style w:type="paragraph" w:styleId="741">
    <w:name w:val="Body Text Indent 3"/>
    <w:basedOn w:val="702"/>
    <w:link w:val="809"/>
    <w:qFormat/>
    <w:pPr>
      <w:ind w:left="645" w:firstLine="645"/>
    </w:pPr>
    <w:rPr>
      <w:rFonts w:ascii="Arial" w:hAnsi="Arial" w:eastAsia="仿宋_GB2312" w:cs="Arial"/>
      <w:color w:val="ffff00"/>
      <w:sz w:val="32"/>
      <w:szCs w:val="32"/>
    </w:rPr>
  </w:style>
  <w:style w:type="paragraph" w:styleId="742">
    <w:name w:val="table of figures"/>
    <w:basedOn w:val="702"/>
    <w:next w:val="702"/>
    <w:uiPriority w:val="99"/>
    <w:qFormat/>
    <w:pPr>
      <w:ind w:left="840" w:hanging="420"/>
    </w:pPr>
  </w:style>
  <w:style w:type="paragraph" w:styleId="743">
    <w:name w:val="toc 2"/>
    <w:basedOn w:val="702"/>
    <w:next w:val="702"/>
    <w:uiPriority w:val="39"/>
    <w:unhideWhenUsed/>
    <w:qFormat/>
    <w:pPr>
      <w:ind w:left="283"/>
      <w:spacing w:after="57"/>
    </w:pPr>
  </w:style>
  <w:style w:type="paragraph" w:styleId="744">
    <w:name w:val="toc 9"/>
    <w:basedOn w:val="702"/>
    <w:next w:val="702"/>
    <w:uiPriority w:val="39"/>
    <w:unhideWhenUsed/>
    <w:qFormat/>
    <w:pPr>
      <w:ind w:left="2268"/>
      <w:spacing w:after="57"/>
    </w:pPr>
  </w:style>
  <w:style w:type="paragraph" w:styleId="745">
    <w:name w:val="Body Text 2"/>
    <w:basedOn w:val="702"/>
    <w:link w:val="810"/>
    <w:qFormat/>
    <w:pPr>
      <w:jc w:val="center"/>
      <w:widowControl/>
    </w:pPr>
    <w:rPr>
      <w:rFonts w:ascii="楷体_GB2312" w:eastAsia="楷体_GB2312"/>
      <w:sz w:val="28"/>
      <w:szCs w:val="28"/>
    </w:rPr>
  </w:style>
  <w:style w:type="paragraph" w:styleId="746">
    <w:name w:val="Normal (Web)"/>
    <w:basedOn w:val="702"/>
    <w:qFormat/>
    <w:pPr>
      <w:jc w:val="left"/>
      <w:spacing w:before="100" w:beforeAutospacing="1" w:after="100" w:afterAutospacing="1"/>
      <w:widowControl/>
    </w:pPr>
    <w:rPr>
      <w:rFonts w:ascii="宋体" w:hAnsi="宋体" w:cs="宋体"/>
      <w:sz w:val="24"/>
      <w:szCs w:val="24"/>
    </w:rPr>
  </w:style>
  <w:style w:type="paragraph" w:styleId="747">
    <w:name w:val="index 1"/>
    <w:basedOn w:val="702"/>
    <w:next w:val="702"/>
    <w:semiHidden/>
    <w:qFormat/>
    <w:pPr>
      <w:spacing w:line="240" w:lineRule="atLeast"/>
    </w:pPr>
    <w:rPr>
      <w:b/>
      <w:bCs/>
    </w:rPr>
  </w:style>
  <w:style w:type="paragraph" w:styleId="748">
    <w:name w:val="Title"/>
    <w:basedOn w:val="702"/>
    <w:next w:val="702"/>
    <w:link w:val="811"/>
    <w:uiPriority w:val="10"/>
    <w:qFormat/>
    <w:pPr>
      <w:contextualSpacing/>
      <w:spacing w:before="300" w:after="200"/>
    </w:pPr>
    <w:rPr>
      <w:rFonts w:ascii="等线" w:hAnsi="等线"/>
      <w:sz w:val="48"/>
      <w:szCs w:val="48"/>
    </w:rPr>
  </w:style>
  <w:style w:type="paragraph" w:styleId="749">
    <w:name w:val="annotation subject"/>
    <w:basedOn w:val="720"/>
    <w:next w:val="720"/>
    <w:link w:val="812"/>
    <w:uiPriority w:val="99"/>
    <w:semiHidden/>
    <w:qFormat/>
    <w:rPr>
      <w:b/>
      <w:bCs/>
    </w:rPr>
  </w:style>
  <w:style w:type="table" w:styleId="750">
    <w:name w:val="Table Grid"/>
    <w:basedOn w:val="713"/>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1">
    <w:name w:val="Strong"/>
    <w:qFormat/>
    <w:rPr>
      <w:b/>
      <w:bCs/>
    </w:rPr>
  </w:style>
  <w:style w:type="character" w:styleId="752">
    <w:name w:val="endnote reference"/>
    <w:uiPriority w:val="99"/>
    <w:unhideWhenUsed/>
    <w:qFormat/>
    <w:rPr>
      <w:vertAlign w:val="superscript"/>
    </w:rPr>
  </w:style>
  <w:style w:type="character" w:styleId="753">
    <w:name w:val="page number"/>
    <w:qFormat/>
  </w:style>
  <w:style w:type="character" w:styleId="754">
    <w:name w:val="FollowedHyperlink"/>
    <w:uiPriority w:val="99"/>
    <w:qFormat/>
    <w:rPr>
      <w:color w:val="800080"/>
      <w:u w:val="single"/>
    </w:rPr>
  </w:style>
  <w:style w:type="character" w:styleId="755">
    <w:name w:val="Emphasis"/>
    <w:qFormat/>
    <w:rPr>
      <w:i/>
    </w:rPr>
  </w:style>
  <w:style w:type="character" w:styleId="756">
    <w:name w:val="Hyperlink"/>
    <w:uiPriority w:val="99"/>
    <w:qFormat/>
    <w:rPr>
      <w:color w:val="0000ff"/>
      <w:u w:val="single"/>
    </w:rPr>
  </w:style>
  <w:style w:type="character" w:styleId="757">
    <w:name w:val="annotation reference"/>
    <w:uiPriority w:val="99"/>
    <w:semiHidden/>
    <w:qFormat/>
    <w:rPr>
      <w:sz w:val="21"/>
      <w:szCs w:val="21"/>
    </w:rPr>
  </w:style>
  <w:style w:type="character" w:styleId="758">
    <w:name w:val="footnote reference"/>
    <w:uiPriority w:val="99"/>
    <w:unhideWhenUsed/>
    <w:qFormat/>
    <w:rPr>
      <w:vertAlign w:val="superscript"/>
    </w:rPr>
  </w:style>
  <w:style w:type="character" w:styleId="759" w:customStyle="1">
    <w:name w:val="标题 1 Char"/>
    <w:link w:val="760"/>
    <w:qFormat/>
    <w:rPr>
      <w:rFonts w:ascii="楷体_GB2312" w:hAnsi="Times New Roman" w:eastAsia="楷体_GB2312"/>
      <w:color w:val="333333"/>
      <w:sz w:val="28"/>
      <w:szCs w:val="28"/>
    </w:rPr>
  </w:style>
  <w:style w:type="paragraph" w:styleId="760" w:customStyle="1">
    <w:name w:val="标题 11"/>
    <w:basedOn w:val="702"/>
    <w:link w:val="759"/>
    <w:qFormat/>
    <w:pPr>
      <w:ind w:firstLine="640"/>
      <w:jc w:val="center"/>
      <w:keepNext/>
      <w:spacing w:before="60" w:after="60" w:line="360" w:lineRule="auto"/>
      <w:outlineLvl w:val="0"/>
    </w:pPr>
    <w:rPr>
      <w:rFonts w:ascii="楷体_GB2312" w:eastAsia="楷体_GB2312"/>
      <w:color w:val="333333"/>
      <w:sz w:val="28"/>
      <w:szCs w:val="28"/>
    </w:rPr>
  </w:style>
  <w:style w:type="character" w:styleId="761" w:customStyle="1">
    <w:name w:val="标题 2 Char"/>
    <w:link w:val="762"/>
    <w:qFormat/>
    <w:rPr>
      <w:rFonts w:ascii="Arial" w:hAnsi="Arial" w:eastAsia="幼圆" w:cs="Arial"/>
      <w:b/>
      <w:bCs/>
      <w:sz w:val="44"/>
      <w:szCs w:val="44"/>
    </w:rPr>
  </w:style>
  <w:style w:type="paragraph" w:styleId="762" w:customStyle="1">
    <w:name w:val="标题 21"/>
    <w:basedOn w:val="702"/>
    <w:next w:val="763"/>
    <w:link w:val="761"/>
    <w:qFormat/>
    <w:pPr>
      <w:jc w:val="center"/>
      <w:keepLines/>
      <w:keepNext/>
      <w:spacing w:before="260" w:after="260" w:line="416" w:lineRule="auto"/>
      <w:outlineLvl w:val="1"/>
    </w:pPr>
    <w:rPr>
      <w:rFonts w:ascii="Arial" w:hAnsi="Arial" w:eastAsia="幼圆" w:cs="Arial"/>
      <w:b/>
      <w:bCs/>
      <w:sz w:val="44"/>
      <w:szCs w:val="44"/>
    </w:rPr>
  </w:style>
  <w:style w:type="paragraph" w:styleId="763" w:customStyle="1">
    <w:name w:val="正文缩进1"/>
    <w:basedOn w:val="702"/>
    <w:link w:val="1046"/>
    <w:qFormat/>
    <w:pPr>
      <w:ind w:firstLine="420"/>
    </w:pPr>
  </w:style>
  <w:style w:type="paragraph" w:styleId="764">
    <w:name w:val="List Paragraph"/>
    <w:basedOn w:val="702"/>
    <w:uiPriority w:val="34"/>
    <w:qFormat/>
    <w:pPr>
      <w:contextualSpacing/>
      <w:ind w:left="720"/>
    </w:pPr>
  </w:style>
  <w:style w:type="paragraph" w:styleId="765">
    <w:name w:val="No Spacing"/>
    <w:uiPriority w:val="1"/>
    <w:qFormat/>
    <w:pPr>
      <w:jc w:val="both"/>
      <w:widowControl w:val="off"/>
    </w:pPr>
    <w:rPr>
      <w:rFonts w:ascii="Times New Roman" w:hAnsi="Times New Roman"/>
      <w:sz w:val="21"/>
      <w:szCs w:val="21"/>
    </w:rPr>
  </w:style>
  <w:style w:type="paragraph" w:styleId="766">
    <w:name w:val="Quote"/>
    <w:basedOn w:val="702"/>
    <w:next w:val="702"/>
    <w:link w:val="831"/>
    <w:uiPriority w:val="29"/>
    <w:qFormat/>
    <w:pPr>
      <w:ind w:left="720" w:right="720"/>
    </w:pPr>
    <w:rPr>
      <w:rFonts w:ascii="等线" w:hAnsi="等线"/>
      <w:i/>
      <w:szCs w:val="22"/>
    </w:rPr>
  </w:style>
  <w:style w:type="paragraph" w:styleId="767">
    <w:name w:val="Intense Quote"/>
    <w:basedOn w:val="702"/>
    <w:next w:val="702"/>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等线" w:hAnsi="等线"/>
      <w:i/>
      <w:szCs w:val="22"/>
    </w:rPr>
  </w:style>
  <w:style w:type="table" w:styleId="768" w:customStyle="1">
    <w:name w:val="无格式表格 11"/>
    <w:basedOn w:val="713"/>
    <w:uiPriority w:val="59"/>
    <w:qFormat/>
    <w:tblPr/>
  </w:style>
  <w:style w:type="table" w:styleId="769" w:customStyle="1">
    <w:name w:val="无格式表格 21"/>
    <w:basedOn w:val="713"/>
    <w:uiPriority w:val="59"/>
    <w:qFormat/>
    <w:tblPr/>
  </w:style>
  <w:style w:type="table" w:styleId="770" w:customStyle="1">
    <w:name w:val="无格式表格 31"/>
    <w:basedOn w:val="713"/>
    <w:uiPriority w:val="99"/>
    <w:qFormat/>
    <w:tblPr/>
  </w:style>
  <w:style w:type="table" w:styleId="771" w:customStyle="1">
    <w:name w:val="无格式表格 41"/>
    <w:basedOn w:val="713"/>
    <w:uiPriority w:val="99"/>
    <w:qFormat/>
    <w:tblPr/>
  </w:style>
  <w:style w:type="table" w:styleId="772" w:customStyle="1">
    <w:name w:val="无格式表格 51"/>
    <w:basedOn w:val="713"/>
    <w:uiPriority w:val="99"/>
    <w:qFormat/>
    <w:tblPr/>
  </w:style>
  <w:style w:type="table" w:styleId="773" w:customStyle="1">
    <w:name w:val="网格表 1 浅色1"/>
    <w:basedOn w:val="713"/>
    <w:uiPriority w:val="99"/>
    <w:qFormat/>
    <w:tblPr/>
  </w:style>
  <w:style w:type="table" w:styleId="774" w:customStyle="1">
    <w:name w:val="网格表 21"/>
    <w:basedOn w:val="713"/>
    <w:uiPriority w:val="99"/>
    <w:qFormat/>
    <w:tblPr/>
  </w:style>
  <w:style w:type="table" w:styleId="775" w:customStyle="1">
    <w:name w:val="网格表 31"/>
    <w:basedOn w:val="713"/>
    <w:uiPriority w:val="99"/>
    <w:qFormat/>
    <w:tblPr/>
  </w:style>
  <w:style w:type="table" w:styleId="776" w:customStyle="1">
    <w:name w:val="网格表 41"/>
    <w:basedOn w:val="713"/>
    <w:uiPriority w:val="59"/>
    <w:qFormat/>
    <w:tblPr/>
  </w:style>
  <w:style w:type="table" w:styleId="777" w:customStyle="1">
    <w:name w:val="网格表 5 深色1"/>
    <w:basedOn w:val="713"/>
    <w:uiPriority w:val="99"/>
    <w:qFormat/>
    <w:tblPr/>
  </w:style>
  <w:style w:type="table" w:styleId="778" w:customStyle="1">
    <w:name w:val="网格表 6 彩色1"/>
    <w:basedOn w:val="713"/>
    <w:uiPriority w:val="99"/>
    <w:qFormat/>
    <w:tblPr/>
  </w:style>
  <w:style w:type="table" w:styleId="779" w:customStyle="1">
    <w:name w:val="网格表 7 彩色1"/>
    <w:basedOn w:val="713"/>
    <w:uiPriority w:val="99"/>
    <w:qFormat/>
    <w:tblPr/>
  </w:style>
  <w:style w:type="table" w:styleId="780" w:customStyle="1">
    <w:name w:val="清单表 1 浅色1"/>
    <w:basedOn w:val="713"/>
    <w:uiPriority w:val="99"/>
    <w:qFormat/>
    <w:tblPr/>
  </w:style>
  <w:style w:type="table" w:styleId="781" w:customStyle="1">
    <w:name w:val="清单表 21"/>
    <w:basedOn w:val="713"/>
    <w:uiPriority w:val="99"/>
    <w:qFormat/>
    <w:tblPr/>
  </w:style>
  <w:style w:type="table" w:styleId="782" w:customStyle="1">
    <w:name w:val="清单表 31"/>
    <w:basedOn w:val="713"/>
    <w:uiPriority w:val="99"/>
    <w:qFormat/>
    <w:tblPr/>
  </w:style>
  <w:style w:type="table" w:styleId="783" w:customStyle="1">
    <w:name w:val="清单表 41"/>
    <w:basedOn w:val="713"/>
    <w:uiPriority w:val="99"/>
    <w:qFormat/>
    <w:tblPr/>
  </w:style>
  <w:style w:type="table" w:styleId="784" w:customStyle="1">
    <w:name w:val="清单表 5 深色1"/>
    <w:basedOn w:val="713"/>
    <w:uiPriority w:val="99"/>
    <w:qFormat/>
    <w:tblPr/>
  </w:style>
  <w:style w:type="table" w:styleId="785" w:customStyle="1">
    <w:name w:val="清单表 6 彩色1"/>
    <w:basedOn w:val="713"/>
    <w:uiPriority w:val="99"/>
    <w:qFormat/>
    <w:tblPr/>
  </w:style>
  <w:style w:type="table" w:styleId="786" w:customStyle="1">
    <w:name w:val="清单表 7 彩色1"/>
    <w:basedOn w:val="713"/>
    <w:uiPriority w:val="99"/>
    <w:qFormat/>
    <w:tblPr/>
  </w:style>
  <w:style w:type="paragraph" w:styleId="787" w:customStyle="1">
    <w:name w:val="TOC 标题1"/>
    <w:uiPriority w:val="39"/>
    <w:unhideWhenUsed/>
  </w:style>
  <w:style w:type="paragraph" w:styleId="788" w:customStyle="1">
    <w:name w:val="Caption1"/>
    <w:basedOn w:val="702"/>
    <w:next w:val="702"/>
    <w:uiPriority w:val="35"/>
    <w:semiHidden/>
    <w:unhideWhenUsed/>
    <w:qFormat/>
    <w:pPr>
      <w:spacing w:line="276" w:lineRule="auto"/>
    </w:pPr>
    <w:rPr>
      <w:b/>
      <w:bCs/>
      <w:color w:val="4f81bd"/>
      <w:sz w:val="18"/>
      <w:szCs w:val="18"/>
    </w:rPr>
  </w:style>
  <w:style w:type="paragraph" w:styleId="789" w:customStyle="1">
    <w:name w:val="Footer1"/>
    <w:basedOn w:val="702"/>
    <w:link w:val="841"/>
    <w:uiPriority w:val="99"/>
    <w:unhideWhenUsed/>
    <w:qFormat/>
    <w:pPr>
      <w:tabs>
        <w:tab w:val="center" w:pos="7143" w:leader="none"/>
        <w:tab w:val="right" w:pos="14287" w:leader="none"/>
      </w:tabs>
    </w:pPr>
  </w:style>
  <w:style w:type="paragraph" w:styleId="790" w:customStyle="1">
    <w:name w:val="Header1"/>
    <w:basedOn w:val="702"/>
    <w:link w:val="80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91" w:customStyle="1">
    <w:name w:val="样式1"/>
    <w:basedOn w:val="702"/>
    <w:qFormat/>
    <w:pPr>
      <w:numPr>
        <w:numId w:val="2"/>
      </w:numPr>
    </w:pPr>
    <w:rPr>
      <w:rFonts w:ascii="宋体" w:hAnsi="宋体"/>
    </w:rPr>
  </w:style>
  <w:style w:type="character" w:styleId="792" w:customStyle="1">
    <w:name w:val="页脚 字符2"/>
    <w:link w:val="733"/>
    <w:uiPriority w:val="99"/>
    <w:qFormat/>
  </w:style>
  <w:style w:type="paragraph" w:styleId="793" w:customStyle="1">
    <w:name w:val="TOC 标题111"/>
    <w:uiPriority w:val="39"/>
    <w:unhideWhenUsed/>
    <w:qFormat/>
  </w:style>
  <w:style w:type="paragraph" w:styleId="794" w:customStyle="1">
    <w:name w:val="TOC 标题11"/>
    <w:uiPriority w:val="39"/>
    <w:qFormat/>
    <w:rPr>
      <w:rFonts w:ascii="Times New Roman" w:hAnsi="Times New Roman"/>
    </w:rPr>
  </w:style>
  <w:style w:type="character" w:styleId="795" w:customStyle="1">
    <w:name w:val="正文缩进 字符"/>
    <w:link w:val="715"/>
    <w:qFormat/>
    <w:rPr>
      <w:rFonts w:ascii="Times New Roman" w:hAnsi="Times New Roman" w:eastAsia="宋体" w:cs="Times New Roman"/>
      <w:szCs w:val="21"/>
    </w:rPr>
  </w:style>
  <w:style w:type="character" w:styleId="796" w:customStyle="1">
    <w:name w:val="文档结构图 字符"/>
    <w:link w:val="719"/>
    <w:semiHidden/>
    <w:qFormat/>
    <w:rPr>
      <w:rFonts w:ascii="Times New Roman" w:hAnsi="Times New Roman" w:eastAsia="宋体" w:cs="Times New Roman"/>
      <w:szCs w:val="21"/>
      <w:shd w:val="clear" w:color="auto" w:fill="000080"/>
    </w:rPr>
  </w:style>
  <w:style w:type="character" w:styleId="797" w:customStyle="1">
    <w:name w:val="批注文字 字符"/>
    <w:link w:val="720"/>
    <w:qFormat/>
    <w:rPr>
      <w:rFonts w:ascii="Times New Roman" w:hAnsi="Times New Roman" w:eastAsia="宋体" w:cs="Times New Roman"/>
      <w:szCs w:val="21"/>
    </w:rPr>
  </w:style>
  <w:style w:type="character" w:styleId="798" w:customStyle="1">
    <w:name w:val="正文文本 3 字符"/>
    <w:link w:val="721"/>
    <w:qFormat/>
    <w:rPr>
      <w:rFonts w:ascii="仿宋_GB2312" w:hAnsi="Arial" w:eastAsia="仿宋_GB2312" w:cs="Times New Roman"/>
      <w:sz w:val="32"/>
      <w:szCs w:val="32"/>
    </w:rPr>
  </w:style>
  <w:style w:type="character" w:styleId="799" w:customStyle="1">
    <w:name w:val="正文文本 字符"/>
    <w:link w:val="722"/>
    <w:qFormat/>
    <w:rPr>
      <w:rFonts w:ascii="楷体_GB2312" w:hAnsi="Arial" w:eastAsia="楷体_GB2312" w:cs="Times New Roman"/>
      <w:sz w:val="28"/>
      <w:szCs w:val="28"/>
    </w:rPr>
  </w:style>
  <w:style w:type="character" w:styleId="800" w:customStyle="1">
    <w:name w:val="正文文本缩进 字符"/>
    <w:link w:val="723"/>
    <w:qFormat/>
    <w:rPr>
      <w:rFonts w:ascii="楷体_GB2312" w:hAnsi="Times New Roman" w:eastAsia="楷体_GB2312" w:cs="Times New Roman"/>
      <w:sz w:val="32"/>
      <w:szCs w:val="32"/>
    </w:rPr>
  </w:style>
  <w:style w:type="character" w:styleId="801" w:customStyle="1">
    <w:name w:val="纯文本 字符1"/>
    <w:link w:val="727"/>
    <w:qFormat/>
    <w:rPr>
      <w:rFonts w:ascii="宋体" w:hAnsi="Courier New" w:eastAsia="宋体" w:cs="Courier New"/>
      <w:szCs w:val="21"/>
    </w:rPr>
  </w:style>
  <w:style w:type="character" w:styleId="802" w:customStyle="1">
    <w:name w:val="日期 字符"/>
    <w:link w:val="729"/>
    <w:qFormat/>
    <w:rPr>
      <w:rFonts w:ascii="Times New Roman" w:hAnsi="Times New Roman" w:eastAsia="宋体" w:cs="Times New Roman"/>
      <w:sz w:val="24"/>
      <w:szCs w:val="24"/>
    </w:rPr>
  </w:style>
  <w:style w:type="character" w:styleId="803" w:customStyle="1">
    <w:name w:val="正文文本缩进 2 字符"/>
    <w:link w:val="730"/>
    <w:qFormat/>
    <w:rPr>
      <w:rFonts w:ascii="Arial" w:hAnsi="Arial" w:eastAsia="仿宋_GB2312" w:cs="Arial"/>
      <w:sz w:val="32"/>
      <w:szCs w:val="32"/>
    </w:rPr>
  </w:style>
  <w:style w:type="character" w:styleId="804" w:customStyle="1">
    <w:name w:val="尾注文本 字符"/>
    <w:link w:val="731"/>
    <w:uiPriority w:val="99"/>
    <w:qFormat/>
    <w:rPr>
      <w:rFonts w:ascii="等线" w:hAnsi="等线"/>
      <w:szCs w:val="22"/>
    </w:rPr>
  </w:style>
  <w:style w:type="character" w:styleId="805" w:customStyle="1">
    <w:name w:val="批注框文本 字符"/>
    <w:link w:val="732"/>
    <w:uiPriority w:val="99"/>
    <w:semiHidden/>
    <w:qFormat/>
    <w:rPr>
      <w:rFonts w:ascii="Times New Roman" w:hAnsi="Times New Roman" w:eastAsia="宋体" w:cs="Times New Roman"/>
      <w:sz w:val="18"/>
      <w:szCs w:val="18"/>
    </w:rPr>
  </w:style>
  <w:style w:type="character" w:styleId="806" w:customStyle="1">
    <w:name w:val="页眉 字符1"/>
    <w:link w:val="790"/>
    <w:uiPriority w:val="99"/>
    <w:qFormat/>
    <w:rPr>
      <w:rFonts w:ascii="Times New Roman" w:hAnsi="Times New Roman"/>
      <w:sz w:val="18"/>
      <w:szCs w:val="18"/>
    </w:rPr>
  </w:style>
  <w:style w:type="character" w:styleId="807" w:customStyle="1">
    <w:name w:val="副标题 字符"/>
    <w:link w:val="737"/>
    <w:uiPriority w:val="11"/>
    <w:qFormat/>
    <w:rPr>
      <w:rFonts w:ascii="等线" w:hAnsi="等线"/>
      <w:sz w:val="24"/>
      <w:szCs w:val="24"/>
    </w:rPr>
  </w:style>
  <w:style w:type="character" w:styleId="808" w:customStyle="1">
    <w:name w:val="脚注文本 字符"/>
    <w:link w:val="739"/>
    <w:uiPriority w:val="99"/>
    <w:qFormat/>
    <w:rPr>
      <w:rFonts w:ascii="等线" w:hAnsi="等线"/>
      <w:sz w:val="18"/>
      <w:szCs w:val="22"/>
    </w:rPr>
  </w:style>
  <w:style w:type="character" w:styleId="809" w:customStyle="1">
    <w:name w:val="正文文本缩进 3 字符"/>
    <w:link w:val="741"/>
    <w:qFormat/>
    <w:rPr>
      <w:rFonts w:ascii="Arial" w:hAnsi="Arial" w:eastAsia="仿宋_GB2312" w:cs="Arial"/>
      <w:color w:val="ffff00"/>
      <w:sz w:val="32"/>
      <w:szCs w:val="32"/>
    </w:rPr>
  </w:style>
  <w:style w:type="character" w:styleId="810" w:customStyle="1">
    <w:name w:val="正文文本 2 字符"/>
    <w:link w:val="745"/>
    <w:qFormat/>
    <w:rPr>
      <w:rFonts w:ascii="楷体_GB2312" w:hAnsi="Times New Roman" w:eastAsia="楷体_GB2312" w:cs="Times New Roman"/>
      <w:sz w:val="28"/>
      <w:szCs w:val="28"/>
    </w:rPr>
  </w:style>
  <w:style w:type="character" w:styleId="811" w:customStyle="1">
    <w:name w:val="标题 字符"/>
    <w:link w:val="748"/>
    <w:uiPriority w:val="10"/>
    <w:qFormat/>
    <w:rPr>
      <w:rFonts w:ascii="等线" w:hAnsi="等线"/>
      <w:sz w:val="48"/>
      <w:szCs w:val="48"/>
    </w:rPr>
  </w:style>
  <w:style w:type="character" w:styleId="812" w:customStyle="1">
    <w:name w:val="批注主题 字符"/>
    <w:link w:val="749"/>
    <w:uiPriority w:val="99"/>
    <w:semiHidden/>
    <w:qFormat/>
    <w:rPr>
      <w:rFonts w:ascii="Times New Roman" w:hAnsi="Times New Roman" w:eastAsia="宋体" w:cs="Times New Roman"/>
      <w:b/>
      <w:bCs/>
      <w:szCs w:val="21"/>
    </w:rPr>
  </w:style>
  <w:style w:type="character" w:styleId="813" w:customStyle="1">
    <w:name w:val="标题 1 字符"/>
    <w:link w:val="703"/>
    <w:uiPriority w:val="9"/>
    <w:qFormat/>
    <w:rPr>
      <w:rFonts w:ascii="楷体_GB2312" w:hAnsi="Times New Roman" w:eastAsia="楷体_GB2312" w:cs="Times New Roman"/>
      <w:sz w:val="28"/>
      <w:szCs w:val="28"/>
    </w:rPr>
  </w:style>
  <w:style w:type="character" w:styleId="814" w:customStyle="1">
    <w:name w:val="标题 2 字符"/>
    <w:link w:val="704"/>
    <w:uiPriority w:val="9"/>
    <w:qFormat/>
    <w:rPr>
      <w:rFonts w:ascii="Arial" w:hAnsi="Arial" w:eastAsia="幼圆" w:cs="Arial"/>
      <w:b/>
      <w:bCs/>
      <w:sz w:val="44"/>
      <w:szCs w:val="44"/>
    </w:rPr>
  </w:style>
  <w:style w:type="character" w:styleId="815" w:customStyle="1">
    <w:name w:val="标题 3 字符"/>
    <w:link w:val="705"/>
    <w:uiPriority w:val="9"/>
    <w:qFormat/>
    <w:rPr>
      <w:rFonts w:ascii="Times New Roman" w:hAnsi="Times New Roman" w:eastAsia="宋体" w:cs="Times New Roman"/>
      <w:b/>
      <w:bCs/>
      <w:sz w:val="32"/>
      <w:szCs w:val="32"/>
    </w:rPr>
  </w:style>
  <w:style w:type="character" w:styleId="816" w:customStyle="1">
    <w:name w:val="标题 4 字符"/>
    <w:link w:val="706"/>
    <w:uiPriority w:val="9"/>
    <w:qFormat/>
    <w:rPr>
      <w:rFonts w:ascii="Arial" w:hAnsi="Arial" w:eastAsia="黑体" w:cs="Arial"/>
      <w:b/>
      <w:bCs/>
      <w:sz w:val="28"/>
      <w:szCs w:val="28"/>
    </w:rPr>
  </w:style>
  <w:style w:type="character" w:styleId="817" w:customStyle="1">
    <w:name w:val="标题 5 字符"/>
    <w:link w:val="707"/>
    <w:uiPriority w:val="9"/>
    <w:qFormat/>
    <w:rPr>
      <w:rFonts w:ascii="宋体" w:hAnsi="Times New Roman" w:eastAsia="宋体" w:cs="Times New Roman"/>
      <w:color w:val="000000"/>
      <w:sz w:val="28"/>
      <w:szCs w:val="28"/>
    </w:rPr>
  </w:style>
  <w:style w:type="character" w:styleId="818" w:customStyle="1">
    <w:name w:val="标题 6 字符"/>
    <w:link w:val="708"/>
    <w:uiPriority w:val="9"/>
    <w:qFormat/>
    <w:rPr>
      <w:rFonts w:ascii="Arial" w:hAnsi="Arial" w:eastAsia="黑体"/>
      <w:b/>
      <w:bCs/>
      <w:sz w:val="24"/>
      <w:szCs w:val="24"/>
    </w:rPr>
  </w:style>
  <w:style w:type="character" w:styleId="819" w:customStyle="1">
    <w:name w:val="标题 7 字符"/>
    <w:link w:val="709"/>
    <w:uiPriority w:val="9"/>
    <w:qFormat/>
    <w:rPr>
      <w:rFonts w:ascii="Times New Roman" w:hAnsi="Times New Roman"/>
      <w:b/>
      <w:bCs/>
      <w:sz w:val="24"/>
      <w:szCs w:val="24"/>
    </w:rPr>
  </w:style>
  <w:style w:type="character" w:styleId="820" w:customStyle="1">
    <w:name w:val="标题 8 字符"/>
    <w:link w:val="710"/>
    <w:uiPriority w:val="9"/>
    <w:qFormat/>
    <w:rPr>
      <w:rFonts w:ascii="Arial" w:hAnsi="Arial" w:eastAsia="黑体"/>
      <w:sz w:val="24"/>
      <w:szCs w:val="24"/>
    </w:rPr>
  </w:style>
  <w:style w:type="character" w:styleId="821" w:customStyle="1">
    <w:name w:val="标题 9 字符"/>
    <w:link w:val="711"/>
    <w:uiPriority w:val="9"/>
    <w:qFormat/>
    <w:rPr>
      <w:rFonts w:ascii="Arial" w:hAnsi="Arial" w:eastAsia="黑体"/>
      <w:sz w:val="21"/>
      <w:szCs w:val="21"/>
    </w:rPr>
  </w:style>
  <w:style w:type="character" w:styleId="822" w:customStyle="1">
    <w:name w:val="Heading 1 Char"/>
    <w:uiPriority w:val="9"/>
    <w:qFormat/>
    <w:rPr>
      <w:rFonts w:ascii="Arial" w:hAnsi="Arial" w:eastAsia="Arial" w:cs="Arial"/>
      <w:sz w:val="40"/>
      <w:szCs w:val="40"/>
    </w:rPr>
  </w:style>
  <w:style w:type="character" w:styleId="823" w:customStyle="1">
    <w:name w:val="Heading 4 Char"/>
    <w:uiPriority w:val="9"/>
    <w:qFormat/>
    <w:rPr>
      <w:rFonts w:ascii="Arial" w:hAnsi="Arial" w:eastAsia="Arial" w:cs="Arial"/>
      <w:b/>
      <w:bCs/>
      <w:sz w:val="26"/>
      <w:szCs w:val="26"/>
    </w:rPr>
  </w:style>
  <w:style w:type="character" w:styleId="824" w:customStyle="1">
    <w:name w:val="Heading 5 Char"/>
    <w:uiPriority w:val="9"/>
    <w:qFormat/>
    <w:rPr>
      <w:rFonts w:ascii="Arial" w:hAnsi="Arial" w:eastAsia="Arial" w:cs="Arial"/>
      <w:b/>
      <w:bCs/>
      <w:sz w:val="24"/>
      <w:szCs w:val="24"/>
    </w:rPr>
  </w:style>
  <w:style w:type="character" w:styleId="825" w:customStyle="1">
    <w:name w:val="Heading 6 Char"/>
    <w:uiPriority w:val="9"/>
    <w:qFormat/>
    <w:rPr>
      <w:rFonts w:ascii="Arial" w:hAnsi="Arial" w:eastAsia="Arial" w:cs="Arial"/>
      <w:b/>
      <w:bCs/>
      <w:sz w:val="22"/>
      <w:szCs w:val="22"/>
    </w:rPr>
  </w:style>
  <w:style w:type="character" w:styleId="826" w:customStyle="1">
    <w:name w:val="Heading 7 Char"/>
    <w:uiPriority w:val="9"/>
    <w:qFormat/>
    <w:rPr>
      <w:rFonts w:ascii="Arial" w:hAnsi="Arial" w:eastAsia="Arial" w:cs="Arial"/>
      <w:b/>
      <w:bCs/>
      <w:i/>
      <w:iCs/>
      <w:sz w:val="22"/>
      <w:szCs w:val="22"/>
    </w:rPr>
  </w:style>
  <w:style w:type="character" w:styleId="827" w:customStyle="1">
    <w:name w:val="Heading 8 Char"/>
    <w:uiPriority w:val="9"/>
    <w:qFormat/>
    <w:rPr>
      <w:rFonts w:ascii="Arial" w:hAnsi="Arial" w:eastAsia="Arial" w:cs="Arial"/>
      <w:i/>
      <w:iCs/>
      <w:sz w:val="22"/>
      <w:szCs w:val="22"/>
    </w:rPr>
  </w:style>
  <w:style w:type="character" w:styleId="828" w:customStyle="1">
    <w:name w:val="Heading 9 Char"/>
    <w:uiPriority w:val="9"/>
    <w:qFormat/>
    <w:rPr>
      <w:rFonts w:ascii="Arial" w:hAnsi="Arial" w:eastAsia="Arial" w:cs="Arial"/>
      <w:i/>
      <w:iCs/>
      <w:sz w:val="21"/>
      <w:szCs w:val="21"/>
    </w:rPr>
  </w:style>
  <w:style w:type="character" w:styleId="829" w:customStyle="1">
    <w:name w:val="Title Char"/>
    <w:uiPriority w:val="10"/>
    <w:qFormat/>
    <w:rPr>
      <w:sz w:val="48"/>
      <w:szCs w:val="48"/>
    </w:rPr>
  </w:style>
  <w:style w:type="character" w:styleId="830" w:customStyle="1">
    <w:name w:val="Subtitle Char"/>
    <w:uiPriority w:val="11"/>
    <w:qFormat/>
    <w:rPr>
      <w:sz w:val="24"/>
      <w:szCs w:val="24"/>
    </w:rPr>
  </w:style>
  <w:style w:type="character" w:styleId="831" w:customStyle="1">
    <w:name w:val="引用 字符"/>
    <w:link w:val="766"/>
    <w:uiPriority w:val="29"/>
    <w:qFormat/>
    <w:rPr>
      <w:rFonts w:ascii="等线" w:hAnsi="等线"/>
      <w:i/>
      <w:sz w:val="21"/>
      <w:szCs w:val="22"/>
    </w:rPr>
  </w:style>
  <w:style w:type="character" w:styleId="832" w:customStyle="1">
    <w:name w:val="Quote Char"/>
    <w:uiPriority w:val="29"/>
    <w:qFormat/>
    <w:rPr>
      <w:i/>
    </w:rPr>
  </w:style>
  <w:style w:type="character" w:styleId="833" w:customStyle="1">
    <w:name w:val="明显引用 字符"/>
    <w:link w:val="767"/>
    <w:uiPriority w:val="30"/>
    <w:qFormat/>
    <w:rPr>
      <w:rFonts w:ascii="等线" w:hAnsi="等线"/>
      <w:i/>
      <w:sz w:val="21"/>
      <w:szCs w:val="22"/>
      <w:shd w:val="clear" w:color="auto" w:fill="f2f2f2"/>
    </w:rPr>
  </w:style>
  <w:style w:type="character" w:styleId="834" w:customStyle="1">
    <w:name w:val="Intense Quote Char"/>
    <w:uiPriority w:val="30"/>
    <w:qFormat/>
    <w:rPr>
      <w:i/>
    </w:rPr>
  </w:style>
  <w:style w:type="paragraph" w:styleId="835" w:customStyle="1">
    <w:name w:val="Header11"/>
    <w:basedOn w:val="702"/>
    <w:link w:val="836"/>
    <w:uiPriority w:val="99"/>
    <w:qFormat/>
    <w:pPr>
      <w:jc w:val="center"/>
      <w:tabs>
        <w:tab w:val="center" w:pos="4153" w:leader="none"/>
        <w:tab w:val="right" w:pos="8306" w:leader="none"/>
      </w:tabs>
      <w:pBdr>
        <w:bottom w:val="single" w:color="000000" w:sz="6" w:space="1"/>
      </w:pBdr>
    </w:pPr>
    <w:rPr>
      <w:sz w:val="18"/>
      <w:szCs w:val="18"/>
    </w:rPr>
  </w:style>
  <w:style w:type="character" w:styleId="836" w:customStyle="1">
    <w:name w:val="页眉 字符"/>
    <w:link w:val="835"/>
    <w:uiPriority w:val="99"/>
    <w:qFormat/>
    <w:rPr>
      <w:rFonts w:ascii="Times New Roman" w:hAnsi="Times New Roman" w:eastAsia="宋体" w:cs="Times New Roman"/>
      <w:sz w:val="18"/>
      <w:szCs w:val="18"/>
    </w:rPr>
  </w:style>
  <w:style w:type="character" w:styleId="837" w:customStyle="1">
    <w:name w:val="页眉 字符2"/>
    <w:link w:val="734"/>
    <w:uiPriority w:val="99"/>
    <w:qFormat/>
  </w:style>
  <w:style w:type="paragraph" w:styleId="838" w:customStyle="1">
    <w:name w:val="Footer11"/>
    <w:basedOn w:val="702"/>
    <w:link w:val="839"/>
    <w:uiPriority w:val="99"/>
    <w:qFormat/>
    <w:pPr>
      <w:jc w:val="left"/>
      <w:tabs>
        <w:tab w:val="center" w:pos="4153" w:leader="none"/>
        <w:tab w:val="right" w:pos="8306" w:leader="none"/>
      </w:tabs>
    </w:pPr>
    <w:rPr>
      <w:sz w:val="18"/>
      <w:szCs w:val="18"/>
    </w:rPr>
  </w:style>
  <w:style w:type="character" w:styleId="839" w:customStyle="1">
    <w:name w:val="页脚 字符"/>
    <w:link w:val="838"/>
    <w:uiPriority w:val="99"/>
    <w:qFormat/>
    <w:rPr>
      <w:rFonts w:ascii="Times New Roman" w:hAnsi="Times New Roman" w:eastAsia="宋体" w:cs="Times New Roman"/>
      <w:sz w:val="18"/>
      <w:szCs w:val="18"/>
    </w:rPr>
  </w:style>
  <w:style w:type="paragraph" w:styleId="840" w:customStyle="1">
    <w:name w:val="Caption11"/>
    <w:basedOn w:val="702"/>
    <w:next w:val="702"/>
    <w:uiPriority w:val="35"/>
    <w:unhideWhenUsed/>
    <w:qFormat/>
    <w:pPr>
      <w:spacing w:line="276" w:lineRule="auto"/>
    </w:pPr>
    <w:rPr>
      <w:b/>
      <w:bCs/>
      <w:color w:val="4f81bd"/>
      <w:sz w:val="18"/>
      <w:szCs w:val="18"/>
    </w:rPr>
  </w:style>
  <w:style w:type="character" w:styleId="841" w:customStyle="1">
    <w:name w:val="页脚 字符1"/>
    <w:link w:val="789"/>
    <w:uiPriority w:val="99"/>
    <w:qFormat/>
  </w:style>
  <w:style w:type="character" w:styleId="842" w:customStyle="1">
    <w:name w:val="Footnote Text Char"/>
    <w:uiPriority w:val="99"/>
    <w:qFormat/>
    <w:rPr>
      <w:sz w:val="18"/>
    </w:rPr>
  </w:style>
  <w:style w:type="character" w:styleId="843" w:customStyle="1">
    <w:name w:val="Endnote Text Char"/>
    <w:uiPriority w:val="99"/>
    <w:qFormat/>
    <w:rPr>
      <w:sz w:val="20"/>
    </w:rPr>
  </w:style>
  <w:style w:type="character" w:styleId="844" w:customStyle="1">
    <w:name w:val="Footer Char"/>
    <w:uiPriority w:val="99"/>
    <w:qFormat/>
  </w:style>
  <w:style w:type="character" w:styleId="845" w:customStyle="1">
    <w:name w:val="Heading 2 Char"/>
    <w:uiPriority w:val="9"/>
    <w:qFormat/>
    <w:rPr>
      <w:rFonts w:ascii="Arial" w:hAnsi="Arial" w:eastAsia="Arial" w:cs="Arial"/>
      <w:sz w:val="34"/>
    </w:rPr>
  </w:style>
  <w:style w:type="character" w:styleId="846" w:customStyle="1">
    <w:name w:val="正文首行缩进 Char"/>
    <w:link w:val="847"/>
    <w:qFormat/>
    <w:rPr>
      <w:rFonts w:ascii="仿宋_GB2312" w:hAnsi="Times New Roman" w:eastAsia="仿宋_GB2312" w:cs="Times New Roman"/>
      <w:sz w:val="30"/>
      <w:szCs w:val="30"/>
    </w:rPr>
  </w:style>
  <w:style w:type="paragraph" w:styleId="847" w:customStyle="1">
    <w:name w:val="正文首行缩进1"/>
    <w:basedOn w:val="702"/>
    <w:link w:val="846"/>
    <w:qFormat/>
    <w:pPr>
      <w:ind w:firstLine="200"/>
      <w:spacing w:line="360" w:lineRule="auto"/>
    </w:pPr>
    <w:rPr>
      <w:rFonts w:ascii="仿宋_GB2312" w:eastAsia="仿宋_GB2312"/>
      <w:sz w:val="30"/>
      <w:szCs w:val="30"/>
    </w:rPr>
  </w:style>
  <w:style w:type="character" w:styleId="848" w:customStyle="1">
    <w:name w:val="二级目录 Char"/>
    <w:link w:val="849"/>
    <w:qFormat/>
    <w:rPr>
      <w:b/>
      <w:sz w:val="30"/>
      <w:szCs w:val="28"/>
    </w:rPr>
  </w:style>
  <w:style w:type="paragraph" w:styleId="849" w:customStyle="1">
    <w:name w:val="二级目录"/>
    <w:next w:val="702"/>
    <w:link w:val="848"/>
    <w:qFormat/>
    <w:pPr>
      <w:numPr>
        <w:numId w:val="3"/>
      </w:numPr>
      <w:tabs>
        <w:tab w:val="left" w:pos="1145" w:leader="none"/>
      </w:tabs>
      <w:outlineLvl w:val="1"/>
    </w:pPr>
    <w:rPr>
      <w:b/>
      <w:sz w:val="30"/>
      <w:szCs w:val="28"/>
    </w:rPr>
  </w:style>
  <w:style w:type="character" w:styleId="850" w:customStyle="1">
    <w:name w:val="Heading 3 Char"/>
    <w:uiPriority w:val="9"/>
    <w:qFormat/>
    <w:rPr>
      <w:rFonts w:ascii="Arial" w:hAnsi="Arial" w:eastAsia="Arial" w:cs="Arial"/>
      <w:sz w:val="30"/>
      <w:szCs w:val="30"/>
    </w:rPr>
  </w:style>
  <w:style w:type="character" w:styleId="851" w:customStyle="1">
    <w:name w:val="正文首行缩进 2 Char"/>
    <w:link w:val="852"/>
    <w:qFormat/>
    <w:rPr>
      <w:rFonts w:ascii="宋体" w:hAnsi="宋体" w:eastAsia="宋体" w:cs="Times New Roman"/>
      <w:sz w:val="32"/>
      <w:szCs w:val="20"/>
    </w:rPr>
  </w:style>
  <w:style w:type="paragraph" w:styleId="852" w:customStyle="1">
    <w:name w:val="正文首行缩进 21"/>
    <w:basedOn w:val="723"/>
    <w:link w:val="851"/>
    <w:qFormat/>
    <w:pPr>
      <w:ind w:firstLine="420"/>
      <w:spacing w:line="360" w:lineRule="auto"/>
    </w:pPr>
    <w:rPr>
      <w:rFonts w:ascii="宋体" w:hAnsi="宋体" w:eastAsia="宋体"/>
      <w:sz w:val="21"/>
      <w:szCs w:val="20"/>
    </w:rPr>
  </w:style>
  <w:style w:type="character" w:styleId="853" w:customStyle="1">
    <w:name w:val="font5 Char"/>
    <w:qFormat/>
    <w:rPr>
      <w:rFonts w:ascii="宋体" w:hAnsi="宋体" w:eastAsia="宋体"/>
      <w:sz w:val="28"/>
      <w:szCs w:val="28"/>
      <w:lang w:val="en-US" w:eastAsia="zh-CN" w:bidi="ar-SA"/>
    </w:rPr>
  </w:style>
  <w:style w:type="character" w:styleId="854" w:customStyle="1">
    <w:name w:val="列出段落 Char"/>
    <w:link w:val="855"/>
    <w:qFormat/>
    <w:rPr>
      <w:rFonts w:ascii="Calibri" w:hAnsi="Calibri"/>
      <w:sz w:val="24"/>
      <w:szCs w:val="24"/>
      <w:lang w:eastAsia="en-US" w:bidi="en-US"/>
    </w:rPr>
  </w:style>
  <w:style w:type="paragraph" w:styleId="855" w:customStyle="1">
    <w:name w:val="列出段落1"/>
    <w:basedOn w:val="702"/>
    <w:link w:val="854"/>
    <w:qFormat/>
    <w:pPr>
      <w:contextualSpacing/>
      <w:ind w:left="720"/>
      <w:jc w:val="left"/>
      <w:widowControl/>
    </w:pPr>
    <w:rPr>
      <w:rFonts w:ascii="Calibri" w:hAnsi="Calibri"/>
      <w:sz w:val="24"/>
      <w:szCs w:val="24"/>
      <w:lang w:eastAsia="en-US" w:bidi="en-US"/>
    </w:rPr>
  </w:style>
  <w:style w:type="character" w:styleId="856" w:customStyle="1">
    <w:name w:val="标题5 Char"/>
    <w:link w:val="857"/>
    <w:qFormat/>
    <w:rPr>
      <w:szCs w:val="24"/>
    </w:rPr>
  </w:style>
  <w:style w:type="paragraph" w:styleId="857" w:customStyle="1">
    <w:name w:val="标题5"/>
    <w:basedOn w:val="702"/>
    <w:link w:val="856"/>
    <w:qFormat/>
    <w:pPr>
      <w:ind w:left="990" w:hanging="990"/>
      <w:spacing w:before="100" w:beforeAutospacing="1" w:after="100" w:afterAutospacing="1"/>
      <w:outlineLvl w:val="4"/>
    </w:pPr>
    <w:rPr>
      <w:rFonts w:ascii="Calibri" w:hAnsi="Calibri"/>
      <w:sz w:val="20"/>
      <w:szCs w:val="24"/>
    </w:rPr>
  </w:style>
  <w:style w:type="character" w:styleId="858" w:customStyle="1">
    <w:name w:val="纯文本 字符"/>
    <w:qFormat/>
    <w:rPr>
      <w:rFonts w:ascii="宋体" w:hAnsi="Courier New" w:eastAsia="宋体" w:cs="Courier New"/>
      <w:szCs w:val="21"/>
    </w:rPr>
  </w:style>
  <w:style w:type="paragraph" w:styleId="859" w:customStyle="1">
    <w:name w:val="目录 31"/>
    <w:basedOn w:val="702"/>
    <w:next w:val="702"/>
    <w:semiHidden/>
    <w:qFormat/>
    <w:pPr>
      <w:ind w:left="420"/>
      <w:jc w:val="left"/>
    </w:pPr>
    <w:rPr>
      <w:i/>
      <w:iCs/>
      <w:szCs w:val="24"/>
    </w:rPr>
  </w:style>
  <w:style w:type="paragraph" w:styleId="860" w:customStyle="1">
    <w:name w:val="目录 21"/>
    <w:basedOn w:val="702"/>
    <w:next w:val="702"/>
    <w:semiHidden/>
    <w:qFormat/>
    <w:pPr>
      <w:ind w:left="210"/>
      <w:jc w:val="left"/>
    </w:pPr>
    <w:rPr>
      <w:smallCaps/>
      <w:szCs w:val="24"/>
    </w:rPr>
  </w:style>
  <w:style w:type="paragraph" w:styleId="861" w:customStyle="1">
    <w:name w:val="目录 81"/>
    <w:basedOn w:val="702"/>
    <w:next w:val="702"/>
    <w:semiHidden/>
    <w:qFormat/>
    <w:pPr>
      <w:ind w:left="1470"/>
      <w:jc w:val="left"/>
    </w:pPr>
  </w:style>
  <w:style w:type="paragraph" w:styleId="862" w:customStyle="1">
    <w:name w:val="目录 91"/>
    <w:basedOn w:val="702"/>
    <w:next w:val="702"/>
    <w:semiHidden/>
    <w:qFormat/>
    <w:pPr>
      <w:ind w:left="1680"/>
      <w:jc w:val="left"/>
    </w:pPr>
  </w:style>
  <w:style w:type="paragraph" w:styleId="863" w:customStyle="1">
    <w:name w:val="目录 71"/>
    <w:basedOn w:val="702"/>
    <w:next w:val="702"/>
    <w:semiHidden/>
    <w:qFormat/>
    <w:pPr>
      <w:ind w:left="1260"/>
      <w:jc w:val="left"/>
    </w:pPr>
  </w:style>
  <w:style w:type="paragraph" w:styleId="864" w:customStyle="1">
    <w:name w:val="标题3"/>
    <w:basedOn w:val="702"/>
    <w:next w:val="702"/>
    <w:qFormat/>
    <w:pPr>
      <w:ind w:firstLine="624"/>
      <w:spacing w:line="590" w:lineRule="atLeast"/>
    </w:pPr>
    <w:rPr>
      <w:rFonts w:ascii="方正黑体_GBK" w:eastAsia="方正黑体_GBK"/>
      <w:sz w:val="32"/>
      <w:szCs w:val="32"/>
    </w:rPr>
  </w:style>
  <w:style w:type="paragraph" w:styleId="865" w:customStyle="1">
    <w:name w:val="标题1"/>
    <w:basedOn w:val="702"/>
    <w:next w:val="70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66" w:customStyle="1">
    <w:name w:val="目录 11"/>
    <w:basedOn w:val="702"/>
    <w:next w:val="702"/>
    <w:semiHidden/>
    <w:qFormat/>
    <w:pPr>
      <w:jc w:val="left"/>
      <w:spacing w:before="120" w:after="120" w:line="400" w:lineRule="exact"/>
      <w:tabs>
        <w:tab w:val="right" w:pos="8720" w:leader="dot"/>
      </w:tabs>
    </w:pPr>
    <w:rPr>
      <w:rFonts w:ascii="宋体" w:hAnsi="宋体"/>
      <w:caps/>
      <w:sz w:val="24"/>
      <w:szCs w:val="24"/>
    </w:rPr>
  </w:style>
  <w:style w:type="paragraph" w:styleId="867" w:customStyle="1">
    <w:name w:val="目录 41"/>
    <w:basedOn w:val="702"/>
    <w:next w:val="702"/>
    <w:semiHidden/>
    <w:qFormat/>
    <w:pPr>
      <w:ind w:left="630"/>
      <w:jc w:val="left"/>
    </w:pPr>
  </w:style>
  <w:style w:type="paragraph" w:styleId="868" w:customStyle="1">
    <w:name w:val="目录 61"/>
    <w:basedOn w:val="702"/>
    <w:next w:val="702"/>
    <w:semiHidden/>
    <w:qFormat/>
    <w:pPr>
      <w:ind w:left="1050"/>
      <w:jc w:val="left"/>
    </w:pPr>
  </w:style>
  <w:style w:type="paragraph" w:styleId="869" w:customStyle="1">
    <w:name w:val="目录 51"/>
    <w:basedOn w:val="702"/>
    <w:next w:val="702"/>
    <w:semiHidden/>
    <w:qFormat/>
    <w:pPr>
      <w:ind w:left="840"/>
      <w:jc w:val="left"/>
    </w:pPr>
  </w:style>
  <w:style w:type="paragraph" w:styleId="870" w:customStyle="1">
    <w:name w:val="Char"/>
    <w:basedOn w:val="702"/>
    <w:qFormat/>
    <w:pPr>
      <w:ind w:firstLine="200"/>
      <w:tabs>
        <w:tab w:val="left" w:pos="360" w:leader="none"/>
      </w:tabs>
    </w:pPr>
    <w:rPr>
      <w:sz w:val="28"/>
      <w:szCs w:val="30"/>
    </w:rPr>
  </w:style>
  <w:style w:type="paragraph" w:styleId="871" w:customStyle="1">
    <w:name w:val="xl30"/>
    <w:basedOn w:val="702"/>
    <w:qFormat/>
    <w:pPr>
      <w:jc w:val="center"/>
      <w:spacing w:before="100" w:beforeAutospacing="1" w:after="100" w:afterAutospacing="1"/>
      <w:widowControl/>
    </w:pPr>
    <w:rPr>
      <w:rFonts w:ascii="宋体" w:hAnsi="宋体"/>
      <w:b/>
      <w:bCs/>
      <w:sz w:val="36"/>
      <w:szCs w:val="36"/>
    </w:rPr>
  </w:style>
  <w:style w:type="paragraph" w:styleId="872" w:customStyle="1">
    <w:name w:val="Body Text(ch)"/>
    <w:basedOn w:val="702"/>
    <w:next w:val="722"/>
    <w:qFormat/>
    <w:pPr>
      <w:spacing w:after="120"/>
    </w:pPr>
    <w:rPr>
      <w:rFonts w:ascii="宋体" w:hAnsi="Arial"/>
      <w:bCs/>
      <w:iCs/>
      <w:szCs w:val="24"/>
    </w:rPr>
  </w:style>
  <w:style w:type="paragraph" w:styleId="873" w:customStyle="1">
    <w:name w:val="xl28"/>
    <w:basedOn w:val="70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74" w:customStyle="1">
    <w:name w:val="xl27"/>
    <w:basedOn w:val="70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75" w:customStyle="1">
    <w:name w:val="xl26"/>
    <w:basedOn w:val="7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76" w:customStyle="1">
    <w:name w:val="Char_0"/>
    <w:basedOn w:val="719"/>
    <w:qFormat/>
    <w:rPr>
      <w:rFonts w:ascii="Tahoma" w:hAnsi="Tahoma"/>
      <w:sz w:val="24"/>
      <w:szCs w:val="24"/>
    </w:rPr>
  </w:style>
  <w:style w:type="paragraph" w:styleId="877" w:customStyle="1">
    <w:name w:val="普通正文"/>
    <w:basedOn w:val="702"/>
    <w:qFormat/>
    <w:pPr>
      <w:ind w:firstLine="480"/>
      <w:jc w:val="left"/>
      <w:spacing w:before="120" w:after="120" w:line="360" w:lineRule="auto"/>
    </w:pPr>
    <w:rPr>
      <w:rFonts w:ascii="Arial" w:hAnsi="Arial"/>
      <w:sz w:val="24"/>
      <w:szCs w:val="24"/>
    </w:rPr>
  </w:style>
  <w:style w:type="paragraph" w:styleId="878" w:customStyle="1">
    <w:name w:val="table_lines"/>
    <w:basedOn w:val="702"/>
    <w:qFormat/>
    <w:pPr>
      <w:jc w:val="left"/>
      <w:widowControl/>
    </w:pPr>
    <w:rPr>
      <w:sz w:val="20"/>
      <w:szCs w:val="20"/>
      <w:lang w:val="de-DE" w:eastAsia="de-DE"/>
    </w:rPr>
  </w:style>
  <w:style w:type="paragraph" w:styleId="879"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880" w:customStyle="1">
    <w:name w:val="font7"/>
    <w:basedOn w:val="702"/>
    <w:qFormat/>
    <w:pPr>
      <w:jc w:val="left"/>
      <w:spacing w:before="100" w:beforeAutospacing="1" w:after="100" w:afterAutospacing="1"/>
      <w:widowControl/>
    </w:pPr>
    <w:rPr>
      <w:rFonts w:hint="eastAsia" w:ascii="宋体" w:hAnsi="宋体"/>
      <w:sz w:val="18"/>
      <w:szCs w:val="18"/>
    </w:rPr>
  </w:style>
  <w:style w:type="paragraph" w:styleId="881" w:customStyle="1">
    <w:name w:val="Char Char Char Char"/>
    <w:basedOn w:val="719"/>
    <w:qFormat/>
    <w:pPr>
      <w:spacing w:line="360" w:lineRule="auto"/>
    </w:pPr>
    <w:rPr>
      <w:rFonts w:ascii="Tahoma" w:hAnsi="Tahoma"/>
      <w:sz w:val="24"/>
      <w:szCs w:val="24"/>
    </w:rPr>
  </w:style>
  <w:style w:type="paragraph" w:styleId="882" w:customStyle="1">
    <w:name w:val="列出段落2"/>
    <w:basedOn w:val="702"/>
    <w:qFormat/>
    <w:pPr>
      <w:contextualSpacing/>
      <w:ind w:left="720"/>
      <w:jc w:val="left"/>
      <w:widowControl/>
    </w:pPr>
    <w:rPr>
      <w:rFonts w:ascii="Calibri" w:hAnsi="Calibri"/>
      <w:sz w:val="24"/>
      <w:szCs w:val="24"/>
      <w:lang w:eastAsia="en-US" w:bidi="en-US"/>
    </w:rPr>
  </w:style>
  <w:style w:type="paragraph" w:styleId="883" w:customStyle="1">
    <w:name w:val="4"/>
    <w:basedOn w:val="702"/>
    <w:next w:val="741"/>
    <w:qFormat/>
    <w:pPr>
      <w:ind w:firstLine="420"/>
      <w:spacing w:line="360" w:lineRule="auto"/>
    </w:pPr>
    <w:rPr>
      <w:color w:val="ff0000"/>
      <w:sz w:val="24"/>
      <w:szCs w:val="24"/>
    </w:rPr>
  </w:style>
  <w:style w:type="paragraph" w:styleId="884" w:customStyle="1">
    <w:name w:val="普通 (Web)"/>
    <w:basedOn w:val="702"/>
    <w:qFormat/>
    <w:pPr>
      <w:jc w:val="left"/>
      <w:spacing w:before="100" w:beforeAutospacing="1" w:after="100" w:afterAutospacing="1"/>
      <w:widowControl/>
    </w:pPr>
    <w:rPr>
      <w:rFonts w:ascii="宋体" w:hAnsi="宋体"/>
      <w:sz w:val="24"/>
      <w:szCs w:val="24"/>
    </w:rPr>
  </w:style>
  <w:style w:type="paragraph" w:styleId="885" w:customStyle="1">
    <w:name w:val="Char Char Char Char Char Char Char Char Char Char"/>
    <w:basedOn w:val="702"/>
    <w:qFormat/>
    <w:pPr>
      <w:spacing w:line="360" w:lineRule="auto"/>
    </w:pPr>
    <w:rPr>
      <w:sz w:val="24"/>
      <w:szCs w:val="20"/>
    </w:rPr>
  </w:style>
  <w:style w:type="paragraph" w:styleId="886" w:customStyle="1">
    <w:name w:val="font6"/>
    <w:basedOn w:val="702"/>
    <w:qFormat/>
    <w:pPr>
      <w:jc w:val="left"/>
      <w:spacing w:before="100" w:beforeAutospacing="1" w:after="100" w:afterAutospacing="1"/>
      <w:widowControl/>
    </w:pPr>
    <w:rPr>
      <w:rFonts w:hint="eastAsia" w:ascii="宋体" w:hAnsi="宋体"/>
      <w:sz w:val="28"/>
      <w:szCs w:val="28"/>
      <w:u w:val="single"/>
    </w:rPr>
  </w:style>
  <w:style w:type="paragraph" w:styleId="887" w:customStyle="1">
    <w:name w:val="xl25"/>
    <w:basedOn w:val="70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88" w:customStyle="1">
    <w:name w:val="图标"/>
    <w:basedOn w:val="702"/>
    <w:next w:val="70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89" w:customStyle="1">
    <w:name w:val="xl24"/>
    <w:basedOn w:val="70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90" w:customStyle="1">
    <w:name w:val="xl29"/>
    <w:basedOn w:val="70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91" w:customStyle="1">
    <w:name w:val="Char Char Char Char Char Char Char Char"/>
    <w:basedOn w:val="702"/>
    <w:qFormat/>
    <w:pPr>
      <w:jc w:val="left"/>
      <w:spacing w:after="160" w:line="240" w:lineRule="exact"/>
      <w:widowControl/>
    </w:pPr>
    <w:rPr>
      <w:rFonts w:ascii="Verdana" w:hAnsi="Verdana"/>
      <w:sz w:val="20"/>
      <w:szCs w:val="20"/>
      <w:lang w:eastAsia="en-US"/>
    </w:rPr>
  </w:style>
  <w:style w:type="paragraph" w:styleId="892" w:customStyle="1">
    <w:name w:val="Char Char Char Char Char Char Char Char_0"/>
    <w:basedOn w:val="702"/>
    <w:qFormat/>
    <w:pPr>
      <w:jc w:val="left"/>
      <w:spacing w:after="160" w:line="240" w:lineRule="exact"/>
      <w:widowControl/>
    </w:pPr>
    <w:rPr>
      <w:rFonts w:ascii="Verdana" w:hAnsi="Verdana"/>
      <w:sz w:val="20"/>
      <w:szCs w:val="20"/>
      <w:lang w:eastAsia="en-US"/>
    </w:rPr>
  </w:style>
  <w:style w:type="paragraph" w:styleId="893" w:customStyle="1">
    <w:name w:val="Char Char Char Char_0"/>
    <w:basedOn w:val="719"/>
    <w:qFormat/>
    <w:pPr>
      <w:spacing w:line="360" w:lineRule="auto"/>
    </w:pPr>
    <w:rPr>
      <w:rFonts w:ascii="Tahoma" w:hAnsi="Tahoma"/>
      <w:sz w:val="24"/>
      <w:szCs w:val="24"/>
    </w:rPr>
  </w:style>
  <w:style w:type="paragraph" w:styleId="894" w:customStyle="1">
    <w:name w:val="table_1stline"/>
    <w:basedOn w:val="702"/>
    <w:qFormat/>
    <w:pPr>
      <w:jc w:val="left"/>
      <w:spacing w:before="120"/>
      <w:widowControl/>
    </w:pPr>
    <w:rPr>
      <w:bCs/>
      <w:sz w:val="20"/>
      <w:szCs w:val="20"/>
      <w:lang w:val="de-DE" w:eastAsia="de-DE"/>
    </w:rPr>
  </w:style>
  <w:style w:type="paragraph" w:styleId="895" w:customStyle="1">
    <w:name w:val="font5"/>
    <w:basedOn w:val="702"/>
    <w:qFormat/>
    <w:pPr>
      <w:jc w:val="left"/>
      <w:spacing w:before="100" w:beforeAutospacing="1" w:after="100" w:afterAutospacing="1"/>
      <w:widowControl/>
    </w:pPr>
    <w:rPr>
      <w:rFonts w:hint="eastAsia" w:ascii="宋体" w:hAnsi="宋体"/>
      <w:sz w:val="28"/>
      <w:szCs w:val="28"/>
    </w:rPr>
  </w:style>
  <w:style w:type="paragraph" w:styleId="896" w:customStyle="1">
    <w:name w:val="修订1"/>
    <w:uiPriority w:val="99"/>
    <w:semiHidden/>
    <w:qFormat/>
    <w:rPr>
      <w:rFonts w:ascii="Times New Roman" w:hAnsi="Times New Roman"/>
      <w:sz w:val="21"/>
      <w:szCs w:val="21"/>
    </w:rPr>
  </w:style>
  <w:style w:type="paragraph" w:styleId="897" w:customStyle="1">
    <w:name w:val="题注1"/>
    <w:basedOn w:val="702"/>
    <w:next w:val="702"/>
    <w:uiPriority w:val="35"/>
    <w:unhideWhenUsed/>
    <w:qFormat/>
    <w:pPr>
      <w:spacing w:line="276" w:lineRule="auto"/>
    </w:pPr>
    <w:rPr>
      <w:rFonts w:ascii="等线" w:hAnsi="等线"/>
      <w:b/>
      <w:bCs/>
      <w:color w:val="4472c4"/>
      <w:sz w:val="18"/>
      <w:szCs w:val="18"/>
    </w:rPr>
  </w:style>
  <w:style w:type="paragraph" w:styleId="898" w:customStyle="1">
    <w:name w:val="列表段落1"/>
    <w:basedOn w:val="702"/>
    <w:uiPriority w:val="34"/>
    <w:qFormat/>
    <w:pPr>
      <w:ind w:firstLine="420"/>
    </w:pPr>
    <w:rPr>
      <w:rFonts w:ascii="等线" w:hAnsi="等线"/>
      <w:szCs w:val="22"/>
    </w:rPr>
  </w:style>
  <w:style w:type="table" w:styleId="899" w:customStyle="1">
    <w:name w:val="Bordered - Accent 3"/>
    <w:basedOn w:val="713"/>
    <w:uiPriority w:val="99"/>
    <w:qFormat/>
    <w:rPr>
      <w:rFonts w:ascii="Times New Roman" w:hAnsi="Times New Roman"/>
    </w:rPr>
    <w:tblPr/>
  </w:style>
  <w:style w:type="table" w:styleId="900" w:customStyle="1">
    <w:name w:val="清单表 5 深色1_0"/>
    <w:basedOn w:val="713"/>
    <w:uiPriority w:val="99"/>
    <w:qFormat/>
    <w:rPr>
      <w:rFonts w:ascii="Times New Roman" w:hAnsi="Times New Roman"/>
    </w:rPr>
    <w:tblPr/>
  </w:style>
  <w:style w:type="table" w:styleId="901" w:customStyle="1">
    <w:name w:val="清单表 1 浅色1_0"/>
    <w:basedOn w:val="713"/>
    <w:uiPriority w:val="99"/>
    <w:qFormat/>
    <w:rPr>
      <w:rFonts w:ascii="Times New Roman" w:hAnsi="Times New Roman"/>
    </w:rPr>
    <w:tblPr/>
  </w:style>
  <w:style w:type="table" w:styleId="902" w:customStyle="1">
    <w:name w:val="Grid Table 2 - Accent 6"/>
    <w:basedOn w:val="713"/>
    <w:uiPriority w:val="99"/>
    <w:qFormat/>
    <w:rPr>
      <w:rFonts w:ascii="Times New Roman" w:hAnsi="Times New Roman"/>
    </w:rPr>
    <w:tblPr/>
  </w:style>
  <w:style w:type="table" w:styleId="903" w:customStyle="1">
    <w:name w:val="网格型1"/>
    <w:basedOn w:val="713"/>
    <w:qFormat/>
    <w:rPr>
      <w:rFonts w:ascii="Times New Roman" w:hAnsi="Times New Roman"/>
    </w:rPr>
    <w:tblPr/>
  </w:style>
  <w:style w:type="table" w:styleId="904" w:customStyle="1">
    <w:name w:val="Bordered &amp; Lined - Accent 1"/>
    <w:basedOn w:val="713"/>
    <w:uiPriority w:val="99"/>
    <w:qFormat/>
    <w:rPr>
      <w:rFonts w:ascii="Times New Roman" w:hAnsi="Times New Roman"/>
      <w:color w:val="404040"/>
    </w:rPr>
    <w:tblPr/>
  </w:style>
  <w:style w:type="table" w:styleId="905" w:customStyle="1">
    <w:name w:val="List Table 4 - Accent 2"/>
    <w:basedOn w:val="713"/>
    <w:uiPriority w:val="99"/>
    <w:qFormat/>
    <w:rPr>
      <w:rFonts w:ascii="Times New Roman" w:hAnsi="Times New Roman"/>
    </w:rPr>
    <w:tblPr/>
  </w:style>
  <w:style w:type="table" w:styleId="906" w:customStyle="1">
    <w:name w:val="网格表 7 彩色1_0"/>
    <w:basedOn w:val="713"/>
    <w:uiPriority w:val="99"/>
    <w:qFormat/>
    <w:rPr>
      <w:rFonts w:ascii="Times New Roman" w:hAnsi="Times New Roman"/>
    </w:rPr>
    <w:tblPr/>
  </w:style>
  <w:style w:type="table" w:styleId="907" w:customStyle="1">
    <w:name w:val="Grid Table 4 - Accent 3"/>
    <w:basedOn w:val="713"/>
    <w:uiPriority w:val="59"/>
    <w:qFormat/>
    <w:rPr>
      <w:rFonts w:ascii="Times New Roman" w:hAnsi="Times New Roman"/>
    </w:rPr>
    <w:tblPr/>
  </w:style>
  <w:style w:type="table" w:styleId="908" w:customStyle="1">
    <w:name w:val="Table Grid Light"/>
    <w:basedOn w:val="713"/>
    <w:uiPriority w:val="59"/>
    <w:qFormat/>
    <w:rPr>
      <w:rFonts w:ascii="Times New Roman" w:hAnsi="Times New Roman"/>
    </w:rPr>
    <w:tblPr/>
  </w:style>
  <w:style w:type="table" w:styleId="909" w:customStyle="1">
    <w:name w:val="Lined - Accent"/>
    <w:basedOn w:val="713"/>
    <w:uiPriority w:val="99"/>
    <w:qFormat/>
    <w:rPr>
      <w:rFonts w:ascii="Times New Roman" w:hAnsi="Times New Roman"/>
      <w:color w:val="404040"/>
    </w:rPr>
    <w:tblPr/>
  </w:style>
  <w:style w:type="table" w:styleId="910" w:customStyle="1">
    <w:name w:val="Grid Table 7 Colorful - Accent 5"/>
    <w:basedOn w:val="713"/>
    <w:uiPriority w:val="99"/>
    <w:qFormat/>
    <w:rPr>
      <w:rFonts w:ascii="Times New Roman" w:hAnsi="Times New Roman"/>
    </w:rPr>
    <w:tblPr/>
  </w:style>
  <w:style w:type="table" w:styleId="911" w:customStyle="1">
    <w:name w:val="Grid Table 5 Dark - Accent 3"/>
    <w:basedOn w:val="713"/>
    <w:uiPriority w:val="99"/>
    <w:qFormat/>
    <w:rPr>
      <w:rFonts w:ascii="Times New Roman" w:hAnsi="Times New Roman"/>
    </w:rPr>
    <w:tblPr/>
  </w:style>
  <w:style w:type="table" w:styleId="912" w:customStyle="1">
    <w:name w:val="无格式表格 11_0"/>
    <w:basedOn w:val="713"/>
    <w:uiPriority w:val="59"/>
    <w:qFormat/>
    <w:rPr>
      <w:rFonts w:ascii="Times New Roman" w:hAnsi="Times New Roman"/>
    </w:rPr>
    <w:tblPr/>
  </w:style>
  <w:style w:type="table" w:styleId="913" w:customStyle="1">
    <w:name w:val="Bordered - Accent 4"/>
    <w:basedOn w:val="713"/>
    <w:uiPriority w:val="99"/>
    <w:qFormat/>
    <w:rPr>
      <w:rFonts w:ascii="Times New Roman" w:hAnsi="Times New Roman"/>
    </w:rPr>
    <w:tblPr/>
  </w:style>
  <w:style w:type="table" w:styleId="914" w:customStyle="1">
    <w:name w:val="List Table 5 Dark - Accent 2"/>
    <w:basedOn w:val="713"/>
    <w:uiPriority w:val="99"/>
    <w:qFormat/>
    <w:rPr>
      <w:rFonts w:ascii="Times New Roman" w:hAnsi="Times New Roman"/>
    </w:rPr>
    <w:tblPr/>
  </w:style>
  <w:style w:type="table" w:styleId="915" w:customStyle="1">
    <w:name w:val="Grid Table 7 Colorful - Accent 1"/>
    <w:basedOn w:val="713"/>
    <w:uiPriority w:val="99"/>
    <w:qFormat/>
    <w:rPr>
      <w:rFonts w:ascii="Times New Roman" w:hAnsi="Times New Roman"/>
    </w:rPr>
    <w:tblPr/>
  </w:style>
  <w:style w:type="table" w:styleId="916" w:customStyle="1">
    <w:name w:val="Grid Table 2 - Accent 3"/>
    <w:basedOn w:val="713"/>
    <w:uiPriority w:val="99"/>
    <w:qFormat/>
    <w:rPr>
      <w:rFonts w:ascii="Times New Roman" w:hAnsi="Times New Roman"/>
    </w:rPr>
    <w:tblPr/>
  </w:style>
  <w:style w:type="table" w:styleId="917" w:customStyle="1">
    <w:name w:val="无格式表格 21_0"/>
    <w:basedOn w:val="713"/>
    <w:uiPriority w:val="59"/>
    <w:qFormat/>
    <w:rPr>
      <w:rFonts w:ascii="Times New Roman" w:hAnsi="Times New Roman"/>
    </w:rPr>
    <w:tblPr/>
  </w:style>
  <w:style w:type="table" w:styleId="918" w:customStyle="1">
    <w:name w:val="List Table 5 Dark - Accent 5"/>
    <w:basedOn w:val="713"/>
    <w:uiPriority w:val="99"/>
    <w:qFormat/>
    <w:rPr>
      <w:rFonts w:ascii="Times New Roman" w:hAnsi="Times New Roman"/>
    </w:rPr>
    <w:tblPr/>
  </w:style>
  <w:style w:type="table" w:styleId="919" w:customStyle="1">
    <w:name w:val="List Table 1 Light - Accent 1"/>
    <w:basedOn w:val="713"/>
    <w:uiPriority w:val="99"/>
    <w:qFormat/>
    <w:rPr>
      <w:rFonts w:ascii="Times New Roman" w:hAnsi="Times New Roman"/>
    </w:rPr>
    <w:tblPr/>
  </w:style>
  <w:style w:type="table" w:styleId="920" w:customStyle="1">
    <w:name w:val="Grid Table 5 Dark - Accent 2"/>
    <w:basedOn w:val="713"/>
    <w:uiPriority w:val="99"/>
    <w:qFormat/>
    <w:rPr>
      <w:rFonts w:ascii="Times New Roman" w:hAnsi="Times New Roman"/>
    </w:rPr>
    <w:tblPr/>
  </w:style>
  <w:style w:type="table" w:styleId="921" w:customStyle="1">
    <w:name w:val="无格式表格 31_0"/>
    <w:basedOn w:val="713"/>
    <w:uiPriority w:val="99"/>
    <w:qFormat/>
    <w:rPr>
      <w:rFonts w:ascii="Times New Roman" w:hAnsi="Times New Roman"/>
    </w:rPr>
    <w:tblPr/>
  </w:style>
  <w:style w:type="table" w:styleId="922" w:customStyle="1">
    <w:name w:val="清单表 41_0"/>
    <w:basedOn w:val="713"/>
    <w:uiPriority w:val="99"/>
    <w:qFormat/>
    <w:rPr>
      <w:rFonts w:ascii="Times New Roman" w:hAnsi="Times New Roman"/>
    </w:rPr>
    <w:tblPr/>
  </w:style>
  <w:style w:type="table" w:styleId="923" w:customStyle="1">
    <w:name w:val="List Table 2 - Accent 2"/>
    <w:basedOn w:val="713"/>
    <w:uiPriority w:val="99"/>
    <w:qFormat/>
    <w:rPr>
      <w:rFonts w:ascii="Times New Roman" w:hAnsi="Times New Roman"/>
    </w:rPr>
    <w:tblPr/>
  </w:style>
  <w:style w:type="table" w:styleId="924" w:customStyle="1">
    <w:name w:val="网格表 5 深色1_0"/>
    <w:basedOn w:val="713"/>
    <w:uiPriority w:val="99"/>
    <w:qFormat/>
    <w:rPr>
      <w:rFonts w:ascii="Times New Roman" w:hAnsi="Times New Roman"/>
    </w:rPr>
    <w:tblPr/>
  </w:style>
  <w:style w:type="table" w:styleId="925" w:customStyle="1">
    <w:name w:val="无格式表格 41_0"/>
    <w:basedOn w:val="713"/>
    <w:uiPriority w:val="99"/>
    <w:qFormat/>
    <w:rPr>
      <w:rFonts w:ascii="Times New Roman" w:hAnsi="Times New Roman"/>
    </w:rPr>
    <w:tblPr/>
  </w:style>
  <w:style w:type="table" w:styleId="926" w:customStyle="1">
    <w:name w:val="Bordered - Accent 6"/>
    <w:basedOn w:val="713"/>
    <w:uiPriority w:val="99"/>
    <w:qFormat/>
    <w:rPr>
      <w:rFonts w:ascii="Times New Roman" w:hAnsi="Times New Roman"/>
    </w:rPr>
    <w:tblPr/>
  </w:style>
  <w:style w:type="table" w:styleId="927" w:customStyle="1">
    <w:name w:val="List Table 7 Colorful - Accent 3"/>
    <w:basedOn w:val="713"/>
    <w:uiPriority w:val="99"/>
    <w:qFormat/>
    <w:rPr>
      <w:rFonts w:ascii="Times New Roman" w:hAnsi="Times New Roman"/>
    </w:rPr>
    <w:tblPr/>
  </w:style>
  <w:style w:type="table" w:styleId="928" w:customStyle="1">
    <w:name w:val="List Table 1 Light - Accent 2"/>
    <w:basedOn w:val="713"/>
    <w:uiPriority w:val="99"/>
    <w:qFormat/>
    <w:rPr>
      <w:rFonts w:ascii="Times New Roman" w:hAnsi="Times New Roman"/>
    </w:rPr>
    <w:tblPr/>
  </w:style>
  <w:style w:type="table" w:styleId="929" w:customStyle="1">
    <w:name w:val="Grid Table 5 Dark - Accent 5"/>
    <w:basedOn w:val="713"/>
    <w:uiPriority w:val="99"/>
    <w:qFormat/>
    <w:rPr>
      <w:rFonts w:ascii="Times New Roman" w:hAnsi="Times New Roman"/>
    </w:rPr>
    <w:tblPr/>
  </w:style>
  <w:style w:type="table" w:styleId="930" w:customStyle="1">
    <w:name w:val="无格式表格 51_0"/>
    <w:basedOn w:val="713"/>
    <w:uiPriority w:val="99"/>
    <w:qFormat/>
    <w:rPr>
      <w:rFonts w:ascii="Times New Roman" w:hAnsi="Times New Roman"/>
    </w:rPr>
    <w:tblPr/>
  </w:style>
  <w:style w:type="table" w:styleId="931" w:customStyle="1">
    <w:name w:val="List Table 7 Colorful - Accent 4"/>
    <w:basedOn w:val="713"/>
    <w:uiPriority w:val="99"/>
    <w:qFormat/>
    <w:rPr>
      <w:rFonts w:ascii="Times New Roman" w:hAnsi="Times New Roman"/>
    </w:rPr>
    <w:tblPr/>
  </w:style>
  <w:style w:type="table" w:styleId="932" w:customStyle="1">
    <w:name w:val="List Table 2 - Accent 1"/>
    <w:basedOn w:val="713"/>
    <w:uiPriority w:val="99"/>
    <w:qFormat/>
    <w:rPr>
      <w:rFonts w:ascii="Times New Roman" w:hAnsi="Times New Roman"/>
    </w:rPr>
    <w:tblPr/>
  </w:style>
  <w:style w:type="table" w:styleId="933" w:customStyle="1">
    <w:name w:val="Grid Table 5 Dark- Accent 1"/>
    <w:basedOn w:val="713"/>
    <w:uiPriority w:val="99"/>
    <w:qFormat/>
    <w:rPr>
      <w:rFonts w:ascii="Times New Roman" w:hAnsi="Times New Roman"/>
    </w:rPr>
    <w:tblPr/>
  </w:style>
  <w:style w:type="table" w:styleId="934" w:customStyle="1">
    <w:name w:val="网格表 1 浅色1_0"/>
    <w:basedOn w:val="713"/>
    <w:uiPriority w:val="99"/>
    <w:qFormat/>
    <w:rPr>
      <w:rFonts w:ascii="Times New Roman" w:hAnsi="Times New Roman"/>
    </w:rPr>
    <w:tblPr/>
  </w:style>
  <w:style w:type="table" w:styleId="935" w:customStyle="1">
    <w:name w:val="Bordered - Accent 1"/>
    <w:basedOn w:val="713"/>
    <w:uiPriority w:val="99"/>
    <w:qFormat/>
    <w:rPr>
      <w:rFonts w:ascii="Times New Roman" w:hAnsi="Times New Roman"/>
    </w:rPr>
    <w:tblPr/>
  </w:style>
  <w:style w:type="table" w:styleId="936" w:customStyle="1">
    <w:name w:val="List Table 6 Colorful - Accent 1"/>
    <w:basedOn w:val="713"/>
    <w:uiPriority w:val="99"/>
    <w:qFormat/>
    <w:rPr>
      <w:rFonts w:ascii="Times New Roman" w:hAnsi="Times New Roman"/>
    </w:rPr>
    <w:tblPr/>
  </w:style>
  <w:style w:type="table" w:styleId="937" w:customStyle="1">
    <w:name w:val="List Table 1 Light - Accent 6"/>
    <w:basedOn w:val="713"/>
    <w:uiPriority w:val="99"/>
    <w:qFormat/>
    <w:rPr>
      <w:rFonts w:ascii="Times New Roman" w:hAnsi="Times New Roman"/>
    </w:rPr>
    <w:tblPr/>
  </w:style>
  <w:style w:type="table" w:styleId="938" w:customStyle="1">
    <w:name w:val="Grid Table 2 - Accent 1"/>
    <w:basedOn w:val="713"/>
    <w:uiPriority w:val="99"/>
    <w:qFormat/>
    <w:rPr>
      <w:rFonts w:ascii="Times New Roman" w:hAnsi="Times New Roman"/>
    </w:rPr>
    <w:tblPr/>
  </w:style>
  <w:style w:type="table" w:styleId="939" w:customStyle="1">
    <w:name w:val="Grid Table 1 Light - Accent 1"/>
    <w:basedOn w:val="713"/>
    <w:uiPriority w:val="99"/>
    <w:qFormat/>
    <w:rPr>
      <w:rFonts w:ascii="Times New Roman" w:hAnsi="Times New Roman"/>
    </w:rPr>
    <w:tblPr/>
  </w:style>
  <w:style w:type="table" w:styleId="940" w:customStyle="1">
    <w:name w:val="List Table 7 Colorful - Accent 1"/>
    <w:basedOn w:val="713"/>
    <w:uiPriority w:val="99"/>
    <w:qFormat/>
    <w:rPr>
      <w:rFonts w:ascii="Times New Roman" w:hAnsi="Times New Roman"/>
    </w:rPr>
    <w:tblPr/>
  </w:style>
  <w:style w:type="table" w:styleId="941" w:customStyle="1">
    <w:name w:val="List Table 2 - Accent 5"/>
    <w:basedOn w:val="713"/>
    <w:uiPriority w:val="99"/>
    <w:qFormat/>
    <w:rPr>
      <w:rFonts w:ascii="Times New Roman" w:hAnsi="Times New Roman"/>
    </w:rPr>
    <w:tblPr/>
  </w:style>
  <w:style w:type="table" w:styleId="942" w:customStyle="1">
    <w:name w:val="Grid Table 5 Dark- Accent 4"/>
    <w:basedOn w:val="713"/>
    <w:uiPriority w:val="99"/>
    <w:qFormat/>
    <w:rPr>
      <w:rFonts w:ascii="Times New Roman" w:hAnsi="Times New Roman"/>
    </w:rPr>
    <w:tblPr/>
  </w:style>
  <w:style w:type="table" w:styleId="943" w:customStyle="1">
    <w:name w:val="Grid Table 1 Light - Accent 2"/>
    <w:basedOn w:val="713"/>
    <w:uiPriority w:val="99"/>
    <w:qFormat/>
    <w:rPr>
      <w:rFonts w:ascii="Times New Roman" w:hAnsi="Times New Roman"/>
    </w:rPr>
    <w:tblPr/>
  </w:style>
  <w:style w:type="table" w:styleId="944" w:customStyle="1">
    <w:name w:val="Bordered - Accent 5"/>
    <w:basedOn w:val="713"/>
    <w:uiPriority w:val="99"/>
    <w:qFormat/>
    <w:rPr>
      <w:rFonts w:ascii="Times New Roman" w:hAnsi="Times New Roman"/>
    </w:rPr>
    <w:tblPr/>
  </w:style>
  <w:style w:type="table" w:styleId="945" w:customStyle="1">
    <w:name w:val="List Table 7 Colorful - Accent 2"/>
    <w:basedOn w:val="713"/>
    <w:uiPriority w:val="99"/>
    <w:qFormat/>
    <w:rPr>
      <w:rFonts w:ascii="Times New Roman" w:hAnsi="Times New Roman"/>
    </w:rPr>
    <w:tblPr/>
  </w:style>
  <w:style w:type="table" w:styleId="946" w:customStyle="1">
    <w:name w:val="List Table 3 - Accent 1"/>
    <w:basedOn w:val="713"/>
    <w:uiPriority w:val="99"/>
    <w:qFormat/>
    <w:rPr>
      <w:rFonts w:ascii="Times New Roman" w:hAnsi="Times New Roman"/>
    </w:rPr>
    <w:tblPr/>
  </w:style>
  <w:style w:type="table" w:styleId="947" w:customStyle="1">
    <w:name w:val="Grid Table 1 Light - Accent 6"/>
    <w:basedOn w:val="713"/>
    <w:uiPriority w:val="99"/>
    <w:qFormat/>
    <w:rPr>
      <w:rFonts w:ascii="Times New Roman" w:hAnsi="Times New Roman"/>
    </w:rPr>
    <w:tblPr/>
  </w:style>
  <w:style w:type="table" w:styleId="948" w:customStyle="1">
    <w:name w:val="Grid Table 1 Light - Accent 3"/>
    <w:basedOn w:val="713"/>
    <w:uiPriority w:val="99"/>
    <w:qFormat/>
    <w:rPr>
      <w:rFonts w:ascii="Times New Roman" w:hAnsi="Times New Roman"/>
    </w:rPr>
    <w:tblPr/>
  </w:style>
  <w:style w:type="table" w:styleId="949" w:customStyle="1">
    <w:name w:val="Bordered &amp; Lined - Accent 2"/>
    <w:basedOn w:val="713"/>
    <w:uiPriority w:val="99"/>
    <w:qFormat/>
    <w:rPr>
      <w:rFonts w:ascii="Times New Roman" w:hAnsi="Times New Roman"/>
      <w:color w:val="404040"/>
    </w:rPr>
    <w:tblPr/>
  </w:style>
  <w:style w:type="table" w:styleId="950" w:customStyle="1">
    <w:name w:val="List Table 6 Colorful - Accent 6"/>
    <w:basedOn w:val="713"/>
    <w:uiPriority w:val="99"/>
    <w:qFormat/>
    <w:rPr>
      <w:rFonts w:ascii="Times New Roman" w:hAnsi="Times New Roman"/>
    </w:rPr>
    <w:tblPr/>
  </w:style>
  <w:style w:type="table" w:styleId="951" w:customStyle="1">
    <w:name w:val="List Table 3 - Accent 4"/>
    <w:basedOn w:val="713"/>
    <w:uiPriority w:val="99"/>
    <w:qFormat/>
    <w:rPr>
      <w:rFonts w:ascii="Times New Roman" w:hAnsi="Times New Roman"/>
    </w:rPr>
    <w:tblPr/>
  </w:style>
  <w:style w:type="table" w:styleId="952" w:customStyle="1">
    <w:name w:val="Grid Table 1 Light - Accent 4"/>
    <w:basedOn w:val="713"/>
    <w:uiPriority w:val="99"/>
    <w:qFormat/>
    <w:rPr>
      <w:rFonts w:ascii="Times New Roman" w:hAnsi="Times New Roman"/>
    </w:rPr>
    <w:tblPr/>
  </w:style>
  <w:style w:type="table" w:styleId="953" w:customStyle="1">
    <w:name w:val="Lined - Accent 2"/>
    <w:basedOn w:val="713"/>
    <w:uiPriority w:val="99"/>
    <w:qFormat/>
    <w:rPr>
      <w:rFonts w:ascii="Times New Roman" w:hAnsi="Times New Roman"/>
      <w:color w:val="404040"/>
    </w:rPr>
    <w:tblPr/>
  </w:style>
  <w:style w:type="table" w:styleId="954" w:customStyle="1">
    <w:name w:val="List Table 5 Dark - Accent 1"/>
    <w:basedOn w:val="713"/>
    <w:uiPriority w:val="99"/>
    <w:qFormat/>
    <w:rPr>
      <w:rFonts w:ascii="Times New Roman" w:hAnsi="Times New Roman"/>
    </w:rPr>
    <w:tblPr/>
  </w:style>
  <w:style w:type="table" w:styleId="955" w:customStyle="1">
    <w:name w:val="Grid Table 7 Colorful - Accent 3"/>
    <w:basedOn w:val="713"/>
    <w:uiPriority w:val="99"/>
    <w:qFormat/>
    <w:rPr>
      <w:rFonts w:ascii="Times New Roman" w:hAnsi="Times New Roman"/>
    </w:rPr>
    <w:tblPr/>
  </w:style>
  <w:style w:type="table" w:styleId="956" w:customStyle="1">
    <w:name w:val="Grid Table 1 Light - Accent 5"/>
    <w:basedOn w:val="713"/>
    <w:uiPriority w:val="99"/>
    <w:qFormat/>
    <w:rPr>
      <w:rFonts w:ascii="Times New Roman" w:hAnsi="Times New Roman"/>
    </w:rPr>
    <w:tblPr/>
  </w:style>
  <w:style w:type="table" w:styleId="957" w:customStyle="1">
    <w:name w:val="Lined - Accent 5"/>
    <w:basedOn w:val="713"/>
    <w:uiPriority w:val="99"/>
    <w:qFormat/>
    <w:rPr>
      <w:rFonts w:ascii="Times New Roman" w:hAnsi="Times New Roman"/>
      <w:color w:val="404040"/>
    </w:rPr>
    <w:tblPr/>
  </w:style>
  <w:style w:type="table" w:styleId="958" w:customStyle="1">
    <w:name w:val="List Table 4 - Accent 3"/>
    <w:basedOn w:val="713"/>
    <w:uiPriority w:val="99"/>
    <w:qFormat/>
    <w:rPr>
      <w:rFonts w:ascii="Times New Roman" w:hAnsi="Times New Roman"/>
    </w:rPr>
    <w:tblPr/>
  </w:style>
  <w:style w:type="table" w:styleId="959" w:customStyle="1">
    <w:name w:val="Grid Table 7 Colorful - Accent 4"/>
    <w:basedOn w:val="713"/>
    <w:uiPriority w:val="99"/>
    <w:qFormat/>
    <w:rPr>
      <w:rFonts w:ascii="Times New Roman" w:hAnsi="Times New Roman"/>
    </w:rPr>
    <w:tblPr/>
  </w:style>
  <w:style w:type="table" w:styleId="960" w:customStyle="1">
    <w:name w:val="网格表 21_0"/>
    <w:basedOn w:val="713"/>
    <w:uiPriority w:val="99"/>
    <w:qFormat/>
    <w:rPr>
      <w:rFonts w:ascii="Times New Roman" w:hAnsi="Times New Roman"/>
    </w:rPr>
    <w:tblPr/>
  </w:style>
  <w:style w:type="table" w:styleId="961" w:customStyle="1">
    <w:name w:val="清单表 7 彩色1_0"/>
    <w:basedOn w:val="713"/>
    <w:uiPriority w:val="99"/>
    <w:qFormat/>
    <w:rPr>
      <w:rFonts w:ascii="Times New Roman" w:hAnsi="Times New Roman"/>
    </w:rPr>
    <w:tblPr/>
  </w:style>
  <w:style w:type="table" w:styleId="962" w:customStyle="1">
    <w:name w:val="Grid Table 6 Colorful - Accent 3"/>
    <w:basedOn w:val="713"/>
    <w:uiPriority w:val="99"/>
    <w:qFormat/>
    <w:rPr>
      <w:rFonts w:ascii="Times New Roman" w:hAnsi="Times New Roman"/>
    </w:rPr>
    <w:tblPr/>
  </w:style>
  <w:style w:type="table" w:styleId="963" w:customStyle="1">
    <w:name w:val="Grid Table 2 - Accent 2"/>
    <w:basedOn w:val="713"/>
    <w:uiPriority w:val="99"/>
    <w:qFormat/>
    <w:rPr>
      <w:rFonts w:ascii="Times New Roman" w:hAnsi="Times New Roman"/>
    </w:rPr>
    <w:tblPr/>
  </w:style>
  <w:style w:type="table" w:styleId="964" w:customStyle="1">
    <w:name w:val="List Table 4 - Accent 1"/>
    <w:basedOn w:val="713"/>
    <w:uiPriority w:val="99"/>
    <w:qFormat/>
    <w:rPr>
      <w:rFonts w:ascii="Times New Roman" w:hAnsi="Times New Roman"/>
    </w:rPr>
    <w:tblPr/>
  </w:style>
  <w:style w:type="table" w:styleId="965" w:customStyle="1">
    <w:name w:val="Grid Table 6 Colorful - Accent 6"/>
    <w:basedOn w:val="713"/>
    <w:uiPriority w:val="99"/>
    <w:qFormat/>
    <w:rPr>
      <w:rFonts w:ascii="Times New Roman" w:hAnsi="Times New Roman"/>
    </w:rPr>
    <w:tblPr/>
  </w:style>
  <w:style w:type="table" w:styleId="966" w:customStyle="1">
    <w:name w:val="Grid Table 2 - Accent 4"/>
    <w:basedOn w:val="713"/>
    <w:uiPriority w:val="99"/>
    <w:qFormat/>
    <w:rPr>
      <w:rFonts w:ascii="Times New Roman" w:hAnsi="Times New Roman"/>
    </w:rPr>
    <w:tblPr/>
  </w:style>
  <w:style w:type="table" w:styleId="967" w:customStyle="1">
    <w:name w:val="Bordered &amp; Lined - Accent 5"/>
    <w:basedOn w:val="713"/>
    <w:uiPriority w:val="99"/>
    <w:qFormat/>
    <w:rPr>
      <w:rFonts w:ascii="Times New Roman" w:hAnsi="Times New Roman"/>
      <w:color w:val="404040"/>
    </w:rPr>
    <w:tblPr/>
  </w:style>
  <w:style w:type="table" w:styleId="968" w:customStyle="1">
    <w:name w:val="List Table 7 Colorful - Accent 6"/>
    <w:basedOn w:val="713"/>
    <w:uiPriority w:val="99"/>
    <w:qFormat/>
    <w:rPr>
      <w:rFonts w:ascii="Times New Roman" w:hAnsi="Times New Roman"/>
    </w:rPr>
    <w:tblPr/>
  </w:style>
  <w:style w:type="table" w:styleId="969" w:customStyle="1">
    <w:name w:val="Grid Table 6 Colorful - Accent 5"/>
    <w:basedOn w:val="713"/>
    <w:uiPriority w:val="99"/>
    <w:qFormat/>
    <w:rPr>
      <w:rFonts w:ascii="Times New Roman" w:hAnsi="Times New Roman"/>
    </w:rPr>
    <w:tblPr/>
  </w:style>
  <w:style w:type="table" w:styleId="970" w:customStyle="1">
    <w:name w:val="Grid Table 2 - Accent 5"/>
    <w:basedOn w:val="713"/>
    <w:uiPriority w:val="99"/>
    <w:qFormat/>
    <w:rPr>
      <w:rFonts w:ascii="Times New Roman" w:hAnsi="Times New Roman"/>
    </w:rPr>
    <w:tblPr/>
  </w:style>
  <w:style w:type="table" w:styleId="971" w:customStyle="1">
    <w:name w:val="Lined - Accent 4"/>
    <w:basedOn w:val="713"/>
    <w:uiPriority w:val="99"/>
    <w:qFormat/>
    <w:rPr>
      <w:rFonts w:ascii="Times New Roman" w:hAnsi="Times New Roman"/>
      <w:color w:val="404040"/>
    </w:rPr>
    <w:tblPr/>
  </w:style>
  <w:style w:type="table" w:styleId="972" w:customStyle="1">
    <w:name w:val="List Table 4 - Accent 5"/>
    <w:basedOn w:val="713"/>
    <w:uiPriority w:val="99"/>
    <w:qFormat/>
    <w:rPr>
      <w:rFonts w:ascii="Times New Roman" w:hAnsi="Times New Roman"/>
    </w:rPr>
    <w:tblPr/>
  </w:style>
  <w:style w:type="table" w:styleId="973" w:customStyle="1">
    <w:name w:val="Grid Table 6 Colorful - Accent 1"/>
    <w:basedOn w:val="713"/>
    <w:uiPriority w:val="99"/>
    <w:qFormat/>
    <w:rPr>
      <w:rFonts w:ascii="Times New Roman" w:hAnsi="Times New Roman"/>
    </w:rPr>
    <w:tblPr/>
  </w:style>
  <w:style w:type="table" w:styleId="974" w:customStyle="1">
    <w:name w:val="网格表 31_0"/>
    <w:basedOn w:val="713"/>
    <w:uiPriority w:val="99"/>
    <w:qFormat/>
    <w:rPr>
      <w:rFonts w:ascii="Times New Roman" w:hAnsi="Times New Roman"/>
    </w:rPr>
    <w:tblPr/>
  </w:style>
  <w:style w:type="table" w:styleId="975" w:customStyle="1">
    <w:name w:val="List Table 5 Dark - Accent 6"/>
    <w:basedOn w:val="713"/>
    <w:uiPriority w:val="99"/>
    <w:qFormat/>
    <w:rPr>
      <w:rFonts w:ascii="Times New Roman" w:hAnsi="Times New Roman"/>
    </w:rPr>
    <w:tblPr/>
  </w:style>
  <w:style w:type="table" w:styleId="976" w:customStyle="1">
    <w:name w:val="List Table 2 - Accent 6"/>
    <w:basedOn w:val="713"/>
    <w:uiPriority w:val="99"/>
    <w:qFormat/>
    <w:rPr>
      <w:rFonts w:ascii="Times New Roman" w:hAnsi="Times New Roman"/>
    </w:rPr>
    <w:tblPr/>
  </w:style>
  <w:style w:type="table" w:styleId="977" w:customStyle="1">
    <w:name w:val="Grid Table 3 - Accent 1"/>
    <w:basedOn w:val="713"/>
    <w:uiPriority w:val="99"/>
    <w:qFormat/>
    <w:rPr>
      <w:rFonts w:ascii="Times New Roman" w:hAnsi="Times New Roman"/>
    </w:rPr>
    <w:tblPr/>
  </w:style>
  <w:style w:type="table" w:styleId="978" w:customStyle="1">
    <w:name w:val="List Table 3 - Accent 6"/>
    <w:basedOn w:val="713"/>
    <w:uiPriority w:val="99"/>
    <w:qFormat/>
    <w:rPr>
      <w:rFonts w:ascii="Times New Roman" w:hAnsi="Times New Roman"/>
    </w:rPr>
    <w:tblPr/>
  </w:style>
  <w:style w:type="table" w:styleId="979" w:customStyle="1">
    <w:name w:val="清单表 21_0"/>
    <w:basedOn w:val="713"/>
    <w:uiPriority w:val="99"/>
    <w:qFormat/>
    <w:rPr>
      <w:rFonts w:ascii="Times New Roman" w:hAnsi="Times New Roman"/>
    </w:rPr>
    <w:tblPr/>
  </w:style>
  <w:style w:type="table" w:styleId="980" w:customStyle="1">
    <w:name w:val="Grid Table 3 - Accent 2"/>
    <w:basedOn w:val="713"/>
    <w:uiPriority w:val="99"/>
    <w:qFormat/>
    <w:rPr>
      <w:rFonts w:ascii="Times New Roman" w:hAnsi="Times New Roman"/>
    </w:rPr>
    <w:tblPr/>
  </w:style>
  <w:style w:type="table" w:styleId="981" w:customStyle="1">
    <w:name w:val="Bordered &amp; Lined - Accent 6"/>
    <w:basedOn w:val="713"/>
    <w:uiPriority w:val="99"/>
    <w:qFormat/>
    <w:rPr>
      <w:rFonts w:ascii="Times New Roman" w:hAnsi="Times New Roman"/>
      <w:color w:val="404040"/>
    </w:rPr>
    <w:tblPr/>
  </w:style>
  <w:style w:type="table" w:styleId="982" w:customStyle="1">
    <w:name w:val="List Table 5 Dark - Accent 3"/>
    <w:basedOn w:val="713"/>
    <w:uiPriority w:val="99"/>
    <w:qFormat/>
    <w:rPr>
      <w:rFonts w:ascii="Times New Roman" w:hAnsi="Times New Roman"/>
    </w:rPr>
    <w:tblPr/>
  </w:style>
  <w:style w:type="table" w:styleId="983" w:customStyle="1">
    <w:name w:val="List Table 1 Light - Accent 5"/>
    <w:basedOn w:val="713"/>
    <w:uiPriority w:val="99"/>
    <w:qFormat/>
    <w:rPr>
      <w:rFonts w:ascii="Times New Roman" w:hAnsi="Times New Roman"/>
    </w:rPr>
    <w:tblPr/>
  </w:style>
  <w:style w:type="table" w:styleId="984" w:customStyle="1">
    <w:name w:val="Grid Table 3 - Accent 3"/>
    <w:basedOn w:val="713"/>
    <w:uiPriority w:val="99"/>
    <w:qFormat/>
    <w:rPr>
      <w:rFonts w:ascii="Times New Roman" w:hAnsi="Times New Roman"/>
    </w:rPr>
    <w:tblPr/>
  </w:style>
  <w:style w:type="table" w:styleId="985" w:customStyle="1">
    <w:name w:val="Bordered &amp; Lined - Accent"/>
    <w:basedOn w:val="713"/>
    <w:uiPriority w:val="99"/>
    <w:qFormat/>
    <w:rPr>
      <w:rFonts w:ascii="Times New Roman" w:hAnsi="Times New Roman"/>
      <w:color w:val="404040"/>
    </w:rPr>
    <w:tblPr/>
  </w:style>
  <w:style w:type="table" w:styleId="986" w:customStyle="1">
    <w:name w:val="List Table 4 - Accent 6"/>
    <w:basedOn w:val="713"/>
    <w:uiPriority w:val="99"/>
    <w:qFormat/>
    <w:rPr>
      <w:rFonts w:ascii="Times New Roman" w:hAnsi="Times New Roman"/>
    </w:rPr>
    <w:tblPr/>
  </w:style>
  <w:style w:type="table" w:styleId="987" w:customStyle="1">
    <w:name w:val="List Table 3 - Accent 2"/>
    <w:basedOn w:val="713"/>
    <w:uiPriority w:val="99"/>
    <w:qFormat/>
    <w:rPr>
      <w:rFonts w:ascii="Times New Roman" w:hAnsi="Times New Roman"/>
    </w:rPr>
    <w:tblPr/>
  </w:style>
  <w:style w:type="table" w:styleId="988" w:customStyle="1">
    <w:name w:val="Grid Table 3 - Accent 4"/>
    <w:basedOn w:val="713"/>
    <w:uiPriority w:val="99"/>
    <w:qFormat/>
    <w:rPr>
      <w:rFonts w:ascii="Times New Roman" w:hAnsi="Times New Roman"/>
    </w:rPr>
    <w:tblPr/>
  </w:style>
  <w:style w:type="table" w:styleId="989" w:customStyle="1">
    <w:name w:val="Bordered - Accent 2"/>
    <w:basedOn w:val="713"/>
    <w:uiPriority w:val="99"/>
    <w:qFormat/>
    <w:rPr>
      <w:rFonts w:ascii="Times New Roman" w:hAnsi="Times New Roman"/>
    </w:rPr>
    <w:tblPr/>
  </w:style>
  <w:style w:type="table" w:styleId="990" w:customStyle="1">
    <w:name w:val="Lined - Accent 1"/>
    <w:basedOn w:val="713"/>
    <w:uiPriority w:val="99"/>
    <w:qFormat/>
    <w:rPr>
      <w:rFonts w:ascii="Times New Roman" w:hAnsi="Times New Roman"/>
      <w:color w:val="404040"/>
    </w:rPr>
    <w:tblPr/>
  </w:style>
  <w:style w:type="table" w:styleId="991" w:customStyle="1">
    <w:name w:val="List Table 2 - Accent 4"/>
    <w:basedOn w:val="713"/>
    <w:uiPriority w:val="99"/>
    <w:qFormat/>
    <w:rPr>
      <w:rFonts w:ascii="Times New Roman" w:hAnsi="Times New Roman"/>
    </w:rPr>
    <w:tblPr/>
  </w:style>
  <w:style w:type="table" w:styleId="992" w:customStyle="1">
    <w:name w:val="Grid Table 3 - Accent 5"/>
    <w:basedOn w:val="713"/>
    <w:uiPriority w:val="99"/>
    <w:qFormat/>
    <w:rPr>
      <w:rFonts w:ascii="Times New Roman" w:hAnsi="Times New Roman"/>
    </w:rPr>
    <w:tblPr/>
  </w:style>
  <w:style w:type="table" w:styleId="993" w:customStyle="1">
    <w:name w:val="List Table 6 Colorful - Accent 3"/>
    <w:basedOn w:val="713"/>
    <w:uiPriority w:val="99"/>
    <w:qFormat/>
    <w:rPr>
      <w:rFonts w:ascii="Times New Roman" w:hAnsi="Times New Roman"/>
    </w:rPr>
    <w:tblPr/>
  </w:style>
  <w:style w:type="table" w:styleId="994" w:customStyle="1">
    <w:name w:val="Grid Table 6 Colorful - Accent 4"/>
    <w:basedOn w:val="713"/>
    <w:uiPriority w:val="99"/>
    <w:qFormat/>
    <w:rPr>
      <w:rFonts w:ascii="Times New Roman" w:hAnsi="Times New Roman"/>
    </w:rPr>
    <w:tblPr/>
  </w:style>
  <w:style w:type="table" w:styleId="995" w:customStyle="1">
    <w:name w:val="Grid Table 3 - Accent 6"/>
    <w:basedOn w:val="713"/>
    <w:uiPriority w:val="99"/>
    <w:qFormat/>
    <w:rPr>
      <w:rFonts w:ascii="Times New Roman" w:hAnsi="Times New Roman"/>
    </w:rPr>
    <w:tblPr/>
  </w:style>
  <w:style w:type="table" w:styleId="996" w:customStyle="1">
    <w:name w:val="Bordered &amp; Lined - Accent 4"/>
    <w:basedOn w:val="713"/>
    <w:uiPriority w:val="99"/>
    <w:qFormat/>
    <w:rPr>
      <w:rFonts w:ascii="Times New Roman" w:hAnsi="Times New Roman"/>
      <w:color w:val="404040"/>
    </w:rPr>
    <w:tblPr/>
  </w:style>
  <w:style w:type="table" w:styleId="997" w:customStyle="1">
    <w:name w:val="List Table 3 - Accent 5"/>
    <w:basedOn w:val="713"/>
    <w:uiPriority w:val="99"/>
    <w:qFormat/>
    <w:rPr>
      <w:rFonts w:ascii="Times New Roman" w:hAnsi="Times New Roman"/>
    </w:rPr>
    <w:tblPr/>
  </w:style>
  <w:style w:type="table" w:styleId="998" w:customStyle="1">
    <w:name w:val="List Table 1 Light - Accent 4"/>
    <w:basedOn w:val="713"/>
    <w:uiPriority w:val="99"/>
    <w:qFormat/>
    <w:rPr>
      <w:rFonts w:ascii="Times New Roman" w:hAnsi="Times New Roman"/>
    </w:rPr>
    <w:tblPr/>
  </w:style>
  <w:style w:type="table" w:styleId="999" w:customStyle="1">
    <w:name w:val="网格表 41_0"/>
    <w:basedOn w:val="713"/>
    <w:uiPriority w:val="59"/>
    <w:qFormat/>
    <w:rPr>
      <w:rFonts w:ascii="Times New Roman" w:hAnsi="Times New Roman"/>
    </w:rPr>
    <w:tblPr/>
  </w:style>
  <w:style w:type="table" w:styleId="1000" w:customStyle="1">
    <w:name w:val="Lined - Accent 6"/>
    <w:basedOn w:val="713"/>
    <w:uiPriority w:val="99"/>
    <w:qFormat/>
    <w:rPr>
      <w:rFonts w:ascii="Times New Roman" w:hAnsi="Times New Roman"/>
      <w:color w:val="404040"/>
    </w:rPr>
    <w:tblPr/>
  </w:style>
  <w:style w:type="table" w:styleId="1001" w:customStyle="1">
    <w:name w:val="List Table 6 Colorful - Accent 2"/>
    <w:basedOn w:val="713"/>
    <w:uiPriority w:val="99"/>
    <w:qFormat/>
    <w:rPr>
      <w:rFonts w:ascii="Times New Roman" w:hAnsi="Times New Roman"/>
    </w:rPr>
    <w:tblPr/>
  </w:style>
  <w:style w:type="table" w:styleId="1002" w:customStyle="1">
    <w:name w:val="Grid Table 7 Colorful - Accent 6"/>
    <w:basedOn w:val="713"/>
    <w:uiPriority w:val="99"/>
    <w:qFormat/>
    <w:rPr>
      <w:rFonts w:ascii="Times New Roman" w:hAnsi="Times New Roman"/>
    </w:rPr>
    <w:tblPr/>
  </w:style>
  <w:style w:type="table" w:styleId="1003" w:customStyle="1">
    <w:name w:val="Grid Table 4 - Accent 1"/>
    <w:basedOn w:val="713"/>
    <w:uiPriority w:val="59"/>
    <w:qFormat/>
    <w:rPr>
      <w:rFonts w:ascii="Times New Roman" w:hAnsi="Times New Roman"/>
    </w:rPr>
    <w:tblPr/>
  </w:style>
  <w:style w:type="table" w:styleId="1004" w:customStyle="1">
    <w:name w:val="Lined - Accent 3"/>
    <w:basedOn w:val="713"/>
    <w:uiPriority w:val="99"/>
    <w:qFormat/>
    <w:rPr>
      <w:rFonts w:ascii="Times New Roman" w:hAnsi="Times New Roman"/>
      <w:color w:val="404040"/>
    </w:rPr>
    <w:tblPr/>
  </w:style>
  <w:style w:type="table" w:styleId="1005" w:customStyle="1">
    <w:name w:val="List Table 4 - Accent 4"/>
    <w:basedOn w:val="713"/>
    <w:uiPriority w:val="99"/>
    <w:qFormat/>
    <w:rPr>
      <w:rFonts w:ascii="Times New Roman" w:hAnsi="Times New Roman"/>
    </w:rPr>
    <w:tblPr/>
  </w:style>
  <w:style w:type="table" w:styleId="1006" w:customStyle="1">
    <w:name w:val="清单表 31_0"/>
    <w:basedOn w:val="713"/>
    <w:uiPriority w:val="99"/>
    <w:qFormat/>
    <w:rPr>
      <w:rFonts w:ascii="Times New Roman" w:hAnsi="Times New Roman"/>
    </w:rPr>
    <w:tblPr/>
  </w:style>
  <w:style w:type="table" w:styleId="1007" w:customStyle="1">
    <w:name w:val="Grid Table 4 - Accent 2"/>
    <w:basedOn w:val="713"/>
    <w:uiPriority w:val="59"/>
    <w:qFormat/>
    <w:rPr>
      <w:rFonts w:ascii="Times New Roman" w:hAnsi="Times New Roman"/>
    </w:rPr>
    <w:tblPr/>
  </w:style>
  <w:style w:type="table" w:styleId="1008" w:customStyle="1">
    <w:name w:val="Bordered"/>
    <w:basedOn w:val="713"/>
    <w:uiPriority w:val="99"/>
    <w:qFormat/>
    <w:rPr>
      <w:rFonts w:ascii="Times New Roman" w:hAnsi="Times New Roman"/>
    </w:rPr>
    <w:tblPr/>
  </w:style>
  <w:style w:type="table" w:styleId="1009" w:customStyle="1">
    <w:name w:val="List Table 5 Dark - Accent 4"/>
    <w:basedOn w:val="713"/>
    <w:uiPriority w:val="99"/>
    <w:qFormat/>
    <w:rPr>
      <w:rFonts w:ascii="Times New Roman" w:hAnsi="Times New Roman"/>
    </w:rPr>
    <w:tblPr/>
  </w:style>
  <w:style w:type="table" w:styleId="1010" w:customStyle="1">
    <w:name w:val="List Table 3 - Accent 3"/>
    <w:basedOn w:val="713"/>
    <w:uiPriority w:val="99"/>
    <w:qFormat/>
    <w:rPr>
      <w:rFonts w:ascii="Times New Roman" w:hAnsi="Times New Roman"/>
    </w:rPr>
    <w:tblPr/>
  </w:style>
  <w:style w:type="table" w:styleId="1011" w:customStyle="1">
    <w:name w:val="Grid Table 4 - Accent 4"/>
    <w:basedOn w:val="713"/>
    <w:uiPriority w:val="59"/>
    <w:qFormat/>
    <w:rPr>
      <w:rFonts w:ascii="Times New Roman" w:hAnsi="Times New Roman"/>
    </w:rPr>
    <w:tblPr/>
  </w:style>
  <w:style w:type="table" w:styleId="1012" w:customStyle="1">
    <w:name w:val="List Table 6 Colorful - Accent 4"/>
    <w:basedOn w:val="713"/>
    <w:uiPriority w:val="99"/>
    <w:qFormat/>
    <w:rPr>
      <w:rFonts w:ascii="Times New Roman" w:hAnsi="Times New Roman"/>
    </w:rPr>
    <w:tblPr/>
  </w:style>
  <w:style w:type="table" w:styleId="1013" w:customStyle="1">
    <w:name w:val="Grid Table 7 Colorful - Accent 2"/>
    <w:basedOn w:val="713"/>
    <w:uiPriority w:val="99"/>
    <w:qFormat/>
    <w:rPr>
      <w:rFonts w:ascii="Times New Roman" w:hAnsi="Times New Roman"/>
    </w:rPr>
    <w:tblPr/>
  </w:style>
  <w:style w:type="table" w:styleId="1014" w:customStyle="1">
    <w:name w:val="Grid Table 4 - Accent 5"/>
    <w:basedOn w:val="713"/>
    <w:uiPriority w:val="59"/>
    <w:qFormat/>
    <w:rPr>
      <w:rFonts w:ascii="Times New Roman" w:hAnsi="Times New Roman"/>
    </w:rPr>
    <w:tblPr/>
  </w:style>
  <w:style w:type="table" w:styleId="1015" w:customStyle="1">
    <w:name w:val="List Table 6 Colorful - Accent 5"/>
    <w:basedOn w:val="713"/>
    <w:uiPriority w:val="99"/>
    <w:qFormat/>
    <w:rPr>
      <w:rFonts w:ascii="Times New Roman" w:hAnsi="Times New Roman"/>
    </w:rPr>
    <w:tblPr/>
  </w:style>
  <w:style w:type="table" w:styleId="1016" w:customStyle="1">
    <w:name w:val="List Table 1 Light - Accent 3"/>
    <w:basedOn w:val="713"/>
    <w:uiPriority w:val="99"/>
    <w:qFormat/>
    <w:rPr>
      <w:rFonts w:ascii="Times New Roman" w:hAnsi="Times New Roman"/>
    </w:rPr>
    <w:tblPr/>
  </w:style>
  <w:style w:type="table" w:styleId="1017" w:customStyle="1">
    <w:name w:val="Grid Table 4 - Accent 6"/>
    <w:basedOn w:val="713"/>
    <w:uiPriority w:val="59"/>
    <w:qFormat/>
    <w:rPr>
      <w:rFonts w:ascii="Times New Roman" w:hAnsi="Times New Roman"/>
    </w:rPr>
    <w:tblPr/>
  </w:style>
  <w:style w:type="table" w:styleId="1018" w:customStyle="1">
    <w:name w:val="List Table 7 Colorful - Accent 5"/>
    <w:basedOn w:val="713"/>
    <w:uiPriority w:val="99"/>
    <w:qFormat/>
    <w:rPr>
      <w:rFonts w:ascii="Times New Roman" w:hAnsi="Times New Roman"/>
    </w:rPr>
    <w:tblPr/>
  </w:style>
  <w:style w:type="table" w:styleId="1019" w:customStyle="1">
    <w:name w:val="List Table 2 - Accent 3"/>
    <w:basedOn w:val="713"/>
    <w:uiPriority w:val="99"/>
    <w:qFormat/>
    <w:rPr>
      <w:rFonts w:ascii="Times New Roman" w:hAnsi="Times New Roman"/>
    </w:rPr>
    <w:tblPr/>
  </w:style>
  <w:style w:type="table" w:styleId="1020" w:customStyle="1">
    <w:name w:val="Grid Table 5 Dark - Accent 6"/>
    <w:basedOn w:val="713"/>
    <w:uiPriority w:val="99"/>
    <w:qFormat/>
    <w:rPr>
      <w:rFonts w:ascii="Times New Roman" w:hAnsi="Times New Roman"/>
    </w:rPr>
    <w:tblPr/>
  </w:style>
  <w:style w:type="table" w:styleId="1021" w:customStyle="1">
    <w:name w:val="Bordered &amp; Lined - Accent 3"/>
    <w:basedOn w:val="713"/>
    <w:uiPriority w:val="99"/>
    <w:qFormat/>
    <w:rPr>
      <w:rFonts w:ascii="Times New Roman" w:hAnsi="Times New Roman"/>
      <w:color w:val="404040"/>
    </w:rPr>
    <w:tblPr/>
  </w:style>
  <w:style w:type="table" w:styleId="1022" w:customStyle="1">
    <w:name w:val="清单表 6 彩色1_0"/>
    <w:basedOn w:val="713"/>
    <w:uiPriority w:val="99"/>
    <w:qFormat/>
    <w:rPr>
      <w:rFonts w:ascii="Times New Roman" w:hAnsi="Times New Roman"/>
    </w:rPr>
    <w:tblPr/>
  </w:style>
  <w:style w:type="table" w:styleId="1023" w:customStyle="1">
    <w:name w:val="Grid Table 6 Colorful - Accent 2"/>
    <w:basedOn w:val="713"/>
    <w:uiPriority w:val="99"/>
    <w:qFormat/>
    <w:rPr>
      <w:rFonts w:ascii="Times New Roman" w:hAnsi="Times New Roman"/>
    </w:rPr>
    <w:tblPr/>
  </w:style>
  <w:style w:type="table" w:styleId="1024" w:customStyle="1">
    <w:name w:val="网格表 6 彩色1_0"/>
    <w:basedOn w:val="713"/>
    <w:uiPriority w:val="99"/>
    <w:qFormat/>
    <w:rPr>
      <w:rFonts w:ascii="Times New Roman" w:hAnsi="Times New Roman"/>
    </w:rPr>
    <w:tblPr/>
  </w:style>
  <w:style w:type="paragraph" w:styleId="1025" w:customStyle="1">
    <w:name w:val="首行缩进"/>
    <w:basedOn w:val="702"/>
    <w:uiPriority w:val="99"/>
    <w:qFormat/>
    <w:pPr>
      <w:ind w:firstLine="480"/>
      <w:spacing w:line="360" w:lineRule="auto"/>
    </w:pPr>
    <w:rPr>
      <w:rFonts w:ascii="Calibri" w:hAnsi="Calibri" w:eastAsia="微软雅黑"/>
      <w:sz w:val="24"/>
      <w:szCs w:val="22"/>
      <w:lang w:val="zh-CN"/>
    </w:rPr>
  </w:style>
  <w:style w:type="paragraph" w:styleId="1026" w:customStyle="1">
    <w:name w:val="索引 411"/>
    <w:basedOn w:val="702"/>
    <w:next w:val="702"/>
    <w:uiPriority w:val="99"/>
    <w:semiHidden/>
    <w:qFormat/>
    <w:pPr>
      <w:ind w:left="1260"/>
    </w:pPr>
    <w:rPr>
      <w:szCs w:val="22"/>
    </w:rPr>
  </w:style>
  <w:style w:type="paragraph" w:styleId="1027" w:customStyle="1">
    <w:name w:val="标题 31"/>
    <w:basedOn w:val="702"/>
    <w:next w:val="702"/>
    <w:link w:val="1047"/>
    <w:qFormat/>
    <w:pPr>
      <w:keepLines/>
      <w:keepNext/>
      <w:spacing w:before="260" w:after="260" w:line="416" w:lineRule="auto"/>
      <w:outlineLvl w:val="2"/>
    </w:pPr>
    <w:rPr>
      <w:b/>
      <w:bCs/>
      <w:sz w:val="32"/>
      <w:szCs w:val="32"/>
    </w:rPr>
  </w:style>
  <w:style w:type="paragraph" w:styleId="1028" w:customStyle="1">
    <w:name w:val="标题 5（有编号）（绿盟科技）"/>
    <w:basedOn w:val="702"/>
    <w:next w:val="702"/>
    <w:qFormat/>
    <w:pPr>
      <w:numPr>
        <w:ilvl w:val="4"/>
        <w:numId w:val="4"/>
      </w:numPr>
      <w:jc w:val="left"/>
      <w:keepLines/>
      <w:keepNext/>
      <w:spacing w:before="280" w:after="156" w:line="377" w:lineRule="auto"/>
      <w:outlineLvl w:val="4"/>
    </w:pPr>
    <w:rPr>
      <w:rFonts w:ascii="Arial" w:hAnsi="Arial" w:eastAsia="黑体"/>
      <w:b/>
      <w:sz w:val="24"/>
      <w:szCs w:val="28"/>
    </w:rPr>
  </w:style>
  <w:style w:type="paragraph" w:styleId="1029" w:customStyle="1">
    <w:name w:val="正文文本1"/>
    <w:basedOn w:val="702"/>
    <w:link w:val="1061"/>
    <w:qFormat/>
    <w:rPr>
      <w:rFonts w:ascii="楷体_GB2312" w:hAnsi="Arial" w:eastAsia="楷体_GB2312"/>
      <w:sz w:val="28"/>
      <w:szCs w:val="28"/>
    </w:rPr>
  </w:style>
  <w:style w:type="paragraph" w:styleId="1030" w:customStyle="1">
    <w:name w:val="4.1标准文件_字母编号列项（一级）"/>
    <w:next w:val="702"/>
    <w:qFormat/>
    <w:pPr>
      <w:jc w:val="both"/>
      <w:spacing w:line="360" w:lineRule="exact"/>
      <w:tabs>
        <w:tab w:val="left" w:pos="568" w:leader="none"/>
      </w:tabs>
    </w:pPr>
    <w:rPr>
      <w:rFonts w:ascii="Times New Roman" w:hAnsi="Times New Roman" w:cs="Times New Roman"/>
      <w:sz w:val="24"/>
      <w:szCs w:val="21"/>
    </w:rPr>
  </w:style>
  <w:style w:type="paragraph" w:styleId="1031" w:customStyle="1">
    <w:name w:val="修订2"/>
    <w:hidden/>
    <w:uiPriority w:val="99"/>
    <w:unhideWhenUsed/>
    <w:qFormat/>
    <w:rPr>
      <w:rFonts w:ascii="Times New Roman" w:hAnsi="Times New Roman"/>
      <w:sz w:val="21"/>
      <w:szCs w:val="21"/>
    </w:rPr>
  </w:style>
  <w:style w:type="paragraph" w:styleId="1032" w:customStyle="1">
    <w:name w:val="修订3"/>
    <w:hidden/>
    <w:uiPriority w:val="99"/>
    <w:unhideWhenUsed/>
    <w:qFormat/>
    <w:rPr>
      <w:rFonts w:ascii="Times New Roman" w:hAnsi="Times New Roman"/>
      <w:sz w:val="21"/>
      <w:szCs w:val="21"/>
    </w:rPr>
  </w:style>
  <w:style w:type="paragraph" w:styleId="1033" w:customStyle="1">
    <w:name w:val="纯文本1"/>
    <w:basedOn w:val="702"/>
    <w:link w:val="1034"/>
    <w:qFormat/>
    <w:rPr>
      <w:rFonts w:ascii="宋体" w:hAnsi="Courier New" w:cs="Courier New"/>
    </w:rPr>
  </w:style>
  <w:style w:type="character" w:styleId="1034" w:customStyle="1">
    <w:name w:val="纯文本 Char"/>
    <w:link w:val="1033"/>
    <w:qFormat/>
    <w:rPr>
      <w:rFonts w:ascii="宋体" w:hAnsi="Courier New" w:cs="Courier New"/>
      <w:sz w:val="21"/>
      <w:szCs w:val="21"/>
    </w:rPr>
  </w:style>
  <w:style w:type="paragraph" w:styleId="1035" w:customStyle="1">
    <w:name w:val="正文首行缩进 211"/>
    <w:basedOn w:val="1036"/>
    <w:next w:val="702"/>
    <w:qFormat/>
    <w:pPr>
      <w:ind w:left="0" w:firstLine="420"/>
      <w:spacing w:after="0" w:line="360" w:lineRule="auto"/>
    </w:pPr>
    <w:rPr>
      <w:rFonts w:ascii="宋体" w:hAnsi="宋体"/>
      <w:szCs w:val="20"/>
    </w:rPr>
  </w:style>
  <w:style w:type="paragraph" w:styleId="1036" w:customStyle="1">
    <w:name w:val="正文文本缩进11"/>
    <w:basedOn w:val="702"/>
    <w:next w:val="1037"/>
    <w:unhideWhenUsed/>
    <w:qFormat/>
    <w:pPr>
      <w:ind w:left="420"/>
      <w:spacing w:after="120"/>
    </w:pPr>
    <w:rPr>
      <w:rFonts w:cs="Times New Roman"/>
    </w:rPr>
  </w:style>
  <w:style w:type="paragraph" w:styleId="1037" w:customStyle="1">
    <w:name w:val="寄信人地址1"/>
    <w:basedOn w:val="702"/>
    <w:qFormat/>
    <w:rPr>
      <w:rFonts w:ascii="Arial" w:hAnsi="Arial" w:cs="宋体"/>
    </w:rPr>
  </w:style>
  <w:style w:type="paragraph" w:styleId="1038" w:customStyle="1">
    <w:name w:val="标题 41"/>
    <w:basedOn w:val="702"/>
    <w:next w:val="763"/>
    <w:link w:val="1048"/>
    <w:qFormat/>
    <w:pPr>
      <w:keepLines/>
      <w:keepNext/>
      <w:spacing w:before="280" w:after="290" w:line="376" w:lineRule="auto"/>
      <w:outlineLvl w:val="3"/>
    </w:pPr>
    <w:rPr>
      <w:rFonts w:ascii="Arial" w:hAnsi="Arial" w:eastAsia="黑体" w:cs="Arial"/>
      <w:b/>
      <w:bCs/>
      <w:sz w:val="28"/>
      <w:szCs w:val="28"/>
    </w:rPr>
  </w:style>
  <w:style w:type="paragraph" w:styleId="1039" w:customStyle="1">
    <w:name w:val="标题 51"/>
    <w:basedOn w:val="702"/>
    <w:next w:val="763"/>
    <w:link w:val="1049"/>
    <w:qFormat/>
    <w:pPr>
      <w:keepNext/>
      <w:outlineLvl w:val="4"/>
    </w:pPr>
    <w:rPr>
      <w:rFonts w:ascii="宋体" w:cs="Times New Roman"/>
      <w:color w:val="000000"/>
      <w:sz w:val="28"/>
      <w:szCs w:val="28"/>
    </w:rPr>
  </w:style>
  <w:style w:type="paragraph" w:styleId="1040" w:customStyle="1">
    <w:name w:val="标题 61"/>
    <w:basedOn w:val="702"/>
    <w:next w:val="702"/>
    <w:link w:val="1050"/>
    <w:qFormat/>
    <w:pPr>
      <w:numPr>
        <w:ilvl w:val="5"/>
        <w:numId w:val="5"/>
      </w:numPr>
      <w:keepLines/>
      <w:keepNext/>
      <w:spacing w:before="240" w:after="64" w:line="320" w:lineRule="auto"/>
      <w:outlineLvl w:val="5"/>
    </w:pPr>
    <w:rPr>
      <w:rFonts w:ascii="Arial" w:hAnsi="Arial" w:eastAsia="黑体" w:cs="Times New Roman"/>
      <w:b/>
      <w:bCs/>
      <w:sz w:val="24"/>
      <w:szCs w:val="24"/>
    </w:rPr>
  </w:style>
  <w:style w:type="paragraph" w:styleId="1041" w:customStyle="1">
    <w:name w:val="标题 71"/>
    <w:basedOn w:val="702"/>
    <w:next w:val="702"/>
    <w:link w:val="1051"/>
    <w:qFormat/>
    <w:pPr>
      <w:numPr>
        <w:ilvl w:val="6"/>
        <w:numId w:val="5"/>
      </w:numPr>
      <w:keepLines/>
      <w:keepNext/>
      <w:spacing w:before="240" w:after="64" w:line="320" w:lineRule="auto"/>
      <w:outlineLvl w:val="6"/>
    </w:pPr>
    <w:rPr>
      <w:rFonts w:cs="Times New Roman"/>
      <w:b/>
      <w:bCs/>
      <w:sz w:val="24"/>
      <w:szCs w:val="24"/>
    </w:rPr>
  </w:style>
  <w:style w:type="paragraph" w:styleId="1042" w:customStyle="1">
    <w:name w:val="标题 81"/>
    <w:basedOn w:val="702"/>
    <w:next w:val="702"/>
    <w:link w:val="1052"/>
    <w:qFormat/>
    <w:pPr>
      <w:numPr>
        <w:ilvl w:val="7"/>
        <w:numId w:val="5"/>
      </w:numPr>
      <w:keepLines/>
      <w:keepNext/>
      <w:spacing w:before="240" w:after="64" w:line="320" w:lineRule="auto"/>
      <w:outlineLvl w:val="7"/>
    </w:pPr>
    <w:rPr>
      <w:rFonts w:ascii="Arial" w:hAnsi="Arial" w:eastAsia="黑体" w:cs="Times New Roman"/>
      <w:sz w:val="24"/>
      <w:szCs w:val="24"/>
    </w:rPr>
  </w:style>
  <w:style w:type="paragraph" w:styleId="1043" w:customStyle="1">
    <w:name w:val="标题 91"/>
    <w:basedOn w:val="702"/>
    <w:next w:val="702"/>
    <w:link w:val="1053"/>
    <w:qFormat/>
    <w:pPr>
      <w:numPr>
        <w:ilvl w:val="8"/>
        <w:numId w:val="5"/>
      </w:numPr>
      <w:keepLines/>
      <w:keepNext/>
      <w:spacing w:before="240" w:after="64" w:line="320" w:lineRule="auto"/>
      <w:outlineLvl w:val="8"/>
    </w:pPr>
    <w:rPr>
      <w:rFonts w:ascii="Arial" w:hAnsi="Arial" w:eastAsia="黑体" w:cs="Times New Roman"/>
    </w:rPr>
  </w:style>
  <w:style w:type="character" w:styleId="1044" w:customStyle="1">
    <w:name w:val="默认段落字体1"/>
    <w:uiPriority w:val="1"/>
    <w:unhideWhenUsed/>
    <w:qFormat/>
  </w:style>
  <w:style w:type="table" w:styleId="1045" w:customStyle="1">
    <w:name w:val="普通表格1"/>
    <w:uiPriority w:val="99"/>
    <w:unhideWhenUsed/>
    <w:qFormat/>
    <w:rPr>
      <w:rFonts w:ascii="Times New Roman" w:hAnsi="Times New Roman" w:cs="Times New Roman"/>
    </w:rPr>
    <w:tblPr>
      <w:tblCellMar>
        <w:left w:w="0" w:type="dxa"/>
        <w:top w:w="0" w:type="dxa"/>
        <w:right w:w="0" w:type="dxa"/>
        <w:bottom w:w="0" w:type="dxa"/>
      </w:tblCellMar>
    </w:tblPr>
  </w:style>
  <w:style w:type="character" w:styleId="1046" w:customStyle="1">
    <w:name w:val="正文缩进 Char"/>
    <w:link w:val="763"/>
    <w:qFormat/>
    <w:rPr>
      <w:rFonts w:ascii="Times New Roman" w:hAnsi="Times New Roman"/>
      <w:sz w:val="21"/>
      <w:szCs w:val="21"/>
    </w:rPr>
  </w:style>
  <w:style w:type="character" w:styleId="1047" w:customStyle="1">
    <w:name w:val="标题 3 Char"/>
    <w:link w:val="1027"/>
    <w:qFormat/>
    <w:rPr>
      <w:rFonts w:ascii="Times New Roman" w:hAnsi="Times New Roman"/>
      <w:b/>
      <w:bCs/>
      <w:sz w:val="32"/>
      <w:szCs w:val="32"/>
    </w:rPr>
  </w:style>
  <w:style w:type="character" w:styleId="1048" w:customStyle="1">
    <w:name w:val="标题 4 Char"/>
    <w:link w:val="1038"/>
    <w:qFormat/>
    <w:rPr>
      <w:rFonts w:ascii="Arial" w:hAnsi="Arial" w:eastAsia="黑体" w:cs="Arial"/>
      <w:b/>
      <w:bCs/>
      <w:sz w:val="28"/>
      <w:szCs w:val="28"/>
    </w:rPr>
  </w:style>
  <w:style w:type="character" w:styleId="1049" w:customStyle="1">
    <w:name w:val="标题 5 Char"/>
    <w:link w:val="1039"/>
    <w:qFormat/>
    <w:rPr>
      <w:rFonts w:ascii="宋体" w:hAnsi="Times New Roman" w:cs="Times New Roman"/>
      <w:color w:val="000000"/>
      <w:sz w:val="28"/>
      <w:szCs w:val="28"/>
    </w:rPr>
  </w:style>
  <w:style w:type="character" w:styleId="1050" w:customStyle="1">
    <w:name w:val="标题 6 Char"/>
    <w:link w:val="1040"/>
    <w:qFormat/>
    <w:rPr>
      <w:rFonts w:ascii="Arial" w:hAnsi="Arial" w:eastAsia="黑体" w:cs="Times New Roman"/>
      <w:b/>
      <w:bCs/>
      <w:sz w:val="24"/>
      <w:szCs w:val="24"/>
    </w:rPr>
  </w:style>
  <w:style w:type="character" w:styleId="1051" w:customStyle="1">
    <w:name w:val="标题 7 Char"/>
    <w:link w:val="1041"/>
    <w:qFormat/>
    <w:rPr>
      <w:rFonts w:ascii="Times New Roman" w:hAnsi="Times New Roman" w:cs="Times New Roman"/>
      <w:b/>
      <w:bCs/>
      <w:sz w:val="24"/>
      <w:szCs w:val="24"/>
    </w:rPr>
  </w:style>
  <w:style w:type="character" w:styleId="1052" w:customStyle="1">
    <w:name w:val="标题 8 Char"/>
    <w:link w:val="1042"/>
    <w:qFormat/>
    <w:rPr>
      <w:rFonts w:ascii="Arial" w:hAnsi="Arial" w:eastAsia="黑体" w:cs="Times New Roman"/>
      <w:sz w:val="24"/>
      <w:szCs w:val="24"/>
    </w:rPr>
  </w:style>
  <w:style w:type="character" w:styleId="1053" w:customStyle="1">
    <w:name w:val="标题 9 Char"/>
    <w:link w:val="1043"/>
    <w:qFormat/>
    <w:rPr>
      <w:rFonts w:ascii="Arial" w:hAnsi="Arial" w:eastAsia="黑体" w:cs="Times New Roman"/>
      <w:sz w:val="21"/>
      <w:szCs w:val="21"/>
    </w:rPr>
  </w:style>
  <w:style w:type="paragraph" w:styleId="1054" w:customStyle="1">
    <w:name w:val="列表 31"/>
    <w:basedOn w:val="702"/>
    <w:qFormat/>
    <w:pPr>
      <w:ind w:left="100" w:hanging="200"/>
    </w:pPr>
    <w:rPr>
      <w:rFonts w:cs="Times New Roman"/>
    </w:rPr>
  </w:style>
  <w:style w:type="paragraph" w:styleId="1055" w:customStyle="1">
    <w:name w:val="文档结构图1"/>
    <w:basedOn w:val="702"/>
    <w:link w:val="1056"/>
    <w:semiHidden/>
    <w:qFormat/>
    <w:pPr>
      <w:shd w:val="clear" w:color="auto" w:fill="000080"/>
    </w:pPr>
    <w:rPr>
      <w:rFonts w:cs="Times New Roman"/>
    </w:rPr>
  </w:style>
  <w:style w:type="character" w:styleId="1056" w:customStyle="1">
    <w:name w:val="文档结构图 Char"/>
    <w:link w:val="1055"/>
    <w:semiHidden/>
    <w:qFormat/>
    <w:rPr>
      <w:rFonts w:ascii="Times New Roman" w:hAnsi="Times New Roman" w:cs="Times New Roman"/>
      <w:sz w:val="21"/>
      <w:szCs w:val="21"/>
      <w:shd w:val="clear" w:color="auto" w:fill="000080"/>
    </w:rPr>
  </w:style>
  <w:style w:type="paragraph" w:styleId="1057" w:customStyle="1">
    <w:name w:val="批注文字1"/>
    <w:basedOn w:val="702"/>
    <w:link w:val="1058"/>
    <w:semiHidden/>
    <w:qFormat/>
    <w:pPr>
      <w:jc w:val="left"/>
    </w:pPr>
    <w:rPr>
      <w:rFonts w:cs="Times New Roman"/>
    </w:rPr>
  </w:style>
  <w:style w:type="character" w:styleId="1058" w:customStyle="1">
    <w:name w:val="批注文字 Char"/>
    <w:link w:val="1057"/>
    <w:semiHidden/>
    <w:qFormat/>
    <w:rPr>
      <w:rFonts w:ascii="Times New Roman" w:hAnsi="Times New Roman" w:cs="Times New Roman"/>
      <w:sz w:val="21"/>
      <w:szCs w:val="21"/>
    </w:rPr>
  </w:style>
  <w:style w:type="paragraph" w:styleId="1059" w:customStyle="1">
    <w:name w:val="正文文本 31"/>
    <w:basedOn w:val="702"/>
    <w:link w:val="1060"/>
    <w:qFormat/>
    <w:rPr>
      <w:rFonts w:ascii="仿宋_GB2312" w:hAnsi="Arial" w:eastAsia="仿宋_GB2312" w:cs="Times New Roman"/>
      <w:sz w:val="32"/>
      <w:szCs w:val="32"/>
    </w:rPr>
  </w:style>
  <w:style w:type="character" w:styleId="1060" w:customStyle="1">
    <w:name w:val="正文文本 3 Char"/>
    <w:link w:val="1059"/>
    <w:qFormat/>
    <w:rPr>
      <w:rFonts w:ascii="仿宋_GB2312" w:hAnsi="Arial" w:eastAsia="仿宋_GB2312" w:cs="Times New Roman"/>
      <w:sz w:val="32"/>
      <w:szCs w:val="32"/>
    </w:rPr>
  </w:style>
  <w:style w:type="character" w:styleId="1061" w:customStyle="1">
    <w:name w:val="正文文本 Char"/>
    <w:link w:val="1029"/>
    <w:qFormat/>
    <w:rPr>
      <w:rFonts w:ascii="楷体_GB2312" w:hAnsi="Arial" w:eastAsia="楷体_GB2312"/>
      <w:sz w:val="28"/>
      <w:szCs w:val="28"/>
    </w:rPr>
  </w:style>
  <w:style w:type="paragraph" w:styleId="1062" w:customStyle="1">
    <w:name w:val="正文文本缩进1"/>
    <w:basedOn w:val="702"/>
    <w:link w:val="1063"/>
    <w:qFormat/>
    <w:pPr>
      <w:ind w:firstLine="645"/>
    </w:pPr>
    <w:rPr>
      <w:rFonts w:ascii="楷体_GB2312" w:eastAsia="楷体_GB2312" w:cs="Times New Roman"/>
      <w:sz w:val="32"/>
      <w:szCs w:val="32"/>
    </w:rPr>
  </w:style>
  <w:style w:type="character" w:styleId="1063" w:customStyle="1">
    <w:name w:val="正文文本缩进 Char"/>
    <w:link w:val="1062"/>
    <w:qFormat/>
    <w:rPr>
      <w:rFonts w:ascii="楷体_GB2312" w:hAnsi="Times New Roman" w:eastAsia="楷体_GB2312" w:cs="Times New Roman"/>
      <w:sz w:val="32"/>
      <w:szCs w:val="32"/>
    </w:rPr>
  </w:style>
  <w:style w:type="paragraph" w:styleId="1064" w:customStyle="1">
    <w:name w:val="列表 21"/>
    <w:basedOn w:val="702"/>
    <w:qFormat/>
    <w:pPr>
      <w:ind w:left="100" w:hanging="200"/>
    </w:pPr>
    <w:rPr>
      <w:rFonts w:cs="Times New Roman"/>
    </w:rPr>
  </w:style>
  <w:style w:type="paragraph" w:styleId="1065" w:customStyle="1">
    <w:name w:val="日期1"/>
    <w:basedOn w:val="702"/>
    <w:next w:val="702"/>
    <w:link w:val="1066"/>
    <w:qFormat/>
    <w:rPr>
      <w:rFonts w:cs="Times New Roman"/>
      <w:sz w:val="24"/>
      <w:szCs w:val="24"/>
    </w:rPr>
  </w:style>
  <w:style w:type="character" w:styleId="1066" w:customStyle="1">
    <w:name w:val="日期 Char"/>
    <w:link w:val="1065"/>
    <w:qFormat/>
    <w:rPr>
      <w:rFonts w:ascii="Times New Roman" w:hAnsi="Times New Roman" w:cs="Times New Roman"/>
      <w:sz w:val="24"/>
      <w:szCs w:val="24"/>
    </w:rPr>
  </w:style>
  <w:style w:type="paragraph" w:styleId="1067" w:customStyle="1">
    <w:name w:val="正文文本缩进 21"/>
    <w:basedOn w:val="702"/>
    <w:link w:val="1068"/>
    <w:qFormat/>
    <w:pPr>
      <w:ind w:left="630" w:firstLine="645"/>
    </w:pPr>
    <w:rPr>
      <w:rFonts w:ascii="Arial" w:hAnsi="Arial" w:eastAsia="仿宋_GB2312" w:cs="Arial"/>
      <w:sz w:val="32"/>
      <w:szCs w:val="32"/>
    </w:rPr>
  </w:style>
  <w:style w:type="character" w:styleId="1068" w:customStyle="1">
    <w:name w:val="正文文本缩进 2 Char"/>
    <w:link w:val="1067"/>
    <w:qFormat/>
    <w:rPr>
      <w:rFonts w:ascii="Arial" w:hAnsi="Arial" w:eastAsia="仿宋_GB2312" w:cs="Arial"/>
      <w:sz w:val="32"/>
      <w:szCs w:val="32"/>
    </w:rPr>
  </w:style>
  <w:style w:type="paragraph" w:styleId="1069" w:customStyle="1">
    <w:name w:val="批注框文本1"/>
    <w:basedOn w:val="702"/>
    <w:link w:val="1070"/>
    <w:semiHidden/>
    <w:qFormat/>
    <w:rPr>
      <w:rFonts w:cs="Times New Roman"/>
      <w:sz w:val="18"/>
      <w:szCs w:val="18"/>
    </w:rPr>
  </w:style>
  <w:style w:type="character" w:styleId="1070" w:customStyle="1">
    <w:name w:val="批注框文本 Char"/>
    <w:link w:val="1069"/>
    <w:semiHidden/>
    <w:qFormat/>
    <w:rPr>
      <w:rFonts w:ascii="Times New Roman" w:hAnsi="Times New Roman" w:cs="Times New Roman"/>
      <w:sz w:val="18"/>
      <w:szCs w:val="18"/>
    </w:rPr>
  </w:style>
  <w:style w:type="paragraph" w:styleId="1071" w:customStyle="1">
    <w:name w:val="页脚1"/>
    <w:basedOn w:val="702"/>
    <w:link w:val="1072"/>
    <w:uiPriority w:val="99"/>
    <w:qFormat/>
    <w:pPr>
      <w:jc w:val="left"/>
      <w:tabs>
        <w:tab w:val="center" w:pos="4153" w:leader="none"/>
        <w:tab w:val="right" w:pos="8306" w:leader="none"/>
      </w:tabs>
    </w:pPr>
    <w:rPr>
      <w:rFonts w:cs="Times New Roman"/>
      <w:sz w:val="18"/>
      <w:szCs w:val="18"/>
    </w:rPr>
  </w:style>
  <w:style w:type="character" w:styleId="1072" w:customStyle="1">
    <w:name w:val="页脚 Char"/>
    <w:link w:val="1071"/>
    <w:uiPriority w:val="99"/>
    <w:qFormat/>
    <w:rPr>
      <w:rFonts w:ascii="Times New Roman" w:hAnsi="Times New Roman" w:cs="Times New Roman"/>
      <w:sz w:val="18"/>
      <w:szCs w:val="18"/>
    </w:rPr>
  </w:style>
  <w:style w:type="paragraph" w:styleId="1073" w:customStyle="1">
    <w:name w:val="页眉1"/>
    <w:basedOn w:val="702"/>
    <w:link w:val="1074"/>
    <w:qFormat/>
    <w:pPr>
      <w:jc w:val="center"/>
      <w:tabs>
        <w:tab w:val="center" w:pos="4153" w:leader="none"/>
        <w:tab w:val="right" w:pos="8306" w:leader="none"/>
      </w:tabs>
      <w:pBdr>
        <w:bottom w:val="single" w:color="000000" w:sz="6" w:space="1"/>
      </w:pBdr>
    </w:pPr>
    <w:rPr>
      <w:rFonts w:cs="Times New Roman"/>
      <w:sz w:val="18"/>
      <w:szCs w:val="18"/>
    </w:rPr>
  </w:style>
  <w:style w:type="character" w:styleId="1074" w:customStyle="1">
    <w:name w:val="页眉 Char"/>
    <w:link w:val="1073"/>
    <w:qFormat/>
    <w:rPr>
      <w:rFonts w:ascii="Times New Roman" w:hAnsi="Times New Roman" w:cs="Times New Roman"/>
      <w:sz w:val="18"/>
      <w:szCs w:val="18"/>
    </w:rPr>
  </w:style>
  <w:style w:type="paragraph" w:styleId="1075" w:customStyle="1">
    <w:name w:val="列表1"/>
    <w:basedOn w:val="702"/>
    <w:qFormat/>
    <w:pPr>
      <w:ind w:left="200" w:hanging="200"/>
    </w:pPr>
    <w:rPr>
      <w:rFonts w:cs="Times New Roman"/>
    </w:rPr>
  </w:style>
  <w:style w:type="paragraph" w:styleId="1076" w:customStyle="1">
    <w:name w:val="正文文本缩进 31"/>
    <w:basedOn w:val="702"/>
    <w:link w:val="1077"/>
    <w:qFormat/>
    <w:pPr>
      <w:ind w:left="645" w:firstLine="645"/>
    </w:pPr>
    <w:rPr>
      <w:rFonts w:ascii="Arial" w:hAnsi="Arial" w:eastAsia="仿宋_GB2312" w:cs="Arial"/>
      <w:color w:val="ffff00"/>
      <w:sz w:val="32"/>
      <w:szCs w:val="32"/>
    </w:rPr>
  </w:style>
  <w:style w:type="character" w:styleId="1077" w:customStyle="1">
    <w:name w:val="正文文本缩进 3 Char"/>
    <w:link w:val="1076"/>
    <w:qFormat/>
    <w:rPr>
      <w:rFonts w:ascii="Arial" w:hAnsi="Arial" w:eastAsia="仿宋_GB2312" w:cs="Arial"/>
      <w:color w:val="ffff00"/>
      <w:sz w:val="32"/>
      <w:szCs w:val="32"/>
    </w:rPr>
  </w:style>
  <w:style w:type="paragraph" w:styleId="1078" w:customStyle="1">
    <w:name w:val="图表目录1"/>
    <w:basedOn w:val="702"/>
    <w:next w:val="702"/>
    <w:semiHidden/>
    <w:qFormat/>
    <w:pPr>
      <w:ind w:left="840" w:hanging="420"/>
    </w:pPr>
    <w:rPr>
      <w:rFonts w:cs="Times New Roman"/>
    </w:rPr>
  </w:style>
  <w:style w:type="paragraph" w:styleId="1079" w:customStyle="1">
    <w:name w:val="正文文本 21"/>
    <w:basedOn w:val="702"/>
    <w:link w:val="1080"/>
    <w:qFormat/>
    <w:pPr>
      <w:jc w:val="center"/>
      <w:widowControl/>
    </w:pPr>
    <w:rPr>
      <w:rFonts w:ascii="楷体_GB2312" w:eastAsia="楷体_GB2312" w:cs="Times New Roman"/>
      <w:sz w:val="28"/>
      <w:szCs w:val="28"/>
    </w:rPr>
  </w:style>
  <w:style w:type="character" w:styleId="1080" w:customStyle="1">
    <w:name w:val="正文文本 2 Char"/>
    <w:link w:val="1079"/>
    <w:qFormat/>
    <w:rPr>
      <w:rFonts w:ascii="楷体_GB2312" w:hAnsi="Times New Roman" w:eastAsia="楷体_GB2312" w:cs="Times New Roman"/>
      <w:sz w:val="28"/>
      <w:szCs w:val="28"/>
    </w:rPr>
  </w:style>
  <w:style w:type="paragraph" w:styleId="1081" w:customStyle="1">
    <w:name w:val="普通(网站)1"/>
    <w:basedOn w:val="702"/>
    <w:uiPriority w:val="99"/>
    <w:qFormat/>
    <w:pPr>
      <w:jc w:val="left"/>
      <w:spacing w:before="100" w:beforeAutospacing="1" w:after="100" w:afterAutospacing="1"/>
      <w:widowControl/>
    </w:pPr>
    <w:rPr>
      <w:rFonts w:ascii="宋体" w:hAnsi="宋体" w:cs="宋体"/>
      <w:sz w:val="24"/>
      <w:szCs w:val="24"/>
    </w:rPr>
  </w:style>
  <w:style w:type="paragraph" w:styleId="1082" w:customStyle="1">
    <w:name w:val="索引 11"/>
    <w:basedOn w:val="702"/>
    <w:next w:val="702"/>
    <w:semiHidden/>
    <w:qFormat/>
    <w:pPr>
      <w:spacing w:line="240" w:lineRule="atLeast"/>
    </w:pPr>
    <w:rPr>
      <w:rFonts w:cs="Times New Roman"/>
      <w:b/>
      <w:bCs/>
    </w:rPr>
  </w:style>
  <w:style w:type="paragraph" w:styleId="1083" w:customStyle="1">
    <w:name w:val="批注主题1"/>
    <w:basedOn w:val="1057"/>
    <w:next w:val="1057"/>
    <w:link w:val="1084"/>
    <w:semiHidden/>
    <w:qFormat/>
    <w:rPr>
      <w:b/>
      <w:bCs/>
    </w:rPr>
  </w:style>
  <w:style w:type="character" w:styleId="1084" w:customStyle="1">
    <w:name w:val="批注主题 Char"/>
    <w:link w:val="1083"/>
    <w:semiHidden/>
    <w:qFormat/>
    <w:rPr>
      <w:rFonts w:ascii="Times New Roman" w:hAnsi="Times New Roman" w:cs="Times New Roman"/>
      <w:b/>
      <w:bCs/>
      <w:sz w:val="21"/>
      <w:szCs w:val="21"/>
    </w:rPr>
  </w:style>
  <w:style w:type="character" w:styleId="1085" w:customStyle="1">
    <w:name w:val="要点1"/>
    <w:qFormat/>
    <w:rPr>
      <w:b/>
      <w:bCs/>
    </w:rPr>
  </w:style>
  <w:style w:type="character" w:styleId="1086" w:customStyle="1">
    <w:name w:val="页码1"/>
    <w:qFormat/>
  </w:style>
  <w:style w:type="character" w:styleId="1087" w:customStyle="1">
    <w:name w:val="已访问的超链接1"/>
    <w:qFormat/>
    <w:rPr>
      <w:color w:val="800080"/>
      <w:u w:val="single"/>
    </w:rPr>
  </w:style>
  <w:style w:type="character" w:styleId="1088" w:customStyle="1">
    <w:name w:val="超链接1"/>
    <w:qFormat/>
    <w:rPr>
      <w:color w:val="0000ff"/>
      <w:u w:val="single"/>
    </w:rPr>
  </w:style>
  <w:style w:type="character" w:styleId="1089" w:customStyle="1">
    <w:name w:val="批注引用1"/>
    <w:semiHidden/>
    <w:qFormat/>
    <w:rPr>
      <w:sz w:val="21"/>
      <w:szCs w:val="21"/>
    </w:rPr>
  </w:style>
  <w:style w:type="paragraph" w:styleId="1090" w:customStyle="1">
    <w:name w:val="Char1"/>
    <w:basedOn w:val="1055"/>
    <w:qFormat/>
    <w:rPr>
      <w:rFonts w:ascii="Tahoma" w:hAnsi="Tahoma"/>
      <w:sz w:val="24"/>
      <w:szCs w:val="24"/>
    </w:rPr>
  </w:style>
  <w:style w:type="paragraph" w:styleId="1091" w:customStyle="1">
    <w:name w:val="Char Char Char Char Char Char Char Char1"/>
    <w:basedOn w:val="702"/>
    <w:qFormat/>
    <w:pPr>
      <w:jc w:val="left"/>
      <w:spacing w:after="160" w:line="240" w:lineRule="exact"/>
      <w:widowControl/>
    </w:pPr>
    <w:rPr>
      <w:rFonts w:ascii="Verdana" w:hAnsi="Verdana" w:cs="Times New Roman"/>
      <w:sz w:val="20"/>
      <w:szCs w:val="20"/>
      <w:lang w:eastAsia="en-US"/>
    </w:rPr>
  </w:style>
  <w:style w:type="paragraph" w:styleId="1092" w:customStyle="1">
    <w:name w:val="Char Char Char Char1"/>
    <w:basedOn w:val="1055"/>
    <w:qFormat/>
    <w:pPr>
      <w:spacing w:line="360" w:lineRule="auto"/>
    </w:pPr>
    <w:rPr>
      <w:rFonts w:ascii="Tahoma" w:hAnsi="Tahoma"/>
      <w:sz w:val="24"/>
      <w:szCs w:val="24"/>
    </w:rPr>
  </w:style>
  <w:style w:type="paragraph" w:styleId="1093" w:customStyle="1">
    <w:name w:val="无间隔1"/>
    <w:uiPriority w:val="99"/>
    <w:qFormat/>
    <w:pPr>
      <w:jc w:val="both"/>
      <w:widowControl w:val="off"/>
    </w:pPr>
    <w:rPr>
      <w:rFonts w:ascii="Times New Roman" w:hAnsi="Times New Roman" w:cs="Times New Roman"/>
      <w:sz w:val="21"/>
      <w:szCs w:val="21"/>
    </w:rPr>
  </w:style>
  <w:style w:type="character" w:styleId="1094" w:customStyle="1">
    <w:name w:val="font31"/>
    <w:qFormat/>
    <w:rPr>
      <w:rFonts w:ascii="Times New Roman" w:hAnsi="Times New Roman" w:cs="Times New Roman"/>
      <w:color w:val="000000"/>
      <w:sz w:val="21"/>
      <w:szCs w:val="21"/>
      <w:u w:val="none"/>
    </w:rPr>
  </w:style>
  <w:style w:type="paragraph" w:styleId="1095" w:customStyle="1">
    <w:name w:val="xl71"/>
    <w:basedOn w:val="702"/>
    <w:qFormat/>
    <w:pPr>
      <w:jc w:val="center"/>
      <w:spacing w:before="100" w:beforeAutospacing="1" w:after="100" w:afterAutospacing="1"/>
      <w:widowControl/>
    </w:pPr>
    <w:rPr>
      <w:rFonts w:ascii="宋体" w:hAnsi="宋体" w:cs="宋体"/>
      <w:sz w:val="24"/>
      <w:szCs w:val="24"/>
    </w:rPr>
  </w:style>
  <w:style w:type="paragraph" w:styleId="1096" w:customStyle="1">
    <w:name w:val="xl72"/>
    <w:basedOn w:val="702"/>
    <w:qFormat/>
    <w:pPr>
      <w:jc w:val="left"/>
      <w:spacing w:before="100" w:beforeAutospacing="1" w:after="100" w:afterAutospacing="1"/>
      <w:widowControl/>
    </w:pPr>
    <w:rPr>
      <w:rFonts w:ascii="宋体" w:hAnsi="宋体" w:cs="宋体"/>
      <w:sz w:val="24"/>
      <w:szCs w:val="24"/>
    </w:rPr>
  </w:style>
  <w:style w:type="paragraph" w:styleId="1097" w:customStyle="1">
    <w:name w:val="xl73"/>
    <w:basedOn w:val="702"/>
    <w:qFormat/>
    <w:pPr>
      <w:jc w:val="center"/>
      <w:spacing w:before="100" w:beforeAutospacing="1" w:after="100" w:afterAutospacing="1"/>
      <w:shd w:val="clear" w:color="000000" w:fill="d9d9d9"/>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98" w:customStyle="1">
    <w:name w:val="xl74"/>
    <w:basedOn w:val="7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99" w:customStyle="1">
    <w:name w:val="xl75"/>
    <w:basedOn w:val="7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00" w:customStyle="1">
    <w:name w:val="xl76"/>
    <w:basedOn w:val="7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01" w:customStyle="1">
    <w:name w:val="xl77"/>
    <w:basedOn w:val="7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02" w:customStyle="1">
    <w:name w:val="xl78"/>
    <w:basedOn w:val="7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03" w:customStyle="1">
    <w:name w:val="xl79"/>
    <w:basedOn w:val="7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04" w:customStyle="1">
    <w:name w:val="xl80"/>
    <w:basedOn w:val="7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05" w:customStyle="1">
    <w:name w:val="xl81"/>
    <w:basedOn w:val="7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06" w:customStyle="1">
    <w:name w:val="xl82"/>
    <w:basedOn w:val="7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07" w:customStyle="1">
    <w:name w:val="xl83"/>
    <w:basedOn w:val="7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08" w:customStyle="1">
    <w:name w:val="xl84"/>
    <w:basedOn w:val="7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09" w:customStyle="1">
    <w:name w:val="修订4"/>
    <w:hidden/>
    <w:uiPriority w:val="99"/>
    <w:unhideWhenUsed/>
    <w:qFormat/>
    <w:rPr>
      <w:rFonts w:ascii="Times New Roman" w:hAnsi="Times New Roman"/>
      <w:sz w:val="21"/>
      <w:szCs w:val="21"/>
    </w:rPr>
  </w:style>
  <w:style w:type="paragraph" w:styleId="1110" w:customStyle="1">
    <w:name w:val="修订5"/>
    <w:hidden/>
    <w:uiPriority w:val="99"/>
    <w:unhideWhenUsed/>
    <w:qFormat/>
    <w:rPr>
      <w:rFonts w:ascii="Times New Roman" w:hAnsi="Times New Roman"/>
      <w:sz w:val="21"/>
      <w:szCs w:val="21"/>
    </w:rPr>
  </w:style>
  <w:style w:type="table" w:styleId="1111" w:customStyle="1">
    <w:name w:val="Table Normal_0"/>
    <w:semiHidden/>
    <w:unhideWhenUsed/>
    <w:qFormat/>
    <w:rPr>
      <w:rFonts w:ascii="Times New Roman" w:hAnsi="Times New Roman" w:cs="Times New Roman"/>
    </w:rPr>
    <w:tblPr>
      <w:tblCellMar>
        <w:left w:w="0" w:type="dxa"/>
        <w:top w:w="0" w:type="dxa"/>
        <w:right w:w="0" w:type="dxa"/>
        <w:bottom w:w="0" w:type="dxa"/>
      </w:tblCellMar>
    </w:tblPr>
  </w:style>
  <w:style w:type="character" w:styleId="1112" w:customStyle="1">
    <w:name w:val="标题 3 字符1"/>
    <w:uiPriority w:val="9"/>
    <w:qFormat/>
    <w:rPr>
      <w:rFonts w:ascii="Times New Roman" w:hAnsi="Times New Roman" w:eastAsia="方正楷体_GBK" w:cs="Arial"/>
      <w:szCs w:val="24"/>
    </w:rPr>
  </w:style>
  <w:style w:type="paragraph" w:styleId="1113" w:customStyle="1">
    <w:name w:val="修订6"/>
    <w:hidden/>
    <w:uiPriority w:val="99"/>
    <w:unhideWhenUsed/>
    <w:rPr>
      <w:rFonts w:ascii="Times New Roman" w:hAnsi="Times New Roman"/>
      <w:sz w:val="21"/>
      <w:szCs w:val="21"/>
    </w:rPr>
  </w:style>
  <w:style w:type="paragraph" w:styleId="1114" w:customStyle="1">
    <w:name w:val="修订7"/>
    <w:hidden/>
    <w:uiPriority w:val="99"/>
    <w:unhideWhenUsed/>
    <w:rPr>
      <w:rFonts w:ascii="Times New Roman" w:hAnsi="Times New Roman"/>
      <w:sz w:val="21"/>
      <w:szCs w:val="21"/>
    </w:rPr>
  </w:style>
  <w:style w:type="paragraph" w:styleId="1115">
    <w:name w:val="Revision"/>
    <w:hidden/>
    <w:uiPriority w:val="99"/>
    <w:unhideWhenUsed/>
    <w:rPr>
      <w:rFonts w:ascii="Times New Roman" w:hAnsi="Times New Roman"/>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付钢</cp:lastModifiedBy>
  <cp:revision>72</cp:revision>
  <dcterms:created xsi:type="dcterms:W3CDTF">2026-06-08T01:12:00Z</dcterms:created>
  <dcterms:modified xsi:type="dcterms:W3CDTF">2026-10-28T07:42:05Z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eyJoZGlkIjoiNDY2OTMyNGMyN2EzYzcxNDNmMDdlYzA4ZmI3ZmEyMmYifQ==</vt:lpwstr>
  </property>
  <property fmtid="{D5CDD505-2E9C-101B-9397-08002B2CF9AE}" pid="3" name="KSOProductBuildVer">
    <vt:lpwstr>2052-12.1.0.29161</vt:lpwstr>
  </property>
  <property fmtid="{D5CDD505-2E9C-101B-9397-08002B2CF9AE}" pid="4" name="ICV">
    <vt:lpwstr>95330DAEBB344ACAB6446EB3141814C9_13</vt:lpwstr>
  </property>
</Properties>
</file>