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lang w:val="en-US" w:eastAsia="zh-CN"/>
        </w:rPr>
      </w:r>
      <w:r>
        <w:rPr>
          <w:highlight w:val="none"/>
        </w:rPr>
      </w:r>
      <w:r/>
    </w:p>
    <w:p>
      <w:pPr>
        <w:pStyle w:val="961"/>
        <w:jc w:val="center"/>
        <w:keepLines w:val="0"/>
        <w:keepNext w:val="0"/>
        <w:pageBreakBefore w:val="0"/>
        <w:spacing w:before="120" w:after="120" w:line="400" w:lineRule="exact"/>
        <w:widowControl w:val="off"/>
        <w:rPr>
          <w:rFonts w:hint="eastAsia" w:ascii="方正小标宋_GBK" w:hAnsi="方正小标宋_GBK" w:eastAsia="方正小标宋_GBK" w:cs="方正小标宋_GBK"/>
          <w:b w:val="0"/>
          <w:bCs w:val="0"/>
          <w:color w:val="000000"/>
          <w:sz w:val="28"/>
          <w:szCs w:val="28"/>
          <w:highlight w:val="none"/>
        </w:rPr>
      </w:pPr>
      <w:r>
        <w:rPr>
          <w:rFonts w:hint="eastAsia" w:ascii="方正小标宋_GBK" w:hAnsi="方正小标宋_GBK" w:eastAsia="方正小标宋_GBK" w:cs="方正小标宋_GBK"/>
          <w:b w:val="0"/>
          <w:bCs w:val="0"/>
          <w:color w:val="000000"/>
          <w:sz w:val="28"/>
          <w:szCs w:val="28"/>
          <w:highlight w:val="none"/>
        </w:rPr>
        <w:t xml:space="preserve">招　标　文　件</w:t>
      </w:r>
      <w:r>
        <w:rPr>
          <w:highlight w:val="none"/>
        </w:rPr>
      </w:r>
      <w:r/>
    </w:p>
    <w:p>
      <w:pPr>
        <w:pStyle w:val="961"/>
        <w:ind w:firstLine="560"/>
        <w:jc w:val="left"/>
        <w:keepLines w:val="0"/>
        <w:keepNext w:val="0"/>
        <w:pageBreakBefore w:val="0"/>
        <w:spacing w:before="120" w:after="120" w:line="400" w:lineRule="exact"/>
        <w:widowControl w:val="off"/>
        <w:rPr>
          <w:rFonts w:hint="eastAsia" w:ascii="Arial" w:hAnsi="Arial"/>
          <w:b/>
          <w:bCs/>
          <w:color w:val="000000"/>
          <w:sz w:val="28"/>
          <w:szCs w:val="28"/>
          <w:highlight w:val="none"/>
        </w:rPr>
      </w:pPr>
      <w:r>
        <w:rPr>
          <w:rFonts w:hint="eastAsia" w:ascii="Arial" w:hAnsi="Arial"/>
          <w:b/>
          <w:bCs/>
          <w:color w:val="000000"/>
          <w:sz w:val="28"/>
          <w:szCs w:val="28"/>
          <w:highlight w:val="none"/>
        </w:rPr>
      </w:r>
      <w:r>
        <w:rPr>
          <w:highlight w:val="none"/>
        </w:rPr>
      </w:r>
      <w:r/>
    </w:p>
    <w:p>
      <w:pPr>
        <w:pStyle w:val="961"/>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项目名称：_监狱医院电梯采购项目__</w:t>
      </w:r>
      <w:r>
        <w:rPr>
          <w:highlight w:val="none"/>
        </w:rPr>
      </w:r>
      <w:r/>
    </w:p>
    <w:p>
      <w:pPr>
        <w:pStyle w:val="9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sz w:val="28"/>
          <w:szCs w:val="28"/>
          <w:highlight w:val="none"/>
          <w:lang w:eastAsia="zh-CN"/>
        </w:rPr>
        <w:t xml:space="preserve">采购编号</w:t>
      </w:r>
      <w:r>
        <w:rPr>
          <w:rFonts w:hint="eastAsia" w:ascii="方正黑体_GBK" w:hAnsi="方正黑体_GBK" w:eastAsia="方正黑体_GBK" w:cs="方正黑体_GBK"/>
          <w:b w:val="0"/>
          <w:bCs w:val="0"/>
          <w:sz w:val="28"/>
          <w:szCs w:val="28"/>
          <w:highlight w:val="none"/>
        </w:rPr>
        <w:t xml:space="preserve">：</w:t>
      </w:r>
      <w:r>
        <w:rPr>
          <w:rFonts w:ascii="Times New Roman" w:hAnsi="Times New Roman" w:eastAsia="方正黑体_GBK" w:cs="Times New Roman"/>
          <w:b w:val="0"/>
          <w:bCs w:val="0"/>
          <w:sz w:val="28"/>
          <w:szCs w:val="28"/>
          <w:highlight w:val="none"/>
        </w:rPr>
        <w:t xml:space="preserve">JSZC-320000-SCZX-G2026-0417</w:t>
      </w:r>
      <w:r>
        <w:rPr>
          <w:highlight w:val="none"/>
        </w:rPr>
      </w:r>
      <w:r/>
    </w:p>
    <w:p>
      <w:pPr>
        <w:pStyle w:val="961"/>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pStyle w:val="961"/>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pStyle w:val="961"/>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pStyle w:val="961"/>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pStyle w:val="961"/>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pStyle w:val="961"/>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pStyle w:val="961"/>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highlight w:val="none"/>
        </w:rPr>
      </w:r>
      <w:r/>
    </w:p>
    <w:p>
      <w:pPr>
        <w:pStyle w:val="96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江苏省政府采购中心</w:t>
      </w:r>
      <w:r>
        <w:rPr>
          <w:highlight w:val="none"/>
        </w:rPr>
      </w:r>
      <w:r/>
    </w:p>
    <w:p>
      <w:pPr>
        <w:pStyle w:val="96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_</w:t>
      </w:r>
      <w:r>
        <w:rPr>
          <w:rFonts w:hint="eastAsia" w:ascii="方正黑体_GBK" w:hAnsi="方正黑体_GBK" w:eastAsia="方正黑体_GBK" w:cs="方正黑体_GBK"/>
          <w:b w:val="0"/>
          <w:bCs w:val="0"/>
          <w:color w:val="000000"/>
          <w:sz w:val="28"/>
          <w:szCs w:val="28"/>
          <w:highlight w:val="none"/>
          <w:lang w:val="en-US" w:eastAsia="zh-CN"/>
        </w:rPr>
        <w:t xml:space="preserve">2026</w:t>
      </w:r>
      <w:r>
        <w:rPr>
          <w:rFonts w:hint="eastAsia" w:ascii="方正黑体_GBK" w:hAnsi="方正黑体_GBK" w:eastAsia="方正黑体_GBK" w:cs="方正黑体_GBK"/>
          <w:b w:val="0"/>
          <w:bCs w:val="0"/>
          <w:color w:val="000000"/>
          <w:sz w:val="28"/>
          <w:szCs w:val="28"/>
          <w:highlight w:val="none"/>
        </w:rPr>
        <w:t xml:space="preserve">_年_</w:t>
      </w:r>
      <w:r>
        <w:rPr>
          <w:rFonts w:hint="eastAsia" w:ascii="方正黑体_GBK" w:hAnsi="方正黑体_GBK" w:eastAsia="方正黑体_GBK" w:cs="方正黑体_GBK"/>
          <w:b w:val="0"/>
          <w:bCs w:val="0"/>
          <w:color w:val="000000"/>
          <w:sz w:val="28"/>
          <w:szCs w:val="28"/>
          <w:highlight w:val="none"/>
          <w:lang w:val="en-US" w:eastAsia="zh-CN"/>
        </w:rPr>
        <w:t xml:space="preserve">9</w:t>
      </w:r>
      <w:r>
        <w:rPr>
          <w:rFonts w:hint="eastAsia" w:ascii="方正黑体_GBK" w:hAnsi="方正黑体_GBK" w:eastAsia="方正黑体_GBK" w:cs="方正黑体_GBK"/>
          <w:b w:val="0"/>
          <w:bCs w:val="0"/>
          <w:color w:val="000000"/>
          <w:sz w:val="28"/>
          <w:szCs w:val="28"/>
          <w:highlight w:val="none"/>
        </w:rPr>
        <w:t xml:space="preserve">_月</w:t>
      </w:r>
      <w:r>
        <w:rPr>
          <w:highlight w:val="none"/>
        </w:rPr>
      </w:r>
      <w:r/>
    </w:p>
    <w:p>
      <w:pPr>
        <w:pStyle w:val="96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highlight w:val="none"/>
        </w:rPr>
      </w:r>
      <w:r/>
    </w:p>
    <w:p>
      <w:pPr>
        <w:pStyle w:val="96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highlight w:val="none"/>
        </w:rPr>
      </w:r>
      <w:r/>
    </w:p>
    <w:p>
      <w:pPr>
        <w:pStyle w:val="961"/>
        <w:jc w:val="center"/>
        <w:keepLines w:val="0"/>
        <w:keepNext w:val="0"/>
        <w:pageBreakBefore w:val="0"/>
        <w:spacing w:line="660" w:lineRule="exact"/>
        <w:widowControl w:val="off"/>
        <w:rPr>
          <w:rFonts w:hint="eastAsia" w:ascii="黑体" w:hAnsi="Arial" w:eastAsia="黑体"/>
          <w:b/>
          <w:color w:val="000000"/>
          <w:sz w:val="28"/>
          <w:szCs w:val="28"/>
          <w:highlight w:val="none"/>
        </w:rPr>
        <w:outlineLvl w:val="0"/>
      </w:pPr>
      <w:r>
        <w:rPr>
          <w:rFonts w:ascii="Times New Roman" w:hAnsi="Times New Roman"/>
          <w:color w:val="000000"/>
          <w:szCs w:val="21"/>
          <w:highlight w:val="none"/>
        </w:rPr>
        <w:br w:type="page" w:clear="all"/>
      </w:r>
      <w:bookmarkStart w:id="0" w:name="_Toc120614210"/>
      <w:r>
        <w:rPr>
          <w:highlight w:val="none"/>
        </w:rPr>
      </w:r>
      <w:bookmarkStart w:id="1" w:name="_Toc16938516"/>
      <w:r>
        <w:rPr>
          <w:highlight w:val="none"/>
        </w:rPr>
      </w:r>
      <w:bookmarkStart w:id="2" w:name="_Toc20823272"/>
      <w:r>
        <w:rPr>
          <w:highlight w:val="none"/>
        </w:rPr>
      </w:r>
      <w:bookmarkStart w:id="3" w:name="_Toc513029200"/>
      <w:r>
        <w:rPr>
          <w:highlight w:val="none"/>
        </w:rPr>
      </w:r>
      <w:bookmarkStart w:id="4" w:name="_Toc523127445"/>
      <w:r>
        <w:rPr>
          <w:highlight w:val="none"/>
        </w:rPr>
      </w:r>
      <w:bookmarkStart w:id="5" w:name="_Toc479757206"/>
      <w:r>
        <w:rPr>
          <w:rFonts w:hint="eastAsia" w:ascii="方正黑体_GBK" w:hAnsi="方正黑体_GBK" w:eastAsia="方正黑体_GBK" w:cs="方正黑体_GBK"/>
          <w:b w:val="0"/>
          <w:bCs/>
          <w:color w:val="000000"/>
          <w:sz w:val="28"/>
          <w:szCs w:val="28"/>
          <w:highlight w:val="none"/>
        </w:rPr>
        <w:t xml:space="preserve">总  目  录</w:t>
      </w:r>
      <w:r>
        <w:rPr>
          <w:highlight w:val="none"/>
        </w:rPr>
      </w:r>
      <w:r/>
    </w:p>
    <w:p>
      <w:pPr>
        <w:pStyle w:val="96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lang w:eastAsia="zh-CN"/>
        </w:rPr>
      </w:r>
      <w:r>
        <w:rPr>
          <w:highlight w:val="none"/>
        </w:rPr>
      </w:r>
      <w:r/>
    </w:p>
    <w:p>
      <w:pPr>
        <w:pStyle w:val="96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lang w:eastAsia="zh-CN"/>
        </w:rPr>
        <w:t xml:space="preserve">第一章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投标邀请……………………………………</w:t>
      </w:r>
      <w:r>
        <w:rPr>
          <w:rFonts w:hint="eastAsia" w:ascii="方正黑体_GBK" w:hAnsi="方正黑体_GBK" w:eastAsia="方正黑体_GBK" w:cs="方正黑体_GBK"/>
          <w:color w:val="000000"/>
          <w:sz w:val="28"/>
          <w:szCs w:val="28"/>
          <w:highlight w:val="none"/>
          <w:lang w:val="en-US" w:eastAsia="zh-CN"/>
        </w:rPr>
        <w:t xml:space="preserve">1</w:t>
      </w:r>
      <w:r>
        <w:rPr>
          <w:highlight w:val="none"/>
        </w:rPr>
      </w:r>
      <w:r/>
    </w:p>
    <w:p>
      <w:pPr>
        <w:pStyle w:val="96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lang w:eastAsia="zh-CN"/>
        </w:rPr>
        <w:t xml:space="preserve">第二章</w:t>
      </w:r>
      <w:r>
        <w:rPr>
          <w:rFonts w:hint="eastAsia" w:ascii="方正黑体_GBK" w:hAnsi="方正黑体_GBK" w:eastAsia="方正黑体_GBK" w:cs="方正黑体_GBK"/>
          <w:bCs/>
          <w:color w:val="000000"/>
          <w:sz w:val="28"/>
          <w:szCs w:val="28"/>
          <w:highlight w:val="none"/>
          <w:lang w:val="en-US" w:eastAsia="zh-CN"/>
        </w:rPr>
        <w:t xml:space="preserve"> </w:t>
      </w:r>
      <w:r>
        <w:rPr>
          <w:rFonts w:hint="eastAsia" w:ascii="方正黑体_GBK" w:hAnsi="方正黑体_GBK" w:eastAsia="方正黑体_GBK" w:cs="方正黑体_GBK"/>
          <w:bCs/>
          <w:color w:val="000000"/>
          <w:sz w:val="28"/>
          <w:szCs w:val="28"/>
          <w:highlight w:val="none"/>
        </w:rPr>
        <w:t xml:space="preserve">投标人须知</w:t>
      </w:r>
      <w:r>
        <w:rPr>
          <w:rFonts w:hint="eastAsia" w:ascii="方正黑体_GBK" w:hAnsi="方正黑体_GBK" w:eastAsia="方正黑体_GBK" w:cs="方正黑体_GBK"/>
          <w:color w:val="000000"/>
          <w:sz w:val="28"/>
          <w:szCs w:val="28"/>
          <w:highlight w:val="none"/>
        </w:rPr>
        <w:t xml:space="preserve">…………………………………</w:t>
      </w:r>
      <w:r>
        <w:rPr>
          <w:rFonts w:hint="eastAsia" w:ascii="方正黑体_GBK" w:hAnsi="方正黑体_GBK" w:eastAsia="方正黑体_GBK" w:cs="方正黑体_GBK"/>
          <w:color w:val="000000"/>
          <w:sz w:val="28"/>
          <w:szCs w:val="28"/>
          <w:highlight w:val="none"/>
          <w:lang w:val="en-US" w:eastAsia="zh-CN"/>
        </w:rPr>
        <w:t xml:space="preserve">4</w:t>
      </w:r>
      <w:r>
        <w:rPr>
          <w:highlight w:val="none"/>
        </w:rPr>
      </w:r>
      <w:r/>
    </w:p>
    <w:p>
      <w:pPr>
        <w:pStyle w:val="96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lang w:eastAsia="zh-CN"/>
        </w:rPr>
        <w:t xml:space="preserve">第三章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合同文本……………………………………</w:t>
      </w:r>
      <w:r>
        <w:rPr>
          <w:rFonts w:hint="eastAsia" w:ascii="方正黑体_GBK" w:hAnsi="方正黑体_GBK" w:eastAsia="方正黑体_GBK" w:cs="方正黑体_GBK"/>
          <w:color w:val="000000"/>
          <w:sz w:val="28"/>
          <w:szCs w:val="28"/>
          <w:highlight w:val="none"/>
          <w:lang w:val="en-US" w:eastAsia="zh-CN"/>
        </w:rPr>
        <w:t xml:space="preserve">17</w:t>
      </w:r>
      <w:r>
        <w:rPr>
          <w:highlight w:val="none"/>
        </w:rPr>
      </w:r>
      <w:r/>
    </w:p>
    <w:p>
      <w:pPr>
        <w:pStyle w:val="96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lang w:eastAsia="zh-CN"/>
        </w:rPr>
        <w:t xml:space="preserve">第四章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采购需求……………………………………</w:t>
      </w:r>
      <w:r>
        <w:rPr>
          <w:rFonts w:hint="eastAsia" w:ascii="方正黑体_GBK" w:hAnsi="方正黑体_GBK" w:eastAsia="方正黑体_GBK" w:cs="方正黑体_GBK"/>
          <w:color w:val="000000"/>
          <w:sz w:val="28"/>
          <w:szCs w:val="28"/>
          <w:highlight w:val="none"/>
          <w:lang w:val="en-US" w:eastAsia="zh-CN"/>
        </w:rPr>
        <w:t xml:space="preserve">36</w:t>
      </w:r>
      <w:r>
        <w:rPr>
          <w:highlight w:val="none"/>
        </w:rPr>
      </w:r>
      <w:r/>
    </w:p>
    <w:p>
      <w:pPr>
        <w:pStyle w:val="96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lang w:eastAsia="zh-CN"/>
        </w:rPr>
        <w:t xml:space="preserve">第五章</w:t>
      </w:r>
      <w:r>
        <w:rPr>
          <w:rFonts w:hint="eastAsia" w:ascii="方正黑体_GBK" w:hAnsi="方正黑体_GBK" w:eastAsia="方正黑体_GBK" w:cs="方正黑体_GBK"/>
          <w:bCs/>
          <w:color w:val="000000"/>
          <w:sz w:val="28"/>
          <w:szCs w:val="28"/>
          <w:highlight w:val="none"/>
          <w:lang w:val="en-US" w:eastAsia="zh-CN"/>
        </w:rPr>
        <w:t xml:space="preserve"> </w:t>
      </w:r>
      <w:r>
        <w:rPr>
          <w:rFonts w:hint="eastAsia" w:ascii="方正黑体_GBK" w:hAnsi="方正黑体_GBK" w:eastAsia="方正黑体_GBK" w:cs="方正黑体_GBK"/>
          <w:bCs/>
          <w:color w:val="000000"/>
          <w:sz w:val="28"/>
          <w:szCs w:val="28"/>
          <w:highlight w:val="none"/>
        </w:rPr>
        <w:t xml:space="preserve">评标方法与评标标准</w:t>
      </w:r>
      <w:r>
        <w:rPr>
          <w:rFonts w:hint="eastAsia" w:ascii="方正黑体_GBK" w:hAnsi="方正黑体_GBK" w:eastAsia="方正黑体_GBK" w:cs="方正黑体_GBK"/>
          <w:color w:val="000000"/>
          <w:sz w:val="28"/>
          <w:szCs w:val="28"/>
          <w:highlight w:val="none"/>
        </w:rPr>
        <w:t xml:space="preserve">………………………</w:t>
      </w:r>
      <w:r>
        <w:rPr>
          <w:rFonts w:hint="eastAsia" w:ascii="方正黑体_GBK" w:hAnsi="方正黑体_GBK" w:eastAsia="方正黑体_GBK" w:cs="方正黑体_GBK"/>
          <w:color w:val="000000"/>
          <w:sz w:val="28"/>
          <w:szCs w:val="28"/>
          <w:highlight w:val="none"/>
          <w:lang w:val="en-US" w:eastAsia="zh-CN"/>
        </w:rPr>
        <w:t xml:space="preserve">47</w:t>
      </w:r>
      <w:r>
        <w:rPr>
          <w:highlight w:val="none"/>
        </w:rPr>
      </w:r>
      <w:r/>
    </w:p>
    <w:p>
      <w:pPr>
        <w:pStyle w:val="96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lang w:eastAsia="zh-CN"/>
        </w:rPr>
        <w:t xml:space="preserve">第六章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投标文件格式………………………………</w:t>
      </w:r>
      <w:r>
        <w:rPr>
          <w:rFonts w:hint="eastAsia" w:ascii="方正黑体_GBK" w:hAnsi="方正黑体_GBK" w:eastAsia="方正黑体_GBK" w:cs="方正黑体_GBK"/>
          <w:color w:val="000000"/>
          <w:sz w:val="28"/>
          <w:szCs w:val="28"/>
          <w:highlight w:val="none"/>
          <w:lang w:val="en-US" w:eastAsia="zh-CN"/>
        </w:rPr>
        <w:t xml:space="preserve">53</w:t>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方正黑体_GBK" w:hAnsi="方正黑体_GBK" w:eastAsia="方正黑体_GBK" w:cs="方正黑体_GBK"/>
          <w:color w:val="000000"/>
          <w:sz w:val="28"/>
          <w:szCs w:val="28"/>
          <w:highlight w:val="none"/>
        </w:rPr>
      </w:r>
      <w:r>
        <w:rPr>
          <w:highlight w:val="none"/>
        </w:rPr>
      </w:r>
      <w:r/>
    </w:p>
    <w:p>
      <w:pPr>
        <w:pStyle w:val="961"/>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受〔江苏省南京监狱〕的委托，江苏省政府采购中心就〔监狱医院电梯采购项目〕(〔</w:t>
      </w:r>
      <w:r>
        <w:rPr>
          <w:rFonts w:hint="eastAsia" w:ascii="方正仿宋_GBK" w:hAnsi="方正仿宋_GBK" w:eastAsia="方正仿宋_GBK" w:cs="方正仿宋_GBK"/>
          <w:color w:val="000000"/>
          <w:sz w:val="28"/>
          <w:szCs w:val="28"/>
          <w:highlight w:val="none"/>
          <w:lang w:eastAsia="zh-CN"/>
        </w:rPr>
        <w:t xml:space="preserve">JSZC-320000-SCZX-G2026-0417</w:t>
      </w:r>
      <w:r>
        <w:rPr>
          <w:rFonts w:hint="eastAsia" w:ascii="方正仿宋_GBK" w:hAnsi="方正仿宋_GBK" w:eastAsia="方正仿宋_GBK" w:cs="方正仿宋_GBK"/>
          <w:color w:val="000000"/>
          <w:sz w:val="28"/>
          <w:szCs w:val="28"/>
          <w:highlight w:val="none"/>
        </w:rPr>
        <w:t xml:space="preserve">〕)项目进行公开招标采购，欢迎符合条件的供应商投标。</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 监狱医院电梯采购项目</w:t>
      </w:r>
      <w:r>
        <w:rPr>
          <w:rFonts w:hint="eastAsia" w:ascii="方正仿宋_GBK" w:hAnsi="方正仿宋_GBK" w:eastAsia="方正仿宋_GBK" w:cs="方正仿宋_GBK"/>
          <w:color w:val="000000"/>
          <w:sz w:val="28"/>
          <w:szCs w:val="28"/>
          <w:highlight w:val="none"/>
        </w:rPr>
        <w:t xml:space="preserve">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仿宋_GBK" w:cs="Times New Roman"/>
          <w:color w:val="000000"/>
          <w:sz w:val="28"/>
          <w:szCs w:val="28"/>
          <w:highlight w:val="none"/>
          <w:lang w:val="en-US" w:eastAsia="zh-CN"/>
        </w:rPr>
        <w:t xml:space="preserve">10</w:t>
      </w:r>
      <w:r>
        <w:rPr>
          <w:rFonts w:hint="eastAsia" w:ascii="方正仿宋_GBK" w:hAnsi="方正仿宋_GBK" w:eastAsia="方正仿宋_GBK" w:cs="方正仿宋_GBK"/>
          <w:bCs/>
          <w:color w:val="000000"/>
          <w:sz w:val="28"/>
          <w:szCs w:val="28"/>
          <w:highlight w:val="none"/>
          <w:u w:val="none"/>
        </w:rPr>
        <w:t xml:space="preserve">月</w:t>
      </w:r>
      <w:r>
        <w:rPr>
          <w:rFonts w:hint="eastAsia" w:ascii="Times New Roman" w:hAnsi="Times New Roman" w:eastAsia="方正仿宋_GBK" w:cs="Times New Roman"/>
          <w:color w:val="000000"/>
          <w:sz w:val="28"/>
          <w:szCs w:val="28"/>
          <w:highlight w:val="none"/>
          <w:lang w:val="en-US" w:eastAsia="zh-CN"/>
        </w:rPr>
        <w:t xml:space="preserve">14</w:t>
      </w:r>
      <w:r>
        <w:rPr>
          <w:rFonts w:hint="eastAsia" w:ascii="方正仿宋_GBK" w:hAnsi="方正仿宋_GBK" w:eastAsia="方正仿宋_GBK" w:cs="方正仿宋_GBK"/>
          <w:bCs/>
          <w:color w:val="000000"/>
          <w:sz w:val="28"/>
          <w:szCs w:val="28"/>
          <w:highlight w:val="none"/>
          <w:u w:val="none"/>
        </w:rPr>
        <w:t xml:space="preserve">日9</w:t>
      </w:r>
      <w:r>
        <w:rPr>
          <w:rFonts w:hint="eastAsia" w:ascii="方正仿宋_GBK" w:hAnsi="方正仿宋_GBK" w:eastAsia="方正仿宋_GBK" w:cs="方正仿宋_GBK"/>
          <w:color w:val="000000"/>
          <w:sz w:val="28"/>
          <w:szCs w:val="28"/>
          <w:highlight w:val="none"/>
          <w:u w:val="none"/>
          <w:lang w:val="en-US" w:eastAsia="zh-CN"/>
        </w:rPr>
        <w:t xml:space="preserve">时30</w:t>
      </w:r>
      <w:r>
        <w:rPr>
          <w:rFonts w:hint="eastAsia" w:ascii="方正仿宋_GBK" w:hAnsi="方正仿宋_GBK" w:eastAsia="方正仿宋_GBK" w:cs="方正仿宋_GBK"/>
          <w:bCs/>
          <w:color w:val="000000"/>
          <w:sz w:val="28"/>
          <w:szCs w:val="28"/>
          <w:highlight w:val="none"/>
          <w:u w:val="none"/>
        </w:rPr>
        <w:t xml:space="preserve">分（北京时间）</w:t>
      </w:r>
      <w:r>
        <w:rPr>
          <w:rFonts w:hint="eastAsia" w:ascii="方正仿宋_GBK" w:hAnsi="方正仿宋_GBK" w:eastAsia="方正仿宋_GBK" w:cs="方正仿宋_GBK"/>
          <w:bCs/>
          <w:color w:val="000000"/>
          <w:sz w:val="28"/>
          <w:szCs w:val="28"/>
          <w:highlight w:val="none"/>
        </w:rPr>
        <w:t xml:space="preserve">前递交投标文件</w:t>
      </w:r>
      <w:r>
        <w:rPr>
          <w:rFonts w:hint="eastAsia" w:ascii="方正仿宋_GBK" w:hAnsi="方正仿宋_GBK" w:eastAsia="方正仿宋_GBK" w:cs="方正仿宋_GBK"/>
          <w:color w:val="000000"/>
          <w:sz w:val="28"/>
          <w:szCs w:val="28"/>
          <w:highlight w:val="none"/>
        </w:rPr>
        <w:t xml:space="preserve">。</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Start w:id="6" w:name="_Toc38985263"/>
      <w:r>
        <w:rPr>
          <w:highlight w:val="none"/>
        </w:rPr>
      </w:r>
      <w:bookmarkStart w:id="7" w:name="_Toc28359079"/>
      <w:r>
        <w:rPr>
          <w:highlight w:val="none"/>
        </w:rPr>
      </w:r>
      <w:bookmarkStart w:id="8" w:name="_Toc28359002"/>
      <w:r>
        <w:rPr>
          <w:highlight w:val="none"/>
        </w:rPr>
      </w:r>
      <w:bookmarkStart w:id="9" w:name="_Toc35393790"/>
      <w:r>
        <w:rPr>
          <w:highlight w:val="none"/>
        </w:rPr>
      </w:r>
      <w:bookmarkStart w:id="10" w:name="_Toc35393621"/>
      <w:r>
        <w:rPr>
          <w:highlight w:val="none"/>
        </w:rPr>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p>
    <w:p>
      <w:pPr>
        <w:pStyle w:val="961"/>
        <w:ind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采购编号</w:t>
      </w:r>
      <w:r>
        <w:rPr>
          <w:rFonts w:hint="eastAsia" w:ascii="方正仿宋_GBK" w:hAnsi="方正仿宋_GBK" w:eastAsia="方正仿宋_GBK" w:cs="方正仿宋_GBK"/>
          <w:color w:val="000000"/>
          <w:sz w:val="28"/>
          <w:szCs w:val="28"/>
          <w:highlight w:val="none"/>
        </w:rPr>
        <w:t xml:space="preserve">：</w:t>
      </w:r>
      <w:r>
        <w:rPr>
          <w:rFonts w:ascii="Times New Roman" w:hAnsi="Times New Roman" w:eastAsia="方正仿宋_GBK" w:cs="Times New Roman"/>
          <w:color w:val="000000"/>
          <w:sz w:val="28"/>
          <w:szCs w:val="28"/>
          <w:highlight w:val="none"/>
          <w:lang w:eastAsia="zh-CN"/>
        </w:rPr>
        <w:t xml:space="preserve">JSZC-320000-SCZX-G2026-0417</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ascii="Times New Roman" w:hAnsi="Times New Roman" w:eastAsia="方正仿宋_GBK" w:cs="Times New Roman"/>
          <w:color w:val="000000"/>
          <w:sz w:val="28"/>
          <w:szCs w:val="28"/>
          <w:highlight w:val="none"/>
          <w:lang w:eastAsia="zh-CN"/>
        </w:rPr>
        <w:t xml:space="preserve">监狱医院电梯采购项目</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highlight w:val="none"/>
        </w:rPr>
      </w:r>
      <w:bookmarkEnd w:id="11"/>
      <w:r>
        <w:rPr>
          <w:rFonts w:hint="eastAsia" w:ascii="方正仿宋_GBK" w:hAnsi="方正仿宋_GBK" w:eastAsia="方正仿宋_GBK" w:cs="方正仿宋_GBK"/>
          <w:sz w:val="28"/>
          <w:szCs w:val="28"/>
          <w:highlight w:val="none"/>
        </w:rPr>
        <w:t xml:space="preserve">3.预算金额</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highlight w:val="none"/>
              </w:rPr>
            </w:r>
            <w:r/>
          </w:p>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highlight w:val="none"/>
              </w:rPr>
            </w:r>
            <w:r/>
          </w:p>
        </w:tc>
        <w:tc>
          <w:tcPr>
            <w:tcW w:w="3312" w:type="dxa"/>
            <w:vAlign w:val="top"/>
            <w:textDirection w:val="lrTb"/>
            <w:noWrap w:val="false"/>
          </w:tcPr>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rPr>
                <w:highlight w:val="none"/>
              </w:rPr>
            </w:r>
            <w:r/>
          </w:p>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rPr>
                <w:highlight w:val="none"/>
              </w:rPr>
            </w:r>
            <w:r/>
          </w:p>
        </w:tc>
      </w:tr>
      <w:tr>
        <w:trPr/>
        <w:tc>
          <w:tcPr>
            <w:tcW w:w="1092" w:type="dxa"/>
            <w:vAlign w:val="top"/>
            <w:textDirection w:val="lrTb"/>
            <w:noWrap w:val="false"/>
          </w:tcPr>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3312" w:type="dxa"/>
            <w:vAlign w:val="top"/>
            <w:textDirection w:val="lrTb"/>
            <w:noWrap w:val="false"/>
          </w:tcPr>
          <w:p>
            <w:pPr>
              <w:pStyle w:val="961"/>
              <w:ind w:firstLine="1120"/>
              <w:jc w:val="both"/>
              <w:keepLines w:val="0"/>
              <w:keepNext w:val="0"/>
              <w:pageBreakBefore w:val="0"/>
              <w:spacing w:line="400" w:lineRule="exact"/>
              <w:widowControl w:val="off"/>
              <w:rPr>
                <w:rFonts w:ascii="方正仿宋_GBK" w:hAnsi="方正仿宋_GBK" w:eastAsia="方正仿宋_GBK" w:cs="方正仿宋_GBK"/>
                <w:sz w:val="28"/>
                <w:szCs w:val="28"/>
                <w:highlight w:val="none"/>
              </w:rPr>
            </w:pPr>
            <w:r>
              <w:rPr>
                <w:rFonts w:hint="eastAsia" w:ascii="Times New Roman" w:hAnsi="Times New Roman" w:eastAsia="方正仿宋_GBK" w:cs="Times New Roman"/>
                <w:color w:val="000000"/>
                <w:sz w:val="28"/>
                <w:szCs w:val="28"/>
                <w:highlight w:val="none"/>
                <w:lang w:val="en-US" w:eastAsia="zh-CN"/>
              </w:rPr>
              <w:t xml:space="preserve">29</w:t>
            </w:r>
            <w:r>
              <w:rPr>
                <w:highlight w:val="none"/>
              </w:rPr>
            </w:r>
            <w:r/>
          </w:p>
        </w:tc>
      </w:tr>
    </w:tbl>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61"/>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highlight w:val="none"/>
              </w:rPr>
            </w:r>
            <w:r/>
          </w:p>
          <w:p>
            <w:pPr>
              <w:pStyle w:val="961"/>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highlight w:val="none"/>
              </w:rPr>
            </w:r>
            <w:r/>
          </w:p>
        </w:tc>
        <w:tc>
          <w:tcPr>
            <w:tcW w:w="3296" w:type="dxa"/>
            <w:vAlign w:val="top"/>
            <w:textDirection w:val="lrTb"/>
            <w:noWrap w:val="false"/>
          </w:tcPr>
          <w:p>
            <w:pPr>
              <w:pStyle w:val="961"/>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rPr>
                <w:highlight w:val="none"/>
              </w:rPr>
            </w:r>
            <w:r/>
          </w:p>
          <w:p>
            <w:pPr>
              <w:pStyle w:val="961"/>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rPr>
                <w:highlight w:val="none"/>
              </w:rPr>
            </w:r>
            <w:r/>
          </w:p>
        </w:tc>
      </w:tr>
      <w:tr>
        <w:trPr/>
        <w:tc>
          <w:tcPr>
            <w:tcW w:w="1085" w:type="dxa"/>
            <w:vAlign w:val="top"/>
            <w:textDirection w:val="lrTb"/>
            <w:noWrap w:val="false"/>
          </w:tcPr>
          <w:p>
            <w:pPr>
              <w:pStyle w:val="961"/>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highlight w:val="none"/>
              </w:rPr>
            </w:r>
            <w:r/>
          </w:p>
        </w:tc>
        <w:tc>
          <w:tcPr>
            <w:tcW w:w="3296" w:type="dxa"/>
            <w:vAlign w:val="top"/>
            <w:textDirection w:val="lrTb"/>
            <w:noWrap w:val="false"/>
          </w:tcPr>
          <w:p>
            <w:pPr>
              <w:pStyle w:val="961"/>
              <w:jc w:val="center"/>
              <w:keepLines w:val="0"/>
              <w:pageBreakBefore w:val="0"/>
              <w:spacing w:line="400" w:lineRule="exact"/>
              <w:rPr>
                <w:rFonts w:ascii="Times New Roman" w:hAnsi="Times New Roman" w:eastAsia="方正仿宋_GBK" w:cs="Times New Roman"/>
                <w:color w:val="000000"/>
                <w:sz w:val="28"/>
                <w:szCs w:val="28"/>
                <w:highlight w:val="none"/>
              </w:rPr>
            </w:pPr>
            <w:r>
              <w:rPr>
                <w:rFonts w:hint="eastAsia" w:ascii="Times New Roman" w:hAnsi="Times New Roman" w:eastAsia="方正仿宋_GBK" w:cs="Times New Roman"/>
                <w:color w:val="000000"/>
                <w:sz w:val="28"/>
                <w:szCs w:val="28"/>
                <w:highlight w:val="none"/>
                <w:lang w:val="en-US" w:eastAsia="zh-CN"/>
              </w:rPr>
              <w:t xml:space="preserve">29</w:t>
            </w:r>
            <w:r>
              <w:rPr>
                <w:highlight w:val="none"/>
              </w:rPr>
            </w:r>
            <w:r/>
          </w:p>
        </w:tc>
      </w:tr>
    </w:tbl>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5.采购需求(简介)：</w:t>
      </w:r>
      <w:r>
        <w:rPr>
          <w:rFonts w:hint="eastAsia" w:ascii="Times New Roman" w:hAnsi="Times New Roman" w:eastAsia="方正仿宋_GBK" w:cs="Times New Roman"/>
          <w:color w:val="000000"/>
          <w:sz w:val="28"/>
          <w:szCs w:val="28"/>
          <w:highlight w:val="none"/>
          <w:lang w:eastAsia="zh-CN"/>
        </w:rPr>
        <w:t xml:space="preserve">江苏省南京监狱电梯及相关服务采购项目，采购1部病床电梯所需电梯全部设备、材料、随设备的备品配件及专用工具，运抵采购人工地现场，负责安装、调试，直至采购人所在地质量监督部门验收合格，交付采购人使用。</w:t>
      </w:r>
      <w:r>
        <w:rPr>
          <w:rFonts w:hint="eastAsia" w:ascii="方正仿宋_GBK" w:hAnsi="方正仿宋_GBK" w:eastAsia="方正仿宋_GBK" w:cs="方正仿宋_GBK"/>
          <w:color w:val="000000"/>
          <w:sz w:val="28"/>
          <w:szCs w:val="28"/>
          <w:highlight w:val="none"/>
        </w:rPr>
        <w:t xml:space="preserve">（详细内容见本招标文件第四章）</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6.合同履行期限</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仿宋_GBK" w:cs="Times New Roman"/>
          <w:color w:val="000000"/>
          <w:sz w:val="28"/>
          <w:szCs w:val="28"/>
          <w:highlight w:val="none"/>
          <w:lang w:eastAsia="zh-CN"/>
        </w:rPr>
        <w:t xml:space="preserve">自合同签订之日起</w:t>
      </w:r>
      <w:r>
        <w:rPr>
          <w:rFonts w:hint="eastAsia" w:ascii="Times New Roman" w:hAnsi="Times New Roman" w:eastAsia="方正仿宋_GBK" w:cs="Times New Roman"/>
          <w:color w:val="000000"/>
          <w:sz w:val="28"/>
          <w:szCs w:val="28"/>
          <w:highlight w:val="none"/>
          <w:lang w:val="en-US" w:eastAsia="zh-CN"/>
        </w:rPr>
        <w:t xml:space="preserve">40天内</w:t>
      </w:r>
      <w:r>
        <w:rPr>
          <w:rFonts w:hint="eastAsia" w:ascii="Times New Roman" w:hAnsi="Times New Roman" w:eastAsia="方正仿宋_GBK" w:cs="Times New Roman"/>
          <w:color w:val="000000"/>
          <w:sz w:val="28"/>
          <w:szCs w:val="28"/>
          <w:highlight w:val="none"/>
          <w:lang w:eastAsia="zh-CN"/>
        </w:rPr>
        <w:t xml:space="preserve">。</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Start w:id="12" w:name="_Toc28359080"/>
      <w:r>
        <w:rPr>
          <w:highlight w:val="none"/>
        </w:rPr>
      </w:r>
      <w:bookmarkStart w:id="13" w:name="_Toc28359003"/>
      <w:r>
        <w:rPr>
          <w:highlight w:val="none"/>
        </w:rPr>
      </w:r>
      <w:bookmarkStart w:id="14" w:name="_Toc35393622"/>
      <w:r>
        <w:rPr>
          <w:highlight w:val="none"/>
        </w:rPr>
      </w:r>
      <w:bookmarkStart w:id="15" w:name="_Toc38985264"/>
      <w:r>
        <w:rPr>
          <w:highlight w:val="none"/>
        </w:rPr>
      </w:r>
      <w:bookmarkStart w:id="16" w:name="_Toc35393791"/>
      <w:r>
        <w:rPr>
          <w:rFonts w:hint="eastAsia" w:ascii="方正黑体_GBK" w:hAnsi="方正黑体_GBK" w:eastAsia="方正黑体_GBK" w:cs="方正黑体_GBK"/>
          <w:color w:val="000000"/>
          <w:sz w:val="28"/>
          <w:szCs w:val="28"/>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961"/>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rPr>
          <w:highlight w:val="none"/>
        </w:rPr>
      </w:r>
      <w:bookmarkStart w:id="17" w:name="_Toc35393792"/>
      <w:r>
        <w:rPr>
          <w:highlight w:val="none"/>
        </w:rPr>
      </w:r>
      <w:bookmarkStart w:id="18" w:name="_Toc38985265"/>
      <w:r>
        <w:rPr>
          <w:highlight w:val="none"/>
        </w:rPr>
      </w:r>
      <w:bookmarkStart w:id="19" w:name="_Toc28359081"/>
      <w:r>
        <w:rPr>
          <w:highlight w:val="none"/>
        </w:rPr>
      </w:r>
      <w:bookmarkStart w:id="20" w:name="_Toc35393623"/>
      <w:r>
        <w:rPr>
          <w:highlight w:val="none"/>
        </w:rPr>
      </w:r>
      <w:bookmarkStart w:id="21" w:name="_Toc28359004"/>
      <w:r>
        <w:rPr>
          <w:rFonts w:hint="eastAsia" w:ascii="方正楷体_GBK" w:hAnsi="方正楷体_GBK" w:eastAsia="方正楷体_GBK" w:cs="方正楷体_GBK"/>
          <w:color w:val="000000"/>
          <w:sz w:val="28"/>
          <w:szCs w:val="28"/>
          <w:highlight w:val="none"/>
        </w:rPr>
        <w:t xml:space="preserve">（一）通用资格要求</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lang w:eastAsia="zh-CN"/>
        </w:rPr>
        <w:t xml:space="preserve">。</w:t>
      </w:r>
      <w:r>
        <w:rPr>
          <w:highlight w:val="none"/>
        </w:rPr>
      </w:r>
      <w:r/>
    </w:p>
    <w:p>
      <w:pPr>
        <w:pStyle w:val="961"/>
        <w:ind w:firstLine="560"/>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61"/>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highlight w:val="none"/>
              </w:rPr>
            </w:r>
            <w:r/>
          </w:p>
          <w:p>
            <w:pPr>
              <w:pStyle w:val="961"/>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highlight w:val="none"/>
              </w:rPr>
            </w:r>
            <w:r/>
          </w:p>
        </w:tc>
        <w:tc>
          <w:tcPr>
            <w:tcW w:w="2968" w:type="dxa"/>
            <w:vAlign w:val="top"/>
            <w:textDirection w:val="lrTb"/>
            <w:noWrap w:val="false"/>
          </w:tcPr>
          <w:p>
            <w:pPr>
              <w:pStyle w:val="961"/>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rPr>
                <w:highlight w:val="none"/>
              </w:rPr>
            </w:r>
            <w:r/>
          </w:p>
        </w:tc>
        <w:tc>
          <w:tcPr>
            <w:tcW w:w="2967" w:type="dxa"/>
            <w:vAlign w:val="top"/>
            <w:textDirection w:val="lrTb"/>
            <w:noWrap w:val="false"/>
          </w:tcPr>
          <w:p>
            <w:pPr>
              <w:pStyle w:val="961"/>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rPr>
                <w:highlight w:val="none"/>
              </w:rPr>
            </w:r>
            <w:r/>
          </w:p>
        </w:tc>
      </w:tr>
      <w:tr>
        <w:trPr/>
        <w:tc>
          <w:tcPr>
            <w:tcW w:w="1148" w:type="dxa"/>
            <w:vAlign w:val="top"/>
            <w:textDirection w:val="lrTb"/>
            <w:noWrap w:val="false"/>
          </w:tcPr>
          <w:p>
            <w:pPr>
              <w:pStyle w:val="961"/>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2968" w:type="dxa"/>
            <w:vAlign w:val="top"/>
            <w:textDirection w:val="lrTb"/>
            <w:noWrap w:val="false"/>
          </w:tcPr>
          <w:p>
            <w:pPr>
              <w:pStyle w:val="961"/>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highlight w:val="none"/>
              </w:rPr>
            </w:r>
            <w:r/>
          </w:p>
        </w:tc>
        <w:tc>
          <w:tcPr>
            <w:tcW w:w="2967" w:type="dxa"/>
            <w:vAlign w:val="top"/>
            <w:textDirection w:val="lrTb"/>
            <w:noWrap w:val="false"/>
          </w:tcPr>
          <w:p>
            <w:pPr>
              <w:pStyle w:val="961"/>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tc>
      </w:tr>
    </w:tbl>
    <w:p>
      <w:pPr>
        <w:pStyle w:val="961"/>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61"/>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highlight w:val="none"/>
              </w:rPr>
            </w:r>
            <w:r/>
          </w:p>
          <w:p>
            <w:pPr>
              <w:pStyle w:val="961"/>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highlight w:val="none"/>
              </w:rPr>
            </w:r>
            <w:r/>
          </w:p>
        </w:tc>
        <w:tc>
          <w:tcPr>
            <w:tcW w:w="5921" w:type="dxa"/>
            <w:vAlign w:val="top"/>
            <w:textDirection w:val="lrTb"/>
            <w:noWrap w:val="false"/>
          </w:tcPr>
          <w:p>
            <w:pPr>
              <w:pStyle w:val="961"/>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highlight w:val="none"/>
              </w:rPr>
            </w:r>
            <w:r/>
          </w:p>
        </w:tc>
      </w:tr>
      <w:tr>
        <w:trPr/>
        <w:tc>
          <w:tcPr>
            <w:tcW w:w="1148" w:type="dxa"/>
            <w:vAlign w:val="top"/>
            <w:textDirection w:val="lrTb"/>
            <w:noWrap w:val="false"/>
          </w:tcPr>
          <w:p>
            <w:pPr>
              <w:pStyle w:val="961"/>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5921" w:type="dxa"/>
            <w:vAlign w:val="top"/>
            <w:textDirection w:val="lrTb"/>
            <w:noWrap w:val="false"/>
          </w:tcPr>
          <w:p>
            <w:pPr>
              <w:pStyle w:val="961"/>
              <w:jc w:val="left"/>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（1）投标人如为电梯制造商，须具有效期内的特种设备安装改造维修许可证（电梯）资质和特种设备制造许可证资质（电梯）或具有新证《中华人民共和国特种设备生产许可证》，其许可子项目需包含</w:t>
            </w:r>
            <w:r>
              <w:rPr>
                <w:rFonts w:hint="eastAsia" w:ascii="方正仿宋_GBK" w:hAnsi="方正仿宋_GBK" w:eastAsia="方正仿宋_GBK" w:cs="方正仿宋_GBK"/>
                <w:sz w:val="28"/>
                <w:szCs w:val="28"/>
                <w:highlight w:val="none"/>
              </w:rPr>
              <w:t xml:space="preserve">曳引驱动乘客电梯安装</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 </w:t>
            </w:r>
            <w:r>
              <w:rPr>
                <w:highlight w:val="none"/>
              </w:rPr>
            </w:r>
            <w:r/>
          </w:p>
          <w:p>
            <w:pPr>
              <w:pStyle w:val="961"/>
              <w:jc w:val="left"/>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人如为经销商或代理商，须具有有效期内的特种设备安装改造维修许可证（电梯）资质或新证《中华人民共和国特种设备生产许可证》（含安装、维修），并同时提供所投电梯制造商有效期内的特种设备制造许可证资质（电梯）或者新证《中华人民共和国特种设备生产许可证》，其许可子项目需包含</w:t>
            </w:r>
            <w:r>
              <w:rPr>
                <w:rFonts w:hint="eastAsia" w:ascii="方正仿宋_GBK" w:hAnsi="方正仿宋_GBK" w:eastAsia="方正仿宋_GBK" w:cs="方正仿宋_GBK"/>
                <w:sz w:val="28"/>
                <w:szCs w:val="28"/>
                <w:highlight w:val="none"/>
              </w:rPr>
              <w:t xml:space="preserve">曳引驱动乘客电梯安装。</w:t>
            </w:r>
            <w:r>
              <w:rPr>
                <w:highlight w:val="none"/>
              </w:rPr>
            </w:r>
            <w:r/>
          </w:p>
        </w:tc>
      </w:tr>
    </w:tbl>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bookmarkStart w:id="22" w:name="_Toc28359082"/>
      <w:r>
        <w:rPr>
          <w:highlight w:val="none"/>
        </w:rPr>
      </w:r>
      <w:bookmarkStart w:id="23" w:name="_Toc28359005"/>
      <w:r>
        <w:rPr>
          <w:highlight w:val="none"/>
        </w:rPr>
      </w:r>
      <w:bookmarkStart w:id="24" w:name="_Toc35393624"/>
      <w:r>
        <w:rPr>
          <w:highlight w:val="none"/>
        </w:rPr>
      </w:r>
      <w:bookmarkStart w:id="25" w:name="_Toc38985266"/>
      <w:r>
        <w:rPr>
          <w:highlight w:val="none"/>
        </w:rPr>
      </w:r>
      <w:bookmarkStart w:id="26" w:name="_Toc35393793"/>
      <w:r>
        <w:rPr>
          <w:rFonts w:hint="eastAsia" w:ascii="方正黑体_GBK" w:hAnsi="方正黑体_GBK" w:eastAsia="方正黑体_GBK" w:cs="方正黑体_GBK"/>
          <w:color w:val="000000"/>
          <w:sz w:val="28"/>
          <w:szCs w:val="28"/>
          <w:highlight w:val="none"/>
        </w:rPr>
        <w:t xml:space="preserve">四、提交投标文件</w:t>
      </w:r>
      <w:bookmarkEnd w:id="22"/>
      <w:r>
        <w:rPr>
          <w:highlight w:val="none"/>
        </w:rPr>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rPr>
          <w:highlight w:val="none"/>
        </w:rPr>
      </w:r>
      <w:bookmarkEnd w:id="25"/>
      <w:r>
        <w:rPr>
          <w:highlight w:val="none"/>
        </w:rPr>
      </w:r>
      <w:bookmarkEnd w:id="26"/>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年10</w:t>
      </w:r>
      <w:r>
        <w:rPr>
          <w:rFonts w:hint="eastAsia" w:ascii="方正仿宋_GBK" w:hAnsi="方正仿宋_GBK" w:eastAsia="方正仿宋_GBK" w:cs="方正仿宋_GBK"/>
          <w:bCs/>
          <w:color w:val="000000"/>
          <w:sz w:val="28"/>
          <w:szCs w:val="28"/>
          <w:highlight w:val="none"/>
          <w:u w:val="none"/>
        </w:rPr>
        <w:t xml:space="preserve">月</w:t>
      </w:r>
      <w:r>
        <w:rPr>
          <w:rFonts w:hint="eastAsia" w:ascii="Times New Roman" w:hAnsi="Times New Roman" w:eastAsia="方正仿宋_GBK" w:cs="Times New Roman"/>
          <w:color w:val="000000"/>
          <w:sz w:val="28"/>
          <w:szCs w:val="28"/>
          <w:highlight w:val="none"/>
          <w:lang w:val="en-US" w:eastAsia="zh-CN"/>
        </w:rPr>
        <w:t xml:space="preserve">14</w:t>
      </w:r>
      <w:r>
        <w:rPr>
          <w:rFonts w:hint="eastAsia" w:ascii="方正仿宋_GBK" w:hAnsi="方正仿宋_GBK" w:eastAsia="方正仿宋_GBK" w:cs="方正仿宋_GBK"/>
          <w:bCs/>
          <w:color w:val="000000"/>
          <w:sz w:val="28"/>
          <w:szCs w:val="28"/>
          <w:highlight w:val="none"/>
          <w:u w:val="none"/>
        </w:rPr>
        <w:t xml:space="preserve">日9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Times New Roman" w:hAnsi="Times New Roman"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分（北京时间</w:t>
      </w:r>
      <w:r>
        <w:rPr>
          <w:rFonts w:hint="eastAsia" w:ascii="方正仿宋_GBK" w:hAnsi="方正仿宋_GBK" w:eastAsia="方正仿宋_GBK" w:cs="方正仿宋_GBK"/>
          <w:bCs/>
          <w:color w:val="000000"/>
          <w:sz w:val="28"/>
          <w:szCs w:val="28"/>
          <w:highlight w:val="none"/>
          <w:u w:val="none"/>
          <w:lang w:eastAsia="zh-CN"/>
        </w:rPr>
        <w:t xml:space="preserve">）</w:t>
      </w:r>
      <w:r>
        <w:rPr>
          <w:rFonts w:hint="eastAsia" w:ascii="方正仿宋_GBK" w:hAnsi="方正仿宋_GBK" w:eastAsia="方正仿宋_GBK" w:cs="方正仿宋_GBK"/>
          <w:sz w:val="28"/>
          <w:szCs w:val="28"/>
          <w:highlight w:val="none"/>
        </w:rPr>
        <w:t xml:space="preserve">。</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Start w:id="27" w:name="_Toc38985267"/>
      <w:r>
        <w:rPr>
          <w:highlight w:val="none"/>
        </w:rPr>
      </w:r>
      <w:bookmarkStart w:id="28" w:name="_Toc28359084"/>
      <w:r>
        <w:rPr>
          <w:highlight w:val="none"/>
        </w:rPr>
      </w:r>
      <w:bookmarkStart w:id="29" w:name="_Toc28359007"/>
      <w:r>
        <w:rPr>
          <w:highlight w:val="none"/>
        </w:rPr>
      </w:r>
      <w:bookmarkStart w:id="30" w:name="_Toc35393625"/>
      <w:r>
        <w:rPr>
          <w:highlight w:val="none"/>
        </w:rPr>
      </w:r>
      <w:bookmarkStart w:id="31" w:name="_Toc35393794"/>
      <w:r>
        <w:rPr>
          <w:rFonts w:hint="eastAsia" w:ascii="方正黑体_GBK" w:hAnsi="方正黑体_GBK" w:eastAsia="方正黑体_GBK" w:cs="方正黑体_GBK"/>
          <w:color w:val="000000"/>
          <w:sz w:val="28"/>
          <w:szCs w:val="28"/>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Start w:id="32" w:name="_Toc35393626"/>
      <w:r>
        <w:rPr>
          <w:highlight w:val="none"/>
        </w:rPr>
      </w:r>
      <w:bookmarkStart w:id="33" w:name="_Toc38985268"/>
      <w:r>
        <w:rPr>
          <w:highlight w:val="none"/>
        </w:rPr>
      </w:r>
      <w:bookmarkStart w:id="34" w:name="_Toc35393795"/>
      <w:r>
        <w:rPr>
          <w:rFonts w:hint="eastAsia" w:ascii="方正黑体_GBK" w:hAnsi="方正黑体_GBK" w:eastAsia="方正黑体_GBK" w:cs="方正黑体_GBK"/>
          <w:color w:val="000000"/>
          <w:sz w:val="28"/>
          <w:szCs w:val="28"/>
          <w:highlight w:val="none"/>
        </w:rPr>
        <w:t xml:space="preserve">六、其他补充事宜</w:t>
      </w:r>
      <w:bookmarkEnd w:id="32"/>
      <w:r>
        <w:rPr>
          <w:highlight w:val="none"/>
        </w:rPr>
      </w:r>
      <w:bookmarkEnd w:id="33"/>
      <w:r>
        <w:rPr>
          <w:highlight w:val="none"/>
        </w:rPr>
      </w:r>
      <w:bookmarkEnd w:id="34"/>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lang w:eastAsia="zh-CN"/>
        </w:rPr>
        <w:t xml:space="preserve">。</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Start w:id="35" w:name="_Toc28359008"/>
      <w:r>
        <w:rPr>
          <w:highlight w:val="none"/>
        </w:rPr>
      </w:r>
      <w:bookmarkStart w:id="36" w:name="_Toc35393627"/>
      <w:r>
        <w:rPr>
          <w:highlight w:val="none"/>
        </w:rPr>
      </w:r>
      <w:bookmarkStart w:id="37" w:name="_Toc28359085"/>
      <w:r>
        <w:rPr>
          <w:highlight w:val="none"/>
        </w:rPr>
      </w:r>
      <w:bookmarkStart w:id="38" w:name="_Toc38985269"/>
      <w:r>
        <w:rPr>
          <w:highlight w:val="none"/>
        </w:rPr>
      </w:r>
      <w:bookmarkStart w:id="39" w:name="_Toc35393796"/>
      <w:r>
        <w:rPr>
          <w:rFonts w:hint="eastAsia" w:ascii="方正黑体_GBK" w:hAnsi="方正黑体_GBK" w:eastAsia="方正黑体_GBK" w:cs="方正黑体_GBK"/>
          <w:color w:val="000000"/>
          <w:sz w:val="28"/>
          <w:szCs w:val="28"/>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p>
    <w:p>
      <w:pPr>
        <w:pStyle w:val="961"/>
        <w:jc w:val="left"/>
        <w:keepLines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rPr>
          <w:highlight w:val="none"/>
        </w:rPr>
      </w:r>
      <w:r/>
    </w:p>
    <w:p>
      <w:pPr>
        <w:pStyle w:val="961"/>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u w:val="single"/>
        </w:rPr>
      </w:pPr>
      <w:r>
        <w:rPr>
          <w:highlight w:val="none"/>
        </w:rPr>
      </w:r>
      <w:bookmarkStart w:id="40" w:name="_Toc28359009"/>
      <w:r>
        <w:rPr>
          <w:highlight w:val="none"/>
        </w:rPr>
      </w:r>
      <w:bookmarkStart w:id="41" w:name="_Toc28359086"/>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江苏省南京监狱</w:t>
      </w:r>
      <w:r>
        <w:rPr>
          <w:highlight w:val="none"/>
        </w:rPr>
      </w:r>
      <w:r/>
    </w:p>
    <w:p>
      <w:pPr>
        <w:pStyle w:val="961"/>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南京市雨花台区宁双路9号</w:t>
      </w:r>
      <w:r>
        <w:rPr>
          <w:highlight w:val="none"/>
        </w:rPr>
      </w:r>
      <w:r/>
    </w:p>
    <w:p>
      <w:pPr>
        <w:pStyle w:val="961"/>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狄工</w:t>
      </w:r>
      <w:r>
        <w:rPr>
          <w:highlight w:val="none"/>
        </w:rPr>
      </w:r>
      <w:r/>
    </w:p>
    <w:p>
      <w:pPr>
        <w:pStyle w:val="961"/>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025-52353741</w:t>
      </w:r>
      <w:r>
        <w:rPr>
          <w:highlight w:val="none"/>
        </w:rPr>
      </w:r>
      <w:r/>
    </w:p>
    <w:p>
      <w:pPr>
        <w:pStyle w:val="961"/>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rPr>
          <w:highlight w:val="none"/>
        </w:rPr>
      </w:r>
      <w:bookmarkEnd w:id="41"/>
      <w:r>
        <w:rPr>
          <w:highlight w:val="none"/>
        </w:rPr>
      </w:r>
      <w:r/>
    </w:p>
    <w:p>
      <w:pPr>
        <w:pStyle w:val="961"/>
        <w:ind w:firstLine="560"/>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南京市汉中门大街145号省政务中心二期3楼南区</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ind w:firstLine="560"/>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厉彬彬、唐文</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ind w:firstLine="560"/>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2" w:name="_Toc28359010"/>
      <w:r>
        <w:rPr>
          <w:highlight w:val="none"/>
        </w:rPr>
      </w:r>
      <w:bookmarkStart w:id="43" w:name="_Toc28359087"/>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025-83668517/83668519</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End w:id="42"/>
      <w:r>
        <w:rPr>
          <w:highlight w:val="none"/>
        </w:rPr>
      </w:r>
      <w:bookmarkEnd w:id="43"/>
      <w:r>
        <w:rPr>
          <w:rFonts w:hint="eastAsia" w:ascii="方正黑体_GBK" w:hAnsi="方正黑体_GBK" w:eastAsia="方正黑体_GBK" w:cs="方正黑体_GBK"/>
          <w:color w:val="000000"/>
          <w:sz w:val="28"/>
          <w:szCs w:val="28"/>
          <w:highlight w:val="none"/>
        </w:rPr>
        <w:t xml:space="preserve">八、其他</w:t>
      </w:r>
      <w:r>
        <w:rPr>
          <w:highlight w:val="none"/>
        </w:rPr>
      </w:r>
      <w:r/>
    </w:p>
    <w:p>
      <w:pPr>
        <w:pStyle w:val="96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highlight w:val="none"/>
          <w:lang w:eastAsia="zh-CN"/>
        </w:rPr>
        <w:t xml:space="preserve">http://www.ccgp-jiangsu.gov.cn/jiangsu/zlxz/ee/ee3a4bc5a3454aa2b0d9312230633ce9.html。</w:t>
      </w:r>
      <w:r>
        <w:rPr>
          <w:highlight w:val="none"/>
        </w:rPr>
      </w:r>
      <w:r/>
    </w:p>
    <w:p>
      <w:pPr>
        <w:pStyle w:val="96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highlight w:val="none"/>
        </w:rPr>
      </w:r>
      <w:r/>
    </w:p>
    <w:p>
      <w:pPr>
        <w:pStyle w:val="96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rPr>
          <w:highlight w:val="none"/>
        </w:rPr>
      </w:r>
      <w:r/>
    </w:p>
    <w:p>
      <w:pPr>
        <w:pStyle w:val="96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rPr>
          <w:highlight w:val="none"/>
        </w:rPr>
      </w:r>
      <w:r/>
    </w:p>
    <w:p>
      <w:pPr>
        <w:pStyle w:val="961"/>
        <w:ind w:right="840"/>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61"/>
        <w:ind w:right="840"/>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61"/>
        <w:ind w:right="840"/>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61"/>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Start w:id="44" w:name="_Toc120614221"/>
      <w:r>
        <w:rPr>
          <w:highlight w:val="none"/>
        </w:rPr>
      </w:r>
      <w:bookmarkStart w:id="45" w:name="_Toc16938558"/>
      <w:r>
        <w:rPr>
          <w:highlight w:val="none"/>
        </w:rPr>
      </w:r>
      <w:bookmarkStart w:id="46" w:name="_Toc20823314"/>
      <w:r>
        <w:rPr>
          <w:highlight w:val="none"/>
        </w:rPr>
      </w:r>
      <w:bookmarkStart w:id="47" w:name="_Toc513029242"/>
      <w:r>
        <w:rPr>
          <w:highlight w:val="none"/>
        </w:rPr>
      </w:r>
      <w:bookmarkStart w:id="48" w:name="_Toc479757207"/>
      <w:r>
        <w:rPr>
          <w:rFonts w:hint="eastAsia" w:ascii="方正黑体_GBK" w:hAnsi="方正黑体_GBK" w:eastAsia="方正黑体_GBK" w:cs="方正黑体_GBK"/>
          <w:color w:val="000000"/>
          <w:sz w:val="28"/>
          <w:szCs w:val="28"/>
          <w:highlight w:val="none"/>
        </w:rPr>
        <w:t xml:space="preserve">第二章  </w:t>
      </w:r>
      <w:bookmarkStart w:id="49" w:name="_Toc20823274"/>
      <w:r>
        <w:rPr>
          <w:highlight w:val="none"/>
        </w:rPr>
      </w:r>
      <w:bookmarkStart w:id="50" w:name="_Toc513029202"/>
      <w:r>
        <w:rPr>
          <w:highlight w:val="none"/>
        </w:rPr>
      </w:r>
      <w:bookmarkStart w:id="51" w:name="_Toc16938518"/>
      <w:r>
        <w:rPr>
          <w:highlight w:val="none"/>
        </w:rPr>
      </w:r>
      <w:bookmarkStart w:id="52" w:name="_Toc120614213"/>
      <w:r>
        <w:rPr>
          <w:rFonts w:hint="eastAsia" w:ascii="方正黑体_GBK" w:hAnsi="方正黑体_GBK" w:eastAsia="方正黑体_GBK" w:cs="方正黑体_GBK"/>
          <w:color w:val="000000"/>
          <w:sz w:val="28"/>
          <w:szCs w:val="28"/>
          <w:highlight w:val="none"/>
        </w:rPr>
        <w:t xml:space="preserve">投标人须知</w:t>
      </w:r>
      <w:bookmarkEnd w:id="49"/>
      <w:r>
        <w:rPr>
          <w:highlight w:val="none"/>
        </w:rPr>
      </w:r>
      <w:bookmarkEnd w:id="50"/>
      <w:r>
        <w:rPr>
          <w:highlight w:val="none"/>
        </w:rPr>
      </w:r>
      <w:bookmarkEnd w:id="51"/>
      <w:r>
        <w:rPr>
          <w:highlight w:val="none"/>
        </w:rPr>
      </w:r>
      <w:bookmarkEnd w:id="52"/>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Start w:id="53" w:name="_Toc16938519"/>
      <w:r>
        <w:rPr>
          <w:highlight w:val="none"/>
        </w:rPr>
      </w:r>
      <w:bookmarkStart w:id="54" w:name="_Toc20823275"/>
      <w:r>
        <w:rPr>
          <w:highlight w:val="none"/>
        </w:rPr>
      </w:r>
      <w:bookmarkStart w:id="55" w:name="_Toc513029203"/>
      <w:r>
        <w:rPr>
          <w:highlight w:val="none"/>
        </w:rPr>
      </w:r>
      <w:bookmarkStart w:id="56" w:name="_Toc120614214"/>
      <w:r>
        <w:rPr>
          <w:rFonts w:hint="eastAsia" w:ascii="方正黑体_GBK" w:hAnsi="方正黑体_GBK" w:eastAsia="方正黑体_GBK" w:cs="方正黑体_GBK"/>
          <w:color w:val="000000"/>
          <w:sz w:val="28"/>
          <w:szCs w:val="28"/>
          <w:highlight w:val="none"/>
        </w:rPr>
        <w:t xml:space="preserve">一、总则</w:t>
      </w:r>
      <w:bookmarkEnd w:id="53"/>
      <w:r>
        <w:rPr>
          <w:highlight w:val="none"/>
        </w:rPr>
      </w:r>
      <w:bookmarkEnd w:id="54"/>
      <w:r>
        <w:rPr>
          <w:highlight w:val="none"/>
        </w:rPr>
      </w:r>
      <w:bookmarkEnd w:id="55"/>
      <w:r>
        <w:rPr>
          <w:highlight w:val="none"/>
        </w:rPr>
      </w:r>
      <w:bookmarkEnd w:id="56"/>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57" w:name="_Hlt16619475"/>
      <w:r>
        <w:rPr>
          <w:highlight w:val="none"/>
        </w:rPr>
      </w:r>
      <w:bookmarkEnd w:id="57"/>
      <w:r>
        <w:rPr>
          <w:highlight w:val="none"/>
        </w:rPr>
      </w:r>
      <w:bookmarkStart w:id="58" w:name="_Toc458694821"/>
      <w:r>
        <w:rPr>
          <w:highlight w:val="none"/>
        </w:rPr>
      </w:r>
      <w:bookmarkStart w:id="59" w:name="_Toc513029204"/>
      <w:r>
        <w:rPr>
          <w:highlight w:val="none"/>
        </w:rPr>
      </w:r>
      <w:bookmarkStart w:id="60" w:name="_Toc16938520"/>
      <w:r>
        <w:rPr>
          <w:highlight w:val="none"/>
        </w:rPr>
      </w:r>
      <w:bookmarkStart w:id="61" w:name="_Toc20823276"/>
      <w:r>
        <w:rPr>
          <w:rFonts w:hint="eastAsia" w:ascii="方正仿宋_GBK" w:hAnsi="方正仿宋_GBK" w:eastAsia="方正仿宋_GBK" w:cs="方正仿宋_GBK"/>
          <w:bCs/>
          <w:sz w:val="28"/>
          <w:szCs w:val="28"/>
          <w:highlight w:val="none"/>
        </w:rPr>
        <w:t xml:space="preserve">1</w:t>
      </w:r>
      <w:bookmarkEnd w:id="58"/>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招标方式</w:t>
      </w:r>
      <w:bookmarkEnd w:id="59"/>
      <w:r>
        <w:rPr>
          <w:highlight w:val="none"/>
        </w:rPr>
      </w:r>
      <w:bookmarkEnd w:id="60"/>
      <w:r>
        <w:rPr>
          <w:highlight w:val="none"/>
        </w:rPr>
      </w:r>
      <w:bookmarkEnd w:id="61"/>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62" w:name="_Toc20823277"/>
      <w:r>
        <w:rPr>
          <w:highlight w:val="none"/>
        </w:rPr>
      </w:r>
      <w:bookmarkStart w:id="63" w:name="_Toc513029205"/>
      <w:r>
        <w:rPr>
          <w:highlight w:val="none"/>
        </w:rPr>
      </w:r>
      <w:bookmarkStart w:id="64" w:name="_Toc16938521"/>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合格的投标人</w:t>
      </w:r>
      <w:bookmarkEnd w:id="62"/>
      <w:r>
        <w:rPr>
          <w:highlight w:val="none"/>
        </w:rPr>
      </w:r>
      <w:bookmarkEnd w:id="63"/>
      <w:r>
        <w:rPr>
          <w:highlight w:val="none"/>
        </w:rPr>
      </w:r>
      <w:bookmarkEnd w:id="64"/>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65" w:name="_Toc16938522"/>
      <w:r>
        <w:rPr>
          <w:highlight w:val="none"/>
        </w:rPr>
      </w:r>
      <w:bookmarkStart w:id="66" w:name="_Toc513029206"/>
      <w:r>
        <w:rPr>
          <w:highlight w:val="none"/>
        </w:rPr>
      </w:r>
      <w:bookmarkStart w:id="67" w:name="_Toc20823278"/>
      <w:r>
        <w:rPr>
          <w:rFonts w:hint="eastAsia" w:ascii="方正仿宋_GBK" w:hAnsi="方正仿宋_GBK" w:eastAsia="方正仿宋_GBK" w:cs="方正仿宋_GBK"/>
          <w:bCs/>
          <w:sz w:val="28"/>
          <w:szCs w:val="28"/>
          <w:highlight w:val="none"/>
        </w:rPr>
        <w:t xml:space="preserve">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适用法律</w:t>
      </w:r>
      <w:bookmarkEnd w:id="65"/>
      <w:r>
        <w:rPr>
          <w:highlight w:val="none"/>
        </w:rPr>
      </w:r>
      <w:bookmarkEnd w:id="66"/>
      <w:r>
        <w:rPr>
          <w:highlight w:val="none"/>
        </w:rPr>
      </w:r>
      <w:bookmarkEnd w:id="67"/>
      <w:r>
        <w:rPr>
          <w:rFonts w:hint="eastAsia" w:ascii="方正仿宋_GBK" w:hAnsi="方正仿宋_GBK" w:eastAsia="方正仿宋_GBK" w:cs="方正仿宋_GBK"/>
          <w:bCs/>
          <w:sz w:val="28"/>
          <w:szCs w:val="28"/>
          <w:highlight w:val="none"/>
          <w:lang w:eastAsia="zh-CN"/>
        </w:rPr>
        <w:t xml:space="preserve">和标准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3.2 在本项目政府采购活动过程中，如果所执行的标准有更新的，按照最新标准执行。</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68" w:name="_Toc513029207"/>
      <w:r>
        <w:rPr>
          <w:highlight w:val="none"/>
        </w:rPr>
      </w:r>
      <w:bookmarkStart w:id="69" w:name="_Toc20823279"/>
      <w:r>
        <w:rPr>
          <w:highlight w:val="none"/>
        </w:rPr>
      </w:r>
      <w:bookmarkStart w:id="70" w:name="_Toc462564067"/>
      <w:r>
        <w:rPr>
          <w:highlight w:val="none"/>
        </w:rPr>
      </w:r>
      <w:bookmarkStart w:id="71" w:name="_Toc16938523"/>
      <w:r>
        <w:rPr>
          <w:rFonts w:hint="eastAsia" w:ascii="方正仿宋_GBK" w:hAnsi="方正仿宋_GBK" w:eastAsia="方正仿宋_GBK" w:cs="方正仿宋_GBK"/>
          <w:bCs/>
          <w:sz w:val="28"/>
          <w:szCs w:val="28"/>
          <w:highlight w:val="none"/>
        </w:rPr>
        <w:t xml:space="preserve">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投标费用</w:t>
      </w:r>
      <w:bookmarkEnd w:id="68"/>
      <w:r>
        <w:rPr>
          <w:highlight w:val="none"/>
        </w:rPr>
      </w:r>
      <w:bookmarkEnd w:id="69"/>
      <w:r>
        <w:rPr>
          <w:highlight w:val="none"/>
        </w:rPr>
      </w:r>
      <w:bookmarkEnd w:id="70"/>
      <w:r>
        <w:rPr>
          <w:highlight w:val="none"/>
        </w:rPr>
      </w:r>
      <w:bookmarkEnd w:id="71"/>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招标文件的约束力</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Start w:id="72" w:name="_Toc513029209"/>
      <w:r>
        <w:rPr>
          <w:highlight w:val="none"/>
        </w:rPr>
      </w:r>
      <w:bookmarkStart w:id="73" w:name="_Toc20823281"/>
      <w:r>
        <w:rPr>
          <w:highlight w:val="none"/>
        </w:rPr>
      </w:r>
      <w:bookmarkStart w:id="74" w:name="_Toc16938525"/>
      <w:r>
        <w:rPr>
          <w:highlight w:val="none"/>
        </w:rPr>
      </w:r>
      <w:bookmarkStart w:id="75" w:name="_Toc120614215"/>
      <w:r>
        <w:rPr>
          <w:rFonts w:hint="eastAsia" w:ascii="方正黑体_GBK" w:hAnsi="方正黑体_GBK" w:eastAsia="方正黑体_GBK" w:cs="方正黑体_GBK"/>
          <w:color w:val="000000"/>
          <w:sz w:val="28"/>
          <w:szCs w:val="28"/>
          <w:highlight w:val="none"/>
        </w:rPr>
        <w:t xml:space="preserve">二、招标文件</w:t>
      </w:r>
      <w:bookmarkEnd w:id="72"/>
      <w:r>
        <w:rPr>
          <w:highlight w:val="none"/>
        </w:rPr>
      </w:r>
      <w:bookmarkEnd w:id="73"/>
      <w:r>
        <w:rPr>
          <w:highlight w:val="none"/>
        </w:rPr>
      </w:r>
      <w:bookmarkEnd w:id="74"/>
      <w:r>
        <w:rPr>
          <w:highlight w:val="none"/>
        </w:rPr>
      </w:r>
      <w:bookmarkEnd w:id="75"/>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76" w:name="_Toc513029210"/>
      <w:r>
        <w:rPr>
          <w:highlight w:val="none"/>
        </w:rPr>
      </w:r>
      <w:bookmarkStart w:id="77" w:name="_Toc16938526"/>
      <w:r>
        <w:rPr>
          <w:highlight w:val="none"/>
        </w:rPr>
      </w:r>
      <w:bookmarkStart w:id="78" w:name="_Toc20823282"/>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招标文件构成</w:t>
      </w:r>
      <w:bookmarkEnd w:id="76"/>
      <w:r>
        <w:rPr>
          <w:highlight w:val="none"/>
        </w:rPr>
      </w:r>
      <w:bookmarkEnd w:id="77"/>
      <w:r>
        <w:rPr>
          <w:highlight w:val="none"/>
        </w:rPr>
      </w:r>
      <w:bookmarkEnd w:id="78"/>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79" w:name="_Toc20823284"/>
      <w:r>
        <w:rPr>
          <w:highlight w:val="none"/>
        </w:rPr>
      </w:r>
      <w:bookmarkStart w:id="80" w:name="_Toc16938528"/>
      <w:r>
        <w:rPr>
          <w:highlight w:val="none"/>
        </w:rPr>
      </w:r>
      <w:bookmarkStart w:id="81" w:name="_Toc462564071"/>
      <w:r>
        <w:rPr>
          <w:highlight w:val="none"/>
        </w:rPr>
      </w:r>
      <w:bookmarkStart w:id="82" w:name="_Toc513029212"/>
      <w:r>
        <w:rPr>
          <w:rFonts w:hint="eastAsia" w:ascii="方正仿宋_GBK" w:hAnsi="方正仿宋_GBK" w:eastAsia="方正仿宋_GBK" w:cs="方正仿宋_GBK"/>
          <w:bCs/>
          <w:sz w:val="28"/>
          <w:szCs w:val="28"/>
          <w:highlight w:val="none"/>
        </w:rPr>
        <w:t xml:space="preserve">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招标文件的修改</w:t>
      </w:r>
      <w:bookmarkEnd w:id="79"/>
      <w:r>
        <w:rPr>
          <w:highlight w:val="none"/>
        </w:rPr>
      </w:r>
      <w:bookmarkEnd w:id="80"/>
      <w:r>
        <w:rPr>
          <w:highlight w:val="none"/>
        </w:rPr>
      </w:r>
      <w:bookmarkEnd w:id="81"/>
      <w:r>
        <w:rPr>
          <w:highlight w:val="none"/>
        </w:rPr>
      </w:r>
      <w:bookmarkEnd w:id="82"/>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Start w:id="83" w:name="_Toc120614216"/>
      <w:r>
        <w:rPr>
          <w:highlight w:val="none"/>
        </w:rPr>
      </w:r>
      <w:bookmarkStart w:id="84" w:name="_Toc513029213"/>
      <w:r>
        <w:rPr>
          <w:highlight w:val="none"/>
        </w:rPr>
      </w:r>
      <w:bookmarkStart w:id="85" w:name="_Toc20823285"/>
      <w:r>
        <w:rPr>
          <w:highlight w:val="none"/>
        </w:rPr>
      </w:r>
      <w:bookmarkStart w:id="86" w:name="_Toc16938529"/>
      <w:r>
        <w:rPr>
          <w:highlight w:val="none"/>
        </w:rPr>
      </w:r>
      <w:bookmarkStart w:id="87" w:name="_Toc462564072"/>
      <w:r>
        <w:rPr>
          <w:rFonts w:hint="eastAsia" w:ascii="方正黑体_GBK" w:hAnsi="方正黑体_GBK" w:eastAsia="方正黑体_GBK" w:cs="方正黑体_GBK"/>
          <w:color w:val="000000"/>
          <w:sz w:val="28"/>
          <w:szCs w:val="28"/>
          <w:highlight w:val="none"/>
        </w:rPr>
        <w:t xml:space="preserve">三、投标文件的编制</w:t>
      </w:r>
      <w:bookmarkEnd w:id="83"/>
      <w:r>
        <w:rPr>
          <w:highlight w:val="none"/>
        </w:rPr>
      </w:r>
      <w:bookmarkEnd w:id="84"/>
      <w:r>
        <w:rPr>
          <w:highlight w:val="none"/>
        </w:rPr>
      </w:r>
      <w:bookmarkEnd w:id="85"/>
      <w:r>
        <w:rPr>
          <w:highlight w:val="none"/>
        </w:rPr>
      </w:r>
      <w:bookmarkEnd w:id="86"/>
      <w:r>
        <w:rPr>
          <w:highlight w:val="none"/>
        </w:rPr>
      </w:r>
      <w:bookmarkEnd w:id="87"/>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88" w:name="_Toc20823286"/>
      <w:r>
        <w:rPr>
          <w:highlight w:val="none"/>
        </w:rPr>
      </w:r>
      <w:bookmarkStart w:id="89" w:name="_Toc462564073"/>
      <w:r>
        <w:rPr>
          <w:highlight w:val="none"/>
        </w:rPr>
      </w:r>
      <w:bookmarkStart w:id="90" w:name="_Toc16938530"/>
      <w:r>
        <w:rPr>
          <w:highlight w:val="none"/>
        </w:rPr>
      </w:r>
      <w:bookmarkStart w:id="91" w:name="_Toc513029214"/>
      <w:r>
        <w:rPr>
          <w:rFonts w:hint="eastAsia" w:ascii="方正仿宋_GBK" w:hAnsi="方正仿宋_GBK" w:eastAsia="方正仿宋_GBK" w:cs="方正仿宋_GBK"/>
          <w:bCs/>
          <w:sz w:val="28"/>
          <w:szCs w:val="28"/>
          <w:highlight w:val="none"/>
        </w:rPr>
        <w:t xml:space="preserve">8</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投标文件的语言及度量衡单位</w:t>
      </w:r>
      <w:bookmarkEnd w:id="88"/>
      <w:r>
        <w:rPr>
          <w:highlight w:val="none"/>
        </w:rPr>
      </w:r>
      <w:bookmarkEnd w:id="89"/>
      <w:r>
        <w:rPr>
          <w:highlight w:val="none"/>
        </w:rPr>
      </w:r>
      <w:bookmarkEnd w:id="90"/>
      <w:r>
        <w:rPr>
          <w:highlight w:val="none"/>
        </w:rPr>
      </w:r>
      <w:bookmarkEnd w:id="91"/>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 投标人提交的投标文件以及投标人与采购中心就有关投标的所有来往通知、函件和文件均应使用简体中文。</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8.2 除技术性能另有规定外，投标文件所使用的度量衡单位，均须采用国家法定计量单位。</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92" w:name="_Toc462564074"/>
      <w:r>
        <w:rPr>
          <w:highlight w:val="none"/>
        </w:rPr>
      </w:r>
      <w:bookmarkStart w:id="93" w:name="_Toc16938531"/>
      <w:r>
        <w:rPr>
          <w:highlight w:val="none"/>
        </w:rPr>
      </w:r>
      <w:bookmarkStart w:id="94" w:name="_Toc20823287"/>
      <w:r>
        <w:rPr>
          <w:highlight w:val="none"/>
        </w:rPr>
      </w:r>
      <w:bookmarkStart w:id="95" w:name="_Toc513029215"/>
      <w:r>
        <w:rPr>
          <w:rFonts w:hint="eastAsia" w:ascii="方正仿宋_GBK" w:hAnsi="方正仿宋_GBK" w:eastAsia="方正仿宋_GBK" w:cs="方正仿宋_GBK"/>
          <w:bCs/>
          <w:sz w:val="28"/>
          <w:szCs w:val="28"/>
          <w:highlight w:val="none"/>
        </w:rPr>
        <w:t xml:space="preserve">9</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投标文件构成</w:t>
      </w:r>
      <w:bookmarkEnd w:id="92"/>
      <w:r>
        <w:rPr>
          <w:highlight w:val="none"/>
        </w:rPr>
      </w:r>
      <w:bookmarkEnd w:id="93"/>
      <w:r>
        <w:rPr>
          <w:highlight w:val="none"/>
        </w:rPr>
      </w:r>
      <w:bookmarkEnd w:id="94"/>
      <w:r>
        <w:rPr>
          <w:highlight w:val="none"/>
        </w:rPr>
      </w:r>
      <w:bookmarkEnd w:id="95"/>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9.2 如标书制作工具中格式和内容与“江苏政府采购网”发布的招标文件不一致，请以“江苏政府采购网”发布的招标文件为准。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96" w:name="_Toc513029219"/>
      <w:r>
        <w:rPr>
          <w:highlight w:val="none"/>
        </w:rPr>
      </w:r>
      <w:bookmarkStart w:id="97" w:name="_Toc14577354"/>
      <w:r>
        <w:rPr>
          <w:highlight w:val="none"/>
        </w:rPr>
      </w:r>
      <w:bookmarkStart w:id="98" w:name="_Toc513029216"/>
      <w:r>
        <w:rPr>
          <w:highlight w:val="none"/>
        </w:rPr>
      </w:r>
      <w:bookmarkStart w:id="99" w:name="_Toc49090507"/>
      <w:r>
        <w:rPr>
          <w:highlight w:val="none"/>
        </w:rPr>
      </w:r>
      <w:bookmarkStart w:id="100" w:name="_Toc49090508"/>
      <w:r>
        <w:rPr>
          <w:highlight w:val="none"/>
        </w:rPr>
      </w:r>
      <w:bookmarkStart w:id="101" w:name="_Toc14577355"/>
      <w:r>
        <w:rPr>
          <w:highlight w:val="none"/>
        </w:rPr>
      </w:r>
      <w:bookmarkStart w:id="102" w:name="_Hlt26954838"/>
      <w:r>
        <w:rPr>
          <w:highlight w:val="none"/>
        </w:rPr>
      </w:r>
      <w:bookmarkEnd w:id="102"/>
      <w:r>
        <w:rPr>
          <w:highlight w:val="none"/>
        </w:rPr>
      </w:r>
      <w:bookmarkStart w:id="103" w:name="_Hlt26668975"/>
      <w:r>
        <w:rPr>
          <w:highlight w:val="none"/>
        </w:rPr>
      </w:r>
      <w:bookmarkEnd w:id="103"/>
      <w:r>
        <w:rPr>
          <w:highlight w:val="none"/>
        </w:rPr>
      </w:r>
      <w:bookmarkStart w:id="104" w:name="_Hlt26670360"/>
      <w:r>
        <w:rPr>
          <w:highlight w:val="none"/>
        </w:rPr>
      </w:r>
      <w:bookmarkEnd w:id="104"/>
      <w:r>
        <w:rPr>
          <w:highlight w:val="none"/>
        </w:rPr>
      </w:r>
      <w:bookmarkStart w:id="105" w:name="_Toc14577357"/>
      <w:r>
        <w:rPr>
          <w:highlight w:val="none"/>
        </w:rPr>
      </w:r>
      <w:bookmarkStart w:id="106" w:name="_Toc49090509"/>
      <w:r>
        <w:rPr>
          <w:rFonts w:hint="eastAsia" w:ascii="方正仿宋_GBK" w:hAnsi="方正仿宋_GBK" w:eastAsia="方正仿宋_GBK" w:cs="方正仿宋_GBK"/>
          <w:bCs/>
          <w:sz w:val="28"/>
          <w:szCs w:val="28"/>
          <w:highlight w:val="none"/>
        </w:rPr>
        <w:t xml:space="preserve">10</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证明投标人及投标标的符合招标文件规定的文件</w:t>
      </w:r>
      <w:bookmarkEnd w:id="96"/>
      <w:r>
        <w:rPr>
          <w:highlight w:val="none"/>
        </w:rPr>
      </w:r>
      <w:bookmarkEnd w:id="105"/>
      <w:r>
        <w:rPr>
          <w:highlight w:val="none"/>
        </w:rPr>
      </w:r>
      <w:bookmarkEnd w:id="106"/>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End w:id="97"/>
      <w:r>
        <w:rPr>
          <w:highlight w:val="none"/>
        </w:rPr>
      </w:r>
      <w:bookmarkEnd w:id="98"/>
      <w:r>
        <w:rPr>
          <w:highlight w:val="none"/>
        </w:rPr>
      </w:r>
      <w:bookmarkEnd w:id="99"/>
      <w:r>
        <w:rPr>
          <w:rFonts w:hint="eastAsia" w:ascii="方正仿宋_GBK" w:hAnsi="方正仿宋_GBK" w:eastAsia="方正仿宋_GBK" w:cs="方正仿宋_GBK"/>
          <w:bCs/>
          <w:sz w:val="28"/>
          <w:szCs w:val="28"/>
          <w:highlight w:val="none"/>
        </w:rPr>
        <w:t xml:space="preserve">10.1 投标人应按照招标文件要求提交证明文件，证明其及投标标的符合招标文件规定。</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10.2招标文件对证明文件无明确形式要求的，证明文件可以以文字资料、图纸和数据等形式提交。</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End w:id="100"/>
      <w:r>
        <w:rPr>
          <w:highlight w:val="none"/>
        </w:rPr>
      </w:r>
      <w:bookmarkEnd w:id="101"/>
      <w:r>
        <w:rPr>
          <w:rFonts w:hint="eastAsia" w:ascii="方正仿宋_GBK" w:hAnsi="方正仿宋_GBK" w:eastAsia="方正仿宋_GBK" w:cs="方正仿宋_GBK"/>
          <w:bCs/>
          <w:sz w:val="28"/>
          <w:szCs w:val="28"/>
          <w:highlight w:val="none"/>
        </w:rPr>
        <w:t xml:space="preserve">11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投标分项报价表</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 投</w:t>
      </w:r>
      <w:bookmarkStart w:id="107" w:name="_Hlt26954840"/>
      <w:r>
        <w:rPr>
          <w:highlight w:val="none"/>
        </w:rPr>
      </w:r>
      <w:bookmarkEnd w:id="107"/>
      <w:r>
        <w:rPr>
          <w:rFonts w:hint="eastAsia" w:ascii="方正仿宋_GBK" w:hAnsi="方正仿宋_GBK" w:eastAsia="方正仿宋_GBK" w:cs="方正仿宋_GBK"/>
          <w:bCs/>
          <w:sz w:val="28"/>
          <w:szCs w:val="28"/>
          <w:highlight w:val="none"/>
        </w:rPr>
        <w:t xml:space="preserve">标人按照招标文件规定格式填报投标分项报价表</w:t>
      </w:r>
      <w:bookmarkStart w:id="108" w:name="_Hlt26670399"/>
      <w:r>
        <w:rPr>
          <w:highlight w:val="none"/>
        </w:rPr>
      </w:r>
      <w:bookmarkEnd w:id="108"/>
      <w:r>
        <w:rPr>
          <w:rFonts w:hint="eastAsia" w:ascii="方正仿宋_GBK" w:hAnsi="方正仿宋_GBK" w:eastAsia="方正仿宋_GBK" w:cs="方正仿宋_GBK"/>
          <w:bCs/>
          <w:sz w:val="28"/>
          <w:szCs w:val="28"/>
          <w:highlight w:val="none"/>
        </w:rPr>
        <w:t xml:space="preserve">。</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11.2投标货币。投标文件中的单价和总价无特殊规定的采用人民币报价，以元为单位标注。招标文件中另有规定的按规定执行。</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109" w:name="_Hlt26954846"/>
      <w:r>
        <w:rPr>
          <w:highlight w:val="none"/>
        </w:rPr>
      </w:r>
      <w:bookmarkEnd w:id="109"/>
      <w:r>
        <w:rPr>
          <w:highlight w:val="none"/>
        </w:rPr>
      </w:r>
      <w:bookmarkStart w:id="110" w:name="_Hlt26670482"/>
      <w:r>
        <w:rPr>
          <w:highlight w:val="none"/>
        </w:rPr>
      </w:r>
      <w:bookmarkEnd w:id="110"/>
      <w:r>
        <w:rPr>
          <w:highlight w:val="none"/>
        </w:rPr>
      </w:r>
      <w:bookmarkStart w:id="111" w:name="_Hlt26670486"/>
      <w:r>
        <w:rPr>
          <w:highlight w:val="none"/>
        </w:rPr>
      </w:r>
      <w:bookmarkEnd w:id="111"/>
      <w:r>
        <w:rPr>
          <w:highlight w:val="none"/>
        </w:rPr>
      </w:r>
      <w:bookmarkStart w:id="112" w:name="_Hlt26954731"/>
      <w:r>
        <w:rPr>
          <w:highlight w:val="none"/>
        </w:rPr>
      </w:r>
      <w:bookmarkEnd w:id="112"/>
      <w:r>
        <w:rPr>
          <w:highlight w:val="none"/>
        </w:rPr>
      </w:r>
      <w:bookmarkStart w:id="113" w:name="_Hlt26954848"/>
      <w:r>
        <w:rPr>
          <w:highlight w:val="none"/>
        </w:rPr>
      </w:r>
      <w:bookmarkEnd w:id="113"/>
      <w:r>
        <w:rPr>
          <w:rFonts w:hint="eastAsia" w:ascii="方正仿宋_GBK" w:hAnsi="方正仿宋_GBK" w:eastAsia="方正仿宋_GBK" w:cs="方正仿宋_GBK"/>
          <w:bCs/>
          <w:sz w:val="28"/>
          <w:szCs w:val="28"/>
          <w:highlight w:val="none"/>
        </w:rPr>
        <w:t xml:space="preserve">12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技术要求响应及偏离表、商务要求响应及偏离表</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zh-CN"/>
        </w:rPr>
        <w:t xml:space="preserve">12.1 投标人需对招标文件中的技术要求与商务要求逐项作出响应或偏离，并说明原因。</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zh-CN"/>
        </w:rPr>
        <w:t xml:space="preserve">12.2 投标人需按照招标文件要求，在投标文件中提供与技术要求和商务要求相关的证明材料。</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服务承诺、培训计划、人员安排及其他</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13.1 投标人需根据招标文件要求提供有关售后服务的管理制度，售后服务机构的分布情况，售后服务人员的数量、素质、技术水平及售后服务的反应能力等。</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13.2 投标人需根据招标文件要求提供培训计划。</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13.3 投标人需根据招标文件要求提供</w:t>
      </w:r>
      <w:r>
        <w:rPr>
          <w:rFonts w:hint="eastAsia" w:ascii="方正仿宋_GBK" w:hAnsi="方正仿宋_GBK" w:eastAsia="方正仿宋_GBK" w:cs="方正仿宋_GBK"/>
          <w:bCs/>
          <w:sz w:val="28"/>
          <w:szCs w:val="28"/>
          <w:highlight w:val="none"/>
          <w:lang w:val="zh-CN"/>
        </w:rPr>
        <w:t xml:space="preserve">所投标的的主要组成部分、功能设计、实现思路及关键技术等。</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114" w:name="_Toc49090510"/>
      <w:r>
        <w:rPr>
          <w:highlight w:val="none"/>
        </w:rPr>
      </w:r>
      <w:bookmarkStart w:id="115" w:name="_Toc14577359"/>
      <w:r>
        <w:rPr>
          <w:rFonts w:hint="eastAsia" w:ascii="方正仿宋_GBK" w:hAnsi="方正仿宋_GBK" w:eastAsia="方正仿宋_GBK" w:cs="方正仿宋_GBK"/>
          <w:bCs/>
          <w:sz w:val="28"/>
          <w:szCs w:val="28"/>
          <w:highlight w:val="none"/>
        </w:rPr>
        <w:t xml:space="preserve">14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投标函和开标一览表</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14.1 投标人应按照招标文件中提供的格式完整、正确填写投标函、开标一览表。</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End w:id="114"/>
      <w:r>
        <w:rPr>
          <w:highlight w:val="none"/>
        </w:rPr>
      </w:r>
      <w:bookmarkEnd w:id="115"/>
      <w:r>
        <w:rPr>
          <w:highlight w:val="none"/>
        </w:rPr>
      </w:r>
      <w:bookmarkStart w:id="116" w:name="_Toc49090511"/>
      <w:r>
        <w:rPr>
          <w:highlight w:val="none"/>
        </w:rPr>
      </w:r>
      <w:bookmarkStart w:id="117" w:name="_Toc14577360"/>
      <w:r>
        <w:rPr>
          <w:rFonts w:hint="eastAsia" w:ascii="方正仿宋_GBK" w:hAnsi="方正仿宋_GBK" w:eastAsia="方正仿宋_GBK" w:cs="方正仿宋_GBK"/>
          <w:bCs/>
          <w:sz w:val="28"/>
          <w:szCs w:val="28"/>
          <w:highlight w:val="none"/>
        </w:rPr>
        <w:t xml:space="preserve">15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投标有效期</w:t>
      </w:r>
      <w:bookmarkEnd w:id="116"/>
      <w:r>
        <w:rPr>
          <w:highlight w:val="none"/>
        </w:rPr>
      </w:r>
      <w:bookmarkEnd w:id="117"/>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15.1投标有效期为采购中心规定的开标之日后六十（60）天。投标有效期比规定短的将被视为未实质性响应招标文件而予以拒绝。</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投标有效期的延长</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Start w:id="118" w:name="_Hlt26954739"/>
      <w:r>
        <w:rPr>
          <w:highlight w:val="none"/>
        </w:rPr>
      </w:r>
      <w:bookmarkEnd w:id="118"/>
      <w:r>
        <w:rPr>
          <w:highlight w:val="none"/>
        </w:rPr>
      </w:r>
      <w:bookmarkStart w:id="119" w:name="_Hlt26954852"/>
      <w:r>
        <w:rPr>
          <w:highlight w:val="none"/>
        </w:rPr>
      </w:r>
      <w:bookmarkEnd w:id="119"/>
      <w:r>
        <w:rPr>
          <w:highlight w:val="none"/>
        </w:rPr>
      </w:r>
      <w:bookmarkStart w:id="120" w:name="_Toc513029224"/>
      <w:r>
        <w:rPr>
          <w:highlight w:val="none"/>
        </w:rPr>
      </w:r>
      <w:bookmarkStart w:id="121" w:name="_Toc120614217"/>
      <w:r>
        <w:rPr>
          <w:highlight w:val="none"/>
        </w:rPr>
      </w:r>
      <w:bookmarkStart w:id="122" w:name="_Toc20823296"/>
      <w:r>
        <w:rPr>
          <w:highlight w:val="none"/>
        </w:rPr>
      </w:r>
      <w:bookmarkStart w:id="123" w:name="_Toc16938540"/>
      <w:r>
        <w:rPr>
          <w:rFonts w:hint="eastAsia" w:ascii="方正黑体_GBK" w:hAnsi="方正黑体_GBK" w:eastAsia="方正黑体_GBK" w:cs="方正黑体_GBK"/>
          <w:color w:val="000000"/>
          <w:sz w:val="28"/>
          <w:szCs w:val="28"/>
          <w:highlight w:val="none"/>
        </w:rPr>
        <w:t xml:space="preserve">四、投标文件的递交</w:t>
      </w:r>
      <w:bookmarkEnd w:id="120"/>
      <w:r>
        <w:rPr>
          <w:highlight w:val="none"/>
        </w:rPr>
      </w:r>
      <w:bookmarkEnd w:id="121"/>
      <w:r>
        <w:rPr>
          <w:highlight w:val="none"/>
        </w:rPr>
      </w:r>
      <w:bookmarkEnd w:id="122"/>
      <w:r>
        <w:rPr>
          <w:highlight w:val="none"/>
        </w:rPr>
      </w:r>
      <w:bookmarkEnd w:id="123"/>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124" w:name="_Toc462564084"/>
      <w:r>
        <w:rPr>
          <w:highlight w:val="none"/>
        </w:rPr>
      </w:r>
      <w:bookmarkStart w:id="125" w:name="_Toc16938541"/>
      <w:r>
        <w:rPr>
          <w:highlight w:val="none"/>
        </w:rPr>
      </w:r>
      <w:bookmarkStart w:id="126" w:name="_Toc513029225"/>
      <w:r>
        <w:rPr>
          <w:highlight w:val="none"/>
        </w:rPr>
      </w:r>
      <w:bookmarkStart w:id="127" w:name="_Toc20823297"/>
      <w:r>
        <w:rPr>
          <w:rFonts w:hint="eastAsia" w:ascii="方正仿宋_GBK" w:hAnsi="方正仿宋_GBK" w:eastAsia="方正仿宋_GBK" w:cs="方正仿宋_GBK"/>
          <w:bCs/>
          <w:sz w:val="28"/>
          <w:szCs w:val="28"/>
          <w:highlight w:val="none"/>
        </w:rPr>
        <w:t xml:space="preserve">17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电子投标文件</w:t>
      </w:r>
      <w:bookmarkEnd w:id="124"/>
      <w:r>
        <w:rPr>
          <w:highlight w:val="none"/>
        </w:rPr>
      </w:r>
      <w:bookmarkEnd w:id="125"/>
      <w:r>
        <w:rPr>
          <w:highlight w:val="none"/>
        </w:rPr>
      </w:r>
      <w:bookmarkEnd w:id="126"/>
      <w:r>
        <w:rPr>
          <w:highlight w:val="none"/>
        </w:rPr>
      </w:r>
      <w:bookmarkEnd w:id="127"/>
      <w:r>
        <w:rPr>
          <w:rFonts w:hint="eastAsia" w:ascii="方正仿宋_GBK" w:hAnsi="方正仿宋_GBK" w:eastAsia="方正仿宋_GBK" w:cs="方正仿宋_GBK"/>
          <w:bCs/>
          <w:sz w:val="28"/>
          <w:szCs w:val="28"/>
          <w:highlight w:val="none"/>
        </w:rPr>
        <w:t xml:space="preserve">的递交</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17.1投标人应当按照《操作手册》规定，在投标截止时间前制作并上传电子投标文件。</w:t>
      </w:r>
      <w:bookmarkStart w:id="128" w:name="_Toc513029226"/>
      <w:r>
        <w:rPr>
          <w:highlight w:val="none"/>
        </w:rPr>
      </w:r>
      <w:bookmarkStart w:id="129" w:name="_Toc20823298"/>
      <w:r>
        <w:rPr>
          <w:highlight w:val="none"/>
        </w:rPr>
      </w:r>
      <w:bookmarkStart w:id="130" w:name="_Toc16938542"/>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投标截止日期</w:t>
      </w:r>
      <w:bookmarkEnd w:id="128"/>
      <w:r>
        <w:rPr>
          <w:highlight w:val="none"/>
        </w:rPr>
      </w:r>
      <w:bookmarkEnd w:id="129"/>
      <w:r>
        <w:rPr>
          <w:highlight w:val="none"/>
        </w:rPr>
      </w:r>
      <w:bookmarkEnd w:id="130"/>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18.1 投标人上传电子投标文件的时间不得迟于招标公告中规定的投标截止时间。</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投标人应充分考虑到网络环境、网络带宽等风险因素，如因投标人自身原因造成的电子投标文件上传不成功的按照本招标文件第二章第26.1.2条规定做无效投标处理。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18.2 采购中心可以按照规定，通过修改招标文件酌情延长投标截止日期，在此情况下，投标人的所有权利和义务以及投标人受制的截止日期均应以延长后新的截止日期为准。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131" w:name="_Toc20823299"/>
      <w:r>
        <w:rPr>
          <w:highlight w:val="none"/>
        </w:rPr>
      </w:r>
      <w:bookmarkStart w:id="132" w:name="_Toc16938543"/>
      <w:r>
        <w:rPr>
          <w:highlight w:val="none"/>
        </w:rPr>
      </w:r>
      <w:bookmarkStart w:id="133" w:name="_Toc513029227"/>
      <w:r>
        <w:rPr>
          <w:rFonts w:hint="eastAsia" w:ascii="方正仿宋_GBK" w:hAnsi="方正仿宋_GBK" w:eastAsia="方正仿宋_GBK" w:cs="方正仿宋_GBK"/>
          <w:bCs/>
          <w:sz w:val="28"/>
          <w:szCs w:val="28"/>
          <w:highlight w:val="none"/>
        </w:rPr>
        <w:t xml:space="preserve">19</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投标文件</w:t>
      </w:r>
      <w:bookmarkEnd w:id="131"/>
      <w:r>
        <w:rPr>
          <w:highlight w:val="none"/>
        </w:rPr>
      </w:r>
      <w:bookmarkEnd w:id="132"/>
      <w:r>
        <w:rPr>
          <w:highlight w:val="none"/>
        </w:rPr>
      </w:r>
      <w:bookmarkEnd w:id="133"/>
      <w:r>
        <w:rPr>
          <w:rFonts w:hint="eastAsia" w:ascii="方正仿宋_GBK" w:hAnsi="方正仿宋_GBK" w:eastAsia="方正仿宋_GBK" w:cs="方正仿宋_GBK"/>
          <w:bCs/>
          <w:sz w:val="28"/>
          <w:szCs w:val="28"/>
          <w:highlight w:val="none"/>
        </w:rPr>
        <w:t xml:space="preserve">的拒收</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19.1 采购中心拒绝接收在其规定的投标截止时间后上传的任何投标文件。</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134" w:name="_Toc16938544"/>
      <w:r>
        <w:rPr>
          <w:highlight w:val="none"/>
        </w:rPr>
      </w:r>
      <w:bookmarkStart w:id="135" w:name="_Toc513029228"/>
      <w:r>
        <w:rPr>
          <w:highlight w:val="none"/>
        </w:rPr>
      </w:r>
      <w:bookmarkStart w:id="136" w:name="_Toc20823300"/>
      <w:r>
        <w:rPr>
          <w:rFonts w:hint="eastAsia" w:ascii="方正仿宋_GBK" w:hAnsi="方正仿宋_GBK" w:eastAsia="方正仿宋_GBK" w:cs="方正仿宋_GBK"/>
          <w:bCs/>
          <w:sz w:val="28"/>
          <w:szCs w:val="28"/>
          <w:highlight w:val="none"/>
        </w:rPr>
        <w:t xml:space="preserve">20</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投标文件的撤回和修改</w:t>
      </w:r>
      <w:bookmarkEnd w:id="134"/>
      <w:r>
        <w:rPr>
          <w:highlight w:val="none"/>
        </w:rPr>
      </w:r>
      <w:bookmarkEnd w:id="135"/>
      <w:r>
        <w:rPr>
          <w:highlight w:val="none"/>
        </w:rPr>
      </w:r>
      <w:bookmarkEnd w:id="136"/>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 投标文件的撤回</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20.1.1 电子投标文件的撤回</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投标人可在投标截止时间前，撤回其电子投标文件，具体操作方法见《操作手册》。</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20.1.2 投标人撤回电子投标文件，则认为其不再参与本项目投标活动。</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 投标文件的修改</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20.2.1投标人可在投标截止时间前，对其电子投标文件进行修改，具体操作方法见《操作手册》。</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20.2.2 在投标截止时间之后，投标人不得对其电子投标文件作任何修改。</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20.3 在投标截止时间至招标文件中规定的投标有效期满之间的这段时间内，投标人不得撤回其投标。</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Start w:id="137" w:name="_Toc16938545"/>
      <w:r>
        <w:rPr>
          <w:highlight w:val="none"/>
        </w:rPr>
      </w:r>
      <w:bookmarkStart w:id="138" w:name="_Toc120614218"/>
      <w:r>
        <w:rPr>
          <w:highlight w:val="none"/>
        </w:rPr>
      </w:r>
      <w:bookmarkStart w:id="139" w:name="_Toc20823301"/>
      <w:r>
        <w:rPr>
          <w:highlight w:val="none"/>
        </w:rPr>
      </w:r>
      <w:bookmarkStart w:id="140" w:name="_Toc513029229"/>
      <w:r>
        <w:rPr>
          <w:rFonts w:hint="eastAsia" w:ascii="方正黑体_GBK" w:hAnsi="方正黑体_GBK" w:eastAsia="方正黑体_GBK" w:cs="方正黑体_GBK"/>
          <w:color w:val="000000"/>
          <w:sz w:val="28"/>
          <w:szCs w:val="28"/>
          <w:highlight w:val="none"/>
        </w:rPr>
        <w:t xml:space="preserve">五、开标与评标</w:t>
      </w:r>
      <w:bookmarkEnd w:id="137"/>
      <w:r>
        <w:rPr>
          <w:highlight w:val="none"/>
        </w:rPr>
      </w:r>
      <w:bookmarkEnd w:id="138"/>
      <w:r>
        <w:rPr>
          <w:highlight w:val="none"/>
        </w:rPr>
      </w:r>
      <w:bookmarkEnd w:id="139"/>
      <w:r>
        <w:rPr>
          <w:highlight w:val="none"/>
        </w:rPr>
      </w:r>
      <w:bookmarkEnd w:id="140"/>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141" w:name="_Toc513029230"/>
      <w:r>
        <w:rPr>
          <w:highlight w:val="none"/>
        </w:rPr>
      </w:r>
      <w:bookmarkStart w:id="142" w:name="_Toc16938546"/>
      <w:r>
        <w:rPr>
          <w:highlight w:val="none"/>
        </w:rPr>
      </w:r>
      <w:bookmarkStart w:id="143" w:name="_Toc20823302"/>
      <w:r>
        <w:rPr>
          <w:rFonts w:hint="eastAsia" w:ascii="方正仿宋_GBK" w:hAnsi="方正仿宋_GBK" w:eastAsia="方正仿宋_GBK" w:cs="方正仿宋_GBK"/>
          <w:bCs/>
          <w:sz w:val="28"/>
          <w:szCs w:val="28"/>
          <w:highlight w:val="none"/>
        </w:rPr>
        <w:t xml:space="preserve">21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开标</w:t>
      </w:r>
      <w:bookmarkEnd w:id="141"/>
      <w:r>
        <w:rPr>
          <w:highlight w:val="none"/>
        </w:rPr>
      </w:r>
      <w:bookmarkEnd w:id="142"/>
      <w:r>
        <w:rPr>
          <w:highlight w:val="none"/>
        </w:rPr>
      </w:r>
      <w:bookmarkEnd w:id="143"/>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21.1 采购中心将在招标公告中规定的时间和地点组织公开开标。投标人应当按照《操作手册》规定，参加开标活动和在苏采云系统规定的时间内对投标文件进行解密。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21.2开标仪式由采购中心组织。苏采云系统将自动对项目进行开标，并宣布各投标人名称和投标价格。</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21.3投标人在开标过程中涉及到的投标文件解密、开标结果确认等工作，应按照《操作手册》规定执行。</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21.4投标人如果对开标过程和开标记录有疑义，应当根据《操作手册》规定提出，如苏采云系统中《开标记录表》宣布后5分钟内未提出的，视同认可开标结果。</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144" w:name="_Toc16938547"/>
      <w:r>
        <w:rPr>
          <w:highlight w:val="none"/>
        </w:rPr>
      </w:r>
      <w:bookmarkStart w:id="145" w:name="_Toc20823303"/>
      <w:r>
        <w:rPr>
          <w:highlight w:val="none"/>
        </w:rPr>
      </w:r>
      <w:bookmarkStart w:id="146" w:name="_Toc513029231"/>
      <w:r>
        <w:rPr>
          <w:rFonts w:hint="eastAsia" w:ascii="方正仿宋_GBK" w:hAnsi="方正仿宋_GBK" w:eastAsia="方正仿宋_GBK" w:cs="方正仿宋_GBK"/>
          <w:bCs/>
          <w:sz w:val="28"/>
          <w:szCs w:val="28"/>
          <w:highlight w:val="none"/>
        </w:rPr>
        <w:t xml:space="preserve">22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评标委员会</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22.1 开标后，采购中心将立即组织评标委员会进行评标。</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22.2 </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由采购人代表和有关技术、经济等方面的专家组成，且人员构成符合政府采购有关规定。</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22.3</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独立工作，负责评审所有投标文件并确定中标侯选人。</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评标过程的保密与公正</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End w:id="144"/>
      <w:r>
        <w:rPr>
          <w:highlight w:val="none"/>
        </w:rPr>
      </w:r>
      <w:bookmarkEnd w:id="145"/>
      <w:r>
        <w:rPr>
          <w:highlight w:val="none"/>
        </w:rPr>
      </w:r>
      <w:bookmarkEnd w:id="146"/>
      <w:r>
        <w:rPr>
          <w:rFonts w:hint="eastAsia" w:ascii="方正仿宋_GBK" w:hAnsi="方正仿宋_GBK" w:eastAsia="方正仿宋_GBK" w:cs="方正仿宋_GBK"/>
          <w:bCs/>
          <w:sz w:val="28"/>
          <w:szCs w:val="28"/>
          <w:highlight w:val="none"/>
        </w:rPr>
        <w:t xml:space="preserve">23.1凡是与审查、澄清、评价和比较投标的有关资料以及授标建议等，采购人、评委、采购中心均不得向投标人或与评标无关的其他人员透露。</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23.2在评标过程中，投标人不得以任何行为影响评标过程，否则其投标文件将被作为无效投标文件。</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23.3 采购中心和评标委员会不向未中标的投标人解释未中标原因，也不公布评标过程中的相关细节。</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23.4 采用综合评分法的项目，未中标的投标人可于中标结果公告期限届满之日起通过苏采云系统查看自己的评审得分及排序情况。</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147" w:name="_Toc20823304"/>
      <w:r>
        <w:rPr>
          <w:highlight w:val="none"/>
        </w:rPr>
      </w:r>
      <w:bookmarkStart w:id="148" w:name="_Toc16938548"/>
      <w:r>
        <w:rPr>
          <w:highlight w:val="none"/>
        </w:rPr>
      </w:r>
      <w:bookmarkStart w:id="149" w:name="_Toc513029232"/>
      <w:r>
        <w:rPr>
          <w:rFonts w:hint="eastAsia" w:ascii="方正仿宋_GBK" w:hAnsi="方正仿宋_GBK" w:eastAsia="方正仿宋_GBK" w:cs="方正仿宋_GBK"/>
          <w:bCs/>
          <w:sz w:val="28"/>
          <w:szCs w:val="28"/>
          <w:highlight w:val="none"/>
        </w:rPr>
        <w:t xml:space="preserve">24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投标文件的澄清</w:t>
      </w:r>
      <w:bookmarkEnd w:id="147"/>
      <w:r>
        <w:rPr>
          <w:highlight w:val="none"/>
        </w:rPr>
      </w:r>
      <w:bookmarkEnd w:id="148"/>
      <w:r>
        <w:rPr>
          <w:highlight w:val="none"/>
        </w:rPr>
      </w:r>
      <w:bookmarkEnd w:id="149"/>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150" w:name="_Toc20823305"/>
      <w:r>
        <w:rPr>
          <w:highlight w:val="none"/>
        </w:rPr>
      </w:r>
      <w:bookmarkStart w:id="151" w:name="_Toc513029233"/>
      <w:r>
        <w:rPr>
          <w:highlight w:val="none"/>
        </w:rPr>
      </w:r>
      <w:bookmarkStart w:id="152" w:name="_Toc16938549"/>
      <w:r>
        <w:rPr>
          <w:rFonts w:hint="eastAsia" w:ascii="方正仿宋_GBK" w:hAnsi="方正仿宋_GBK" w:eastAsia="方正仿宋_GBK" w:cs="方正仿宋_GBK"/>
          <w:bCs/>
          <w:sz w:val="28"/>
          <w:szCs w:val="28"/>
          <w:highlight w:val="none"/>
        </w:rPr>
        <w:t xml:space="preserve">24.1评标期间，</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对投标文件中含义不明确、同类问题表述不一致或者有明显文字和计算错误的内容 ，有权要求投标人作出必要的澄清、说明或者补正。</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投标人的澄清、说明或者补正不得超出投标文件的范围或者改变投标文件的实质性内容。</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评标委员会并非对每个投标人都做澄清要求。</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24.2需要供应商进行澄清、说明和补正的，</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24.3 接到</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澄清、说明和补正要求的投标人如未按规定做出澄清、说明和补正，其风险由投标人自行承担。</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对投标文件的初审</w:t>
      </w:r>
      <w:bookmarkEnd w:id="150"/>
      <w:r>
        <w:rPr>
          <w:highlight w:val="none"/>
        </w:rPr>
      </w:r>
      <w:bookmarkEnd w:id="151"/>
      <w:r>
        <w:rPr>
          <w:highlight w:val="none"/>
        </w:rPr>
      </w:r>
      <w:bookmarkEnd w:id="152"/>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25.1投标文件初审分为资格审查和符合性审查。</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进行反馈。</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采购人在进行资格性审查的同时，将在“信用中国”网站（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sz w:val="28"/>
          <w:szCs w:val="28"/>
          <w:highlight w:val="none"/>
        </w:rPr>
        <w:t xml:space="preserve">）查询投标人的信用记录，以确定投标人是否具备投标资格,查询结果留存并归档。</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25.1.2 符合性审查：依据招标文件的规定，由</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从投标文件的有效性、完整性和对招标文件的响应程度进行审查，以确定是否对招标文件的实质性要求作出响应。</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25.1.3 未通过资格审查或符合性审查的投标人，采购中心将在苏采云系统中告知未通过资格审查或符合性审查的原因，评审结束后，采购中心将不再告知未通过资格审查或符合性审查的原因。</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25.2在详细评标之前，</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将首先审查每份投标文件是否实质性响应了招标文件的要求。实质性响应的投标应该是与招标文件要求的全部条款、条件和规格相符，没有重大偏离或保留的投标。</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以少数服从多数的原则作出结论。评委决定投标文件的响应性只根据投标文件本身的内容，而不寻求外部的证据。</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25.3如果投标文件实质上没有响应招标文件的要求，</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将予以拒绝，投标人不得通过修改或撤销不</w:t>
      </w:r>
      <w:r>
        <w:rPr>
          <w:rFonts w:hint="eastAsia" w:ascii="方正仿宋_GBK" w:hAnsi="方正仿宋_GBK" w:eastAsia="方正仿宋_GBK" w:cs="方正仿宋_GBK"/>
          <w:bCs/>
          <w:sz w:val="28"/>
          <w:szCs w:val="28"/>
          <w:highlight w:val="none"/>
          <w:lang w:eastAsia="zh-CN"/>
        </w:rPr>
        <w:t xml:space="preserve">符合</w:t>
      </w:r>
      <w:r>
        <w:rPr>
          <w:rFonts w:hint="eastAsia" w:ascii="方正仿宋_GBK" w:hAnsi="方正仿宋_GBK" w:eastAsia="方正仿宋_GBK" w:cs="方正仿宋_GBK"/>
          <w:bCs/>
          <w:sz w:val="28"/>
          <w:szCs w:val="28"/>
          <w:highlight w:val="none"/>
        </w:rPr>
        <w:t xml:space="preserve">要求的偏离或保留而使其投标成为实质性响应的投标。</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25.4</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将对确定为实质性响应的投标进行进一步审核，看其是否有计算上或累加上的算术错误，修正错误的原则如下：</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（1）投标文件中开标一览表内容与投标文件中相应内容不一致的，以开标一览表为准。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（2）大写金额和小写金额不一致的，以大写金额为准。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（3）单价金额小数点或者百分比有明显错位的，以开标一览表的总价为准，并修改单价。</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（4）总价金额与按单价汇总金额不一致的，以单价金额计算结果为准。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同时出现两种以上错误的，按照前款规定的顺序修正。</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25.5</w:t>
      </w:r>
      <w:r>
        <w:rPr>
          <w:rFonts w:hint="eastAsia" w:ascii="方正仿宋_GBK" w:hAnsi="方正仿宋_GBK" w:eastAsia="方正仿宋_GBK" w:cs="方正仿宋_GBK"/>
          <w:bCs/>
          <w:sz w:val="28"/>
          <w:szCs w:val="28"/>
          <w:highlight w:val="none"/>
          <w:lang w:eastAsia="zh-CN"/>
        </w:rPr>
        <w:t xml:space="preserve">评标委员会</w:t>
      </w:r>
      <w:r>
        <w:rPr>
          <w:rFonts w:hint="eastAsia" w:ascii="方正仿宋_GBK" w:hAnsi="方正仿宋_GBK" w:eastAsia="方正仿宋_GBK" w:cs="方正仿宋_GBK"/>
          <w:bCs/>
          <w:sz w:val="28"/>
          <w:szCs w:val="28"/>
          <w:highlight w:val="none"/>
        </w:rPr>
        <w:t xml:space="preserve">将按上述修正错误的方法调整投标文件中的投标报价，并通过苏采云系统告知投标人，调整后的价格应对投标人具有约束力。如果投标人不接受修正后的价格，则其投标将被拒绝。</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highlight w:val="none"/>
        </w:rPr>
      </w:r>
      <w:bookmarkStart w:id="153" w:name="_Toc16938550"/>
      <w:r>
        <w:rPr>
          <w:highlight w:val="none"/>
        </w:rPr>
      </w:r>
      <w:bookmarkStart w:id="154" w:name="_Toc20823306"/>
      <w:r>
        <w:rPr>
          <w:highlight w:val="none"/>
        </w:rPr>
      </w:r>
      <w:bookmarkStart w:id="155" w:name="_Toc513029234"/>
      <w:r>
        <w:rPr>
          <w:rFonts w:hint="eastAsia" w:ascii="方正仿宋_GBK" w:hAnsi="方正仿宋_GBK" w:eastAsia="方正仿宋_GBK" w:cs="方正仿宋_GBK"/>
          <w:bCs/>
          <w:sz w:val="28"/>
          <w:szCs w:val="28"/>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highlight w:val="none"/>
          <w:lang w:eastAsia="zh-CN"/>
        </w:rPr>
        <w:t xml:space="preserve">采取</w:t>
      </w:r>
      <w:r>
        <w:rPr>
          <w:rFonts w:hint="eastAsia" w:ascii="方正仿宋_GBK" w:hAnsi="方正仿宋_GBK" w:eastAsia="方正仿宋_GBK" w:cs="方正仿宋_GBK"/>
          <w:bCs/>
          <w:sz w:val="28"/>
          <w:szCs w:val="28"/>
          <w:highlight w:val="none"/>
        </w:rPr>
        <w:t xml:space="preserve">随机抽取的方式）确定一个参加评标的投标人，其他投标无效。</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非单一产品采购项目，招标文件中将载明其中的核心产品。多家投标人提供的核心产品品牌相同的，按前两款规定处理。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25.7投标人在开、评标全过程中应保持通讯畅通，及时登录苏采云系统查阅、答复相关信息，并安排专人与采购中心及评标委员会联系。</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 异常低价投标审查</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25.8.1 评标过程中出现下列情形之一的，评标委员会应当启动异常低价投标审查程序：</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（1）投标报价低于全部通过符合性审查供应商投标报价平均值50%的，即投标报价&lt;全部通过符合性审查供应商投标报价平均值×50%；</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（2）投标报价低于通过符合性审查的次低报价供应商投标报价50%的，即投标报价&lt;通过符合性审查的次低报价供应商投标报价×50%；</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3</w:t>
      </w:r>
      <w:r>
        <w:rPr>
          <w:rFonts w:hint="eastAsia" w:ascii="方正仿宋_GBK" w:hAnsi="方正仿宋_GBK" w:eastAsia="方正仿宋_GBK" w:cs="方正仿宋_GBK"/>
          <w:bCs/>
          <w:sz w:val="28"/>
          <w:szCs w:val="28"/>
          <w:highlight w:val="none"/>
          <w:lang w:eastAsia="zh-CN"/>
        </w:rPr>
        <w:t xml:space="preserve">）投标报价低于采购项目最高限价45%的，即投标报价&lt;采购项目最高限价×45%；</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lang w:val="en-US" w:eastAsia="zh-CN"/>
        </w:rPr>
        <w:t xml:space="preserve">4</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lang w:eastAsia="zh-CN"/>
        </w:rPr>
        <w:t xml:space="preserve">评标</w:t>
      </w:r>
      <w:r>
        <w:rPr>
          <w:rFonts w:hint="eastAsia" w:ascii="方正仿宋_GBK" w:hAnsi="方正仿宋_GBK" w:eastAsia="方正仿宋_GBK" w:cs="方正仿宋_GBK"/>
          <w:bCs/>
          <w:sz w:val="28"/>
          <w:szCs w:val="28"/>
          <w:highlight w:val="none"/>
        </w:rPr>
        <w:t xml:space="preserve">委员会基于专业判断，认为供应商报价过低，有可能影响产品质量或者不能诚信履约的其他情形。</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25.8.2 </w:t>
      </w:r>
      <w:r>
        <w:rPr>
          <w:rFonts w:hint="eastAsia" w:ascii="方正仿宋_GBK" w:hAnsi="方正仿宋_GBK" w:eastAsia="方正仿宋_GBK" w:cs="方正仿宋_GBK"/>
          <w:bCs/>
          <w:sz w:val="28"/>
          <w:szCs w:val="28"/>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highlight w:val="none"/>
        </w:rPr>
      </w:r>
      <w:r/>
    </w:p>
    <w:p>
      <w:pPr>
        <w:pStyle w:val="961"/>
        <w:ind w:firstLine="560"/>
        <w:keepLines/>
        <w:keepNext/>
        <w:pageBreakBefore w:val="0"/>
        <w:spacing w:line="400" w:lineRule="exact"/>
        <w:widowControl w:val="off"/>
        <w:rPr>
          <w:rFonts w:hint="eastAsia" w:ascii="方正仿宋_GBK" w:hAnsi="方正仿宋_GBK" w:eastAsia="方正仿宋_GBK" w:cs="方正仿宋_GBK"/>
          <w:sz w:val="28"/>
          <w:szCs w:val="28"/>
          <w:highlight w:val="none"/>
        </w:rPr>
        <w:outlineLvl w:val="3"/>
      </w:pPr>
      <w:r>
        <w:rPr>
          <w:rFonts w:hint="eastAsia" w:ascii="方正仿宋_GBK" w:hAnsi="方正仿宋_GBK" w:eastAsia="方正仿宋_GBK" w:cs="方正仿宋_GBK"/>
          <w:sz w:val="28"/>
          <w:szCs w:val="28"/>
          <w:highlight w:val="none"/>
        </w:rPr>
        <w:t xml:space="preserve">2</w:t>
      </w:r>
      <w:bookmarkEnd w:id="153"/>
      <w:r>
        <w:rPr>
          <w:highlight w:val="none"/>
        </w:rPr>
      </w:r>
      <w:bookmarkEnd w:id="154"/>
      <w:r>
        <w:rPr>
          <w:highlight w:val="none"/>
        </w:rPr>
      </w:r>
      <w:bookmarkEnd w:id="155"/>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无效投标条款和废标条款</w:t>
      </w:r>
      <w:bookmarkStart w:id="156" w:name="_Toc16938551"/>
      <w:r>
        <w:rPr>
          <w:highlight w:val="none"/>
        </w:rPr>
      </w:r>
      <w:bookmarkStart w:id="157" w:name="_Toc513029235"/>
      <w:r>
        <w:rPr>
          <w:highlight w:val="none"/>
        </w:rPr>
      </w:r>
      <w:bookmarkStart w:id="158" w:name="_Toc20823307"/>
      <w:r>
        <w:rPr>
          <w:highlight w:val="none"/>
        </w:rPr>
      </w:r>
      <w:r/>
    </w:p>
    <w:p>
      <w:pPr>
        <w:pStyle w:val="961"/>
        <w:ind w:firstLine="560"/>
        <w:keepLines/>
        <w:keepNext/>
        <w:pageBreakBefore w:val="0"/>
        <w:spacing w:line="400" w:lineRule="exact"/>
        <w:widowControl w:val="off"/>
        <w:rPr>
          <w:rFonts w:hint="eastAsia" w:ascii="方正仿宋_GBK" w:hAnsi="方正仿宋_GBK" w:eastAsia="方正仿宋_GBK" w:cs="方正仿宋_GBK"/>
          <w:bCs/>
          <w:sz w:val="28"/>
          <w:szCs w:val="28"/>
          <w:highlight w:val="none"/>
        </w:rPr>
        <w:outlineLvl w:val="3"/>
      </w:pPr>
      <w:r>
        <w:rPr>
          <w:rFonts w:hint="eastAsia" w:ascii="方正仿宋_GBK" w:hAnsi="方正仿宋_GBK" w:eastAsia="方正仿宋_GBK" w:cs="方正仿宋_GBK"/>
          <w:bCs/>
          <w:sz w:val="28"/>
          <w:szCs w:val="28"/>
          <w:highlight w:val="none"/>
        </w:rPr>
        <w:t xml:space="preserve">26.1无效投标条款</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26.1.1 投标人在</w:t>
      </w:r>
      <w:r>
        <w:rPr>
          <w:rFonts w:hint="eastAsia" w:ascii="方正仿宋_GBK" w:hAnsi="方正仿宋_GBK" w:eastAsia="方正仿宋_GBK" w:cs="方正仿宋_GBK"/>
          <w:sz w:val="28"/>
          <w:szCs w:val="28"/>
          <w:highlight w:val="none"/>
        </w:rPr>
        <w:t xml:space="preserve">苏采云系统</w:t>
      </w:r>
      <w:r>
        <w:rPr>
          <w:rFonts w:hint="eastAsia" w:ascii="方正仿宋_GBK" w:hAnsi="方正仿宋_GBK" w:eastAsia="方正仿宋_GBK" w:cs="方正仿宋_GBK"/>
          <w:bCs/>
          <w:sz w:val="28"/>
          <w:szCs w:val="28"/>
          <w:highlight w:val="none"/>
        </w:rPr>
        <w:t xml:space="preserve">规定的时间内未成功解密电子投标文件的。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sz w:val="28"/>
          <w:szCs w:val="28"/>
          <w:highlight w:val="none"/>
        </w:rPr>
        <w:t xml:space="preserve">26.1.2 投标人未按照招标文件</w:t>
      </w:r>
      <w:r>
        <w:rPr>
          <w:rFonts w:hint="eastAsia" w:ascii="方正仿宋_GBK" w:hAnsi="方正仿宋_GBK" w:eastAsia="方正仿宋_GBK" w:cs="方正仿宋_GBK"/>
          <w:bCs/>
          <w:color w:val="000000"/>
          <w:sz w:val="28"/>
          <w:szCs w:val="28"/>
          <w:highlight w:val="none"/>
        </w:rPr>
        <w:t xml:space="preserve">要求上传电子投标文件的。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.1.3 投标人</w:t>
      </w:r>
      <w:r>
        <w:rPr>
          <w:rFonts w:hint="eastAsia" w:ascii="方正仿宋_GBK" w:hAnsi="方正仿宋_GBK" w:eastAsia="方正仿宋_GBK" w:cs="方正仿宋_GBK"/>
          <w:bCs/>
          <w:sz w:val="28"/>
          <w:szCs w:val="28"/>
          <w:highlight w:val="none"/>
        </w:rPr>
        <w:t xml:space="preserve">同一采购包提</w:t>
      </w:r>
      <w:r>
        <w:rPr>
          <w:rFonts w:hint="eastAsia" w:ascii="方正仿宋_GBK" w:hAnsi="方正仿宋_GBK" w:eastAsia="方正仿宋_GBK" w:cs="方正仿宋_GBK"/>
          <w:bCs/>
          <w:color w:val="000000"/>
          <w:sz w:val="28"/>
          <w:szCs w:val="28"/>
          <w:highlight w:val="none"/>
        </w:rPr>
        <w:t xml:space="preserve">交两个（含两个）以上不同的投标报价的。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.1.4投标人不具备招标文件中规定资格要求的。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.1.5投标人的报价超过了采购预算或最高限价的。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.1.6未通过符合性审查的。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号条款为实质性要求）</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.1.8 投标人被 “信用中国”网站（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color w:val="000000"/>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.1.9 投标文件含有采购人不能接受的附加条件的。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26.1.10 评标委员会按照本招标文件规定对投标人进行异常低价投标审查后，认为投标人不能证明其报价合理性的。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.1.12 投标文件未按照招标文件要求加盖CA电子公章的。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26.1.13 投标人所投标产品不符合招标文件中所列国家强制性标准的。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rPr>
        <w:t xml:space="preserve">其他法律、法规及本招标文件规定的属无效投标的情形。</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.2废标条款</w:t>
      </w:r>
      <w:r>
        <w:rPr>
          <w:rFonts w:hint="eastAsia" w:ascii="方正仿宋_GBK" w:hAnsi="方正仿宋_GBK" w:eastAsia="方正仿宋_GBK" w:cs="方正仿宋_GBK"/>
          <w:bCs/>
          <w:color w:val="000000"/>
          <w:sz w:val="28"/>
          <w:szCs w:val="28"/>
          <w:highlight w:val="none"/>
          <w:lang w:val="en-US" w:eastAsia="zh-CN"/>
        </w:rPr>
        <w:t xml:space="preserve"> </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.2.1符合专业条件的供应商或者对招标文件作实质响应的供应商不足三家的。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26.2.2出现影响采购公正的违法、违规行为的。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.2.3因重大变故，采购任务取消的。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26.2.4评标委员会认定招标文件存在歧义、重大缺陷导致评审工作无法进行。</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color w:val="000000"/>
          <w:sz w:val="28"/>
          <w:szCs w:val="28"/>
          <w:highlight w:val="none"/>
        </w:rPr>
        <w:t xml:space="preserve">26.2</w:t>
      </w:r>
      <w:r>
        <w:rPr>
          <w:rFonts w:hint="eastAsia" w:ascii="方正仿宋_GBK" w:hAnsi="方正仿宋_GBK" w:eastAsia="方正仿宋_GBK" w:cs="方正仿宋_GBK"/>
          <w:bCs/>
          <w:sz w:val="28"/>
          <w:szCs w:val="28"/>
          <w:highlight w:val="none"/>
        </w:rPr>
        <w:t xml:space="preserve">.5 因</w:t>
      </w:r>
      <w:r>
        <w:rPr>
          <w:rFonts w:hint="eastAsia" w:ascii="方正仿宋_GBK" w:hAnsi="方正仿宋_GBK" w:eastAsia="方正仿宋_GBK" w:cs="方正仿宋_GBK"/>
          <w:sz w:val="28"/>
          <w:szCs w:val="28"/>
          <w:highlight w:val="none"/>
        </w:rPr>
        <w:t xml:space="preserve">苏采云</w:t>
      </w:r>
      <w:r>
        <w:rPr>
          <w:rFonts w:hint="eastAsia" w:ascii="方正仿宋_GBK" w:hAnsi="方正仿宋_GBK" w:eastAsia="方正仿宋_GBK" w:cs="方正仿宋_GBK"/>
          <w:bCs/>
          <w:sz w:val="28"/>
          <w:szCs w:val="28"/>
          <w:highlight w:val="none"/>
        </w:rPr>
        <w:t xml:space="preserve">系统故障原因造成开标不成功的。</w:t>
      </w:r>
      <w:r>
        <w:rPr>
          <w:rFonts w:hint="eastAsia" w:ascii="方正仿宋_GBK" w:hAnsi="方正仿宋_GBK" w:eastAsia="方正仿宋_GBK" w:cs="方正仿宋_GBK"/>
          <w:bCs/>
          <w:sz w:val="28"/>
          <w:szCs w:val="28"/>
          <w:highlight w:val="none"/>
          <w:lang w:val="en-US" w:eastAsia="zh-CN"/>
        </w:rPr>
        <w:t xml:space="preserve">  </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sz w:val="28"/>
          <w:szCs w:val="28"/>
          <w:highlight w:val="none"/>
        </w:rPr>
        <w:t xml:space="preserve">26.3 投标截止时间结束后</w:t>
      </w:r>
      <w:r>
        <w:rPr>
          <w:rFonts w:hint="eastAsia" w:ascii="方正仿宋_GBK" w:hAnsi="方正仿宋_GBK" w:eastAsia="方正仿宋_GBK" w:cs="方正仿宋_GBK"/>
          <w:bCs/>
          <w:color w:val="000000"/>
          <w:sz w:val="28"/>
          <w:szCs w:val="28"/>
          <w:highlight w:val="none"/>
        </w:rPr>
        <w:t xml:space="preserve">参加投标的供应商不足三家的处理：</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26.3.1如出现投标截止时间结束后参加投标的供应商或者在评标期间对招标文件做出实质响应的供应商不足三家情况，按政府采购相关规定执行。</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Start w:id="159" w:name="_Toc120614219"/>
      <w:r>
        <w:rPr>
          <w:rFonts w:hint="eastAsia" w:ascii="方正黑体_GBK" w:hAnsi="方正黑体_GBK" w:eastAsia="方正黑体_GBK" w:cs="方正黑体_GBK"/>
          <w:color w:val="000000"/>
          <w:sz w:val="28"/>
          <w:szCs w:val="28"/>
          <w:highlight w:val="none"/>
        </w:rPr>
        <w:t xml:space="preserve">六、</w:t>
      </w:r>
      <w:bookmarkEnd w:id="156"/>
      <w:r>
        <w:rPr>
          <w:highlight w:val="none"/>
        </w:rPr>
      </w:r>
      <w:bookmarkEnd w:id="157"/>
      <w:r>
        <w:rPr>
          <w:highlight w:val="none"/>
        </w:rPr>
      </w:r>
      <w:bookmarkEnd w:id="158"/>
      <w:r>
        <w:rPr>
          <w:rFonts w:hint="eastAsia" w:ascii="方正黑体_GBK" w:hAnsi="方正黑体_GBK" w:eastAsia="方正黑体_GBK" w:cs="方正黑体_GBK"/>
          <w:color w:val="000000"/>
          <w:sz w:val="28"/>
          <w:szCs w:val="28"/>
          <w:highlight w:val="none"/>
        </w:rPr>
        <w:t xml:space="preserve">定标</w:t>
      </w:r>
      <w:bookmarkEnd w:id="159"/>
      <w:r>
        <w:rPr>
          <w:highlight w:val="none"/>
        </w:rPr>
      </w:r>
      <w:r/>
    </w:p>
    <w:p>
      <w:pPr>
        <w:pStyle w:val="961"/>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highlight w:val="none"/>
        </w:rPr>
        <w:outlineLvl w:val="3"/>
      </w:pPr>
      <w:r>
        <w:rPr>
          <w:highlight w:val="none"/>
        </w:rPr>
      </w:r>
      <w:bookmarkStart w:id="160" w:name="_Toc513029238"/>
      <w:r>
        <w:rPr>
          <w:highlight w:val="none"/>
        </w:rPr>
      </w:r>
      <w:bookmarkStart w:id="161" w:name="_Toc16938554"/>
      <w:r>
        <w:rPr>
          <w:highlight w:val="none"/>
        </w:rPr>
      </w:r>
      <w:bookmarkStart w:id="162" w:name="_Toc20823310"/>
      <w:r>
        <w:rPr>
          <w:rFonts w:hint="eastAsia" w:ascii="方正仿宋_GBK" w:hAnsi="方正仿宋_GBK" w:eastAsia="方正仿宋_GBK" w:cs="方正仿宋_GBK"/>
          <w:bCs/>
          <w:color w:val="000000"/>
          <w:sz w:val="28"/>
          <w:szCs w:val="28"/>
          <w:highlight w:val="none"/>
        </w:rPr>
        <w:t xml:space="preserve">27</w:t>
      </w:r>
      <w:bookmarkEnd w:id="160"/>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确定</w:t>
      </w:r>
      <w:bookmarkEnd w:id="161"/>
      <w:r>
        <w:rPr>
          <w:highlight w:val="none"/>
        </w:rPr>
      </w:r>
      <w:bookmarkEnd w:id="162"/>
      <w:r>
        <w:rPr>
          <w:rFonts w:hint="eastAsia" w:ascii="方正仿宋_GBK" w:hAnsi="方正仿宋_GBK" w:eastAsia="方正仿宋_GBK" w:cs="方正仿宋_GBK"/>
          <w:bCs/>
          <w:color w:val="000000"/>
          <w:sz w:val="28"/>
          <w:szCs w:val="28"/>
          <w:highlight w:val="none"/>
        </w:rPr>
        <w:t xml:space="preserve">中标单位</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27.1中标候选人的选取原则和数量见招标文件第五章规定。 </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27.2 采购人应根据</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推荐的中标候选人确定中标供应商。</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27.3 </w:t>
      </w:r>
      <w:r>
        <w:rPr>
          <w:rFonts w:hint="eastAsia" w:ascii="方正仿宋_GBK" w:hAnsi="方正仿宋_GBK" w:eastAsia="方正仿宋_GBK" w:cs="方正仿宋_GBK"/>
          <w:color w:val="000000"/>
          <w:sz w:val="28"/>
          <w:szCs w:val="28"/>
          <w:highlight w:val="none"/>
        </w:rPr>
        <w:t xml:space="preserve">采购中心将在“江苏政府采购网”发布中标公告，公告期限为1个工作日。</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 若有充分证据证明，中标供应商出现下列情况之一的，一经查实，将被取消中标资格：</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27.4.1提供虚假材料谋取中标的。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27.4.2向采购人、采购中心行贿或者提供其他不正当利益的。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27.4.3属于本文件规定的无效条件，但在评标过程中又未被</w:t>
      </w:r>
      <w:r>
        <w:rPr>
          <w:rFonts w:hint="eastAsia" w:ascii="方正仿宋_GBK" w:hAnsi="方正仿宋_GBK" w:eastAsia="方正仿宋_GBK" w:cs="方正仿宋_GBK"/>
          <w:color w:val="000000"/>
          <w:sz w:val="28"/>
          <w:szCs w:val="28"/>
          <w:highlight w:val="none"/>
          <w:lang w:eastAsia="zh-CN"/>
        </w:rPr>
        <w:t xml:space="preserve">评标委员会</w:t>
      </w:r>
      <w:r>
        <w:rPr>
          <w:rFonts w:hint="eastAsia" w:ascii="方正仿宋_GBK" w:hAnsi="方正仿宋_GBK" w:eastAsia="方正仿宋_GBK" w:cs="方正仿宋_GBK"/>
          <w:color w:val="000000"/>
          <w:sz w:val="28"/>
          <w:szCs w:val="28"/>
          <w:highlight w:val="none"/>
        </w:rPr>
        <w:t xml:space="preserve">发现的。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27.4.4与采购人或者其他供应商恶意串通的。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27.4.5采取不正当手段诋毁、排挤其他供应商的。</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highlight w:val="none"/>
        </w:rPr>
      </w:r>
      <w:bookmarkStart w:id="163" w:name="_Toc200451960"/>
      <w:r>
        <w:rPr>
          <w:rFonts w:hint="eastAsia" w:ascii="方正仿宋_GBK" w:hAnsi="方正仿宋_GBK" w:eastAsia="方正仿宋_GBK" w:cs="方正仿宋_GBK"/>
          <w:color w:val="000000"/>
          <w:sz w:val="28"/>
          <w:szCs w:val="28"/>
          <w:highlight w:val="none"/>
        </w:rPr>
        <w:t xml:space="preserve">27.5 </w:t>
      </w:r>
      <w:r>
        <w:rPr>
          <w:rFonts w:hint="eastAsia" w:ascii="方正仿宋_GBK" w:hAnsi="方正仿宋_GBK" w:eastAsia="方正仿宋_GBK" w:cs="方正仿宋_GBK"/>
          <w:color w:val="000000"/>
          <w:sz w:val="28"/>
          <w:szCs w:val="28"/>
          <w:highlight w:val="none"/>
        </w:rPr>
        <w:t xml:space="preserve">有下列情形之一的，视为投标人串通投标，投标无效：</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27.5.1不同投标人的投标文件由同一单位或者个人编制。</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27.5.2不同投标人委托同一单位或者个人办理投标事宜。</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27.5.3 不同投标人的投标文件载明的项目管理成员或者联系人员为同一人。</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27.5.4不同投标人的投标文件异常一致或者投标报价呈规律性差异。</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质疑处理</w:t>
      </w:r>
      <w:bookmarkEnd w:id="163"/>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28.1 提出质疑的供应商应当是参与所质疑项目采购活动的供应商。潜在供应商依法获取其可质疑的采购文件的，可以对采购文件提出质疑。</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28.2.2对采购过程提出质疑的，为各采购程序环节结束之日；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28.2.3对中标或者成交结果提出质疑的，为中标或者成交结果公告期限届满之日。</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采购人及采购中心只接收以纸质原件形式送达的质疑,建议供应商尽量通过邮寄方式提交质疑（采购人和采购中心不接受无快递运单号的快递）。</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color w:val="000000"/>
          <w:sz w:val="28"/>
          <w:szCs w:val="28"/>
          <w:highlight w:val="none"/>
        </w:rPr>
        <w:t xml:space="preserve">采购人质疑接收人及联系方式见招标文件第一章。</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 以下情形的质疑不予受理</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28.5.1 内容不符合《政府采购质疑和投诉办法》第十二条规定的质疑。</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28.5.2 超出政府采购法定期限的质疑。</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28.5.3 以传真、电子邮件等方式递交的非原件形式的质疑。</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28.5.4 未参加投标活动的供应商或在投标活动中自身权益未受到损害的供应商所提出的质疑。</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28.5.5供应商组成联合体参加投标，联合体中任何一方或多方未按要求签字、盖章、加盖公章的质疑。</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中标通知书</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highlight w:val="none"/>
        </w:rPr>
      </w:r>
      <w:bookmarkStart w:id="164" w:name="_Toc120614220"/>
      <w:r>
        <w:rPr>
          <w:highlight w:val="none"/>
        </w:rPr>
      </w:r>
      <w:bookmarkStart w:id="165" w:name="_Toc20823308"/>
      <w:r>
        <w:rPr>
          <w:highlight w:val="none"/>
        </w:rPr>
      </w:r>
      <w:bookmarkStart w:id="166" w:name="_Toc16938552"/>
      <w:r>
        <w:rPr>
          <w:highlight w:val="none"/>
        </w:rPr>
      </w:r>
      <w:bookmarkStart w:id="167" w:name="_Toc513029236"/>
      <w:r>
        <w:rPr>
          <w:rFonts w:hint="eastAsia" w:ascii="方正黑体_GBK" w:hAnsi="方正黑体_GBK" w:eastAsia="方正黑体_GBK" w:cs="方正黑体_GBK"/>
          <w:color w:val="000000"/>
          <w:sz w:val="28"/>
          <w:szCs w:val="28"/>
          <w:highlight w:val="none"/>
        </w:rPr>
        <w:t xml:space="preserve">七、授予合同</w:t>
      </w:r>
      <w:bookmarkEnd w:id="164"/>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highlight w:val="none"/>
        </w:rPr>
      </w:r>
      <w:bookmarkEnd w:id="165"/>
      <w:r>
        <w:rPr>
          <w:highlight w:val="none"/>
        </w:rPr>
      </w:r>
      <w:bookmarkEnd w:id="166"/>
      <w:r>
        <w:rPr>
          <w:highlight w:val="none"/>
        </w:rPr>
      </w:r>
      <w:bookmarkEnd w:id="167"/>
      <w:r>
        <w:rPr>
          <w:highlight w:val="none"/>
        </w:rPr>
      </w:r>
      <w:bookmarkStart w:id="168" w:name="_Toc513029237"/>
      <w:r>
        <w:rPr>
          <w:highlight w:val="none"/>
        </w:rPr>
      </w:r>
      <w:bookmarkStart w:id="169" w:name="_Toc16938553"/>
      <w:r>
        <w:rPr>
          <w:highlight w:val="none"/>
        </w:rPr>
      </w:r>
      <w:bookmarkStart w:id="170" w:name="_Toc20823309"/>
      <w:r>
        <w:rPr>
          <w:rFonts w:hint="eastAsia" w:ascii="方正仿宋_GBK" w:hAnsi="方正仿宋_GBK" w:eastAsia="方正仿宋_GBK" w:cs="方正仿宋_GBK"/>
          <w:color w:val="000000"/>
          <w:sz w:val="28"/>
          <w:szCs w:val="28"/>
          <w:highlight w:val="none"/>
        </w:rPr>
        <w:t xml:space="preserve">30</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签订合同</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30.l中标供应商应当在中标通知书发出之日起三十日内，按照招标文件确定的事项与采购人签订政府采购合同。</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30.2 招标文件、中标供应商的投标文件及招标过程中有关澄清、承诺文件均应作为合同附件。</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货物（包含与货物相关的服务）的追加</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highlight w:val="none"/>
        </w:rPr>
      </w:r>
      <w:bookmarkEnd w:id="168"/>
      <w:r>
        <w:rPr>
          <w:highlight w:val="none"/>
        </w:rPr>
      </w:r>
      <w:bookmarkEnd w:id="169"/>
      <w:r>
        <w:rPr>
          <w:highlight w:val="none"/>
        </w:rPr>
      </w:r>
      <w:bookmarkEnd w:id="170"/>
      <w:r>
        <w:rPr>
          <w:rFonts w:hint="eastAsia" w:ascii="方正仿宋_GBK" w:hAnsi="方正仿宋_GBK" w:eastAsia="方正仿宋_GBK" w:cs="方正仿宋_GBK"/>
          <w:color w:val="000000"/>
          <w:sz w:val="28"/>
          <w:szCs w:val="28"/>
          <w:highlight w:val="none"/>
        </w:rPr>
        <w:t xml:space="preserve">32</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政府采购履约资金扶持政策</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中标供应商可凭政府采购合同办理融资贷款，详情请见江苏政府采购网“政采贷”专栏。</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r/>
    </w:p>
    <w:p>
      <w:pPr>
        <w:pStyle w:val="961"/>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r/>
    </w:p>
    <w:p>
      <w:pPr>
        <w:pStyle w:val="961"/>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pStyle w:val="961"/>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961"/>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r/>
    </w:p>
    <w:p>
      <w:pPr>
        <w:pStyle w:val="961"/>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r/>
    </w:p>
    <w:p>
      <w:pPr>
        <w:pStyle w:val="961"/>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第三章  合同</w:t>
      </w:r>
      <w:bookmarkEnd w:id="44"/>
      <w:r>
        <w:rPr>
          <w:highlight w:val="none"/>
        </w:rPr>
      </w:r>
      <w:bookmarkEnd w:id="45"/>
      <w:r>
        <w:rPr>
          <w:highlight w:val="none"/>
        </w:rPr>
      </w:r>
      <w:bookmarkEnd w:id="46"/>
      <w:r>
        <w:rPr>
          <w:highlight w:val="none"/>
        </w:rPr>
      </w:r>
      <w:bookmarkEnd w:id="47"/>
      <w:r>
        <w:rPr>
          <w:highlight w:val="none"/>
        </w:rPr>
      </w:r>
      <w:bookmarkEnd w:id="48"/>
      <w:r>
        <w:rPr>
          <w:rFonts w:hint="eastAsia" w:ascii="方正黑体_GBK" w:hAnsi="方正黑体_GBK" w:eastAsia="方正黑体_GBK" w:cs="方正黑体_GBK"/>
          <w:bCs/>
          <w:color w:val="000000"/>
          <w:sz w:val="28"/>
          <w:szCs w:val="28"/>
          <w:highlight w:val="none"/>
        </w:rPr>
        <w:t xml:space="preserve">文本</w:t>
      </w:r>
      <w:r>
        <w:rPr>
          <w:highlight w:val="none"/>
        </w:rPr>
      </w:r>
      <w:r/>
    </w:p>
    <w:p>
      <w:pPr>
        <w:pStyle w:val="961"/>
        <w:spacing w:line="400" w:lineRule="exact"/>
        <w:rPr>
          <w:rFonts w:ascii="宋体" w:hAnsi="宋体"/>
          <w:bCs/>
          <w:color w:val="ff0000"/>
          <w:sz w:val="28"/>
          <w:szCs w:val="28"/>
          <w:highlight w:val="none"/>
        </w:rPr>
      </w:pPr>
      <w:r>
        <w:rPr>
          <w:highlight w:val="none"/>
        </w:rPr>
      </w:r>
      <w:bookmarkStart w:id="171" w:name="_Toc20823315"/>
      <w:r>
        <w:rPr>
          <w:highlight w:val="none"/>
        </w:rPr>
      </w:r>
      <w:bookmarkStart w:id="172" w:name="_Toc513029243"/>
      <w:r>
        <w:rPr>
          <w:highlight w:val="none"/>
        </w:rPr>
      </w:r>
      <w:bookmarkStart w:id="173" w:name="_Toc3995"/>
      <w:r>
        <w:rPr>
          <w:highlight w:val="none"/>
        </w:rPr>
      </w:r>
      <w:bookmarkStart w:id="174" w:name="_Toc16938559"/>
      <w:r>
        <w:rPr>
          <w:highlight w:val="none"/>
        </w:rPr>
      </w:r>
      <w:bookmarkStart w:id="175" w:name="_Hlt16619350"/>
      <w:r>
        <w:rPr>
          <w:highlight w:val="none"/>
        </w:rPr>
      </w:r>
      <w:bookmarkStart w:id="176" w:name="_Toc16938590"/>
      <w:r>
        <w:rPr>
          <w:highlight w:val="none"/>
        </w:rPr>
      </w:r>
      <w:bookmarkStart w:id="177" w:name="_Toc20823346"/>
      <w:r>
        <w:rPr>
          <w:highlight w:val="none"/>
        </w:rPr>
      </w:r>
      <w:bookmarkStart w:id="178" w:name="_Toc120614244"/>
      <w:r>
        <w:rPr>
          <w:highlight w:val="none"/>
        </w:rPr>
      </w:r>
      <w:bookmarkStart w:id="179" w:name="_Toc479757211"/>
      <w:r>
        <w:rPr>
          <w:highlight w:val="none"/>
        </w:rPr>
      </w:r>
      <w:bookmarkStart w:id="180" w:name="_Toc462564139"/>
      <w:r>
        <w:rPr>
          <w:highlight w:val="none"/>
        </w:rPr>
      </w:r>
      <w:r/>
    </w:p>
    <w:p>
      <w:pPr>
        <w:pStyle w:val="961"/>
        <w:spacing w:line="5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rPr>
          <w:highlight w:val="none"/>
        </w:rPr>
      </w:r>
      <w:r/>
    </w:p>
    <w:p>
      <w:pPr>
        <w:pStyle w:val="992"/>
        <w:jc w:val="center"/>
        <w:rPr>
          <w:rFonts w:ascii="宋体" w:hAnsi="宋体" w:eastAsia="宋体" w:cs="宋体"/>
          <w:b/>
          <w:bCs/>
          <w:spacing w:val="-20"/>
          <w:sz w:val="28"/>
          <w:szCs w:val="28"/>
          <w:highlight w:val="none"/>
        </w:rPr>
      </w:pPr>
      <w:r>
        <w:rPr>
          <w:highlight w:val="none"/>
        </w:rPr>
      </w:r>
      <w:bookmarkEnd w:id="171"/>
      <w:r>
        <w:rPr>
          <w:highlight w:val="none"/>
        </w:rPr>
      </w:r>
      <w:bookmarkEnd w:id="172"/>
      <w:r>
        <w:rPr>
          <w:highlight w:val="none"/>
        </w:rPr>
      </w:r>
      <w:bookmarkEnd w:id="173"/>
      <w:r>
        <w:rPr>
          <w:highlight w:val="none"/>
        </w:rPr>
      </w:r>
      <w:bookmarkEnd w:id="174"/>
      <w:r>
        <w:rPr>
          <w:highlight w:val="none"/>
        </w:rPr>
      </w:r>
      <w:r/>
    </w:p>
    <w:p>
      <w:pPr>
        <w:pStyle w:val="992"/>
        <w:jc w:val="center"/>
        <w:rPr>
          <w:rFonts w:ascii="宋体" w:hAnsi="宋体" w:eastAsia="宋体" w:cs="宋体"/>
          <w:b w:val="0"/>
          <w:bCs w:val="0"/>
          <w:spacing w:val="-20"/>
          <w:sz w:val="28"/>
          <w:szCs w:val="28"/>
          <w:highlight w:val="none"/>
        </w:rPr>
      </w:pPr>
      <w:r>
        <w:rPr>
          <w:rFonts w:ascii="宋体" w:hAnsi="宋体" w:eastAsia="宋体" w:cs="宋体"/>
          <w:b w:val="0"/>
          <w:bCs w:val="0"/>
          <w:spacing w:val="-20"/>
          <w:sz w:val="28"/>
          <w:szCs w:val="28"/>
          <w:highlight w:val="none"/>
        </w:rPr>
      </w:r>
      <w:r>
        <w:rPr>
          <w:highlight w:val="none"/>
        </w:rPr>
      </w:r>
      <w:r/>
    </w:p>
    <w:p>
      <w:pPr>
        <w:pStyle w:val="992"/>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highlight w:val="none"/>
        </w:rPr>
      </w:pPr>
      <w:r>
        <w:rPr>
          <w:rFonts w:hint="eastAsia" w:ascii="方正黑体_GBK" w:hAnsi="方正黑体_GBK" w:eastAsia="方正黑体_GBK" w:cs="方正黑体_GBK"/>
          <w:b w:val="0"/>
          <w:bCs w:val="0"/>
          <w:spacing w:val="-20"/>
          <w:sz w:val="28"/>
          <w:szCs w:val="28"/>
          <w:highlight w:val="none"/>
        </w:rPr>
        <w:t xml:space="preserve">财政部 政府采购货物买卖合同（试行）</w:t>
      </w:r>
      <w:r>
        <w:rPr>
          <w:highlight w:val="none"/>
        </w:rPr>
      </w:r>
      <w:r/>
    </w:p>
    <w:p>
      <w:pPr>
        <w:pStyle w:val="992"/>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highlight w:val="none"/>
        </w:rPr>
      </w:pPr>
      <w:r>
        <w:rPr>
          <w:rFonts w:hint="eastAsia" w:ascii="方正黑体_GBK" w:hAnsi="方正黑体_GBK" w:eastAsia="方正黑体_GBK" w:cs="方正黑体_GBK"/>
          <w:b w:val="0"/>
          <w:bCs w:val="0"/>
          <w:spacing w:val="-20"/>
          <w:sz w:val="28"/>
          <w:szCs w:val="28"/>
          <w:highlight w:val="none"/>
        </w:rPr>
        <w:t xml:space="preserve">范    本</w:t>
      </w:r>
      <w:r>
        <w:rPr>
          <w:highlight w:val="none"/>
        </w:rPr>
      </w:r>
      <w:r/>
    </w:p>
    <w:p>
      <w:pPr>
        <w:pStyle w:val="961"/>
        <w:keepLines w:val="0"/>
        <w:keepNext w:val="0"/>
        <w:pageBreakBefore w:val="0"/>
        <w:spacing w:line="660" w:lineRule="exact"/>
        <w:widowControl w:val="off"/>
        <w:rPr>
          <w:rFonts w:ascii="宋体" w:hAnsi="宋体" w:cs="宋体"/>
          <w:b/>
          <w:bCs/>
          <w:spacing w:val="-20"/>
          <w:sz w:val="28"/>
          <w:szCs w:val="28"/>
          <w:highlight w:val="none"/>
        </w:rPr>
      </w:pPr>
      <w:r>
        <w:rPr>
          <w:rFonts w:ascii="宋体" w:hAnsi="宋体" w:cs="宋体"/>
          <w:b/>
          <w:bCs/>
          <w:spacing w:val="-20"/>
          <w:sz w:val="28"/>
          <w:szCs w:val="28"/>
          <w:highlight w:val="none"/>
        </w:rPr>
      </w:r>
      <w:r>
        <w:rPr>
          <w:highlight w:val="none"/>
        </w:rPr>
      </w:r>
      <w:r/>
    </w:p>
    <w:p>
      <w:pPr>
        <w:pStyle w:val="961"/>
        <w:keepLines w:val="0"/>
        <w:keepNext w:val="0"/>
        <w:pageBreakBefore w:val="0"/>
        <w:spacing w:line="660" w:lineRule="exact"/>
        <w:widowControl w:val="off"/>
        <w:rPr>
          <w:rFonts w:ascii="宋体" w:hAnsi="宋体" w:cs="宋体"/>
          <w:b/>
          <w:bCs/>
          <w:spacing w:val="-20"/>
          <w:sz w:val="28"/>
          <w:szCs w:val="28"/>
          <w:highlight w:val="none"/>
        </w:rPr>
      </w:pPr>
      <w:r>
        <w:rPr>
          <w:rFonts w:ascii="宋体" w:hAnsi="宋体" w:cs="宋体"/>
          <w:b/>
          <w:bCs/>
          <w:spacing w:val="-20"/>
          <w:sz w:val="28"/>
          <w:szCs w:val="28"/>
          <w:highlight w:val="none"/>
        </w:rPr>
      </w:r>
      <w:r>
        <w:rPr>
          <w:highlight w:val="none"/>
        </w:rPr>
      </w:r>
      <w:r/>
    </w:p>
    <w:p>
      <w:pPr>
        <w:pStyle w:val="961"/>
        <w:keepLines w:val="0"/>
        <w:keepNext w:val="0"/>
        <w:pageBreakBefore w:val="0"/>
        <w:spacing w:line="660" w:lineRule="exact"/>
        <w:widowControl w:val="off"/>
        <w:rPr>
          <w:rFonts w:ascii="宋体" w:hAnsi="宋体" w:cs="宋体"/>
          <w:b/>
          <w:bCs/>
          <w:spacing w:val="-20"/>
          <w:sz w:val="28"/>
          <w:szCs w:val="28"/>
          <w:highlight w:val="none"/>
        </w:rPr>
      </w:pPr>
      <w:r>
        <w:rPr>
          <w:rFonts w:ascii="宋体" w:hAnsi="宋体" w:cs="宋体"/>
          <w:b/>
          <w:bCs/>
          <w:spacing w:val="-20"/>
          <w:sz w:val="28"/>
          <w:szCs w:val="28"/>
          <w:highlight w:val="none"/>
        </w:rPr>
      </w:r>
      <w:r>
        <w:rPr>
          <w:highlight w:val="none"/>
        </w:rPr>
      </w:r>
      <w:r/>
    </w:p>
    <w:p>
      <w:pPr>
        <w:pStyle w:val="961"/>
        <w:ind w:left="420"/>
        <w:keepLines w:val="0"/>
        <w:keepNext w:val="0"/>
        <w:pageBreakBefore w:val="0"/>
        <w:spacing w:line="660" w:lineRule="exact"/>
        <w:widowControl w:val="off"/>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项目名称：</w:t>
      </w:r>
      <w:r>
        <w:rPr>
          <w:rFonts w:hint="eastAsia" w:ascii="方正黑体_GBK" w:hAnsi="方正黑体_GBK" w:eastAsia="方正黑体_GBK" w:cs="方正黑体_GBK"/>
          <w:sz w:val="28"/>
          <w:szCs w:val="28"/>
          <w:highlight w:val="none"/>
          <w:u w:val="single"/>
        </w:rPr>
        <w:t xml:space="preserve">                             </w:t>
      </w:r>
      <w:r>
        <w:rPr>
          <w:highlight w:val="none"/>
        </w:rPr>
      </w:r>
      <w:r/>
    </w:p>
    <w:p>
      <w:pPr>
        <w:pStyle w:val="961"/>
        <w:ind w:left="420"/>
        <w:keepLines w:val="0"/>
        <w:keepNext w:val="0"/>
        <w:pageBreakBefore w:val="0"/>
        <w:spacing w:line="660" w:lineRule="exact"/>
        <w:widowControl w:val="off"/>
        <w:rPr>
          <w:rFonts w:hint="eastAsia" w:ascii="方正黑体_GBK" w:hAnsi="方正黑体_GBK" w:eastAsia="方正黑体_GBK" w:cs="方正黑体_GBK"/>
          <w:sz w:val="28"/>
          <w:szCs w:val="28"/>
          <w:highlight w:val="none"/>
          <w:u w:val="single"/>
        </w:rPr>
      </w:pPr>
      <w:r>
        <w:rPr>
          <w:rFonts w:hint="eastAsia" w:ascii="方正黑体_GBK" w:hAnsi="方正黑体_GBK" w:eastAsia="方正黑体_GBK" w:cs="方正黑体_GBK"/>
          <w:sz w:val="28"/>
          <w:szCs w:val="28"/>
          <w:highlight w:val="none"/>
        </w:rPr>
        <w:t xml:space="preserve">合同编号：</w:t>
      </w:r>
      <w:r>
        <w:rPr>
          <w:rFonts w:hint="eastAsia" w:ascii="方正黑体_GBK" w:hAnsi="方正黑体_GBK" w:eastAsia="方正黑体_GBK" w:cs="方正黑体_GBK"/>
          <w:sz w:val="28"/>
          <w:szCs w:val="28"/>
          <w:highlight w:val="none"/>
          <w:u w:val="single"/>
        </w:rPr>
        <w:t xml:space="preserve">                             </w:t>
      </w:r>
      <w:r>
        <w:rPr>
          <w:highlight w:val="none"/>
        </w:rPr>
      </w:r>
      <w:r/>
    </w:p>
    <w:p>
      <w:pPr>
        <w:pStyle w:val="961"/>
        <w:ind w:left="420"/>
        <w:keepLines w:val="0"/>
        <w:keepNext w:val="0"/>
        <w:pageBreakBefore w:val="0"/>
        <w:spacing w:line="660" w:lineRule="exact"/>
        <w:widowControl w:val="off"/>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甲    方：</w:t>
      </w:r>
      <w:r>
        <w:rPr>
          <w:rFonts w:hint="eastAsia" w:ascii="方正黑体_GBK" w:hAnsi="方正黑体_GBK" w:eastAsia="方正黑体_GBK" w:cs="方正黑体_GBK"/>
          <w:sz w:val="28"/>
          <w:szCs w:val="28"/>
          <w:highlight w:val="none"/>
          <w:u w:val="single"/>
        </w:rPr>
        <w:t xml:space="preserve">                             </w:t>
      </w:r>
      <w:r>
        <w:rPr>
          <w:highlight w:val="none"/>
        </w:rPr>
      </w:r>
      <w:r/>
    </w:p>
    <w:p>
      <w:pPr>
        <w:pStyle w:val="961"/>
        <w:ind w:left="420"/>
        <w:keepLines w:val="0"/>
        <w:keepNext w:val="0"/>
        <w:pageBreakBefore w:val="0"/>
        <w:spacing w:line="660" w:lineRule="exact"/>
        <w:widowControl w:val="off"/>
        <w:rPr>
          <w:rFonts w:hint="eastAsia" w:ascii="方正黑体_GBK" w:hAnsi="方正黑体_GBK" w:eastAsia="方正黑体_GBK" w:cs="方正黑体_GBK"/>
          <w:sz w:val="28"/>
          <w:szCs w:val="28"/>
          <w:highlight w:val="none"/>
          <w:u w:val="single"/>
        </w:rPr>
      </w:pPr>
      <w:r>
        <w:rPr>
          <w:rFonts w:hint="eastAsia" w:ascii="方正黑体_GBK" w:hAnsi="方正黑体_GBK" w:eastAsia="方正黑体_GBK" w:cs="方正黑体_GBK"/>
          <w:sz w:val="28"/>
          <w:szCs w:val="28"/>
          <w:highlight w:val="none"/>
        </w:rPr>
        <w:t xml:space="preserve">乙    方：</w:t>
      </w:r>
      <w:r>
        <w:rPr>
          <w:rFonts w:hint="eastAsia" w:ascii="方正黑体_GBK" w:hAnsi="方正黑体_GBK" w:eastAsia="方正黑体_GBK" w:cs="方正黑体_GBK"/>
          <w:sz w:val="28"/>
          <w:szCs w:val="28"/>
          <w:highlight w:val="none"/>
          <w:u w:val="single"/>
        </w:rPr>
        <w:t xml:space="preserve">                             </w:t>
      </w:r>
      <w:r>
        <w:rPr>
          <w:highlight w:val="none"/>
        </w:rPr>
      </w:r>
      <w:r/>
    </w:p>
    <w:p>
      <w:pPr>
        <w:pStyle w:val="961"/>
        <w:ind w:left="420"/>
        <w:keepLines w:val="0"/>
        <w:keepNext w:val="0"/>
        <w:pageBreakBefore w:val="0"/>
        <w:spacing w:line="660" w:lineRule="exact"/>
        <w:widowControl w:val="off"/>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签订时间：</w:t>
      </w:r>
      <w:r>
        <w:rPr>
          <w:rFonts w:hint="eastAsia" w:ascii="方正黑体_GBK" w:hAnsi="方正黑体_GBK" w:eastAsia="方正黑体_GBK" w:cs="方正黑体_GBK"/>
          <w:sz w:val="28"/>
          <w:szCs w:val="28"/>
          <w:highlight w:val="none"/>
          <w:u w:val="single"/>
        </w:rPr>
        <w:t xml:space="preserve">                             </w:t>
      </w:r>
      <w:r>
        <w:rPr>
          <w:highlight w:val="none"/>
        </w:rPr>
      </w:r>
      <w:r/>
    </w:p>
    <w:p>
      <w:pPr>
        <w:pStyle w:val="961"/>
        <w:rPr>
          <w:sz w:val="28"/>
          <w:szCs w:val="28"/>
          <w:highlight w:val="none"/>
        </w:rPr>
      </w:pPr>
      <w:r>
        <w:rPr>
          <w:sz w:val="28"/>
          <w:szCs w:val="28"/>
          <w:highlight w:val="none"/>
        </w:rPr>
      </w:r>
      <w:r>
        <w:rPr>
          <w:highlight w:val="none"/>
        </w:rPr>
      </w:r>
      <w:r/>
    </w:p>
    <w:p>
      <w:pPr>
        <w:pStyle w:val="961"/>
        <w:rPr>
          <w:rFonts w:eastAsia="黑体"/>
          <w:sz w:val="28"/>
          <w:szCs w:val="28"/>
          <w:highlight w:val="none"/>
        </w:rPr>
      </w:pPr>
      <w:r>
        <w:rPr>
          <w:rFonts w:eastAsia="黑体"/>
          <w:sz w:val="28"/>
          <w:szCs w:val="28"/>
          <w:highlight w:val="none"/>
        </w:rPr>
      </w:r>
      <w:r>
        <w:rPr>
          <w:highlight w:val="none"/>
        </w:rPr>
      </w:r>
      <w:r/>
    </w:p>
    <w:p>
      <w:pPr>
        <w:pStyle w:val="961"/>
        <w:rPr>
          <w:rFonts w:eastAsia="黑体"/>
          <w:sz w:val="28"/>
          <w:szCs w:val="28"/>
          <w:highlight w:val="none"/>
        </w:rPr>
      </w:pPr>
      <w:r>
        <w:rPr>
          <w:rFonts w:eastAsia="黑体"/>
          <w:sz w:val="28"/>
          <w:szCs w:val="28"/>
          <w:highlight w:val="none"/>
        </w:rPr>
      </w:r>
      <w:r>
        <w:rPr>
          <w:highlight w:val="none"/>
        </w:rPr>
      </w:r>
      <w:r/>
    </w:p>
    <w:p>
      <w:pPr>
        <w:pStyle w:val="961"/>
        <w:rPr>
          <w:rFonts w:eastAsia="黑体"/>
          <w:sz w:val="28"/>
          <w:szCs w:val="28"/>
          <w:highlight w:val="none"/>
        </w:rPr>
      </w:pPr>
      <w:r>
        <w:rPr>
          <w:rFonts w:eastAsia="黑体"/>
          <w:sz w:val="28"/>
          <w:szCs w:val="28"/>
          <w:highlight w:val="none"/>
        </w:rPr>
      </w:r>
      <w:r>
        <w:rPr>
          <w:highlight w:val="none"/>
        </w:rPr>
      </w:r>
      <w:r/>
    </w:p>
    <w:p>
      <w:pPr>
        <w:pStyle w:val="961"/>
        <w:rPr>
          <w:rFonts w:eastAsia="黑体"/>
          <w:sz w:val="28"/>
          <w:szCs w:val="28"/>
          <w:highlight w:val="none"/>
        </w:rPr>
      </w:pPr>
      <w:r>
        <w:rPr>
          <w:rFonts w:eastAsia="黑体"/>
          <w:sz w:val="28"/>
          <w:szCs w:val="28"/>
          <w:highlight w:val="none"/>
        </w:rPr>
      </w:r>
      <w:r>
        <w:rPr>
          <w:highlight w:val="none"/>
        </w:rPr>
      </w:r>
      <w:r/>
    </w:p>
    <w:p>
      <w:pPr>
        <w:pStyle w:val="961"/>
        <w:rPr>
          <w:rFonts w:eastAsia="黑体"/>
          <w:sz w:val="28"/>
          <w:szCs w:val="28"/>
          <w:highlight w:val="none"/>
        </w:rPr>
      </w:pPr>
      <w:r>
        <w:rPr>
          <w:rFonts w:eastAsia="黑体"/>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使 用 说 明</w:t>
      </w:r>
      <w:r>
        <w:rPr>
          <w:highlight w:val="none"/>
        </w:rPr>
      </w:r>
      <w:r/>
    </w:p>
    <w:p>
      <w:pPr>
        <w:pStyle w:val="961"/>
        <w:ind w:firstLine="560"/>
        <w:keepLines w:val="0"/>
        <w:keepNext w:val="0"/>
        <w:pageBreakBefore w:val="0"/>
        <w:spacing w:line="400" w:lineRule="exact"/>
        <w:widowControl w:val="off"/>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1.本合同标准文本适用于购买现成货物的采购项目，不包括需要供应商定制开发、创新研发的货物采购项目。</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2.本合同标准文本为政府采购货物买卖合同编制提供参考，可以结合采购项目具体情况，对文本作必要的调整修订后使用。</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3.本合同标准文本各条款中，如涉及填写多家供应商、制造商，多种采购标的、分包主要内容等信息的，可根据采购项目具体情况添加信息项。</w:t>
      </w:r>
      <w:r>
        <w:rPr>
          <w:highlight w:val="none"/>
        </w:rPr>
      </w:r>
      <w:r/>
    </w:p>
    <w:p>
      <w:pPr>
        <w:pStyle w:val="961"/>
        <w:ind w:firstLine="560"/>
        <w:rPr>
          <w:rFonts w:eastAsia="黑体"/>
          <w:sz w:val="28"/>
          <w:szCs w:val="28"/>
          <w:highlight w:val="none"/>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highlight w:val="none"/>
        </w:rPr>
      </w:r>
      <w:r>
        <w:rPr>
          <w:highlight w:val="none"/>
        </w:rPr>
      </w:r>
      <w:r/>
    </w:p>
    <w:p>
      <w:pPr>
        <w:pStyle w:val="963"/>
        <w:keepLines/>
        <w:keepNext/>
        <w:pageBreakBefore w:val="0"/>
        <w:spacing w:line="400" w:lineRule="exact"/>
        <w:widowControl w:val="off"/>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甲方（全称）</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（采购人、受采购人委托签订合同的单位或采购文件约定的合同甲方）</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乙方1（全称）</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（供应商）</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乙方2（全称）</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（联合体成员供应商或其他合同主体）（如有）</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乙方3（全称）</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（联合体成员供应商或其他合同主体）（如有）</w:t>
      </w:r>
      <w:r>
        <w:rPr>
          <w:highlight w:val="none"/>
        </w:rPr>
      </w:r>
      <w:r/>
    </w:p>
    <w:p>
      <w:pPr>
        <w:pStyle w:val="994"/>
        <w:ind w:left="0" w:firstLine="560"/>
        <w:keepLines w:val="0"/>
        <w:keepNext w:val="0"/>
        <w:pageBreakBefore w:val="0"/>
        <w:spacing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highlight w:val="none"/>
        </w:rPr>
      </w:r>
      <w:r/>
    </w:p>
    <w:p>
      <w:pPr>
        <w:pStyle w:val="961"/>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1.</w:t>
      </w:r>
      <w:r>
        <w:rPr>
          <w:rFonts w:hint="eastAsia" w:ascii="方正仿宋_GBK" w:hAnsi="方正仿宋_GBK" w:eastAsia="方正仿宋_GBK" w:cs="方正仿宋_GBK"/>
          <w:b/>
          <w:sz w:val="28"/>
          <w:szCs w:val="28"/>
          <w:highlight w:val="none"/>
        </w:rPr>
        <w:t xml:space="preserve">项目信息</w:t>
      </w:r>
      <w:r>
        <w:rPr>
          <w:highlight w:val="none"/>
        </w:rPr>
      </w:r>
      <w:r/>
    </w:p>
    <w:p>
      <w:pPr>
        <w:pStyle w:val="994"/>
        <w:numPr>
          <w:ilvl w:val="0"/>
          <w:numId w:val="4"/>
        </w:numPr>
        <w:ind w:left="0" w:firstLine="560"/>
        <w:keepLines w:val="0"/>
        <w:keepNext w:val="0"/>
        <w:pageBreakBefore w:val="0"/>
        <w:spacing w:after="0"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采购项目名称：</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94"/>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采购</w:t>
      </w:r>
      <w:r>
        <w:rPr>
          <w:rFonts w:hint="eastAsia" w:ascii="方正仿宋_GBK" w:hAnsi="方正仿宋_GBK" w:eastAsia="方正仿宋_GBK" w:cs="方正仿宋_GBK"/>
          <w:sz w:val="28"/>
          <w:szCs w:val="28"/>
          <w:highlight w:val="none"/>
          <w:lang w:eastAsia="zh-CN"/>
        </w:rPr>
        <w:t xml:space="preserve">项目编号</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94"/>
        <w:ind w:left="0" w:firstLine="560"/>
        <w:keepLines w:val="0"/>
        <w:keepNext w:val="0"/>
        <w:pageBreakBefore w:val="0"/>
        <w:spacing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（2）采购计划编号：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（3）项目内容：</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采购标的及数量（台/套</w:t>
      </w:r>
      <w:r>
        <w:rPr>
          <w:rFonts w:hint="eastAsia" w:ascii="方正仿宋_GBK" w:hAnsi="方正仿宋_GBK" w:eastAsia="方正仿宋_GBK" w:cs="方正仿宋_GBK"/>
          <w:sz w:val="28"/>
          <w:szCs w:val="28"/>
          <w:highlight w:val="none"/>
          <w:lang w:val="en"/>
        </w:rPr>
        <w:t xml:space="preserve">/个/架/组等</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lang w:val="en"/>
        </w:rPr>
        <w:t xml:space="preserve"> </w:t>
      </w:r>
      <w:r>
        <w:rPr>
          <w:rFonts w:hint="eastAsia" w:ascii="方正仿宋_GBK" w:hAnsi="方正仿宋_GBK" w:eastAsia="方正仿宋_GBK" w:cs="方正仿宋_GBK"/>
          <w:sz w:val="28"/>
          <w:szCs w:val="28"/>
          <w:highlight w:val="none"/>
        </w:rPr>
        <w:t xml:space="preserve">规格型号：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采购标的的技术要求、商务要求具体见附件。</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①涉及信息类产品，请填写该产品关键部件的品牌、型号：</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highlight w:val="none"/>
        </w:rPr>
      </w:r>
      <w:r/>
    </w:p>
    <w:p>
      <w:pPr>
        <w:pStyle w:val="1074"/>
        <w:ind w:firstLine="560"/>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（注：关键部件是指财政部会同有关部门发布的政府采购需求标准规定的需要通过国家有关部门指定的测评机构开展的安全可靠测评的软硬件，如CPU芯片、操作系统、数据库等。）</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②涉及车辆采购，请填写是否属于新能源汽车：</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是，《政府采购品目分类目录》底级品目名称：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数量：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金额：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highlight w:val="none"/>
        </w:rPr>
      </w:r>
      <w:r/>
    </w:p>
    <w:p>
      <w:pPr>
        <w:pStyle w:val="107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4</w:t>
      </w:r>
      <w:r>
        <w:rPr>
          <w:rFonts w:hint="eastAsia" w:ascii="方正仿宋_GBK" w:hAnsi="方正仿宋_GBK" w:eastAsia="方正仿宋_GBK" w:cs="方正仿宋_GBK"/>
          <w:sz w:val="28"/>
          <w:szCs w:val="28"/>
          <w:highlight w:val="none"/>
        </w:rPr>
        <w:t xml:space="preserve">）政府采购组织形式：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政府集中采购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部门集中采购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分散采购</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5</w:t>
      </w:r>
      <w:r>
        <w:rPr>
          <w:rFonts w:hint="eastAsia" w:ascii="方正仿宋_GBK" w:hAnsi="方正仿宋_GBK" w:eastAsia="方正仿宋_GBK" w:cs="方正仿宋_GBK"/>
          <w:sz w:val="28"/>
          <w:szCs w:val="28"/>
          <w:highlight w:val="none"/>
        </w:rPr>
        <w:t xml:space="preserve">）政府采购方式：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公开招标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邀请招标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竞争性谈判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竞争性磋商</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询价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单一来源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框架协议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其他：</w:t>
      </w:r>
      <w:r>
        <w:rPr>
          <w:rFonts w:hint="eastAsia" w:ascii="方正仿宋_GBK" w:hAnsi="方正仿宋_GBK" w:eastAsia="方正仿宋_GBK" w:cs="方正仿宋_GBK"/>
          <w:sz w:val="28"/>
          <w:szCs w:val="28"/>
          <w:highlight w:val="none"/>
          <w:u w:val="single"/>
        </w:rPr>
        <w:t xml:space="preserve">          </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（注：在框架协议采购的第二阶段，可选择使用该合同文本）</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6</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t xml:space="preserve">中标（成交）采购标的制造商是否为中小企业：</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本合同是否为专门面向中小企业的采购合同（中小企业预留合同）：</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若本项目不专门面向中小企业采购，是否给予小微企业评审优惠：</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中标（成交）采购标的制造商是否为残疾人福利性单位：</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中标（成交）采购标的制造商是否为监狱企业：</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7</w:t>
      </w:r>
      <w:r>
        <w:rPr>
          <w:rFonts w:hint="eastAsia" w:ascii="方正仿宋_GBK" w:hAnsi="方正仿宋_GBK" w:eastAsia="方正仿宋_GBK" w:cs="方正仿宋_GBK"/>
          <w:sz w:val="28"/>
          <w:szCs w:val="28"/>
          <w:highlight w:val="none"/>
        </w:rPr>
        <w:t xml:space="preserve">）合同是否分包：</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分包主要内容：</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分包供应商/制造商名称（如供应商和制造商不同，请分别填写）：</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分包供应商/制造商类型（如果供应商和制造商不同，只填写制造商类型）：</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大型企业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中型企业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小微型企业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残疾人福利性单位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监狱企业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其他</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8</w:t>
      </w:r>
      <w:r>
        <w:rPr>
          <w:rFonts w:hint="eastAsia" w:ascii="方正仿宋_GBK" w:hAnsi="方正仿宋_GBK" w:eastAsia="方正仿宋_GBK" w:cs="方正仿宋_GBK"/>
          <w:sz w:val="28"/>
          <w:szCs w:val="28"/>
          <w:highlight w:val="none"/>
        </w:rPr>
        <w:t xml:space="preserve">）中标（成交）供应商是否为外商投资企业：</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highlight w:val="none"/>
        </w:rPr>
      </w:r>
      <w:r/>
    </w:p>
    <w:p>
      <w:pPr>
        <w:pStyle w:val="1074"/>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外商投资企业类型：</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sz w:val="28"/>
          <w:szCs w:val="28"/>
          <w:highlight w:val="none"/>
        </w:rPr>
        <w:t xml:space="preserve">全部由外国投资者投资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部分由外国投资者投资</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9</w:t>
      </w:r>
      <w:r>
        <w:rPr>
          <w:rFonts w:hint="eastAsia" w:ascii="方正仿宋_GBK" w:hAnsi="方正仿宋_GBK" w:eastAsia="方正仿宋_GBK" w:cs="方正仿宋_GBK"/>
          <w:sz w:val="28"/>
          <w:szCs w:val="28"/>
          <w:highlight w:val="none"/>
        </w:rPr>
        <w:t xml:space="preserve">）是否涉及进口产品：</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是，《政府采购品目分类目录》底级品目名称：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金额：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国别：</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规格型号：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highlight w:val="none"/>
        </w:rPr>
      </w:r>
      <w:r/>
    </w:p>
    <w:p>
      <w:pPr>
        <w:pStyle w:val="96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（1</w:t>
      </w:r>
      <w:r>
        <w:rPr>
          <w:rFonts w:hint="eastAsia" w:ascii="方正仿宋_GBK" w:hAnsi="方正仿宋_GBK" w:eastAsia="方正仿宋_GBK" w:cs="方正仿宋_GBK"/>
          <w:sz w:val="28"/>
          <w:szCs w:val="28"/>
          <w:highlight w:val="none"/>
          <w:lang w:val="en"/>
        </w:rPr>
        <w:t xml:space="preserve">0</w:t>
      </w:r>
      <w:r>
        <w:rPr>
          <w:rFonts w:hint="eastAsia" w:ascii="方正仿宋_GBK" w:hAnsi="方正仿宋_GBK" w:eastAsia="方正仿宋_GBK" w:cs="方正仿宋_GBK"/>
          <w:sz w:val="28"/>
          <w:szCs w:val="28"/>
          <w:highlight w:val="none"/>
        </w:rPr>
        <w:t xml:space="preserve">）是否涉及节能产品：</w:t>
      </w:r>
      <w:r>
        <w:rPr>
          <w:highlight w:val="none"/>
        </w:rPr>
      </w:r>
      <w:r/>
    </w:p>
    <w:p>
      <w:pPr>
        <w:pStyle w:val="961"/>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是，《节能产品政府采购品目清单》的底级品目名称：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     </w:t>
      </w:r>
      <w:r>
        <w:rPr>
          <w:highlight w:val="none"/>
        </w:rPr>
      </w:r>
      <w:r/>
    </w:p>
    <w:p>
      <w:pPr>
        <w:pStyle w:val="961"/>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highlight w:val="none"/>
        </w:rPr>
      </w:r>
      <w:r/>
    </w:p>
    <w:p>
      <w:pPr>
        <w:pStyle w:val="96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highlight w:val="none"/>
        </w:rPr>
      </w:r>
      <w:r/>
    </w:p>
    <w:p>
      <w:pPr>
        <w:pStyle w:val="96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是否涉及环境标志产品：</w:t>
      </w:r>
      <w:r>
        <w:rPr>
          <w:highlight w:val="none"/>
        </w:rPr>
      </w:r>
      <w:r/>
    </w:p>
    <w:p>
      <w:pPr>
        <w:pStyle w:val="96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是，《环境标志产品政府采购品目清单》的底级品目名称：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 </w:t>
      </w:r>
      <w:r>
        <w:rPr>
          <w:highlight w:val="none"/>
        </w:rPr>
      </w:r>
      <w:r/>
    </w:p>
    <w:p>
      <w:pPr>
        <w:pStyle w:val="961"/>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highlight w:val="none"/>
        </w:rPr>
      </w:r>
      <w:r/>
    </w:p>
    <w:p>
      <w:pPr>
        <w:pStyle w:val="96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是否涉及绿色产品： </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是，绿色产品政府采购相关政策确定的底级品目名称：</w:t>
      </w:r>
      <w:r>
        <w:rPr>
          <w:rFonts w:hint="eastAsia" w:ascii="方正仿宋_GBK" w:hAnsi="方正仿宋_GBK" w:eastAsia="方正仿宋_GBK" w:cs="方正仿宋_GBK"/>
          <w:sz w:val="28"/>
          <w:szCs w:val="28"/>
          <w:highlight w:val="none"/>
          <w:u w:val="single"/>
        </w:rPr>
        <w:t xml:space="preserve">         </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highlight w:val="none"/>
        </w:rPr>
      </w:r>
      <w:r/>
    </w:p>
    <w:p>
      <w:pPr>
        <w:pStyle w:val="1074"/>
        <w:ind w:firstLine="84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（1</w:t>
      </w:r>
      <w:r>
        <w:rPr>
          <w:rFonts w:hint="eastAsia" w:ascii="方正仿宋_GBK" w:hAnsi="方正仿宋_GBK" w:eastAsia="方正仿宋_GBK" w:cs="方正仿宋_GBK"/>
          <w:sz w:val="28"/>
          <w:szCs w:val="28"/>
          <w:highlight w:val="none"/>
          <w:lang w:val="en"/>
        </w:rPr>
        <w:t xml:space="preserve">1</w:t>
      </w:r>
      <w:r>
        <w:rPr>
          <w:rFonts w:hint="eastAsia" w:ascii="方正仿宋_GBK" w:hAnsi="方正仿宋_GBK" w:eastAsia="方正仿宋_GBK" w:cs="方正仿宋_GBK"/>
          <w:sz w:val="28"/>
          <w:szCs w:val="28"/>
          <w:highlight w:val="none"/>
        </w:rPr>
        <w:t xml:space="preserve">）涉及商品包装和快递包装的，是否参考《商品包装政府采购需求标准（试行）》、《快递包装政府采购需求标准（试行）》明确产品及相关快递服务的具体包装要求：</w:t>
      </w:r>
      <w:r>
        <w:rPr>
          <w:highlight w:val="none"/>
        </w:rPr>
      </w:r>
      <w:r/>
    </w:p>
    <w:p>
      <w:pPr>
        <w:pStyle w:val="961"/>
        <w:ind w:firstLine="84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不涉及</w:t>
      </w:r>
      <w:r>
        <w:rPr>
          <w:highlight w:val="none"/>
        </w:rPr>
      </w:r>
      <w:r/>
    </w:p>
    <w:p>
      <w:pPr>
        <w:pStyle w:val="961"/>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2.</w:t>
      </w:r>
      <w:r>
        <w:rPr>
          <w:rFonts w:hint="eastAsia" w:ascii="方正仿宋_GBK" w:hAnsi="方正仿宋_GBK" w:eastAsia="方正仿宋_GBK" w:cs="方正仿宋_GBK"/>
          <w:b/>
          <w:sz w:val="28"/>
          <w:szCs w:val="28"/>
          <w:highlight w:val="none"/>
        </w:rPr>
        <w:t xml:space="preserve">合同金额</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（1）合同金额小写：</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大写：</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分包金额（如有）小写：</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大写：</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（注：固定单价合同应填写单价和最高限价）</w:t>
      </w:r>
      <w:r>
        <w:rPr>
          <w:highlight w:val="none"/>
        </w:rPr>
      </w:r>
      <w:r/>
    </w:p>
    <w:p>
      <w:pPr>
        <w:pStyle w:val="961"/>
        <w:numPr>
          <w:ilvl w:val="0"/>
          <w:numId w:val="0"/>
        </w:num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合同定价方式（采用组合定价方式的，可以勾选多项）：</w:t>
      </w:r>
      <w:r>
        <w:rPr>
          <w:highlight w:val="none"/>
        </w:rPr>
      </w:r>
      <w:r/>
    </w:p>
    <w:p>
      <w:pPr>
        <w:pStyle w:val="961"/>
        <w:ind w:firstLine="560"/>
        <w:keepLines w:val="0"/>
        <w:keepNext w:val="0"/>
        <w:pageBreakBefore w:val="0"/>
        <w:spacing w:line="400" w:lineRule="exact"/>
        <w:widowControl w:val="off"/>
        <w:rPr>
          <w:rFonts w:hint="eastAsia"/>
          <w:sz w:val="28"/>
          <w:szCs w:val="28"/>
          <w:highlight w:val="none"/>
        </w:rPr>
      </w:pP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lang w:eastAsia="zh-CN"/>
        </w:rPr>
        <w:t xml:space="preserve">）</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固定总价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固定单价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固定费率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成本补偿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绩效激励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其他     </w:t>
      </w:r>
      <w:r>
        <w:rPr>
          <w:rFonts w:hint="eastAsia"/>
          <w:sz w:val="28"/>
          <w:szCs w:val="28"/>
          <w:highlight w:val="non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（3）付款方式（按项目实际勾选填写）：</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全额付款：</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rPr>
        <w:t xml:space="preserve">（应明确一次性支付合同款项的条件）                    </w:t>
      </w:r>
      <w:r>
        <w:rPr>
          <w:highlight w:val="none"/>
        </w:rPr>
      </w:r>
      <w:r/>
    </w:p>
    <w:p>
      <w:pPr>
        <w:pStyle w:val="961"/>
        <w:ind w:firstLine="560"/>
        <w:keepLines w:val="0"/>
        <w:keepNext w:val="0"/>
        <w:pageBreakBefore w:val="0"/>
        <w:spacing w:line="400" w:lineRule="exact"/>
        <w:widowControl w:val="off"/>
        <w:rPr>
          <w:rFonts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rPr>
        <w:t xml:space="preserve">þ</w:t>
      </w:r>
      <w:r>
        <w:rPr>
          <w:rFonts w:hint="eastAsia" w:ascii="方正仿宋_GBK" w:hAnsi="方正仿宋_GBK" w:eastAsia="方正仿宋_GBK" w:cs="方正仿宋_GBK"/>
          <w:sz w:val="28"/>
          <w:szCs w:val="28"/>
          <w:highlight w:val="none"/>
        </w:rPr>
        <w:t xml:space="preserve">分期付款：</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合同签订后10个工作日内，预付款支付比例:合同金额的30%；</w:t>
      </w:r>
      <w:r>
        <w:rPr>
          <w:rFonts w:hint="eastAsia" w:ascii="方正仿宋_GBK" w:hAnsi="方正仿宋_GBK" w:eastAsia="方正仿宋_GBK" w:cs="方正仿宋_GBK"/>
          <w:sz w:val="28"/>
          <w:szCs w:val="28"/>
          <w:highlight w:val="none"/>
          <w:u w:val="single"/>
          <w:lang w:eastAsia="zh-CN"/>
        </w:rPr>
        <w:t xml:space="preserve">设备安装完成并通过验收，</w:t>
      </w:r>
      <w:r>
        <w:rPr>
          <w:rFonts w:hint="eastAsia" w:ascii="方正仿宋_GBK" w:hAnsi="方正仿宋_GBK" w:eastAsia="方正仿宋_GBK" w:cs="方正仿宋_GBK"/>
          <w:sz w:val="28"/>
          <w:szCs w:val="28"/>
          <w:highlight w:val="none"/>
          <w:u w:val="single"/>
          <w:lang w:val="en-US" w:eastAsia="zh-CN"/>
        </w:rPr>
        <w:t xml:space="preserve">采购人收到发票后10个工作日内，尾款支付比例：合同金额的70%。同时，供应商需在合同签订后的三个工作日提供合同金额的10%作为履约保证金，合同履行完成且无违约行为的，予以无息退还。</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u w:val="single"/>
        </w:rPr>
        <w:t xml:space="preserve">¨</w:t>
      </w:r>
      <w:r>
        <w:rPr>
          <w:rFonts w:hint="eastAsia" w:ascii="方正仿宋_GBK" w:hAnsi="方正仿宋_GBK" w:eastAsia="方正仿宋_GBK" w:cs="方正仿宋_GBK"/>
          <w:sz w:val="28"/>
          <w:szCs w:val="28"/>
          <w:highlight w:val="none"/>
          <w:u w:val="single"/>
        </w:rPr>
        <w:t xml:space="preserve">成本补偿：      （应明确按照成本补偿方式的支付方式和支付条件）   </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u w:val="single"/>
        </w:rPr>
        <w:t xml:space="preserve">¨</w:t>
      </w:r>
      <w:r>
        <w:rPr>
          <w:rFonts w:hint="eastAsia" w:ascii="方正仿宋_GBK" w:hAnsi="方正仿宋_GBK" w:eastAsia="方正仿宋_GBK" w:cs="方正仿宋_GBK"/>
          <w:sz w:val="28"/>
          <w:szCs w:val="28"/>
          <w:highlight w:val="none"/>
          <w:u w:val="single"/>
        </w:rPr>
        <w:t xml:space="preserve">绩效激励：      （应明确按照绩效激励方式的支付方式和支付条件）   </w:t>
      </w:r>
      <w:r>
        <w:rPr>
          <w:highlight w:val="none"/>
        </w:rPr>
      </w:r>
      <w:r/>
    </w:p>
    <w:p>
      <w:pPr>
        <w:pStyle w:val="961"/>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highlight w:val="none"/>
          <w:u w:val="single"/>
        </w:rPr>
      </w:pPr>
      <w:r>
        <w:rPr>
          <w:rFonts w:hint="eastAsia" w:ascii="方正仿宋_GBK" w:hAnsi="方正仿宋_GBK" w:eastAsia="方正仿宋_GBK" w:cs="方正仿宋_GBK"/>
          <w:b/>
          <w:sz w:val="28"/>
          <w:szCs w:val="28"/>
          <w:highlight w:val="none"/>
          <w:lang w:val="en-US" w:eastAsia="zh-CN"/>
        </w:rPr>
        <w:t xml:space="preserve">3.</w:t>
      </w:r>
      <w:r>
        <w:rPr>
          <w:rFonts w:hint="eastAsia" w:ascii="方正仿宋_GBK" w:hAnsi="方正仿宋_GBK" w:eastAsia="方正仿宋_GBK" w:cs="方正仿宋_GBK"/>
          <w:b/>
          <w:sz w:val="28"/>
          <w:szCs w:val="28"/>
          <w:highlight w:val="none"/>
        </w:rPr>
        <w:t xml:space="preserve">合同履行</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（1）起始日期：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日，完成日期：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（2）履约地点</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（3）履约担保：</w:t>
      </w:r>
      <w:r>
        <w:rPr>
          <w:rFonts w:hint="eastAsia" w:ascii="方正仿宋_GBK" w:hAnsi="方正仿宋_GBK" w:eastAsia="方正仿宋_GBK" w:cs="方正仿宋_GBK"/>
          <w:sz w:val="28"/>
          <w:szCs w:val="28"/>
          <w:highlight w:val="none"/>
        </w:rPr>
        <w:t xml:space="preserve">是否收取履约保证金：</w:t>
      </w:r>
      <w:r>
        <w:rPr>
          <w:rFonts w:ascii="Wingdings" w:hAnsi="Wingdings" w:eastAsia="Wingdings" w:cs="Wingdings"/>
          <w:sz w:val="28"/>
          <w:szCs w:val="28"/>
          <w:highlight w:val="none"/>
        </w:rPr>
        <w:t xml:space="preserve">þ</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sz w:val="28"/>
          <w:szCs w:val="28"/>
          <w:highlight w:val="none"/>
        </w:rPr>
        <w:t xml:space="preserve">收取履约保证金形式：</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银行转账、电汇、履约保证保险</w:t>
      </w:r>
      <w:r>
        <w:rPr>
          <w:rFonts w:hint="eastAsia" w:ascii="方正仿宋_GBK" w:hAnsi="方正仿宋_GBK" w:eastAsia="方正仿宋_GBK" w:cs="方正仿宋_GBK"/>
          <w:bCs/>
          <w:sz w:val="28"/>
          <w:szCs w:val="28"/>
          <w:highlight w:val="none"/>
          <w:u w:val="single"/>
        </w:rPr>
        <w:t xml:space="preserve">                  </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收取履约保证金金额：</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合同金额的10%</w:t>
      </w:r>
      <w:r>
        <w:rPr>
          <w:rFonts w:hint="eastAsia" w:ascii="方正仿宋_GBK" w:hAnsi="方正仿宋_GBK" w:eastAsia="方正仿宋_GBK" w:cs="方正仿宋_GBK"/>
          <w:bCs/>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履约担保期限：</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签订合同至合同履行完成</w:t>
      </w:r>
      <w:r>
        <w:rPr>
          <w:rFonts w:hint="eastAsia" w:ascii="方正仿宋_GBK" w:hAnsi="方正仿宋_GBK" w:eastAsia="方正仿宋_GBK" w:cs="方正仿宋_GBK"/>
          <w:bCs/>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（4）分期履行要求：</w:t>
      </w:r>
      <w:r>
        <w:rPr>
          <w:rFonts w:hint="eastAsia" w:ascii="方正仿宋_GBK" w:hAnsi="方正仿宋_GBK" w:eastAsia="方正仿宋_GBK" w:cs="方正仿宋_GBK"/>
          <w:bCs/>
          <w:sz w:val="28"/>
          <w:szCs w:val="28"/>
          <w:highlight w:val="none"/>
          <w:u w:val="single"/>
        </w:rPr>
        <w:t xml:space="preserve">                                                        </w:t>
      </w:r>
      <w:r>
        <w:rPr>
          <w:highlight w:val="none"/>
        </w:rPr>
      </w:r>
      <w:r/>
    </w:p>
    <w:p>
      <w:pPr>
        <w:pStyle w:val="961"/>
        <w:ind w:firstLine="560"/>
        <w:keepLines w:val="0"/>
        <w:keepNext w:val="0"/>
        <w:pageBreakBefore w:val="0"/>
        <w:spacing w:line="400" w:lineRule="exact"/>
        <w:rPr>
          <w:rFonts w:ascii="宋体" w:hAnsi="宋体" w:cs="宋体"/>
          <w:sz w:val="28"/>
          <w:szCs w:val="28"/>
          <w:highlight w:val="none"/>
          <w:u w:val="single"/>
        </w:rPr>
      </w:pPr>
      <w:r>
        <w:rPr>
          <w:rFonts w:hint="eastAsia" w:ascii="方正仿宋_GBK" w:hAnsi="方正仿宋_GBK" w:eastAsia="方正仿宋_GBK" w:cs="方正仿宋_GBK"/>
          <w:bCs/>
          <w:sz w:val="28"/>
          <w:szCs w:val="28"/>
          <w:highlight w:val="none"/>
        </w:rPr>
        <w:t xml:space="preserve">（5）风险处置措施和替代方案：</w:t>
      </w:r>
      <w:r>
        <w:rPr>
          <w:rFonts w:hint="eastAsia" w:ascii="方正仿宋_GBK" w:hAnsi="方正仿宋_GBK" w:eastAsia="方正仿宋_GBK" w:cs="方正仿宋_GBK"/>
          <w:color w:val="0000ff"/>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sz w:val="28"/>
          <w:szCs w:val="28"/>
          <w:highlight w:val="none"/>
          <w:u w:val="single"/>
        </w:rPr>
        <w:t xml:space="preserve">                                </w:t>
      </w:r>
      <w:r>
        <w:rPr>
          <w:rFonts w:hint="eastAsia" w:ascii="宋体" w:hAnsi="宋体" w:cs="宋体"/>
          <w:sz w:val="28"/>
          <w:szCs w:val="28"/>
          <w:highlight w:val="none"/>
          <w:u w:val="single"/>
        </w:rPr>
        <w:t xml:space="preserve"> </w:t>
      </w:r>
      <w:r>
        <w:rPr>
          <w:highlight w:val="none"/>
        </w:rPr>
      </w:r>
      <w:r/>
    </w:p>
    <w:p>
      <w:pPr>
        <w:pStyle w:val="961"/>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4.</w:t>
      </w:r>
      <w:r>
        <w:rPr>
          <w:rFonts w:hint="eastAsia" w:ascii="方正仿宋_GBK" w:hAnsi="方正仿宋_GBK" w:eastAsia="方正仿宋_GBK" w:cs="方正仿宋_GBK"/>
          <w:b/>
          <w:sz w:val="28"/>
          <w:szCs w:val="28"/>
          <w:highlight w:val="none"/>
        </w:rPr>
        <w:t xml:space="preserve">合同验收</w:t>
      </w:r>
      <w:r>
        <w:rPr>
          <w:highlight w:val="none"/>
        </w:rPr>
      </w:r>
      <w:r/>
    </w:p>
    <w:p>
      <w:pPr>
        <w:pStyle w:val="961"/>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1</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rPr>
        <w:t xml:space="preserve">验收组织方式：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自行组织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委托第三方组织</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验收主体：</w:t>
      </w:r>
      <w:r>
        <w:rPr>
          <w:rFonts w:hint="eastAsia" w:ascii="方正仿宋_GBK" w:hAnsi="方正仿宋_GBK" w:eastAsia="方正仿宋_GBK" w:cs="方正仿宋_GBK"/>
          <w:bCs/>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是否邀请本项目的其他供应商参加验收：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是否邀请专家参加验收：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是否邀请服务对象参加验收：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是否邀请第三方检测机构参加验收：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是否进行抽查检测：</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是，抽查比例：</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是否存在破坏性检测：</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w:t>
      </w:r>
      <w:r>
        <w:rPr>
          <w:rFonts w:hint="eastAsia" w:ascii="方正仿宋_GBK" w:hAnsi="方正仿宋_GBK" w:eastAsia="方正仿宋_GBK" w:cs="方正仿宋_GBK"/>
          <w:bCs/>
          <w:sz w:val="28"/>
          <w:szCs w:val="28"/>
          <w:highlight w:val="none"/>
          <w:u w:val="single"/>
        </w:rPr>
        <w:t xml:space="preserve">（应明确对被破坏的检测产品的处理方式）</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验收组织的其他事项：</w:t>
      </w:r>
      <w:r>
        <w:rPr>
          <w:rFonts w:hint="eastAsia" w:ascii="方正仿宋_GBK" w:hAnsi="方正仿宋_GBK" w:eastAsia="方正仿宋_GBK" w:cs="方正仿宋_GBK"/>
          <w:bCs/>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（2）履约验收时间：</w:t>
      </w:r>
      <w:r>
        <w:rPr>
          <w:rFonts w:hint="eastAsia" w:ascii="方正仿宋_GBK" w:hAnsi="方正仿宋_GBK" w:eastAsia="方正仿宋_GBK" w:cs="方正仿宋_GBK"/>
          <w:bCs/>
          <w:sz w:val="28"/>
          <w:szCs w:val="28"/>
          <w:highlight w:val="none"/>
          <w:u w:val="single"/>
        </w:rPr>
        <w:t xml:space="preserve">（计划于何时验收/供应商提出验收申请之日起   日内组织验收）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（3）履约验收方式：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一次性验收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分期/分项验收：</w:t>
      </w:r>
      <w:r>
        <w:rPr>
          <w:rFonts w:hint="eastAsia" w:ascii="方正仿宋_GBK" w:hAnsi="方正仿宋_GBK" w:eastAsia="方正仿宋_GBK" w:cs="方正仿宋_GBK"/>
          <w:bCs/>
          <w:sz w:val="28"/>
          <w:szCs w:val="28"/>
          <w:highlight w:val="none"/>
          <w:u w:val="single"/>
        </w:rPr>
        <w:t xml:space="preserve"> （应明确分期</w:t>
      </w:r>
      <w:r>
        <w:rPr>
          <w:rFonts w:hint="eastAsia" w:ascii="方正仿宋_GBK" w:hAnsi="方正仿宋_GBK" w:eastAsia="方正仿宋_GBK" w:cs="方正仿宋_GBK"/>
          <w:bCs/>
          <w:sz w:val="28"/>
          <w:szCs w:val="28"/>
          <w:highlight w:val="none"/>
          <w:u w:val="single"/>
          <w:lang w:val="en"/>
        </w:rPr>
        <w:t xml:space="preserve">/分项验收的工作安排</w:t>
      </w:r>
      <w:r>
        <w:rPr>
          <w:rFonts w:hint="eastAsia" w:ascii="方正仿宋_GBK" w:hAnsi="方正仿宋_GBK" w:eastAsia="方正仿宋_GBK" w:cs="方正仿宋_GBK"/>
          <w:bCs/>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（4）履约验收程序：</w:t>
      </w:r>
      <w:r>
        <w:rPr>
          <w:rFonts w:hint="eastAsia" w:ascii="方正仿宋_GBK" w:hAnsi="方正仿宋_GBK" w:eastAsia="方正仿宋_GBK" w:cs="方正仿宋_GBK"/>
          <w:bCs/>
          <w:sz w:val="28"/>
          <w:szCs w:val="28"/>
          <w:highlight w:val="none"/>
          <w:u w:val="single"/>
        </w:rPr>
        <w:t xml:space="preserve">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（5）履约验收的内容：</w:t>
      </w:r>
      <w:r>
        <w:rPr>
          <w:rFonts w:hint="eastAsia" w:ascii="方正仿宋_GBK" w:hAnsi="方正仿宋_GBK" w:eastAsia="方正仿宋_GBK" w:cs="方正仿宋_GBK"/>
          <w:bCs/>
          <w:sz w:val="28"/>
          <w:szCs w:val="28"/>
          <w:highlight w:val="none"/>
          <w:u w:val="single"/>
        </w:rPr>
        <w:t xml:space="preserve"> （应当包括每一项技术和商务要求的履约情况，特别是落实政府采购扶持中小企业，支持绿色发展和乡村振兴等政策情况）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（6）履约验收标准：</w:t>
      </w:r>
      <w:r>
        <w:rPr>
          <w:rFonts w:hint="eastAsia" w:ascii="方正仿宋_GBK" w:hAnsi="方正仿宋_GBK" w:eastAsia="方正仿宋_GBK" w:cs="方正仿宋_GBK"/>
          <w:bCs/>
          <w:sz w:val="28"/>
          <w:szCs w:val="28"/>
          <w:highlight w:val="none"/>
          <w:u w:val="single"/>
        </w:rPr>
        <w:t xml:space="preserve">                                         </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（7）是否以采购活动中供应商提供的样品作为参考：</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hint="eastAsia" w:ascii="方正仿宋_GBK" w:hAnsi="方正仿宋_GBK" w:eastAsia="方正仿宋_GBK" w:cs="方正仿宋_GBK"/>
          <w:bCs/>
          <w:sz w:val="28"/>
          <w:szCs w:val="28"/>
          <w:highlight w:val="none"/>
          <w:lang w:val="en-US" w:eastAsia="zh-CN"/>
        </w:rPr>
        <w:t xml:space="preserve">    </w:t>
      </w:r>
      <w:r>
        <w:rPr>
          <w:rFonts w:hint="eastAsia" w:ascii="方正仿宋_GBK" w:hAnsi="方正仿宋_GBK" w:eastAsia="方正仿宋_GBK" w:cs="方正仿宋_GBK"/>
          <w:b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（8）履约验收其他事项：</w:t>
      </w:r>
      <w:r>
        <w:rPr>
          <w:rFonts w:hint="eastAsia" w:ascii="方正仿宋_GBK" w:hAnsi="方正仿宋_GBK" w:eastAsia="方正仿宋_GBK" w:cs="方正仿宋_GBK"/>
          <w:bCs/>
          <w:sz w:val="28"/>
          <w:szCs w:val="28"/>
          <w:highlight w:val="none"/>
          <w:u w:val="single"/>
        </w:rPr>
        <w:t xml:space="preserve">      （产权过户登记等）          </w:t>
      </w:r>
      <w:r>
        <w:rPr>
          <w:highlight w:val="none"/>
        </w:rPr>
      </w:r>
      <w:r/>
    </w:p>
    <w:p>
      <w:pPr>
        <w:pStyle w:val="961"/>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5.</w:t>
      </w:r>
      <w:r>
        <w:rPr>
          <w:rFonts w:hint="eastAsia" w:ascii="方正仿宋_GBK" w:hAnsi="方正仿宋_GBK" w:eastAsia="方正仿宋_GBK" w:cs="方正仿宋_GBK"/>
          <w:b/>
          <w:sz w:val="28"/>
          <w:szCs w:val="28"/>
          <w:highlight w:val="none"/>
        </w:rPr>
        <w:t xml:space="preserve">组成合同的文件</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本协议书与下列文件一起构成合同文件，如下述文件之间有任何抵触、矛盾或歧义，应按以下顺序解释：</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（1）政府采购合同协议书及其变更、补充协议</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（2）政府采购合同专用条款</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（3）政府采购合同通用条款</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（4）中标（成交）通知书</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（5）投标（响应）文件</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（6）采购文件</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（7）有关技术文件，图纸</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color w:val="000000"/>
          <w:sz w:val="28"/>
          <w:szCs w:val="28"/>
          <w:highlight w:val="none"/>
        </w:rPr>
        <w:t xml:space="preserve">国家法律、行政法规和规章制度规定或合同约定的作为合同组成部分的其他文件</w:t>
      </w:r>
      <w:r>
        <w:rPr>
          <w:highlight w:val="none"/>
        </w:rPr>
      </w:r>
      <w:r/>
    </w:p>
    <w:p>
      <w:pPr>
        <w:pStyle w:val="961"/>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6.</w:t>
      </w:r>
      <w:r>
        <w:rPr>
          <w:rFonts w:hint="eastAsia" w:ascii="方正仿宋_GBK" w:hAnsi="方正仿宋_GBK" w:eastAsia="方正仿宋_GBK" w:cs="方正仿宋_GBK"/>
          <w:b/>
          <w:sz w:val="28"/>
          <w:szCs w:val="28"/>
          <w:highlight w:val="none"/>
        </w:rPr>
        <w:t xml:space="preserve">合同生效</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本合同自</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生效。</w:t>
      </w:r>
      <w:r>
        <w:rPr>
          <w:highlight w:val="none"/>
        </w:rPr>
      </w:r>
      <w:r/>
    </w:p>
    <w:p>
      <w:pPr>
        <w:pStyle w:val="961"/>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7.</w:t>
      </w:r>
      <w:r>
        <w:rPr>
          <w:rFonts w:hint="eastAsia" w:ascii="方正仿宋_GBK" w:hAnsi="方正仿宋_GBK" w:eastAsia="方正仿宋_GBK" w:cs="方正仿宋_GBK"/>
          <w:b/>
          <w:sz w:val="28"/>
          <w:szCs w:val="28"/>
          <w:highlight w:val="none"/>
        </w:rPr>
        <w:t xml:space="preserve">合同份数</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本合同一式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份，甲方执</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份，乙方执</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份，均具有同等法律效力。</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合同订立时间：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合同订立地点：</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sz w:val="28"/>
          <w:szCs w:val="28"/>
          <w:highlight w:val="none"/>
        </w:rPr>
        <w:t xml:space="preserve">附件：具体标的及其技术要求和商务要求、联合协议、分包意向协议等</w:t>
      </w:r>
      <w:r>
        <w:rPr>
          <w:rFonts w:hint="eastAsia" w:ascii="方正仿宋_GBK" w:hAnsi="方正仿宋_GBK" w:eastAsia="方正仿宋_GBK" w:cs="方正仿宋_GBK"/>
          <w:sz w:val="28"/>
          <w:szCs w:val="28"/>
          <w:highlight w:val="none"/>
          <w:lang w:val="en"/>
        </w:rPr>
        <w:t xml:space="preserve">   </w:t>
      </w:r>
      <w:r>
        <w:rPr>
          <w:highlight w:val="none"/>
        </w:rPr>
      </w:r>
      <w:r/>
    </w:p>
    <w:p>
      <w:pPr>
        <w:pStyle w:val="1042"/>
        <w:pageBreakBefore w:val="0"/>
        <w:spacing w:line="400" w:lineRule="exact"/>
        <w:rPr>
          <w:sz w:val="28"/>
          <w:szCs w:val="28"/>
          <w:highlight w:val="none"/>
        </w:rPr>
      </w:pPr>
      <w:r>
        <w:rPr>
          <w:sz w:val="28"/>
          <w:szCs w:val="28"/>
          <w:highlight w:val="none"/>
          <w:lang w:eastAsia="zh-CN"/>
        </w:rPr>
      </w:r>
      <w:r>
        <w:rPr>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甲方（采购人、受采购人委托签订合同的单位或采购文件约定的合同甲方）</w:t>
            </w:r>
            <w:r>
              <w:rPr>
                <w:highlight w:val="none"/>
              </w:rPr>
            </w:r>
            <w:r/>
          </w:p>
        </w:tc>
        <w:tc>
          <w:tcPr>
            <w:gridSpan w:val="2"/>
            <w:tcW w:w="3945"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乙方（供应商）</w:t>
            </w:r>
            <w:r>
              <w:rPr>
                <w:highlight w:val="none"/>
              </w:rPr>
            </w:r>
            <w:r/>
          </w:p>
        </w:tc>
      </w:tr>
      <w:tr>
        <w:trPr>
          <w:trHeight w:val="917"/>
        </w:trPr>
        <w:tc>
          <w:tcPr>
            <w:tcW w:w="1125"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单位名称（公章或合同章）</w:t>
            </w:r>
            <w:r>
              <w:rPr>
                <w:highlight w:val="none"/>
              </w:rPr>
            </w:r>
            <w:r/>
          </w:p>
        </w:tc>
        <w:tc>
          <w:tcPr>
            <w:tcW w:w="1666"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4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单位名称（公章或合同章）</w:t>
            </w:r>
            <w:r>
              <w:rPr>
                <w:highlight w:val="none"/>
              </w:rPr>
            </w:r>
            <w:r/>
          </w:p>
        </w:tc>
        <w:tc>
          <w:tcPr>
            <w:tcW w:w="126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rPr>
                <w:highlight w:val="none"/>
              </w:rPr>
            </w:r>
            <w:r/>
          </w:p>
        </w:tc>
      </w:tr>
      <w:tr>
        <w:trPr>
          <w:trHeight w:val="1171"/>
        </w:trPr>
        <w:tc>
          <w:tcPr>
            <w:tcW w:w="1125" w:type="dxa"/>
            <w:vAlign w:val="center"/>
            <w:vMerge w:val="restart"/>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w:t>
            </w:r>
            <w:r>
              <w:rPr>
                <w:highlight w:val="none"/>
              </w:rPr>
            </w:r>
            <w:r/>
          </w:p>
          <w:p>
            <w:pPr>
              <w:pStyle w:val="961"/>
              <w:ind w:firstLine="134"/>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或其委托代理人（签章）</w:t>
            </w:r>
            <w:r>
              <w:rPr>
                <w:highlight w:val="none"/>
              </w:rPr>
            </w:r>
            <w:r/>
          </w:p>
        </w:tc>
        <w:tc>
          <w:tcPr>
            <w:tcW w:w="1666" w:type="dxa"/>
            <w:vAlign w:val="center"/>
            <w:vMerge w:val="restart"/>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4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w:t>
            </w:r>
            <w:r>
              <w:rPr>
                <w:highlight w:val="none"/>
              </w:rPr>
            </w:r>
            <w:r/>
          </w:p>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或其委托代理人（签章）</w:t>
            </w:r>
            <w:r>
              <w:rPr>
                <w:highlight w:val="none"/>
              </w:rPr>
            </w:r>
            <w:r/>
          </w:p>
        </w:tc>
        <w:tc>
          <w:tcPr>
            <w:tcW w:w="126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483"/>
        </w:trPr>
        <w:tc>
          <w:tcPr>
            <w:tcW w:w="1125" w:type="dxa"/>
            <w:vAlign w:val="center"/>
            <w:vMerge w:val="continue"/>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vMerge w:val="continue"/>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拥有者性别</w:t>
            </w:r>
            <w:r>
              <w:rPr>
                <w:highlight w:val="none"/>
              </w:rPr>
            </w:r>
            <w:r/>
          </w:p>
        </w:tc>
        <w:tc>
          <w:tcPr>
            <w:tcW w:w="126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rPr>
                <w:highlight w:val="none"/>
              </w:rPr>
            </w:r>
            <w:r/>
          </w:p>
        </w:tc>
      </w:tr>
      <w:tr>
        <w:trPr>
          <w:trHeight w:val="483"/>
        </w:trPr>
        <w:tc>
          <w:tcPr>
            <w:tcW w:w="1125"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住  所</w:t>
            </w:r>
            <w:r>
              <w:rPr>
                <w:highlight w:val="none"/>
              </w:rPr>
            </w:r>
            <w:r/>
          </w:p>
        </w:tc>
        <w:tc>
          <w:tcPr>
            <w:tcW w:w="1666"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4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住  所</w:t>
            </w:r>
            <w:r>
              <w:rPr>
                <w:highlight w:val="none"/>
              </w:rPr>
            </w:r>
            <w:r/>
          </w:p>
        </w:tc>
        <w:tc>
          <w:tcPr>
            <w:tcW w:w="126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rPr>
                <w:highlight w:val="none"/>
              </w:rPr>
            </w:r>
            <w:r/>
          </w:p>
        </w:tc>
      </w:tr>
      <w:tr>
        <w:trPr>
          <w:trHeight w:val="483"/>
        </w:trPr>
        <w:tc>
          <w:tcPr>
            <w:tcW w:w="1125"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 系 人</w:t>
            </w:r>
            <w:r>
              <w:rPr>
                <w:highlight w:val="none"/>
              </w:rPr>
            </w:r>
            <w:r/>
          </w:p>
        </w:tc>
        <w:tc>
          <w:tcPr>
            <w:tcW w:w="1666"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4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 系 人</w:t>
            </w:r>
            <w:r>
              <w:rPr>
                <w:highlight w:val="none"/>
              </w:rPr>
            </w:r>
            <w:r/>
          </w:p>
        </w:tc>
        <w:tc>
          <w:tcPr>
            <w:tcW w:w="126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rPr>
                <w:highlight w:val="none"/>
              </w:rPr>
            </w:r>
            <w:r/>
          </w:p>
        </w:tc>
      </w:tr>
      <w:tr>
        <w:trPr>
          <w:trHeight w:val="483"/>
        </w:trPr>
        <w:tc>
          <w:tcPr>
            <w:tcW w:w="1125"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highlight w:val="none"/>
              </w:rPr>
            </w:r>
            <w:r/>
          </w:p>
        </w:tc>
        <w:tc>
          <w:tcPr>
            <w:tcW w:w="1666"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4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highlight w:val="none"/>
              </w:rPr>
            </w:r>
            <w:r/>
          </w:p>
        </w:tc>
        <w:tc>
          <w:tcPr>
            <w:tcW w:w="126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rPr>
                <w:highlight w:val="none"/>
              </w:rPr>
            </w:r>
            <w:r/>
          </w:p>
        </w:tc>
      </w:tr>
      <w:tr>
        <w:trPr>
          <w:trHeight w:val="483"/>
        </w:trPr>
        <w:tc>
          <w:tcPr>
            <w:tcW w:w="1125"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w:t>
            </w:r>
            <w:r>
              <w:rPr>
                <w:highlight w:val="none"/>
              </w:rPr>
            </w:r>
            <w:r/>
          </w:p>
        </w:tc>
        <w:tc>
          <w:tcPr>
            <w:tcW w:w="1666"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4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w:t>
            </w:r>
            <w:r>
              <w:rPr>
                <w:highlight w:val="none"/>
              </w:rPr>
            </w:r>
            <w:r/>
          </w:p>
        </w:tc>
        <w:tc>
          <w:tcPr>
            <w:tcW w:w="126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rPr>
                <w:highlight w:val="none"/>
              </w:rPr>
            </w:r>
            <w:r/>
          </w:p>
        </w:tc>
      </w:tr>
      <w:tr>
        <w:trPr>
          <w:trHeight w:val="483"/>
        </w:trPr>
        <w:tc>
          <w:tcPr>
            <w:tcW w:w="1125"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邮政编码</w:t>
            </w:r>
            <w:r>
              <w:rPr>
                <w:highlight w:val="none"/>
              </w:rPr>
            </w:r>
            <w:r/>
          </w:p>
        </w:tc>
        <w:tc>
          <w:tcPr>
            <w:tcW w:w="1666"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4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邮政编码</w:t>
            </w:r>
            <w:r>
              <w:rPr>
                <w:highlight w:val="none"/>
              </w:rPr>
            </w:r>
            <w:r/>
          </w:p>
        </w:tc>
        <w:tc>
          <w:tcPr>
            <w:tcW w:w="126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rPr>
                <w:highlight w:val="none"/>
              </w:rPr>
            </w:r>
            <w:r/>
          </w:p>
        </w:tc>
      </w:tr>
      <w:tr>
        <w:trPr>
          <w:trHeight w:val="483"/>
        </w:trPr>
        <w:tc>
          <w:tcPr>
            <w:tcW w:w="1125"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电子邮箱</w:t>
            </w:r>
            <w:r>
              <w:rPr>
                <w:highlight w:val="none"/>
              </w:rPr>
            </w:r>
            <w:r/>
          </w:p>
        </w:tc>
        <w:tc>
          <w:tcPr>
            <w:tcW w:w="1666"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4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电子邮箱</w:t>
            </w:r>
            <w:r>
              <w:rPr>
                <w:highlight w:val="none"/>
              </w:rPr>
            </w:r>
            <w:r/>
          </w:p>
        </w:tc>
        <w:tc>
          <w:tcPr>
            <w:tcW w:w="126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rPr>
                <w:highlight w:val="none"/>
              </w:rPr>
            </w:r>
            <w:r/>
          </w:p>
        </w:tc>
      </w:tr>
      <w:tr>
        <w:trPr>
          <w:trHeight w:val="483"/>
        </w:trPr>
        <w:tc>
          <w:tcPr>
            <w:tcW w:w="1125"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统一社会信用代码</w:t>
            </w:r>
            <w:r>
              <w:rPr>
                <w:highlight w:val="none"/>
              </w:rPr>
            </w:r>
            <w:r/>
          </w:p>
        </w:tc>
        <w:tc>
          <w:tcPr>
            <w:tcW w:w="1666"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4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统一社会信用代码</w:t>
            </w:r>
            <w:r>
              <w:rPr>
                <w:highlight w:val="none"/>
              </w:rPr>
            </w:r>
            <w:r/>
          </w:p>
        </w:tc>
        <w:tc>
          <w:tcPr>
            <w:tcW w:w="126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rPr>
                <w:highlight w:val="none"/>
              </w:rPr>
            </w:r>
            <w:r/>
          </w:p>
        </w:tc>
      </w:tr>
      <w:tr>
        <w:trPr>
          <w:trHeight w:val="483"/>
        </w:trPr>
        <w:tc>
          <w:tcPr>
            <w:tcW w:w="1125"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666"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4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开户名称</w:t>
            </w:r>
            <w:r>
              <w:rPr>
                <w:highlight w:val="none"/>
              </w:rPr>
            </w:r>
            <w:r/>
          </w:p>
        </w:tc>
        <w:tc>
          <w:tcPr>
            <w:tcW w:w="126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rPr>
                <w:highlight w:val="none"/>
              </w:rPr>
            </w:r>
            <w:r/>
          </w:p>
        </w:tc>
      </w:tr>
      <w:tr>
        <w:trPr>
          <w:trHeight w:val="483"/>
        </w:trPr>
        <w:tc>
          <w:tcPr>
            <w:tcW w:w="1125"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666"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4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开户银行</w:t>
            </w:r>
            <w:r>
              <w:rPr>
                <w:highlight w:val="none"/>
              </w:rPr>
            </w:r>
            <w:r/>
          </w:p>
        </w:tc>
        <w:tc>
          <w:tcPr>
            <w:tcW w:w="126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rPr>
                <w:highlight w:val="none"/>
              </w:rPr>
            </w:r>
            <w:r/>
          </w:p>
        </w:tc>
      </w:tr>
      <w:tr>
        <w:trPr>
          <w:trHeight w:val="483"/>
        </w:trPr>
        <w:tc>
          <w:tcPr>
            <w:tcW w:w="1125"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666"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4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银行账号</w:t>
            </w:r>
            <w:r>
              <w:rPr>
                <w:highlight w:val="none"/>
              </w:rPr>
            </w:r>
            <w:r/>
          </w:p>
        </w:tc>
        <w:tc>
          <w:tcPr>
            <w:tcW w:w="1264" w:type="dxa"/>
            <w:vAlign w:val="center"/>
            <w:textDirection w:val="lrTb"/>
            <w:noWrap w:val="false"/>
          </w:tcPr>
          <w:p>
            <w:pPr>
              <w:pStyle w:val="96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rPr>
                <w:highlight w:val="none"/>
              </w:rPr>
            </w:r>
            <w:r/>
          </w:p>
        </w:tc>
      </w:tr>
      <w:tr>
        <w:trPr>
          <w:trHeight w:val="586"/>
        </w:trPr>
        <w:tc>
          <w:tcPr>
            <w:gridSpan w:val="4"/>
            <w:tcW w:w="8928" w:type="dxa"/>
            <w:vAlign w:val="center"/>
            <w:textDirection w:val="lrTb"/>
            <w:noWrap w:val="false"/>
          </w:tcPr>
          <w:p>
            <w:pPr>
              <w:pStyle w:val="994"/>
              <w:ind w:left="0"/>
              <w:jc w:val="left"/>
              <w:pageBreakBefore w:val="0"/>
              <w:spacing w:before="156" w:after="0"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z w:val="28"/>
                <w:szCs w:val="28"/>
                <w:highlight w:val="none"/>
              </w:rPr>
              <w:t xml:space="preserve">注：涉及联合体或其他合同主体的信息应按上表格式加列。</w:t>
            </w:r>
            <w:r>
              <w:rPr>
                <w:highlight w:val="none"/>
              </w:rPr>
            </w:r>
            <w:r/>
          </w:p>
        </w:tc>
      </w:tr>
    </w:tbl>
    <w:p>
      <w:pPr>
        <w:pStyle w:val="963"/>
        <w:keepLines/>
        <w:keepNext/>
        <w:pageBreakBefore w:val="0"/>
        <w:spacing w:line="400" w:lineRule="exact"/>
        <w:widowControl w:val="off"/>
        <w:rPr>
          <w:rFonts w:ascii="黑体" w:hAnsi="黑体" w:eastAsia="黑体"/>
          <w:sz w:val="28"/>
          <w:szCs w:val="28"/>
          <w:highlight w:val="none"/>
        </w:rPr>
      </w:pPr>
      <w:r>
        <w:rPr>
          <w:rFonts w:ascii="宋体" w:hAnsi="宋体"/>
          <w:sz w:val="28"/>
          <w:szCs w:val="28"/>
          <w:highlight w:val="none"/>
          <w:u w:val="single"/>
        </w:rPr>
        <w:br w:type="page" w:clear="all"/>
      </w:r>
      <w:r>
        <w:rPr>
          <w:rFonts w:hint="eastAsia" w:ascii="黑体" w:hAnsi="黑体" w:eastAsia="黑体" w:cs="Arial"/>
          <w:b w:val="0"/>
          <w:bCs w:val="0"/>
          <w:sz w:val="28"/>
          <w:szCs w:val="28"/>
          <w:highlight w:val="none"/>
        </w:rPr>
        <w:t xml:space="preserve">第二节 政府采购合同通用条款</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定义</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1.1合同当事人</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（1）采购人（以下称甲方）是指使用财政性资金，通过政府采购方式向供应商购买货物及其相关服务的国家机关、事业单位、团体组织。</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（2）供应商（以下称乙方）是指参加政府采购活动并且中标（成交），向采购人提供合同约定的货物及其相关服务的法人、非法人组织或者自然人。</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（3）其他合同主体是指除采购人和供应商以外，依法参与合同缔结或履行，享有权利、承担义务的合同当事人。</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1.2本合同下列术语应解释为：</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（2）“合同价款”系指根据本合同规定乙方在全面履行合同义务后甲方应支付给乙方的价款。</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技术资料和材料等。</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（4）“相关服务”系指根据合同规定，乙方应提供的与货物有关的技术、管理和</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义务。</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（7）其他术语解释，见【政府采购合同专用条款】。</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 </w:t>
      </w:r>
      <w:r>
        <w:rPr>
          <w:rFonts w:hint="eastAsia" w:ascii="方正仿宋_GBK" w:hAnsi="方正仿宋_GBK" w:eastAsia="方正仿宋_GBK" w:cs="方正仿宋_GBK"/>
          <w:sz w:val="28"/>
          <w:szCs w:val="28"/>
          <w:highlight w:val="none"/>
        </w:rPr>
        <w:t xml:space="preserve">合同标的及金额</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任何费用。</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履行合同的时间、地点和方式</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 乙方应当在约定的时间、地点，按照约定方式履行合同。</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 甲方的权利和义务</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4.3 甲方有权要求乙方对缺陷部分予以修复，并按合同约定享有货物保修及其他合同约定的权利。</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4.5 甲方应当根据合同约定及时向乙方支付合同价款，不得以内部人员变更、履行内部付款流程等为由，拒绝或迟延支付。</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4.6 国家法律法规规定及【政府采购合同专用条款】约定应由甲方承担的其他义务和责任。</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乙方的权利和义务</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签署合同后，乙方应确定项目负责人（或项目联系人），负责与本合同有关的事务。</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5.3乙方有权根据合同约定向甲方收取合同价款。</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5.4国家法律法规规定及【政府采购合同专用条款】约定应由乙方承担的其他义务和责任。</w:t>
      </w:r>
      <w:r>
        <w:rPr>
          <w:highlight w:val="none"/>
        </w:rPr>
      </w:r>
      <w:r/>
    </w:p>
    <w:p>
      <w:pPr>
        <w:pStyle w:val="1074"/>
        <w:numPr>
          <w:ilvl w:val="0"/>
          <w:numId w:val="5"/>
        </w:num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合同履行</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甲乙双方应当按照【政府采购合同专用条款】约定顺序履行合同义务；如果没有先后顺序的，应当同时履行。</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 货物包装、运输、保险和交付要求</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 除【政府采购合同专用条款】另有约定外，乙方负责办理将货物运抵本合同规定的交货地点，并装卸、交付至甲方的一切运输事项，相关费用应包含在合同价款中。</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 货物保险要求按【政府采购合同专用条款】规定执行。</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7.5 乙方在运输到达之前应提前通知甲方，并提示货物运输装卸的注意事项，甲方配合乙方做好货物的接收工作。</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7.6 如因包装、运输问题导致货物损毁、丢失或者品质下降，甲方有权要求降价、换货、拒收部分或整批货物，由此产生的费用和损失，均由乙方承担。</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 质量标准和保证</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 质量标准</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（2）采用中华人民共和国法定计量单位。</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（3）乙方所提供的货物应符合国家有关安全、环保、卫生的规定。</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8.2 保证</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（2）在质量保证期内所发现的缺陷，甲方应尽快以书面形式通知乙方。</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（3）乙方收到通知后，应在【政府采购合同专用条款】规定的响应时间内以合理的速度免费维修或更换有缺陷的货物或部件。</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 权利瑕疵担保</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 乙方保证对其出售的货物享有合法的权利。</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乙方保证在交付的货物上不存在抵押权等担保物权。</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9.3 如甲方使用上述货物构成对第三人侵权的，则由乙方承担全部责任。</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 知识产权保护</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保密义务</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 合同价款支付</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合同价款支付按照国库集中支付制度及财政管理相关规定执行。</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履约保证金</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13.1 乙方应当以支票、汇票、本票或者金融机构、担保机构出具的保函等非现金形式提交。</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售后服务</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除项目不涉及或采购活动中明确约定无须承担外，乙方还应提供下列服务：</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（1）货物的现场移动、安装、调试、启动监督及技术支持；</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（2）提供货物组装和维修所需的专用工具和辅助材料；</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（3）在【政府采购合同专用条款】约定的期限内对所有的货物实施运行监督、维修，但前提条件是该服务并不能免除乙方在质量保证期内所承担的义务；</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（4）在制造商所在地或指定现场就货物的安装、启动、运营、维护、废弃处置等对甲方操作人员进行培训；</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（6）【政府采购合同专用条款】规定由乙方提供的其他服务。</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 乙方提供的售后服务的费用已包含在合同价款中，甲方不再另行支付。</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违约责任</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15.1质量瑕疵的违约责任</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15.2 迟延交货的违约责任</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15.3 迟延支付的违约责任</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甲方存在迟延支付乙方合同款项的，应当承担【政府采购合同专用条款】规定的逾期付款利息。</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15.4其他违约责任根据项目实际需要按【政府采购合同专用条款】规定执行。</w:t>
      </w:r>
      <w:r>
        <w:rPr>
          <w:highlight w:val="none"/>
        </w:rPr>
      </w:r>
      <w:r/>
    </w:p>
    <w:p>
      <w:pPr>
        <w:pStyle w:val="1074"/>
        <w:numPr>
          <w:ilvl w:val="0"/>
          <w:numId w:val="6"/>
        </w:numPr>
        <w:ind w:firstLine="560"/>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合同变更、中止与终止</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16.1合同的变更</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16.2合同的中止</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（1）合同履行过程中因供应商就采购文件、采购过程或结果提起投诉的，甲方认为有必要的，可以中止合同的履行。</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（4）甲方不得以行政区划调整、政府换届、机构或者职能调整以及相关责任人更替为由中止合同。</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16.3合同的终止</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（1）合同因有效期限届满而终止；</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（2）乙方未按合同约定履行，构成根本性违约的，甲方有权终止合同，并追究乙方的违约责任。</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16.4 涉及国家利益、社会公共利益的情形</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pStyle w:val="1074"/>
        <w:numPr>
          <w:ilvl w:val="0"/>
          <w:numId w:val="7"/>
        </w:num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合同分包</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17.1 乙方不得将合同转包给其他供应商。涉及合同分包的，乙方应根据采购文件和投标（响应）文件规定进行合同分包。</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17.2 乙方执行政府采购政策向中小企业依法分包的，乙方应当按采购文件和投标（响应）文件签订分包意向协议，分包意向协议属于本合同组成部分。</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 不可抗力</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18.1 不可抗力是指合同双方不能预见、不能避免且不能克服的客观情况。</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18.2 任何一方对由于不可抗力造成的部分或全部不能履行合同不承担违约责任。但迟延履行后发生不可抗力的，不能免除责任。</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 解决争议的方法</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19.3 如甲乙双方有争议的事项不影响合同其他部分的履行，在争议解决期间，合同其他部分应当继续履行。</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 政府采购政策</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w:t>
      </w:r>
      <w:r>
        <w:rPr>
          <w:rFonts w:hint="eastAsia" w:ascii="方正仿宋_GBK" w:hAnsi="方正仿宋_GBK" w:eastAsia="方正仿宋_GBK" w:cs="方正仿宋_GBK"/>
          <w:sz w:val="28"/>
          <w:szCs w:val="28"/>
          <w:highlight w:val="none"/>
          <w:lang w:val="en-GB"/>
        </w:rPr>
        <w:t xml:space="preserve">本合同应当按照规定执行政府采购政策。</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highlight w:val="none"/>
          <w:lang w:val="en-GB"/>
        </w:rPr>
        <w:t xml:space="preserve">未按规定要求执行政府采购政策造成损失的</w:t>
      </w:r>
      <w:r>
        <w:rPr>
          <w:rFonts w:hint="eastAsia" w:ascii="方正仿宋_GBK" w:hAnsi="方正仿宋_GBK" w:eastAsia="方正仿宋_GBK" w:cs="方正仿宋_GBK"/>
          <w:sz w:val="28"/>
          <w:szCs w:val="28"/>
          <w:highlight w:val="none"/>
        </w:rPr>
        <w:t xml:space="preserve">，有过错的一方应当承担赔偿责任，双方都有过错的，各自承担相应的责任。</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法律适用</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本合同的订立、生效、解释、履行及与本合同有关的争议解决，均适用法律、行政法规。</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本合同条款与法律、行政法规的强制性规定不一致的，双方当事人应按照法律、行政法规的强制性规定修改本合同的相关条款。</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 通知</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22.1 本合同任何一方向对方发出的通知、信件、数据电文等，应当发送至本合同第一部分《政府采购合同协议书》所约定的通讯地址、联系人、联系电话或电子邮箱。</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 一方当事人变更名称、住所、联系人、联系电话或电子邮箱等信息的，应当在变更后3日内及时书面通知对方，对方实际收到变更通知前的送达仍为有效送达。</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22.3本合同一方给另一方的通知均应采用书面形式，传真或快递送到本合同中规定的对方的地址和办理签收手续。</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22.4通知以送达之日或通知书中规定的生效之日起生效，两者中以较迟之日为准。</w:t>
      </w:r>
      <w:r>
        <w:rPr>
          <w:highlight w:val="none"/>
        </w:rPr>
      </w:r>
      <w:r/>
    </w:p>
    <w:p>
      <w:pPr>
        <w:pStyle w:val="1074"/>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23. </w:t>
      </w:r>
      <w:r>
        <w:rPr>
          <w:rFonts w:hint="eastAsia" w:ascii="方正仿宋_GBK" w:hAnsi="方正仿宋_GBK" w:eastAsia="方正仿宋_GBK" w:cs="方正仿宋_GBK"/>
          <w:sz w:val="28"/>
          <w:szCs w:val="28"/>
          <w:highlight w:val="none"/>
        </w:rPr>
        <w:t xml:space="preserve">合同未尽事项</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23.1合同未尽事项见【政府采购合同专用条款】。</w:t>
      </w:r>
      <w:r>
        <w:rPr>
          <w:highlight w:val="none"/>
        </w:rPr>
      </w:r>
      <w:r/>
    </w:p>
    <w:p>
      <w:pPr>
        <w:pStyle w:val="1074"/>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23.2合同附件与合同正文具有同等的法律效力。</w:t>
      </w:r>
      <w:r>
        <w:rPr>
          <w:highlight w:val="none"/>
        </w:rPr>
      </w:r>
      <w:r/>
    </w:p>
    <w:p>
      <w:pPr>
        <w:pStyle w:val="963"/>
        <w:keepLines/>
        <w:keepNext/>
        <w:pageBreakBefore w:val="0"/>
        <w:spacing w:line="400" w:lineRule="exact"/>
        <w:widowControl w:val="off"/>
        <w:rPr>
          <w:rFonts w:ascii="黑体" w:hAnsi="华文中宋" w:eastAsia="黑体"/>
          <w:b w:val="0"/>
          <w:bCs w:val="0"/>
          <w:sz w:val="28"/>
          <w:szCs w:val="28"/>
          <w:highlight w:val="none"/>
        </w:rPr>
      </w:pPr>
      <w:r>
        <w:rPr>
          <w:rFonts w:hint="eastAsia" w:ascii="黑体" w:hAnsi="华文中宋" w:eastAsia="黑体"/>
          <w:sz w:val="28"/>
          <w:szCs w:val="28"/>
          <w:highlight w:val="none"/>
        </w:rPr>
        <w:br w:type="page" w:clear="all"/>
      </w:r>
      <w:r>
        <w:rPr>
          <w:rFonts w:hint="eastAsia" w:ascii="黑体" w:hAnsi="黑体" w:eastAsia="黑体" w:cs="Arial"/>
          <w:b w:val="0"/>
          <w:bCs w:val="0"/>
          <w:sz w:val="28"/>
          <w:szCs w:val="28"/>
          <w:highlight w:val="none"/>
        </w:rPr>
        <w:t xml:space="preserve">第三节 政府采购合同专用条款</w:t>
      </w:r>
      <w:r>
        <w:rPr>
          <w:highlight w:val="none"/>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第1.2（6）项</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联合体具体要求</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604"/>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第1.2（7）项</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其他术语解释</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3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第4.4款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履约验收中甲方提出异议或作出说明的期限</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3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第4.6款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约定甲方承担的其他义务和责任</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3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第5.4款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约定乙方承担的其他义务和责任</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3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第6.1款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履行合同义务的顺序</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667"/>
        </w:trPr>
        <w:tc>
          <w:tcPr>
            <w:tcW w:w="2339" w:type="dxa"/>
            <w:vAlign w:val="center"/>
            <w:vMerge w:val="restart"/>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第7.1款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包装特殊要求</w:t>
            </w:r>
            <w:r>
              <w:rPr>
                <w:highlight w:val="none"/>
              </w:rPr>
            </w:r>
            <w:r/>
          </w:p>
        </w:tc>
        <w:tc>
          <w:tcPr>
            <w:tcW w:w="3065" w:type="dxa"/>
            <w:vAlign w:val="center"/>
            <w:textDirection w:val="lrTb"/>
            <w:noWrap w:val="false"/>
          </w:tcPr>
          <w:p>
            <w:pPr>
              <w:pStyle w:val="961"/>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667"/>
        </w:trPr>
        <w:tc>
          <w:tcPr>
            <w:tcW w:w="2339" w:type="dxa"/>
            <w:vAlign w:val="center"/>
            <w:vMerge w:val="continue"/>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指定现场</w:t>
            </w:r>
            <w:r>
              <w:rPr>
                <w:highlight w:val="none"/>
              </w:rPr>
            </w:r>
            <w:r/>
          </w:p>
        </w:tc>
        <w:tc>
          <w:tcPr>
            <w:tcW w:w="3065" w:type="dxa"/>
            <w:vAlign w:val="center"/>
            <w:textDirection w:val="lrTb"/>
            <w:noWrap w:val="false"/>
          </w:tcPr>
          <w:p>
            <w:pPr>
              <w:pStyle w:val="961"/>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72"/>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第7.2款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运输特殊要求</w:t>
            </w:r>
            <w:r>
              <w:rPr>
                <w:highlight w:val="none"/>
              </w:rPr>
            </w:r>
            <w:r/>
          </w:p>
        </w:tc>
        <w:tc>
          <w:tcPr>
            <w:tcW w:w="3065" w:type="dxa"/>
            <w:vAlign w:val="center"/>
            <w:textDirection w:val="lrTb"/>
            <w:noWrap w:val="false"/>
          </w:tcPr>
          <w:p>
            <w:pPr>
              <w:pStyle w:val="961"/>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667"/>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第7.3款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保险要求</w:t>
            </w:r>
            <w:r>
              <w:rPr>
                <w:highlight w:val="none"/>
              </w:rPr>
            </w:r>
            <w:r/>
          </w:p>
        </w:tc>
        <w:tc>
          <w:tcPr>
            <w:tcW w:w="3065" w:type="dxa"/>
            <w:vAlign w:val="center"/>
            <w:textDirection w:val="lrTb"/>
            <w:noWrap w:val="false"/>
          </w:tcPr>
          <w:p>
            <w:pPr>
              <w:pStyle w:val="961"/>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3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第8.2（1）项</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质量保证期</w:t>
            </w:r>
            <w:r>
              <w:rPr>
                <w:highlight w:val="none"/>
              </w:rPr>
            </w:r>
            <w:r/>
          </w:p>
        </w:tc>
        <w:tc>
          <w:tcPr>
            <w:tcW w:w="3065" w:type="dxa"/>
            <w:vAlign w:val="center"/>
            <w:textDirection w:val="lrTb"/>
            <w:noWrap w:val="false"/>
          </w:tcPr>
          <w:p>
            <w:pPr>
              <w:pStyle w:val="961"/>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3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第8.2（3）项</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货物质量缺陷</w:t>
            </w:r>
            <w:r>
              <w:rPr>
                <w:highlight w:val="none"/>
              </w:rPr>
            </w:r>
            <w:r/>
          </w:p>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响应时间</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3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1074"/>
              <w:ind w:firstLine="0"/>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第11.1款</w:t>
            </w:r>
            <w:r>
              <w:rPr>
                <w:highlight w:val="none"/>
              </w:rPr>
            </w:r>
            <w:r/>
          </w:p>
        </w:tc>
        <w:tc>
          <w:tcPr>
            <w:tcW w:w="3115" w:type="dxa"/>
            <w:vAlign w:val="center"/>
            <w:textDirection w:val="lrTb"/>
            <w:noWrap w:val="false"/>
          </w:tcPr>
          <w:p>
            <w:pPr>
              <w:pStyle w:val="961"/>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其他应当保密的信息</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697"/>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第12.2款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合同价款支付时间</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697"/>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第13.2款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履约保证金不予退还的情形</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3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第13.3款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履约保证金退还时间及逾期退还的违约金</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84"/>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第14.1（3）项</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运行监督、维修期限</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84"/>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第14.1（5）项</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货物回收的约定</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3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第14.1（6）项</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乙方提供的其他服务</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3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第15.1款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修理、重作、更换相关具体规定</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trHeight w:val="73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第15.2（2）项</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迟延交货赔偿费</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rPr>
                <w:highlight w:val="none"/>
              </w:rPr>
            </w:r>
            <w:r/>
          </w:p>
        </w:tc>
      </w:tr>
      <w:tr>
        <w:trPr>
          <w:trHeight w:val="73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第15.3款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逾期付款利息</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rPr>
                <w:highlight w:val="none"/>
              </w:rPr>
            </w:r>
            <w:r/>
          </w:p>
        </w:tc>
      </w:tr>
      <w:tr>
        <w:trPr>
          <w:trHeight w:val="876"/>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第15.4款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其他违约责任</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rPr>
                <w:highlight w:val="none"/>
              </w:rPr>
            </w:r>
            <w:r/>
          </w:p>
        </w:tc>
      </w:tr>
      <w:tr>
        <w:trPr>
          <w:trHeight w:val="90"/>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第19.2款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解决争议的方法</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因本合同及合同有关事项发生的争议，按下列第</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种方式解决：</w:t>
            </w:r>
            <w:r>
              <w:rPr>
                <w:highlight w:val="none"/>
              </w:rPr>
            </w:r>
            <w:r/>
          </w:p>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iCs/>
                <w:sz w:val="28"/>
                <w:szCs w:val="28"/>
                <w:highlight w:val="none"/>
              </w:rPr>
              <w:t xml:space="preserve">（1）向</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仲裁委员会申请仲裁，仲裁地点为</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；（2）向</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人民法院起诉。</w:t>
            </w:r>
            <w:r>
              <w:rPr>
                <w:highlight w:val="none"/>
              </w:rPr>
            </w:r>
            <w:r/>
          </w:p>
        </w:tc>
      </w:tr>
      <w:tr>
        <w:trPr>
          <w:trHeight w:val="770"/>
        </w:trPr>
        <w:tc>
          <w:tcPr>
            <w:tcW w:w="233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第23.1款</w:t>
            </w:r>
            <w:r>
              <w:rPr>
                <w:highlight w:val="none"/>
              </w:rPr>
            </w:r>
            <w:r/>
          </w:p>
        </w:tc>
        <w:tc>
          <w:tcPr>
            <w:tcW w:w="311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其他专用条款</w:t>
            </w:r>
            <w:r>
              <w:rPr>
                <w:highlight w:val="none"/>
              </w:rPr>
            </w:r>
            <w:r/>
          </w:p>
        </w:tc>
        <w:tc>
          <w:tcPr>
            <w:tcW w:w="306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bl>
    <w:p>
      <w:pPr>
        <w:pStyle w:val="99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rPr>
          <w:highlight w:val="none"/>
        </w:rPr>
      </w:r>
      <w:r/>
    </w:p>
    <w:p>
      <w:pPr>
        <w:shd w:val="nil"/>
        <w:rPr>
          <w:rFonts w:hint="eastAsia" w:ascii="黑体" w:hAnsi="黑体" w:eastAsia="黑体" w:cs="Arial"/>
          <w:b w:val="0"/>
          <w:bCs w:val="0"/>
          <w:sz w:val="28"/>
          <w:szCs w:val="28"/>
          <w:highlight w:val="none"/>
        </w:rPr>
      </w:pPr>
      <w:r>
        <w:rPr>
          <w:highlight w:val="none"/>
        </w:rPr>
        <w:br w:type="page" w:clear="all"/>
      </w:r>
      <w:r>
        <w:rPr>
          <w:highlight w:val="none"/>
        </w:rPr>
      </w:r>
    </w:p>
    <w:p>
      <w:pPr>
        <w:pStyle w:val="963"/>
        <w:keepLines/>
        <w:keepNext/>
        <w:pageBreakBefore w:val="0"/>
        <w:spacing w:line="400" w:lineRule="exact"/>
        <w:widowControl w:val="off"/>
        <w:rPr>
          <w:highlight w:val="none"/>
        </w:rPr>
      </w:pPr>
      <w:r>
        <w:rPr>
          <w:rFonts w:hint="eastAsia" w:ascii="黑体" w:hAnsi="黑体" w:eastAsia="黑体" w:cs="Arial"/>
          <w:b w:val="0"/>
          <w:bCs w:val="0"/>
          <w:sz w:val="28"/>
          <w:szCs w:val="28"/>
          <w:highlight w:val="none"/>
        </w:rPr>
        <w:t xml:space="preserve">第</w:t>
      </w:r>
      <w:bookmarkEnd w:id="175"/>
      <w:r>
        <w:rPr>
          <w:rFonts w:hint="eastAsia" w:ascii="黑体" w:hAnsi="黑体" w:eastAsia="黑体" w:cs="Arial"/>
          <w:b w:val="0"/>
          <w:bCs w:val="0"/>
          <w:sz w:val="28"/>
          <w:szCs w:val="28"/>
          <w:highlight w:val="none"/>
        </w:rPr>
        <w:t xml:space="preserve">四章 采购需求</w:t>
      </w:r>
      <w:bookmarkEnd w:id="176"/>
      <w:r>
        <w:rPr>
          <w:highlight w:val="none"/>
        </w:rPr>
      </w:r>
      <w:bookmarkEnd w:id="177"/>
      <w:r>
        <w:rPr>
          <w:highlight w:val="none"/>
        </w:rPr>
      </w:r>
      <w:bookmarkEnd w:id="178"/>
      <w:r>
        <w:rPr>
          <w:highlight w:val="none"/>
        </w:rPr>
      </w:r>
      <w:r/>
    </w:p>
    <w:p>
      <w:pPr>
        <w:pStyle w:val="963"/>
        <w:jc w:val="left"/>
        <w:keepLines/>
        <w:keepNext/>
        <w:pageBreakBefore w:val="0"/>
        <w:spacing w:line="400" w:lineRule="exact"/>
        <w:widowControl w:val="off"/>
        <w:rPr>
          <w:rFonts w:hint="eastAsia" w:ascii="黑体" w:hAnsi="黑体" w:eastAsia="黑体" w:cs="Arial"/>
          <w:b w:val="0"/>
          <w:bCs w:val="0"/>
          <w:sz w:val="28"/>
          <w:szCs w:val="28"/>
          <w:highlight w:val="none"/>
        </w:rPr>
      </w:pPr>
      <w:r>
        <w:rPr>
          <w:highlight w:val="none"/>
        </w:rPr>
      </w:r>
      <w:bookmarkStart w:id="181" w:name="_Toc49090575"/>
      <w:r>
        <w:rPr>
          <w:highlight w:val="none"/>
        </w:rPr>
      </w:r>
      <w:bookmarkStart w:id="182" w:name="_Toc26554093"/>
      <w:r>
        <w:rPr>
          <w:rFonts w:hint="eastAsia" w:ascii="黑体" w:hAnsi="黑体" w:eastAsia="黑体" w:cs="Arial"/>
          <w:b w:val="0"/>
          <w:bCs w:val="0"/>
          <w:sz w:val="28"/>
          <w:szCs w:val="28"/>
          <w:highlight w:val="none"/>
        </w:rPr>
        <w:t xml:space="preserve">一、采购标的清单</w:t>
      </w:r>
      <w:r>
        <w:rPr>
          <w:highlight w:val="none"/>
        </w:rPr>
      </w:r>
      <w:r/>
    </w:p>
    <w:tbl>
      <w:tblPr>
        <w:tblW w:w="0" w:type="auto"/>
        <w:jc w:val="center"/>
        <w:tblInd w:w="-17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961"/>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highlight w:val="none"/>
              </w:rPr>
            </w:r>
            <w:r/>
          </w:p>
          <w:p>
            <w:pPr>
              <w:pStyle w:val="961"/>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w:t>
            </w:r>
            <w:r>
              <w:rPr>
                <w:rFonts w:hint="eastAsia" w:ascii="方正仿宋_GBK" w:hAnsi="方正仿宋_GBK" w:eastAsia="方正仿宋_GBK" w:cs="方正仿宋_GBK"/>
                <w:sz w:val="28"/>
                <w:szCs w:val="28"/>
                <w:highlight w:val="none"/>
                <w:lang w:val="en-US" w:eastAsia="zh-CN"/>
              </w:rPr>
              <w:t xml:space="preserve">号</w:t>
            </w:r>
            <w:r>
              <w:rPr>
                <w:highlight w:val="none"/>
              </w:rPr>
            </w:r>
            <w:r/>
          </w:p>
        </w:tc>
        <w:tc>
          <w:tcPr>
            <w:tcW w:w="1321" w:type="dxa"/>
            <w:vAlign w:val="center"/>
            <w:textDirection w:val="lrTb"/>
            <w:noWrap w:val="false"/>
          </w:tcPr>
          <w:p>
            <w:pPr>
              <w:pStyle w:val="961"/>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highlight w:val="none"/>
              </w:rPr>
            </w:r>
            <w:r/>
          </w:p>
        </w:tc>
        <w:tc>
          <w:tcPr>
            <w:tcW w:w="2929" w:type="dxa"/>
            <w:vAlign w:val="center"/>
            <w:textDirection w:val="lrTb"/>
            <w:noWrap w:val="false"/>
          </w:tcPr>
          <w:p>
            <w:pPr>
              <w:pStyle w:val="961"/>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rPr>
                <w:highlight w:val="none"/>
              </w:rPr>
            </w:r>
            <w:r/>
          </w:p>
        </w:tc>
        <w:tc>
          <w:tcPr>
            <w:tcW w:w="2677" w:type="dxa"/>
            <w:vAlign w:val="center"/>
            <w:textDirection w:val="lrTb"/>
            <w:noWrap w:val="false"/>
          </w:tcPr>
          <w:p>
            <w:pPr>
              <w:pStyle w:val="961"/>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rPr>
                <w:highlight w:val="none"/>
              </w:rPr>
            </w:r>
            <w:r/>
          </w:p>
        </w:tc>
      </w:tr>
      <w:tr>
        <w:trPr>
          <w:cantSplit/>
          <w:trHeight w:val="291"/>
        </w:trPr>
        <w:tc>
          <w:tcPr>
            <w:tcW w:w="790" w:type="dxa"/>
            <w:vAlign w:val="top"/>
            <w:textDirection w:val="lrTb"/>
            <w:noWrap w:val="false"/>
          </w:tcPr>
          <w:p>
            <w:pPr>
              <w:pStyle w:val="961"/>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Times New Roman" w:hAnsi="Times New Roman" w:eastAsia="方正仿宋_GBK" w:cs="Times New Roman"/>
                <w:color w:val="000000"/>
                <w:sz w:val="28"/>
                <w:szCs w:val="28"/>
                <w:highlight w:val="none"/>
                <w:lang w:eastAsia="zh-CN"/>
              </w:rPr>
              <w:t xml:space="preserve">XX</w:t>
            </w:r>
            <w:r>
              <w:rPr>
                <w:highlight w:val="none"/>
              </w:rPr>
            </w:r>
            <w:r/>
          </w:p>
        </w:tc>
        <w:tc>
          <w:tcPr>
            <w:tcW w:w="1321" w:type="dxa"/>
            <w:vAlign w:val="top"/>
            <w:textDirection w:val="lrTb"/>
            <w:noWrap w:val="false"/>
          </w:tcPr>
          <w:p>
            <w:pPr>
              <w:pStyle w:val="961"/>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2929" w:type="dxa"/>
            <w:vAlign w:val="top"/>
            <w:textDirection w:val="lrTb"/>
            <w:noWrap w:val="false"/>
          </w:tcPr>
          <w:p>
            <w:pPr>
              <w:pStyle w:val="961"/>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Times New Roman" w:hAnsi="Times New Roman" w:eastAsia="方正仿宋_GBK" w:cs="Times New Roman"/>
                <w:color w:val="000000"/>
                <w:sz w:val="28"/>
                <w:szCs w:val="28"/>
                <w:highlight w:val="none"/>
                <w:lang w:val="en-US" w:eastAsia="zh-CN"/>
              </w:rPr>
              <w:t xml:space="preserve">监狱医院电梯</w:t>
            </w:r>
            <w:r>
              <w:rPr>
                <w:highlight w:val="none"/>
              </w:rPr>
            </w:r>
            <w:r/>
          </w:p>
        </w:tc>
        <w:tc>
          <w:tcPr>
            <w:tcW w:w="2677" w:type="dxa"/>
            <w:vAlign w:val="top"/>
            <w:textDirection w:val="lrTb"/>
            <w:noWrap w:val="false"/>
          </w:tcPr>
          <w:p>
            <w:pPr>
              <w:pStyle w:val="961"/>
              <w:jc w:val="center"/>
              <w:pageBreakBefore w:val="0"/>
              <w:spacing w:line="400" w:lineRule="exact"/>
              <w:widowControl w:val="off"/>
              <w:rPr>
                <w:rFonts w:hint="eastAsia" w:ascii="Times New Roman" w:hAnsi="Times New Roman" w:eastAsia="方正仿宋_GBK" w:cs="Times New Roman"/>
                <w:color w:val="000000"/>
                <w:sz w:val="28"/>
                <w:szCs w:val="28"/>
                <w:highlight w:val="none"/>
              </w:rPr>
            </w:pPr>
            <w:r>
              <w:rPr>
                <w:rFonts w:hint="eastAsia" w:ascii="Times New Roman" w:hAnsi="Times New Roman" w:eastAsia="方正仿宋_GBK" w:cs="Times New Roman"/>
                <w:color w:val="000000"/>
                <w:sz w:val="28"/>
                <w:szCs w:val="28"/>
                <w:highlight w:val="none"/>
                <w:lang w:val="en-US" w:eastAsia="zh-CN"/>
              </w:rPr>
              <w:t xml:space="preserve">工业</w:t>
            </w:r>
            <w:r>
              <w:rPr>
                <w:highlight w:val="none"/>
              </w:rPr>
            </w:r>
            <w:r/>
          </w:p>
        </w:tc>
      </w:tr>
    </w:tbl>
    <w:p>
      <w:pPr>
        <w:pStyle w:val="963"/>
        <w:jc w:val="left"/>
        <w:keepLines/>
        <w:keepNext/>
        <w:pageBreakBefore w:val="0"/>
        <w:spacing w:before="200" w:after="200"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lang w:val="en-US" w:eastAsia="zh-CN"/>
        </w:rPr>
        <w:t xml:space="preserve">二、政府采购中实施本国产品标准及相关政策</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pStyle w:val="963"/>
        <w:jc w:val="left"/>
        <w:keepLines/>
        <w:keepNext/>
        <w:pageBreakBefore w:val="0"/>
        <w:spacing w:before="200" w:after="200"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lang w:val="en-US" w:eastAsia="zh-CN"/>
        </w:rPr>
        <w:t xml:space="preserve">三、项目概况及总体要求</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1、项目名称：江苏省南京监狱医院电梯更换项目 </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2、工程地点：南京市雨花台区宁双路9号</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3、项目规模：江苏省南京监狱医院电梯更换项目，共四层。</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4、招标范围：</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zh-CN" w:eastAsia="zh-CN"/>
        </w:rPr>
        <w:t xml:space="preserve">（1）本次采购</w:t>
      </w:r>
      <w:r>
        <w:rPr>
          <w:rFonts w:hint="eastAsia" w:ascii="方正仿宋_GBK" w:hAnsi="方正仿宋_GBK" w:eastAsia="方正仿宋_GBK" w:cs="方正仿宋_GBK"/>
          <w:bCs/>
          <w:color w:val="000000"/>
          <w:sz w:val="28"/>
          <w:szCs w:val="28"/>
          <w:highlight w:val="none"/>
          <w:lang w:val="en-US" w:eastAsia="zh-CN"/>
        </w:rPr>
        <w:t xml:space="preserve">1</w:t>
      </w:r>
      <w:r>
        <w:rPr>
          <w:rFonts w:hint="eastAsia" w:ascii="方正仿宋_GBK" w:hAnsi="方正仿宋_GBK" w:eastAsia="方正仿宋_GBK" w:cs="方正仿宋_GBK"/>
          <w:bCs/>
          <w:color w:val="000000"/>
          <w:sz w:val="28"/>
          <w:szCs w:val="28"/>
          <w:highlight w:val="none"/>
          <w:lang w:val="zh-CN" w:eastAsia="zh-CN"/>
        </w:rPr>
        <w:t xml:space="preserve">部病床电梯所需电梯全部设备、材料、随设备的备品配件及专用工具，运抵采购人工地现场，负责安装、调试，直至采购人所在地质量监督部门验收合格，获得质量监督部门发给的使用许可证，交付采购人使用，即交钥匙项目。</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zh-CN" w:eastAsia="zh-CN"/>
        </w:rPr>
        <w:t xml:space="preserve">（2）</w:t>
      </w:r>
      <w:r>
        <w:rPr>
          <w:rFonts w:hint="eastAsia" w:ascii="方正仿宋_GBK" w:hAnsi="方正仿宋_GBK" w:eastAsia="方正仿宋_GBK" w:cs="方正仿宋_GBK"/>
          <w:bCs/>
          <w:color w:val="000000"/>
          <w:sz w:val="28"/>
          <w:szCs w:val="28"/>
          <w:highlight w:val="none"/>
          <w:lang w:val="en-US" w:eastAsia="zh-CN"/>
        </w:rPr>
        <w:t xml:space="preserve">包含井道吊钩整改及旧梯拆除（旧梯由甲方处置）。包含机房整改出新、井道密封、门洞改造费及恢复原状的费用，外召唤空洞修复（不锈钢铁板做背衬板）。电梯设备采购、运输(含装卸)、安装、装修(含轿厢装修、轿门装修、厅门装修)、调试、验收、质保及维保、培训及其它相关服务等的费用。投标报价需充分考虑因运营要求，及施工过程可能发生的拆除、损坏、维修等相关费用，结算时不因此增加任何费用。</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zh-CN" w:eastAsia="zh-CN"/>
        </w:rPr>
        <w:t xml:space="preserve">（3）</w:t>
      </w:r>
      <w:r>
        <w:rPr>
          <w:rFonts w:hint="eastAsia" w:ascii="方正仿宋_GBK" w:hAnsi="方正仿宋_GBK" w:eastAsia="方正仿宋_GBK" w:cs="方正仿宋_GBK"/>
          <w:bCs/>
          <w:color w:val="000000"/>
          <w:sz w:val="28"/>
          <w:szCs w:val="28"/>
          <w:highlight w:val="none"/>
          <w:lang w:val="en-US" w:eastAsia="zh-CN"/>
        </w:rPr>
        <w:t xml:space="preserve">本次采购的垂直电梯，要求为本品牌病床电梯型号且为未使用过的全新产品</w:t>
      </w:r>
      <w:r>
        <w:rPr>
          <w:rFonts w:hint="eastAsia" w:ascii="方正仿宋_GBK" w:hAnsi="方正仿宋_GBK" w:eastAsia="方正仿宋_GBK" w:cs="方正仿宋_GBK"/>
          <w:b/>
          <w:bCs w:val="0"/>
          <w:color w:val="000000"/>
          <w:sz w:val="28"/>
          <w:szCs w:val="28"/>
          <w:highlight w:val="none"/>
          <w:lang w:val="en-US" w:eastAsia="zh-CN"/>
        </w:rPr>
        <w:t xml:space="preserve">，</w:t>
      </w:r>
      <w:r>
        <w:rPr>
          <w:rFonts w:hint="eastAsia" w:ascii="方正仿宋_GBK" w:hAnsi="方正仿宋_GBK" w:eastAsia="方正仿宋_GBK" w:cs="方正仿宋_GBK"/>
          <w:b w:val="0"/>
          <w:bCs/>
          <w:color w:val="000000"/>
          <w:sz w:val="28"/>
          <w:szCs w:val="28"/>
          <w:highlight w:val="none"/>
          <w:lang w:val="en-US" w:eastAsia="zh-CN"/>
        </w:rPr>
        <w:t xml:space="preserve">型式试验报告应体现“病床电梯”；</w:t>
      </w:r>
      <w:r>
        <w:rPr>
          <w:rFonts w:hint="eastAsia" w:ascii="方正仿宋_GBK" w:hAnsi="方正仿宋_GBK" w:eastAsia="方正仿宋_GBK" w:cs="方正仿宋_GBK"/>
          <w:b w:val="0"/>
          <w:bCs/>
          <w:color w:val="000000"/>
          <w:sz w:val="28"/>
          <w:szCs w:val="28"/>
          <w:highlight w:val="none"/>
          <w:lang w:val="en-US" w:eastAsia="zh-CN"/>
        </w:rPr>
        <w:t xml:space="preserve">若报告文字表述存在差异，但产品实质功能、技术参数完全满足病床电梯全部要求，经评标委员会核实确认功能等效，可予以认可。</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zh-CN" w:eastAsia="zh-CN"/>
        </w:rPr>
        <w:t xml:space="preserve">（4）</w:t>
      </w:r>
      <w:r>
        <w:rPr>
          <w:rFonts w:hint="eastAsia" w:ascii="方正仿宋_GBK" w:hAnsi="方正仿宋_GBK" w:eastAsia="方正仿宋_GBK" w:cs="方正仿宋_GBK"/>
          <w:bCs/>
          <w:color w:val="000000"/>
          <w:sz w:val="28"/>
          <w:szCs w:val="28"/>
          <w:highlight w:val="none"/>
          <w:lang w:val="en-US" w:eastAsia="zh-CN"/>
        </w:rPr>
        <w:t xml:space="preserve">投标报价为固定总价，各投标单位应在投标前勘察现场，数据以现场实测为准，并充分考虑所有相关因素及各类市场风险和政策性调整确定风险系数计入投标总价，今后不作调整。</w:t>
      </w:r>
      <w:r>
        <w:rPr>
          <w:highlight w:val="none"/>
        </w:rPr>
      </w:r>
      <w:r/>
    </w:p>
    <w:p>
      <w:pPr>
        <w:pStyle w:val="963"/>
        <w:jc w:val="left"/>
        <w:keepLines/>
        <w:keepNext/>
        <w:pageBreakBefore w:val="0"/>
        <w:spacing w:before="200" w:after="200"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lang w:val="en-US" w:eastAsia="zh-CN"/>
        </w:rPr>
        <w:t xml:space="preserve">四、设备需求一览表</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8"/>
          <w:szCs w:val="28"/>
          <w:highlight w:val="none"/>
        </w:rPr>
        <w:t xml:space="preserve">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号条款为实质性要求。</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lang w:val="en-US" w:eastAsia="zh-CN"/>
        </w:rPr>
        <w:t xml:space="preserve">（一）现场土建条件及设备规格参数</w:t>
      </w:r>
      <w:r>
        <w:rPr>
          <w:highlight w:val="none"/>
        </w:rPr>
      </w:r>
      <w:r/>
    </w:p>
    <w:tbl>
      <w:tblPr>
        <w:tblW w:w="4820" w:type="pct"/>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232" w:type="dxa"/>
          <w:top w:w="232" w:type="dxa"/>
          <w:right w:w="232" w:type="dxa"/>
          <w:bottom w:w="232" w:type="dxa"/>
        </w:tblCellMar>
        <w:tblLook w:val="04A0" w:firstRow="1" w:lastRow="0" w:firstColumn="1" w:lastColumn="0" w:noHBand="0" w:noVBand="1"/>
      </w:tblPr>
      <w:tblGrid>
        <w:gridCol w:w="1053"/>
        <w:gridCol w:w="1491"/>
        <w:gridCol w:w="2910"/>
        <w:gridCol w:w="1240"/>
        <w:gridCol w:w="1219"/>
        <w:gridCol w:w="1060"/>
      </w:tblGrid>
      <w:tr>
        <w:trPr>
          <w:trHeight w:val="491"/>
        </w:trPr>
        <w:tc>
          <w:tcPr>
            <w:shd w:val="clear" w:color="auto" w:fill="ffffff"/>
            <w:tcMar>
              <w:left w:w="232" w:type="dxa"/>
              <w:top w:w="232" w:type="dxa"/>
              <w:right w:w="232" w:type="dxa"/>
              <w:bottom w:w="232" w:type="dxa"/>
            </w:tcMar>
            <w:tcW w:w="1080" w:type="dxa"/>
            <w:vAlign w:val="center"/>
            <w:textDirection w:val="lrTb"/>
            <w:noWrap w:val="false"/>
          </w:tcPr>
          <w:p>
            <w:pPr>
              <w:pStyle w:val="961"/>
              <w:rPr>
                <w:rFonts w:ascii="宋体" w:hAnsi="宋体"/>
                <w:color w:val="000000"/>
                <w:sz w:val="24"/>
                <w:szCs w:val="24"/>
                <w:highlight w:val="none"/>
              </w:rPr>
            </w:pPr>
            <w:r>
              <w:rPr>
                <w:highlight w:val="none"/>
              </w:rPr>
            </w:r>
            <w:bookmarkStart w:id="183" w:name="_Hlk190533923"/>
            <w:r>
              <w:rPr>
                <w:rFonts w:ascii="宋体" w:hAnsi="宋体"/>
                <w:color w:val="000000"/>
                <w:sz w:val="24"/>
                <w:szCs w:val="24"/>
                <w:highlight w:val="none"/>
                <w:lang w:val="en" w:eastAsia="en"/>
              </w:rPr>
              <w:t xml:space="preserve">序</w:t>
            </w:r>
            <w:r>
              <w:rPr>
                <w:rFonts w:hint="eastAsia" w:ascii="宋体" w:hAnsi="宋体" w:cs="微软雅黑"/>
                <w:color w:val="000000"/>
                <w:sz w:val="24"/>
                <w:szCs w:val="24"/>
                <w:highlight w:val="none"/>
                <w:lang w:val="en" w:eastAsia="en"/>
              </w:rPr>
              <w:t xml:space="preserve">号</w:t>
            </w:r>
            <w:r>
              <w:rPr>
                <w:highlight w:val="none"/>
              </w:rPr>
            </w:r>
            <w:r/>
          </w:p>
        </w:tc>
        <w:tc>
          <w:tcPr>
            <w:shd w:val="clear" w:color="auto" w:fill="ffffff"/>
            <w:tcMar>
              <w:left w:w="232" w:type="dxa"/>
              <w:top w:w="232" w:type="dxa"/>
              <w:right w:w="232" w:type="dxa"/>
              <w:bottom w:w="232" w:type="dxa"/>
            </w:tcMar>
            <w:tcW w:w="1538" w:type="dxa"/>
            <w:vAlign w:val="center"/>
            <w:textDirection w:val="lrTb"/>
            <w:noWrap w:val="false"/>
          </w:tcPr>
          <w:p>
            <w:pPr>
              <w:pStyle w:val="961"/>
              <w:rPr>
                <w:rFonts w:ascii="宋体" w:hAnsi="宋体"/>
                <w:color w:val="000000"/>
                <w:sz w:val="24"/>
                <w:szCs w:val="24"/>
                <w:highlight w:val="none"/>
              </w:rPr>
            </w:pPr>
            <w:r>
              <w:rPr>
                <w:rFonts w:hint="eastAsia" w:ascii="宋体" w:hAnsi="宋体" w:cs="微软雅黑"/>
                <w:color w:val="000000"/>
                <w:sz w:val="24"/>
                <w:szCs w:val="24"/>
                <w:highlight w:val="none"/>
                <w:lang w:val="en" w:eastAsia="en"/>
              </w:rPr>
              <w:t xml:space="preserve">设备</w:t>
            </w:r>
            <w:r>
              <w:rPr>
                <w:rFonts w:hint="eastAsia" w:ascii="宋体" w:hAnsi="宋体" w:cs="Malgun Gothic"/>
                <w:color w:val="000000"/>
                <w:sz w:val="24"/>
                <w:szCs w:val="24"/>
                <w:highlight w:val="none"/>
                <w:lang w:val="en" w:eastAsia="en"/>
              </w:rPr>
              <w:t xml:space="preserve">名</w:t>
            </w:r>
            <w:r>
              <w:rPr>
                <w:rFonts w:hint="eastAsia" w:ascii="宋体" w:hAnsi="宋体" w:cs="微软雅黑"/>
                <w:color w:val="000000"/>
                <w:sz w:val="24"/>
                <w:szCs w:val="24"/>
                <w:highlight w:val="none"/>
                <w:lang w:val="en" w:eastAsia="en"/>
              </w:rPr>
              <w:t xml:space="preserve">称</w:t>
            </w:r>
            <w:r>
              <w:rPr>
                <w:highlight w:val="none"/>
              </w:rPr>
            </w:r>
            <w:r/>
          </w:p>
        </w:tc>
        <w:tc>
          <w:tcPr>
            <w:shd w:val="clear" w:color="auto" w:fill="ffffff"/>
            <w:tcMar>
              <w:left w:w="232" w:type="dxa"/>
              <w:top w:w="232" w:type="dxa"/>
              <w:right w:w="232" w:type="dxa"/>
              <w:bottom w:w="232" w:type="dxa"/>
            </w:tcMar>
            <w:tcW w:w="3023" w:type="dxa"/>
            <w:vAlign w:val="center"/>
            <w:textDirection w:val="lrTb"/>
            <w:noWrap w:val="false"/>
          </w:tcPr>
          <w:p>
            <w:pPr>
              <w:pStyle w:val="961"/>
              <w:rPr>
                <w:rFonts w:ascii="宋体" w:hAnsi="宋体"/>
                <w:color w:val="000000"/>
                <w:sz w:val="24"/>
                <w:szCs w:val="24"/>
                <w:highlight w:val="none"/>
              </w:rPr>
            </w:pPr>
            <w:r>
              <w:rPr>
                <w:rFonts w:hint="eastAsia" w:ascii="宋体" w:hAnsi="宋体" w:cs="微软雅黑"/>
                <w:color w:val="000000"/>
                <w:sz w:val="24"/>
                <w:szCs w:val="24"/>
                <w:highlight w:val="none"/>
                <w:lang w:val="en" w:eastAsia="en"/>
              </w:rPr>
              <w:t xml:space="preserve">规</w:t>
            </w:r>
            <w:r>
              <w:rPr>
                <w:rFonts w:hint="eastAsia" w:ascii="宋体" w:hAnsi="宋体" w:cs="Malgun Gothic"/>
                <w:color w:val="000000"/>
                <w:sz w:val="24"/>
                <w:szCs w:val="24"/>
                <w:highlight w:val="none"/>
                <w:lang w:val="en" w:eastAsia="en"/>
              </w:rPr>
              <w:t xml:space="preserve">格</w:t>
            </w:r>
            <w:r>
              <w:rPr>
                <w:highlight w:val="none"/>
              </w:rPr>
            </w:r>
            <w:r/>
          </w:p>
        </w:tc>
        <w:tc>
          <w:tcPr>
            <w:shd w:val="clear" w:color="auto" w:fill="ffffff"/>
            <w:tcMar>
              <w:left w:w="232" w:type="dxa"/>
              <w:top w:w="232" w:type="dxa"/>
              <w:right w:w="232" w:type="dxa"/>
              <w:bottom w:w="232" w:type="dxa"/>
            </w:tcMar>
            <w:tcW w:w="1276" w:type="dxa"/>
            <w:vAlign w:val="center"/>
            <w:textDirection w:val="lrTb"/>
            <w:noWrap w:val="false"/>
          </w:tcPr>
          <w:p>
            <w:pPr>
              <w:pStyle w:val="961"/>
              <w:rPr>
                <w:rFonts w:ascii="宋体" w:hAnsi="宋体"/>
                <w:color w:val="000000"/>
                <w:sz w:val="24"/>
                <w:szCs w:val="24"/>
                <w:highlight w:val="none"/>
              </w:rPr>
            </w:pPr>
            <w:r>
              <w:rPr>
                <w:rFonts w:hint="eastAsia" w:ascii="宋体" w:hAnsi="宋体" w:cs="微软雅黑"/>
                <w:color w:val="000000"/>
                <w:sz w:val="24"/>
                <w:szCs w:val="24"/>
                <w:highlight w:val="none"/>
                <w:lang w:val="en" w:eastAsia="en"/>
              </w:rPr>
              <w:t xml:space="preserve">单</w:t>
            </w:r>
            <w:r>
              <w:rPr>
                <w:rFonts w:hint="eastAsia" w:ascii="宋体" w:hAnsi="宋体" w:cs="Malgun Gothic"/>
                <w:color w:val="000000"/>
                <w:sz w:val="24"/>
                <w:szCs w:val="24"/>
                <w:highlight w:val="none"/>
                <w:lang w:val="en" w:eastAsia="en"/>
              </w:rPr>
              <w:t xml:space="preserve">位</w:t>
            </w:r>
            <w:r>
              <w:rPr>
                <w:highlight w:val="none"/>
              </w:rPr>
            </w:r>
            <w:r/>
          </w:p>
        </w:tc>
        <w:tc>
          <w:tcPr>
            <w:shd w:val="clear" w:color="auto" w:fill="ffffff"/>
            <w:tcMar>
              <w:left w:w="232" w:type="dxa"/>
              <w:top w:w="232" w:type="dxa"/>
              <w:right w:w="232" w:type="dxa"/>
              <w:bottom w:w="232" w:type="dxa"/>
            </w:tcMar>
            <w:tcW w:w="1254" w:type="dxa"/>
            <w:vAlign w:val="center"/>
            <w:textDirection w:val="lrTb"/>
            <w:noWrap w:val="false"/>
          </w:tcPr>
          <w:p>
            <w:pPr>
              <w:pStyle w:val="961"/>
              <w:rPr>
                <w:rFonts w:ascii="宋体" w:hAnsi="宋体"/>
                <w:color w:val="000000"/>
                <w:sz w:val="24"/>
                <w:szCs w:val="24"/>
                <w:highlight w:val="none"/>
              </w:rPr>
            </w:pPr>
            <w:r>
              <w:rPr>
                <w:rFonts w:hint="eastAsia" w:ascii="宋体" w:hAnsi="宋体" w:cs="微软雅黑"/>
                <w:color w:val="000000"/>
                <w:sz w:val="24"/>
                <w:szCs w:val="24"/>
                <w:highlight w:val="none"/>
                <w:lang w:val="en" w:eastAsia="en"/>
              </w:rPr>
              <w:t xml:space="preserve">数</w:t>
            </w:r>
            <w:r>
              <w:rPr>
                <w:rFonts w:hint="eastAsia" w:ascii="宋体" w:hAnsi="宋体" w:cs="Malgun Gothic"/>
                <w:color w:val="000000"/>
                <w:sz w:val="24"/>
                <w:szCs w:val="24"/>
                <w:highlight w:val="none"/>
                <w:lang w:val="en" w:eastAsia="en"/>
              </w:rPr>
              <w:t xml:space="preserve">量</w:t>
            </w:r>
            <w:r>
              <w:rPr>
                <w:highlight w:val="none"/>
              </w:rPr>
            </w:r>
            <w:r/>
          </w:p>
        </w:tc>
        <w:tc>
          <w:tcPr>
            <w:shd w:val="clear" w:color="auto" w:fill="ffffff"/>
            <w:tcMar>
              <w:left w:w="232" w:type="dxa"/>
              <w:top w:w="232" w:type="dxa"/>
              <w:right w:w="232" w:type="dxa"/>
              <w:bottom w:w="232" w:type="dxa"/>
            </w:tcMar>
            <w:tcW w:w="1086" w:type="dxa"/>
            <w:vAlign w:val="center"/>
            <w:textDirection w:val="lrTb"/>
            <w:noWrap w:val="false"/>
          </w:tcPr>
          <w:p>
            <w:pPr>
              <w:pStyle w:val="961"/>
              <w:rPr>
                <w:rFonts w:ascii="宋体" w:hAnsi="宋体"/>
                <w:color w:val="000000"/>
                <w:sz w:val="24"/>
                <w:szCs w:val="24"/>
                <w:highlight w:val="none"/>
              </w:rPr>
            </w:pPr>
            <w:r>
              <w:rPr>
                <w:rFonts w:hint="eastAsia" w:ascii="宋体" w:hAnsi="宋体" w:cs="微软雅黑"/>
                <w:color w:val="000000"/>
                <w:sz w:val="24"/>
                <w:szCs w:val="24"/>
                <w:highlight w:val="none"/>
                <w:lang w:val="en" w:eastAsia="en"/>
              </w:rPr>
              <w:t xml:space="preserve">备</w:t>
            </w:r>
            <w:r>
              <w:rPr>
                <w:rFonts w:hint="eastAsia" w:ascii="宋体" w:hAnsi="宋体" w:cs="Malgun Gothic"/>
                <w:color w:val="000000"/>
                <w:sz w:val="24"/>
                <w:szCs w:val="24"/>
                <w:highlight w:val="none"/>
                <w:lang w:val="en" w:eastAsia="en"/>
              </w:rPr>
              <w:t xml:space="preserve">注</w:t>
            </w:r>
            <w:r>
              <w:rPr>
                <w:highlight w:val="none"/>
              </w:rPr>
            </w:r>
            <w:r/>
          </w:p>
        </w:tc>
      </w:tr>
      <w:tr>
        <w:trPr>
          <w:trHeight w:val="3403"/>
        </w:trPr>
        <w:tc>
          <w:tcPr>
            <w:shd w:val="clear" w:color="auto" w:fill="ffffff"/>
            <w:tcMar>
              <w:left w:w="232" w:type="dxa"/>
              <w:top w:w="232" w:type="dxa"/>
              <w:right w:w="232" w:type="dxa"/>
              <w:bottom w:w="232" w:type="dxa"/>
            </w:tcMar>
            <w:tcW w:w="1080" w:type="dxa"/>
            <w:vAlign w:val="center"/>
            <w:textDirection w:val="lrTb"/>
            <w:noWrap w:val="false"/>
          </w:tcPr>
          <w:p>
            <w:pPr>
              <w:pStyle w:val="961"/>
              <w:keepLines w:val="0"/>
              <w:keepNext w:val="0"/>
              <w:pageBreakBefore w:val="0"/>
              <w:spacing w:line="280" w:lineRule="exact"/>
              <w:widowControl w:val="off"/>
              <w:rPr>
                <w:rFonts w:ascii="宋体" w:hAnsi="宋体"/>
                <w:color w:val="000000"/>
                <w:sz w:val="24"/>
                <w:szCs w:val="24"/>
                <w:highlight w:val="none"/>
              </w:rPr>
            </w:pPr>
            <w:r>
              <w:rPr>
                <w:rFonts w:ascii="宋体" w:hAnsi="宋体"/>
                <w:color w:val="000000"/>
                <w:sz w:val="24"/>
                <w:szCs w:val="24"/>
                <w:highlight w:val="none"/>
                <w:lang w:val="en" w:eastAsia="en"/>
              </w:rPr>
              <w:t xml:space="preserve">1</w:t>
            </w:r>
            <w:r>
              <w:rPr>
                <w:highlight w:val="none"/>
              </w:rPr>
            </w:r>
            <w:r/>
          </w:p>
        </w:tc>
        <w:tc>
          <w:tcPr>
            <w:shd w:val="clear" w:color="auto" w:fill="ffffff"/>
            <w:tcMar>
              <w:left w:w="232" w:type="dxa"/>
              <w:top w:w="232" w:type="dxa"/>
              <w:right w:w="232" w:type="dxa"/>
              <w:bottom w:w="232" w:type="dxa"/>
            </w:tcMar>
            <w:tcW w:w="1538" w:type="dxa"/>
            <w:vAlign w:val="center"/>
            <w:textDirection w:val="lrTb"/>
            <w:noWrap w:val="false"/>
          </w:tcPr>
          <w:p>
            <w:pPr>
              <w:pStyle w:val="961"/>
              <w:jc w:val="center"/>
              <w:keepLines w:val="0"/>
              <w:keepNext w:val="0"/>
              <w:pageBreakBefore w:val="0"/>
              <w:spacing w:line="280" w:lineRule="exact"/>
              <w:widowControl w:val="off"/>
              <w:rPr>
                <w:rFonts w:ascii="宋体" w:hAnsi="宋体"/>
                <w:color w:val="000000"/>
                <w:sz w:val="24"/>
                <w:szCs w:val="24"/>
                <w:highlight w:val="none"/>
              </w:rPr>
            </w:pPr>
            <w:r>
              <w:rPr>
                <w:rFonts w:hint="eastAsia" w:ascii="宋体" w:hAnsi="宋体" w:cs="微软雅黑"/>
                <w:color w:val="000000"/>
                <w:sz w:val="24"/>
                <w:szCs w:val="24"/>
                <w:highlight w:val="none"/>
                <w:lang w:val="en"/>
              </w:rPr>
              <w:t xml:space="preserve">电</w:t>
            </w:r>
            <w:r>
              <w:rPr>
                <w:rFonts w:hint="eastAsia" w:ascii="宋体" w:hAnsi="宋体" w:cs="Malgun Gothic"/>
                <w:color w:val="000000"/>
                <w:sz w:val="24"/>
                <w:szCs w:val="24"/>
                <w:highlight w:val="none"/>
                <w:lang w:val="en"/>
              </w:rPr>
              <w:t xml:space="preserve">梯</w:t>
            </w:r>
            <w:r>
              <w:rPr>
                <w:highlight w:val="none"/>
              </w:rPr>
            </w:r>
            <w:r/>
          </w:p>
        </w:tc>
        <w:tc>
          <w:tcPr>
            <w:shd w:val="clear" w:color="auto" w:fill="ffffff"/>
            <w:tcMar>
              <w:left w:w="232" w:type="dxa"/>
              <w:top w:w="232" w:type="dxa"/>
              <w:right w:w="232" w:type="dxa"/>
              <w:bottom w:w="232" w:type="dxa"/>
            </w:tcMar>
            <w:tcW w:w="3023" w:type="dxa"/>
            <w:vAlign w:val="center"/>
            <w:textDirection w:val="lrTb"/>
            <w:noWrap w:val="false"/>
          </w:tcPr>
          <w:p>
            <w:pPr>
              <w:pStyle w:val="961"/>
              <w:keepLines w:val="0"/>
              <w:keepNext w:val="0"/>
              <w:pageBreakBefore w:val="0"/>
              <w:spacing w:line="280" w:lineRule="exact"/>
              <w:widowControl w:val="off"/>
              <w:rPr>
                <w:rFonts w:ascii="宋体" w:hAnsi="宋体"/>
                <w:color w:val="000000"/>
                <w:sz w:val="24"/>
                <w:szCs w:val="24"/>
                <w:highlight w:val="none"/>
              </w:rPr>
            </w:pPr>
            <w:r>
              <w:rPr>
                <w:rFonts w:ascii="宋体" w:hAnsi="宋体"/>
                <w:color w:val="000000"/>
                <w:sz w:val="24"/>
                <w:szCs w:val="24"/>
                <w:highlight w:val="none"/>
                <w:lang w:val="en"/>
              </w:rPr>
              <w:t xml:space="preserve">1、</w:t>
            </w:r>
            <w:r>
              <w:rPr>
                <w:rFonts w:hint="eastAsia" w:ascii="宋体" w:hAnsi="宋体" w:cs="微软雅黑"/>
                <w:color w:val="000000"/>
                <w:sz w:val="24"/>
                <w:szCs w:val="24"/>
                <w:highlight w:val="none"/>
                <w:lang w:val="en"/>
              </w:rPr>
              <w:t xml:space="preserve">额</w:t>
            </w:r>
            <w:r>
              <w:rPr>
                <w:rFonts w:hint="eastAsia" w:ascii="宋体" w:hAnsi="宋体" w:cs="Malgun Gothic"/>
                <w:color w:val="000000"/>
                <w:sz w:val="24"/>
                <w:szCs w:val="24"/>
                <w:highlight w:val="none"/>
                <w:lang w:val="en"/>
              </w:rPr>
              <w:t xml:space="preserve">定</w:t>
            </w:r>
            <w:r>
              <w:rPr>
                <w:rFonts w:hint="eastAsia" w:ascii="宋体" w:hAnsi="宋体" w:cs="微软雅黑"/>
                <w:color w:val="000000"/>
                <w:sz w:val="24"/>
                <w:szCs w:val="24"/>
                <w:highlight w:val="none"/>
                <w:lang w:val="en"/>
              </w:rPr>
              <w:t xml:space="preserve">载</w:t>
            </w:r>
            <w:r>
              <w:rPr>
                <w:rFonts w:hint="eastAsia" w:ascii="宋体" w:hAnsi="宋体" w:cs="Malgun Gothic"/>
                <w:color w:val="000000"/>
                <w:sz w:val="24"/>
                <w:szCs w:val="24"/>
                <w:highlight w:val="none"/>
                <w:lang w:val="en"/>
              </w:rPr>
              <w:t xml:space="preserve">重：</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00</w:t>
            </w:r>
            <w:r>
              <w:rPr>
                <w:rFonts w:ascii="宋体" w:hAnsi="宋体"/>
                <w:color w:val="000000"/>
                <w:sz w:val="24"/>
                <w:szCs w:val="24"/>
                <w:highlight w:val="none"/>
                <w:lang w:val="en"/>
              </w:rPr>
              <w:t xml:space="preserve">kg；</w:t>
            </w:r>
            <w:r>
              <w:rPr>
                <w:highlight w:val="none"/>
              </w:rPr>
            </w:r>
            <w:r/>
          </w:p>
          <w:p>
            <w:pPr>
              <w:pStyle w:val="961"/>
              <w:keepLines w:val="0"/>
              <w:keepNext w:val="0"/>
              <w:pageBreakBefore w:val="0"/>
              <w:spacing w:line="280" w:lineRule="exact"/>
              <w:widowControl w:val="off"/>
              <w:rPr>
                <w:rFonts w:ascii="宋体" w:hAnsi="宋体"/>
                <w:color w:val="000000"/>
                <w:sz w:val="24"/>
                <w:szCs w:val="24"/>
                <w:highlight w:val="none"/>
              </w:rPr>
            </w:pPr>
            <w:r>
              <w:rPr>
                <w:rFonts w:ascii="宋体" w:hAnsi="宋体"/>
                <w:color w:val="000000"/>
                <w:sz w:val="24"/>
                <w:szCs w:val="24"/>
                <w:highlight w:val="none"/>
                <w:lang w:val="en"/>
              </w:rPr>
              <w:t xml:space="preserve">2、</w:t>
            </w:r>
            <w:r>
              <w:rPr>
                <w:rFonts w:hint="eastAsia" w:ascii="宋体" w:hAnsi="宋体" w:cs="微软雅黑"/>
                <w:color w:val="000000"/>
                <w:sz w:val="24"/>
                <w:szCs w:val="24"/>
                <w:highlight w:val="none"/>
                <w:lang w:val="en"/>
              </w:rPr>
              <w:t xml:space="preserve">额</w:t>
            </w:r>
            <w:r>
              <w:rPr>
                <w:rFonts w:hint="eastAsia" w:ascii="宋体" w:hAnsi="宋体" w:cs="Malgun Gothic"/>
                <w:color w:val="000000"/>
                <w:sz w:val="24"/>
                <w:szCs w:val="24"/>
                <w:highlight w:val="none"/>
                <w:lang w:val="en"/>
              </w:rPr>
              <w:t xml:space="preserve">定速度：</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m/s</w:t>
            </w:r>
            <w:r>
              <w:rPr>
                <w:rFonts w:ascii="宋体" w:hAnsi="宋体"/>
                <w:color w:val="000000"/>
                <w:sz w:val="24"/>
                <w:szCs w:val="24"/>
                <w:highlight w:val="none"/>
                <w:lang w:val="en"/>
              </w:rPr>
              <w:t xml:space="preserve">；</w:t>
            </w:r>
            <w:r>
              <w:rPr>
                <w:highlight w:val="none"/>
              </w:rPr>
            </w:r>
            <w:r/>
          </w:p>
          <w:p>
            <w:pPr>
              <w:pStyle w:val="961"/>
              <w:keepLines w:val="0"/>
              <w:keepNext w:val="0"/>
              <w:pageBreakBefore w:val="0"/>
              <w:spacing w:line="280" w:lineRule="exact"/>
              <w:widowControl w:val="off"/>
              <w:rPr>
                <w:rFonts w:ascii="宋体" w:hAnsi="宋体"/>
                <w:color w:val="000000"/>
                <w:sz w:val="24"/>
                <w:szCs w:val="24"/>
                <w:highlight w:val="none"/>
              </w:rPr>
            </w:pPr>
            <w:r>
              <w:rPr>
                <w:rFonts w:ascii="宋体" w:hAnsi="宋体"/>
                <w:color w:val="000000"/>
                <w:sz w:val="24"/>
                <w:szCs w:val="24"/>
                <w:highlight w:val="none"/>
                <w:lang w:val="en"/>
              </w:rPr>
              <w:t xml:space="preserve">3、停站</w:t>
            </w:r>
            <w:r>
              <w:rPr>
                <w:rFonts w:hint="eastAsia" w:ascii="宋体" w:hAnsi="宋体" w:cs="微软雅黑"/>
                <w:color w:val="000000"/>
                <w:sz w:val="24"/>
                <w:szCs w:val="24"/>
                <w:highlight w:val="none"/>
                <w:lang w:val="en"/>
              </w:rPr>
              <w:t xml:space="preserve">楼层</w:t>
            </w:r>
            <w:r>
              <w:rPr>
                <w:rFonts w:hint="eastAsia" w:ascii="宋体" w:hAnsi="宋体" w:cs="Malgun Gothic"/>
                <w:color w:val="000000"/>
                <w:sz w:val="24"/>
                <w:szCs w:val="24"/>
                <w:highlight w:val="none"/>
                <w:lang w:val="en"/>
              </w:rPr>
              <w:t xml:space="preserve">：</w:t>
            </w:r>
            <w:r>
              <w:rPr>
                <w:rFonts w:ascii="宋体" w:hAnsi="宋体"/>
                <w:color w:val="000000"/>
                <w:sz w:val="24"/>
                <w:szCs w:val="24"/>
                <w:highlight w:val="none"/>
              </w:rPr>
              <w:t xml:space="preserve">1</w:t>
            </w:r>
            <w:r>
              <w:rPr>
                <w:rFonts w:ascii="宋体" w:hAnsi="宋体"/>
                <w:color w:val="000000"/>
                <w:sz w:val="24"/>
                <w:szCs w:val="24"/>
                <w:highlight w:val="none"/>
                <w:lang w:val="en"/>
              </w:rPr>
              <w:t xml:space="preserve">~</w:t>
            </w: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lang w:val="en"/>
              </w:rPr>
              <w:t xml:space="preserve">F；</w:t>
            </w:r>
            <w:r>
              <w:rPr>
                <w:highlight w:val="none"/>
              </w:rPr>
            </w:r>
            <w:r/>
          </w:p>
          <w:p>
            <w:pPr>
              <w:pStyle w:val="961"/>
              <w:keepLines w:val="0"/>
              <w:keepNext w:val="0"/>
              <w:pageBreakBefore w:val="0"/>
              <w:spacing w:line="28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lang w:val="en"/>
              </w:rPr>
              <w:t xml:space="preserve">、有机房；</w:t>
            </w:r>
            <w:r>
              <w:rPr>
                <w:highlight w:val="none"/>
              </w:rPr>
            </w:r>
            <w:r/>
          </w:p>
          <w:p>
            <w:pPr>
              <w:pStyle w:val="961"/>
              <w:keepLines w:val="0"/>
              <w:keepNext w:val="0"/>
              <w:pageBreakBefore w:val="0"/>
              <w:spacing w:line="28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lang w:val="en"/>
              </w:rPr>
              <w:t xml:space="preserve">井道尺寸：</w:t>
            </w:r>
            <w:r>
              <w:rPr>
                <w:rFonts w:ascii="宋体" w:hAnsi="宋体"/>
                <w:color w:val="000000"/>
                <w:sz w:val="24"/>
                <w:szCs w:val="24"/>
                <w:highlight w:val="none"/>
                <w:lang w:val="en"/>
              </w:rPr>
              <w:t xml:space="preserve">2</w:t>
            </w:r>
            <w:r>
              <w:rPr>
                <w:rFonts w:hint="eastAsia" w:ascii="宋体" w:hAnsi="宋体"/>
                <w:color w:val="000000"/>
                <w:sz w:val="24"/>
                <w:szCs w:val="24"/>
                <w:highlight w:val="none"/>
                <w:lang w:val="en-US" w:eastAsia="zh-CN"/>
              </w:rPr>
              <w:t xml:space="preserve">39</w:t>
            </w:r>
            <w:r>
              <w:rPr>
                <w:rFonts w:hint="eastAsia" w:ascii="宋体" w:hAnsi="宋体"/>
                <w:color w:val="000000"/>
                <w:sz w:val="24"/>
                <w:szCs w:val="24"/>
                <w:highlight w:val="none"/>
              </w:rPr>
              <w:t xml:space="preserve">0</w:t>
            </w:r>
            <w:r>
              <w:rPr>
                <w:rFonts w:hint="eastAsia" w:ascii="宋体" w:hAnsi="宋体"/>
                <w:color w:val="000000"/>
                <w:sz w:val="24"/>
                <w:szCs w:val="24"/>
                <w:highlight w:val="none"/>
                <w:lang w:val="en-US" w:eastAsia="zh-CN"/>
              </w:rPr>
              <w:t xml:space="preserve">*33</w:t>
            </w:r>
            <w:r>
              <w:rPr>
                <w:rFonts w:hint="eastAsia" w:ascii="宋体" w:hAnsi="宋体"/>
                <w:color w:val="000000"/>
                <w:sz w:val="24"/>
                <w:szCs w:val="24"/>
                <w:highlight w:val="none"/>
                <w:lang w:val="en-US" w:eastAsia="zh-CN"/>
              </w:rPr>
              <w:t xml:space="preserve">9</w:t>
            </w:r>
            <w:r>
              <w:rPr>
                <w:rFonts w:ascii="宋体" w:hAnsi="宋体"/>
                <w:color w:val="000000"/>
                <w:sz w:val="24"/>
                <w:szCs w:val="24"/>
                <w:highlight w:val="none"/>
                <w:lang w:val="en"/>
              </w:rPr>
              <w:t xml:space="preserve">0mm；</w:t>
            </w:r>
            <w:r>
              <w:rPr>
                <w:highlight w:val="none"/>
              </w:rPr>
            </w:r>
            <w:r/>
          </w:p>
          <w:p>
            <w:pPr>
              <w:pStyle w:val="961"/>
              <w:keepLines w:val="0"/>
              <w:keepNext w:val="0"/>
              <w:pageBreakBefore w:val="0"/>
              <w:spacing w:line="280" w:lineRule="exact"/>
              <w:widowControl w:val="off"/>
              <w:rPr>
                <w:rFonts w:ascii="宋体" w:hAnsi="宋体"/>
                <w:color w:val="000000"/>
                <w:sz w:val="24"/>
                <w:szCs w:val="24"/>
                <w:highlight w:val="none"/>
              </w:rPr>
            </w:pPr>
            <w:r>
              <w:rPr>
                <w:rFonts w:hint="eastAsia" w:ascii="宋体" w:hAnsi="宋体" w:cs="微软雅黑"/>
                <w:color w:val="000000"/>
                <w:sz w:val="24"/>
                <w:szCs w:val="24"/>
                <w:highlight w:val="none"/>
                <w:lang w:val="en-US" w:eastAsia="zh-CN"/>
              </w:rPr>
              <w:t xml:space="preserve">6、</w:t>
            </w:r>
            <w:r>
              <w:rPr>
                <w:rFonts w:hint="eastAsia" w:ascii="宋体" w:hAnsi="宋体" w:cs="微软雅黑"/>
                <w:color w:val="000000"/>
                <w:sz w:val="24"/>
                <w:szCs w:val="24"/>
                <w:highlight w:val="none"/>
                <w:lang w:val="en"/>
              </w:rPr>
              <w:t xml:space="preserve">轿厢</w:t>
            </w:r>
            <w:r>
              <w:rPr>
                <w:rFonts w:hint="eastAsia" w:ascii="宋体" w:hAnsi="宋体" w:cs="Malgun Gothic"/>
                <w:color w:val="000000"/>
                <w:sz w:val="24"/>
                <w:szCs w:val="24"/>
                <w:highlight w:val="none"/>
                <w:lang w:val="en"/>
              </w:rPr>
              <w:t xml:space="preserve">尺寸：</w:t>
            </w:r>
            <w:r>
              <w:rPr>
                <w:rFonts w:hint="eastAsia" w:ascii="宋体" w:hAnsi="宋体" w:cs="Malgun Gothic"/>
                <w:color w:val="000000"/>
                <w:sz w:val="24"/>
                <w:szCs w:val="24"/>
                <w:highlight w:val="none"/>
                <w:lang w:val="en" w:eastAsia="zh-CN"/>
              </w:rPr>
              <w:t xml:space="preserve">宽</w:t>
            </w:r>
            <w:r>
              <w:rPr>
                <w:rFonts w:hint="eastAsia" w:ascii="宋体" w:hAnsi="宋体" w:cs="Malgun Gothic"/>
                <w:color w:val="000000"/>
                <w:sz w:val="24"/>
                <w:szCs w:val="24"/>
                <w:highlight w:val="none"/>
                <w:lang w:val="en-US" w:eastAsia="zh-CN"/>
              </w:rPr>
              <w:t xml:space="preserve">*深</w:t>
            </w:r>
            <w:r>
              <w:rPr>
                <w:rFonts w:ascii="宋体" w:hAnsi="宋体"/>
                <w:color w:val="000000"/>
                <w:sz w:val="24"/>
                <w:szCs w:val="24"/>
                <w:highlight w:val="none"/>
                <w:lang w:val="en"/>
              </w:rPr>
              <w:t xml:space="preserve">1</w:t>
            </w: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0</w:t>
            </w:r>
            <w:r>
              <w:rPr>
                <w:rFonts w:ascii="宋体" w:hAnsi="宋体"/>
                <w:color w:val="000000"/>
                <w:sz w:val="24"/>
                <w:szCs w:val="24"/>
                <w:highlight w:val="none"/>
                <w:lang w:val="en"/>
              </w:rPr>
              <w:t xml:space="preserve">0</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0</w:t>
            </w:r>
            <w:r>
              <w:rPr>
                <w:rFonts w:ascii="宋体" w:hAnsi="宋体"/>
                <w:color w:val="000000"/>
                <w:sz w:val="24"/>
                <w:szCs w:val="24"/>
                <w:highlight w:val="none"/>
                <w:lang w:val="en"/>
              </w:rPr>
              <w:t xml:space="preserve">0mm；</w:t>
            </w:r>
            <w:r>
              <w:rPr>
                <w:highlight w:val="none"/>
              </w:rPr>
            </w:r>
            <w:r/>
          </w:p>
          <w:p>
            <w:pPr>
              <w:pStyle w:val="961"/>
              <w:keepLines w:val="0"/>
              <w:keepNext w:val="0"/>
              <w:pageBreakBefore w:val="0"/>
              <w:spacing w:line="280" w:lineRule="exact"/>
              <w:widowControl w:val="off"/>
              <w:rPr>
                <w:rFonts w:ascii="宋体" w:hAnsi="宋体" w:eastAsia="宋体"/>
                <w:color w:val="000000"/>
                <w:sz w:val="24"/>
                <w:szCs w:val="24"/>
                <w:highlight w:val="none"/>
              </w:rPr>
            </w:pPr>
            <w:r>
              <w:rPr>
                <w:rFonts w:hint="eastAsia"/>
                <w:sz w:val="24"/>
                <w:szCs w:val="24"/>
                <w:highlight w:val="none"/>
                <w:lang w:eastAsia="zh-CN"/>
              </w:rPr>
              <w:t xml:space="preserve">开门净宽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1000mm</w:t>
            </w:r>
            <w:r>
              <w:rPr>
                <w:highlight w:val="none"/>
              </w:rPr>
            </w:r>
            <w:r/>
          </w:p>
          <w:p>
            <w:pPr>
              <w:pStyle w:val="961"/>
              <w:keepLines w:val="0"/>
              <w:keepNext w:val="0"/>
              <w:pageBreakBefore w:val="0"/>
              <w:spacing w:line="28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ascii="宋体" w:hAnsi="宋体"/>
                <w:color w:val="000000"/>
                <w:sz w:val="24"/>
                <w:szCs w:val="24"/>
                <w:highlight w:val="none"/>
                <w:lang w:val="en"/>
              </w:rPr>
              <w:t xml:space="preserve">、</w:t>
            </w:r>
            <w:r>
              <w:rPr>
                <w:rFonts w:hint="eastAsia" w:ascii="宋体" w:hAnsi="宋体" w:cs="微软雅黑"/>
                <w:color w:val="000000"/>
                <w:sz w:val="24"/>
                <w:szCs w:val="24"/>
                <w:highlight w:val="none"/>
                <w:lang w:val="en"/>
              </w:rPr>
              <w:t xml:space="preserve">门</w:t>
            </w:r>
            <w:r>
              <w:rPr>
                <w:rFonts w:hint="eastAsia" w:ascii="宋体" w:hAnsi="宋体" w:cs="Malgun Gothic"/>
                <w:color w:val="000000"/>
                <w:sz w:val="24"/>
                <w:szCs w:val="24"/>
                <w:highlight w:val="none"/>
                <w:lang w:val="en"/>
              </w:rPr>
              <w:t xml:space="preserve">洞尺寸：</w:t>
            </w:r>
            <w:r>
              <w:rPr>
                <w:rFonts w:hint="eastAsia" w:ascii="宋体" w:hAnsi="宋体"/>
                <w:color w:val="000000"/>
                <w:sz w:val="24"/>
                <w:szCs w:val="24"/>
                <w:highlight w:val="none"/>
                <w:lang w:val="en-US" w:eastAsia="zh-CN"/>
              </w:rPr>
              <w:t xml:space="preserve">12</w:t>
            </w:r>
            <w:r>
              <w:rPr>
                <w:rFonts w:ascii="宋体" w:hAnsi="宋体"/>
                <w:color w:val="000000"/>
                <w:sz w:val="24"/>
                <w:szCs w:val="24"/>
                <w:highlight w:val="none"/>
                <w:lang w:val="en"/>
              </w:rPr>
              <w:t xml:space="preserve">0</w:t>
            </w:r>
            <w:r>
              <w:rPr>
                <w:rFonts w:ascii="宋体" w:hAnsi="宋体"/>
                <w:color w:val="000000"/>
                <w:sz w:val="24"/>
                <w:szCs w:val="24"/>
                <w:highlight w:val="none"/>
                <w:lang w:val="en"/>
              </w:rPr>
              <w:t xml:space="preserve">0</w:t>
            </w:r>
            <w:r>
              <w:rPr>
                <w:rFonts w:hint="eastAsia" w:ascii="宋体" w:hAnsi="宋体"/>
                <w:color w:val="000000"/>
                <w:sz w:val="24"/>
                <w:szCs w:val="24"/>
                <w:highlight w:val="none"/>
                <w:lang w:val="en-US" w:eastAsia="zh-CN"/>
              </w:rPr>
              <w:t xml:space="preserve">*</w:t>
            </w:r>
            <w:r>
              <w:rPr>
                <w:rFonts w:ascii="宋体" w:hAnsi="宋体"/>
                <w:color w:val="000000"/>
                <w:sz w:val="24"/>
                <w:szCs w:val="24"/>
                <w:highlight w:val="none"/>
                <w:lang w:val="en"/>
              </w:rPr>
              <w:t xml:space="preserve">2</w:t>
            </w:r>
            <w:r>
              <w:rPr>
                <w:rFonts w:hint="eastAsia" w:ascii="宋体" w:hAnsi="宋体"/>
                <w:color w:val="000000"/>
                <w:sz w:val="24"/>
                <w:szCs w:val="24"/>
                <w:highlight w:val="none"/>
              </w:rPr>
              <w:t xml:space="preserve">1</w:t>
            </w:r>
            <w:r>
              <w:rPr>
                <w:rFonts w:ascii="宋体" w:hAnsi="宋体"/>
                <w:color w:val="000000"/>
                <w:sz w:val="24"/>
                <w:szCs w:val="24"/>
                <w:highlight w:val="none"/>
                <w:lang w:val="en"/>
              </w:rPr>
              <w:t xml:space="preserve">00mm；</w:t>
            </w:r>
            <w:r>
              <w:rPr>
                <w:highlight w:val="none"/>
              </w:rPr>
            </w:r>
            <w:r/>
          </w:p>
          <w:p>
            <w:pPr>
              <w:pStyle w:val="961"/>
              <w:keepLines w:val="0"/>
              <w:keepNext w:val="0"/>
              <w:pageBreakBefore w:val="0"/>
              <w:spacing w:line="28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lang w:val="en"/>
              </w:rPr>
              <w:t xml:space="preserve">、底坑深度：</w:t>
            </w:r>
            <w:r>
              <w:rPr>
                <w:rFonts w:hint="eastAsia" w:ascii="宋体" w:hAnsi="宋体"/>
                <w:color w:val="000000"/>
                <w:sz w:val="24"/>
                <w:szCs w:val="24"/>
                <w:highlight w:val="none"/>
                <w:lang w:val="en-US" w:eastAsia="zh-CN"/>
              </w:rPr>
              <w:t xml:space="preserve">1350</w:t>
            </w:r>
            <w:r>
              <w:rPr>
                <w:rFonts w:ascii="宋体" w:hAnsi="宋体"/>
                <w:color w:val="000000"/>
                <w:sz w:val="24"/>
                <w:szCs w:val="24"/>
                <w:highlight w:val="none"/>
                <w:lang w:val="en"/>
              </w:rPr>
              <w:t xml:space="preserve">mm；</w:t>
            </w:r>
            <w:r>
              <w:rPr>
                <w:highlight w:val="none"/>
              </w:rPr>
            </w:r>
            <w:r/>
          </w:p>
          <w:p>
            <w:pPr>
              <w:pStyle w:val="961"/>
              <w:keepLines w:val="0"/>
              <w:keepNext w:val="0"/>
              <w:pageBreakBefore w:val="0"/>
              <w:spacing w:line="28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9</w:t>
            </w:r>
            <w:r>
              <w:rPr>
                <w:rFonts w:ascii="宋体" w:hAnsi="宋体"/>
                <w:color w:val="000000"/>
                <w:sz w:val="24"/>
                <w:szCs w:val="24"/>
                <w:highlight w:val="none"/>
                <w:lang w:val="en"/>
              </w:rPr>
              <w:t xml:space="preserve">、</w:t>
            </w:r>
            <w:r>
              <w:rPr>
                <w:rFonts w:hint="eastAsia" w:ascii="宋体" w:hAnsi="宋体" w:cs="微软雅黑"/>
                <w:color w:val="000000"/>
                <w:sz w:val="24"/>
                <w:szCs w:val="24"/>
                <w:highlight w:val="none"/>
                <w:lang w:val="en"/>
              </w:rPr>
              <w:t xml:space="preserve">顶层</w:t>
            </w:r>
            <w:r>
              <w:rPr>
                <w:rFonts w:hint="eastAsia" w:ascii="宋体" w:hAnsi="宋体" w:cs="Malgun Gothic"/>
                <w:color w:val="000000"/>
                <w:sz w:val="24"/>
                <w:szCs w:val="24"/>
                <w:highlight w:val="none"/>
                <w:lang w:val="en"/>
              </w:rPr>
              <w:t xml:space="preserve">高度：</w:t>
            </w:r>
            <w:r>
              <w:rPr>
                <w:rFonts w:hint="eastAsia" w:ascii="宋体" w:hAnsi="宋体"/>
                <w:color w:val="000000"/>
                <w:sz w:val="24"/>
                <w:szCs w:val="24"/>
                <w:highlight w:val="none"/>
                <w:lang w:val="en-US" w:eastAsia="zh-CN"/>
              </w:rPr>
              <w:t xml:space="preserve">4680</w:t>
            </w:r>
            <w:r>
              <w:rPr>
                <w:rFonts w:ascii="宋体" w:hAnsi="宋体"/>
                <w:color w:val="000000"/>
                <w:sz w:val="24"/>
                <w:szCs w:val="24"/>
                <w:highlight w:val="none"/>
                <w:lang w:val="en"/>
              </w:rPr>
              <w:t xml:space="preserve">mm；</w:t>
            </w:r>
            <w:r>
              <w:rPr>
                <w:highlight w:val="none"/>
              </w:rPr>
            </w:r>
            <w:r/>
          </w:p>
          <w:p>
            <w:pPr>
              <w:pStyle w:val="961"/>
              <w:keepLines w:val="0"/>
              <w:keepNext w:val="0"/>
              <w:pageBreakBefore w:val="0"/>
              <w:spacing w:line="280" w:lineRule="exact"/>
              <w:widowControl w:val="off"/>
              <w:rPr>
                <w:rFonts w:hint="eastAsia" w:ascii="宋体" w:hAnsi="宋体" w:eastAsia="宋体"/>
                <w:color w:val="000000"/>
                <w:sz w:val="24"/>
                <w:szCs w:val="24"/>
                <w:highlight w:val="none"/>
              </w:rPr>
            </w:pPr>
            <w:r>
              <w:rPr>
                <w:rFonts w:ascii="宋体" w:hAnsi="宋体"/>
                <w:color w:val="000000"/>
                <w:sz w:val="24"/>
                <w:szCs w:val="24"/>
                <w:highlight w:val="none"/>
                <w:lang w:val="en"/>
              </w:rPr>
              <w:t xml:space="preserve">1</w:t>
            </w:r>
            <w:r>
              <w:rPr>
                <w:rFonts w:hint="eastAsia" w:ascii="宋体" w:hAnsi="宋体"/>
                <w:color w:val="000000"/>
                <w:sz w:val="24"/>
                <w:szCs w:val="24"/>
                <w:highlight w:val="none"/>
                <w:lang w:val="en-US" w:eastAsia="zh-CN"/>
              </w:rPr>
              <w:t xml:space="preserve">0</w:t>
            </w:r>
            <w:r>
              <w:rPr>
                <w:rFonts w:ascii="宋体" w:hAnsi="宋体"/>
                <w:color w:val="000000"/>
                <w:sz w:val="24"/>
                <w:szCs w:val="24"/>
                <w:highlight w:val="none"/>
                <w:lang w:val="en"/>
              </w:rPr>
              <w:t xml:space="preserve">、机房</w:t>
            </w:r>
            <w:r>
              <w:rPr>
                <w:rFonts w:hint="eastAsia" w:ascii="宋体" w:hAnsi="宋体" w:cs="微软雅黑"/>
                <w:color w:val="000000"/>
                <w:sz w:val="24"/>
                <w:szCs w:val="24"/>
                <w:highlight w:val="none"/>
                <w:lang w:val="en" w:eastAsia="zh-CN"/>
              </w:rPr>
              <w:t xml:space="preserve">尺寸</w:t>
            </w:r>
            <w:r>
              <w:rPr>
                <w:rFonts w:hint="eastAsia" w:ascii="宋体" w:hAnsi="宋体" w:cs="Malgun Gothic"/>
                <w:color w:val="000000"/>
                <w:sz w:val="24"/>
                <w:szCs w:val="24"/>
                <w:highlight w:val="none"/>
                <w:lang w:val="en"/>
              </w:rPr>
              <w:t xml:space="preserve">：</w:t>
            </w:r>
            <w:r>
              <w:rPr>
                <w:rFonts w:hint="eastAsia" w:ascii="宋体" w:hAnsi="宋体"/>
                <w:color w:val="000000"/>
                <w:sz w:val="24"/>
                <w:szCs w:val="24"/>
                <w:highlight w:val="none"/>
                <w:lang w:val="en-US" w:eastAsia="zh-CN"/>
              </w:rPr>
              <w:t xml:space="preserve">2360*3330*2060</w:t>
            </w:r>
            <w:r>
              <w:rPr>
                <w:rFonts w:ascii="宋体" w:hAnsi="宋体"/>
                <w:color w:val="000000"/>
                <w:sz w:val="24"/>
                <w:szCs w:val="24"/>
                <w:highlight w:val="none"/>
                <w:lang w:val="en"/>
              </w:rPr>
              <w:t xml:space="preserve">mm</w:t>
            </w:r>
            <w:r>
              <w:rPr>
                <w:rFonts w:hint="eastAsia" w:ascii="宋体" w:hAnsi="宋体"/>
                <w:color w:val="000000"/>
                <w:sz w:val="24"/>
                <w:szCs w:val="24"/>
                <w:highlight w:val="none"/>
                <w:lang w:val="en" w:eastAsia="zh-CN"/>
              </w:rPr>
              <w:t xml:space="preserve">；</w:t>
            </w:r>
            <w:r>
              <w:rPr>
                <w:highlight w:val="none"/>
              </w:rPr>
            </w:r>
            <w:r/>
          </w:p>
          <w:p>
            <w:pPr>
              <w:pStyle w:val="961"/>
              <w:keepLines w:val="0"/>
              <w:keepNext w:val="0"/>
              <w:pageBreakBefore w:val="0"/>
              <w:spacing w:line="28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11</w:t>
            </w:r>
            <w:r>
              <w:rPr>
                <w:rFonts w:ascii="宋体" w:hAnsi="宋体"/>
                <w:color w:val="000000"/>
                <w:sz w:val="24"/>
                <w:szCs w:val="24"/>
                <w:highlight w:val="none"/>
              </w:rPr>
              <w:t xml:space="preserve">、</w:t>
            </w:r>
            <w:r>
              <w:rPr>
                <w:rFonts w:hint="eastAsia" w:ascii="宋体" w:hAnsi="宋体" w:cs="Malgun Gothic"/>
                <w:color w:val="000000"/>
                <w:sz w:val="24"/>
                <w:szCs w:val="24"/>
                <w:highlight w:val="none"/>
              </w:rPr>
              <w:t xml:space="preserve">提供</w:t>
            </w:r>
            <w:r>
              <w:rPr>
                <w:rFonts w:hint="eastAsia" w:ascii="宋体" w:hAnsi="宋体" w:cs="Malgun Gothic"/>
                <w:color w:val="000000"/>
                <w:sz w:val="24"/>
                <w:szCs w:val="24"/>
                <w:highlight w:val="none"/>
                <w:lang w:eastAsia="zh-CN"/>
              </w:rPr>
              <w:t xml:space="preserve">排风扇</w:t>
            </w:r>
            <w:r>
              <w:rPr>
                <w:rFonts w:hint="eastAsia" w:ascii="宋体" w:hAnsi="宋体" w:cs="Malgun Gothic"/>
                <w:color w:val="000000"/>
                <w:sz w:val="24"/>
                <w:szCs w:val="24"/>
                <w:highlight w:val="none"/>
              </w:rPr>
              <w:t xml:space="preserve">。</w:t>
            </w:r>
            <w:r>
              <w:rPr>
                <w:highlight w:val="none"/>
              </w:rPr>
            </w:r>
            <w:r/>
          </w:p>
        </w:tc>
        <w:tc>
          <w:tcPr>
            <w:shd w:val="clear" w:color="auto" w:fill="ffffff"/>
            <w:tcMar>
              <w:left w:w="232" w:type="dxa"/>
              <w:top w:w="232" w:type="dxa"/>
              <w:right w:w="232" w:type="dxa"/>
              <w:bottom w:w="232" w:type="dxa"/>
            </w:tcMar>
            <w:tcW w:w="1276" w:type="dxa"/>
            <w:vAlign w:val="center"/>
            <w:textDirection w:val="lrTb"/>
            <w:noWrap w:val="false"/>
          </w:tcPr>
          <w:p>
            <w:pPr>
              <w:pStyle w:val="961"/>
              <w:keepLines w:val="0"/>
              <w:keepNext w:val="0"/>
              <w:pageBreakBefore w:val="0"/>
              <w:spacing w:line="280" w:lineRule="exact"/>
              <w:widowControl w:val="off"/>
              <w:rPr>
                <w:rFonts w:ascii="宋体" w:hAnsi="宋体"/>
                <w:color w:val="000000"/>
                <w:sz w:val="24"/>
                <w:szCs w:val="24"/>
                <w:highlight w:val="none"/>
              </w:rPr>
            </w:pPr>
            <w:r>
              <w:rPr>
                <w:rFonts w:ascii="宋体" w:hAnsi="宋体"/>
                <w:color w:val="000000"/>
                <w:sz w:val="24"/>
                <w:szCs w:val="24"/>
                <w:highlight w:val="none"/>
                <w:lang w:val="en" w:eastAsia="en"/>
              </w:rPr>
              <w:t xml:space="preserve">台</w:t>
            </w:r>
            <w:r>
              <w:rPr>
                <w:highlight w:val="none"/>
              </w:rPr>
            </w:r>
            <w:r/>
          </w:p>
        </w:tc>
        <w:tc>
          <w:tcPr>
            <w:shd w:val="clear" w:color="auto" w:fill="ffffff"/>
            <w:tcMar>
              <w:left w:w="232" w:type="dxa"/>
              <w:top w:w="232" w:type="dxa"/>
              <w:right w:w="232" w:type="dxa"/>
              <w:bottom w:w="232" w:type="dxa"/>
            </w:tcMar>
            <w:tcW w:w="1254" w:type="dxa"/>
            <w:vAlign w:val="center"/>
            <w:textDirection w:val="lrTb"/>
            <w:noWrap w:val="false"/>
          </w:tcPr>
          <w:p>
            <w:pPr>
              <w:pStyle w:val="961"/>
              <w:keepLines w:val="0"/>
              <w:keepNext w:val="0"/>
              <w:pageBreakBefore w:val="0"/>
              <w:spacing w:line="2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shd w:val="clear" w:color="auto" w:fill="ffffff"/>
            <w:tcMar>
              <w:left w:w="232" w:type="dxa"/>
              <w:top w:w="232" w:type="dxa"/>
              <w:right w:w="232" w:type="dxa"/>
              <w:bottom w:w="232" w:type="dxa"/>
            </w:tcMar>
            <w:tcW w:w="1086" w:type="dxa"/>
            <w:vAlign w:val="center"/>
            <w:textDirection w:val="lrTb"/>
            <w:noWrap w:val="false"/>
          </w:tcPr>
          <w:p>
            <w:pPr>
              <w:pStyle w:val="961"/>
              <w:keepLines w:val="0"/>
              <w:keepNext w:val="0"/>
              <w:pageBreakBefore w:val="0"/>
              <w:spacing w:line="28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
              </w:rPr>
              <w:t xml:space="preserve">具体建筑尺寸参数以现场实际测量为准；</w:t>
            </w:r>
            <w:r>
              <w:rPr>
                <w:highlight w:val="none"/>
              </w:rPr>
            </w:r>
            <w:r/>
          </w:p>
          <w:p>
            <w:pPr>
              <w:pStyle w:val="961"/>
              <w:keepLines w:val="0"/>
              <w:keepNext w:val="0"/>
              <w:pageBreakBefore w:val="0"/>
              <w:spacing w:line="280" w:lineRule="exact"/>
              <w:widowControl w:val="off"/>
              <w:rPr>
                <w:rFonts w:ascii="宋体" w:hAnsi="宋体"/>
                <w:color w:val="000000"/>
                <w:sz w:val="24"/>
                <w:szCs w:val="24"/>
                <w:highlight w:val="none"/>
              </w:rPr>
            </w:pPr>
            <w:r>
              <w:rPr>
                <w:rFonts w:ascii="宋体" w:hAnsi="宋体"/>
                <w:color w:val="000000"/>
                <w:sz w:val="24"/>
                <w:szCs w:val="24"/>
                <w:highlight w:val="none"/>
                <w:lang w:val="en"/>
              </w:rPr>
            </w:r>
            <w:r>
              <w:rPr>
                <w:highlight w:val="none"/>
              </w:rPr>
            </w:r>
            <w:r/>
          </w:p>
        </w:tc>
      </w:tr>
    </w:tbl>
    <w:p>
      <w:pPr>
        <w:pStyle w:val="961"/>
        <w:ind w:firstLine="560"/>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highlight w:val="none"/>
        </w:rPr>
      </w:pPr>
      <w:r>
        <w:rPr>
          <w:highlight w:val="none"/>
        </w:rPr>
      </w:r>
      <w:bookmarkEnd w:id="183"/>
      <w:r>
        <w:rPr>
          <w:rFonts w:hint="eastAsia" w:ascii="方正仿宋_GBK" w:hAnsi="方正仿宋_GBK" w:eastAsia="方正仿宋_GBK" w:cs="方正仿宋_GBK"/>
          <w:b/>
          <w:bCs w:val="0"/>
          <w:color w:val="000000"/>
          <w:sz w:val="28"/>
          <w:szCs w:val="28"/>
          <w:highlight w:val="none"/>
          <w:lang w:val="en-US" w:eastAsia="zh-CN"/>
        </w:rPr>
        <w:t xml:space="preserve">（二）产品技术性能指标</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1. 技术参数及要求</w:t>
      </w:r>
      <w:r>
        <w:rPr>
          <w:highlight w:val="none"/>
        </w:rPr>
      </w:r>
      <w:r/>
    </w:p>
    <w:tbl>
      <w:tblPr>
        <w:tblW w:w="915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318"/>
        <w:gridCol w:w="1348"/>
        <w:gridCol w:w="1029"/>
        <w:gridCol w:w="1405"/>
        <w:gridCol w:w="3418"/>
      </w:tblGrid>
      <w:tr>
        <w:trPr>
          <w:trHeight w:val="151"/>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1.</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载重量</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载重量</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00kg</w:t>
            </w:r>
            <w:r>
              <w:rPr>
                <w:rFonts w:hint="eastAsia" w:ascii="宋体" w:hAnsi="宋体" w:cs="宋体"/>
                <w:color w:val="000000"/>
                <w:sz w:val="24"/>
                <w:szCs w:val="24"/>
                <w:highlight w:val="none"/>
                <w:lang w:eastAsia="zh-CN"/>
              </w:rPr>
              <w:t xml:space="preserve">（病床电梯）</w:t>
            </w:r>
            <w:r>
              <w:rPr>
                <w:highlight w:val="none"/>
              </w:rPr>
            </w:r>
            <w:r/>
          </w:p>
        </w:tc>
      </w:tr>
      <w:tr>
        <w:trPr>
          <w:trHeight w:val="270"/>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2.</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速度</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速度</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m/s</w:t>
            </w:r>
            <w:r>
              <w:rPr>
                <w:highlight w:val="none"/>
              </w:rPr>
            </w:r>
            <w:r/>
          </w:p>
        </w:tc>
      </w:tr>
      <w:tr>
        <w:trPr>
          <w:trHeight w:val="270"/>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3.</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提升高度</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m</w:t>
            </w:r>
            <w:r>
              <w:rPr>
                <w:highlight w:val="none"/>
              </w:rPr>
            </w:r>
            <w:r/>
          </w:p>
        </w:tc>
        <w:tc>
          <w:tcPr>
            <w:tcW w:w="3418" w:type="dxa"/>
            <w:vAlign w:val="center"/>
            <w:textDirection w:val="lrTb"/>
            <w:noWrap w:val="false"/>
          </w:tcPr>
          <w:p>
            <w:pPr>
              <w:pStyle w:val="961"/>
              <w:jc w:val="left"/>
              <w:spacing w:line="240" w:lineRule="atLeast"/>
              <w:widowControl/>
              <w:rPr>
                <w:rFonts w:hint="eastAsia" w:ascii="宋体" w:hAnsi="宋体"/>
                <w:color w:val="000000"/>
                <w:sz w:val="24"/>
                <w:szCs w:val="24"/>
                <w:highlight w:val="none"/>
              </w:rPr>
            </w:pPr>
            <w:r>
              <w:rPr>
                <w:rFonts w:hint="eastAsia" w:ascii="宋体" w:hAnsi="宋体" w:eastAsia="宋体" w:cs="宋体"/>
                <w:color w:val="000000"/>
                <w:sz w:val="24"/>
                <w:szCs w:val="24"/>
                <w:highlight w:val="none"/>
                <w:lang w:val="en-US" w:eastAsia="zh-CN"/>
              </w:rPr>
              <w:t xml:space="preserve">12（具体</w:t>
            </w:r>
            <w:r>
              <w:rPr>
                <w:rFonts w:hint="eastAsia" w:ascii="宋体" w:hAnsi="宋体" w:eastAsia="宋体" w:cs="宋体"/>
                <w:color w:val="000000"/>
                <w:sz w:val="24"/>
                <w:szCs w:val="24"/>
                <w:highlight w:val="none"/>
              </w:rPr>
              <w:t xml:space="preserve">以现场情况为准</w:t>
            </w:r>
            <w:r>
              <w:rPr>
                <w:rFonts w:hint="eastAsia" w:ascii="宋体" w:hAnsi="宋体" w:eastAsia="宋体" w:cs="宋体"/>
                <w:color w:val="000000"/>
                <w:sz w:val="24"/>
                <w:szCs w:val="24"/>
                <w:highlight w:val="none"/>
                <w:lang w:val="en-US" w:eastAsia="zh-CN"/>
              </w:rPr>
              <w:t xml:space="preserve">）</w:t>
            </w:r>
            <w:r>
              <w:rPr>
                <w:highlight w:val="none"/>
              </w:rPr>
            </w:r>
            <w:r/>
          </w:p>
        </w:tc>
      </w:tr>
      <w:tr>
        <w:trPr>
          <w:trHeight w:val="270"/>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4.</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层、站数</w:t>
            </w:r>
            <w:r>
              <w:rPr>
                <w:highlight w:val="none"/>
              </w:rPr>
            </w:r>
            <w:r/>
          </w:p>
        </w:tc>
        <w:tc>
          <w:tcPr>
            <w:gridSpan w:val="3"/>
            <w:tcW w:w="3782" w:type="dxa"/>
            <w:vAlign w:val="center"/>
            <w:textDirection w:val="lrTb"/>
            <w:noWrap w:val="false"/>
          </w:tcPr>
          <w:p>
            <w:pPr>
              <w:pStyle w:val="961"/>
              <w:spacing w:line="240" w:lineRule="atLeast"/>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站</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5.</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配置要求</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传动方式</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永磁同步无齿轮</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6.</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配置要求</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拖动方式</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VVVF变频变压</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7.</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配置要求</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控制方式</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全集选控制，全电脑主板32位数字化、模块化控制系统</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8.</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配置要求</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门机系统</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变频变压调速（VVVF）,要求调速平滑，运行可靠</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9.</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配置要求</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开门方式</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eastAsia="zh-CN"/>
              </w:rPr>
              <w:t xml:space="preserve">旁开门</w:t>
            </w:r>
            <w:r>
              <w:rPr>
                <w:highlight w:val="none"/>
              </w:rPr>
            </w:r>
            <w:r/>
          </w:p>
        </w:tc>
      </w:tr>
      <w:tr>
        <w:trPr>
          <w:cantSplit/>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10.</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配置要求</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门保护装置</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光幕保护</w:t>
            </w:r>
            <w:r>
              <w:rPr>
                <w:highlight w:val="none"/>
              </w:rPr>
            </w:r>
            <w:r/>
          </w:p>
        </w:tc>
      </w:tr>
      <w:tr>
        <w:trPr>
          <w:cantSplit/>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11.</w:t>
            </w:r>
            <w:r>
              <w:rPr>
                <w:highlight w:val="none"/>
              </w:rPr>
            </w:r>
            <w:r/>
          </w:p>
        </w:tc>
        <w:tc>
          <w:tcPr>
            <w:tcW w:w="1318" w:type="dxa"/>
            <w:vAlign w:val="center"/>
            <w:textDirection w:val="lrTb"/>
            <w:noWrap w:val="false"/>
          </w:tcPr>
          <w:p>
            <w:pPr>
              <w:pStyle w:val="961"/>
              <w:jc w:val="left"/>
              <w:spacing w:line="240" w:lineRule="atLeast"/>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配置要求</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导向装置</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ascii="宋体" w:hAnsi="宋体"/>
                <w:color w:val="000000"/>
                <w:sz w:val="24"/>
                <w:szCs w:val="24"/>
                <w:highlight w:val="none"/>
              </w:rPr>
              <w:t xml:space="preserve">主、副</w:t>
            </w:r>
            <w:r>
              <w:rPr>
                <w:rFonts w:hint="eastAsia" w:ascii="宋体" w:hAnsi="宋体" w:cs="微软雅黑"/>
                <w:color w:val="000000"/>
                <w:sz w:val="24"/>
                <w:szCs w:val="24"/>
                <w:highlight w:val="none"/>
              </w:rPr>
              <w:t xml:space="preserve">轨</w:t>
            </w:r>
            <w:r>
              <w:rPr>
                <w:rFonts w:hint="eastAsia" w:ascii="宋体" w:hAnsi="宋体" w:cs="Malgun Gothic"/>
                <w:color w:val="000000"/>
                <w:sz w:val="24"/>
                <w:szCs w:val="24"/>
                <w:highlight w:val="none"/>
              </w:rPr>
              <w:t xml:space="preserve">均</w:t>
            </w:r>
            <w:r>
              <w:rPr>
                <w:rFonts w:hint="eastAsia" w:ascii="宋体" w:hAnsi="宋体" w:cs="微软雅黑"/>
                <w:color w:val="000000"/>
                <w:sz w:val="24"/>
                <w:szCs w:val="24"/>
                <w:highlight w:val="none"/>
              </w:rPr>
              <w:t xml:space="preserve">为</w:t>
            </w:r>
            <w:r>
              <w:rPr>
                <w:rFonts w:ascii="宋体" w:hAnsi="宋体"/>
                <w:color w:val="000000"/>
                <w:sz w:val="24"/>
                <w:szCs w:val="24"/>
                <w:highlight w:val="none"/>
              </w:rPr>
              <w:t xml:space="preserve">T型</w:t>
            </w:r>
            <w:r>
              <w:rPr>
                <w:rFonts w:hint="eastAsia" w:ascii="宋体" w:hAnsi="宋体" w:cs="微软雅黑"/>
                <w:color w:val="000000"/>
                <w:sz w:val="24"/>
                <w:szCs w:val="24"/>
                <w:highlight w:val="none"/>
              </w:rPr>
              <w:t xml:space="preserve">轨</w:t>
            </w:r>
            <w:r>
              <w:rPr>
                <w:rFonts w:hint="eastAsia" w:ascii="宋体" w:hAnsi="宋体" w:cs="Malgun Gothic"/>
                <w:color w:val="000000"/>
                <w:sz w:val="24"/>
                <w:szCs w:val="24"/>
                <w:highlight w:val="none"/>
              </w:rPr>
              <w:t xml:space="preserve">道</w:t>
            </w:r>
            <w:r>
              <w:rPr>
                <w:highlight w:val="none"/>
              </w:rPr>
            </w:r>
            <w:r/>
          </w:p>
        </w:tc>
      </w:tr>
      <w:tr>
        <w:trPr>
          <w:trHeight w:val="369"/>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12.</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配置要求</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电源适应</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动力：交流三相380V±7%，50±1HZ；照明：交流单相，220V±7%，50HZ</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13.</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性能要求</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额定速度允许误差</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eastAsia="zh-CN"/>
              </w:rPr>
              <w:t xml:space="preserve">符合国标</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14.</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性能要求</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平层准确度</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eastAsia="zh-CN"/>
              </w:rPr>
              <w:t xml:space="preserve">符合国标</w:t>
            </w:r>
            <w:r>
              <w:rPr>
                <w:highlight w:val="none"/>
              </w:rPr>
            </w:r>
            <w:r/>
          </w:p>
        </w:tc>
      </w:tr>
      <w:tr>
        <w:trPr>
          <w:trHeight w:val="90"/>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15.</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性能要求</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噪声</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eastAsia="zh-CN"/>
              </w:rPr>
              <w:t xml:space="preserve">符合国标</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16.</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轿厢尺寸要求</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宽*深mm</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
              </w:rPr>
              <w:t xml:space="preserve">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
              </w:rPr>
              <w:t xml:space="preserve">0</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17.</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轿厢高度要求</w:t>
            </w:r>
            <w:r>
              <w:rPr>
                <w:highlight w:val="none"/>
              </w:rPr>
            </w:r>
            <w:r/>
          </w:p>
        </w:tc>
        <w:tc>
          <w:tcPr>
            <w:gridSpan w:val="3"/>
            <w:tcW w:w="3782"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轿厢内净高（吊顶后的轿厢净高度）</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00mm</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18.</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w:t>
            </w:r>
            <w:r>
              <w:rPr>
                <w:highlight w:val="none"/>
              </w:rPr>
            </w:r>
            <w:r/>
          </w:p>
        </w:tc>
        <w:tc>
          <w:tcPr>
            <w:gridSpan w:val="2"/>
            <w:tcW w:w="2434"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轿厢顶</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发纹不锈钢吊顶，顶部标准装饰要求简洁、明快、大方、美观；隐藏式横流通风扇；LED照明。</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19.</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w:t>
            </w:r>
            <w:r>
              <w:rPr>
                <w:highlight w:val="none"/>
              </w:rPr>
            </w:r>
            <w:r/>
          </w:p>
        </w:tc>
        <w:tc>
          <w:tcPr>
            <w:gridSpan w:val="2"/>
            <w:tcW w:w="2434"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轿厢壁</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发纹不锈钢</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20.</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w:t>
            </w:r>
            <w:r>
              <w:rPr>
                <w:highlight w:val="none"/>
              </w:rPr>
            </w:r>
            <w:r/>
          </w:p>
        </w:tc>
        <w:tc>
          <w:tcPr>
            <w:gridSpan w:val="2"/>
            <w:tcW w:w="2434"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轿厢门</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发纹不锈钢</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21.</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w:t>
            </w:r>
            <w:r>
              <w:rPr>
                <w:highlight w:val="none"/>
              </w:rPr>
            </w:r>
            <w:r/>
          </w:p>
        </w:tc>
        <w:tc>
          <w:tcPr>
            <w:gridSpan w:val="2"/>
            <w:tcW w:w="2434"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ff0000"/>
                <w:sz w:val="24"/>
                <w:szCs w:val="24"/>
                <w:highlight w:val="none"/>
              </w:rPr>
              <w:t xml:space="preserve">脚踏板</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ff0000"/>
                <w:sz w:val="24"/>
                <w:szCs w:val="24"/>
                <w:highlight w:val="none"/>
              </w:rPr>
              <w:t xml:space="preserve">硬质铝合金</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22.</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w:t>
            </w:r>
            <w:r>
              <w:rPr>
                <w:highlight w:val="none"/>
              </w:rPr>
            </w:r>
            <w:r/>
          </w:p>
        </w:tc>
        <w:tc>
          <w:tcPr>
            <w:gridSpan w:val="2"/>
            <w:tcW w:w="2434"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轿厢地面</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rPr>
              <w:t xml:space="preserve">PVC</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23.</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w:t>
            </w:r>
            <w:r>
              <w:rPr>
                <w:highlight w:val="none"/>
              </w:rPr>
            </w:r>
            <w:r/>
          </w:p>
        </w:tc>
        <w:tc>
          <w:tcPr>
            <w:tcW w:w="1029"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操作盘</w:t>
            </w:r>
            <w:r>
              <w:rPr>
                <w:highlight w:val="none"/>
              </w:rPr>
            </w:r>
            <w:r/>
          </w:p>
        </w:tc>
        <w:tc>
          <w:tcPr>
            <w:tcW w:w="1405"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面板材质</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发纹不锈钢</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24.</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w:t>
            </w:r>
            <w:r>
              <w:rPr>
                <w:highlight w:val="none"/>
              </w:rPr>
            </w:r>
            <w:r/>
          </w:p>
        </w:tc>
        <w:tc>
          <w:tcPr>
            <w:tcW w:w="1029"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操作盘</w:t>
            </w:r>
            <w:r>
              <w:rPr>
                <w:highlight w:val="none"/>
              </w:rPr>
            </w:r>
            <w:r/>
          </w:p>
        </w:tc>
        <w:tc>
          <w:tcPr>
            <w:tcW w:w="1405"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显示器显示内容</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eastAsia="zh-CN"/>
              </w:rPr>
              <w:t xml:space="preserve">点阵数显</w:t>
            </w:r>
            <w:r>
              <w:rPr>
                <w:rFonts w:hint="eastAsia" w:ascii="宋体" w:hAnsi="宋体" w:eastAsia="宋体" w:cs="宋体"/>
                <w:color w:val="000000"/>
                <w:sz w:val="24"/>
                <w:szCs w:val="24"/>
                <w:highlight w:val="none"/>
              </w:rPr>
              <w:t xml:space="preserve">、方向指示、超载、运行方向</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25.</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w:t>
            </w:r>
            <w:r>
              <w:rPr>
                <w:highlight w:val="none"/>
              </w:rPr>
            </w:r>
            <w:r/>
          </w:p>
        </w:tc>
        <w:tc>
          <w:tcPr>
            <w:tcW w:w="1029"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操作盘</w:t>
            </w:r>
            <w:r>
              <w:rPr>
                <w:highlight w:val="none"/>
              </w:rPr>
            </w:r>
            <w:r/>
          </w:p>
        </w:tc>
        <w:tc>
          <w:tcPr>
            <w:tcW w:w="1405"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操作功能</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隐藏式对讲机（五方通话）</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26.</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w:t>
            </w:r>
            <w:r>
              <w:rPr>
                <w:highlight w:val="none"/>
              </w:rPr>
            </w:r>
            <w:r/>
          </w:p>
        </w:tc>
        <w:tc>
          <w:tcPr>
            <w:tcW w:w="1029"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操作盘</w:t>
            </w:r>
            <w:r>
              <w:rPr>
                <w:highlight w:val="none"/>
              </w:rPr>
            </w:r>
            <w:r/>
          </w:p>
        </w:tc>
        <w:tc>
          <w:tcPr>
            <w:tcW w:w="1405"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标示要求</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标示厂牌，用途、限乘人数、限载重量</w:t>
            </w:r>
            <w:r>
              <w:rPr>
                <w:highlight w:val="none"/>
              </w:rPr>
            </w:r>
            <w:r/>
          </w:p>
        </w:tc>
      </w:tr>
      <w:tr>
        <w:trPr>
          <w:trHeight w:val="690"/>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27.</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w:t>
            </w:r>
            <w:r>
              <w:rPr>
                <w:highlight w:val="none"/>
              </w:rPr>
            </w:r>
            <w:r/>
          </w:p>
        </w:tc>
        <w:tc>
          <w:tcPr>
            <w:tcW w:w="1029"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操作盘</w:t>
            </w:r>
            <w:r>
              <w:rPr>
                <w:highlight w:val="none"/>
              </w:rPr>
            </w:r>
            <w:r/>
          </w:p>
        </w:tc>
        <w:tc>
          <w:tcPr>
            <w:tcW w:w="1405"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按钮要求</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配备紧急呼叫按钮，按钮具有与停靠层同数字微触式不锈钢带数字楼层按钮，防脱落设计</w:t>
            </w:r>
            <w:r>
              <w:rPr>
                <w:highlight w:val="none"/>
              </w:rPr>
            </w:r>
            <w:r/>
          </w:p>
        </w:tc>
      </w:tr>
      <w:tr>
        <w:trPr>
          <w:trHeight w:val="261"/>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28.</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w:t>
            </w:r>
            <w:r>
              <w:rPr>
                <w:highlight w:val="none"/>
              </w:rPr>
            </w:r>
            <w:r/>
          </w:p>
        </w:tc>
        <w:tc>
          <w:tcPr>
            <w:tcW w:w="1029"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扶手</w:t>
            </w:r>
            <w:r>
              <w:rPr>
                <w:highlight w:val="none"/>
              </w:rPr>
            </w:r>
            <w:r/>
          </w:p>
        </w:tc>
        <w:tc>
          <w:tcPr>
            <w:tcW w:w="1405"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扶手要求</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eastAsia="zh-CN"/>
              </w:rPr>
              <w:t xml:space="preserve">三面</w:t>
            </w:r>
            <w:r>
              <w:rPr>
                <w:rFonts w:hint="eastAsia" w:ascii="宋体" w:hAnsi="宋体" w:eastAsia="宋体" w:cs="宋体"/>
                <w:color w:val="000000"/>
                <w:sz w:val="24"/>
                <w:szCs w:val="24"/>
                <w:highlight w:val="none"/>
              </w:rPr>
              <w:t xml:space="preserve">扶手，发纹不锈钢圆形扶手</w:t>
            </w:r>
            <w:r>
              <w:rPr>
                <w:highlight w:val="none"/>
              </w:rPr>
            </w:r>
            <w:r/>
          </w:p>
        </w:tc>
      </w:tr>
      <w:tr>
        <w:trPr>
          <w:trHeight w:val="261"/>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29.</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w:t>
            </w:r>
            <w:r>
              <w:rPr>
                <w:highlight w:val="none"/>
              </w:rPr>
            </w:r>
            <w:r/>
          </w:p>
        </w:tc>
        <w:tc>
          <w:tcPr>
            <w:tcW w:w="1029"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监控及五方通话对讲</w:t>
            </w:r>
            <w:r>
              <w:rPr>
                <w:highlight w:val="none"/>
              </w:rPr>
            </w:r>
            <w:r/>
          </w:p>
        </w:tc>
        <w:tc>
          <w:tcPr>
            <w:tcW w:w="1405"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轿厢监控要求</w:t>
            </w:r>
            <w:r>
              <w:rPr>
                <w:rFonts w:hint="eastAsia" w:ascii="宋体" w:hAnsi="宋体" w:cs="宋体"/>
                <w:color w:val="000000"/>
                <w:sz w:val="24"/>
                <w:szCs w:val="24"/>
                <w:highlight w:val="none"/>
                <w:lang w:eastAsia="zh-CN"/>
              </w:rPr>
              <w:t xml:space="preserve">预留视频电缆接口</w:t>
            </w:r>
            <w:r>
              <w:rPr>
                <w:rFonts w:hint="eastAsia" w:ascii="宋体" w:hAnsi="宋体" w:eastAsia="宋体" w:cs="宋体"/>
                <w:color w:val="000000"/>
                <w:sz w:val="24"/>
                <w:szCs w:val="24"/>
                <w:highlight w:val="none"/>
              </w:rPr>
              <w:t xml:space="preserve">；完成五方通话并完成安装调试</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30.</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厅门及门套</w:t>
            </w:r>
            <w:r>
              <w:rPr>
                <w:highlight w:val="none"/>
              </w:rPr>
            </w:r>
            <w:r/>
          </w:p>
        </w:tc>
        <w:tc>
          <w:tcPr>
            <w:tcW w:w="1029"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厅门</w:t>
            </w:r>
            <w:r>
              <w:rPr>
                <w:highlight w:val="none"/>
              </w:rPr>
            </w:r>
            <w:r/>
          </w:p>
        </w:tc>
        <w:tc>
          <w:tcPr>
            <w:tcW w:w="1405"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材质</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所有层发纹不锈钢</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31.</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厅门及门套</w:t>
            </w:r>
            <w:r>
              <w:rPr>
                <w:highlight w:val="none"/>
              </w:rPr>
            </w:r>
            <w:r/>
          </w:p>
        </w:tc>
        <w:tc>
          <w:tcPr>
            <w:tcW w:w="1029"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厅门</w:t>
            </w:r>
            <w:r>
              <w:rPr>
                <w:highlight w:val="none"/>
              </w:rPr>
            </w:r>
            <w:r/>
          </w:p>
        </w:tc>
        <w:tc>
          <w:tcPr>
            <w:tcW w:w="1405"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厚度</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mm</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32.</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厅门及门套</w:t>
            </w:r>
            <w:r>
              <w:rPr>
                <w:highlight w:val="none"/>
              </w:rPr>
            </w:r>
            <w:r/>
          </w:p>
        </w:tc>
        <w:tc>
          <w:tcPr>
            <w:tcW w:w="1029"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门套</w:t>
            </w:r>
            <w:r>
              <w:rPr>
                <w:highlight w:val="none"/>
              </w:rPr>
            </w:r>
            <w:r/>
          </w:p>
        </w:tc>
        <w:tc>
          <w:tcPr>
            <w:tcW w:w="1405"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材质</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发纹不锈钢板小门套</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33.</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厅门及门套</w:t>
            </w:r>
            <w:r>
              <w:rPr>
                <w:highlight w:val="none"/>
              </w:rPr>
            </w:r>
            <w:r/>
          </w:p>
        </w:tc>
        <w:tc>
          <w:tcPr>
            <w:tcW w:w="1029"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楼层  召唤</w:t>
            </w:r>
            <w:r>
              <w:rPr>
                <w:highlight w:val="none"/>
              </w:rPr>
            </w:r>
            <w:r/>
          </w:p>
        </w:tc>
        <w:tc>
          <w:tcPr>
            <w:tcW w:w="1405"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显示内容</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eastAsia="zh-CN"/>
              </w:rPr>
              <w:t xml:space="preserve">点阵数显</w:t>
            </w:r>
            <w:r>
              <w:rPr>
                <w:rFonts w:hint="eastAsia" w:ascii="宋体" w:hAnsi="宋体" w:cs="宋体"/>
                <w:color w:val="000000"/>
                <w:sz w:val="24"/>
                <w:szCs w:val="24"/>
                <w:highlight w:val="none"/>
                <w:lang w:eastAsia="zh-CN"/>
              </w:rPr>
              <w:t xml:space="preserve">，一层外置操作箱，具备显示轿厢当前情况功能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34.</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厅门及门套</w:t>
            </w:r>
            <w:r>
              <w:rPr>
                <w:highlight w:val="none"/>
              </w:rPr>
            </w:r>
            <w:r/>
          </w:p>
        </w:tc>
        <w:tc>
          <w:tcPr>
            <w:tcW w:w="1029"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楼层  召唤</w:t>
            </w:r>
            <w:r>
              <w:rPr>
                <w:highlight w:val="none"/>
              </w:rPr>
            </w:r>
            <w:r/>
          </w:p>
        </w:tc>
        <w:tc>
          <w:tcPr>
            <w:tcW w:w="1405"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面板材质</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eastAsia="zh-CN"/>
              </w:rPr>
              <w:t xml:space="preserve">发纹不锈钢</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35.</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厅门及门套</w:t>
            </w:r>
            <w:r>
              <w:rPr>
                <w:highlight w:val="none"/>
              </w:rPr>
            </w:r>
            <w:r/>
          </w:p>
        </w:tc>
        <w:tc>
          <w:tcPr>
            <w:tcW w:w="1029"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楼层  召唤</w:t>
            </w:r>
            <w:r>
              <w:rPr>
                <w:highlight w:val="none"/>
              </w:rPr>
            </w:r>
            <w:r/>
          </w:p>
        </w:tc>
        <w:tc>
          <w:tcPr>
            <w:tcW w:w="1405"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安装位置</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安装在厅门侧方(具体位置由买方与中标人商定)</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36.</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内外装饰要求</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厅门及门套</w:t>
            </w:r>
            <w:r>
              <w:rPr>
                <w:highlight w:val="none"/>
              </w:rPr>
            </w:r>
            <w:r/>
          </w:p>
        </w:tc>
        <w:tc>
          <w:tcPr>
            <w:gridSpan w:val="2"/>
            <w:tcW w:w="2434"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ff0000"/>
                <w:sz w:val="24"/>
                <w:szCs w:val="24"/>
                <w:highlight w:val="none"/>
              </w:rPr>
              <w:t xml:space="preserve">地坎</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ff0000"/>
                <w:sz w:val="24"/>
                <w:szCs w:val="24"/>
                <w:highlight w:val="none"/>
              </w:rPr>
              <w:t xml:space="preserve">硬质铝合金</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37.</w:t>
            </w:r>
            <w:r>
              <w:rPr>
                <w:highlight w:val="none"/>
              </w:rPr>
            </w:r>
            <w:r/>
          </w:p>
        </w:tc>
        <w:tc>
          <w:tcPr>
            <w:tcW w:w="13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机房</w:t>
            </w:r>
            <w:r>
              <w:rPr>
                <w:highlight w:val="none"/>
              </w:rPr>
            </w:r>
            <w:r/>
          </w:p>
        </w:tc>
        <w:tc>
          <w:tcPr>
            <w:tcW w:w="134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机房</w:t>
            </w:r>
            <w:r>
              <w:rPr>
                <w:highlight w:val="none"/>
              </w:rPr>
            </w:r>
            <w:r/>
          </w:p>
        </w:tc>
        <w:tc>
          <w:tcPr>
            <w:gridSpan w:val="2"/>
            <w:tcW w:w="2434"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电缆</w:t>
            </w:r>
            <w:r>
              <w:rPr>
                <w:highlight w:val="none"/>
              </w:rPr>
            </w:r>
            <w:r/>
          </w:p>
        </w:tc>
        <w:tc>
          <w:tcPr>
            <w:tcW w:w="34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电梯控制柜电缆含在报价中，并配金属线槽压接完成，需要对电梯机房进行墙地面及门出新改造，费用均包含在报价中</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38.</w:t>
            </w:r>
            <w:r>
              <w:rPr>
                <w:highlight w:val="none"/>
              </w:rPr>
            </w:r>
            <w:r/>
          </w:p>
        </w:tc>
        <w:tc>
          <w:tcPr>
            <w:gridSpan w:val="5"/>
            <w:tcW w:w="85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集选控制：全集选控制运行功能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39.</w:t>
            </w:r>
            <w:r>
              <w:rPr>
                <w:highlight w:val="none"/>
              </w:rPr>
            </w:r>
            <w:r/>
          </w:p>
        </w:tc>
        <w:tc>
          <w:tcPr>
            <w:gridSpan w:val="5"/>
            <w:tcW w:w="85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底坑对讲机通讯功能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40.</w:t>
            </w:r>
            <w:r>
              <w:rPr>
                <w:highlight w:val="none"/>
              </w:rPr>
            </w:r>
            <w:r/>
          </w:p>
        </w:tc>
        <w:tc>
          <w:tcPr>
            <w:gridSpan w:val="5"/>
            <w:tcW w:w="85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超载保护功能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41.</w:t>
            </w:r>
            <w:r>
              <w:rPr>
                <w:highlight w:val="none"/>
              </w:rPr>
            </w:r>
            <w:r/>
          </w:p>
        </w:tc>
        <w:tc>
          <w:tcPr>
            <w:gridSpan w:val="5"/>
            <w:tcW w:w="85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停电应急照明功能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42.</w:t>
            </w:r>
            <w:r>
              <w:rPr>
                <w:highlight w:val="none"/>
              </w:rPr>
            </w:r>
            <w:r/>
          </w:p>
        </w:tc>
        <w:tc>
          <w:tcPr>
            <w:gridSpan w:val="5"/>
            <w:tcW w:w="85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停车在非门区报警功能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43.</w:t>
            </w:r>
            <w:r>
              <w:rPr>
                <w:highlight w:val="none"/>
              </w:rPr>
            </w:r>
            <w:r/>
          </w:p>
        </w:tc>
        <w:tc>
          <w:tcPr>
            <w:gridSpan w:val="5"/>
            <w:tcW w:w="85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轿内照明自动控制功能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44.</w:t>
            </w:r>
            <w:r>
              <w:rPr>
                <w:highlight w:val="none"/>
              </w:rPr>
            </w:r>
            <w:r/>
          </w:p>
        </w:tc>
        <w:tc>
          <w:tcPr>
            <w:gridSpan w:val="5"/>
            <w:tcW w:w="85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抱闸动作双安全检测功能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45.</w:t>
            </w:r>
            <w:r>
              <w:rPr>
                <w:highlight w:val="none"/>
              </w:rPr>
            </w:r>
            <w:r/>
          </w:p>
        </w:tc>
        <w:tc>
          <w:tcPr>
            <w:gridSpan w:val="5"/>
            <w:tcW w:w="85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警铃报警功能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46.</w:t>
            </w:r>
            <w:r>
              <w:rPr>
                <w:highlight w:val="none"/>
              </w:rPr>
            </w:r>
            <w:r/>
          </w:p>
        </w:tc>
        <w:tc>
          <w:tcPr>
            <w:gridSpan w:val="5"/>
            <w:tcW w:w="8518" w:type="dxa"/>
            <w:vAlign w:val="top"/>
            <w:textDirection w:val="lrTb"/>
            <w:noWrap w:val="false"/>
          </w:tcPr>
          <w:p>
            <w:pPr>
              <w:pStyle w:val="1075"/>
              <w:ind w:left="43"/>
              <w:spacing w:before="43" w:line="199" w:lineRule="auto"/>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消防迫降功能:1层</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47.</w:t>
            </w:r>
            <w:r>
              <w:rPr>
                <w:highlight w:val="none"/>
              </w:rPr>
            </w:r>
            <w:r/>
          </w:p>
        </w:tc>
        <w:tc>
          <w:tcPr>
            <w:gridSpan w:val="5"/>
            <w:tcW w:w="8518" w:type="dxa"/>
            <w:vAlign w:val="top"/>
            <w:textDirection w:val="lrTb"/>
            <w:noWrap w:val="false"/>
          </w:tcPr>
          <w:p>
            <w:pPr>
              <w:pStyle w:val="1075"/>
              <w:ind w:left="39"/>
              <w:spacing w:before="43" w:line="199" w:lineRule="auto"/>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轿内通风自动控制功能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48.</w:t>
            </w:r>
            <w:r>
              <w:rPr>
                <w:highlight w:val="none"/>
              </w:rPr>
            </w:r>
            <w:r/>
          </w:p>
        </w:tc>
        <w:tc>
          <w:tcPr>
            <w:gridSpan w:val="5"/>
            <w:tcW w:w="8518" w:type="dxa"/>
            <w:vAlign w:val="top"/>
            <w:textDirection w:val="lrTb"/>
            <w:noWrap w:val="false"/>
          </w:tcPr>
          <w:p>
            <w:pPr>
              <w:pStyle w:val="1075"/>
              <w:ind w:left="41"/>
              <w:spacing w:before="42" w:line="200" w:lineRule="auto"/>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无效内指令自动消除功能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49.</w:t>
            </w:r>
            <w:r>
              <w:rPr>
                <w:highlight w:val="none"/>
              </w:rPr>
            </w:r>
            <w:r/>
          </w:p>
        </w:tc>
        <w:tc>
          <w:tcPr>
            <w:gridSpan w:val="5"/>
            <w:tcW w:w="8518" w:type="dxa"/>
            <w:vAlign w:val="top"/>
            <w:textDirection w:val="lrTb"/>
            <w:noWrap w:val="false"/>
          </w:tcPr>
          <w:p>
            <w:pPr>
              <w:pStyle w:val="1075"/>
              <w:ind w:left="54"/>
              <w:spacing w:before="44" w:line="198" w:lineRule="auto"/>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电动机过热保护功能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50.</w:t>
            </w:r>
            <w:r>
              <w:rPr>
                <w:highlight w:val="none"/>
              </w:rPr>
            </w:r>
            <w:r/>
          </w:p>
        </w:tc>
        <w:tc>
          <w:tcPr>
            <w:gridSpan w:val="5"/>
            <w:tcW w:w="85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超载报警功能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51.</w:t>
            </w:r>
            <w:r>
              <w:rPr>
                <w:highlight w:val="none"/>
              </w:rPr>
            </w:r>
            <w:r/>
          </w:p>
        </w:tc>
        <w:tc>
          <w:tcPr>
            <w:gridSpan w:val="5"/>
            <w:tcW w:w="8518" w:type="dxa"/>
            <w:vAlign w:val="top"/>
            <w:textDirection w:val="lrTb"/>
            <w:noWrap w:val="false"/>
          </w:tcPr>
          <w:p>
            <w:pPr>
              <w:pStyle w:val="1075"/>
              <w:ind w:left="36"/>
              <w:spacing w:before="41" w:line="202" w:lineRule="auto"/>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满载直驶运行功能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52.</w:t>
            </w:r>
            <w:r>
              <w:rPr>
                <w:highlight w:val="none"/>
              </w:rPr>
            </w:r>
            <w:r/>
          </w:p>
        </w:tc>
        <w:tc>
          <w:tcPr>
            <w:gridSpan w:val="5"/>
            <w:tcW w:w="8518" w:type="dxa"/>
            <w:vAlign w:val="top"/>
            <w:textDirection w:val="lrTb"/>
            <w:noWrap w:val="false"/>
          </w:tcPr>
          <w:p>
            <w:pPr>
              <w:pStyle w:val="1075"/>
              <w:ind w:left="37"/>
              <w:spacing w:before="40" w:line="203" w:lineRule="auto"/>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反向内指令自动消除功能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53.</w:t>
            </w:r>
            <w:r>
              <w:rPr>
                <w:highlight w:val="none"/>
              </w:rPr>
            </w:r>
            <w:r/>
          </w:p>
        </w:tc>
        <w:tc>
          <w:tcPr>
            <w:gridSpan w:val="5"/>
            <w:tcW w:w="85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开门时间自动调整功能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54.</w:t>
            </w:r>
            <w:r>
              <w:rPr>
                <w:highlight w:val="none"/>
              </w:rPr>
            </w:r>
            <w:r/>
          </w:p>
        </w:tc>
        <w:tc>
          <w:tcPr>
            <w:gridSpan w:val="5"/>
            <w:tcW w:w="8518" w:type="dxa"/>
            <w:vAlign w:val="top"/>
            <w:textDirection w:val="lrTb"/>
            <w:noWrap w:val="false"/>
          </w:tcPr>
          <w:p>
            <w:pPr>
              <w:pStyle w:val="1075"/>
              <w:ind w:left="37"/>
              <w:spacing w:before="42" w:line="200" w:lineRule="auto"/>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无呼自返基站功能:1层</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55.</w:t>
            </w:r>
            <w:r>
              <w:rPr>
                <w:highlight w:val="none"/>
              </w:rPr>
            </w:r>
            <w:r/>
          </w:p>
        </w:tc>
        <w:tc>
          <w:tcPr>
            <w:gridSpan w:val="5"/>
            <w:tcW w:w="8518" w:type="dxa"/>
            <w:vAlign w:val="top"/>
            <w:textDirection w:val="lrTb"/>
            <w:noWrap w:val="false"/>
          </w:tcPr>
          <w:p>
            <w:pPr>
              <w:pStyle w:val="1075"/>
              <w:ind w:left="34"/>
              <w:spacing w:before="44" w:line="198" w:lineRule="auto"/>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对讲机通讯功能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56.</w:t>
            </w:r>
            <w:r>
              <w:rPr>
                <w:highlight w:val="none"/>
              </w:rPr>
            </w:r>
            <w:r/>
          </w:p>
        </w:tc>
        <w:tc>
          <w:tcPr>
            <w:gridSpan w:val="5"/>
            <w:tcW w:w="8518" w:type="dxa"/>
            <w:vAlign w:val="top"/>
            <w:textDirection w:val="lrTb"/>
            <w:noWrap w:val="false"/>
          </w:tcPr>
          <w:p>
            <w:pPr>
              <w:pStyle w:val="1075"/>
              <w:ind w:left="34"/>
              <w:spacing w:before="45" w:line="197" w:lineRule="auto"/>
              <w:rPr>
                <w:rFonts w:ascii="宋体" w:hAnsi="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抗电磁干扰功能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57.</w:t>
            </w:r>
            <w:r>
              <w:rPr>
                <w:highlight w:val="none"/>
              </w:rPr>
            </w:r>
            <w:r/>
          </w:p>
        </w:tc>
        <w:tc>
          <w:tcPr>
            <w:gridSpan w:val="5"/>
            <w:tcW w:w="85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轿内误指令取消功能</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58.</w:t>
            </w:r>
            <w:r>
              <w:rPr>
                <w:highlight w:val="none"/>
              </w:rPr>
            </w:r>
            <w:r/>
          </w:p>
        </w:tc>
        <w:tc>
          <w:tcPr>
            <w:gridSpan w:val="5"/>
            <w:tcW w:w="85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消防员专用功能 1层</w:t>
            </w:r>
            <w:r>
              <w:rPr>
                <w:highlight w:val="none"/>
              </w:rPr>
            </w:r>
            <w:r/>
          </w:p>
        </w:tc>
      </w:tr>
      <w:tr>
        <w:trPr>
          <w:tblHeader/>
        </w:trPr>
        <w:tc>
          <w:tcPr>
            <w:tcW w:w="636" w:type="dxa"/>
            <w:vAlign w:val="center"/>
            <w:textDirection w:val="lrTb"/>
            <w:noWrap w:val="false"/>
          </w:tcPr>
          <w:p>
            <w:pPr>
              <w:pStyle w:val="961"/>
              <w:numPr>
                <w:ilvl w:val="0"/>
                <w:numId w:val="0"/>
              </w:numPr>
              <w:ind w:left="425" w:hanging="425"/>
              <w:jc w:val="left"/>
              <w:spacing w:line="240" w:lineRule="atLeast"/>
              <w:widowControl/>
              <w:rPr>
                <w:rFonts w:ascii="宋体" w:hAnsi="宋体"/>
                <w:color w:val="000000"/>
                <w:sz w:val="24"/>
                <w:szCs w:val="24"/>
                <w:highlight w:val="none"/>
              </w:rPr>
            </w:pPr>
            <w:r>
              <w:rPr>
                <w:rFonts w:ascii="宋体" w:hAnsi="宋体"/>
                <w:color w:val="000000"/>
                <w:sz w:val="24"/>
                <w:szCs w:val="24"/>
                <w:highlight w:val="none"/>
                <w:lang w:val="en-US" w:eastAsia="zh-CN" w:bidi="ar-SA"/>
              </w:rPr>
              <w:t xml:space="preserve">59.</w:t>
            </w:r>
            <w:r>
              <w:rPr>
                <w:highlight w:val="none"/>
              </w:rPr>
            </w:r>
            <w:r/>
          </w:p>
        </w:tc>
        <w:tc>
          <w:tcPr>
            <w:gridSpan w:val="5"/>
            <w:tcW w:w="8518" w:type="dxa"/>
            <w:vAlign w:val="center"/>
            <w:textDirection w:val="lrTb"/>
            <w:noWrap w:val="false"/>
          </w:tcPr>
          <w:p>
            <w:pPr>
              <w:pStyle w:val="961"/>
              <w:jc w:val="left"/>
              <w:spacing w:line="240" w:lineRule="atLeast"/>
              <w:widowControl/>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五方通话功能</w:t>
            </w:r>
            <w:r>
              <w:rPr>
                <w:highlight w:val="none"/>
              </w:rPr>
            </w:r>
            <w:r/>
          </w:p>
        </w:tc>
      </w:tr>
      <w:tr>
        <w:trPr>
          <w:tblHeader/>
        </w:trPr>
        <w:tc>
          <w:tcPr>
            <w:tcW w:w="636" w:type="dxa"/>
            <w:vAlign w:val="center"/>
            <w:textDirection w:val="lrTb"/>
            <w:noWrap w:val="false"/>
          </w:tcPr>
          <w:p>
            <w:pPr>
              <w:pStyle w:val="961"/>
              <w:numPr>
                <w:ilvl w:val="0"/>
                <w:numId w:val="0"/>
              </w:numPr>
              <w:jc w:val="left"/>
              <w:spacing w:line="240" w:lineRule="atLeast"/>
              <w:widowControl/>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60.</w:t>
            </w:r>
            <w:r>
              <w:rPr>
                <w:highlight w:val="none"/>
              </w:rPr>
            </w:r>
            <w:r/>
          </w:p>
        </w:tc>
        <w:tc>
          <w:tcPr>
            <w:gridSpan w:val="5"/>
            <w:tcW w:w="8518" w:type="dxa"/>
            <w:vAlign w:val="center"/>
            <w:textDirection w:val="lrTb"/>
            <w:noWrap w:val="false"/>
          </w:tcPr>
          <w:p>
            <w:pPr>
              <w:pStyle w:val="961"/>
              <w:jc w:val="left"/>
              <w:spacing w:line="240" w:lineRule="atLeast"/>
              <w:widowControl/>
              <w:rPr>
                <w:rFonts w:hint="eastAsia" w:ascii="宋体" w:hAnsi="宋体" w:eastAsia="宋体" w:cs="微软雅黑"/>
                <w:color w:val="000000"/>
                <w:sz w:val="24"/>
                <w:szCs w:val="24"/>
                <w:highlight w:val="none"/>
              </w:rPr>
            </w:pPr>
            <w:r>
              <w:rPr>
                <w:rFonts w:hint="eastAsia" w:ascii="宋体" w:hAnsi="宋体" w:eastAsia="宋体" w:cs="宋体"/>
                <w:color w:val="000000"/>
                <w:sz w:val="24"/>
                <w:szCs w:val="24"/>
                <w:highlight w:val="none"/>
              </w:rPr>
              <w:t xml:space="preserve">数字</w:t>
            </w:r>
            <w:r>
              <w:rPr>
                <w:rFonts w:hint="eastAsia" w:ascii="宋体" w:hAnsi="宋体" w:cs="宋体"/>
                <w:color w:val="000000"/>
                <w:sz w:val="24"/>
                <w:szCs w:val="24"/>
                <w:highlight w:val="none"/>
                <w:lang w:eastAsia="zh-CN"/>
              </w:rPr>
              <w:t xml:space="preserve">接入</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电梯具备可视化功能、远程授权功能；安装电梯内现有安全生产预警装置</w:t>
            </w:r>
            <w:r>
              <w:rPr>
                <w:rFonts w:hint="eastAsia" w:ascii="宋体" w:hAnsi="宋体" w:eastAsia="宋体" w:cs="宋体"/>
                <w:color w:val="000000"/>
                <w:sz w:val="24"/>
                <w:szCs w:val="24"/>
                <w:highlight w:val="none"/>
              </w:rPr>
              <w:t xml:space="preserve">)</w:t>
            </w:r>
            <w:r>
              <w:rPr>
                <w:highlight w:val="none"/>
              </w:rPr>
            </w:r>
            <w:r/>
          </w:p>
        </w:tc>
      </w:tr>
    </w:tbl>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2.</w:t>
      </w:r>
      <w:r>
        <w:rPr>
          <w:rFonts w:hint="eastAsia" w:ascii="方正仿宋_GBK" w:hAnsi="方正仿宋_GBK" w:eastAsia="方正仿宋_GBK" w:cs="方正仿宋_GBK"/>
          <w:color w:val="000000"/>
          <w:sz w:val="28"/>
          <w:szCs w:val="28"/>
          <w:highlight w:val="none"/>
          <w:lang w:bidi="ar"/>
        </w:rPr>
        <w:t xml:space="preserve">核心部件品牌投标产品核心部件：客梯曳引机、控制柜、控制器、调速器、轿门门锁、厅门门锁、安全钳、限速器、轿厢缓冲器、对重缓冲器为投标品牌厂商原厂生产。</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3.</w:t>
      </w:r>
      <w:r>
        <w:rPr>
          <w:rFonts w:hint="eastAsia" w:ascii="方正仿宋_GBK" w:hAnsi="方正仿宋_GBK" w:eastAsia="方正仿宋_GBK" w:cs="方正仿宋_GBK"/>
          <w:color w:val="000000"/>
          <w:sz w:val="28"/>
          <w:szCs w:val="28"/>
          <w:highlight w:val="none"/>
          <w:lang w:bidi="ar"/>
        </w:rPr>
        <w:t xml:space="preserve">所投标产品“轿厢内净高（吊顶后的轿厢净高度）”基本要求为2400mm。</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4.</w:t>
      </w:r>
      <w:r>
        <w:rPr>
          <w:rFonts w:hint="eastAsia" w:ascii="方正仿宋_GBK" w:hAnsi="方正仿宋_GBK" w:eastAsia="方正仿宋_GBK" w:cs="方正仿宋_GBK"/>
          <w:color w:val="000000"/>
          <w:sz w:val="28"/>
          <w:szCs w:val="28"/>
          <w:highlight w:val="none"/>
          <w:lang w:bidi="ar"/>
        </w:rPr>
        <w:t xml:space="preserve">所投标产品主机（曳引机）防护等级依据</w:t>
      </w:r>
      <w:r>
        <w:rPr>
          <w:rFonts w:hint="eastAsia" w:ascii="方正仿宋_GBK" w:hAnsi="方正仿宋_GBK" w:eastAsia="方正仿宋_GBK" w:cs="方正仿宋_GBK"/>
          <w:color w:val="000000"/>
          <w:sz w:val="28"/>
          <w:szCs w:val="28"/>
          <w:highlight w:val="none"/>
          <w:lang w:eastAsia="zh-CN" w:bidi="ar"/>
        </w:rPr>
        <w:t xml:space="preserve">标准：</w:t>
      </w:r>
      <w:r>
        <w:rPr>
          <w:rFonts w:hint="eastAsia" w:ascii="方正仿宋_GBK" w:hAnsi="方正仿宋_GBK" w:eastAsia="方正仿宋_GBK" w:cs="方正仿宋_GBK"/>
          <w:color w:val="000000"/>
          <w:sz w:val="28"/>
          <w:szCs w:val="28"/>
          <w:highlight w:val="none"/>
          <w:lang w:bidi="ar"/>
        </w:rPr>
        <w:t xml:space="preserve">GB/T4942</w:t>
      </w:r>
      <w:r>
        <w:rPr>
          <w:rFonts w:hint="eastAsia" w:ascii="方正仿宋_GBK" w:hAnsi="方正仿宋_GBK" w:eastAsia="方正仿宋_GBK" w:cs="方正仿宋_GBK"/>
          <w:color w:val="000000"/>
          <w:sz w:val="28"/>
          <w:szCs w:val="28"/>
          <w:highlight w:val="none"/>
          <w:lang w:val="en-US" w:eastAsia="zh-CN" w:bidi="ar"/>
        </w:rPr>
        <w:t xml:space="preserve">-</w:t>
      </w:r>
      <w:r>
        <w:rPr>
          <w:rFonts w:hint="eastAsia" w:ascii="方正仿宋_GBK" w:hAnsi="方正仿宋_GBK" w:eastAsia="方正仿宋_GBK" w:cs="方正仿宋_GBK"/>
          <w:color w:val="000000"/>
          <w:sz w:val="28"/>
          <w:szCs w:val="28"/>
          <w:highlight w:val="none"/>
          <w:lang w:bidi="ar"/>
        </w:rPr>
        <w:t xml:space="preserve">2021《旋转电机</w:t>
      </w:r>
      <w:r>
        <w:rPr>
          <w:rFonts w:hint="eastAsia" w:ascii="方正仿宋_GBK" w:hAnsi="方正仿宋_GBK" w:eastAsia="方正仿宋_GBK" w:cs="方正仿宋_GBK"/>
          <w:color w:val="000000"/>
          <w:sz w:val="28"/>
          <w:szCs w:val="28"/>
          <w:highlight w:val="none"/>
          <w:lang w:eastAsia="zh-CN" w:bidi="ar"/>
        </w:rPr>
        <w:t xml:space="preserve">整体结构的</w:t>
      </w:r>
      <w:r>
        <w:rPr>
          <w:rFonts w:hint="eastAsia" w:ascii="方正仿宋_GBK" w:hAnsi="方正仿宋_GBK" w:eastAsia="方正仿宋_GBK" w:cs="方正仿宋_GBK"/>
          <w:color w:val="000000"/>
          <w:sz w:val="28"/>
          <w:szCs w:val="28"/>
          <w:highlight w:val="none"/>
          <w:lang w:bidi="ar"/>
        </w:rPr>
        <w:t xml:space="preserve">防护等级（IP代码）</w:t>
      </w:r>
      <w:r>
        <w:rPr>
          <w:rFonts w:hint="eastAsia" w:ascii="方正仿宋_GBK" w:hAnsi="方正仿宋_GBK" w:eastAsia="方正仿宋_GBK" w:cs="方正仿宋_GBK"/>
          <w:color w:val="000000"/>
          <w:sz w:val="28"/>
          <w:szCs w:val="28"/>
          <w:highlight w:val="none"/>
          <w:lang w:eastAsia="zh-CN" w:bidi="ar"/>
        </w:rPr>
        <w:t xml:space="preserve">分级</w:t>
      </w: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要求为IP41（含）及以上，提供型式试验报告复印件。</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5.曳引钢丝绳</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依据标准：GB8903-2024《电梯用钢丝绳》</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1）钢丝绳满足GB8903-2024电梯专用钢丝绳要求，提供完整出厂质量证明书；</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2）提供第三方CMA检测报告，检测依据GB8903-2024，且检测项目包含直径偏差、破断拉力、结构，得1分；未提供本项不得分。</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6.</w:t>
      </w:r>
      <w:r>
        <w:rPr>
          <w:rFonts w:hint="eastAsia" w:ascii="方正仿宋_GBK" w:hAnsi="方正仿宋_GBK" w:eastAsia="方正仿宋_GBK" w:cs="方正仿宋_GBK"/>
          <w:color w:val="000000"/>
          <w:sz w:val="28"/>
          <w:szCs w:val="28"/>
          <w:highlight w:val="none"/>
          <w:lang w:bidi="ar"/>
        </w:rPr>
        <w:t xml:space="preserve">所投产品（需标明所投产品的品牌及相应的系列型号）的曳引主机按照GB30253-2024</w:t>
      </w:r>
      <w:r>
        <w:rPr>
          <w:rFonts w:hint="eastAsia" w:ascii="方正仿宋_GBK" w:hAnsi="方正仿宋_GBK" w:eastAsia="方正仿宋_GBK" w:cs="方正仿宋_GBK"/>
          <w:color w:val="000000"/>
          <w:sz w:val="28"/>
          <w:szCs w:val="28"/>
          <w:highlight w:val="none"/>
          <w:lang w:eastAsia="zh-CN" w:bidi="ar"/>
        </w:rPr>
        <w:t xml:space="preserve">《永磁同步电动机能效限定值及能效等级》</w:t>
      </w:r>
      <w:r>
        <w:rPr>
          <w:rFonts w:hint="eastAsia" w:ascii="方正仿宋_GBK" w:hAnsi="方正仿宋_GBK" w:eastAsia="方正仿宋_GBK" w:cs="方正仿宋_GBK"/>
          <w:color w:val="000000"/>
          <w:sz w:val="28"/>
          <w:szCs w:val="28"/>
          <w:highlight w:val="none"/>
          <w:lang w:bidi="ar"/>
        </w:rPr>
        <w:t xml:space="preserve">的相关要求进行检测，所检项目均合格，其能效等级为1级，曳引机实测温升≤85K，提供检验报告复印件。</w:t>
      </w:r>
      <w:r>
        <w:rPr>
          <w:highlight w:val="none"/>
        </w:rPr>
      </w:r>
      <w:r/>
    </w:p>
    <w:p>
      <w:pPr>
        <w:pStyle w:val="961"/>
        <w:ind w:firstLine="560"/>
        <w:jc w:val="left"/>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7.</w:t>
      </w:r>
      <w:r>
        <w:rPr>
          <w:rFonts w:hint="eastAsia" w:ascii="方正仿宋_GBK" w:hAnsi="方正仿宋_GBK" w:eastAsia="方正仿宋_GBK" w:cs="方正仿宋_GBK"/>
          <w:color w:val="000000"/>
          <w:sz w:val="28"/>
          <w:szCs w:val="28"/>
          <w:highlight w:val="none"/>
          <w:lang w:bidi="ar"/>
        </w:rPr>
        <w:t xml:space="preserve">曳引机本体机械振动</w:t>
      </w:r>
      <w:r>
        <w:rPr>
          <w:rFonts w:hint="eastAsia" w:ascii="方正仿宋_GBK" w:hAnsi="方正仿宋_GBK" w:eastAsia="方正仿宋_GBK" w:cs="方正仿宋_GBK"/>
          <w:color w:val="000000"/>
          <w:sz w:val="28"/>
          <w:szCs w:val="28"/>
          <w:highlight w:val="none"/>
          <w:lang w:eastAsia="zh-CN" w:bidi="ar"/>
        </w:rPr>
        <w:t xml:space="preserve">。依据标准：</w:t>
      </w:r>
      <w:r>
        <w:rPr>
          <w:rFonts w:hint="eastAsia" w:ascii="方正仿宋_GBK" w:hAnsi="方正仿宋_GBK" w:eastAsia="方正仿宋_GBK" w:cs="方正仿宋_GBK"/>
          <w:color w:val="000000"/>
          <w:sz w:val="28"/>
          <w:szCs w:val="28"/>
          <w:highlight w:val="none"/>
          <w:lang w:bidi="ar"/>
        </w:rPr>
        <w:t xml:space="preserve">GB/T10068</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2020《轴中心高为56 mm及以上电机的机械振动振动的测量、评定及限值》</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bidi="ar"/>
        </w:rPr>
        <w:t xml:space="preserve">所投产品依据</w:t>
      </w:r>
      <w:r>
        <w:rPr>
          <w:rFonts w:hint="eastAsia" w:ascii="方正仿宋_GBK" w:hAnsi="方正仿宋_GBK" w:eastAsia="方正仿宋_GBK" w:cs="方正仿宋_GBK"/>
          <w:color w:val="000000"/>
          <w:sz w:val="28"/>
          <w:szCs w:val="28"/>
          <w:highlight w:val="none"/>
          <w:lang w:val="en-US" w:eastAsia="zh-CN" w:bidi="ar"/>
        </w:rPr>
        <w:t xml:space="preserve">GB/T10068-2020</w:t>
      </w:r>
      <w:r>
        <w:rPr>
          <w:rFonts w:hint="eastAsia" w:ascii="方正仿宋_GBK" w:hAnsi="方正仿宋_GBK" w:eastAsia="方正仿宋_GBK" w:cs="方正仿宋_GBK"/>
          <w:color w:val="000000"/>
          <w:sz w:val="28"/>
          <w:szCs w:val="28"/>
          <w:highlight w:val="none"/>
          <w:lang w:bidi="ar"/>
        </w:rPr>
        <w:t xml:space="preserve">进行振动测试，振动速度有效值≤4.5 mm/s</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提供具有</w:t>
      </w:r>
      <w:r>
        <w:rPr>
          <w:rFonts w:hint="eastAsia" w:ascii="方正仿宋_GBK" w:hAnsi="方正仿宋_GBK" w:eastAsia="方正仿宋_GBK" w:cs="方正仿宋_GBK"/>
          <w:color w:val="000000"/>
          <w:sz w:val="28"/>
          <w:szCs w:val="28"/>
          <w:highlight w:val="none"/>
          <w:lang w:bidi="ar"/>
        </w:rPr>
        <w:t xml:space="preserve">CMA标识</w:t>
      </w:r>
      <w:r>
        <w:rPr>
          <w:rFonts w:hint="eastAsia" w:ascii="方正仿宋_GBK" w:hAnsi="方正仿宋_GBK" w:eastAsia="方正仿宋_GBK" w:cs="方正仿宋_GBK"/>
          <w:color w:val="000000"/>
          <w:sz w:val="28"/>
          <w:szCs w:val="28"/>
          <w:highlight w:val="none"/>
          <w:lang w:val="en-US" w:eastAsia="zh-CN" w:bidi="ar"/>
        </w:rPr>
        <w:t xml:space="preserve">的</w:t>
      </w:r>
      <w:r>
        <w:rPr>
          <w:rFonts w:hint="eastAsia" w:ascii="方正仿宋_GBK" w:hAnsi="方正仿宋_GBK" w:eastAsia="方正仿宋_GBK" w:cs="方正仿宋_GBK"/>
          <w:color w:val="000000"/>
          <w:sz w:val="28"/>
          <w:szCs w:val="28"/>
          <w:highlight w:val="none"/>
          <w:lang w:bidi="ar"/>
        </w:rPr>
        <w:t xml:space="preserve">检测报告复印件</w:t>
      </w:r>
      <w:r>
        <w:rPr>
          <w:rFonts w:hint="eastAsia" w:ascii="方正仿宋_GBK" w:hAnsi="方正仿宋_GBK" w:eastAsia="方正仿宋_GBK" w:cs="方正仿宋_GBK"/>
          <w:color w:val="000000"/>
          <w:sz w:val="28"/>
          <w:szCs w:val="28"/>
          <w:highlight w:val="none"/>
          <w:lang w:val="en-US" w:eastAsia="zh-CN" w:bidi="ar"/>
        </w:rPr>
        <w:t xml:space="preserve">或扫描件并</w:t>
      </w:r>
      <w:r>
        <w:rPr>
          <w:rFonts w:hint="eastAsia" w:ascii="方正仿宋_GBK" w:hAnsi="方正仿宋_GBK" w:eastAsia="方正仿宋_GBK" w:cs="方正仿宋_GBK"/>
          <w:color w:val="000000"/>
          <w:sz w:val="28"/>
          <w:szCs w:val="28"/>
          <w:highlight w:val="none"/>
          <w:lang w:bidi="ar"/>
        </w:rPr>
        <w:t xml:space="preserve">加盖投标人公章）</w:t>
      </w:r>
      <w:r>
        <w:rPr>
          <w:highlight w:val="none"/>
        </w:rPr>
      </w:r>
      <w:r/>
    </w:p>
    <w:p>
      <w:pPr>
        <w:pStyle w:val="961"/>
        <w:numPr>
          <w:ilvl w:val="0"/>
          <w:numId w:val="0"/>
        </w:numPr>
        <w:ind w:firstLine="0"/>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8.</w:t>
      </w:r>
      <w:r>
        <w:rPr>
          <w:rFonts w:hint="eastAsia" w:ascii="方正仿宋_GBK" w:hAnsi="方正仿宋_GBK" w:eastAsia="方正仿宋_GBK" w:cs="方正仿宋_GBK"/>
          <w:color w:val="000000"/>
          <w:sz w:val="28"/>
          <w:szCs w:val="28"/>
          <w:highlight w:val="none"/>
          <w:lang w:bidi="ar"/>
        </w:rPr>
        <w:t xml:space="preserve">电梯浪涌抗扰度：</w:t>
      </w:r>
      <w:r>
        <w:rPr>
          <w:rFonts w:hint="eastAsia" w:ascii="方正仿宋_GBK" w:hAnsi="方正仿宋_GBK" w:eastAsia="方正仿宋_GBK" w:cs="方正仿宋_GBK"/>
          <w:color w:val="000000"/>
          <w:sz w:val="28"/>
          <w:szCs w:val="28"/>
          <w:highlight w:val="none"/>
          <w:lang w:eastAsia="zh-CN" w:bidi="ar"/>
        </w:rPr>
        <w:t xml:space="preserve">依据</w:t>
      </w:r>
      <w:r>
        <w:rPr>
          <w:rFonts w:hint="eastAsia" w:ascii="方正仿宋_GBK" w:hAnsi="方正仿宋_GBK" w:eastAsia="方正仿宋_GBK" w:cs="方正仿宋_GBK"/>
          <w:color w:val="000000"/>
          <w:sz w:val="28"/>
          <w:szCs w:val="28"/>
          <w:highlight w:val="none"/>
          <w:lang w:val="en-US" w:eastAsia="zh-CN" w:bidi="ar"/>
        </w:rPr>
        <w:t xml:space="preserve">GB/T 17626.5-2019《电磁兼容试验和测量技术浪涌（冲击）抗扰度试验</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对所投产品（需标明所投产品的品牌及相应的系列型号）的浪涌抗扰度测试过程中试验等级中最高电压等级至少为±15kV，提供电梯浪涌抗扰度委托检测报告复印件。</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9.</w:t>
      </w:r>
      <w:r>
        <w:rPr>
          <w:rFonts w:hint="eastAsia" w:ascii="方正仿宋_GBK" w:hAnsi="方正仿宋_GBK" w:eastAsia="方正仿宋_GBK" w:cs="方正仿宋_GBK"/>
          <w:color w:val="000000"/>
          <w:sz w:val="28"/>
          <w:szCs w:val="28"/>
          <w:highlight w:val="none"/>
          <w:lang w:bidi="ar"/>
        </w:rPr>
        <w:t xml:space="preserve">如产品具有远程监控物联网功能，需提供电梯物联网获得信息系统安全等级保护认证证明联网安全性能。</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lang w:val="en-US" w:eastAsia="zh-CN"/>
        </w:rPr>
        <w:t xml:space="preserve">五、项目建设遵循标准</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（一）遵循国家、行业及地方现行的规范和标准。</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
          <w:bCs w:val="0"/>
          <w:i/>
          <w:iCs/>
          <w:color w:val="000000"/>
          <w:sz w:val="28"/>
          <w:szCs w:val="28"/>
          <w:highlight w:val="none"/>
          <w:u w:val="single"/>
        </w:rPr>
      </w:pPr>
      <w:r>
        <w:rPr>
          <w:rFonts w:hint="eastAsia" w:ascii="方正仿宋_GBK" w:hAnsi="方正仿宋_GBK" w:eastAsia="方正仿宋_GBK" w:cs="方正仿宋_GBK"/>
          <w:b/>
          <w:bCs w:val="0"/>
          <w:i/>
          <w:iCs/>
          <w:color w:val="000000"/>
          <w:sz w:val="28"/>
          <w:szCs w:val="28"/>
          <w:highlight w:val="none"/>
          <w:u w:val="single"/>
          <w:lang w:val="en-US" w:eastAsia="zh-CN"/>
        </w:rPr>
        <w:t xml:space="preserve">（二）完工后应提供资料：装箱清单、产品出厂合格证、如整机或部件进口应提供原产地证明、报关证明、完税证明及检验检疫证明、使用维护说明书、安装说明书、部件安装图、电器敷线图、动力电路和安全电路的电器线路示意图及符号说明、提供设备检验合格证。</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lang w:val="en-US" w:eastAsia="zh-CN"/>
        </w:rPr>
        <w:t xml:space="preserve">六、项目实施方案</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bidi="ar"/>
        </w:rPr>
        <w:t xml:space="preserve">（一）安装方案</w:t>
      </w:r>
      <w:r>
        <w:rPr>
          <w:highlight w:val="none"/>
        </w:rPr>
      </w:r>
      <w:r/>
    </w:p>
    <w:p>
      <w:pPr>
        <w:pStyle w:val="961"/>
        <w:numPr>
          <w:ilvl w:val="0"/>
          <w:numId w:val="0"/>
        </w:numPr>
        <w:ind w:firstLine="560"/>
        <w:spacing w:line="440" w:lineRule="exact"/>
        <w:rPr>
          <w:rFonts w:hint="eastAsia" w:ascii="方正仿宋_GBK" w:hAnsi="方正仿宋_GBK" w:eastAsia="方正仿宋_GBK" w:cs="方正仿宋_GBK"/>
          <w:b w:val="0"/>
          <w:bCs w:val="0"/>
          <w:color w:val="000000"/>
          <w:sz w:val="28"/>
          <w:szCs w:val="28"/>
          <w:highlight w:val="none"/>
        </w:rPr>
      </w:pPr>
      <w:r>
        <w:rPr>
          <w:rFonts w:hint="eastAsia" w:ascii="方正仿宋_GBK" w:hAnsi="方正仿宋_GBK" w:eastAsia="方正仿宋_GBK" w:cs="方正仿宋_GBK"/>
          <w:b w:val="0"/>
          <w:bCs w:val="0"/>
          <w:color w:val="000000"/>
          <w:sz w:val="28"/>
          <w:szCs w:val="28"/>
          <w:highlight w:val="none"/>
          <w:lang w:val="en-US" w:eastAsia="zh-CN" w:bidi="ar"/>
        </w:rPr>
        <w:t xml:space="preserve">1、现场安全保证措施</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（1）人员管理要求</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①安装、拆除作业人员必须持电梯特种设备作业证，人证相符；方案附作业人员证件清单复印件。严禁无证、证件过期人员上岗。</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②进场开展安全技术交底，留存交底记录；每日班前安全会，针对井道作业、高空作业、动火作业、吊装作业开展风险提示。</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③高处作业全部佩戴安全带，安全带高挂低用；井道内作业严禁抛掷工具、物料。</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（2）井道与现场隔离防护</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①各层厅门洞口设置硬质封闭防护围栏，高度不小于1.2m，设置警示标识、禁止翻越提示；厅门防护不得随意拆除，只有作业时临时开启，作业结束立即恢复封闭。</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②机房入口、首层吊装区域设置警戒隔离带，设置警示标志，禁止无关人员进入作业区域。</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③井道下方有通行区域时，设置防坠物隔离防护棚，防止工具、构件坠落伤人。</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（3）用电安全措施</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①现场施工用电执行三级配电两级保护；所有移动工具、照明采用漏电保护器；井道内使用36V安全低压照明，严禁220V直接引入井道手持使用。</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②电缆线缆敷设整齐，不得挤压、拖拽，杜绝私拉乱接；雨天做好电气设备防雨防潮。</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（4）起重吊装与物料安全</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①主机、轿厢、对重吊装编制吊装专项内容，明确吊点、吊具、钢丝绳选型；吊装区域设置警戒，下方禁止站人。</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②井道内临时堆放构件稳固可靠，不得倚靠厅门防护，防止构件倾倒坠落。</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（5）动火、消防要求</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①焊接动火作业办理现场动火审批，配备灭火器、防火接火盆，清理周边易燃物；井道内动火做好防火防护。</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②机房、施工现场严禁堆放大量油漆、稀料等易燃易爆物品。</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（6）应急保障</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①方案必须包含高处坠落、物体打击、触电、井道困人应急处置，明确应急联系人、联系电话。</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②配备急救物资；发生井道人员受伤，不得盲目施救，执行应急流程。</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（7）交叉作业管控</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多工种交叉施工时，禁止同一井道上下同时作业；分层作业落实隔离防护。</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施工时间：因施工现场位于监狱押犯区域，施工人员必须遵守监狱相关管理规定，不得携带违禁品进入监内，不得与罪犯接触。施工时间必须人员每日7:30完成进监准备，经清点工具、人员安检后进入施工区域施工。每日实际施工时间约为8:30~17:00。</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2、电梯拆除方案</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旧电梯拆除禁止野蛮拆解，防止部件坠落、厅门失稳、主机倾覆。方案必须包含以下内容：</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（1）拆除前期准备</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①拆除前对旧电梯现状勘察：曳引系统、对重、轿厢、厅门、导轨、电气线路现状，排查锈蚀、部件卡滞风险，勘察记录写入方案。</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②切断电梯总电源，挂牌上锁；确认电梯无法正常运行，禁止依靠原有控制系统进行拆除作业。</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③拆除前确认各层厅门防护全部到位，防止人员坠入井道。</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（2）拆除顺序（明确工序，禁止颠倒）</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①推荐顺序：电气线路、控制柜拆除 → 轿内设备、轿门拆除 → 轿厢支撑固定 → 对重固定锁止 → 拆除对重块 → 拆除轿厢 → 拆除随行电缆、井道线缆 → 层门部件逐层拆除 → 导轨拆除 → 曳引主机、曳引钢丝绳拆除</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②重点：必须先锁止对重、做好轿厢可靠支撑，再切割曳引钢丝绳；严禁未固定直接割钢丝绳，防止轿厢冲顶、对重坠落。</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（3）关键工序安全强制要求</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①曳引钢丝绳切割前，必须采用型钢/手拉葫芦将轿厢、对重分别可靠锁止固定，验算锁具承载能力；未锁止严禁切割钢丝绳。</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②拆除层门：不得一次性把多层厅门全部拆除，拆一层、清理一层，拆除一层随即恢复洞口硬质防护。</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③导轨拆除：自上而下分段拆除，构件防止坠落；严禁直接向井道抛掷部件。</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④曳引主机拆除：明确吊点、拆卸步骤，防止主机倾覆、坠落。</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⑤旧电缆、部件有序清运，不得直接向下抛扔。</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（4）废弃物处置</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旧钢丝绳、部件分类清运；废弃电气元器件、油污零部件按现场环保要求处置；不得在井道内遗留建筑垃圾。</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（5）拆除完成验收</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全部拆除完成，检查井道无遗留松动构件，所有层门洞口全部硬质封闭，断电确认，留存拆除完工检查记录。</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（6）电梯拆除工期不超过3个工作日。</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3、电梯安装方案</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（1）施工前期准备</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①核对井道土建尺寸：井道宽度、深度、机房高度、吊钩承载力、层门开孔尺寸，核对与电梯图纸一致性；土建不符合要求需明确整改措施。</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②机房吊钩必须复核额定载荷，吊钩做标识；吊钩不合格不得开展主机吊装。</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③进场材料设备验收：导轨、曳引机、轿厢、控制柜、安全部件（限速器、安全钳、缓冲器）进场检查，合格证、型式试验报告齐全。</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（2）主要安装工序要求</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工序流程：井道放线→导轨支架、导轨安装→机房曳引机、控制柜就位→层门安装→轿厢组装→对重安装→曳引钢丝绳挂设→随行电缆安装→安全部件安装（限速器‑安全钳联动机构）→电气接线→慢车调试→快车调试→整机调试→自检。</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①导轨安装：导轨支架焊接/螺栓固定牢固，导轨垂直度符合标准要求。</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②层门安装：层门强度、门锁装置安装到位，门锁电气、机械联锁可靠；层门安装完成后，洞口防护未拆除。</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③曳引主机安装：主机底座、减震装置安装到位，主机水平度满足产品要求；制动器装配间隙调整记录留存。</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④安全部件：限速器、安全钳、缓冲器严格按照图纸安装；限速器‑安全钳联动试验为关键必做项目。</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⑤钢丝绳：张力均匀调整，绳头组合安装符合规范。</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⑥电气系统：接地系统完整可靠；所有电气外壳防护等级满足GB/T7588.1‑2020，控制柜、检修盒达到IPXXB，紧急电动盒IPXXD。</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（3）调试与自检</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①先慢车后快车，禁止未完成慢车调试直接跑快车。</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②完成全部型式试验项目：平衡系数测试、限速器安全钳联动试验、缓冲器试验、门锁验证、制动器试验、超载试验等，形成完整自检记录。</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③噪声、平衡系数、平层精度、开关门功能全部调试合格。</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（4）资料要求</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安装方案附：设备清单、型式试验证书复印件、作业人员资质、调试自检记录表。</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（5）监督检验配合</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安装单位完成自检合格后，申请特种设备监督检验；整改项闭环，取得监督检验合格报告后，方可移交投入使用。</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（6）安装工期</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电梯安装工期最长不得超过15个工作日。</w:t>
      </w:r>
      <w:r>
        <w:rPr>
          <w:highlight w:val="none"/>
        </w:rPr>
      </w:r>
      <w:r/>
    </w:p>
    <w:p>
      <w:pPr>
        <w:pStyle w:val="961"/>
        <w:numPr>
          <w:ilvl w:val="0"/>
          <w:numId w:val="0"/>
        </w:num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项目整体从设备进场至新电梯验收合格，满足正常运行条件，总时间不得超过40天。</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lang w:val="en-US" w:eastAsia="zh-CN"/>
        </w:rPr>
        <w:t xml:space="preserve">（二）售后服务方案</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1．方案概况</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投标人应根据自身设备情况，结合发包方需求特点，科学制定项目售后方案。</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2．方案内容</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方案应包含日常定期维保计划和故障维修方案两个部分。</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ascii="方正仿宋_GBK" w:hAnsi="方正仿宋_GBK" w:eastAsia="方正仿宋_GBK" w:cs="方正仿宋_GBK"/>
          <w:bCs/>
          <w:color w:val="000000"/>
          <w:sz w:val="28"/>
          <w:szCs w:val="28"/>
          <w:highlight w:val="none"/>
          <w:lang w:val="en-US" w:eastAsia="zh-CN"/>
        </w:rPr>
        <w:t xml:space="preserve">①</w:t>
      </w:r>
      <w:r>
        <w:rPr>
          <w:rFonts w:hint="eastAsia" w:ascii="方正仿宋_GBK" w:hAnsi="方正仿宋_GBK" w:eastAsia="方正仿宋_GBK" w:cs="方正仿宋_GBK"/>
          <w:bCs/>
          <w:color w:val="000000"/>
          <w:sz w:val="28"/>
          <w:szCs w:val="28"/>
          <w:highlight w:val="none"/>
          <w:lang w:val="en-US" w:eastAsia="zh-CN"/>
        </w:rPr>
        <w:t xml:space="preserve">日常定期维保计划主要包括：</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维保人员配备、维保人员资质，以下重要部件、重点系统、重要区域的检查频次和方法。包含并不限于曳引机、轿厢、导轨、安全钳、限速器、抱闸、钢丝绳、缓冲器、门系统、电气控制柜系统、机房、基坑等。</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ascii="方正仿宋_GBK" w:hAnsi="方正仿宋_GBK" w:eastAsia="方正仿宋_GBK" w:cs="方正仿宋_GBK"/>
          <w:bCs/>
          <w:color w:val="000000"/>
          <w:sz w:val="28"/>
          <w:szCs w:val="28"/>
          <w:highlight w:val="none"/>
          <w:lang w:val="en-US" w:eastAsia="zh-CN"/>
        </w:rPr>
        <w:t xml:space="preserve">②</w:t>
      </w:r>
      <w:r>
        <w:rPr>
          <w:rFonts w:hint="eastAsia" w:ascii="方正仿宋_GBK" w:hAnsi="方正仿宋_GBK" w:eastAsia="方正仿宋_GBK" w:cs="方正仿宋_GBK"/>
          <w:bCs/>
          <w:color w:val="000000"/>
          <w:sz w:val="28"/>
          <w:szCs w:val="28"/>
          <w:highlight w:val="none"/>
          <w:lang w:val="en-US" w:eastAsia="zh-CN"/>
        </w:rPr>
        <w:t xml:space="preserve">故障维修方案主要包括：</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投标人在设备发生故障、接到采购人通知后响应时间：电梯困人的求援时间不超过20分钟，故障反应时间小于30分钟，一般故障修复时间小于60分钟，较大故障修复时间小于36小时。</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3.售后服务方案要求：</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①投标人在质保期内每月进行常规维护保养不少于两次，每月对电梯的运行安全工作情况作一次全面检查并提交检查报告。</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②提供缴纳社保维保人员配置数量（不少于2名）、资质（特种设备作业证（电梯）），人员配合及响应机制。</w:t>
      </w:r>
      <w:r>
        <w:rPr>
          <w:highlight w:val="none"/>
        </w:rPr>
      </w:r>
      <w:r/>
    </w:p>
    <w:p>
      <w:pPr>
        <w:pStyle w:val="961"/>
        <w:ind w:firstLine="560"/>
        <w:keepLines w:val="0"/>
        <w:keepNext w:val="0"/>
        <w:pageBreakBefore w:val="0"/>
        <w:spacing w:line="440" w:lineRule="exact"/>
        <w:widowControl w:val="off"/>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lang w:val="en-US" w:eastAsia="zh-CN"/>
        </w:rPr>
        <w:t xml:space="preserve">七</w:t>
      </w:r>
      <w:r>
        <w:rPr>
          <w:rFonts w:hint="eastAsia" w:ascii="黑体" w:hAnsi="黑体" w:eastAsia="黑体" w:cs="黑体"/>
          <w:b w:val="0"/>
          <w:bCs w:val="0"/>
          <w:color w:val="000000"/>
          <w:sz w:val="28"/>
          <w:szCs w:val="28"/>
          <w:highlight w:val="none"/>
        </w:rPr>
        <w:t xml:space="preserve">、质保要求</w:t>
      </w:r>
      <w:r>
        <w:rPr>
          <w:highlight w:val="none"/>
        </w:rPr>
      </w:r>
      <w:r/>
    </w:p>
    <w:p>
      <w:pPr>
        <w:pStyle w:val="961"/>
        <w:ind w:firstLine="560"/>
        <w:keepLines w:val="0"/>
        <w:keepNext w:val="0"/>
        <w:pageBreakBefore w:val="0"/>
        <w:spacing w:line="440" w:lineRule="exact"/>
        <w:widowControl w:val="off"/>
        <w:rPr>
          <w:rFonts w:hint="eastAsia" w:ascii="方正仿宋_GBK" w:hAnsi="方正仿宋_GBK" w:eastAsia="方正仿宋_GBK" w:cs="方正仿宋_GBK"/>
          <w:b/>
          <w:bCs/>
          <w:i/>
          <w:color w:val="000000"/>
          <w:sz w:val="28"/>
          <w:szCs w:val="28"/>
          <w:highlight w:val="none"/>
          <w:u w:val="single"/>
        </w:rPr>
      </w:pPr>
      <w:r>
        <w:rPr>
          <w:rFonts w:hint="eastAsia" w:ascii="方正仿宋_GBK" w:hAnsi="方正仿宋_GBK" w:eastAsia="方正仿宋_GBK" w:cs="方正仿宋_GBK"/>
          <w:b/>
          <w:bCs/>
          <w:i/>
          <w:color w:val="000000"/>
          <w:sz w:val="28"/>
          <w:szCs w:val="28"/>
          <w:highlight w:val="none"/>
          <w:u w:val="single"/>
        </w:rPr>
        <w:t xml:space="preserve">供应商须能提供所投产品主要部件和安全保护装置质保期5年、整机质保（维保）期</w:t>
      </w:r>
      <w:r>
        <w:rPr>
          <w:rFonts w:hint="eastAsia" w:ascii="方正仿宋_GBK" w:hAnsi="方正仿宋_GBK" w:eastAsia="方正仿宋_GBK" w:cs="方正仿宋_GBK"/>
          <w:b/>
          <w:bCs/>
          <w:i/>
          <w:color w:val="000000"/>
          <w:sz w:val="28"/>
          <w:szCs w:val="28"/>
          <w:highlight w:val="none"/>
          <w:u w:val="single"/>
          <w:lang w:val="en-US" w:eastAsia="zh-CN"/>
        </w:rPr>
        <w:t xml:space="preserve">5</w:t>
      </w:r>
      <w:r>
        <w:rPr>
          <w:rFonts w:hint="eastAsia" w:ascii="方正仿宋_GBK" w:hAnsi="方正仿宋_GBK" w:eastAsia="方正仿宋_GBK" w:cs="方正仿宋_GBK"/>
          <w:b/>
          <w:bCs/>
          <w:i/>
          <w:color w:val="000000"/>
          <w:sz w:val="28"/>
          <w:szCs w:val="28"/>
          <w:highlight w:val="none"/>
          <w:u w:val="single"/>
        </w:rPr>
        <w:t xml:space="preserve">年，保修包括正常修理和日常维护，从特种设备检验研究院验收合格取得使用合格证，交付采购人接收使用之日起计算；以上质保（维保）费用包含在投标总价中。免保期内的电梯年检费、限速器校验费由甲方承担。</w:t>
      </w:r>
      <w:r>
        <w:rPr>
          <w:highlight w:val="none"/>
        </w:rPr>
      </w:r>
      <w:r/>
    </w:p>
    <w:p>
      <w:pPr>
        <w:pStyle w:val="961"/>
        <w:ind w:firstLine="560"/>
        <w:keepLines w:val="0"/>
        <w:keepNext w:val="0"/>
        <w:pageBreakBefore w:val="0"/>
        <w:spacing w:line="400" w:lineRule="exact"/>
        <w:widowControl w:val="off"/>
        <w:rPr>
          <w:rFonts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lang w:val="en-US" w:eastAsia="zh-CN"/>
        </w:rPr>
        <w:t xml:space="preserve">八、项目案例和履约能力</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（一）项目案例</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投标人提供所投同品牌客梯，自2022年1月1日以来（以合同签订时间为准）具有类似案例的，合同复印件，加盖公章。</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（二）履约能力</w:t>
      </w:r>
      <w:r>
        <w:rPr>
          <w:highlight w:val="none"/>
        </w:rPr>
      </w:r>
      <w:r/>
    </w:p>
    <w:p>
      <w:pPr>
        <w:pStyle w:val="961"/>
        <w:ind w:firstLine="560"/>
        <w:keepLines w:val="0"/>
        <w:keepNext w:val="0"/>
        <w:pageBreakBefore w:val="0"/>
        <w:spacing w:line="400" w:lineRule="exact"/>
        <w:widowControl w:val="off"/>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投标人具有</w:t>
      </w:r>
      <w:r>
        <w:rPr>
          <w:rFonts w:ascii="方正仿宋_GBK" w:hAnsi="方正仿宋_GBK" w:eastAsia="方正仿宋_GBK" w:cs="方正仿宋_GBK"/>
          <w:bCs/>
          <w:color w:val="000000"/>
          <w:sz w:val="28"/>
          <w:szCs w:val="28"/>
          <w:highlight w:val="none"/>
          <w:lang w:val="en-US" w:eastAsia="zh-CN"/>
        </w:rPr>
        <w:t xml:space="preserve">ISO9001质量管理体系认证证书、ISO45001职业健康安全管理体系认证证书</w:t>
      </w:r>
      <w:r>
        <w:rPr>
          <w:rFonts w:hint="eastAsia" w:ascii="方正仿宋_GBK" w:hAnsi="方正仿宋_GBK" w:eastAsia="方正仿宋_GBK" w:cs="方正仿宋_GBK"/>
          <w:bCs/>
          <w:color w:val="000000"/>
          <w:sz w:val="28"/>
          <w:szCs w:val="28"/>
          <w:highlight w:val="none"/>
          <w:lang w:val="en-US" w:eastAsia="zh-CN"/>
        </w:rPr>
        <w:t xml:space="preserve">。</w:t>
      </w:r>
      <w:r>
        <w:rPr>
          <w:highlight w:val="none"/>
        </w:rPr>
      </w:r>
      <w:r/>
    </w:p>
    <w:p>
      <w:pPr>
        <w:pStyle w:val="961"/>
        <w:ind w:firstLine="560"/>
        <w:keepLines w:val="0"/>
        <w:keepNext w:val="0"/>
        <w:pageBreakBefore w:val="0"/>
        <w:spacing w:line="400" w:lineRule="exact"/>
        <w:widowControl w:val="off"/>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lang w:val="en-US" w:eastAsia="zh-CN"/>
        </w:rPr>
        <w:t xml:space="preserve">九、商务条款</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（一）付款方式：</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bCs/>
          <w:color w:val="000000"/>
          <w:sz w:val="28"/>
          <w:szCs w:val="28"/>
          <w:highlight w:val="none"/>
          <w:lang w:val="en-US" w:eastAsia="zh-CN"/>
        </w:rPr>
        <w:t xml:space="preserve">分期付款：</w:t>
      </w:r>
      <w:r>
        <w:rPr>
          <w:rFonts w:hint="eastAsia" w:ascii="方正仿宋_GBK" w:hAnsi="方正仿宋_GBK" w:eastAsia="方正仿宋_GBK" w:cs="方正仿宋_GBK"/>
          <w:sz w:val="28"/>
          <w:szCs w:val="28"/>
          <w:highlight w:val="none"/>
          <w:u w:val="single"/>
          <w:lang w:val="en-US" w:eastAsia="zh-CN"/>
        </w:rPr>
        <w:t xml:space="preserve">合同签订后10个工作日内，预付款支付比例:合同金额的30%；设备安装完成并通过验收，采购人收到发票后10个工作日内，尾款支付比例：合同金额的70%。同时，供应商需在合同签订后的三个工作日提供合同金额的10%作为履约保证金，合同履行完成且无违约行为的，予以无息退还。</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（二）集中勘察:</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本项目组织集中现场勘察。</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请投标人授权代表持身份证原件、企业法人营业执照复印件加盖公章、法人授权委托书，前往勘察并现场签到。</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请务必对项目现场和周围环境进行仔细、认真地查勘，在随后的采购中，对现场资料和数据所作出的推论、解释和结论及由此造成的后果由投标人负责。</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投标人根据项目需要自行勘察现场,因未勘察现场或勘察工作不详细的供应商中标后，不得以不完全了解现场情况为理由而向采购人提出任何索赔或其他要求，对此采购人不承担任何责任并将不作任何答复。</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统一勘察集中时间：2026年9月29日上午9：00（北京时间），过时不候。</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集中地点：</w:t>
      </w:r>
      <w:r>
        <w:rPr>
          <w:rFonts w:hint="eastAsia" w:ascii="方正仿宋_GBK" w:hAnsi="方正仿宋_GBK" w:eastAsia="方正仿宋_GBK" w:cs="方正仿宋_GBK"/>
          <w:bCs/>
          <w:color w:val="000000"/>
          <w:sz w:val="28"/>
          <w:szCs w:val="28"/>
          <w:highlight w:val="none"/>
          <w:lang w:val="en-US" w:eastAsia="zh-CN"/>
        </w:rPr>
        <w:t xml:space="preserve">江苏省南京市雨花台区宁双路9号大门口集合</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勘查现场联系人：</w:t>
      </w:r>
      <w:r>
        <w:rPr>
          <w:rFonts w:hint="eastAsia" w:ascii="方正仿宋_GBK" w:hAnsi="方正仿宋_GBK" w:eastAsia="方正仿宋_GBK" w:cs="方正仿宋_GBK"/>
          <w:bCs/>
          <w:color w:val="000000"/>
          <w:sz w:val="28"/>
          <w:szCs w:val="28"/>
          <w:highlight w:val="none"/>
          <w:lang w:val="en-US" w:eastAsia="zh-CN"/>
        </w:rPr>
        <w:t xml:space="preserve">王主任</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r>
      <w:r>
        <w:rPr>
          <w:rFonts w:hint="eastAsia" w:ascii="方正仿宋_GBK" w:hAnsi="方正仿宋_GBK" w:eastAsia="方正仿宋_GBK" w:cs="方正仿宋_GBK"/>
          <w:bCs/>
          <w:color w:val="000000"/>
          <w:sz w:val="28"/>
          <w:szCs w:val="28"/>
          <w:highlight w:val="none"/>
          <w:lang w:val="en-US" w:eastAsia="zh-CN"/>
        </w:rPr>
        <w:t xml:space="preserve">联系方式:17311111685</w:t>
      </w:r>
      <w:r>
        <w:rPr>
          <w:highlight w:val="none"/>
        </w:rPr>
      </w:r>
      <w:r/>
    </w:p>
    <w:p>
      <w:pPr>
        <w:pStyle w:val="963"/>
        <w:jc w:val="left"/>
        <w:keepLines/>
        <w:keepNext/>
        <w:pageBreakBefore w:val="0"/>
        <w:spacing w:before="0" w:after="0"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lang w:val="en-US" w:eastAsia="zh-CN"/>
        </w:rPr>
        <w:t xml:space="preserve">十</w:t>
      </w:r>
      <w:r>
        <w:rPr>
          <w:rFonts w:hint="eastAsia" w:ascii="黑体" w:hAnsi="黑体" w:eastAsia="黑体" w:cs="Arial"/>
          <w:b w:val="0"/>
          <w:bCs w:val="0"/>
          <w:sz w:val="28"/>
          <w:szCs w:val="28"/>
          <w:highlight w:val="none"/>
          <w:lang w:eastAsia="zh-CN"/>
        </w:rPr>
        <w:t xml:space="preserve">、其他要求</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1.项目属性:货物类项目。</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核心产品</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61"/>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highlight w:val="none"/>
              </w:rPr>
            </w:r>
            <w:r/>
          </w:p>
        </w:tc>
        <w:tc>
          <w:tcPr>
            <w:tcW w:w="3369" w:type="dxa"/>
            <w:vAlign w:val="top"/>
            <w:textDirection w:val="lrTb"/>
            <w:noWrap w:val="false"/>
          </w:tcPr>
          <w:p>
            <w:pPr>
              <w:pStyle w:val="961"/>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w:t>
            </w:r>
            <w:r>
              <w:rPr>
                <w:highlight w:val="none"/>
              </w:rPr>
            </w:r>
            <w:r/>
          </w:p>
        </w:tc>
      </w:tr>
      <w:tr>
        <w:trPr/>
        <w:tc>
          <w:tcPr>
            <w:tcW w:w="1681" w:type="dxa"/>
            <w:vAlign w:val="top"/>
            <w:textDirection w:val="lrTb"/>
            <w:noWrap w:val="false"/>
          </w:tcPr>
          <w:p>
            <w:pPr>
              <w:pStyle w:val="961"/>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3369" w:type="dxa"/>
            <w:vAlign w:val="top"/>
            <w:textDirection w:val="lrTb"/>
            <w:noWrap w:val="false"/>
          </w:tcPr>
          <w:p>
            <w:pPr>
              <w:pStyle w:val="961"/>
              <w:jc w:val="center"/>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电梯</w:t>
            </w:r>
            <w:r>
              <w:rPr>
                <w:highlight w:val="none"/>
              </w:rPr>
            </w:r>
            <w:r/>
          </w:p>
        </w:tc>
      </w:tr>
    </w:tbl>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3.进口产品投标</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highlight w:val="none"/>
              </w:rPr>
            </w:r>
            <w:r/>
          </w:p>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highlight w:val="none"/>
              </w:rPr>
            </w:r>
            <w:r/>
          </w:p>
        </w:tc>
        <w:tc>
          <w:tcPr>
            <w:tcW w:w="3762" w:type="dxa"/>
            <w:vAlign w:val="top"/>
            <w:textDirection w:val="lrTb"/>
            <w:noWrap w:val="false"/>
          </w:tcPr>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是否接受进口产品投标</w:t>
            </w:r>
            <w:r>
              <w:rPr>
                <w:highlight w:val="none"/>
              </w:rPr>
            </w:r>
            <w:r/>
          </w:p>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w:t>
            </w:r>
            <w:r>
              <w:rPr>
                <w:highlight w:val="none"/>
              </w:rPr>
            </w:r>
            <w:r/>
          </w:p>
        </w:tc>
      </w:tr>
      <w:tr>
        <w:trPr/>
        <w:tc>
          <w:tcPr>
            <w:tcW w:w="1300" w:type="dxa"/>
            <w:vAlign w:val="top"/>
            <w:textDirection w:val="lrTb"/>
            <w:noWrap w:val="false"/>
          </w:tcPr>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3762" w:type="dxa"/>
            <w:vAlign w:val="top"/>
            <w:textDirection w:val="lrTb"/>
            <w:noWrap w:val="false"/>
          </w:tcPr>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highlight w:val="none"/>
              </w:rPr>
            </w:r>
            <w:r/>
          </w:p>
        </w:tc>
      </w:tr>
    </w:tbl>
    <w:p>
      <w:pPr>
        <w:pStyle w:val="963"/>
        <w:keepLines/>
        <w:keepNext/>
        <w:pageBreakBefore w:val="0"/>
        <w:spacing w:line="400" w:lineRule="exact"/>
        <w:widowControl w:val="off"/>
        <w:rPr>
          <w:rFonts w:hint="eastAsia" w:ascii="黑体" w:hAnsi="黑体" w:eastAsia="黑体" w:cs="Arial"/>
          <w:b w:val="0"/>
          <w:bCs w:val="0"/>
          <w:sz w:val="28"/>
          <w:szCs w:val="28"/>
          <w:highlight w:val="none"/>
        </w:rPr>
      </w:pPr>
      <w:r>
        <w:rPr>
          <w:highlight w:val="none"/>
        </w:rPr>
      </w:r>
      <w:bookmarkStart w:id="184" w:name="_Toc120614281"/>
      <w:r>
        <w:rPr>
          <w:rFonts w:hint="eastAsia" w:ascii="黑体" w:hAnsi="黑体" w:eastAsia="黑体" w:cs="Arial"/>
          <w:b w:val="0"/>
          <w:bCs w:val="0"/>
          <w:sz w:val="28"/>
          <w:szCs w:val="28"/>
          <w:highlight w:val="none"/>
        </w:rPr>
        <w:br w:type="page" w:clear="all"/>
      </w:r>
      <w:r>
        <w:rPr>
          <w:rFonts w:hint="eastAsia" w:ascii="黑体" w:hAnsi="黑体" w:eastAsia="黑体" w:cs="Arial"/>
          <w:b w:val="0"/>
          <w:bCs w:val="0"/>
          <w:sz w:val="28"/>
          <w:szCs w:val="28"/>
          <w:highlight w:val="none"/>
        </w:rPr>
        <w:t xml:space="preserve">第五章  评标方法与评标标准</w:t>
      </w:r>
      <w:r>
        <w:rPr>
          <w:highlight w:val="none"/>
        </w:rPr>
      </w:r>
      <w:r/>
    </w:p>
    <w:p>
      <w:pPr>
        <w:pStyle w:val="961"/>
        <w:ind w:firstLine="560"/>
        <w:keepLines w:val="0"/>
        <w:keepNext w:val="0"/>
        <w:pageBreakBefore w:val="0"/>
        <w:spacing w:line="400" w:lineRule="exact"/>
        <w:widowControl w:val="off"/>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采用综合评分法的，评标结果按评审后得分由高到低顺序排列。得分相同的，按投标报价由低到高顺序排列。得分且投标报价相同的并列。</w:t>
      </w:r>
      <w:r>
        <w:rPr>
          <w:highlight w:val="none"/>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highlight w:val="none"/>
              </w:rPr>
            </w:r>
            <w:r/>
          </w:p>
        </w:tc>
        <w:tc>
          <w:tcPr>
            <w:tcW w:w="2183" w:type="dxa"/>
            <w:vAlign w:val="top"/>
            <w:textDirection w:val="lrTb"/>
            <w:noWrap w:val="false"/>
          </w:tcPr>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rPr>
                <w:highlight w:val="none"/>
              </w:rPr>
            </w:r>
            <w:r/>
          </w:p>
        </w:tc>
        <w:tc>
          <w:tcPr>
            <w:tcW w:w="5063" w:type="dxa"/>
            <w:vAlign w:val="top"/>
            <w:textDirection w:val="lrTb"/>
            <w:noWrap w:val="false"/>
          </w:tcPr>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rPr>
                <w:highlight w:val="none"/>
              </w:rPr>
            </w:r>
            <w:r/>
          </w:p>
        </w:tc>
      </w:tr>
      <w:tr>
        <w:trPr/>
        <w:tc>
          <w:tcPr>
            <w:tcW w:w="1671" w:type="dxa"/>
            <w:vAlign w:val="top"/>
            <w:textDirection w:val="lrTb"/>
            <w:noWrap w:val="false"/>
          </w:tcPr>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2183" w:type="dxa"/>
            <w:vAlign w:val="top"/>
            <w:textDirection w:val="lrTb"/>
            <w:noWrap w:val="false"/>
          </w:tcPr>
          <w:p>
            <w:pPr>
              <w:pStyle w:val="961"/>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5063" w:type="dxa"/>
            <w:vAlign w:val="top"/>
            <w:textDirection w:val="lrTb"/>
            <w:noWrap w:val="false"/>
          </w:tcPr>
          <w:p>
            <w:pPr>
              <w:pStyle w:val="961"/>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rPr>
                <w:highlight w:val="none"/>
              </w:rPr>
            </w:r>
            <w:r/>
          </w:p>
        </w:tc>
      </w:tr>
    </w:tbl>
    <w:p>
      <w:pPr>
        <w:pStyle w:val="961"/>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小微型企业价格扣除</w:t>
      </w:r>
      <w:r>
        <w:rPr>
          <w:highlight w:val="none"/>
        </w:rPr>
      </w:r>
      <w:r/>
    </w:p>
    <w:p>
      <w:pPr>
        <w:pStyle w:val="961"/>
        <w:ind w:firstLine="420"/>
        <w:jc w:val="left"/>
        <w:keepLines w:val="0"/>
        <w:keepNext w:val="0"/>
        <w:pageBreakBefore w:val="0"/>
        <w:spacing w:before="120" w:after="120"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本项目对小型和微型企业产品给予10%的扣除价格，用扣除后的价格参与评审。</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供应商需按照采购文件的要求提供相应的《中小微企业声明函》。</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残疾人福利单位价格扣除</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监狱和戒毒企业价格扣除</w:t>
      </w:r>
      <w:r>
        <w:rPr>
          <w:highlight w:val="none"/>
        </w:rPr>
      </w:r>
      <w:r/>
    </w:p>
    <w:p>
      <w:pPr>
        <w:pStyle w:val="961"/>
        <w:ind w:firstLine="560"/>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残疾人福利单位、监狱企业属于小型、微型企业的，不重复享受政策。</w:t>
      </w:r>
      <w:r>
        <w:rPr>
          <w:highlight w:val="none"/>
        </w:rPr>
      </w:r>
      <w:r/>
    </w:p>
    <w:p>
      <w:pPr>
        <w:pStyle w:val="961"/>
        <w:ind w:firstLine="560"/>
        <w:keepLines w:val="0"/>
        <w:keepNext w:val="0"/>
        <w:pageBreakBefore w:val="0"/>
        <w:spacing w:line="400" w:lineRule="exact"/>
        <w:widowControl w:val="off"/>
        <w:rPr>
          <w:rFonts w:hint="eastAsia" w:ascii="华文新魏" w:hAnsi="宋体" w:eastAsia="华文新魏"/>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highlight w:val="none"/>
        </w:rPr>
      </w:r>
      <w:r/>
    </w:p>
    <w:p>
      <w:pPr>
        <w:pStyle w:val="961"/>
        <w:ind w:firstLine="560"/>
        <w:jc w:val="left"/>
        <w:keepLines w:val="0"/>
        <w:keepNext w:val="0"/>
        <w:pageBreakBefore w:val="0"/>
        <w:spacing w:before="120" w:after="120"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联合体各方均为小型、微型企业（残疾人福利单位、监狱企业）的，联合体享受10%价格扣除，用扣除后的价格参与评审。</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7.采购本国产品的支持政策</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7.1 本项目政府采购活动中既有本国产品又有非本国产品参与竞争的，依法对本国产品给予价格评审优惠，对本国产品的报价给予20%的价格扣除，用扣除后的价格参与评审。</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highlight w:val="none"/>
        </w:rPr>
        <w:t xml:space="preserve">。</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7.3 </w:t>
      </w:r>
      <w:r>
        <w:rPr>
          <w:rFonts w:hint="eastAsia" w:ascii="方正仿宋_GBK" w:hAnsi="方正仿宋_GBK" w:eastAsia="方正仿宋_GBK" w:cs="方正仿宋_GBK"/>
          <w:color w:val="000000"/>
          <w:sz w:val="28"/>
          <w:szCs w:val="28"/>
          <w:highlight w:val="none"/>
        </w:rPr>
        <w:t xml:space="preserve">供应商需按照</w:t>
      </w:r>
      <w:r>
        <w:rPr>
          <w:rFonts w:hint="eastAsia" w:ascii="方正仿宋_GBK" w:hAnsi="方正仿宋_GBK" w:eastAsia="方正仿宋_GBK" w:cs="方正仿宋_GBK"/>
          <w:color w:val="000000"/>
          <w:sz w:val="28"/>
          <w:szCs w:val="28"/>
          <w:highlight w:val="none"/>
          <w:lang w:eastAsia="zh-CN"/>
        </w:rPr>
        <w:t xml:space="preserve">招标</w:t>
      </w:r>
      <w:r>
        <w:rPr>
          <w:rFonts w:hint="eastAsia" w:ascii="方正仿宋_GBK" w:hAnsi="方正仿宋_GBK" w:eastAsia="方正仿宋_GBK" w:cs="方正仿宋_GBK"/>
          <w:color w:val="000000"/>
          <w:sz w:val="28"/>
          <w:szCs w:val="28"/>
          <w:highlight w:val="none"/>
        </w:rPr>
        <w:t xml:space="preserve">文件的要求提供《关于符合本国产品标准的声明函》</w:t>
      </w:r>
      <w:r>
        <w:rPr>
          <w:rFonts w:hint="eastAsia" w:ascii="方正仿宋_GBK" w:hAnsi="方正仿宋_GBK" w:eastAsia="方正仿宋_GBK" w:cs="方正仿宋_GBK"/>
          <w:color w:val="000000"/>
          <w:sz w:val="28"/>
          <w:szCs w:val="28"/>
          <w:highlight w:val="none"/>
          <w:lang w:eastAsia="zh-CN"/>
        </w:rPr>
        <w:t xml:space="preserve">（以下简称《声明函》），如不提供</w:t>
      </w:r>
      <w:r>
        <w:rPr>
          <w:rFonts w:hint="eastAsia" w:ascii="方正仿宋_GBK" w:hAnsi="方正仿宋_GBK" w:eastAsia="方正仿宋_GBK" w:cs="方正仿宋_GBK"/>
          <w:color w:val="000000"/>
          <w:sz w:val="28"/>
          <w:szCs w:val="28"/>
          <w:highlight w:val="none"/>
          <w:lang w:val="en-US" w:eastAsia="zh-CN"/>
        </w:rPr>
        <w:t xml:space="preserve">将不享受本国产品价格评审优惠</w:t>
      </w:r>
      <w:r>
        <w:rPr>
          <w:rFonts w:hint="eastAsia" w:ascii="方正仿宋_GBK" w:hAnsi="方正仿宋_GBK" w:eastAsia="方正仿宋_GBK" w:cs="方正仿宋_GBK"/>
          <w:color w:val="000000"/>
          <w:sz w:val="28"/>
          <w:szCs w:val="28"/>
          <w:highlight w:val="none"/>
        </w:rPr>
        <w:t xml:space="preserve">。</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供应商需在《声明函》中逐一、准确填写产品名称、厂名、生产厂址三项信息（</w:t>
      </w:r>
      <w:r>
        <w:rPr>
          <w:rFonts w:hint="eastAsia" w:ascii="方正仿宋_GBK" w:hAnsi="方正仿宋_GBK" w:eastAsia="方正仿宋_GBK" w:cs="方正仿宋_GBK"/>
          <w:color w:val="000000"/>
          <w:sz w:val="28"/>
          <w:szCs w:val="28"/>
          <w:highlight w:val="none"/>
          <w:lang w:val="en-US" w:eastAsia="zh-CN"/>
        </w:rPr>
        <w:t xml:space="preserve">《声明函》中标注“ </w:t>
      </w:r>
      <w:r>
        <w:rPr>
          <w:rFonts w:hint="eastAsia" w:ascii="方正仿宋_GBK" w:hAnsi="方正仿宋_GBK" w:eastAsia="方正仿宋_GBK" w:cs="方正仿宋_GBK"/>
          <w:color w:val="000000"/>
          <w:sz w:val="28"/>
          <w:szCs w:val="28"/>
          <w:highlight w:val="none"/>
          <w:u w:val="single"/>
          <w:lang w:val="en-US" w:eastAsia="zh-CN"/>
        </w:rPr>
        <w:t xml:space="preserve"> / </w:t>
      </w:r>
      <w:r>
        <w:rPr>
          <w:rFonts w:hint="eastAsia" w:ascii="方正仿宋_GBK" w:hAnsi="方正仿宋_GBK" w:eastAsia="方正仿宋_GBK" w:cs="方正仿宋_GBK"/>
          <w:color w:val="000000"/>
          <w:sz w:val="28"/>
          <w:szCs w:val="28"/>
          <w:highlight w:val="none"/>
          <w:lang w:val="en-US" w:eastAsia="zh-CN"/>
        </w:rPr>
        <w:t xml:space="preserve"> ”的地方无需填写</w:t>
      </w:r>
      <w:r>
        <w:rPr>
          <w:rFonts w:hint="eastAsia" w:ascii="方正仿宋_GBK" w:hAnsi="方正仿宋_GBK" w:eastAsia="方正仿宋_GBK" w:cs="方正仿宋_GBK"/>
          <w:color w:val="000000"/>
          <w:sz w:val="28"/>
          <w:szCs w:val="28"/>
          <w:highlight w:val="none"/>
        </w:rPr>
        <w:t xml:space="preserve">），三项信息中任意一项未填写的视为该项产品不符合本国产品标准，不享受本国产品价格评审优惠。</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highlight w:val="none"/>
          <w:lang w:eastAsia="zh-CN"/>
        </w:rPr>
        <w:t xml:space="preserve">和招标文件</w:t>
      </w:r>
      <w:r>
        <w:rPr>
          <w:rFonts w:hint="eastAsia" w:ascii="方正仿宋_GBK" w:hAnsi="方正仿宋_GBK" w:eastAsia="方正仿宋_GBK" w:cs="方正仿宋_GBK"/>
          <w:color w:val="000000"/>
          <w:sz w:val="28"/>
          <w:szCs w:val="28"/>
          <w:highlight w:val="none"/>
        </w:rPr>
        <w:t xml:space="preserve">规定的，供应商提供的相关产品视为不符合本国产品标准。</w:t>
      </w:r>
      <w:r>
        <w:rPr>
          <w:highlight w:val="none"/>
        </w:rPr>
      </w:r>
      <w:r/>
    </w:p>
    <w:p>
      <w:pPr>
        <w:pStyle w:val="961"/>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rPr>
          <w:highlight w:val="none"/>
        </w:rPr>
      </w:r>
      <w:r/>
    </w:p>
    <w:p>
      <w:pPr>
        <w:pStyle w:val="961"/>
        <w:ind w:firstLine="640"/>
        <w:jc w:val="left"/>
        <w:pageBreakBefore w:val="0"/>
        <w:spacing w:before="120" w:after="120" w:line="400" w:lineRule="exact"/>
        <w:rPr>
          <w:rFonts w:hint="eastAsia"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t xml:space="preserve">评标方法与评标标准</w:t>
      </w:r>
      <w:r>
        <w:rPr>
          <w:highlight w:val="none"/>
        </w:rPr>
      </w:r>
      <w:r/>
    </w:p>
    <w:tbl>
      <w:tblPr>
        <w:tblW w:w="9199" w:type="dxa"/>
        <w:tblInd w:w="-239" w:type="dxa"/>
        <w:tblLayout w:type="fixed"/>
        <w:tblCellMar>
          <w:left w:w="108" w:type="dxa"/>
          <w:top w:w="0" w:type="dxa"/>
          <w:right w:w="108" w:type="dxa"/>
          <w:bottom w:w="0" w:type="dxa"/>
        </w:tblCellMar>
        <w:tblLook w:val="04A0" w:firstRow="1" w:lastRow="0" w:firstColumn="1" w:lastColumn="0" w:noHBand="0" w:noVBand="1"/>
      </w:tblPr>
      <w:tblGrid>
        <w:gridCol w:w="976"/>
        <w:gridCol w:w="1050"/>
        <w:gridCol w:w="6177"/>
        <w:gridCol w:w="996"/>
      </w:tblGrid>
      <w:tr>
        <w:trPr/>
        <w:tc>
          <w:tcPr>
            <w:tcBorders>
              <w:top w:val="single" w:color="000000" w:sz="8" w:space="0"/>
              <w:left w:val="single" w:color="000000" w:sz="8" w:space="0"/>
              <w:bottom w:val="single" w:color="000000" w:sz="8" w:space="0"/>
              <w:right w:val="single" w:color="000000" w:sz="8" w:space="0"/>
            </w:tcBorders>
            <w:tcW w:w="976" w:type="dxa"/>
            <w:vAlign w:val="center"/>
            <w:textDirection w:val="lrTb"/>
            <w:noWrap w:val="false"/>
          </w:tcPr>
          <w:p>
            <w:pPr>
              <w:pStyle w:val="961"/>
              <w:spacing w:line="360" w:lineRule="exact"/>
              <w:rPr>
                <w:rFonts w:ascii="宋体" w:hAnsi="宋体"/>
                <w:b/>
                <w:bCs/>
                <w:color w:val="000000"/>
                <w:sz w:val="28"/>
                <w:szCs w:val="28"/>
                <w:highlight w:val="none"/>
              </w:rPr>
            </w:pPr>
            <w:r>
              <w:rPr>
                <w:rFonts w:ascii="宋体" w:hAnsi="宋体"/>
                <w:color w:val="000000"/>
                <w:sz w:val="28"/>
                <w:szCs w:val="28"/>
                <w:highlight w:val="none"/>
              </w:rPr>
              <w:br w:type="page" w:clear="all"/>
            </w:r>
            <w:r>
              <w:rPr>
                <w:rFonts w:ascii="宋体" w:hAnsi="宋体"/>
                <w:b/>
                <w:bCs/>
                <w:color w:val="000000"/>
                <w:sz w:val="28"/>
                <w:szCs w:val="28"/>
                <w:highlight w:val="none"/>
                <w:lang w:bidi="ar"/>
              </w:rPr>
              <w:t xml:space="preserve">序</w:t>
            </w:r>
            <w:r>
              <w:rPr>
                <w:rFonts w:hint="eastAsia" w:ascii="宋体" w:hAnsi="宋体" w:cs="微软雅黑"/>
                <w:b/>
                <w:bCs/>
                <w:color w:val="000000"/>
                <w:sz w:val="28"/>
                <w:szCs w:val="28"/>
                <w:highlight w:val="none"/>
                <w:lang w:bidi="ar"/>
              </w:rPr>
              <w:t xml:space="preserve">号</w:t>
            </w:r>
            <w:r>
              <w:rPr>
                <w:highlight w:val="none"/>
              </w:rPr>
            </w:r>
            <w:r/>
          </w:p>
        </w:tc>
        <w:tc>
          <w:tcPr>
            <w:tcBorders>
              <w:top w:val="single" w:color="000000" w:sz="8" w:space="0"/>
              <w:left w:val="none" w:color="000000" w:sz="4" w:space="0"/>
              <w:bottom w:val="single" w:color="000000" w:sz="8" w:space="0"/>
              <w:right w:val="single" w:color="000000" w:sz="8" w:space="0"/>
            </w:tcBorders>
            <w:tcW w:w="1050" w:type="dxa"/>
            <w:vAlign w:val="center"/>
            <w:textDirection w:val="lrTb"/>
            <w:noWrap w:val="false"/>
          </w:tcPr>
          <w:p>
            <w:pPr>
              <w:pStyle w:val="961"/>
              <w:jc w:val="center"/>
              <w:spacing w:line="360" w:lineRule="exact"/>
              <w:widowControl/>
              <w:rPr>
                <w:rFonts w:ascii="宋体" w:hAnsi="宋体"/>
                <w:b/>
                <w:bCs/>
                <w:color w:val="000000"/>
                <w:sz w:val="28"/>
                <w:szCs w:val="28"/>
                <w:highlight w:val="none"/>
              </w:rPr>
            </w:pPr>
            <w:r>
              <w:rPr>
                <w:rFonts w:hint="eastAsia" w:ascii="宋体" w:hAnsi="宋体" w:cs="微软雅黑"/>
                <w:b/>
                <w:bCs/>
                <w:color w:val="000000"/>
                <w:sz w:val="28"/>
                <w:szCs w:val="28"/>
                <w:highlight w:val="none"/>
                <w:lang w:bidi="ar"/>
              </w:rPr>
              <w:t xml:space="preserve">内</w:t>
            </w:r>
            <w:r>
              <w:rPr>
                <w:rFonts w:hint="eastAsia" w:ascii="宋体" w:hAnsi="宋体" w:cs="Malgun Gothic"/>
                <w:b/>
                <w:bCs/>
                <w:color w:val="000000"/>
                <w:sz w:val="28"/>
                <w:szCs w:val="28"/>
                <w:highlight w:val="none"/>
                <w:lang w:bidi="ar"/>
              </w:rPr>
              <w:t xml:space="preserve">容</w:t>
            </w:r>
            <w:r>
              <w:rPr>
                <w:highlight w:val="none"/>
              </w:rPr>
            </w:r>
            <w:r/>
          </w:p>
        </w:tc>
        <w:tc>
          <w:tcPr>
            <w:tcBorders>
              <w:top w:val="single" w:color="000000" w:sz="8" w:space="0"/>
              <w:left w:val="none" w:color="000000" w:sz="4" w:space="0"/>
              <w:bottom w:val="single" w:color="000000" w:sz="8" w:space="0"/>
              <w:right w:val="single" w:color="000000" w:sz="8" w:space="0"/>
            </w:tcBorders>
            <w:tcW w:w="6177" w:type="dxa"/>
            <w:vAlign w:val="center"/>
            <w:textDirection w:val="lrTb"/>
            <w:noWrap w:val="false"/>
          </w:tcPr>
          <w:p>
            <w:pPr>
              <w:pStyle w:val="961"/>
              <w:jc w:val="center"/>
              <w:spacing w:line="360" w:lineRule="exact"/>
              <w:widowControl/>
              <w:rPr>
                <w:rFonts w:ascii="宋体" w:hAnsi="宋体"/>
                <w:b/>
                <w:bCs/>
                <w:color w:val="000000"/>
                <w:sz w:val="28"/>
                <w:szCs w:val="28"/>
                <w:highlight w:val="none"/>
              </w:rPr>
            </w:pPr>
            <w:r>
              <w:rPr>
                <w:rFonts w:hint="eastAsia" w:ascii="宋体" w:hAnsi="宋体" w:cs="微软雅黑"/>
                <w:b/>
                <w:bCs/>
                <w:color w:val="000000"/>
                <w:sz w:val="28"/>
                <w:szCs w:val="28"/>
                <w:highlight w:val="none"/>
                <w:lang w:bidi="ar"/>
              </w:rPr>
              <w:t xml:space="preserve">评</w:t>
            </w:r>
            <w:r>
              <w:rPr>
                <w:rFonts w:hint="eastAsia" w:ascii="宋体" w:hAnsi="宋体" w:cs="Malgun Gothic"/>
                <w:b/>
                <w:bCs/>
                <w:color w:val="000000"/>
                <w:sz w:val="28"/>
                <w:szCs w:val="28"/>
                <w:highlight w:val="none"/>
                <w:lang w:bidi="ar"/>
              </w:rPr>
              <w:t xml:space="preserve">分要求</w:t>
            </w:r>
            <w:r>
              <w:rPr>
                <w:highlight w:val="none"/>
              </w:rPr>
            </w:r>
            <w:r/>
          </w:p>
        </w:tc>
        <w:tc>
          <w:tcPr>
            <w:tcBorders>
              <w:top w:val="single" w:color="000000" w:sz="8" w:space="0"/>
              <w:left w:val="none" w:color="000000" w:sz="4" w:space="0"/>
              <w:bottom w:val="single" w:color="000000" w:sz="8" w:space="0"/>
              <w:right w:val="single" w:color="000000" w:sz="8" w:space="0"/>
            </w:tcBorders>
            <w:tcW w:w="996" w:type="dxa"/>
            <w:vAlign w:val="center"/>
            <w:textDirection w:val="lrTb"/>
            <w:noWrap w:val="false"/>
          </w:tcPr>
          <w:p>
            <w:pPr>
              <w:pStyle w:val="961"/>
              <w:jc w:val="center"/>
              <w:spacing w:line="360" w:lineRule="exact"/>
              <w:widowControl/>
              <w:rPr>
                <w:rFonts w:ascii="宋体" w:hAnsi="宋体"/>
                <w:b/>
                <w:bCs/>
                <w:color w:val="000000"/>
                <w:sz w:val="28"/>
                <w:szCs w:val="28"/>
                <w:highlight w:val="none"/>
              </w:rPr>
            </w:pPr>
            <w:r>
              <w:rPr>
                <w:rFonts w:ascii="宋体" w:hAnsi="宋体"/>
                <w:b/>
                <w:bCs/>
                <w:color w:val="000000"/>
                <w:sz w:val="28"/>
                <w:szCs w:val="28"/>
                <w:highlight w:val="none"/>
                <w:lang w:bidi="ar"/>
              </w:rPr>
              <w:t xml:space="preserve">分</w:t>
            </w:r>
            <w:r>
              <w:rPr>
                <w:rFonts w:hint="eastAsia" w:ascii="宋体" w:hAnsi="宋体" w:cs="微软雅黑"/>
                <w:b/>
                <w:bCs/>
                <w:color w:val="000000"/>
                <w:sz w:val="28"/>
                <w:szCs w:val="28"/>
                <w:highlight w:val="none"/>
                <w:lang w:bidi="ar"/>
              </w:rPr>
              <w:t xml:space="preserve">值</w:t>
            </w:r>
            <w:r>
              <w:rPr>
                <w:highlight w:val="none"/>
              </w:rPr>
            </w:r>
            <w:r/>
          </w:p>
        </w:tc>
      </w:tr>
      <w:tr>
        <w:trPr/>
        <w:tc>
          <w:tcPr>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bidi="ar"/>
              </w:rPr>
              <w:t xml:space="preserve">投标报价</w:t>
            </w:r>
            <w:r>
              <w:rPr>
                <w:highlight w:val="none"/>
              </w:rPr>
            </w:r>
            <w:r/>
          </w:p>
        </w:tc>
        <w:tc>
          <w:tcPr>
            <w:tcBorders>
              <w:top w:val="none" w:color="000000" w:sz="4" w:space="0"/>
              <w:left w:val="none" w:color="000000" w:sz="4" w:space="0"/>
              <w:bottom w:val="single" w:color="000000" w:sz="8" w:space="0"/>
              <w:right w:val="single" w:color="000000" w:sz="8" w:space="0"/>
            </w:tcBorders>
            <w:tcW w:w="6177" w:type="dxa"/>
            <w:vAlign w:val="center"/>
            <w:textDirection w:val="lrTb"/>
            <w:noWrap w:val="false"/>
          </w:tcPr>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价格分采用低价优先法计算，即满足招标文件要求且最后报价最低的投标报价为评标基准价，其价格分为满分</w:t>
            </w:r>
            <w:r>
              <w:rPr>
                <w:rFonts w:hint="eastAsia" w:ascii="方正仿宋_GBK" w:hAnsi="方正仿宋_GBK" w:eastAsia="方正仿宋_GBK" w:cs="方正仿宋_GBK"/>
                <w:color w:val="000000"/>
                <w:sz w:val="28"/>
                <w:szCs w:val="28"/>
                <w:highlight w:val="none"/>
                <w:lang w:val="en-US" w:eastAsia="zh-CN" w:bidi="ar"/>
              </w:rPr>
              <w:t xml:space="preserve">30</w:t>
            </w:r>
            <w:r>
              <w:rPr>
                <w:rFonts w:hint="eastAsia" w:ascii="方正仿宋_GBK" w:hAnsi="方正仿宋_GBK" w:eastAsia="方正仿宋_GBK" w:cs="方正仿宋_GBK"/>
                <w:color w:val="000000"/>
                <w:sz w:val="28"/>
                <w:szCs w:val="28"/>
                <w:highlight w:val="none"/>
                <w:lang w:bidi="ar"/>
              </w:rPr>
              <w:t xml:space="preserve">分，其它投标人的价格分统一按照下列公式计算：投标报价得分=（评标基准价/投标报价）×</w:t>
            </w:r>
            <w:r>
              <w:rPr>
                <w:rFonts w:hint="eastAsia" w:ascii="方正仿宋_GBK" w:hAnsi="方正仿宋_GBK" w:eastAsia="方正仿宋_GBK" w:cs="方正仿宋_GBK"/>
                <w:color w:val="000000"/>
                <w:sz w:val="28"/>
                <w:szCs w:val="28"/>
                <w:highlight w:val="none"/>
                <w:lang w:val="en-US" w:eastAsia="zh-CN" w:bidi="ar"/>
              </w:rPr>
              <w:t xml:space="preserve">30</w:t>
            </w:r>
            <w:r>
              <w:rPr>
                <w:rFonts w:hint="eastAsia" w:ascii="方正仿宋_GBK" w:hAnsi="方正仿宋_GBK" w:eastAsia="方正仿宋_GBK" w:cs="方正仿宋_GBK"/>
                <w:color w:val="000000"/>
                <w:sz w:val="28"/>
                <w:szCs w:val="28"/>
                <w:highlight w:val="none"/>
                <w:lang w:bidi="ar"/>
              </w:rPr>
              <w:t xml:space="preserve">分。分值保留小数点后2位。</w:t>
            </w:r>
            <w:r>
              <w:rPr>
                <w:highlight w:val="none"/>
              </w:rPr>
            </w:r>
            <w:r/>
          </w:p>
        </w:tc>
        <w:tc>
          <w:tcPr>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30</w:t>
            </w:r>
            <w:r>
              <w:rPr>
                <w:highlight w:val="none"/>
              </w:rPr>
            </w:r>
            <w:r/>
          </w:p>
        </w:tc>
      </w:tr>
      <w:tr>
        <w:trPr/>
        <w:tc>
          <w:tcPr>
            <w:tcBorders>
              <w:top w:val="none" w:color="000000" w:sz="4" w:space="0"/>
              <w:left w:val="single" w:color="000000" w:sz="8" w:space="0"/>
              <w:bottom w:val="single" w:color="000000" w:sz="8" w:space="0"/>
              <w:right w:val="single" w:color="000000" w:sz="8" w:space="0"/>
            </w:tcBorders>
            <w:tcW w:w="976" w:type="dxa"/>
            <w:vAlign w:val="center"/>
            <w:vMerge w:val="restart"/>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W w:w="1050" w:type="dxa"/>
            <w:vAlign w:val="center"/>
            <w:vMerge w:val="restart"/>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技术参数及要求</w:t>
            </w:r>
            <w:r>
              <w:rPr>
                <w:highlight w:val="none"/>
              </w:rPr>
            </w:r>
            <w:r/>
          </w:p>
        </w:tc>
        <w:tc>
          <w:tcPr>
            <w:tcBorders>
              <w:top w:val="none" w:color="000000" w:sz="4" w:space="0"/>
              <w:left w:val="none" w:color="000000" w:sz="4" w:space="0"/>
              <w:bottom w:val="single" w:color="000000" w:sz="8" w:space="0"/>
              <w:right w:val="single" w:color="000000" w:sz="8" w:space="0"/>
            </w:tcBorders>
            <w:tcW w:w="6177" w:type="dxa"/>
            <w:vAlign w:val="center"/>
            <w:textDirection w:val="lrTb"/>
            <w:noWrap w:val="false"/>
          </w:tcPr>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2.1技术参数、功能配置</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投标产品对招标文件具体需求的响应程度：完全响应招标文件</w:t>
            </w:r>
            <w:r>
              <w:rPr>
                <w:rFonts w:hint="eastAsia" w:ascii="方正仿宋_GBK" w:hAnsi="方正仿宋_GBK" w:eastAsia="方正仿宋_GBK" w:cs="方正仿宋_GBK"/>
                <w:color w:val="000000"/>
                <w:sz w:val="28"/>
                <w:szCs w:val="28"/>
                <w:highlight w:val="none"/>
                <w:lang w:eastAsia="zh-CN" w:bidi="ar"/>
              </w:rPr>
              <w:t xml:space="preserve">第四章“</w:t>
            </w:r>
            <w:r>
              <w:rPr>
                <w:rFonts w:hint="eastAsia" w:ascii="方正仿宋_GBK" w:hAnsi="方正仿宋_GBK" w:eastAsia="方正仿宋_GBK" w:cs="方正仿宋_GBK"/>
                <w:color w:val="000000"/>
                <w:sz w:val="28"/>
                <w:szCs w:val="28"/>
                <w:highlight w:val="none"/>
                <w:lang w:val="en-US" w:eastAsia="zh-CN" w:bidi="ar"/>
              </w:rPr>
              <w:t xml:space="preserve">四、设备需求一览表</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（二）产品技术性能指标</w:t>
            </w:r>
            <w:r>
              <w:rPr>
                <w:rFonts w:hint="eastAsia" w:ascii="方正仿宋_GBK" w:hAnsi="方正仿宋_GBK" w:eastAsia="方正仿宋_GBK" w:cs="方正仿宋_GBK"/>
                <w:color w:val="000000"/>
                <w:sz w:val="28"/>
                <w:szCs w:val="28"/>
                <w:highlight w:val="none"/>
                <w:lang w:val="en-US" w:eastAsia="zh-CN" w:bidi="ar"/>
              </w:rPr>
              <w:t xml:space="preserve"> </w:t>
            </w:r>
            <w:r>
              <w:rPr>
                <w:rFonts w:hint="eastAsia" w:ascii="方正仿宋_GBK" w:hAnsi="方正仿宋_GBK" w:eastAsia="方正仿宋_GBK" w:cs="方正仿宋_GBK"/>
                <w:color w:val="000000"/>
                <w:sz w:val="28"/>
                <w:szCs w:val="28"/>
                <w:highlight w:val="none"/>
                <w:lang w:bidi="ar"/>
              </w:rPr>
              <w:t xml:space="preserve">1. 技术参数及要求</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的得3</w:t>
            </w:r>
            <w:r>
              <w:rPr>
                <w:rFonts w:hint="eastAsia" w:ascii="方正仿宋_GBK" w:hAnsi="方正仿宋_GBK" w:eastAsia="方正仿宋_GBK" w:cs="方正仿宋_GBK"/>
                <w:color w:val="000000"/>
                <w:sz w:val="28"/>
                <w:szCs w:val="28"/>
                <w:highlight w:val="none"/>
                <w:lang w:val="en-US" w:eastAsia="zh-CN" w:bidi="ar"/>
              </w:rPr>
              <w:t xml:space="preserve">0</w:t>
            </w:r>
            <w:r>
              <w:rPr>
                <w:rFonts w:hint="eastAsia" w:ascii="方正仿宋_GBK" w:hAnsi="方正仿宋_GBK" w:eastAsia="方正仿宋_GBK" w:cs="方正仿宋_GBK"/>
                <w:color w:val="000000"/>
                <w:sz w:val="28"/>
                <w:szCs w:val="28"/>
                <w:highlight w:val="none"/>
                <w:lang w:bidi="ar"/>
              </w:rPr>
              <w:t xml:space="preserve">分。</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指标和功能要求共有6</w:t>
            </w:r>
            <w:r>
              <w:rPr>
                <w:rFonts w:hint="eastAsia" w:ascii="方正仿宋_GBK" w:hAnsi="方正仿宋_GBK" w:eastAsia="方正仿宋_GBK" w:cs="方正仿宋_GBK"/>
                <w:color w:val="000000"/>
                <w:sz w:val="28"/>
                <w:szCs w:val="28"/>
                <w:highlight w:val="none"/>
                <w:lang w:val="en-US" w:eastAsia="zh-CN" w:bidi="ar"/>
              </w:rPr>
              <w:t xml:space="preserve">0</w:t>
            </w:r>
            <w:r>
              <w:rPr>
                <w:rFonts w:hint="eastAsia" w:ascii="方正仿宋_GBK" w:hAnsi="方正仿宋_GBK" w:eastAsia="方正仿宋_GBK" w:cs="方正仿宋_GBK"/>
                <w:color w:val="000000"/>
                <w:sz w:val="28"/>
                <w:szCs w:val="28"/>
                <w:highlight w:val="none"/>
                <w:lang w:bidi="ar"/>
              </w:rPr>
              <w:t xml:space="preserve">项，每负偏离一项扣0.5分，扣完为止。</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注：投标人需按照本采购文件要求，在</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四、设备需求一览表</w:t>
            </w:r>
            <w:r>
              <w:rPr>
                <w:rFonts w:hint="eastAsia" w:ascii="方正仿宋_GBK" w:hAnsi="方正仿宋_GBK" w:eastAsia="方正仿宋_GBK" w:cs="方正仿宋_GBK"/>
                <w:color w:val="000000"/>
                <w:sz w:val="28"/>
                <w:szCs w:val="28"/>
                <w:highlight w:val="none"/>
                <w:lang w:bidi="ar"/>
              </w:rPr>
              <w:t xml:space="preserve">（二）产品技术性能指标</w:t>
            </w:r>
            <w:r>
              <w:rPr>
                <w:rFonts w:hint="eastAsia" w:ascii="方正仿宋_GBK" w:hAnsi="方正仿宋_GBK" w:eastAsia="方正仿宋_GBK" w:cs="方正仿宋_GBK"/>
                <w:color w:val="000000"/>
                <w:sz w:val="28"/>
                <w:szCs w:val="28"/>
                <w:highlight w:val="none"/>
                <w:lang w:val="en-US" w:eastAsia="zh-CN" w:bidi="ar"/>
              </w:rPr>
              <w:t xml:space="preserve"> </w:t>
            </w:r>
            <w:r>
              <w:rPr>
                <w:rFonts w:hint="eastAsia" w:ascii="方正仿宋_GBK" w:hAnsi="方正仿宋_GBK" w:eastAsia="方正仿宋_GBK" w:cs="方正仿宋_GBK"/>
                <w:color w:val="000000"/>
                <w:sz w:val="28"/>
                <w:szCs w:val="28"/>
                <w:highlight w:val="none"/>
                <w:lang w:bidi="ar"/>
              </w:rPr>
              <w:t xml:space="preserve">1. 技术参数及要求”中如实详细填列所投产品的参数及商务承诺，并按采购文件要求提供相应证明材料并在投标文件中醒目标识。</w:t>
            </w:r>
            <w:r>
              <w:rPr>
                <w:highlight w:val="none"/>
              </w:rPr>
            </w:r>
            <w:r/>
          </w:p>
        </w:tc>
        <w:tc>
          <w:tcPr>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3</w:t>
            </w:r>
            <w:r>
              <w:rPr>
                <w:rFonts w:hint="eastAsia" w:ascii="方正仿宋_GBK" w:hAnsi="方正仿宋_GBK" w:eastAsia="方正仿宋_GBK" w:cs="方正仿宋_GBK"/>
                <w:color w:val="000000"/>
                <w:sz w:val="28"/>
                <w:szCs w:val="28"/>
                <w:highlight w:val="none"/>
                <w:lang w:val="en-US" w:eastAsia="zh-CN" w:bidi="ar"/>
              </w:rPr>
              <w:t xml:space="preserve">0</w:t>
            </w:r>
            <w:r>
              <w:rPr>
                <w:highlight w:val="none"/>
              </w:rPr>
            </w:r>
            <w:r/>
          </w:p>
        </w:tc>
      </w:tr>
      <w:tr>
        <w:trPr/>
        <w:tc>
          <w:tcPr>
            <w:tcBorders>
              <w:top w:val="none" w:color="000000" w:sz="4" w:space="0"/>
              <w:left w:val="single" w:color="000000" w:sz="8" w:space="0"/>
              <w:bottom w:val="single" w:color="000000" w:sz="8" w:space="0"/>
              <w:right w:val="single" w:color="000000" w:sz="8" w:space="0"/>
            </w:tcBorders>
            <w:tcW w:w="976"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1050"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6177" w:type="dxa"/>
            <w:vAlign w:val="center"/>
            <w:textDirection w:val="lrTb"/>
            <w:noWrap w:val="false"/>
          </w:tcPr>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2.2投标产品核心部件</w:t>
            </w:r>
            <w:r>
              <w:rPr>
                <w:highlight w:val="none"/>
              </w:rPr>
            </w:r>
            <w:r/>
          </w:p>
          <w:p>
            <w:pPr>
              <w:pStyle w:val="961"/>
              <w:spacing w:line="360" w:lineRule="exact"/>
              <w:widowControl/>
              <w:rPr>
                <w:rFonts w:ascii="方正仿宋_GBK" w:hAnsi="方正仿宋_GBK" w:eastAsia="宋体"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投标产品核心部件：客梯曳引机、控制柜、控制器、调速器、轿门门锁、厅门门锁、安全钳、限速器、轿厢缓冲器、对重缓冲器为</w:t>
            </w:r>
            <w:r>
              <w:rPr>
                <w:rFonts w:hint="eastAsia" w:ascii="方正仿宋_GBK" w:hAnsi="方正仿宋_GBK" w:eastAsia="方正仿宋_GBK" w:cs="方正仿宋_GBK"/>
                <w:b w:val="0"/>
                <w:bCs w:val="0"/>
                <w:i w:val="0"/>
                <w:iCs w:val="0"/>
                <w:color w:val="000000"/>
                <w:sz w:val="28"/>
                <w:szCs w:val="28"/>
                <w:highlight w:val="none"/>
                <w:u w:val="none"/>
                <w:lang w:val="en-US" w:eastAsia="zh-CN" w:bidi="ar"/>
              </w:rPr>
              <w:t xml:space="preserve">电梯制造商原厂原品牌的，上述配件每提供一项得0.5分，满分5分；上述配件非电梯制造商原厂原品牌但能满足电梯使用需求的，得 1分。未提供的不得分。</w:t>
            </w:r>
            <w:r>
              <w:rPr>
                <w:highlight w:val="none"/>
              </w:rPr>
            </w:r>
            <w:r/>
          </w:p>
        </w:tc>
        <w:tc>
          <w:tcPr>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5</w:t>
            </w:r>
            <w:r>
              <w:rPr>
                <w:highlight w:val="none"/>
              </w:rPr>
            </w:r>
            <w:r/>
          </w:p>
        </w:tc>
      </w:tr>
      <w:tr>
        <w:trPr/>
        <w:tc>
          <w:tcPr>
            <w:tcBorders>
              <w:top w:val="none" w:color="000000" w:sz="4" w:space="0"/>
              <w:left w:val="single" w:color="000000" w:sz="8" w:space="0"/>
              <w:bottom w:val="single" w:color="000000" w:sz="8" w:space="0"/>
              <w:right w:val="single" w:color="000000" w:sz="8" w:space="0"/>
            </w:tcBorders>
            <w:tcW w:w="976"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1050"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6177" w:type="dxa"/>
            <w:vAlign w:val="center"/>
            <w:textDirection w:val="lrTb"/>
            <w:noWrap w:val="false"/>
          </w:tcPr>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w:t>
            </w:r>
            <w:r>
              <w:rPr>
                <w:rFonts w:hint="eastAsia" w:ascii="方正仿宋_GBK" w:hAnsi="方正仿宋_GBK" w:eastAsia="方正仿宋_GBK" w:cs="方正仿宋_GBK"/>
                <w:color w:val="000000"/>
                <w:sz w:val="28"/>
                <w:szCs w:val="28"/>
                <w:highlight w:val="none"/>
                <w:lang w:val="en-US" w:eastAsia="zh-CN" w:bidi="ar"/>
              </w:rPr>
              <w:t xml:space="preserve">3</w:t>
            </w:r>
            <w:r>
              <w:rPr>
                <w:rFonts w:hint="eastAsia" w:ascii="方正仿宋_GBK" w:hAnsi="方正仿宋_GBK" w:eastAsia="方正仿宋_GBK" w:cs="方正仿宋_GBK"/>
                <w:color w:val="000000"/>
                <w:sz w:val="28"/>
                <w:szCs w:val="28"/>
                <w:highlight w:val="none"/>
                <w:lang w:bidi="ar"/>
              </w:rPr>
              <w:t xml:space="preserve">主机（曳引机）防护等级</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依据</w:t>
            </w:r>
            <w:r>
              <w:rPr>
                <w:rFonts w:hint="eastAsia" w:ascii="方正仿宋_GBK" w:hAnsi="方正仿宋_GBK" w:eastAsia="方正仿宋_GBK" w:cs="方正仿宋_GBK"/>
                <w:color w:val="000000"/>
                <w:sz w:val="28"/>
                <w:szCs w:val="28"/>
                <w:highlight w:val="none"/>
                <w:lang w:eastAsia="zh-CN" w:bidi="ar"/>
              </w:rPr>
              <w:t xml:space="preserve">标准：</w:t>
            </w:r>
            <w:r>
              <w:rPr>
                <w:rFonts w:hint="eastAsia" w:ascii="方正仿宋_GBK" w:hAnsi="方正仿宋_GBK" w:eastAsia="方正仿宋_GBK" w:cs="方正仿宋_GBK"/>
                <w:color w:val="000000"/>
                <w:sz w:val="28"/>
                <w:szCs w:val="28"/>
                <w:highlight w:val="none"/>
                <w:lang w:bidi="ar"/>
              </w:rPr>
              <w:t xml:space="preserve">GB/T4942</w:t>
            </w:r>
            <w:r>
              <w:rPr>
                <w:rFonts w:hint="eastAsia" w:ascii="方正仿宋_GBK" w:hAnsi="方正仿宋_GBK" w:eastAsia="方正仿宋_GBK" w:cs="方正仿宋_GBK"/>
                <w:color w:val="000000"/>
                <w:sz w:val="28"/>
                <w:szCs w:val="28"/>
                <w:highlight w:val="none"/>
                <w:lang w:val="en-US" w:eastAsia="zh-CN" w:bidi="ar"/>
              </w:rPr>
              <w:t xml:space="preserve">-</w:t>
            </w:r>
            <w:r>
              <w:rPr>
                <w:rFonts w:hint="eastAsia" w:ascii="方正仿宋_GBK" w:hAnsi="方正仿宋_GBK" w:eastAsia="方正仿宋_GBK" w:cs="方正仿宋_GBK"/>
                <w:color w:val="000000"/>
                <w:sz w:val="28"/>
                <w:szCs w:val="28"/>
                <w:highlight w:val="none"/>
                <w:lang w:bidi="ar"/>
              </w:rPr>
              <w:t xml:space="preserve">2021《旋转电机</w:t>
            </w:r>
            <w:r>
              <w:rPr>
                <w:rFonts w:hint="eastAsia" w:ascii="方正仿宋_GBK" w:hAnsi="方正仿宋_GBK" w:eastAsia="方正仿宋_GBK" w:cs="方正仿宋_GBK"/>
                <w:color w:val="000000"/>
                <w:sz w:val="28"/>
                <w:szCs w:val="28"/>
                <w:highlight w:val="none"/>
                <w:lang w:eastAsia="zh-CN" w:bidi="ar"/>
              </w:rPr>
              <w:t xml:space="preserve">整体结构的</w:t>
            </w:r>
            <w:r>
              <w:rPr>
                <w:rFonts w:hint="eastAsia" w:ascii="方正仿宋_GBK" w:hAnsi="方正仿宋_GBK" w:eastAsia="方正仿宋_GBK" w:cs="方正仿宋_GBK"/>
                <w:color w:val="000000"/>
                <w:sz w:val="28"/>
                <w:szCs w:val="28"/>
                <w:highlight w:val="none"/>
                <w:lang w:bidi="ar"/>
              </w:rPr>
              <w:t xml:space="preserve">防护等级（IP代码）</w:t>
            </w:r>
            <w:r>
              <w:rPr>
                <w:rFonts w:hint="eastAsia" w:ascii="方正仿宋_GBK" w:hAnsi="方正仿宋_GBK" w:eastAsia="方正仿宋_GBK" w:cs="方正仿宋_GBK"/>
                <w:color w:val="000000"/>
                <w:sz w:val="28"/>
                <w:szCs w:val="28"/>
                <w:highlight w:val="none"/>
                <w:lang w:eastAsia="zh-CN" w:bidi="ar"/>
              </w:rPr>
              <w:t xml:space="preserve">分级</w:t>
            </w:r>
            <w:r>
              <w:rPr>
                <w:rFonts w:hint="eastAsia" w:ascii="方正仿宋_GBK" w:hAnsi="方正仿宋_GBK" w:eastAsia="方正仿宋_GBK" w:cs="方正仿宋_GBK"/>
                <w:color w:val="000000"/>
                <w:sz w:val="28"/>
                <w:szCs w:val="28"/>
                <w:highlight w:val="none"/>
                <w:lang w:bidi="ar"/>
              </w:rPr>
              <w:t xml:space="preserve">》。</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投标人所投电梯客梯产品主机（曳引机）防护等级A，A≥IP52级别及以上得2分，IP52＞A≥IP41得1分，A&lt;IP41不得分。</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提供具有</w:t>
            </w:r>
            <w:r>
              <w:rPr>
                <w:rFonts w:hint="eastAsia" w:ascii="方正仿宋_GBK" w:hAnsi="方正仿宋_GBK" w:eastAsia="方正仿宋_GBK" w:cs="方正仿宋_GBK"/>
                <w:color w:val="000000"/>
                <w:sz w:val="28"/>
                <w:szCs w:val="28"/>
                <w:highlight w:val="none"/>
                <w:lang w:bidi="ar"/>
              </w:rPr>
              <w:t xml:space="preserve">CMA标识</w:t>
            </w:r>
            <w:r>
              <w:rPr>
                <w:rFonts w:hint="eastAsia" w:ascii="方正仿宋_GBK" w:hAnsi="方正仿宋_GBK" w:eastAsia="方正仿宋_GBK" w:cs="方正仿宋_GBK"/>
                <w:color w:val="000000"/>
                <w:sz w:val="28"/>
                <w:szCs w:val="28"/>
                <w:highlight w:val="none"/>
                <w:lang w:val="en-US" w:eastAsia="zh-CN" w:bidi="ar"/>
              </w:rPr>
              <w:t xml:space="preserve">的</w:t>
            </w:r>
            <w:r>
              <w:rPr>
                <w:rFonts w:hint="eastAsia" w:ascii="方正仿宋_GBK" w:hAnsi="方正仿宋_GBK" w:eastAsia="方正仿宋_GBK" w:cs="方正仿宋_GBK"/>
                <w:color w:val="000000"/>
                <w:sz w:val="28"/>
                <w:szCs w:val="28"/>
                <w:highlight w:val="none"/>
                <w:lang w:bidi="ar"/>
              </w:rPr>
              <w:t xml:space="preserve">检测报告复印件</w:t>
            </w:r>
            <w:r>
              <w:rPr>
                <w:rFonts w:hint="eastAsia" w:ascii="方正仿宋_GBK" w:hAnsi="方正仿宋_GBK" w:eastAsia="方正仿宋_GBK" w:cs="方正仿宋_GBK"/>
                <w:color w:val="000000"/>
                <w:sz w:val="28"/>
                <w:szCs w:val="28"/>
                <w:highlight w:val="none"/>
                <w:lang w:val="en-US" w:eastAsia="zh-CN" w:bidi="ar"/>
              </w:rPr>
              <w:t xml:space="preserve">或扫描件并</w:t>
            </w:r>
            <w:r>
              <w:rPr>
                <w:rFonts w:hint="eastAsia" w:ascii="方正仿宋_GBK" w:hAnsi="方正仿宋_GBK" w:eastAsia="方正仿宋_GBK" w:cs="方正仿宋_GBK"/>
                <w:color w:val="000000"/>
                <w:sz w:val="28"/>
                <w:szCs w:val="28"/>
                <w:highlight w:val="none"/>
                <w:lang w:bidi="ar"/>
              </w:rPr>
              <w:t xml:space="preserve">加盖投标人公章）</w:t>
            </w:r>
            <w:r>
              <w:rPr>
                <w:highlight w:val="none"/>
              </w:rPr>
            </w:r>
            <w:r/>
          </w:p>
        </w:tc>
        <w:tc>
          <w:tcPr>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w:t>
            </w:r>
            <w:r>
              <w:rPr>
                <w:highlight w:val="none"/>
              </w:rPr>
            </w:r>
            <w:r/>
          </w:p>
        </w:tc>
      </w:tr>
      <w:tr>
        <w:trPr>
          <w:trHeight w:val="2585"/>
        </w:trPr>
        <w:tc>
          <w:tcPr>
            <w:tcBorders>
              <w:top w:val="none" w:color="000000" w:sz="4" w:space="0"/>
              <w:left w:val="single" w:color="000000" w:sz="8" w:space="0"/>
              <w:bottom w:val="single" w:color="000000" w:sz="8" w:space="0"/>
              <w:right w:val="single" w:color="000000" w:sz="8" w:space="0"/>
            </w:tcBorders>
            <w:tcW w:w="976"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1050"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6177" w:type="dxa"/>
            <w:vAlign w:val="center"/>
            <w:textDirection w:val="lrTb"/>
            <w:noWrap w:val="false"/>
          </w:tcPr>
          <w:p>
            <w:pPr>
              <w:pStyle w:val="961"/>
              <w:numPr>
                <w:ilvl w:val="0"/>
                <w:numId w:val="0"/>
              </w:numPr>
              <w:spacing w:line="360" w:lineRule="exact"/>
              <w:widowControl/>
              <w:rPr>
                <w:rFonts w:hint="eastAsia" w:ascii="方正仿宋_GBK" w:hAnsi="方正仿宋_GBK" w:eastAsia="方正仿宋_GBK" w:cs="方正仿宋_GBK"/>
                <w:color w:val="000000"/>
                <w:sz w:val="28"/>
                <w:szCs w:val="28"/>
                <w:highlight w:val="none"/>
              </w:rPr>
            </w:pPr>
            <w:r>
              <w:rPr>
                <w:highlight w:val="none"/>
              </w:rPr>
            </w:r>
            <w:bookmarkStart w:id="185" w:name="OLE_LINK7"/>
            <w:r>
              <w:rPr>
                <w:rFonts w:hint="eastAsia" w:ascii="方正仿宋_GBK" w:hAnsi="方正仿宋_GBK" w:eastAsia="方正仿宋_GBK" w:cs="方正仿宋_GBK"/>
                <w:color w:val="000000"/>
                <w:sz w:val="28"/>
                <w:szCs w:val="28"/>
                <w:highlight w:val="none"/>
                <w:lang w:bidi="ar"/>
              </w:rPr>
              <w:t xml:space="preserve">2.</w:t>
            </w:r>
            <w:r>
              <w:rPr>
                <w:rFonts w:hint="eastAsia" w:ascii="方正仿宋_GBK" w:hAnsi="方正仿宋_GBK" w:eastAsia="方正仿宋_GBK" w:cs="方正仿宋_GBK"/>
                <w:color w:val="000000"/>
                <w:sz w:val="28"/>
                <w:szCs w:val="28"/>
                <w:highlight w:val="none"/>
                <w:lang w:val="en-US" w:eastAsia="zh-CN" w:bidi="ar"/>
              </w:rPr>
              <w:t xml:space="preserve">4</w:t>
            </w:r>
            <w:bookmarkEnd w:id="185"/>
            <w:r>
              <w:rPr>
                <w:rFonts w:hint="eastAsia" w:ascii="方正仿宋_GBK" w:hAnsi="方正仿宋_GBK" w:eastAsia="方正仿宋_GBK" w:cs="方正仿宋_GBK"/>
                <w:color w:val="000000"/>
                <w:sz w:val="28"/>
                <w:szCs w:val="28"/>
                <w:highlight w:val="none"/>
                <w:lang w:val="en-US" w:eastAsia="zh-CN" w:bidi="ar"/>
              </w:rPr>
              <w:t xml:space="preserve">曳引钢丝绳</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依据标准：GB8903-2024《电梯用钢丝绳》。</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1）钢丝绳满足GB8903-2024电梯专用钢丝绳要求，提供完整出厂质量证明书得1分；</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2）提供第三方CMA检测报告，检测依据GB 8903-2024，且检测项目包含直径偏差、破断拉力、结构，得1分；未提供本项不得分。</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提供具有</w:t>
            </w:r>
            <w:r>
              <w:rPr>
                <w:rFonts w:hint="eastAsia" w:ascii="方正仿宋_GBK" w:hAnsi="方正仿宋_GBK" w:eastAsia="方正仿宋_GBK" w:cs="方正仿宋_GBK"/>
                <w:color w:val="000000"/>
                <w:sz w:val="28"/>
                <w:szCs w:val="28"/>
                <w:highlight w:val="none"/>
                <w:lang w:bidi="ar"/>
              </w:rPr>
              <w:t xml:space="preserve">CMA标识</w:t>
            </w:r>
            <w:r>
              <w:rPr>
                <w:rFonts w:hint="eastAsia" w:ascii="方正仿宋_GBK" w:hAnsi="方正仿宋_GBK" w:eastAsia="方正仿宋_GBK" w:cs="方正仿宋_GBK"/>
                <w:color w:val="000000"/>
                <w:sz w:val="28"/>
                <w:szCs w:val="28"/>
                <w:highlight w:val="none"/>
                <w:lang w:val="en-US" w:eastAsia="zh-CN" w:bidi="ar"/>
              </w:rPr>
              <w:t xml:space="preserve">的</w:t>
            </w:r>
            <w:r>
              <w:rPr>
                <w:rFonts w:hint="eastAsia" w:ascii="方正仿宋_GBK" w:hAnsi="方正仿宋_GBK" w:eastAsia="方正仿宋_GBK" w:cs="方正仿宋_GBK"/>
                <w:color w:val="000000"/>
                <w:sz w:val="28"/>
                <w:szCs w:val="28"/>
                <w:highlight w:val="none"/>
                <w:lang w:bidi="ar"/>
              </w:rPr>
              <w:t xml:space="preserve">检测报告复印件</w:t>
            </w:r>
            <w:r>
              <w:rPr>
                <w:rFonts w:hint="eastAsia" w:ascii="方正仿宋_GBK" w:hAnsi="方正仿宋_GBK" w:eastAsia="方正仿宋_GBK" w:cs="方正仿宋_GBK"/>
                <w:color w:val="000000"/>
                <w:sz w:val="28"/>
                <w:szCs w:val="28"/>
                <w:highlight w:val="none"/>
                <w:lang w:val="en-US" w:eastAsia="zh-CN" w:bidi="ar"/>
              </w:rPr>
              <w:t xml:space="preserve">或扫描件并</w:t>
            </w:r>
            <w:r>
              <w:rPr>
                <w:rFonts w:hint="eastAsia" w:ascii="方正仿宋_GBK" w:hAnsi="方正仿宋_GBK" w:eastAsia="方正仿宋_GBK" w:cs="方正仿宋_GBK"/>
                <w:color w:val="000000"/>
                <w:sz w:val="28"/>
                <w:szCs w:val="28"/>
                <w:highlight w:val="none"/>
                <w:lang w:bidi="ar"/>
              </w:rPr>
              <w:t xml:space="preserve">加盖投标人公章）</w:t>
            </w:r>
            <w:r>
              <w:rPr>
                <w:highlight w:val="none"/>
              </w:rPr>
            </w:r>
            <w:r/>
          </w:p>
        </w:tc>
        <w:tc>
          <w:tcPr>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w:t>
            </w:r>
            <w:r>
              <w:rPr>
                <w:highlight w:val="none"/>
              </w:rPr>
            </w:r>
            <w:r/>
          </w:p>
        </w:tc>
      </w:tr>
      <w:tr>
        <w:trPr/>
        <w:tc>
          <w:tcPr>
            <w:tcBorders>
              <w:top w:val="none" w:color="000000" w:sz="4" w:space="0"/>
              <w:left w:val="single" w:color="000000" w:sz="8" w:space="0"/>
              <w:bottom w:val="single" w:color="000000" w:sz="8" w:space="0"/>
              <w:right w:val="single" w:color="000000" w:sz="8" w:space="0"/>
            </w:tcBorders>
            <w:tcW w:w="976"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1050"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6177" w:type="dxa"/>
            <w:vAlign w:val="center"/>
            <w:textDirection w:val="lrTb"/>
            <w:noWrap w:val="false"/>
          </w:tcPr>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w:t>
            </w:r>
            <w:r>
              <w:rPr>
                <w:rFonts w:hint="eastAsia" w:ascii="方正仿宋_GBK" w:hAnsi="方正仿宋_GBK" w:eastAsia="方正仿宋_GBK" w:cs="方正仿宋_GBK"/>
                <w:color w:val="000000"/>
                <w:sz w:val="28"/>
                <w:szCs w:val="28"/>
                <w:highlight w:val="none"/>
                <w:lang w:val="en-US" w:eastAsia="zh-CN" w:bidi="ar"/>
              </w:rPr>
              <w:t xml:space="preserve">5</w:t>
            </w:r>
            <w:r>
              <w:rPr>
                <w:rFonts w:hint="eastAsia" w:ascii="方正仿宋_GBK" w:hAnsi="方正仿宋_GBK" w:eastAsia="方正仿宋_GBK" w:cs="方正仿宋_GBK"/>
                <w:color w:val="000000"/>
                <w:sz w:val="28"/>
                <w:szCs w:val="28"/>
                <w:highlight w:val="none"/>
                <w:lang w:bidi="ar"/>
              </w:rPr>
              <w:t xml:space="preserve">曳引主机</w:t>
            </w:r>
            <w:r>
              <w:rPr>
                <w:rFonts w:hint="eastAsia" w:ascii="方正仿宋_GBK" w:hAnsi="方正仿宋_GBK" w:eastAsia="方正仿宋_GBK" w:cs="方正仿宋_GBK"/>
                <w:color w:val="000000"/>
                <w:sz w:val="28"/>
                <w:szCs w:val="28"/>
                <w:highlight w:val="none"/>
                <w:lang w:eastAsia="zh-CN" w:bidi="ar"/>
              </w:rPr>
              <w:t xml:space="preserve">温升</w:t>
            </w:r>
            <w:r>
              <w:rPr>
                <w:rFonts w:hint="eastAsia" w:ascii="方正仿宋_GBK" w:hAnsi="方正仿宋_GBK" w:eastAsia="方正仿宋_GBK" w:cs="方正仿宋_GBK"/>
                <w:color w:val="000000"/>
                <w:sz w:val="28"/>
                <w:szCs w:val="28"/>
                <w:highlight w:val="none"/>
                <w:lang w:bidi="ar"/>
              </w:rPr>
              <w:t xml:space="preserve">检测结果</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bidi="ar"/>
              </w:rPr>
              <w:t xml:space="preserve">依据标准：</w:t>
            </w:r>
            <w:r>
              <w:rPr>
                <w:rFonts w:hint="eastAsia" w:ascii="方正仿宋_GBK" w:hAnsi="方正仿宋_GBK" w:eastAsia="方正仿宋_GBK" w:cs="方正仿宋_GBK"/>
                <w:color w:val="000000"/>
                <w:sz w:val="28"/>
                <w:szCs w:val="28"/>
                <w:highlight w:val="none"/>
                <w:lang w:bidi="ar"/>
              </w:rPr>
              <w:t xml:space="preserve">GB30253-2024</w:t>
            </w:r>
            <w:r>
              <w:rPr>
                <w:rFonts w:hint="eastAsia" w:ascii="方正仿宋_GBK" w:hAnsi="方正仿宋_GBK" w:eastAsia="方正仿宋_GBK" w:cs="方正仿宋_GBK"/>
                <w:color w:val="000000"/>
                <w:sz w:val="28"/>
                <w:szCs w:val="28"/>
                <w:highlight w:val="none"/>
                <w:lang w:eastAsia="zh-CN" w:bidi="ar"/>
              </w:rPr>
              <w:t xml:space="preserve">《永磁同步电动机能效限定值及能效等级》。</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所投产品（需标明所投产品的品牌及相应的系列型号）的曳引主机按照 GB30253-2024</w:t>
            </w:r>
            <w:r>
              <w:rPr>
                <w:rFonts w:hint="eastAsia" w:ascii="方正仿宋_GBK" w:hAnsi="方正仿宋_GBK" w:eastAsia="方正仿宋_GBK" w:cs="方正仿宋_GBK"/>
                <w:color w:val="000000"/>
                <w:sz w:val="28"/>
                <w:szCs w:val="28"/>
                <w:highlight w:val="none"/>
                <w:lang w:eastAsia="zh-CN" w:bidi="ar"/>
              </w:rPr>
              <w:t xml:space="preserve">《永磁同步电动机能效限定值及能效等级》</w:t>
            </w:r>
            <w:r>
              <w:rPr>
                <w:rFonts w:hint="eastAsia" w:ascii="方正仿宋_GBK" w:hAnsi="方正仿宋_GBK" w:eastAsia="方正仿宋_GBK" w:cs="方正仿宋_GBK"/>
                <w:color w:val="000000"/>
                <w:sz w:val="28"/>
                <w:szCs w:val="28"/>
                <w:highlight w:val="none"/>
                <w:lang w:bidi="ar"/>
              </w:rPr>
              <w:t xml:space="preserve">的相关要求进行检测，所检项目均合格，能效等级为1级且曳引机</w:t>
            </w:r>
            <w:r>
              <w:rPr>
                <w:rFonts w:hint="eastAsia" w:ascii="方正仿宋_GBK" w:hAnsi="方正仿宋_GBK" w:eastAsia="方正仿宋_GBK" w:cs="方正仿宋_GBK"/>
                <w:b/>
                <w:bCs/>
                <w:color w:val="000000"/>
                <w:sz w:val="28"/>
                <w:szCs w:val="28"/>
                <w:highlight w:val="none"/>
                <w:lang w:bidi="ar"/>
              </w:rPr>
              <w:t xml:space="preserve">实测温升</w:t>
            </w:r>
            <w:r>
              <w:rPr>
                <w:rFonts w:hint="eastAsia" w:ascii="方正仿宋_GBK" w:hAnsi="方正仿宋_GBK" w:eastAsia="方正仿宋_GBK" w:cs="方正仿宋_GBK"/>
                <w:color w:val="000000"/>
                <w:sz w:val="28"/>
                <w:szCs w:val="28"/>
                <w:highlight w:val="none"/>
                <w:lang w:bidi="ar"/>
              </w:rPr>
              <w:t xml:space="preserve">≤55K，得3分；能效等级为1级且曳引机55K＜</w:t>
            </w:r>
            <w:r>
              <w:rPr>
                <w:rFonts w:hint="eastAsia" w:ascii="方正仿宋_GBK" w:hAnsi="方正仿宋_GBK" w:eastAsia="方正仿宋_GBK" w:cs="方正仿宋_GBK"/>
                <w:b/>
                <w:bCs/>
                <w:color w:val="000000"/>
                <w:sz w:val="28"/>
                <w:szCs w:val="28"/>
                <w:highlight w:val="none"/>
                <w:lang w:bidi="ar"/>
              </w:rPr>
              <w:t xml:space="preserve">实测温升</w:t>
            </w:r>
            <w:r>
              <w:rPr>
                <w:rFonts w:hint="eastAsia" w:ascii="方正仿宋_GBK" w:hAnsi="方正仿宋_GBK" w:eastAsia="方正仿宋_GBK" w:cs="方正仿宋_GBK"/>
                <w:color w:val="000000"/>
                <w:sz w:val="28"/>
                <w:szCs w:val="28"/>
                <w:highlight w:val="none"/>
                <w:lang w:bidi="ar"/>
              </w:rPr>
              <w:t xml:space="preserve">≤70K，得2分；能效等级为1级且曳引机70K＜</w:t>
            </w:r>
            <w:r>
              <w:rPr>
                <w:rFonts w:hint="eastAsia" w:ascii="方正仿宋_GBK" w:hAnsi="方正仿宋_GBK" w:eastAsia="方正仿宋_GBK" w:cs="方正仿宋_GBK"/>
                <w:b/>
                <w:bCs/>
                <w:color w:val="000000"/>
                <w:sz w:val="28"/>
                <w:szCs w:val="28"/>
                <w:highlight w:val="none"/>
                <w:lang w:bidi="ar"/>
              </w:rPr>
              <w:t xml:space="preserve">实测温升</w:t>
            </w:r>
            <w:r>
              <w:rPr>
                <w:rFonts w:hint="eastAsia" w:ascii="方正仿宋_GBK" w:hAnsi="方正仿宋_GBK" w:eastAsia="方正仿宋_GBK" w:cs="方正仿宋_GBK"/>
                <w:color w:val="000000"/>
                <w:sz w:val="28"/>
                <w:szCs w:val="28"/>
                <w:highlight w:val="none"/>
                <w:lang w:bidi="ar"/>
              </w:rPr>
              <w:t xml:space="preserve">≤85K，</w:t>
            </w:r>
            <w:r>
              <w:rPr>
                <w:rFonts w:hint="eastAsia" w:ascii="方正仿宋_GBK" w:hAnsi="方正仿宋_GBK" w:eastAsia="方正仿宋_GBK" w:cs="方正仿宋_GBK"/>
                <w:color w:val="000000"/>
                <w:sz w:val="28"/>
                <w:szCs w:val="28"/>
                <w:highlight w:val="none"/>
                <w:lang w:bidi="ar"/>
              </w:rPr>
              <w:t xml:space="preserve">得1分；其他情形不得分。（</w:t>
            </w:r>
            <w:r>
              <w:rPr>
                <w:rFonts w:hint="eastAsia" w:ascii="方正仿宋_GBK" w:hAnsi="方正仿宋_GBK" w:eastAsia="方正仿宋_GBK" w:cs="方正仿宋_GBK"/>
                <w:color w:val="000000"/>
                <w:sz w:val="28"/>
                <w:szCs w:val="28"/>
                <w:highlight w:val="none"/>
                <w:lang w:val="en-US" w:eastAsia="zh-CN" w:bidi="ar"/>
              </w:rPr>
              <w:t xml:space="preserve">提供具有</w:t>
            </w:r>
            <w:r>
              <w:rPr>
                <w:rFonts w:hint="eastAsia" w:ascii="方正仿宋_GBK" w:hAnsi="方正仿宋_GBK" w:eastAsia="方正仿宋_GBK" w:cs="方正仿宋_GBK"/>
                <w:color w:val="000000"/>
                <w:sz w:val="28"/>
                <w:szCs w:val="28"/>
                <w:highlight w:val="none"/>
                <w:lang w:bidi="ar"/>
              </w:rPr>
              <w:t xml:space="preserve">CMA标识</w:t>
            </w:r>
            <w:r>
              <w:rPr>
                <w:rFonts w:hint="eastAsia" w:ascii="方正仿宋_GBK" w:hAnsi="方正仿宋_GBK" w:eastAsia="方正仿宋_GBK" w:cs="方正仿宋_GBK"/>
                <w:color w:val="000000"/>
                <w:sz w:val="28"/>
                <w:szCs w:val="28"/>
                <w:highlight w:val="none"/>
                <w:lang w:val="en-US" w:eastAsia="zh-CN" w:bidi="ar"/>
              </w:rPr>
              <w:t xml:space="preserve">的</w:t>
            </w:r>
            <w:r>
              <w:rPr>
                <w:rFonts w:hint="eastAsia" w:ascii="方正仿宋_GBK" w:hAnsi="方正仿宋_GBK" w:eastAsia="方正仿宋_GBK" w:cs="方正仿宋_GBK"/>
                <w:color w:val="000000"/>
                <w:sz w:val="28"/>
                <w:szCs w:val="28"/>
                <w:highlight w:val="none"/>
                <w:lang w:bidi="ar"/>
              </w:rPr>
              <w:t xml:space="preserve">检测报告复印件</w:t>
            </w:r>
            <w:r>
              <w:rPr>
                <w:rFonts w:hint="eastAsia" w:ascii="方正仿宋_GBK" w:hAnsi="方正仿宋_GBK" w:eastAsia="方正仿宋_GBK" w:cs="方正仿宋_GBK"/>
                <w:color w:val="000000"/>
                <w:sz w:val="28"/>
                <w:szCs w:val="28"/>
                <w:highlight w:val="none"/>
                <w:lang w:val="en-US" w:eastAsia="zh-CN" w:bidi="ar"/>
              </w:rPr>
              <w:t xml:space="preserve">或扫描件并</w:t>
            </w:r>
            <w:r>
              <w:rPr>
                <w:rFonts w:hint="eastAsia" w:ascii="方正仿宋_GBK" w:hAnsi="方正仿宋_GBK" w:eastAsia="方正仿宋_GBK" w:cs="方正仿宋_GBK"/>
                <w:color w:val="000000"/>
                <w:sz w:val="28"/>
                <w:szCs w:val="28"/>
                <w:highlight w:val="none"/>
                <w:lang w:bidi="ar"/>
              </w:rPr>
              <w:t xml:space="preserve">加盖投标人公章）</w:t>
            </w:r>
            <w:r>
              <w:rPr>
                <w:highlight w:val="none"/>
              </w:rPr>
            </w:r>
            <w:r/>
          </w:p>
        </w:tc>
        <w:tc>
          <w:tcPr>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3</w:t>
            </w:r>
            <w:r>
              <w:rPr>
                <w:highlight w:val="none"/>
              </w:rPr>
            </w:r>
            <w:r/>
          </w:p>
        </w:tc>
      </w:tr>
      <w:tr>
        <w:trPr/>
        <w:tc>
          <w:tcPr>
            <w:tcBorders>
              <w:top w:val="none" w:color="000000" w:sz="4" w:space="0"/>
              <w:left w:val="single" w:color="000000" w:sz="8" w:space="0"/>
              <w:bottom w:val="single" w:color="000000" w:sz="8" w:space="0"/>
              <w:right w:val="single" w:color="000000" w:sz="8" w:space="0"/>
            </w:tcBorders>
            <w:tcW w:w="976"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1050"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6177" w:type="dxa"/>
            <w:vAlign w:val="center"/>
            <w:textDirection w:val="lrTb"/>
            <w:noWrap w:val="false"/>
          </w:tcPr>
          <w:p>
            <w:pPr>
              <w:pStyle w:val="961"/>
              <w:jc w:val="left"/>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w:t>
            </w:r>
            <w:r>
              <w:rPr>
                <w:rFonts w:hint="eastAsia" w:ascii="方正仿宋_GBK" w:hAnsi="方正仿宋_GBK" w:eastAsia="方正仿宋_GBK" w:cs="方正仿宋_GBK"/>
                <w:color w:val="000000"/>
                <w:sz w:val="28"/>
                <w:szCs w:val="28"/>
                <w:highlight w:val="none"/>
                <w:lang w:val="en-US" w:eastAsia="zh-CN" w:bidi="ar"/>
              </w:rPr>
              <w:t xml:space="preserve">6</w:t>
            </w:r>
            <w:r>
              <w:rPr>
                <w:rFonts w:hint="eastAsia" w:ascii="方正仿宋_GBK" w:hAnsi="方正仿宋_GBK" w:eastAsia="方正仿宋_GBK" w:cs="方正仿宋_GBK"/>
                <w:color w:val="000000"/>
                <w:sz w:val="28"/>
                <w:szCs w:val="28"/>
                <w:highlight w:val="none"/>
                <w:lang w:bidi="ar"/>
              </w:rPr>
              <w:t xml:space="preserve">曳引机本体机械振动</w:t>
            </w:r>
            <w:r>
              <w:rPr>
                <w:highlight w:val="none"/>
              </w:rPr>
            </w:r>
            <w:r/>
          </w:p>
          <w:p>
            <w:pPr>
              <w:pStyle w:val="961"/>
              <w:jc w:val="left"/>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bidi="ar"/>
              </w:rPr>
              <w:t xml:space="preserve">依据标准：</w:t>
            </w:r>
            <w:r>
              <w:rPr>
                <w:rFonts w:hint="eastAsia" w:ascii="方正仿宋_GBK" w:hAnsi="方正仿宋_GBK" w:eastAsia="方正仿宋_GBK" w:cs="方正仿宋_GBK"/>
                <w:color w:val="000000"/>
                <w:sz w:val="28"/>
                <w:szCs w:val="28"/>
                <w:highlight w:val="none"/>
                <w:lang w:bidi="ar"/>
              </w:rPr>
              <w:t xml:space="preserve">GB/T10068</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2020《轴中心高为56 mm及以上电机的机械振动振动的测量、评定及限值》</w:t>
            </w:r>
            <w:r>
              <w:rPr>
                <w:rFonts w:hint="eastAsia" w:ascii="方正仿宋_GBK" w:hAnsi="方正仿宋_GBK" w:eastAsia="方正仿宋_GBK" w:cs="方正仿宋_GBK"/>
                <w:color w:val="000000"/>
                <w:sz w:val="28"/>
                <w:szCs w:val="28"/>
                <w:highlight w:val="none"/>
                <w:lang w:eastAsia="zh-CN" w:bidi="ar"/>
              </w:rPr>
              <w:t xml:space="preserve">。</w:t>
            </w:r>
            <w:r>
              <w:rPr>
                <w:highlight w:val="none"/>
              </w:rPr>
            </w:r>
            <w:r/>
          </w:p>
          <w:p>
            <w:pPr>
              <w:pStyle w:val="961"/>
              <w:jc w:val="left"/>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bidi="ar"/>
              </w:rPr>
              <w:t xml:space="preserve">所投产品依据</w:t>
            </w:r>
            <w:r>
              <w:rPr>
                <w:rFonts w:hint="eastAsia" w:ascii="方正仿宋_GBK" w:hAnsi="方正仿宋_GBK" w:eastAsia="方正仿宋_GBK" w:cs="方正仿宋_GBK"/>
                <w:color w:val="000000"/>
                <w:sz w:val="28"/>
                <w:szCs w:val="28"/>
                <w:highlight w:val="none"/>
                <w:lang w:val="en-US" w:eastAsia="zh-CN" w:bidi="ar"/>
              </w:rPr>
              <w:t xml:space="preserve">GB/T10068-2020</w:t>
            </w:r>
            <w:r>
              <w:rPr>
                <w:rFonts w:hint="eastAsia" w:ascii="方正仿宋_GBK" w:hAnsi="方正仿宋_GBK" w:eastAsia="方正仿宋_GBK" w:cs="方正仿宋_GBK"/>
                <w:color w:val="000000"/>
                <w:sz w:val="28"/>
                <w:szCs w:val="28"/>
                <w:highlight w:val="none"/>
                <w:lang w:bidi="ar"/>
              </w:rPr>
              <w:t xml:space="preserve">进行振动测试，取振动速度有效值：振动速度有效值≤1.8 mm/s得5分；1.8 mm/s＜振动速度有效值≤2.8 mm/s得3分；2.8 mm/s＜振动速度有效值≤4.5 mm/s得1分；大于4.5 mm/s不得分。 报告应明确体现电机振动速度有效值实测数据。</w:t>
            </w:r>
            <w:r>
              <w:rPr>
                <w:highlight w:val="none"/>
              </w:rPr>
            </w:r>
            <w:r/>
          </w:p>
          <w:p>
            <w:pPr>
              <w:pStyle w:val="961"/>
              <w:jc w:val="left"/>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提供具有</w:t>
            </w:r>
            <w:r>
              <w:rPr>
                <w:rFonts w:hint="eastAsia" w:ascii="方正仿宋_GBK" w:hAnsi="方正仿宋_GBK" w:eastAsia="方正仿宋_GBK" w:cs="方正仿宋_GBK"/>
                <w:color w:val="000000"/>
                <w:sz w:val="28"/>
                <w:szCs w:val="28"/>
                <w:highlight w:val="none"/>
                <w:lang w:bidi="ar"/>
              </w:rPr>
              <w:t xml:space="preserve">CMA标识</w:t>
            </w:r>
            <w:r>
              <w:rPr>
                <w:rFonts w:hint="eastAsia" w:ascii="方正仿宋_GBK" w:hAnsi="方正仿宋_GBK" w:eastAsia="方正仿宋_GBK" w:cs="方正仿宋_GBK"/>
                <w:color w:val="000000"/>
                <w:sz w:val="28"/>
                <w:szCs w:val="28"/>
                <w:highlight w:val="none"/>
                <w:lang w:val="en-US" w:eastAsia="zh-CN" w:bidi="ar"/>
              </w:rPr>
              <w:t xml:space="preserve">的</w:t>
            </w:r>
            <w:r>
              <w:rPr>
                <w:rFonts w:hint="eastAsia" w:ascii="方正仿宋_GBK" w:hAnsi="方正仿宋_GBK" w:eastAsia="方正仿宋_GBK" w:cs="方正仿宋_GBK"/>
                <w:color w:val="000000"/>
                <w:sz w:val="28"/>
                <w:szCs w:val="28"/>
                <w:highlight w:val="none"/>
                <w:lang w:bidi="ar"/>
              </w:rPr>
              <w:t xml:space="preserve">检测报告复印件</w:t>
            </w:r>
            <w:r>
              <w:rPr>
                <w:rFonts w:hint="eastAsia" w:ascii="方正仿宋_GBK" w:hAnsi="方正仿宋_GBK" w:eastAsia="方正仿宋_GBK" w:cs="方正仿宋_GBK"/>
                <w:color w:val="000000"/>
                <w:sz w:val="28"/>
                <w:szCs w:val="28"/>
                <w:highlight w:val="none"/>
                <w:lang w:val="en-US" w:eastAsia="zh-CN" w:bidi="ar"/>
              </w:rPr>
              <w:t xml:space="preserve">或扫描件并</w:t>
            </w:r>
            <w:r>
              <w:rPr>
                <w:rFonts w:hint="eastAsia" w:ascii="方正仿宋_GBK" w:hAnsi="方正仿宋_GBK" w:eastAsia="方正仿宋_GBK" w:cs="方正仿宋_GBK"/>
                <w:color w:val="000000"/>
                <w:sz w:val="28"/>
                <w:szCs w:val="28"/>
                <w:highlight w:val="none"/>
                <w:lang w:bidi="ar"/>
              </w:rPr>
              <w:t xml:space="preserve">加盖投标人公章）</w:t>
            </w:r>
            <w:r>
              <w:rPr>
                <w:highlight w:val="none"/>
              </w:rPr>
            </w:r>
            <w:r/>
          </w:p>
        </w:tc>
        <w:tc>
          <w:tcPr>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5</w:t>
            </w:r>
            <w:r>
              <w:rPr>
                <w:highlight w:val="none"/>
              </w:rPr>
            </w:r>
            <w:r/>
          </w:p>
        </w:tc>
      </w:tr>
      <w:tr>
        <w:trPr/>
        <w:tc>
          <w:tcPr>
            <w:tcBorders>
              <w:top w:val="none" w:color="000000" w:sz="4" w:space="0"/>
              <w:left w:val="single" w:color="000000" w:sz="8" w:space="0"/>
              <w:bottom w:val="single" w:color="000000" w:sz="8" w:space="0"/>
              <w:right w:val="single" w:color="000000" w:sz="8" w:space="0"/>
            </w:tcBorders>
            <w:tcW w:w="976"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1050"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6177" w:type="dxa"/>
            <w:vAlign w:val="center"/>
            <w:textDirection w:val="lrTb"/>
            <w:noWrap w:val="false"/>
          </w:tcPr>
          <w:p>
            <w:pPr>
              <w:pStyle w:val="961"/>
              <w:jc w:val="left"/>
              <w:spacing w:line="360" w:lineRule="exact"/>
              <w:widowControl/>
              <w:rPr>
                <w:highlight w:val="none"/>
              </w:rPr>
            </w:pPr>
            <w:r>
              <w:rPr>
                <w:rFonts w:hint="eastAsia" w:ascii="方正仿宋_GBK" w:hAnsi="方正仿宋_GBK" w:eastAsia="方正仿宋_GBK" w:cs="方正仿宋_GBK"/>
                <w:color w:val="000000"/>
                <w:sz w:val="28"/>
                <w:szCs w:val="28"/>
                <w:highlight w:val="none"/>
                <w:lang w:bidi="ar"/>
              </w:rPr>
              <w:t xml:space="preserve">2.</w:t>
            </w:r>
            <w:r>
              <w:rPr>
                <w:rFonts w:hint="eastAsia" w:ascii="方正仿宋_GBK" w:hAnsi="方正仿宋_GBK" w:eastAsia="方正仿宋_GBK" w:cs="方正仿宋_GBK"/>
                <w:color w:val="000000"/>
                <w:sz w:val="28"/>
                <w:szCs w:val="28"/>
                <w:highlight w:val="none"/>
                <w:lang w:val="en-US" w:eastAsia="zh-CN" w:bidi="ar"/>
              </w:rPr>
              <w:t xml:space="preserve">7</w:t>
            </w:r>
            <w:r>
              <w:rPr>
                <w:rFonts w:hint="eastAsia" w:ascii="方正仿宋_GBK" w:hAnsi="方正仿宋_GBK" w:eastAsia="方正仿宋_GBK" w:cs="方正仿宋_GBK"/>
                <w:color w:val="000000"/>
                <w:sz w:val="28"/>
                <w:szCs w:val="28"/>
                <w:highlight w:val="none"/>
                <w:lang w:bidi="ar"/>
              </w:rPr>
              <w:t xml:space="preserve">电梯浪涌抗扰度</w:t>
            </w:r>
            <w:r>
              <w:rPr>
                <w:highlight w:val="none"/>
              </w:rPr>
            </w:r>
            <w:r/>
          </w:p>
          <w:p>
            <w:pPr>
              <w:pStyle w:val="961"/>
              <w:jc w:val="left"/>
              <w:spacing w:line="360" w:lineRule="exact"/>
              <w:widowControl/>
              <w:rPr>
                <w:rFonts w:hint="eastAsia"/>
                <w:highlight w:val="none"/>
              </w:rPr>
            </w:pPr>
            <w:r>
              <w:rPr>
                <w:rFonts w:hint="eastAsia" w:ascii="方正仿宋_GBK" w:hAnsi="方正仿宋_GBK" w:eastAsia="方正仿宋_GBK" w:cs="方正仿宋_GBK"/>
                <w:color w:val="000000"/>
                <w:sz w:val="28"/>
                <w:szCs w:val="28"/>
                <w:highlight w:val="none"/>
                <w:lang w:eastAsia="zh-CN" w:bidi="ar"/>
              </w:rPr>
              <w:t xml:space="preserve">依据标准：</w:t>
            </w:r>
            <w:r>
              <w:rPr>
                <w:rFonts w:hint="eastAsia" w:ascii="方正仿宋_GBK" w:hAnsi="方正仿宋_GBK" w:eastAsia="方正仿宋_GBK" w:cs="方正仿宋_GBK"/>
                <w:color w:val="000000"/>
                <w:sz w:val="28"/>
                <w:szCs w:val="28"/>
                <w:highlight w:val="none"/>
                <w:lang w:val="en-US" w:eastAsia="zh-CN" w:bidi="ar"/>
              </w:rPr>
              <w:t xml:space="preserve">GB/T17626.5-2019《电磁兼容试验和测量技术浪涌（冲击）抗扰度试验</w:t>
            </w:r>
            <w:r>
              <w:rPr>
                <w:rFonts w:hint="eastAsia" w:ascii="方正仿宋_GBK" w:hAnsi="方正仿宋_GBK" w:eastAsia="方正仿宋_GBK" w:cs="方正仿宋_GBK"/>
                <w:color w:val="000000"/>
                <w:sz w:val="28"/>
                <w:szCs w:val="28"/>
                <w:highlight w:val="none"/>
                <w:lang w:eastAsia="zh-CN" w:bidi="ar"/>
              </w:rPr>
              <w:t xml:space="preserve">》。</w:t>
            </w:r>
            <w:r>
              <w:rPr>
                <w:highlight w:val="none"/>
              </w:rPr>
            </w:r>
            <w:r/>
          </w:p>
          <w:p>
            <w:pPr>
              <w:pStyle w:val="961"/>
              <w:jc w:val="left"/>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电梯浪涌抗扰度：对所投产品（需标明所投产品的品牌及相应的系列型号）的浪涌抗扰度测试过程中试验等级进行打分，试验等级≥±20kV的得3分，±18kV≤试验等级＜±20kV的得2分，±15kV≤试验等级＜±18kV得1分，其他不得分。</w:t>
            </w:r>
            <w:r>
              <w:rPr>
                <w:highlight w:val="none"/>
              </w:rPr>
            </w:r>
            <w:r/>
          </w:p>
          <w:p>
            <w:pPr>
              <w:pStyle w:val="961"/>
              <w:jc w:val="left"/>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提供具有</w:t>
            </w:r>
            <w:r>
              <w:rPr>
                <w:rFonts w:hint="eastAsia" w:ascii="方正仿宋_GBK" w:hAnsi="方正仿宋_GBK" w:eastAsia="方正仿宋_GBK" w:cs="方正仿宋_GBK"/>
                <w:color w:val="000000"/>
                <w:sz w:val="28"/>
                <w:szCs w:val="28"/>
                <w:highlight w:val="none"/>
                <w:lang w:bidi="ar"/>
              </w:rPr>
              <w:t xml:space="preserve">CMA标识</w:t>
            </w:r>
            <w:r>
              <w:rPr>
                <w:rFonts w:hint="eastAsia" w:ascii="方正仿宋_GBK" w:hAnsi="方正仿宋_GBK" w:eastAsia="方正仿宋_GBK" w:cs="方正仿宋_GBK"/>
                <w:color w:val="000000"/>
                <w:sz w:val="28"/>
                <w:szCs w:val="28"/>
                <w:highlight w:val="none"/>
                <w:lang w:val="en-US" w:eastAsia="zh-CN" w:bidi="ar"/>
              </w:rPr>
              <w:t xml:space="preserve">的</w:t>
            </w:r>
            <w:r>
              <w:rPr>
                <w:rFonts w:hint="eastAsia" w:ascii="方正仿宋_GBK" w:hAnsi="方正仿宋_GBK" w:eastAsia="方正仿宋_GBK" w:cs="方正仿宋_GBK"/>
                <w:color w:val="000000"/>
                <w:sz w:val="28"/>
                <w:szCs w:val="28"/>
                <w:highlight w:val="none"/>
                <w:lang w:bidi="ar"/>
              </w:rPr>
              <w:t xml:space="preserve">检测报告复印件</w:t>
            </w:r>
            <w:r>
              <w:rPr>
                <w:rFonts w:hint="eastAsia" w:ascii="方正仿宋_GBK" w:hAnsi="方正仿宋_GBK" w:eastAsia="方正仿宋_GBK" w:cs="方正仿宋_GBK"/>
                <w:color w:val="000000"/>
                <w:sz w:val="28"/>
                <w:szCs w:val="28"/>
                <w:highlight w:val="none"/>
                <w:lang w:val="en-US" w:eastAsia="zh-CN" w:bidi="ar"/>
              </w:rPr>
              <w:t xml:space="preserve">或扫描件并</w:t>
            </w:r>
            <w:r>
              <w:rPr>
                <w:rFonts w:hint="eastAsia" w:ascii="方正仿宋_GBK" w:hAnsi="方正仿宋_GBK" w:eastAsia="方正仿宋_GBK" w:cs="方正仿宋_GBK"/>
                <w:color w:val="000000"/>
                <w:sz w:val="28"/>
                <w:szCs w:val="28"/>
                <w:highlight w:val="none"/>
                <w:lang w:bidi="ar"/>
              </w:rPr>
              <w:t xml:space="preserve">加盖投标人公章）</w:t>
            </w:r>
            <w:r>
              <w:rPr>
                <w:highlight w:val="none"/>
              </w:rPr>
            </w:r>
            <w:r/>
          </w:p>
        </w:tc>
        <w:tc>
          <w:tcPr>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3</w:t>
            </w:r>
            <w:r>
              <w:rPr>
                <w:highlight w:val="none"/>
              </w:rPr>
            </w:r>
            <w:r/>
          </w:p>
        </w:tc>
      </w:tr>
      <w:tr>
        <w:trPr/>
        <w:tc>
          <w:tcPr>
            <w:tcBorders>
              <w:top w:val="none" w:color="000000" w:sz="4" w:space="0"/>
              <w:left w:val="single" w:color="000000" w:sz="8" w:space="0"/>
              <w:bottom w:val="single" w:color="000000" w:sz="8" w:space="0"/>
              <w:right w:val="single" w:color="000000" w:sz="8" w:space="0"/>
            </w:tcBorders>
            <w:tcW w:w="976"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1050"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none" w:color="000000" w:sz="4" w:space="0"/>
              <w:bottom w:val="single" w:color="000000" w:sz="8" w:space="0"/>
              <w:right w:val="single" w:color="000000" w:sz="8" w:space="0"/>
            </w:tcBorders>
            <w:tcW w:w="6177" w:type="dxa"/>
            <w:vAlign w:val="center"/>
            <w:textDirection w:val="lrTb"/>
            <w:noWrap w:val="false"/>
          </w:tcPr>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w:t>
            </w:r>
            <w:r>
              <w:rPr>
                <w:rFonts w:hint="eastAsia" w:ascii="方正仿宋_GBK" w:hAnsi="方正仿宋_GBK" w:eastAsia="方正仿宋_GBK" w:cs="方正仿宋_GBK"/>
                <w:color w:val="000000"/>
                <w:sz w:val="28"/>
                <w:szCs w:val="28"/>
                <w:highlight w:val="none"/>
                <w:lang w:val="en-US" w:eastAsia="zh-CN" w:bidi="ar"/>
              </w:rPr>
              <w:t xml:space="preserve">8</w:t>
            </w:r>
            <w:r>
              <w:rPr>
                <w:rFonts w:hint="eastAsia" w:ascii="方正仿宋_GBK" w:hAnsi="方正仿宋_GBK" w:eastAsia="方正仿宋_GBK" w:cs="方正仿宋_GBK"/>
                <w:color w:val="000000"/>
                <w:sz w:val="28"/>
                <w:szCs w:val="28"/>
                <w:highlight w:val="none"/>
                <w:lang w:bidi="ar"/>
              </w:rPr>
              <w:t xml:space="preserve">信息系统安全等级保护认证</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投标人所投电梯物联网获得信息系统安全等级保护认证的得</w:t>
            </w:r>
            <w:r>
              <w:rPr>
                <w:rFonts w:hint="eastAsia" w:ascii="方正仿宋_GBK" w:hAnsi="方正仿宋_GBK" w:eastAsia="方正仿宋_GBK" w:cs="方正仿宋_GBK"/>
                <w:color w:val="000000"/>
                <w:sz w:val="28"/>
                <w:szCs w:val="28"/>
                <w:highlight w:val="none"/>
                <w:lang w:val="en-US" w:eastAsia="zh-CN" w:bidi="ar"/>
              </w:rPr>
              <w:t xml:space="preserve">2</w:t>
            </w:r>
            <w:r>
              <w:rPr>
                <w:rFonts w:hint="eastAsia" w:ascii="方正仿宋_GBK" w:hAnsi="方正仿宋_GBK" w:eastAsia="方正仿宋_GBK" w:cs="方正仿宋_GBK"/>
                <w:color w:val="000000"/>
                <w:sz w:val="28"/>
                <w:szCs w:val="28"/>
                <w:highlight w:val="none"/>
                <w:lang w:bidi="ar"/>
              </w:rPr>
              <w:t xml:space="preserve">分，没有不得分。(提供相关证明复印件加盖投标人公章)</w:t>
            </w:r>
            <w:r>
              <w:rPr>
                <w:highlight w:val="none"/>
              </w:rPr>
            </w:r>
            <w:r/>
          </w:p>
        </w:tc>
        <w:tc>
          <w:tcPr>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2</w:t>
            </w:r>
            <w:r>
              <w:rPr>
                <w:highlight w:val="none"/>
              </w:rPr>
            </w:r>
            <w:r/>
          </w:p>
        </w:tc>
      </w:tr>
      <w:tr>
        <w:trPr/>
        <w:tc>
          <w:tcPr>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安装方案</w:t>
            </w:r>
            <w:r>
              <w:rPr>
                <w:highlight w:val="none"/>
              </w:rPr>
            </w:r>
            <w:r/>
          </w:p>
        </w:tc>
        <w:tc>
          <w:tcPr>
            <w:tcBorders>
              <w:top w:val="none" w:color="000000" w:sz="4" w:space="0"/>
              <w:left w:val="none" w:color="000000" w:sz="4" w:space="0"/>
              <w:bottom w:val="single" w:color="000000" w:sz="8" w:space="0"/>
              <w:right w:val="single" w:color="000000" w:sz="8" w:space="0"/>
            </w:tcBorders>
            <w:tcW w:w="6177" w:type="dxa"/>
            <w:vAlign w:val="center"/>
            <w:textDirection w:val="lrTb"/>
            <w:noWrap w:val="false"/>
          </w:tcPr>
          <w:p>
            <w:pPr>
              <w:pStyle w:val="961"/>
              <w:spacing w:line="360" w:lineRule="exact"/>
              <w:widowControl/>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3.1</w:t>
            </w:r>
            <w:r>
              <w:rPr>
                <w:rFonts w:ascii="方正仿宋_GBK" w:hAnsi="方正仿宋_GBK" w:eastAsia="方正仿宋_GBK" w:cs="方正仿宋_GBK"/>
                <w:color w:val="000000"/>
                <w:sz w:val="28"/>
                <w:szCs w:val="28"/>
                <w:highlight w:val="none"/>
                <w:lang w:val="en-US" w:eastAsia="zh-CN" w:bidi="ar"/>
              </w:rPr>
              <w:t xml:space="preserve">评委根据投标文件对第四章“采购需求”中“</w:t>
            </w:r>
            <w:r>
              <w:rPr>
                <w:rFonts w:hint="eastAsia" w:ascii="方正仿宋_GBK" w:hAnsi="方正仿宋_GBK" w:eastAsia="方正仿宋_GBK" w:cs="方正仿宋_GBK"/>
                <w:color w:val="000000"/>
                <w:sz w:val="28"/>
                <w:szCs w:val="28"/>
                <w:highlight w:val="none"/>
                <w:lang w:val="en-US" w:eastAsia="zh-CN" w:bidi="ar"/>
              </w:rPr>
              <w:t xml:space="preserve">安装方案</w:t>
            </w:r>
            <w:r>
              <w:rPr>
                <w:rFonts w:ascii="方正仿宋_GBK" w:hAnsi="方正仿宋_GBK" w:eastAsia="方正仿宋_GBK" w:cs="方正仿宋_GBK"/>
                <w:color w:val="000000"/>
                <w:sz w:val="28"/>
                <w:szCs w:val="28"/>
                <w:highlight w:val="none"/>
                <w:lang w:val="en-US" w:eastAsia="zh-CN" w:bidi="ar"/>
              </w:rPr>
              <w:t xml:space="preserve">”响应情况进行评审</w:t>
            </w:r>
            <w:r>
              <w:rPr>
                <w:highlight w:val="none"/>
              </w:rPr>
            </w:r>
            <w:r/>
          </w:p>
          <w:p>
            <w:pPr>
              <w:pStyle w:val="961"/>
              <w:spacing w:line="360" w:lineRule="exact"/>
              <w:widowControl/>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lang w:val="en-US" w:eastAsia="zh-CN" w:bidi="ar"/>
              </w:rPr>
              <w:t xml:space="preserve">  （1）经评委认定，投标文件对“</w:t>
            </w:r>
            <w:r>
              <w:rPr>
                <w:rFonts w:hint="eastAsia" w:ascii="方正仿宋_GBK" w:hAnsi="方正仿宋_GBK" w:eastAsia="方正仿宋_GBK" w:cs="方正仿宋_GBK"/>
                <w:color w:val="000000"/>
                <w:sz w:val="28"/>
                <w:szCs w:val="28"/>
                <w:highlight w:val="none"/>
                <w:lang w:val="en-US" w:eastAsia="zh-CN" w:bidi="ar"/>
              </w:rPr>
              <w:t xml:space="preserve">电梯安装方案</w:t>
            </w:r>
            <w:r>
              <w:rPr>
                <w:rFonts w:ascii="方正仿宋_GBK" w:hAnsi="方正仿宋_GBK" w:eastAsia="方正仿宋_GBK" w:cs="方正仿宋_GBK"/>
                <w:color w:val="000000"/>
                <w:sz w:val="28"/>
                <w:szCs w:val="28"/>
                <w:highlight w:val="none"/>
                <w:lang w:val="en-US" w:eastAsia="zh-CN" w:bidi="ar"/>
              </w:rPr>
              <w:t xml:space="preserve">”中“</w:t>
            </w:r>
            <w:r>
              <w:rPr>
                <w:rFonts w:hint="eastAsia" w:ascii="方正仿宋_GBK" w:hAnsi="方正仿宋_GBK" w:eastAsia="方正仿宋_GBK" w:cs="方正仿宋_GBK"/>
                <w:color w:val="000000"/>
                <w:sz w:val="28"/>
                <w:szCs w:val="28"/>
                <w:highlight w:val="none"/>
                <w:lang w:val="en-US" w:eastAsia="zh-CN" w:bidi="ar"/>
              </w:rPr>
              <w:t xml:space="preserve">现场安全保证措施</w:t>
            </w:r>
            <w:r>
              <w:rPr>
                <w:rFonts w:ascii="方正仿宋_GBK" w:hAnsi="方正仿宋_GBK" w:eastAsia="方正仿宋_GBK" w:cs="方正仿宋_GBK"/>
                <w:color w:val="000000"/>
                <w:sz w:val="28"/>
                <w:szCs w:val="28"/>
                <w:highlight w:val="none"/>
                <w:lang w:val="en-US"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电梯安装方案</w:t>
            </w:r>
            <w:r>
              <w:rPr>
                <w:rFonts w:ascii="方正仿宋_GBK" w:hAnsi="方正仿宋_GBK" w:eastAsia="方正仿宋_GBK" w:cs="方正仿宋_GBK"/>
                <w:color w:val="000000"/>
                <w:sz w:val="28"/>
                <w:szCs w:val="28"/>
                <w:highlight w:val="none"/>
                <w:lang w:val="en-US"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两</w:t>
            </w:r>
            <w:r>
              <w:rPr>
                <w:rFonts w:ascii="方正仿宋_GBK" w:hAnsi="方正仿宋_GBK" w:eastAsia="方正仿宋_GBK" w:cs="方正仿宋_GBK"/>
                <w:color w:val="000000"/>
                <w:sz w:val="28"/>
                <w:szCs w:val="28"/>
                <w:highlight w:val="none"/>
                <w:lang w:val="en-US" w:eastAsia="zh-CN" w:bidi="ar"/>
              </w:rPr>
              <w:t xml:space="preserve">项要求的响应内容全部优于招标文件要求的（投标文件对“设计方案”中除“</w:t>
            </w:r>
            <w:r>
              <w:rPr>
                <w:rFonts w:hint="eastAsia" w:ascii="方正仿宋_GBK" w:hAnsi="方正仿宋_GBK" w:eastAsia="方正仿宋_GBK" w:cs="方正仿宋_GBK"/>
                <w:color w:val="000000"/>
                <w:sz w:val="28"/>
                <w:szCs w:val="28"/>
                <w:highlight w:val="none"/>
                <w:lang w:val="en-US" w:eastAsia="zh-CN" w:bidi="ar"/>
              </w:rPr>
              <w:t xml:space="preserve">现场安全保证措施</w:t>
            </w:r>
            <w:r>
              <w:rPr>
                <w:rFonts w:ascii="方正仿宋_GBK" w:hAnsi="方正仿宋_GBK" w:eastAsia="方正仿宋_GBK" w:cs="方正仿宋_GBK"/>
                <w:color w:val="000000"/>
                <w:sz w:val="28"/>
                <w:szCs w:val="28"/>
                <w:highlight w:val="none"/>
                <w:lang w:val="en-US"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电梯安装方案</w:t>
            </w:r>
            <w:r>
              <w:rPr>
                <w:rFonts w:ascii="方正仿宋_GBK" w:hAnsi="方正仿宋_GBK" w:eastAsia="方正仿宋_GBK" w:cs="方正仿宋_GBK"/>
                <w:color w:val="000000"/>
                <w:sz w:val="28"/>
                <w:szCs w:val="28"/>
                <w:highlight w:val="none"/>
                <w:lang w:val="en-US" w:eastAsia="zh-CN" w:bidi="ar"/>
              </w:rPr>
              <w:t xml:space="preserve">”外其他要求响应内容符合招标文件要求），本项得5分。</w:t>
            </w:r>
            <w:r>
              <w:rPr>
                <w:highlight w:val="none"/>
              </w:rPr>
            </w:r>
            <w:r/>
          </w:p>
          <w:p>
            <w:pPr>
              <w:pStyle w:val="961"/>
              <w:spacing w:line="360" w:lineRule="exact"/>
              <w:widowControl/>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lang w:val="en-US" w:eastAsia="zh-CN" w:bidi="ar"/>
              </w:rPr>
              <w:t xml:space="preserve"> （2） 投标文件符合“</w:t>
            </w:r>
            <w:r>
              <w:rPr>
                <w:rFonts w:hint="eastAsia" w:ascii="方正仿宋_GBK" w:hAnsi="方正仿宋_GBK" w:eastAsia="方正仿宋_GBK" w:cs="方正仿宋_GBK"/>
                <w:color w:val="000000"/>
                <w:sz w:val="28"/>
                <w:szCs w:val="28"/>
                <w:highlight w:val="none"/>
                <w:lang w:val="en-US" w:eastAsia="zh-CN" w:bidi="ar"/>
              </w:rPr>
              <w:t xml:space="preserve">安装</w:t>
            </w:r>
            <w:r>
              <w:rPr>
                <w:rFonts w:ascii="方正仿宋_GBK" w:hAnsi="方正仿宋_GBK" w:eastAsia="方正仿宋_GBK" w:cs="方正仿宋_GBK"/>
                <w:color w:val="000000"/>
                <w:sz w:val="28"/>
                <w:szCs w:val="28"/>
                <w:highlight w:val="none"/>
                <w:lang w:val="en-US" w:eastAsia="zh-CN" w:bidi="ar"/>
              </w:rPr>
              <w:t xml:space="preserve">方案”中全部条款要求的，视为符合招标文件，本项得3分。</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lang w:val="en-US" w:eastAsia="zh-CN" w:bidi="ar"/>
              </w:rPr>
              <w:t xml:space="preserve"> （3）投标文件未符合“</w:t>
            </w:r>
            <w:r>
              <w:rPr>
                <w:rFonts w:hint="eastAsia" w:ascii="方正仿宋_GBK" w:hAnsi="方正仿宋_GBK" w:eastAsia="方正仿宋_GBK" w:cs="方正仿宋_GBK"/>
                <w:color w:val="000000"/>
                <w:sz w:val="28"/>
                <w:szCs w:val="28"/>
                <w:highlight w:val="none"/>
                <w:lang w:val="en-US" w:eastAsia="zh-CN" w:bidi="ar"/>
              </w:rPr>
              <w:t xml:space="preserve">安装</w:t>
            </w:r>
            <w:r>
              <w:rPr>
                <w:rFonts w:ascii="方正仿宋_GBK" w:hAnsi="方正仿宋_GBK" w:eastAsia="方正仿宋_GBK" w:cs="方正仿宋_GBK"/>
                <w:color w:val="000000"/>
                <w:sz w:val="28"/>
                <w:szCs w:val="28"/>
                <w:highlight w:val="none"/>
                <w:lang w:val="en-US" w:eastAsia="zh-CN" w:bidi="ar"/>
              </w:rPr>
              <w:t xml:space="preserve">方案”中全部条款要求的，视为不符合招标文件，本项得0分。</w:t>
            </w:r>
            <w:r>
              <w:rPr>
                <w:highlight w:val="none"/>
              </w:rPr>
            </w:r>
            <w:r/>
          </w:p>
        </w:tc>
        <w:tc>
          <w:tcPr>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5</w:t>
            </w:r>
            <w:r>
              <w:rPr>
                <w:highlight w:val="none"/>
              </w:rPr>
            </w:r>
            <w:r/>
          </w:p>
        </w:tc>
      </w:tr>
      <w:tr>
        <w:trPr/>
        <w:tc>
          <w:tcPr>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售后方案</w:t>
            </w:r>
            <w:r>
              <w:rPr>
                <w:highlight w:val="none"/>
              </w:rPr>
            </w:r>
            <w:r/>
          </w:p>
        </w:tc>
        <w:tc>
          <w:tcPr>
            <w:tcBorders>
              <w:top w:val="none" w:color="000000" w:sz="4" w:space="0"/>
              <w:left w:val="none" w:color="000000" w:sz="4" w:space="0"/>
              <w:bottom w:val="single" w:color="000000" w:sz="8" w:space="0"/>
              <w:right w:val="single" w:color="000000" w:sz="8" w:space="0"/>
            </w:tcBorders>
            <w:tcW w:w="6177" w:type="dxa"/>
            <w:vAlign w:val="center"/>
            <w:textDirection w:val="lrTb"/>
            <w:noWrap w:val="false"/>
          </w:tcPr>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4.1经评委认定，投标文件中对“售后方案”中</w:t>
            </w:r>
            <w:r>
              <w:rPr>
                <w:rFonts w:hint="eastAsia" w:ascii="方正仿宋_GBK" w:hAnsi="方正仿宋_GBK" w:eastAsia="方正仿宋_GBK" w:cs="方正仿宋_GBK"/>
                <w:color w:val="000000"/>
                <w:sz w:val="28"/>
                <w:szCs w:val="28"/>
                <w:highlight w:val="none"/>
                <w:lang w:eastAsia="zh-CN" w:bidi="ar"/>
              </w:rPr>
              <w:t xml:space="preserve">“日常维保计划”、“故障维修方案”两项要求全部优于招标文件要求的，本项得</w:t>
            </w:r>
            <w:r>
              <w:rPr>
                <w:rFonts w:hint="eastAsia" w:ascii="方正仿宋_GBK" w:hAnsi="方正仿宋_GBK" w:eastAsia="方正仿宋_GBK" w:cs="方正仿宋_GBK"/>
                <w:color w:val="000000"/>
                <w:sz w:val="28"/>
                <w:szCs w:val="28"/>
                <w:highlight w:val="none"/>
                <w:lang w:val="en-US" w:eastAsia="zh-CN" w:bidi="ar"/>
              </w:rPr>
              <w:t xml:space="preserve">5分；投标文件符合“售后方案”中全部条款要求的，视为符合招标文件，本项得3分；投标文件未符合“售后方案”中全部条款要求的，视为不符合招标文件，本项得0分。</w:t>
            </w:r>
            <w:r>
              <w:rPr>
                <w:highlight w:val="none"/>
              </w:rPr>
            </w:r>
            <w:r/>
          </w:p>
        </w:tc>
        <w:tc>
          <w:tcPr>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5</w:t>
            </w:r>
            <w:r>
              <w:rPr>
                <w:highlight w:val="none"/>
              </w:rPr>
            </w:r>
            <w:r/>
          </w:p>
        </w:tc>
      </w:tr>
      <w:tr>
        <w:trPr/>
        <w:tc>
          <w:tcPr>
            <w:tcBorders>
              <w:top w:val="none" w:color="000000" w:sz="4" w:space="0"/>
              <w:left w:val="single" w:color="000000" w:sz="8" w:space="0"/>
              <w:bottom w:val="single" w:color="000000" w:sz="4" w:space="0"/>
              <w:right w:val="single" w:color="000000" w:sz="8" w:space="0"/>
            </w:tcBorders>
            <w:tcW w:w="976" w:type="dxa"/>
            <w:vAlign w:val="center"/>
            <w:textDirection w:val="lrTb"/>
            <w:noWrap w:val="false"/>
          </w:tcPr>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5</w:t>
            </w:r>
            <w:r>
              <w:rPr>
                <w:highlight w:val="none"/>
              </w:rPr>
            </w:r>
            <w:r/>
          </w:p>
        </w:tc>
        <w:tc>
          <w:tcPr>
            <w:tcBorders>
              <w:top w:val="none" w:color="000000" w:sz="4" w:space="0"/>
              <w:left w:val="none" w:color="000000" w:sz="4" w:space="0"/>
              <w:bottom w:val="single" w:color="000000" w:sz="4" w:space="0"/>
              <w:right w:val="single" w:color="000000" w:sz="8" w:space="0"/>
            </w:tcBorders>
            <w:tcW w:w="1050" w:type="dxa"/>
            <w:vAlign w:val="center"/>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项目案例</w:t>
            </w:r>
            <w:r>
              <w:rPr>
                <w:highlight w:val="none"/>
              </w:rPr>
            </w:r>
            <w:r/>
          </w:p>
        </w:tc>
        <w:tc>
          <w:tcPr>
            <w:tcBorders>
              <w:top w:val="none" w:color="000000" w:sz="4" w:space="0"/>
              <w:left w:val="none" w:color="000000" w:sz="4" w:space="0"/>
              <w:bottom w:val="single" w:color="000000" w:sz="4" w:space="0"/>
              <w:right w:val="single" w:color="000000" w:sz="8" w:space="0"/>
            </w:tcBorders>
            <w:tcW w:w="6177" w:type="dxa"/>
            <w:vAlign w:val="center"/>
            <w:textDirection w:val="lrTb"/>
            <w:noWrap w:val="false"/>
          </w:tcPr>
          <w:p>
            <w:pPr>
              <w:pStyle w:val="961"/>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5.1</w:t>
            </w:r>
            <w:r>
              <w:rPr>
                <w:rFonts w:hint="eastAsia" w:ascii="方正仿宋_GBK" w:hAnsi="方正仿宋_GBK" w:eastAsia="方正仿宋_GBK" w:cs="方正仿宋_GBK"/>
                <w:color w:val="000000"/>
                <w:sz w:val="28"/>
                <w:szCs w:val="28"/>
                <w:highlight w:val="none"/>
                <w:lang w:bidi="ar"/>
              </w:rPr>
              <w:t xml:space="preserve">所投同品牌客梯，自2022年</w:t>
            </w:r>
            <w:r>
              <w:rPr>
                <w:rFonts w:hint="eastAsia" w:ascii="方正仿宋_GBK" w:hAnsi="方正仿宋_GBK" w:eastAsia="方正仿宋_GBK" w:cs="方正仿宋_GBK"/>
                <w:color w:val="000000"/>
                <w:sz w:val="28"/>
                <w:szCs w:val="28"/>
                <w:highlight w:val="none"/>
                <w:lang w:val="en-US" w:eastAsia="zh-CN" w:bidi="ar"/>
              </w:rPr>
              <w:t xml:space="preserve">1月1日</w:t>
            </w:r>
            <w:r>
              <w:rPr>
                <w:rFonts w:hint="eastAsia" w:ascii="方正仿宋_GBK" w:hAnsi="方正仿宋_GBK" w:eastAsia="方正仿宋_GBK" w:cs="方正仿宋_GBK"/>
                <w:color w:val="000000"/>
                <w:sz w:val="28"/>
                <w:szCs w:val="28"/>
                <w:highlight w:val="none"/>
                <w:lang w:bidi="ar"/>
              </w:rPr>
              <w:t xml:space="preserve">以来（以合同签订时间为准）具有</w:t>
            </w:r>
            <w:r>
              <w:rPr>
                <w:rFonts w:hint="eastAsia" w:ascii="方正仿宋_GBK" w:hAnsi="方正仿宋_GBK" w:eastAsia="方正仿宋_GBK" w:cs="方正仿宋_GBK"/>
                <w:color w:val="000000"/>
                <w:sz w:val="28"/>
                <w:szCs w:val="28"/>
                <w:highlight w:val="none"/>
                <w:lang w:val="en-US" w:eastAsia="zh-CN" w:bidi="ar"/>
              </w:rPr>
              <w:t xml:space="preserve">与本项目</w:t>
            </w:r>
            <w:r>
              <w:rPr>
                <w:rFonts w:hint="eastAsia" w:ascii="方正仿宋_GBK" w:hAnsi="方正仿宋_GBK" w:eastAsia="方正仿宋_GBK" w:cs="方正仿宋_GBK"/>
                <w:color w:val="000000"/>
                <w:sz w:val="28"/>
                <w:szCs w:val="28"/>
                <w:highlight w:val="none"/>
                <w:lang w:bidi="ar"/>
              </w:rPr>
              <w:t xml:space="preserve">类似案例的，每提供1个有效案例的得1分，最高4分。提供合同复印件并加盖公章，否则不予得分。</w:t>
            </w:r>
            <w:r>
              <w:rPr>
                <w:highlight w:val="none"/>
              </w:rPr>
            </w:r>
            <w:r/>
          </w:p>
        </w:tc>
        <w:tc>
          <w:tcPr>
            <w:tcBorders>
              <w:top w:val="none" w:color="000000" w:sz="4" w:space="0"/>
              <w:left w:val="none" w:color="000000" w:sz="4" w:space="0"/>
              <w:bottom w:val="single" w:color="000000" w:sz="4" w:space="0"/>
              <w:right w:val="single" w:color="000000" w:sz="8" w:space="0"/>
            </w:tcBorders>
            <w:tcW w:w="99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4</w:t>
            </w:r>
            <w:r>
              <w:rPr>
                <w:highlight w:val="none"/>
              </w:rPr>
            </w:r>
            <w:r/>
          </w:p>
        </w:tc>
      </w:tr>
      <w:tr>
        <w:trPr/>
        <w:tc>
          <w:tcPr>
            <w:tcBorders>
              <w:top w:val="single" w:color="000000" w:sz="4" w:space="0"/>
              <w:left w:val="single" w:color="000000" w:sz="8" w:space="0"/>
              <w:bottom w:val="single" w:color="000000" w:sz="4" w:space="0"/>
              <w:right w:val="single" w:color="000000" w:sz="8" w:space="0"/>
            </w:tcBorders>
            <w:tcW w:w="976" w:type="dxa"/>
            <w:vAlign w:val="center"/>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6</w:t>
            </w:r>
            <w:r>
              <w:rPr>
                <w:highlight w:val="none"/>
              </w:rPr>
            </w:r>
            <w:r/>
          </w:p>
        </w:tc>
        <w:tc>
          <w:tcPr>
            <w:tcBorders>
              <w:top w:val="single" w:color="000000" w:sz="4" w:space="0"/>
              <w:left w:val="none" w:color="000000" w:sz="4" w:space="0"/>
              <w:bottom w:val="single" w:color="000000" w:sz="4" w:space="0"/>
              <w:right w:val="single" w:color="000000" w:sz="8" w:space="0"/>
            </w:tcBorders>
            <w:tcW w:w="1050" w:type="dxa"/>
            <w:vAlign w:val="center"/>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质量保证</w:t>
            </w:r>
            <w:r>
              <w:rPr>
                <w:highlight w:val="none"/>
              </w:rPr>
            </w:r>
            <w:r/>
          </w:p>
        </w:tc>
        <w:tc>
          <w:tcPr>
            <w:tcBorders>
              <w:top w:val="single" w:color="000000" w:sz="4" w:space="0"/>
              <w:left w:val="none" w:color="000000" w:sz="4" w:space="0"/>
              <w:bottom w:val="single" w:color="000000" w:sz="4" w:space="0"/>
              <w:right w:val="single" w:color="000000" w:sz="8" w:space="0"/>
            </w:tcBorders>
            <w:tcW w:w="6177" w:type="dxa"/>
            <w:vAlign w:val="center"/>
            <w:textDirection w:val="lrTb"/>
            <w:noWrap w:val="false"/>
          </w:tcPr>
          <w:p>
            <w:pPr>
              <w:pStyle w:val="961"/>
              <w:spacing w:line="36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6.1投标人具有</w:t>
            </w:r>
            <w:r>
              <w:rPr>
                <w:rFonts w:ascii="方正仿宋_GBK" w:hAnsi="方正仿宋_GBK" w:eastAsia="方正仿宋_GBK" w:cs="方正仿宋_GBK"/>
                <w:bCs/>
                <w:color w:val="000000"/>
                <w:sz w:val="28"/>
                <w:szCs w:val="28"/>
                <w:highlight w:val="none"/>
                <w:lang w:val="en-US" w:eastAsia="zh-CN"/>
              </w:rPr>
              <w:t xml:space="preserve">ISO9001质量管理体系认证证书、ISO45001职业健康安全管理体系认证证书</w:t>
            </w:r>
            <w:r>
              <w:rPr>
                <w:rFonts w:hint="eastAsia" w:ascii="方正仿宋_GBK" w:hAnsi="方正仿宋_GBK" w:eastAsia="方正仿宋_GBK" w:cs="方正仿宋_GBK"/>
                <w:bCs/>
                <w:color w:val="000000"/>
                <w:sz w:val="28"/>
                <w:szCs w:val="28"/>
                <w:highlight w:val="none"/>
                <w:lang w:val="en-US" w:eastAsia="zh-CN"/>
              </w:rPr>
              <w:t xml:space="preserve">。上述证书每提供一个得1分，满分2分，未提供或未按要求提供的不得分。</w:t>
            </w:r>
            <w:r>
              <w:rPr>
                <w:highlight w:val="none"/>
              </w:rPr>
            </w:r>
            <w:r/>
          </w:p>
        </w:tc>
        <w:tc>
          <w:tcPr>
            <w:tcBorders>
              <w:top w:val="single" w:color="000000" w:sz="4" w:space="0"/>
              <w:left w:val="none" w:color="000000" w:sz="4" w:space="0"/>
              <w:bottom w:val="single" w:color="000000" w:sz="4" w:space="0"/>
              <w:right w:val="single" w:color="000000" w:sz="8" w:space="0"/>
            </w:tcBorders>
            <w:tcW w:w="996" w:type="dxa"/>
            <w:vAlign w:val="center"/>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w:t>
            </w:r>
            <w:r>
              <w:rPr>
                <w:highlight w:val="none"/>
              </w:rPr>
            </w:r>
            <w:r/>
          </w:p>
        </w:tc>
      </w:tr>
      <w:tr>
        <w:trPr/>
        <w:tc>
          <w:tcPr>
            <w:tcBorders>
              <w:top w:val="single" w:color="000000" w:sz="4" w:space="0"/>
              <w:left w:val="single" w:color="000000" w:sz="4" w:space="0"/>
              <w:bottom w:val="single" w:color="000000" w:sz="4" w:space="0"/>
              <w:right w:val="single" w:color="000000" w:sz="8" w:space="0"/>
            </w:tcBorders>
            <w:tcW w:w="97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rPr>
                <w:highlight w:val="none"/>
              </w:rPr>
            </w:r>
            <w:r/>
          </w:p>
        </w:tc>
        <w:tc>
          <w:tcPr>
            <w:tcBorders>
              <w:top w:val="single" w:color="000000" w:sz="4" w:space="0"/>
              <w:left w:val="none" w:color="000000" w:sz="4" w:space="0"/>
              <w:bottom w:val="single" w:color="000000" w:sz="4" w:space="0"/>
              <w:right w:val="single" w:color="000000" w:sz="8" w:space="0"/>
            </w:tcBorders>
            <w:tcW w:w="1050"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节能环保</w:t>
            </w:r>
            <w:r>
              <w:rPr>
                <w:highlight w:val="none"/>
              </w:rPr>
            </w:r>
            <w:r/>
          </w:p>
        </w:tc>
        <w:tc>
          <w:tcPr>
            <w:tcBorders>
              <w:top w:val="single" w:color="000000" w:sz="4" w:space="0"/>
              <w:left w:val="none" w:color="000000" w:sz="4" w:space="0"/>
              <w:bottom w:val="single" w:color="000000" w:sz="4" w:space="0"/>
              <w:right w:val="single" w:color="000000" w:sz="8" w:space="0"/>
            </w:tcBorders>
            <w:tcW w:w="6177" w:type="dxa"/>
            <w:vAlign w:val="center"/>
            <w:textDirection w:val="lrTb"/>
            <w:noWrap w:val="false"/>
          </w:tcPr>
          <w:p>
            <w:pPr>
              <w:pStyle w:val="961"/>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7</w:t>
            </w:r>
            <w:r>
              <w:rPr>
                <w:rFonts w:hint="eastAsia" w:ascii="方正仿宋_GBK" w:hAnsi="方正仿宋_GBK" w:eastAsia="方正仿宋_GBK" w:cs="方正仿宋_GBK"/>
                <w:color w:val="000000"/>
                <w:sz w:val="28"/>
                <w:szCs w:val="28"/>
                <w:highlight w:val="none"/>
                <w:lang w:bidi="ar"/>
              </w:rPr>
              <w:t xml:space="preserve">.1节能产品认证证书</w:t>
            </w:r>
            <w:r>
              <w:rPr>
                <w:highlight w:val="none"/>
              </w:rPr>
            </w:r>
            <w:r/>
          </w:p>
          <w:p>
            <w:pPr>
              <w:pStyle w:val="961"/>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7</w:t>
            </w:r>
            <w:r>
              <w:rPr>
                <w:rFonts w:hint="eastAsia" w:ascii="方正仿宋_GBK" w:hAnsi="方正仿宋_GBK" w:eastAsia="方正仿宋_GBK" w:cs="方正仿宋_GBK"/>
                <w:color w:val="000000"/>
                <w:sz w:val="28"/>
                <w:szCs w:val="28"/>
                <w:highlight w:val="none"/>
                <w:lang w:bidi="ar"/>
              </w:rPr>
              <w:t xml:space="preserve">.2环境标志产品认证</w:t>
            </w:r>
            <w:r>
              <w:rPr>
                <w:highlight w:val="none"/>
              </w:rPr>
            </w:r>
            <w:r/>
          </w:p>
          <w:p>
            <w:pPr>
              <w:pStyle w:val="961"/>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投标（响应）产品属于财政部、生态环境部公布的“环境标志产品品目清单”范围内的，投标人（供应商）提供国家确定的认证机构出具的、处于有效期内的该投标（响应）产品环境标志产品认证证书复印件的，有1个得0.5分，最多得1分。</w:t>
            </w:r>
            <w:r>
              <w:rPr>
                <w:highlight w:val="none"/>
              </w:rPr>
            </w:r>
            <w:r/>
          </w:p>
        </w:tc>
        <w:tc>
          <w:tcPr>
            <w:tcBorders>
              <w:top w:val="single" w:color="000000" w:sz="4" w:space="0"/>
              <w:left w:val="none" w:color="000000" w:sz="4" w:space="0"/>
              <w:bottom w:val="single" w:color="000000" w:sz="4" w:space="0"/>
              <w:right w:val="single" w:color="000000" w:sz="4" w:space="0"/>
            </w:tcBorders>
            <w:tcW w:w="996"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highlight w:val="none"/>
              </w:rPr>
            </w:r>
            <w:r/>
          </w:p>
        </w:tc>
      </w:tr>
      <w:tr>
        <w:trPr/>
        <w:tc>
          <w:tcPr>
            <w:tcBorders>
              <w:top w:val="single" w:color="000000" w:sz="4" w:space="0"/>
              <w:left w:val="single" w:color="000000" w:sz="8" w:space="0"/>
              <w:bottom w:val="single" w:color="000000" w:sz="8" w:space="0"/>
              <w:right w:val="single" w:color="000000" w:sz="8" w:space="0"/>
            </w:tcBorders>
            <w:tcW w:w="976" w:type="dxa"/>
            <w:vAlign w:val="center"/>
            <w:textDirection w:val="lrTb"/>
            <w:noWrap w:val="false"/>
          </w:tcPr>
          <w:p>
            <w:pPr>
              <w:pStyle w:val="961"/>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r/>
          </w:p>
        </w:tc>
        <w:tc>
          <w:tcPr>
            <w:gridSpan w:val="2"/>
            <w:tcBorders>
              <w:top w:val="single" w:color="000000" w:sz="4" w:space="0"/>
              <w:left w:val="none" w:color="000000" w:sz="4" w:space="0"/>
              <w:bottom w:val="single" w:color="000000" w:sz="8" w:space="0"/>
              <w:right w:val="single" w:color="000000" w:sz="8" w:space="0"/>
            </w:tcBorders>
            <w:tcW w:w="7227"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合    计：100分</w:t>
            </w:r>
            <w:r>
              <w:rPr>
                <w:highlight w:val="none"/>
              </w:rPr>
            </w:r>
            <w:r/>
          </w:p>
        </w:tc>
        <w:tc>
          <w:tcPr>
            <w:tcBorders>
              <w:top w:val="single" w:color="000000" w:sz="4" w:space="0"/>
              <w:left w:val="none" w:color="000000" w:sz="4" w:space="0"/>
              <w:bottom w:val="single" w:color="000000" w:sz="8" w:space="0"/>
              <w:right w:val="single" w:color="000000" w:sz="8" w:space="0"/>
            </w:tcBorders>
            <w:tcW w:w="996" w:type="dxa"/>
            <w:vAlign w:val="center"/>
            <w:textDirection w:val="lrTb"/>
            <w:noWrap/>
          </w:tcPr>
          <w:p>
            <w:pPr>
              <w:pStyle w:val="961"/>
              <w:jc w:val="right"/>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100</w:t>
            </w:r>
            <w:r>
              <w:rPr>
                <w:highlight w:val="none"/>
              </w:rPr>
            </w:r>
            <w:r/>
          </w:p>
        </w:tc>
      </w:tr>
    </w:tbl>
    <w:p>
      <w:pPr>
        <w:pStyle w:val="1023"/>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sz w:val="28"/>
          <w:szCs w:val="28"/>
          <w:highlight w:val="none"/>
          <w:lang w:val="en-US" w:eastAsia="zh-CN" w:bidi="ar-SA"/>
        </w:rPr>
      </w:r>
      <w:r>
        <w:rPr>
          <w:highlight w:val="none"/>
        </w:rPr>
      </w:r>
      <w:r/>
    </w:p>
    <w:p>
      <w:pPr>
        <w:pStyle w:val="961"/>
        <w:rPr>
          <w:rFonts w:hint="eastAsia"/>
          <w:highlight w:val="none"/>
        </w:rPr>
      </w:pPr>
      <w:r>
        <w:rPr>
          <w:rFonts w:hint="eastAsia"/>
          <w:highlight w:val="none"/>
        </w:rPr>
      </w:r>
      <w:r>
        <w:rPr>
          <w:highlight w:val="none"/>
        </w:rPr>
      </w:r>
      <w:r/>
    </w:p>
    <w:p>
      <w:pPr>
        <w:pStyle w:val="963"/>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br w:type="page" w:clear="all"/>
      </w:r>
      <w:r>
        <w:rPr>
          <w:rFonts w:hint="eastAsia" w:ascii="黑体" w:hAnsi="黑体" w:eastAsia="黑体" w:cs="Arial"/>
          <w:b w:val="0"/>
          <w:bCs w:val="0"/>
          <w:sz w:val="28"/>
          <w:szCs w:val="28"/>
          <w:highlight w:val="none"/>
        </w:rPr>
        <w:t xml:space="preserve">第六章  投标</w:t>
      </w:r>
      <w:bookmarkEnd w:id="181"/>
      <w:r>
        <w:rPr>
          <w:highlight w:val="none"/>
        </w:rPr>
      </w:r>
      <w:bookmarkEnd w:id="182"/>
      <w:r>
        <w:rPr>
          <w:highlight w:val="none"/>
        </w:rPr>
      </w:r>
      <w:bookmarkEnd w:id="184"/>
      <w:r>
        <w:rPr>
          <w:rFonts w:hint="eastAsia" w:ascii="黑体" w:hAnsi="黑体" w:eastAsia="黑体" w:cs="Arial"/>
          <w:b w:val="0"/>
          <w:bCs w:val="0"/>
          <w:sz w:val="28"/>
          <w:szCs w:val="28"/>
          <w:highlight w:val="none"/>
        </w:rPr>
        <w:t xml:space="preserve">文件格式</w:t>
      </w:r>
      <w:r>
        <w:rPr>
          <w:highlight w:val="none"/>
        </w:rPr>
      </w:r>
      <w:r/>
    </w:p>
    <w:p>
      <w:pPr>
        <w:pStyle w:val="961"/>
        <w:jc w:val="center"/>
        <w:pageBreakBefore w:val="0"/>
        <w:spacing w:line="400" w:lineRule="exact"/>
        <w:widowControl w:val="off"/>
        <w:rPr>
          <w:rFonts w:hint="eastAsia" w:ascii="宋体" w:hAnsi="宋体"/>
          <w:b/>
          <w:color w:val="000000"/>
          <w:sz w:val="28"/>
          <w:szCs w:val="28"/>
          <w:highlight w:val="none"/>
        </w:rPr>
      </w:pPr>
      <w:r>
        <w:rPr>
          <w:highlight w:val="none"/>
        </w:rPr>
      </w:r>
      <w:bookmarkStart w:id="186" w:name="_Hlt26955039"/>
      <w:r>
        <w:rPr>
          <w:highlight w:val="none"/>
        </w:rPr>
      </w:r>
      <w:bookmarkEnd w:id="186"/>
      <w:r>
        <w:rPr>
          <w:highlight w:val="none"/>
        </w:rPr>
      </w:r>
      <w:bookmarkStart w:id="187" w:name="_Hlt26671244"/>
      <w:r>
        <w:rPr>
          <w:highlight w:val="none"/>
        </w:rPr>
      </w:r>
      <w:bookmarkEnd w:id="187"/>
      <w:r>
        <w:rPr>
          <w:highlight w:val="none"/>
        </w:rPr>
      </w:r>
      <w:bookmarkStart w:id="188" w:name="_Toc120614282"/>
      <w:r>
        <w:rPr>
          <w:highlight w:val="none"/>
        </w:rPr>
      </w:r>
      <w:bookmarkStart w:id="189" w:name="_Toc49090576"/>
      <w:r>
        <w:rPr>
          <w:highlight w:val="none"/>
        </w:rPr>
      </w:r>
      <w:bookmarkStart w:id="190" w:name="_Toc26554094"/>
      <w:r>
        <w:rPr>
          <w:highlight w:val="none"/>
        </w:rPr>
      </w:r>
      <w:r/>
    </w:p>
    <w:p>
      <w:pPr>
        <w:pStyle w:val="961"/>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highlight w:val="none"/>
        </w:rPr>
      </w:pPr>
      <w:r>
        <w:rPr>
          <w:rFonts w:hint="eastAsia" w:ascii="方正小标宋_GBK" w:hAnsi="方正小标宋_GBK" w:eastAsia="方正小标宋_GBK" w:cs="方正小标宋_GBK"/>
          <w:b w:val="0"/>
          <w:bCs/>
          <w:color w:val="000000"/>
          <w:sz w:val="32"/>
          <w:szCs w:val="32"/>
          <w:highlight w:val="none"/>
        </w:rPr>
        <w:t xml:space="preserve">投  标  文  件</w:t>
      </w:r>
      <w:r>
        <w:rPr>
          <w:highlight w:val="none"/>
        </w:rPr>
      </w:r>
      <w:r/>
    </w:p>
    <w:p>
      <w:pPr>
        <w:pStyle w:val="961"/>
        <w:jc w:val="center"/>
        <w:pageBreakBefore w:val="0"/>
        <w:spacing w:line="40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r/>
    </w:p>
    <w:p>
      <w:pPr>
        <w:pStyle w:val="961"/>
        <w:jc w:val="center"/>
        <w:pageBreakBefore w:val="0"/>
        <w:spacing w:line="40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r/>
    </w:p>
    <w:p>
      <w:pPr>
        <w:pStyle w:val="961"/>
        <w:jc w:val="center"/>
        <w:pageBreakBefore w:val="0"/>
        <w:spacing w:line="400" w:lineRule="exact"/>
        <w:widowControl w:val="off"/>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r/>
    </w:p>
    <w:p>
      <w:pPr>
        <w:pStyle w:val="961"/>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r>
      <w:r>
        <w:rPr>
          <w:highlight w:val="none"/>
        </w:rPr>
      </w:r>
      <w:r/>
    </w:p>
    <w:p>
      <w:pPr>
        <w:pStyle w:val="961"/>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r>
      <w:r>
        <w:rPr>
          <w:highlight w:val="none"/>
        </w:rPr>
      </w:r>
      <w:r/>
    </w:p>
    <w:p>
      <w:pPr>
        <w:pStyle w:val="961"/>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项 目 名 称：</w:t>
      </w:r>
      <w:r>
        <w:rPr>
          <w:rFonts w:hint="eastAsia" w:ascii="方正黑体_GBK" w:hAnsi="方正黑体_GBK" w:eastAsia="方正黑体_GBK" w:cs="方正黑体_GBK"/>
          <w:b w:val="0"/>
          <w:bCs/>
          <w:color w:val="000000"/>
          <w:sz w:val="28"/>
          <w:szCs w:val="28"/>
          <w:highlight w:val="none"/>
          <w:u w:val="single"/>
        </w:rPr>
        <w:t xml:space="preserve">               </w:t>
      </w:r>
      <w:r>
        <w:rPr>
          <w:highlight w:val="none"/>
        </w:rPr>
      </w:r>
      <w:r/>
    </w:p>
    <w:p>
      <w:pPr>
        <w:pStyle w:val="961"/>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u w:val="single"/>
        </w:rPr>
      </w:pPr>
      <w:r>
        <w:rPr>
          <w:rFonts w:hint="eastAsia" w:ascii="方正黑体_GBK" w:hAnsi="方正黑体_GBK" w:eastAsia="方正黑体_GBK" w:cs="方正黑体_GBK"/>
          <w:b w:val="0"/>
          <w:bCs/>
          <w:color w:val="000000"/>
          <w:sz w:val="28"/>
          <w:szCs w:val="28"/>
          <w:highlight w:val="none"/>
          <w:lang w:eastAsia="zh-CN"/>
        </w:rPr>
        <w:t xml:space="preserve">采</w:t>
      </w:r>
      <w:r>
        <w:rPr>
          <w:rFonts w:hint="eastAsia" w:ascii="方正黑体_GBK" w:hAnsi="方正黑体_GBK" w:eastAsia="方正黑体_GBK" w:cs="方正黑体_GBK"/>
          <w:b w:val="0"/>
          <w:bCs/>
          <w:color w:val="000000"/>
          <w:sz w:val="28"/>
          <w:szCs w:val="28"/>
          <w:highlight w:val="none"/>
          <w:lang w:val="en-US" w:eastAsia="zh-CN"/>
        </w:rPr>
        <w:t xml:space="preserve"> </w:t>
      </w:r>
      <w:r>
        <w:rPr>
          <w:rFonts w:hint="eastAsia" w:ascii="方正黑体_GBK" w:hAnsi="方正黑体_GBK" w:eastAsia="方正黑体_GBK" w:cs="方正黑体_GBK"/>
          <w:b w:val="0"/>
          <w:bCs/>
          <w:color w:val="000000"/>
          <w:sz w:val="28"/>
          <w:szCs w:val="28"/>
          <w:highlight w:val="none"/>
          <w:lang w:eastAsia="zh-CN"/>
        </w:rPr>
        <w:t xml:space="preserve">购</w:t>
      </w:r>
      <w:r>
        <w:rPr>
          <w:rFonts w:hint="eastAsia" w:ascii="方正黑体_GBK" w:hAnsi="方正黑体_GBK" w:eastAsia="方正黑体_GBK" w:cs="方正黑体_GBK"/>
          <w:b w:val="0"/>
          <w:bCs/>
          <w:color w:val="000000"/>
          <w:sz w:val="28"/>
          <w:szCs w:val="28"/>
          <w:highlight w:val="none"/>
        </w:rPr>
        <w:t xml:space="preserve"> 编 号：</w:t>
      </w:r>
      <w:r>
        <w:rPr>
          <w:rFonts w:hint="eastAsia" w:ascii="方正黑体_GBK" w:hAnsi="方正黑体_GBK" w:eastAsia="方正黑体_GBK" w:cs="方正黑体_GBK"/>
          <w:b w:val="0"/>
          <w:bCs/>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u w:val="single"/>
        </w:rPr>
      </w:pPr>
      <w:r>
        <w:rPr>
          <w:rFonts w:hint="eastAsia" w:ascii="方正黑体_GBK" w:hAnsi="方正黑体_GBK" w:eastAsia="方正黑体_GBK" w:cs="方正黑体_GBK"/>
          <w:b w:val="0"/>
          <w:bCs/>
          <w:color w:val="000000"/>
          <w:sz w:val="28"/>
          <w:szCs w:val="28"/>
          <w:highlight w:val="none"/>
        </w:rPr>
        <w:t xml:space="preserve">      投标人名称 ：</w:t>
      </w:r>
      <w:r>
        <w:rPr>
          <w:rFonts w:hint="eastAsia" w:ascii="方正黑体_GBK" w:hAnsi="方正黑体_GBK" w:eastAsia="方正黑体_GBK" w:cs="方正黑体_GBK"/>
          <w:b w:val="0"/>
          <w:bCs/>
          <w:color w:val="000000"/>
          <w:sz w:val="28"/>
          <w:szCs w:val="28"/>
          <w:highlight w:val="none"/>
          <w:u w:val="single"/>
        </w:rPr>
        <w:t xml:space="preserve">（加盖CA电子公章）</w:t>
      </w:r>
      <w:r>
        <w:rPr>
          <w:highlight w:val="none"/>
        </w:rPr>
      </w:r>
      <w:r/>
    </w:p>
    <w:p>
      <w:pPr>
        <w:pStyle w:val="961"/>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u w:val="single"/>
        </w:rPr>
      </w:pPr>
      <w:r>
        <w:rPr>
          <w:rFonts w:hint="eastAsia" w:ascii="方正黑体_GBK" w:hAnsi="方正黑体_GBK" w:eastAsia="方正黑体_GBK" w:cs="方正黑体_GBK"/>
          <w:b w:val="0"/>
          <w:bCs/>
          <w:color w:val="000000"/>
          <w:sz w:val="28"/>
          <w:szCs w:val="28"/>
          <w:highlight w:val="none"/>
        </w:rPr>
        <w:t xml:space="preserve">      日      期 ：</w:t>
      </w:r>
      <w:r>
        <w:rPr>
          <w:rFonts w:hint="eastAsia" w:ascii="方正黑体_GBK" w:hAnsi="方正黑体_GBK" w:eastAsia="方正黑体_GBK" w:cs="方正黑体_GBK"/>
          <w:b w:val="0"/>
          <w:bCs/>
          <w:color w:val="000000"/>
          <w:sz w:val="28"/>
          <w:szCs w:val="28"/>
          <w:highlight w:val="none"/>
          <w:u w:val="single"/>
        </w:rPr>
        <w:t xml:space="preserve">               </w:t>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投标文件的组成</w:t>
      </w:r>
      <w:r>
        <w:rPr>
          <w:highlight w:val="none"/>
        </w:rPr>
      </w:r>
      <w:r/>
    </w:p>
    <w:p>
      <w:pPr>
        <w:pStyle w:val="961"/>
        <w:jc w:val="center"/>
        <w:keepLines w:val="0"/>
        <w:keepNext w:val="0"/>
        <w:pageBreakBefore w:val="0"/>
        <w:spacing w:line="400" w:lineRule="exact"/>
        <w:rPr>
          <w:rFonts w:hint="eastAsia" w:ascii="宋体" w:hAnsi="宋体"/>
          <w:b/>
          <w:bCs/>
          <w:sz w:val="28"/>
          <w:szCs w:val="28"/>
          <w:highlight w:val="none"/>
        </w:rPr>
      </w:pPr>
      <w:r>
        <w:rPr>
          <w:rFonts w:hint="eastAsia" w:ascii="宋体" w:hAnsi="宋体"/>
          <w:b/>
          <w:bCs/>
          <w:sz w:val="28"/>
          <w:szCs w:val="28"/>
          <w:highlight w:val="none"/>
        </w:rPr>
      </w:r>
      <w:r>
        <w:rPr>
          <w:highlight w:val="none"/>
        </w:rPr>
      </w:r>
      <w:r/>
    </w:p>
    <w:p>
      <w:pPr>
        <w:pStyle w:val="96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一、基本目录</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Times New Roman" w:hAnsi="Times New Roman" w:eastAsia="方正仿宋_GBK" w:cs="Times New Roman"/>
          <w:color w:val="000000"/>
          <w:sz w:val="28"/>
          <w:szCs w:val="28"/>
          <w:highlight w:val="none"/>
          <w:lang w:eastAsia="zh-CN"/>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ascii="Times New Roman" w:hAnsi="Times New Roman" w:eastAsia="方正仿宋_GBK" w:cs="Times New Roman"/>
          <w:color w:val="000000"/>
          <w:sz w:val="28"/>
          <w:szCs w:val="28"/>
          <w:highlight w:val="none"/>
          <w:lang w:eastAsia="zh-CN"/>
        </w:rPr>
        <w:t xml:space="preserve">XX</w:t>
      </w:r>
      <w:r>
        <w:rPr>
          <w:rFonts w:hint="eastAsia" w:ascii="方正仿宋_GBK" w:hAnsi="方正仿宋_GBK" w:eastAsia="方正仿宋_GBK" w:cs="方正仿宋_GBK"/>
          <w:color w:val="000000"/>
          <w:sz w:val="28"/>
          <w:szCs w:val="28"/>
          <w:highlight w:val="none"/>
        </w:rPr>
        <w:t xml:space="preserve">）</w:t>
      </w:r>
      <w:r>
        <w:rPr>
          <w:highlight w:val="none"/>
        </w:rPr>
      </w:r>
      <w:r/>
    </w:p>
    <w:p>
      <w:pPr>
        <w:pStyle w:val="96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二、资格审查内容</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前一年内至少一个月依法缴纳税收及缴纳社会保障资金的证明材料。投标人依法享受缓缴、免缴税收、社会保障资金的提供证明材料。）</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lang w:eastAsia="zh-CN"/>
        </w:rPr>
        <w:t xml:space="preserve">www.creditchina.gov.cn</w:t>
      </w:r>
      <w:r>
        <w:rPr>
          <w:rFonts w:ascii="Times New Roman" w:hAnsi="Times New Roman" w:eastAsia="方正仿宋_GBK" w:cs="Times New Roman"/>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条、8、9条投标人必须在投标文件中提供相关材料，否则作无效投标处理。</w:t>
      </w:r>
      <w:r>
        <w:rPr>
          <w:highlight w:val="none"/>
        </w:rPr>
      </w:r>
      <w:r/>
    </w:p>
    <w:p>
      <w:pPr>
        <w:pStyle w:val="96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三、符合性审查内容</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投标人必须对</w:t>
      </w:r>
      <w:r>
        <w:rPr>
          <w:rFonts w:hint="eastAsia" w:ascii="方正仿宋_GBK" w:hAnsi="方正仿宋_GBK" w:eastAsia="方正仿宋_GBK" w:cs="方正仿宋_GBK"/>
          <w:color w:val="000000"/>
          <w:sz w:val="28"/>
          <w:szCs w:val="28"/>
          <w:highlight w:val="none"/>
        </w:rPr>
        <w:t xml:space="preserve">招标文件（含技术要求和商务要求）中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w:t>
      </w:r>
      <w:r>
        <w:rPr>
          <w:rFonts w:hint="eastAsia" w:ascii="方正仿宋_GBK" w:hAnsi="方正仿宋_GBK" w:eastAsia="方正仿宋_GBK" w:cs="方正仿宋_GBK"/>
          <w:sz w:val="28"/>
          <w:szCs w:val="28"/>
          <w:highlight w:val="none"/>
        </w:rPr>
        <w:t xml:space="preserve">的实质性要求逐条做出响应，并按照招标文件要求提供证明材料，否则</w:t>
      </w:r>
      <w:r>
        <w:rPr>
          <w:rFonts w:hint="eastAsia" w:ascii="方正仿宋_GBK" w:hAnsi="方正仿宋_GBK" w:eastAsia="方正仿宋_GBK" w:cs="方正仿宋_GBK"/>
          <w:sz w:val="28"/>
          <w:szCs w:val="28"/>
          <w:highlight w:val="none"/>
          <w:lang w:eastAsia="zh-CN"/>
        </w:rPr>
        <w:t xml:space="preserve">作</w:t>
      </w:r>
      <w:r>
        <w:rPr>
          <w:rFonts w:hint="eastAsia" w:ascii="方正仿宋_GBK" w:hAnsi="方正仿宋_GBK" w:eastAsia="方正仿宋_GBK" w:cs="方正仿宋_GBK"/>
          <w:sz w:val="28"/>
          <w:szCs w:val="28"/>
          <w:highlight w:val="none"/>
        </w:rPr>
        <w:t xml:space="preserve">无效投标处理。（格式见附件12）</w:t>
      </w:r>
      <w:r>
        <w:rPr>
          <w:highlight w:val="none"/>
        </w:rPr>
      </w:r>
      <w:r/>
    </w:p>
    <w:p>
      <w:pPr>
        <w:pStyle w:val="96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四、价格扣除证明文件</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1.中小微企业声明函（格式见附件9）</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2.残疾人福利性单位声明函（格式见附件10）</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3.关于符合本国产品标准的声明函（</w:t>
      </w:r>
      <w:r>
        <w:rPr>
          <w:rFonts w:hint="eastAsia" w:ascii="方正仿宋_GBK" w:hAnsi="方正仿宋_GBK" w:eastAsia="方正仿宋_GBK" w:cs="方正仿宋_GBK"/>
          <w:sz w:val="28"/>
          <w:szCs w:val="28"/>
          <w:highlight w:val="none"/>
        </w:rPr>
        <w:t xml:space="preserve">格式见附件</w:t>
      </w:r>
      <w:r>
        <w:rPr>
          <w:rFonts w:hint="eastAsia" w:ascii="方正仿宋_GBK" w:hAnsi="方正仿宋_GBK" w:eastAsia="方正仿宋_GBK" w:cs="方正仿宋_GBK"/>
          <w:sz w:val="28"/>
          <w:szCs w:val="28"/>
          <w:highlight w:val="none"/>
          <w:lang w:val="en-US" w:eastAsia="zh-CN"/>
        </w:rPr>
        <w:t xml:space="preserve">13）</w:t>
      </w:r>
      <w:r>
        <w:rPr>
          <w:highlight w:val="none"/>
        </w:rPr>
      </w:r>
      <w:r/>
    </w:p>
    <w:p>
      <w:pPr>
        <w:pStyle w:val="961"/>
        <w:ind w:firstLine="480"/>
        <w:keepLines w:val="0"/>
        <w:keepNext w:val="0"/>
        <w:pageBreakBefore w:val="0"/>
        <w:spacing w:line="400" w:lineRule="exact"/>
        <w:rPr>
          <w:rFonts w:hint="eastAsia" w:ascii="宋体" w:hAnsi="宋体"/>
          <w:sz w:val="24"/>
          <w:szCs w:val="21"/>
          <w:highlight w:val="none"/>
        </w:rPr>
      </w:pPr>
      <w:r>
        <w:rPr>
          <w:rFonts w:hint="eastAsia" w:ascii="宋体" w:hAnsi="宋体"/>
          <w:sz w:val="24"/>
          <w:szCs w:val="21"/>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ind w:left="480"/>
        <w:keepLines w:val="0"/>
        <w:keepNext w:val="0"/>
        <w:pageBreakBefore w:val="0"/>
        <w:spacing w:line="400" w:lineRule="exact"/>
        <w:rPr>
          <w:rFonts w:ascii="宋体" w:hAnsi="宋体"/>
          <w:b/>
          <w:sz w:val="28"/>
          <w:szCs w:val="28"/>
          <w:highlight w:val="none"/>
        </w:rPr>
      </w:pPr>
      <w:r>
        <w:rPr>
          <w:rFonts w:ascii="宋体" w:hAnsi="宋体"/>
          <w:b/>
          <w:sz w:val="28"/>
          <w:szCs w:val="28"/>
          <w:highlight w:val="none"/>
        </w:rPr>
      </w:r>
      <w:r>
        <w:rPr>
          <w:highlight w:val="none"/>
        </w:rPr>
      </w:r>
      <w:r/>
    </w:p>
    <w:p>
      <w:pPr>
        <w:pStyle w:val="961"/>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 开标一览表</w:t>
      </w:r>
      <w:r>
        <w:rPr>
          <w:highlight w:val="none"/>
        </w:rPr>
      </w:r>
      <w:r/>
    </w:p>
    <w:p>
      <w:pPr>
        <w:pStyle w:val="961"/>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rPr>
          <w:highlight w:val="none"/>
        </w:rPr>
      </w:r>
      <w:r/>
    </w:p>
    <w:p>
      <w:pPr>
        <w:pStyle w:val="961"/>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hint="eastAsia" w:ascii="Times New Roman" w:hAnsi="Times New Roman" w:eastAsia="方正仿宋_GBK" w:cs="Times New Roman"/>
          <w:color w:val="000000"/>
          <w:sz w:val="28"/>
          <w:szCs w:val="28"/>
          <w:highlight w:val="none"/>
          <w:lang w:val="en-US" w:eastAsia="zh-CN"/>
        </w:rPr>
        <w:t xml:space="preserve">XXXX</w:t>
      </w:r>
      <w:r>
        <w:rPr>
          <w:highlight w:val="none"/>
        </w:rPr>
      </w:r>
      <w:r/>
    </w:p>
    <w:p>
      <w:pPr>
        <w:pStyle w:val="961"/>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color w:val="000000"/>
          <w:sz w:val="28"/>
          <w:szCs w:val="28"/>
          <w:highlight w:val="none"/>
          <w:lang w:eastAsia="zh-CN"/>
        </w:rPr>
        <w:t xml:space="preserve">JSZC-320000-</w:t>
      </w:r>
      <w:r>
        <w:rPr>
          <w:rFonts w:hint="eastAsia" w:ascii="Times New Roman" w:hAnsi="Times New Roman" w:eastAsia="方正仿宋_GBK" w:cs="Times New Roman"/>
          <w:color w:val="000000"/>
          <w:sz w:val="28"/>
          <w:szCs w:val="28"/>
          <w:highlight w:val="none"/>
          <w:lang w:val="en-US" w:eastAsia="zh-CN"/>
        </w:rPr>
        <w:t xml:space="preserve">SCZX-G20XX-XXXX</w:t>
      </w:r>
      <w:r>
        <w:rPr>
          <w:rFonts w:hint="eastAsia" w:ascii="Times New Roman" w:hAnsi="Times New Roman" w:eastAsia="方正仿宋_GBK" w:cs="Times New Roman"/>
          <w:color w:val="000000"/>
          <w:sz w:val="28"/>
          <w:szCs w:val="28"/>
          <w:highlight w:val="none"/>
          <w:lang w:eastAsia="zh-CN"/>
        </w:rPr>
        <w:t xml:space="preserve">  </w:t>
      </w:r>
      <w:r>
        <w:rPr>
          <w:rFonts w:hint="eastAsia" w:ascii="方正仿宋_GBK" w:hAnsi="方正仿宋_GBK" w:eastAsia="方正仿宋_GBK" w:cs="方正仿宋_GBK"/>
          <w:sz w:val="28"/>
          <w:szCs w:val="28"/>
          <w:highlight w:val="none"/>
        </w:rPr>
        <w:t xml:space="preserve">                                 </w:t>
      </w:r>
      <w:r>
        <w:rPr>
          <w:highlight w:val="none"/>
        </w:rPr>
      </w:r>
      <w:r/>
    </w:p>
    <w:p>
      <w:pPr>
        <w:pStyle w:val="961"/>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color w:val="000000"/>
          <w:sz w:val="28"/>
          <w:szCs w:val="28"/>
          <w:highlight w:val="none"/>
          <w:lang w:val="en-US" w:eastAsia="zh-CN"/>
        </w:rPr>
        <w:t xml:space="preserve">XX</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61"/>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w:t>
            </w:r>
            <w:r>
              <w:rPr>
                <w:highlight w:val="none"/>
              </w:rPr>
            </w:r>
            <w:r/>
          </w:p>
        </w:tc>
      </w:tr>
      <w:tr>
        <w:trPr>
          <w:cantSplit/>
          <w:trHeight w:val="612"/>
        </w:trPr>
        <w:tc>
          <w:tcPr>
            <w:gridSpan w:val="2"/>
            <w:tcW w:w="8886"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rPr>
                <w:highlight w:val="none"/>
              </w:rPr>
            </w:r>
            <w:r/>
          </w:p>
        </w:tc>
      </w:tr>
      <w:tr>
        <w:trPr>
          <w:cantSplit/>
          <w:trHeight w:val="505"/>
        </w:trPr>
        <w:tc>
          <w:tcPr>
            <w:tcW w:w="2481"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核心产品品牌</w:t>
            </w:r>
            <w:r>
              <w:rPr>
                <w:highlight w:val="none"/>
              </w:rPr>
            </w:r>
            <w:r/>
          </w:p>
        </w:tc>
        <w:tc>
          <w:tcPr>
            <w:tcW w:w="6405" w:type="dxa"/>
            <w:vAlign w:val="center"/>
            <w:textDirection w:val="lrTb"/>
            <w:noWrap w:val="false"/>
          </w:tcPr>
          <w:p>
            <w:pPr>
              <w:pStyle w:val="961"/>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bl>
    <w:p>
      <w:pPr>
        <w:pStyle w:val="961"/>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附件2 投标分项报价表（采购包号：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highlight w:val="none"/>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highlight w:val="none"/>
              </w:rPr>
            </w:r>
            <w:r/>
          </w:p>
        </w:tc>
        <w:tc>
          <w:tcPr>
            <w:tcW w:w="900"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72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highlight w:val="none"/>
              </w:rPr>
            </w:r>
            <w:r/>
          </w:p>
        </w:tc>
        <w:tc>
          <w:tcPr>
            <w:tcW w:w="93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highlight w:val="none"/>
              </w:rPr>
            </w:r>
            <w:r/>
          </w:p>
        </w:tc>
        <w:tc>
          <w:tcPr>
            <w:tcW w:w="980"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highlight w:val="none"/>
              </w:rPr>
            </w:r>
            <w:r/>
          </w:p>
        </w:tc>
        <w:tc>
          <w:tcPr>
            <w:tcW w:w="1106"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highlight w:val="none"/>
              </w:rPr>
            </w:r>
            <w:r/>
          </w:p>
        </w:tc>
        <w:tc>
          <w:tcPr>
            <w:tcW w:w="1385"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highlight w:val="none"/>
              </w:rPr>
            </w:r>
            <w:r/>
          </w:p>
        </w:tc>
        <w:tc>
          <w:tcPr>
            <w:tcW w:w="924"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rPr>
                <w:highlight w:val="none"/>
              </w:rPr>
            </w:r>
            <w:r/>
          </w:p>
        </w:tc>
        <w:tc>
          <w:tcPr>
            <w:tcW w:w="100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highlight w:val="none"/>
              </w:rPr>
            </w:r>
            <w:r/>
          </w:p>
        </w:tc>
        <w:tc>
          <w:tcPr>
            <w:tcW w:w="966"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highlight w:val="none"/>
              </w:rPr>
            </w:r>
            <w:r/>
          </w:p>
        </w:tc>
      </w:tr>
      <w:tr>
        <w:trPr>
          <w:cantSplit/>
          <w:trHeight w:val="294"/>
        </w:trPr>
        <w:tc>
          <w:tcPr>
            <w:tcW w:w="57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900"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产品</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名称</w:t>
            </w:r>
            <w:r>
              <w:rPr>
                <w:highlight w:val="none"/>
              </w:rPr>
            </w:r>
            <w:r/>
          </w:p>
        </w:tc>
        <w:tc>
          <w:tcPr>
            <w:tcW w:w="72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品牌</w:t>
            </w:r>
            <w:r>
              <w:rPr>
                <w:highlight w:val="none"/>
              </w:rPr>
            </w:r>
            <w:r/>
          </w:p>
        </w:tc>
        <w:tc>
          <w:tcPr>
            <w:tcW w:w="93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规格</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型号</w:t>
            </w:r>
            <w:r>
              <w:rPr>
                <w:highlight w:val="none"/>
              </w:rPr>
            </w:r>
            <w:r/>
          </w:p>
        </w:tc>
        <w:tc>
          <w:tcPr>
            <w:tcW w:w="980"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制造商名称</w:t>
            </w:r>
            <w:r>
              <w:rPr>
                <w:highlight w:val="none"/>
              </w:rPr>
            </w:r>
            <w:r/>
          </w:p>
        </w:tc>
        <w:tc>
          <w:tcPr>
            <w:tcW w:w="1106"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产地</w:t>
            </w:r>
            <w:r>
              <w:rPr>
                <w:highlight w:val="none"/>
              </w:rPr>
            </w:r>
            <w:r/>
          </w:p>
        </w:tc>
        <w:tc>
          <w:tcPr>
            <w:tcW w:w="1385"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交付期</w:t>
            </w:r>
            <w:r>
              <w:rPr>
                <w:highlight w:val="none"/>
              </w:rPr>
            </w:r>
            <w:r/>
          </w:p>
        </w:tc>
        <w:tc>
          <w:tcPr>
            <w:tcW w:w="924"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w:t>
            </w:r>
            <w:r>
              <w:rPr>
                <w:highlight w:val="none"/>
              </w:rPr>
            </w:r>
            <w:r/>
          </w:p>
        </w:tc>
        <w:tc>
          <w:tcPr>
            <w:tcW w:w="100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单价</w:t>
            </w:r>
            <w:r>
              <w:rPr>
                <w:highlight w:val="none"/>
              </w:rPr>
            </w:r>
            <w:r/>
          </w:p>
        </w:tc>
        <w:tc>
          <w:tcPr>
            <w:tcW w:w="966"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总价</w:t>
            </w:r>
            <w:r>
              <w:rPr>
                <w:highlight w:val="none"/>
              </w:rPr>
            </w:r>
            <w:r/>
          </w:p>
        </w:tc>
      </w:tr>
      <w:tr>
        <w:trPr>
          <w:cantSplit/>
          <w:trHeight w:val="696"/>
        </w:trPr>
        <w:tc>
          <w:tcPr>
            <w:tcW w:w="57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highlight w:val="none"/>
              </w:rPr>
            </w:r>
            <w:r/>
          </w:p>
        </w:tc>
        <w:tc>
          <w:tcPr>
            <w:tcW w:w="900"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72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3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80"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106"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385"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highlight w:val="none"/>
              </w:rPr>
            </w:r>
            <w:r/>
          </w:p>
        </w:tc>
        <w:tc>
          <w:tcPr>
            <w:tcW w:w="924"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0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66"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724"/>
        </w:trPr>
        <w:tc>
          <w:tcPr>
            <w:tcW w:w="57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highlight w:val="none"/>
              </w:rPr>
            </w:r>
            <w:r/>
          </w:p>
        </w:tc>
        <w:tc>
          <w:tcPr>
            <w:tcW w:w="900"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72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3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80"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106"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385"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24"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0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66"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640"/>
        </w:trPr>
        <w:tc>
          <w:tcPr>
            <w:tcW w:w="57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highlight w:val="none"/>
              </w:rPr>
            </w:r>
            <w:r/>
          </w:p>
        </w:tc>
        <w:tc>
          <w:tcPr>
            <w:tcW w:w="900"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72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3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80"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106"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385"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24"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0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66"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580"/>
        </w:trPr>
        <w:tc>
          <w:tcPr>
            <w:tcW w:w="57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tc>
        <w:tc>
          <w:tcPr>
            <w:tcW w:w="900"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tc>
        <w:tc>
          <w:tcPr>
            <w:tcW w:w="72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3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80"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106"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385"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24"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0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66"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434"/>
        </w:trPr>
        <w:tc>
          <w:tcPr>
            <w:gridSpan w:val="10"/>
            <w:tcW w:w="9514" w:type="dxa"/>
            <w:vAlign w:val="top"/>
            <w:textDirection w:val="lrTb"/>
            <w:noWrap w:val="false"/>
          </w:tcPr>
          <w:p>
            <w:pPr>
              <w:pStyle w:val="961"/>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投标总报价（人民币：元）</w:t>
            </w:r>
            <w:r>
              <w:rPr>
                <w:rFonts w:hint="eastAsia" w:ascii="方正仿宋_GBK" w:hAnsi="方正仿宋_GBK" w:eastAsia="方正仿宋_GBK" w:cs="方正仿宋_GBK"/>
                <w:sz w:val="28"/>
                <w:szCs w:val="28"/>
                <w:highlight w:val="none"/>
                <w:u w:val="single"/>
                <w:lang w:val="en-US" w:eastAsia="zh-CN"/>
              </w:rPr>
              <w:t xml:space="preserve">                             </w:t>
            </w:r>
            <w:r>
              <w:rPr>
                <w:highlight w:val="none"/>
              </w:rPr>
            </w:r>
            <w:r/>
          </w:p>
        </w:tc>
      </w:tr>
      <w:tr>
        <w:trPr>
          <w:cantSplit/>
          <w:trHeight w:val="767"/>
        </w:trPr>
        <w:tc>
          <w:tcPr>
            <w:gridSpan w:val="10"/>
            <w:tcW w:w="9514" w:type="dxa"/>
            <w:vAlign w:val="top"/>
            <w:textDirection w:val="lrTb"/>
            <w:noWrap w:val="false"/>
          </w:tcPr>
          <w:p>
            <w:pPr>
              <w:pStyle w:val="1023"/>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highlight w:val="none"/>
              </w:rPr>
            </w:r>
            <w:r/>
          </w:p>
        </w:tc>
      </w:tr>
    </w:tbl>
    <w:p>
      <w:pPr>
        <w:pStyle w:val="961"/>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highlight w:val="none"/>
        </w:rPr>
      </w:r>
      <w:r/>
    </w:p>
    <w:p>
      <w:pPr>
        <w:pStyle w:val="961"/>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highlight w:val="none"/>
          <w:lang w:eastAsia="zh-CN"/>
        </w:rPr>
        <w:t xml:space="preserve">数额为各“分项总价”之和。</w:t>
      </w:r>
      <w:r>
        <w:rPr>
          <w:highlight w:val="none"/>
        </w:rPr>
      </w:r>
      <w:r/>
    </w:p>
    <w:p>
      <w:pPr>
        <w:pStyle w:val="961"/>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rPr>
          <w:highlight w:val="none"/>
        </w:rPr>
      </w:r>
      <w:r/>
    </w:p>
    <w:p>
      <w:pPr>
        <w:pStyle w:val="961"/>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eastAsia="zh-CN"/>
        </w:rPr>
        <w:t xml:space="preserve">本</w:t>
      </w:r>
      <w:r>
        <w:rPr>
          <w:rFonts w:hint="eastAsia" w:ascii="方正仿宋_GBK" w:hAnsi="方正仿宋_GBK" w:eastAsia="方正仿宋_GBK" w:cs="方正仿宋_GBK"/>
          <w:sz w:val="28"/>
          <w:szCs w:val="28"/>
          <w:highlight w:val="none"/>
          <w:lang w:val="en-US" w:eastAsia="zh-CN"/>
        </w:rPr>
        <w:t xml:space="preserve">采购包中含有多种产品时，</w:t>
      </w:r>
      <w:r>
        <w:rPr>
          <w:rFonts w:hint="eastAsia" w:ascii="方正仿宋_GBK" w:hAnsi="方正仿宋_GBK" w:eastAsia="方正仿宋_GBK" w:cs="方正仿宋_GBK"/>
          <w:sz w:val="28"/>
          <w:szCs w:val="28"/>
          <w:highlight w:val="none"/>
        </w:rPr>
        <w:t xml:space="preserve">供应商未填写本采购包中提供的符合本国产品标准的产品成本之和占该采购包提供的全部产品成本之和的比例数值的，或比例数值低于80%的，将不享受本国产品价格评审优惠。</w:t>
      </w:r>
      <w:r>
        <w:rPr>
          <w:highlight w:val="none"/>
        </w:rPr>
      </w:r>
      <w:r/>
    </w:p>
    <w:p>
      <w:pPr>
        <w:pStyle w:val="961"/>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.投标人需认真填写本报价表，尤其注意规格型号的准确填写。</w:t>
      </w:r>
      <w:r>
        <w:rPr>
          <w:highlight w:val="none"/>
        </w:rPr>
      </w:r>
      <w:r/>
    </w:p>
    <w:p>
      <w:pPr>
        <w:pStyle w:val="961"/>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.项目经办人可以根据项目实际需要对表格结构进行调整。</w:t>
      </w:r>
      <w:r>
        <w:rPr>
          <w:highlight w:val="none"/>
        </w:rPr>
      </w:r>
      <w:r/>
    </w:p>
    <w:p>
      <w:pPr>
        <w:pStyle w:val="961"/>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rPr>
          <w:highlight w:val="none"/>
        </w:rPr>
      </w:r>
      <w:r/>
    </w:p>
    <w:p>
      <w:pPr>
        <w:pStyle w:val="961"/>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rPr>
          <w:highlight w:val="none"/>
        </w:rPr>
      </w:r>
      <w:r/>
    </w:p>
    <w:p>
      <w:pPr>
        <w:pStyle w:val="961"/>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附件3 技术要求响应及偏离表（采购包号：</w:t>
      </w:r>
      <w:r>
        <w:rPr>
          <w:rFonts w:hint="eastAsia" w:ascii="Times New Roman" w:hAnsi="Times New Roman" w:eastAsia="方正仿宋_GBK" w:cs="Times New Roman"/>
          <w:color w:val="000000"/>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highlight w:val="none"/>
              </w:rPr>
            </w:r>
            <w:r/>
          </w:p>
        </w:tc>
        <w:tc>
          <w:tcPr>
            <w:tcW w:w="3063"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highlight w:val="none"/>
              </w:rPr>
            </w:r>
            <w:r/>
          </w:p>
        </w:tc>
        <w:tc>
          <w:tcPr>
            <w:tcW w:w="3191"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highlight w:val="none"/>
              </w:rPr>
            </w:r>
            <w:r/>
          </w:p>
        </w:tc>
        <w:tc>
          <w:tcPr>
            <w:tcW w:w="212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highlight w:val="none"/>
              </w:rPr>
            </w:r>
            <w:r/>
          </w:p>
        </w:tc>
      </w:tr>
      <w:tr>
        <w:trPr>
          <w:cantSplit/>
          <w:trHeight w:val="640"/>
        </w:trPr>
        <w:tc>
          <w:tcPr>
            <w:tcW w:w="545"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3063"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3191"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2128"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640"/>
        </w:trPr>
        <w:tc>
          <w:tcPr>
            <w:tcW w:w="545"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3063"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tc>
        <w:tc>
          <w:tcPr>
            <w:tcW w:w="3191"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2128"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bl>
    <w:p>
      <w:pPr>
        <w:pStyle w:val="961"/>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附件3-1  证明材料1，证明材料2，……</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 w:val="0"/>
          <w:bCs/>
          <w:sz w:val="28"/>
          <w:szCs w:val="28"/>
          <w:highlight w:val="none"/>
        </w:rPr>
        <w:t xml:space="preserve">附件4 商务要求响应及偏离表（采购包号：</w:t>
      </w:r>
      <w:r>
        <w:rPr>
          <w:rFonts w:hint="eastAsia" w:ascii="Times New Roman" w:hAnsi="Times New Roman" w:eastAsia="方正仿宋_GBK" w:cs="Times New Roman"/>
          <w:color w:val="000000"/>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highlight w:val="none"/>
              </w:rPr>
            </w:r>
            <w:r/>
          </w:p>
        </w:tc>
        <w:tc>
          <w:tcPr>
            <w:tcW w:w="3063"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w:t>
            </w:r>
            <w:r>
              <w:rPr>
                <w:highlight w:val="none"/>
              </w:rPr>
            </w:r>
            <w:r/>
          </w:p>
        </w:tc>
        <w:tc>
          <w:tcPr>
            <w:tcW w:w="3191"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highlight w:val="none"/>
              </w:rPr>
            </w:r>
            <w:r/>
          </w:p>
        </w:tc>
        <w:tc>
          <w:tcPr>
            <w:tcW w:w="2128"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highlight w:val="none"/>
              </w:rPr>
            </w:r>
            <w:r/>
          </w:p>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highlight w:val="none"/>
              </w:rPr>
            </w:r>
            <w:r/>
          </w:p>
        </w:tc>
      </w:tr>
      <w:tr>
        <w:trPr>
          <w:cantSplit/>
          <w:trHeight w:val="640"/>
        </w:trPr>
        <w:tc>
          <w:tcPr>
            <w:tcW w:w="545"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3063"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3191"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2128"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640"/>
        </w:trPr>
        <w:tc>
          <w:tcPr>
            <w:tcW w:w="545"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3063"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tc>
        <w:tc>
          <w:tcPr>
            <w:tcW w:w="3191"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2128"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bl>
    <w:p>
      <w:pPr>
        <w:pStyle w:val="961"/>
        <w:ind w:firstLine="482"/>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lang w:val="en-US" w:eastAsia="zh-CN"/>
        </w:rPr>
        <w:t xml:space="preserve">附件4-1  证明材料1，证明材料2，……</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1.投标人需对招标文件商务要求中非实质性要求（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highlight w:val="none"/>
        </w:rPr>
      </w:r>
      <w:r/>
    </w:p>
    <w:p>
      <w:pPr>
        <w:pStyle w:val="961"/>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r/>
    </w:p>
    <w:p>
      <w:pPr>
        <w:pStyle w:val="961"/>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r/>
    </w:p>
    <w:p>
      <w:pPr>
        <w:pStyle w:val="961"/>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附件5 具备履行合同所必需的设备和专业技术能力的书面声明</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highlight w:val="none"/>
        </w:rPr>
      </w:r>
      <w:r/>
    </w:p>
    <w:p>
      <w:pPr>
        <w:pStyle w:val="961"/>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rPr>
          <w:highlight w:val="none"/>
        </w:rPr>
      </w:r>
      <w:r/>
    </w:p>
    <w:p>
      <w:pPr>
        <w:pStyle w:val="961"/>
        <w:ind w:left="480"/>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rPr>
          <w:highlight w:val="none"/>
        </w:rPr>
      </w:r>
      <w:r/>
    </w:p>
    <w:p>
      <w:pPr>
        <w:pStyle w:val="961"/>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rPr>
          <w:highlight w:val="none"/>
        </w:rPr>
      </w:r>
      <w:r/>
    </w:p>
    <w:p>
      <w:pPr>
        <w:pStyle w:val="961"/>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r/>
    </w:p>
    <w:p>
      <w:pPr>
        <w:pStyle w:val="96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附件6 参加政府采购活动前 3 年内在经营活动中没有重大违法记录的书面声明</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88"/>
      <w:r>
        <w:rPr>
          <w:highlight w:val="none"/>
        </w:rPr>
      </w:r>
      <w:bookmarkEnd w:id="189"/>
      <w:r>
        <w:rPr>
          <w:highlight w:val="none"/>
        </w:rPr>
      </w:r>
      <w:bookmarkEnd w:id="190"/>
      <w:r>
        <w:rPr>
          <w:highlight w:val="none"/>
        </w:rPr>
      </w:r>
      <w:bookmarkStart w:id="191" w:name="_Toc120614284"/>
      <w:r>
        <w:rPr>
          <w:highlight w:val="none"/>
        </w:rPr>
      </w:r>
      <w:r/>
    </w:p>
    <w:p>
      <w:pPr>
        <w:pStyle w:val="961"/>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r/>
    </w:p>
    <w:p>
      <w:pPr>
        <w:pStyle w:val="961"/>
        <w:ind w:firstLine="480"/>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rPr>
          <w:highlight w:val="none"/>
        </w:rPr>
      </w:r>
      <w:r/>
    </w:p>
    <w:p>
      <w:pPr>
        <w:pStyle w:val="961"/>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附件7                   法人授权书</w:t>
      </w:r>
      <w:r>
        <w:rPr>
          <w:highlight w:val="none"/>
        </w:rPr>
      </w:r>
      <w:r/>
    </w:p>
    <w:p>
      <w:pPr>
        <w:pStyle w:val="96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hint="eastAsia" w:ascii="方正仿宋_GBK" w:hAnsi="方正仿宋_GBK" w:eastAsia="方正仿宋_GBK" w:cs="方正仿宋_GBK"/>
          <w:color w:val="000000"/>
          <w:sz w:val="28"/>
          <w:szCs w:val="28"/>
          <w:highlight w:val="none"/>
        </w:rPr>
        <w:t xml:space="preserve">，</w:t>
      </w:r>
      <w:r>
        <w:rPr>
          <w:rFonts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highlight w:val="none"/>
        </w:rPr>
      </w:r>
      <w:r/>
    </w:p>
    <w:p>
      <w:pPr>
        <w:pStyle w:val="96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年</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月</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highlight w:val="none"/>
        </w:rPr>
      </w:r>
      <w:r/>
    </w:p>
    <w:p>
      <w:pPr>
        <w:pStyle w:val="96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highlight w:val="none"/>
        </w:rPr>
      </w:r>
      <w:r/>
    </w:p>
    <w:p>
      <w:pPr>
        <w:pStyle w:val="96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w:t>
      </w:r>
      <w:r>
        <w:rPr>
          <w:rFonts w:hint="eastAsia" w:ascii="方正仿宋_GBK" w:hAnsi="方正仿宋_GBK" w:eastAsia="方正仿宋_GBK" w:cs="方正仿宋_GBK"/>
          <w:color w:val="000000"/>
          <w:sz w:val="28"/>
          <w:szCs w:val="28"/>
          <w:highlight w:val="none"/>
          <w:u w:val="single"/>
          <w:lang w:val="en-US" w:eastAsia="zh-CN"/>
        </w:rPr>
        <w:t xml:space="preserve"> </w:t>
      </w:r>
      <w:r>
        <w:rPr>
          <w:highlight w:val="none"/>
        </w:rPr>
      </w:r>
      <w:r/>
    </w:p>
    <w:p>
      <w:pPr>
        <w:pStyle w:val="96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highlight w:val="none"/>
        </w:rPr>
      </w:r>
      <w:r/>
    </w:p>
    <w:p>
      <w:pPr>
        <w:pStyle w:val="96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期：</w:t>
      </w:r>
      <w:bookmarkStart w:id="192" w:name="_格式3__银行出具的资信证明"/>
      <w:r>
        <w:rPr>
          <w:highlight w:val="none"/>
        </w:rPr>
      </w:r>
      <w:bookmarkEnd w:id="192"/>
      <w:r>
        <w:rPr>
          <w:highlight w:val="none"/>
        </w:rPr>
      </w:r>
      <w:bookmarkStart w:id="193" w:name="_Hlt26671380"/>
      <w:r>
        <w:rPr>
          <w:highlight w:val="none"/>
        </w:rPr>
      </w:r>
      <w:bookmarkEnd w:id="193"/>
      <w:r>
        <w:rPr>
          <w:highlight w:val="none"/>
        </w:rPr>
      </w:r>
      <w:bookmarkStart w:id="194" w:name="_Hlt26955070"/>
      <w:r>
        <w:rPr>
          <w:highlight w:val="none"/>
        </w:rPr>
      </w:r>
      <w:bookmarkEnd w:id="194"/>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highlight w:val="none"/>
        </w:rPr>
      </w:r>
      <w:r/>
    </w:p>
    <w:p>
      <w:pPr>
        <w:pStyle w:val="961"/>
        <w:ind w:firstLine="420"/>
        <w:keepLines w:val="0"/>
        <w:keepNext w:val="0"/>
        <w:pageBreakBefore w:val="0"/>
        <w:spacing w:line="400" w:lineRule="exact"/>
        <w:rPr>
          <w:rFonts w:ascii="Times New Roman" w:hAnsi="Times New Roman"/>
          <w:color w:val="000000"/>
          <w:sz w:val="28"/>
          <w:szCs w:val="28"/>
          <w:highlight w:val="none"/>
        </w:rPr>
      </w:pPr>
      <w:r>
        <w:rPr>
          <w:rFonts w:ascii="Times New Roman" w:hAnsi="Times New Roman"/>
          <w:color w:val="000000"/>
          <w:sz w:val="28"/>
          <w:szCs w:val="28"/>
          <w:highlight w:val="none"/>
        </w:rPr>
      </w:r>
      <w:r>
        <w:rPr>
          <w:highlight w:val="none"/>
        </w:rPr>
      </w:r>
      <w:r/>
    </w:p>
    <w:p>
      <w:pPr>
        <w:pStyle w:val="961"/>
        <w:jc w:val="both"/>
        <w:keepLines w:val="0"/>
        <w:keepNext w:val="0"/>
        <w:pageBreakBefore w:val="0"/>
        <w:spacing w:line="400" w:lineRule="exact"/>
        <w:widowControl w:val="off"/>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 w:val="0"/>
          <w:bCs/>
          <w:sz w:val="28"/>
          <w:szCs w:val="28"/>
          <w:highlight w:val="none"/>
        </w:rPr>
        <w:t xml:space="preserve">附件8                    投标函</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hint="eastAsia" w:ascii="方正仿宋_GBK" w:hAnsi="方正仿宋_GBK" w:eastAsia="方正仿宋_GBK" w:cs="方正仿宋_GBK"/>
          <w:sz w:val="28"/>
          <w:szCs w:val="28"/>
          <w:highlight w:val="none"/>
        </w:rPr>
        <w:t xml:space="preserve">，</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color w:val="000000"/>
          <w:sz w:val="28"/>
          <w:szCs w:val="28"/>
          <w:highlight w:val="none"/>
        </w:rPr>
        <w:t xml:space="preserve">的招标文件，正式授权下述签字人</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1.按招标文件规定的各项要求，向买方提供所需货物（包含与货物相关的服务）。</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highlight w:val="none"/>
          <w:lang w:eastAsia="zh-CN"/>
        </w:rPr>
        <w:t xml:space="preserve">内</w:t>
      </w:r>
      <w:r>
        <w:rPr>
          <w:rFonts w:hint="eastAsia" w:ascii="方正仿宋_GBK" w:hAnsi="方正仿宋_GBK" w:eastAsia="方正仿宋_GBK" w:cs="方正仿宋_GBK"/>
          <w:color w:val="000000"/>
          <w:sz w:val="28"/>
          <w:szCs w:val="28"/>
          <w:highlight w:val="none"/>
        </w:rPr>
        <w:t xml:space="preserve">完成项目，交付买方验收、使用。</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rPr>
          <w:highlight w:val="none"/>
        </w:rPr>
      </w:r>
      <w:r/>
    </w:p>
    <w:p>
      <w:pPr>
        <w:pStyle w:val="96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rPr>
          <w:highlight w:val="none"/>
        </w:rPr>
      </w:r>
      <w:r/>
    </w:p>
    <w:p>
      <w:pPr>
        <w:pStyle w:val="961"/>
        <w:ind w:left="420" w:firstLine="560"/>
        <w:jc w:val="left"/>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rPr>
          <w:highlight w:val="none"/>
        </w:rPr>
      </w:r>
      <w:r/>
    </w:p>
    <w:p>
      <w:pPr>
        <w:pStyle w:val="961"/>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rPr>
          <w:highlight w:val="none"/>
        </w:rPr>
      </w:r>
      <w:r/>
    </w:p>
    <w:p>
      <w:pPr>
        <w:pStyle w:val="961"/>
        <w:ind w:left="3830" w:firstLine="0"/>
        <w:jc w:val="left"/>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rPr>
          <w:highlight w:val="none"/>
        </w:rPr>
      </w:r>
      <w:r/>
    </w:p>
    <w:p>
      <w:pPr>
        <w:pStyle w:val="961"/>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rPr>
          <w:highlight w:val="none"/>
        </w:rPr>
      </w:r>
      <w:r/>
    </w:p>
    <w:p>
      <w:pPr>
        <w:pStyle w:val="961"/>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rPr>
          <w:highlight w:val="none"/>
        </w:rPr>
      </w:r>
      <w:r/>
    </w:p>
    <w:p>
      <w:pPr>
        <w:pStyle w:val="961"/>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rPr>
          <w:highlight w:val="none"/>
        </w:rPr>
      </w:r>
      <w:r/>
    </w:p>
    <w:p>
      <w:pPr>
        <w:pStyle w:val="961"/>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rPr>
          <w:highlight w:val="none"/>
        </w:rPr>
      </w:r>
      <w:r/>
    </w:p>
    <w:p>
      <w:pPr>
        <w:pStyle w:val="961"/>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rPr>
          <w:highlight w:val="none"/>
        </w:rPr>
      </w:r>
      <w:r/>
    </w:p>
    <w:p>
      <w:pPr>
        <w:pStyle w:val="961"/>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rPr>
          <w:highlight w:val="none"/>
        </w:rPr>
      </w:r>
      <w:r/>
    </w:p>
    <w:p>
      <w:pPr>
        <w:pStyle w:val="961"/>
        <w:ind w:firstLine="280"/>
        <w:jc w:val="cente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rPr>
          <w:highlight w:val="none"/>
        </w:rPr>
      </w:r>
      <w:r/>
    </w:p>
    <w:p>
      <w:pPr>
        <w:pStyle w:val="961"/>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附件9  中小微企业声明函（货物类项目）（采购包号：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u w:val="none"/>
          <w:lang w:eastAsia="zh-CN"/>
        </w:rPr>
        <w:t xml:space="preserve">采购</w:t>
      </w:r>
      <w:r>
        <w:rPr>
          <w:rFonts w:hint="eastAsia" w:ascii="方正仿宋_GBK" w:hAnsi="方正仿宋_GBK" w:eastAsia="方正仿宋_GBK" w:cs="方正仿宋_GBK"/>
          <w:sz w:val="28"/>
          <w:szCs w:val="28"/>
          <w:highlight w:val="none"/>
          <w:u w:val="none"/>
        </w:rPr>
        <w:t xml:space="preserve">单位名称）</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Times New Roman" w:hAnsi="Times New Roman" w:eastAsia="方正仿宋_GBK" w:cs="Times New Roman"/>
          <w:color w:val="000000"/>
          <w:sz w:val="28"/>
          <w:szCs w:val="28"/>
          <w:highlight w:val="none"/>
          <w:lang w:val="en-US"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的采购活动，提供的货物全部由符合政策要求的中小微企业制造。相关企业（含联合体中的中小微企业、签订采购包意向协议的中小微企业）的具体情况如下：</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（供应商填写招标文件中明确的所属行业）</w:t>
      </w:r>
      <w:r>
        <w:rPr>
          <w:rFonts w:hint="eastAsia" w:ascii="方正仿宋_GBK" w:hAnsi="方正仿宋_GBK" w:eastAsia="方正仿宋_GBK" w:cs="方正仿宋_GBK"/>
          <w:sz w:val="28"/>
          <w:szCs w:val="28"/>
          <w:highlight w:val="none"/>
        </w:rPr>
        <w:t xml:space="preserve">行业；产品制造商为</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（企业名称）</w:t>
      </w:r>
      <w:r>
        <w:rPr>
          <w:rFonts w:hint="eastAsia" w:ascii="方正仿宋_GBK" w:hAnsi="方正仿宋_GBK" w:eastAsia="方正仿宋_GBK" w:cs="方正仿宋_GBK"/>
          <w:sz w:val="28"/>
          <w:szCs w:val="28"/>
          <w:highlight w:val="none"/>
        </w:rPr>
        <w:t xml:space="preserve">，从业人员</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人，营业收入为</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u w:val="single"/>
          <w:lang w:eastAsia="zh-CN"/>
        </w:rPr>
        <w:t xml:space="preserve">□</w:t>
      </w:r>
      <w:r>
        <w:rPr>
          <w:rFonts w:hint="eastAsia" w:ascii="方正仿宋_GBK" w:hAnsi="方正仿宋_GBK" w:eastAsia="方正仿宋_GBK" w:cs="方正仿宋_GBK"/>
          <w:sz w:val="28"/>
          <w:szCs w:val="28"/>
          <w:highlight w:val="none"/>
          <w:u w:val="single"/>
        </w:rPr>
        <w:t xml:space="preserve">中型企业 □小型企业 </w:t>
      </w:r>
      <w:r>
        <w:rPr>
          <w:rFonts w:hint="eastAsia" w:ascii="方正仿宋_GBK" w:hAnsi="方正仿宋_GBK" w:eastAsia="方正仿宋_GBK" w:cs="方正仿宋_GBK"/>
          <w:sz w:val="28"/>
          <w:szCs w:val="28"/>
          <w:highlight w:val="none"/>
          <w:u w:val="single"/>
          <w:lang w:eastAsia="zh-CN"/>
        </w:rPr>
        <w:t xml:space="preserve">□</w:t>
      </w:r>
      <w:r>
        <w:rPr>
          <w:rFonts w:hint="eastAsia" w:ascii="方正仿宋_GBK" w:hAnsi="方正仿宋_GBK" w:eastAsia="方正仿宋_GBK" w:cs="方正仿宋_GBK"/>
          <w:sz w:val="28"/>
          <w:szCs w:val="28"/>
          <w:highlight w:val="none"/>
          <w:u w:val="single"/>
        </w:rPr>
        <w:t xml:space="preserve">微型企业）；</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（供应商填写招标文件中明确的所属行业）</w:t>
      </w:r>
      <w:r>
        <w:rPr>
          <w:rFonts w:hint="eastAsia" w:ascii="方正仿宋_GBK" w:hAnsi="方正仿宋_GBK" w:eastAsia="方正仿宋_GBK" w:cs="方正仿宋_GBK"/>
          <w:sz w:val="28"/>
          <w:szCs w:val="28"/>
          <w:highlight w:val="none"/>
        </w:rPr>
        <w:t xml:space="preserve">行业；产品制造商为</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（企业名称）</w:t>
      </w:r>
      <w:r>
        <w:rPr>
          <w:rFonts w:hint="eastAsia" w:ascii="方正仿宋_GBK" w:hAnsi="方正仿宋_GBK" w:eastAsia="方正仿宋_GBK" w:cs="方正仿宋_GBK"/>
          <w:sz w:val="28"/>
          <w:szCs w:val="28"/>
          <w:highlight w:val="none"/>
        </w:rPr>
        <w:t xml:space="preserve">，从业人员</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人，营业收入为</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u w:val="single"/>
          <w:lang w:eastAsia="zh-CN"/>
        </w:rPr>
        <w:t xml:space="preserve">□</w:t>
      </w:r>
      <w:r>
        <w:rPr>
          <w:rFonts w:hint="eastAsia" w:ascii="方正仿宋_GBK" w:hAnsi="方正仿宋_GBK" w:eastAsia="方正仿宋_GBK" w:cs="方正仿宋_GBK"/>
          <w:sz w:val="28"/>
          <w:szCs w:val="28"/>
          <w:highlight w:val="none"/>
          <w:u w:val="single"/>
        </w:rPr>
        <w:t xml:space="preserve">中型企业 □小型企业 </w:t>
      </w:r>
      <w:r>
        <w:rPr>
          <w:rFonts w:hint="eastAsia" w:ascii="方正仿宋_GBK" w:hAnsi="方正仿宋_GBK" w:eastAsia="方正仿宋_GBK" w:cs="方正仿宋_GBK"/>
          <w:sz w:val="28"/>
          <w:szCs w:val="28"/>
          <w:highlight w:val="none"/>
          <w:u w:val="single"/>
          <w:lang w:eastAsia="zh-CN"/>
        </w:rPr>
        <w:t xml:space="preserve">□</w:t>
      </w:r>
      <w:r>
        <w:rPr>
          <w:rFonts w:hint="eastAsia" w:ascii="方正仿宋_GBK" w:hAnsi="方正仿宋_GBK" w:eastAsia="方正仿宋_GBK" w:cs="方正仿宋_GBK"/>
          <w:sz w:val="28"/>
          <w:szCs w:val="28"/>
          <w:highlight w:val="none"/>
          <w:u w:val="single"/>
        </w:rPr>
        <w:t xml:space="preserve">微型企业）；</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rPr>
          <w:highlight w:val="none"/>
        </w:rPr>
      </w:r>
      <w:r/>
    </w:p>
    <w:p>
      <w:pPr>
        <w:pStyle w:val="961"/>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企业名称（加盖CA电子公章）：</w:t>
      </w:r>
      <w:r>
        <w:rPr>
          <w:highlight w:val="none"/>
        </w:rPr>
      </w:r>
      <w:r/>
    </w:p>
    <w:p>
      <w:pPr>
        <w:pStyle w:val="961"/>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w:t>
      </w:r>
      <w:r>
        <w:rPr>
          <w:rFonts w:hint="eastAsia" w:ascii="方正仿宋_GBK" w:hAnsi="方正仿宋_GBK" w:eastAsia="方正仿宋_GBK" w:cs="方正仿宋_GBK"/>
          <w:color w:val="000000"/>
          <w:sz w:val="28"/>
          <w:szCs w:val="28"/>
          <w:highlight w:val="none"/>
        </w:rPr>
        <w:t xml:space="preserve">___年____月____日</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r/>
    </w:p>
    <w:p>
      <w:pPr>
        <w:pStyle w:val="961"/>
        <w:ind w:firstLine="560"/>
        <w:jc w:val="left"/>
        <w:keepLines w:val="0"/>
        <w:keepNext w:val="0"/>
        <w:pageBreakBefore w:val="0"/>
        <w:spacing w:line="400" w:lineRule="exact"/>
        <w:widowControl w:val="off"/>
        <w:rPr>
          <w:rFonts w:ascii="宋体" w:hAnsi="宋体"/>
          <w:color w:val="ff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highlight w:val="none"/>
        </w:rPr>
        <w:t xml:space="preserve">                            </w:t>
      </w:r>
      <w:r>
        <w:rPr>
          <w:rFonts w:ascii="宋体" w:hAnsi="宋体"/>
          <w:color w:val="ff0000"/>
          <w:sz w:val="28"/>
          <w:szCs w:val="28"/>
          <w:highlight w:val="none"/>
        </w:rPr>
        <w:t xml:space="preserve">        </w:t>
      </w:r>
      <w:r>
        <w:rPr>
          <w:highlight w:val="none"/>
        </w:rPr>
      </w:r>
      <w:r/>
    </w:p>
    <w:p>
      <w:pPr>
        <w:pStyle w:val="961"/>
        <w:ind w:firstLine="560"/>
        <w:jc w:val="left"/>
        <w:keepLines w:val="0"/>
        <w:keepNext w:val="0"/>
        <w:pageBreakBefore w:val="0"/>
        <w:spacing w:line="400" w:lineRule="exact"/>
        <w:widowControl w:val="off"/>
        <w:rPr>
          <w:rFonts w:ascii="宋体" w:hAnsi="宋体"/>
          <w:color w:val="ff0000"/>
          <w:sz w:val="28"/>
          <w:szCs w:val="28"/>
          <w:highlight w:val="none"/>
        </w:rPr>
      </w:pPr>
      <w:r>
        <w:rPr>
          <w:rFonts w:ascii="宋体" w:hAnsi="宋体"/>
          <w:color w:val="ff0000"/>
          <w:sz w:val="28"/>
          <w:szCs w:val="28"/>
          <w:highlight w:val="none"/>
        </w:rPr>
      </w:r>
      <w:r>
        <w:rPr>
          <w:highlight w:val="none"/>
        </w:rPr>
      </w:r>
      <w:r/>
    </w:p>
    <w:p>
      <w:pPr>
        <w:pStyle w:val="961"/>
        <w:ind w:firstLine="560"/>
        <w:jc w:val="left"/>
        <w:keepLines w:val="0"/>
        <w:keepNext w:val="0"/>
        <w:pageBreakBefore w:val="0"/>
        <w:spacing w:line="400" w:lineRule="exact"/>
        <w:widowControl w:val="off"/>
        <w:rPr>
          <w:rFonts w:ascii="宋体" w:hAnsi="宋体"/>
          <w:color w:val="ff0000"/>
          <w:sz w:val="28"/>
          <w:szCs w:val="28"/>
          <w:highlight w:val="none"/>
        </w:rPr>
      </w:pPr>
      <w:r>
        <w:rPr>
          <w:rFonts w:ascii="宋体" w:hAnsi="宋体"/>
          <w:color w:val="ff0000"/>
          <w:sz w:val="28"/>
          <w:szCs w:val="28"/>
          <w:highlight w:val="none"/>
        </w:rPr>
      </w:r>
      <w:r>
        <w:rPr>
          <w:highlight w:val="none"/>
        </w:rPr>
      </w:r>
      <w:r/>
    </w:p>
    <w:p>
      <w:pPr>
        <w:pStyle w:val="961"/>
        <w:ind w:firstLine="560"/>
        <w:jc w:val="left"/>
        <w:keepLines w:val="0"/>
        <w:keepNext w:val="0"/>
        <w:pageBreakBefore w:val="0"/>
        <w:spacing w:line="400" w:lineRule="exact"/>
        <w:widowControl w:val="off"/>
        <w:rPr>
          <w:rFonts w:hint="eastAsia" w:ascii="宋体" w:hAnsi="宋体"/>
          <w:color w:val="ff0000"/>
          <w:sz w:val="28"/>
          <w:szCs w:val="28"/>
          <w:highlight w:val="none"/>
        </w:rPr>
      </w:pPr>
      <w:r>
        <w:rPr>
          <w:rFonts w:hint="eastAsia" w:ascii="方正黑体_GBK" w:hAnsi="方正黑体_GBK" w:eastAsia="方正黑体_GBK" w:cs="方正黑体_GBK"/>
          <w:b w:val="0"/>
          <w:bCs/>
          <w:sz w:val="28"/>
          <w:szCs w:val="28"/>
          <w:highlight w:val="none"/>
        </w:rPr>
        <w:t xml:space="preserve">附件10残疾人福利性单位声明函（货物类项目）（采购包号：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highlight w:val="none"/>
          <w:lang w:eastAsia="zh-CN"/>
        </w:rPr>
        <w:t xml:space="preserve">加</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单位采购编号为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ascii="Times New Roman" w:hAnsi="Times New Roman" w:eastAsia="方正仿宋_GBK" w:cs="Times New Roman"/>
          <w:sz w:val="28"/>
          <w:szCs w:val="28"/>
          <w:highlight w:val="none"/>
          <w:lang w:eastAsia="zh-CN"/>
        </w:rPr>
        <w:t xml:space="preserve">，</w:t>
      </w:r>
      <w:r>
        <w:rPr>
          <w:rFonts w:hint="eastAsia" w:ascii="方正仿宋_GBK" w:hAnsi="方正仿宋_GBK" w:eastAsia="方正仿宋_GBK" w:cs="方正仿宋_GBK"/>
          <w:sz w:val="28"/>
          <w:szCs w:val="28"/>
          <w:highlight w:val="none"/>
          <w:u w:val="single"/>
        </w:rPr>
        <w:t xml:space="preserve">      </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color w:val="000000"/>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）采购活动提供本单位制造的货物，或者提供其他残疾人福利性单位制造的货物（不包括使用非残疾人福利性单位注册商标的货物）。</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非专门面向中小微型企业采购的项目，供应商如不提供此声明函，价格将不做相应扣除。</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rPr>
          <w:highlight w:val="none"/>
        </w:rPr>
      </w:r>
      <w:r/>
    </w:p>
    <w:p>
      <w:pPr>
        <w:pStyle w:val="961"/>
        <w:ind w:firstLine="584"/>
        <w:keepLines w:val="0"/>
        <w:keepNext w:val="0"/>
        <w:pageBreakBefore w:val="0"/>
        <w:spacing w:line="400" w:lineRule="exact"/>
        <w:rPr>
          <w:rFonts w:ascii="仿宋_GB2312" w:hAnsi="Times New Roman" w:eastAsia="仿宋_GB2312"/>
          <w:spacing w:val="6"/>
          <w:sz w:val="28"/>
          <w:szCs w:val="28"/>
          <w:highlight w:val="none"/>
        </w:rPr>
      </w:pPr>
      <w:r>
        <w:rPr>
          <w:rFonts w:ascii="仿宋_GB2312" w:hAnsi="Times New Roman" w:eastAsia="仿宋_GB2312"/>
          <w:spacing w:val="6"/>
          <w:sz w:val="28"/>
          <w:szCs w:val="28"/>
          <w:highlight w:val="none"/>
        </w:rPr>
      </w:r>
      <w:r>
        <w:rPr>
          <w:highlight w:val="none"/>
        </w:rPr>
      </w:r>
      <w:r/>
    </w:p>
    <w:p>
      <w:pPr>
        <w:pStyle w:val="961"/>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仿宋_GB2312" w:hAnsi="Times New Roman" w:eastAsia="仿宋_GB2312"/>
          <w:spacing w:val="6"/>
          <w:sz w:val="28"/>
          <w:szCs w:val="28"/>
          <w:highlight w:val="none"/>
        </w:rPr>
        <w:t xml:space="preserve">             </w:t>
      </w:r>
      <w:r>
        <w:rPr>
          <w:rFonts w:hint="eastAsia" w:ascii="宋体" w:hAnsi="宋体"/>
          <w:sz w:val="28"/>
          <w:szCs w:val="28"/>
          <w:highlight w:val="none"/>
        </w:rPr>
        <w:t xml:space="preserve">   </w:t>
      </w:r>
      <w:r>
        <w:rPr>
          <w:rFonts w:hint="eastAsia" w:ascii="方正仿宋_GBK" w:hAnsi="方正仿宋_GBK" w:eastAsia="方正仿宋_GBK" w:cs="方正仿宋_GBK"/>
          <w:sz w:val="28"/>
          <w:szCs w:val="28"/>
          <w:highlight w:val="none"/>
        </w:rPr>
        <w:t xml:space="preserve">供应商全称（加盖CA电子公章）：</w:t>
      </w:r>
      <w:r>
        <w:rPr>
          <w:highlight w:val="none"/>
        </w:rPr>
      </w:r>
      <w:r/>
    </w:p>
    <w:p>
      <w:pPr>
        <w:pStyle w:val="961"/>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日  期：___年____月____日 </w:t>
      </w:r>
      <w:r>
        <w:rPr>
          <w:highlight w:val="none"/>
        </w:rPr>
      </w:r>
      <w:r/>
    </w:p>
    <w:p>
      <w:pPr>
        <w:pStyle w:val="961"/>
        <w:jc w:val="cente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lang w:eastAsia="zh-CN"/>
        </w:rPr>
      </w:r>
      <w:r>
        <w:rPr>
          <w:highlight w:val="none"/>
        </w:rPr>
      </w:r>
      <w:r/>
    </w:p>
    <w:p>
      <w:pPr>
        <w:pStyle w:val="961"/>
        <w:jc w:val="cente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lang w:eastAsia="zh-CN"/>
        </w:rPr>
      </w:r>
      <w:r>
        <w:rPr>
          <w:highlight w:val="none"/>
        </w:rPr>
      </w:r>
      <w:r/>
    </w:p>
    <w:p>
      <w:pPr>
        <w:pStyle w:val="961"/>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附件11 联合体协议（参考格式）（采购包号：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color w:val="000000"/>
          <w:sz w:val="28"/>
          <w:szCs w:val="28"/>
          <w:highlight w:val="none"/>
          <w:lang w:val="en-US" w:eastAsia="zh-CN"/>
        </w:rPr>
        <w:t xml:space="preserve">XX</w:t>
      </w:r>
      <w:r>
        <w:rPr>
          <w:rFonts w:hint="eastAsia" w:ascii="方正仿宋_GBK" w:hAnsi="方正仿宋_GBK" w:eastAsia="方正仿宋_GBK" w:cs="方正仿宋_GBK"/>
          <w:sz w:val="28"/>
          <w:szCs w:val="28"/>
          <w:highlight w:val="none"/>
        </w:rPr>
        <w:t xml:space="preserve">）的政府采购活动，我联合体指定</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w:t>
      </w:r>
      <w:r>
        <w:rPr>
          <w:rFonts w:hint="eastAsia" w:ascii="方正仿宋_GBK" w:hAnsi="方正仿宋_GBK" w:eastAsia="方正仿宋_GBK" w:cs="方正仿宋_GBK"/>
          <w:sz w:val="28"/>
          <w:szCs w:val="28"/>
          <w:highlight w:val="none"/>
          <w:u w:val="none"/>
          <w:lang w:eastAsia="zh-CN"/>
        </w:rPr>
        <w:t xml:space="preserve">全称</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为牵头单位（牵头单位必须为联合体成员）。</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若我们联合中标、成交，</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（供应商单位1全称）实施项目中</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（工作内容）部分工作，并承担相应的责任。</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（供应商单位2全称）实施项目中</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（工作内容）部分工作，并承担相应的责任……。（注：联合体中各供应商都应明示所承担的工作和相应的责任）。</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其中</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w:t>
      </w:r>
      <w:r>
        <w:rPr>
          <w:highlight w:val="none"/>
        </w:rPr>
      </w:r>
      <w:r/>
    </w:p>
    <w:p>
      <w:pPr>
        <w:pStyle w:val="961"/>
        <w:keepLines w:val="0"/>
        <w:keepNext w:val="0"/>
        <w:pageBreakBefore w:val="0"/>
        <w:spacing w:line="400" w:lineRule="exact"/>
        <w:rPr>
          <w:rFonts w:hint="eastAsia" w:ascii="宋体" w:hAnsi="宋体"/>
          <w:sz w:val="28"/>
          <w:szCs w:val="28"/>
          <w:highlight w:val="none"/>
        </w:rPr>
      </w:pPr>
      <w:r>
        <w:rPr>
          <w:rFonts w:ascii="宋体" w:hAnsi="宋体"/>
          <w:sz w:val="28"/>
          <w:szCs w:val="28"/>
          <w:highlight w:val="none"/>
        </w:rPr>
        <w:t xml:space="preserve">      </w:t>
      </w:r>
      <w:r>
        <w:rPr>
          <w:rFonts w:hint="eastAsia" w:ascii="宋体" w:hAnsi="宋体"/>
          <w:sz w:val="28"/>
          <w:szCs w:val="28"/>
          <w:highlight w:val="none"/>
        </w:rPr>
        <w:t xml:space="preserve">            </w:t>
      </w:r>
      <w:r>
        <w:rPr>
          <w:highlight w:val="none"/>
        </w:rPr>
      </w:r>
      <w:r/>
    </w:p>
    <w:p>
      <w:pPr>
        <w:pStyle w:val="961"/>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rPr>
          <w:highlight w:val="none"/>
        </w:rPr>
      </w:r>
      <w:r/>
    </w:p>
    <w:p>
      <w:pPr>
        <w:pStyle w:val="961"/>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日期：___年____月____日 </w:t>
      </w:r>
      <w:r>
        <w:rPr>
          <w:highlight w:val="none"/>
        </w:rPr>
      </w:r>
      <w:r/>
    </w:p>
    <w:p>
      <w:pPr>
        <w:pStyle w:val="961"/>
        <w:ind w:firstLine="645"/>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rPr>
          <w:highlight w:val="none"/>
        </w:rPr>
      </w:r>
      <w:r/>
    </w:p>
    <w:p>
      <w:pPr>
        <w:pStyle w:val="961"/>
        <w:ind w:firstLine="645"/>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备注：本招标文件中要求加盖CA电子签章的地方，仅需加盖牵头单位的CA电子签章。</w:t>
      </w:r>
      <w:r>
        <w:rPr>
          <w:highlight w:val="none"/>
        </w:rPr>
      </w:r>
      <w:r/>
    </w:p>
    <w:p>
      <w:pPr>
        <w:pStyle w:val="961"/>
        <w:ind w:firstLine="645"/>
        <w:keepLines w:val="0"/>
        <w:keepNext w:val="0"/>
        <w:pageBreakBefore w:val="0"/>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pStyle w:val="961"/>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 w:val="0"/>
          <w:bCs/>
          <w:sz w:val="28"/>
          <w:szCs w:val="28"/>
          <w:highlight w:val="none"/>
        </w:rPr>
        <w:t xml:space="preserve">附件12实质性要求响应及偏离表（采购包号：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highlight w:val="none"/>
              </w:rPr>
            </w:r>
            <w:r/>
          </w:p>
        </w:tc>
        <w:tc>
          <w:tcPr>
            <w:tcW w:w="3609"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w:t>
            </w:r>
            <w:r>
              <w:rPr>
                <w:rFonts w:hint="eastAsia" w:ascii="方正仿宋_GBK" w:hAnsi="方正仿宋_GBK" w:eastAsia="方正仿宋_GBK" w:cs="方正仿宋_GBK"/>
                <w:b/>
                <w:bCs/>
                <w:color w:val="000000"/>
                <w:sz w:val="28"/>
                <w:szCs w:val="28"/>
                <w:highlight w:val="none"/>
                <w:lang w:val="en-US" w:eastAsia="zh-CN"/>
              </w:rPr>
              <w:t xml:space="preserve">*</w:t>
            </w:r>
            <w:r>
              <w:rPr>
                <w:rFonts w:hint="eastAsia" w:ascii="方正仿宋_GBK" w:hAnsi="方正仿宋_GBK" w:eastAsia="方正仿宋_GBK" w:cs="方正仿宋_GBK"/>
                <w:b/>
                <w:bCs/>
                <w:color w:val="000000"/>
                <w:sz w:val="28"/>
                <w:szCs w:val="28"/>
                <w:highlight w:val="none"/>
              </w:rPr>
              <w:t xml:space="preserve">号条款）</w:t>
            </w:r>
            <w:r>
              <w:rPr>
                <w:highlight w:val="none"/>
              </w:rPr>
            </w:r>
            <w:r/>
          </w:p>
        </w:tc>
        <w:tc>
          <w:tcPr>
            <w:tcW w:w="3317"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highlight w:val="none"/>
              </w:rPr>
            </w:r>
            <w:r/>
          </w:p>
        </w:tc>
        <w:tc>
          <w:tcPr>
            <w:tcW w:w="1526" w:type="dxa"/>
            <w:vAlign w:val="center"/>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highlight w:val="none"/>
              </w:rPr>
            </w:r>
            <w:r/>
          </w:p>
        </w:tc>
      </w:tr>
      <w:tr>
        <w:trPr>
          <w:cantSplit/>
          <w:trHeight w:val="640"/>
        </w:trPr>
        <w:tc>
          <w:tcPr>
            <w:tcW w:w="545"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highlight w:val="none"/>
              </w:rPr>
            </w:r>
            <w:r/>
          </w:p>
        </w:tc>
        <w:tc>
          <w:tcPr>
            <w:tcW w:w="3609"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r/>
          </w:p>
        </w:tc>
        <w:tc>
          <w:tcPr>
            <w:tcW w:w="3317"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r/>
          </w:p>
        </w:tc>
        <w:tc>
          <w:tcPr>
            <w:tcW w:w="1526"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r/>
          </w:p>
        </w:tc>
      </w:tr>
      <w:tr>
        <w:trPr>
          <w:cantSplit/>
          <w:trHeight w:val="640"/>
        </w:trPr>
        <w:tc>
          <w:tcPr>
            <w:tcW w:w="545"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highlight w:val="none"/>
              </w:rPr>
            </w:r>
            <w:r/>
          </w:p>
        </w:tc>
        <w:tc>
          <w:tcPr>
            <w:tcW w:w="3609"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r/>
          </w:p>
        </w:tc>
        <w:tc>
          <w:tcPr>
            <w:tcW w:w="3317"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r/>
          </w:p>
        </w:tc>
        <w:tc>
          <w:tcPr>
            <w:tcW w:w="1526"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r/>
          </w:p>
        </w:tc>
      </w:tr>
      <w:tr>
        <w:trPr>
          <w:cantSplit/>
          <w:trHeight w:val="640"/>
        </w:trPr>
        <w:tc>
          <w:tcPr>
            <w:tcW w:w="545"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r/>
          </w:p>
        </w:tc>
        <w:tc>
          <w:tcPr>
            <w:tcW w:w="3609"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r/>
          </w:p>
        </w:tc>
        <w:tc>
          <w:tcPr>
            <w:tcW w:w="3317"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r/>
          </w:p>
        </w:tc>
        <w:tc>
          <w:tcPr>
            <w:tcW w:w="1526" w:type="dxa"/>
            <w:vAlign w:val="top"/>
            <w:textDirection w:val="lrTb"/>
            <w:noWrap w:val="false"/>
          </w:tcPr>
          <w:p>
            <w:pPr>
              <w:pStyle w:val="96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r/>
          </w:p>
        </w:tc>
      </w:tr>
    </w:tbl>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rPr>
          <w:highlight w:val="none"/>
        </w:rPr>
      </w:r>
      <w:r/>
    </w:p>
    <w:p>
      <w:pPr>
        <w:pStyle w:val="961"/>
        <w:keepLines w:val="0"/>
        <w:keepNext w:val="0"/>
        <w:pageBreakBefore w:val="0"/>
        <w:spacing w:line="400" w:lineRule="exact"/>
        <w:rPr>
          <w:rFonts w:ascii="宋体" w:hAnsi="宋体"/>
          <w:color w:val="000000"/>
          <w:sz w:val="28"/>
          <w:szCs w:val="28"/>
          <w:highlight w:val="none"/>
        </w:rPr>
      </w:pPr>
      <w:r>
        <w:rPr>
          <w:rFonts w:ascii="宋体" w:hAnsi="宋体"/>
          <w:color w:val="000000"/>
          <w:sz w:val="28"/>
          <w:szCs w:val="28"/>
          <w:highlight w:val="none"/>
        </w:rPr>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w:t>
      </w:r>
      <w:r>
        <w:rPr>
          <w:rFonts w:hint="eastAsia" w:ascii="方正仿宋_GBK" w:hAnsi="方正仿宋_GBK" w:eastAsia="方正仿宋_GBK" w:cs="方正仿宋_GBK"/>
          <w:b/>
          <w:bCs/>
          <w:color w:val="000000"/>
          <w:sz w:val="28"/>
          <w:szCs w:val="28"/>
          <w:highlight w:val="none"/>
          <w:lang w:val="en-US" w:eastAsia="zh-CN"/>
        </w:rPr>
        <w:t xml:space="preserve">*</w:t>
      </w:r>
      <w:r>
        <w:rPr>
          <w:rFonts w:hint="eastAsia" w:ascii="方正仿宋_GBK" w:hAnsi="方正仿宋_GBK" w:eastAsia="方正仿宋_GBK" w:cs="方正仿宋_GBK"/>
          <w:b/>
          <w:bCs/>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逐条做出明确响应。</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2.如果招标文件要求提供证明材料，投标人必须将证明材料列于该表之下。</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3.投标人未对实质性要求逐条作出明确响应的，或未按招标文件要求提供证明材料的，该采购包作无效投标处理。</w:t>
      </w:r>
      <w:r>
        <w:rPr>
          <w:highlight w:val="none"/>
        </w:rPr>
      </w:r>
      <w:r/>
    </w:p>
    <w:p>
      <w:pPr>
        <w:pStyle w:val="961"/>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rPr>
          <w:highlight w:val="none"/>
        </w:rPr>
      </w:r>
      <w:r/>
    </w:p>
    <w:p>
      <w:pPr>
        <w:pStyle w:val="961"/>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w:t>
      </w:r>
      <w:r>
        <w:rPr>
          <w:rFonts w:hint="eastAsia" w:ascii="方正黑体_GBK" w:hAnsi="方正黑体_GBK" w:eastAsia="方正黑体_GBK" w:cs="方正黑体_GBK"/>
          <w:b w:val="0"/>
          <w:bCs/>
          <w:sz w:val="28"/>
          <w:szCs w:val="28"/>
          <w:highlight w:val="none"/>
          <w:lang w:val="en-US" w:eastAsia="zh-CN"/>
        </w:rPr>
        <w:t xml:space="preserve">3</w:t>
      </w:r>
      <w:r>
        <w:rPr>
          <w:rFonts w:hint="eastAsia" w:ascii="方正黑体_GBK" w:hAnsi="方正黑体_GBK" w:eastAsia="方正黑体_GBK" w:cs="方正黑体_GBK"/>
          <w:b w:val="0"/>
          <w:bCs/>
          <w:sz w:val="28"/>
          <w:szCs w:val="28"/>
          <w:highlight w:val="none"/>
        </w:rPr>
        <w:t xml:space="preserve">  关于符合本国产品标准的声明函（采购包号：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highlight w:val="none"/>
        </w:rPr>
      </w:r>
      <w:r/>
    </w:p>
    <w:p>
      <w:pPr>
        <w:pStyle w:val="1023"/>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102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（产品名称1）</w:t>
      </w:r>
      <w:r>
        <w:rPr>
          <w:rStyle w:val="103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Style w:val="103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rPr>
          <w:highlight w:val="none"/>
        </w:rPr>
      </w:r>
      <w:r/>
    </w:p>
    <w:p>
      <w:pPr>
        <w:pStyle w:val="102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2</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rPr>
          <w:highlight w:val="none"/>
        </w:rPr>
      </w:r>
      <w:r/>
    </w:p>
    <w:p>
      <w:pPr>
        <w:pStyle w:val="102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highlight w:val="none"/>
        </w:rPr>
      </w:r>
      <w:r/>
    </w:p>
    <w:p>
      <w:pPr>
        <w:pStyle w:val="102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本公司（单位）对上述声明内容的真实性负责。如有虚假，愿承担相应法律责任。</w:t>
      </w:r>
      <w:r>
        <w:rPr>
          <w:highlight w:val="none"/>
        </w:rPr>
      </w:r>
      <w:r/>
    </w:p>
    <w:p>
      <w:pPr>
        <w:pStyle w:val="1023"/>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rPr>
      </w:r>
      <w:r>
        <w:rPr>
          <w:highlight w:val="none"/>
        </w:rPr>
      </w:r>
      <w:r/>
    </w:p>
    <w:p>
      <w:pPr>
        <w:pStyle w:val="1023"/>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日期：___年____月____日   </w:t>
      </w:r>
      <w:r>
        <w:rPr>
          <w:rFonts w:hint="eastAsia" w:ascii="宋体" w:hAnsi="宋体" w:eastAsia="宋体" w:cs="宋体"/>
          <w:i w:val="0"/>
          <w:iCs w:val="0"/>
          <w:caps w:val="0"/>
          <w:color w:val="000000"/>
          <w:spacing w:val="0"/>
          <w:sz w:val="28"/>
          <w:szCs w:val="28"/>
          <w:highlight w:val="none"/>
          <w:shd w:val="clear" w:color="auto" w:fill="ffffff"/>
        </w:rPr>
        <w:t xml:space="preserve">     </w:t>
      </w:r>
      <w:r>
        <w:rPr>
          <w:highlight w:val="none"/>
        </w:rPr>
      </w:r>
      <w:r/>
    </w:p>
    <w:p>
      <w:pPr>
        <w:pStyle w:val="1023"/>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rPr>
        <w:t xml:space="preserve">__________________</w:t>
      </w:r>
      <w:r>
        <w:rPr>
          <w:highlight w:val="none"/>
        </w:rPr>
      </w:r>
      <w:r/>
    </w:p>
    <w:p>
      <w:pPr>
        <w:pStyle w:val="1023"/>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1.产品如有型号，请在“产品名称”栏一并填写。</w:t>
      </w:r>
      <w:r>
        <w:rPr>
          <w:highlight w:val="none"/>
        </w:rPr>
      </w:r>
      <w:r/>
    </w:p>
    <w:p>
      <w:pPr>
        <w:pStyle w:val="1023"/>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2.生产厂名与厂址应与生产厂营业执照载明的相关信息保持一致。</w:t>
      </w:r>
      <w:r>
        <w:rPr>
          <w:highlight w:val="none"/>
        </w:rPr>
      </w:r>
      <w:r/>
    </w:p>
    <w:p>
      <w:pPr>
        <w:pStyle w:val="1023"/>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3.该产品的中国境内生产的组件成本占比相关要求实施前，“规定比例”栏可不填，下同。</w:t>
      </w:r>
      <w:r>
        <w:rPr>
          <w:highlight w:val="none"/>
        </w:rPr>
      </w:r>
      <w:r/>
    </w:p>
    <w:p>
      <w:pPr>
        <w:pStyle w:val="1023"/>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4.该产品的关键组件要求实施前，“关键组件”栏可不填，下同。</w:t>
      </w:r>
      <w:r>
        <w:rPr>
          <w:highlight w:val="none"/>
        </w:rPr>
      </w:r>
      <w:r/>
    </w:p>
    <w:p>
      <w:pPr>
        <w:pStyle w:val="1023"/>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5.该产品的关键工序要求实施前，“关键工序”栏可不填，下同。</w:t>
      </w:r>
      <w:r>
        <w:rPr>
          <w:highlight w:val="none"/>
        </w:rPr>
      </w:r>
      <w:r/>
    </w:p>
    <w:p>
      <w:pPr>
        <w:pStyle w:val="1023"/>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103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”的地方无需填写。</w:t>
      </w:r>
      <w:r>
        <w:rPr>
          <w:highlight w:val="none"/>
        </w:rPr>
      </w:r>
      <w:r/>
    </w:p>
    <w:p>
      <w:pPr>
        <w:pStyle w:val="961"/>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rPr>
          <w:highlight w:val="none"/>
        </w:rPr>
      </w:r>
      <w:r/>
    </w:p>
    <w:p>
      <w:pPr>
        <w:pStyle w:val="961"/>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rPr>
          <w:highlight w:val="none"/>
        </w:rPr>
      </w:r>
      <w:r/>
    </w:p>
    <w:p>
      <w:pPr>
        <w:pStyle w:val="961"/>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rPr>
          <w:highlight w:val="none"/>
        </w:rPr>
      </w:r>
      <w:r/>
    </w:p>
    <w:p>
      <w:pPr>
        <w:pStyle w:val="961"/>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rPr>
          <w:highlight w:val="none"/>
        </w:rPr>
      </w:r>
      <w:r/>
    </w:p>
    <w:p>
      <w:pPr>
        <w:pStyle w:val="961"/>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rPr>
          <w:highlight w:val="none"/>
        </w:rPr>
      </w:r>
      <w:r/>
    </w:p>
    <w:p>
      <w:pPr>
        <w:pStyle w:val="961"/>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rPr>
          <w:highlight w:val="none"/>
        </w:rPr>
      </w:r>
      <w:r/>
    </w:p>
    <w:p>
      <w:pPr>
        <w:pStyle w:val="961"/>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rPr>
          <w:highlight w:val="none"/>
        </w:rPr>
      </w:r>
      <w:r/>
    </w:p>
    <w:p>
      <w:pPr>
        <w:pStyle w:val="961"/>
        <w:jc w:val="center"/>
        <w:keepLines w:val="0"/>
        <w:keepNext w:val="0"/>
        <w:pageBreakBefore w:val="0"/>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rPr>
          <w:highlight w:val="none"/>
        </w:rPr>
      </w:r>
      <w:r/>
    </w:p>
    <w:p>
      <w:pPr>
        <w:pStyle w:val="961"/>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highlight w:val="none"/>
        </w:rPr>
      </w:r>
      <w:bookmarkEnd w:id="179"/>
      <w:r>
        <w:rPr>
          <w:highlight w:val="none"/>
        </w:rPr>
      </w:r>
      <w:bookmarkEnd w:id="180"/>
      <w:r>
        <w:rPr>
          <w:highlight w:val="none"/>
        </w:rPr>
      </w:r>
      <w:bookmarkEnd w:id="191"/>
      <w:r>
        <w:rPr>
          <w:rFonts w:hint="eastAsia" w:ascii="方正黑体_GBK" w:hAnsi="方正黑体_GBK" w:eastAsia="方正黑体_GBK" w:cs="方正黑体_GBK"/>
          <w:b w:val="0"/>
          <w:bCs/>
          <w:sz w:val="28"/>
          <w:szCs w:val="28"/>
          <w:highlight w:val="none"/>
        </w:rPr>
        <w:t xml:space="preserve">质疑函范本</w:t>
      </w:r>
      <w:r>
        <w:rPr>
          <w:highlight w:val="none"/>
        </w:rPr>
      </w:r>
      <w:r/>
    </w:p>
    <w:p>
      <w:pPr>
        <w:pStyle w:val="961"/>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rPr>
          <w:highlight w:val="none"/>
        </w:rPr>
      </w:r>
      <w:r/>
    </w:p>
    <w:p>
      <w:pPr>
        <w:pStyle w:val="961"/>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rPr>
          <w:highlight w:val="none"/>
        </w:rPr>
      </w:r>
      <w:r/>
    </w:p>
    <w:p>
      <w:pPr>
        <w:pStyle w:val="961"/>
        <w:ind w:firstLine="560"/>
        <w:keepLines w:val="0"/>
        <w:keepNext w:val="0"/>
        <w:pageBreakBefore w:val="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rPr>
          <w:highlight w:val="none"/>
        </w:rPr>
      </w:r>
      <w:r/>
    </w:p>
    <w:p>
      <w:pPr>
        <w:pStyle w:val="961"/>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rPr>
          <w:highlight w:val="none"/>
        </w:rPr>
      </w:r>
      <w:r/>
    </w:p>
    <w:p>
      <w:pPr>
        <w:pStyle w:val="961"/>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highlight w:val="none"/>
        </w:rPr>
        <w:t xml:space="preserve">供应商签署的授权委托书。授权委托书应载明代理人的姓名或者名称、代理事项、具体权限、期限和相关事项。</w:t>
      </w:r>
      <w:r>
        <w:rPr>
          <w:highlight w:val="none"/>
        </w:rPr>
      </w:r>
      <w:r/>
    </w:p>
    <w:p>
      <w:pPr>
        <w:pStyle w:val="961"/>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rPr>
          <w:highlight w:val="none"/>
        </w:rPr>
      </w:r>
      <w:r/>
    </w:p>
    <w:p>
      <w:pPr>
        <w:pStyle w:val="961"/>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rPr>
          <w:highlight w:val="none"/>
        </w:rPr>
      </w:r>
      <w:r/>
    </w:p>
    <w:p>
      <w:pPr>
        <w:pStyle w:val="961"/>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rPr>
          <w:highlight w:val="none"/>
        </w:rPr>
      </w:r>
      <w:r/>
    </w:p>
    <w:p>
      <w:pPr>
        <w:pStyle w:val="961"/>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pStyle w:val="961"/>
        <w:ind w:firstLine="560"/>
        <w:jc w:val="left"/>
        <w:spacing w:line="400" w:lineRule="exact"/>
        <w:widowControl/>
        <w:rPr>
          <w:rFonts w:ascii="宋体" w:hAnsi="宋体"/>
          <w:color w:val="000000"/>
          <w:sz w:val="28"/>
          <w:szCs w:val="28"/>
          <w:highlight w:val="none"/>
        </w:rPr>
      </w:pPr>
      <w:r>
        <w:rPr>
          <w:rFonts w:ascii="宋体" w:hAnsi="宋体"/>
          <w:color w:val="000000"/>
          <w:sz w:val="28"/>
          <w:szCs w:val="28"/>
          <w:highlight w:val="none"/>
        </w:rPr>
      </w:r>
      <w:r>
        <w:rPr>
          <w:highlight w:val="none"/>
        </w:rPr>
      </w:r>
      <w:r/>
    </w:p>
    <w:p>
      <w:pPr>
        <w:pStyle w:val="96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6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6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6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6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6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6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6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Symbol">
    <w:panose1 w:val="05050102010706020507"/>
  </w:font>
  <w:font w:name="华文细黑">
    <w:panose1 w:val="0201060004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pPr>
    <w:r/>
    <w:r/>
  </w:p>
  <w:p>
    <w:pPr>
      <w:pStyle w:val="100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1"/>
                    </w:pPr>
                    <w:r/>
                    <w:r/>
                  </w:p>
                </w:txbxContent>
              </v:textbox>
            </v:shape>
          </w:pict>
        </mc:Fallback>
      </mc:AlternateContent>
    </w:r>
    <w:r/>
  </w:p>
  <w:p>
    <w:pPr>
      <w:pStyle w:val="100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19</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19</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1"/>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rPr>
        <w:rStyle w:val="1033"/>
      </w:rPr>
      <w:framePr w:wrap="around" w:vAnchor="text" w:hAnchor="margin" w:xAlign="center" w:y="1"/>
    </w:pPr>
    <w:r>
      <w:fldChar w:fldCharType="begin"/>
    </w:r>
    <w:r>
      <w:rPr>
        <w:rStyle w:val="1033"/>
      </w:rPr>
      <w:instrText xml:space="preserve">PAGE  </w:instrText>
    </w:r>
    <w:r>
      <w:fldChar w:fldCharType="separate"/>
    </w:r>
    <w:r>
      <w:rPr>
        <w:rStyle w:val="1033"/>
      </w:rPr>
      <w:t xml:space="preserve">1</w:t>
    </w:r>
    <w:r>
      <w:fldChar w:fldCharType="end"/>
    </w:r>
    <w:r>
      <w:rPr>
        <w:rStyle w:val="1033"/>
      </w:rPr>
    </w:r>
    <w:r/>
  </w:p>
  <w:p>
    <w:pPr>
      <w:pStyle w:val="10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40"/>
      <w:isLgl w:val="false"/>
      <w:suff w:val="tab"/>
      <w:lvlText w:val="附录%1."/>
      <w:lvlJc w:val="left"/>
      <w:pPr>
        <w:pStyle w:val="96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7"/>
      <w:isLgl w:val="false"/>
      <w:suff w:val="tab"/>
      <w:lvlText w:val="%1."/>
      <w:lvlJc w:val="left"/>
      <w:pPr>
        <w:pStyle w:val="961"/>
        <w:ind w:left="709" w:hanging="709"/>
        <w:tabs>
          <w:tab w:val="num" w:pos="709" w:leader="none"/>
        </w:tabs>
      </w:pPr>
      <w:rPr>
        <w:rFonts w:hint="eastAsia"/>
      </w:rPr>
    </w:lvl>
    <w:lvl w:ilvl="1">
      <w:start w:val="1"/>
      <w:numFmt w:val="decimal"/>
      <w:isLgl w:val="false"/>
      <w:suff w:val="tab"/>
      <w:lvlText w:val="%1.%2"/>
      <w:lvlJc w:val="left"/>
      <w:pPr>
        <w:pStyle w:val="961"/>
        <w:ind w:left="709" w:hanging="709"/>
        <w:tabs>
          <w:tab w:val="num" w:pos="709" w:leader="none"/>
        </w:tabs>
      </w:pPr>
      <w:rPr>
        <w:rFonts w:hint="eastAsia"/>
      </w:rPr>
    </w:lvl>
    <w:lvl w:ilvl="2">
      <w:start w:val="1"/>
      <w:numFmt w:val="decimal"/>
      <w:isLgl w:val="false"/>
      <w:suff w:val="tab"/>
      <w:lvlText w:val="%1.%2.%3."/>
      <w:lvlJc w:val="left"/>
      <w:pPr>
        <w:pStyle w:val="961"/>
        <w:ind w:left="425" w:hanging="425"/>
        <w:tabs>
          <w:tab w:val="num" w:pos="425" w:leader="none"/>
        </w:tabs>
      </w:pPr>
      <w:rPr>
        <w:rFonts w:hint="eastAsia"/>
      </w:rPr>
    </w:lvl>
    <w:lvl w:ilvl="3">
      <w:start w:val="1"/>
      <w:numFmt w:val="decimal"/>
      <w:isLgl w:val="false"/>
      <w:suff w:val="tab"/>
      <w:lvlText w:val="%1.%2.%3.%4."/>
      <w:lvlJc w:val="left"/>
      <w:pPr>
        <w:pStyle w:val="961"/>
        <w:ind w:left="851" w:hanging="851"/>
        <w:tabs>
          <w:tab w:val="num" w:pos="851" w:leader="none"/>
        </w:tabs>
      </w:pPr>
      <w:rPr>
        <w:rFonts w:hint="eastAsia"/>
      </w:rPr>
    </w:lvl>
    <w:lvl w:ilvl="4">
      <w:start w:val="1"/>
      <w:numFmt w:val="decimal"/>
      <w:isLgl w:val="false"/>
      <w:suff w:val="tab"/>
      <w:lvlText w:val="%1.%2.%3.%4.%5."/>
      <w:lvlJc w:val="left"/>
      <w:pPr>
        <w:pStyle w:val="961"/>
        <w:ind w:left="992" w:hanging="992"/>
        <w:tabs>
          <w:tab w:val="num" w:pos="992" w:leader="none"/>
        </w:tabs>
      </w:pPr>
      <w:rPr>
        <w:rFonts w:hint="eastAsia"/>
      </w:rPr>
    </w:lvl>
    <w:lvl w:ilvl="5">
      <w:start w:val="1"/>
      <w:numFmt w:val="decimal"/>
      <w:isLgl w:val="false"/>
      <w:suff w:val="tab"/>
      <w:lvlText w:val="%1.%2.%3.%4.%5.%6."/>
      <w:lvlJc w:val="left"/>
      <w:pPr>
        <w:pStyle w:val="961"/>
        <w:ind w:left="1134" w:hanging="1134"/>
        <w:tabs>
          <w:tab w:val="num" w:pos="1134" w:leader="none"/>
        </w:tabs>
      </w:pPr>
      <w:rPr>
        <w:rFonts w:hint="eastAsia"/>
      </w:rPr>
    </w:lvl>
    <w:lvl w:ilvl="6">
      <w:start w:val="1"/>
      <w:numFmt w:val="decimal"/>
      <w:isLgl w:val="false"/>
      <w:suff w:val="tab"/>
      <w:lvlText w:val="%1.%2.%3.%4.%5.%6.%7."/>
      <w:lvlJc w:val="left"/>
      <w:pPr>
        <w:pStyle w:val="961"/>
        <w:ind w:left="1276" w:hanging="1276"/>
        <w:tabs>
          <w:tab w:val="num" w:pos="1276" w:leader="none"/>
        </w:tabs>
      </w:pPr>
      <w:rPr>
        <w:rFonts w:hint="eastAsia"/>
      </w:rPr>
    </w:lvl>
    <w:lvl w:ilvl="7">
      <w:start w:val="1"/>
      <w:numFmt w:val="decimal"/>
      <w:isLgl w:val="false"/>
      <w:suff w:val="tab"/>
      <w:lvlText w:val="%1.%2.%3.%4.%5.%6.%7.%8."/>
      <w:lvlJc w:val="left"/>
      <w:pPr>
        <w:pStyle w:val="961"/>
        <w:ind w:left="1418" w:hanging="1418"/>
        <w:tabs>
          <w:tab w:val="num" w:pos="1418" w:leader="none"/>
        </w:tabs>
      </w:pPr>
      <w:rPr>
        <w:rFonts w:hint="eastAsia"/>
      </w:rPr>
    </w:lvl>
    <w:lvl w:ilvl="8">
      <w:start w:val="1"/>
      <w:numFmt w:val="decimal"/>
      <w:isLgl w:val="false"/>
      <w:suff w:val="tab"/>
      <w:lvlText w:val="%1.%2.%3.%4.%5.%6.%7.%8.%9."/>
      <w:lvlJc w:val="left"/>
      <w:pPr>
        <w:pStyle w:val="961"/>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61"/>
        <w:ind w:left="0" w:firstLine="0"/>
      </w:pPr>
      <w:rPr>
        <w:rFonts w:hint="eastAsia"/>
      </w:rPr>
    </w:lvl>
    <w:lvl w:ilvl="1">
      <w:start w:val="1"/>
      <w:numFmt w:val="decimal"/>
      <w:isLgl w:val="false"/>
      <w:suff w:val="nothing"/>
      <w:lvlText w:val="%2、"/>
      <w:lvlJc w:val="left"/>
      <w:pPr>
        <w:pStyle w:val="961"/>
        <w:ind w:left="0" w:firstLine="0"/>
      </w:pPr>
      <w:rPr>
        <w:rFonts w:hint="eastAsia"/>
      </w:rPr>
    </w:lvl>
    <w:lvl w:ilvl="2">
      <w:start w:val="1"/>
      <w:numFmt w:val="decimal"/>
      <w:isLgl w:val="false"/>
      <w:suff w:val="nothing"/>
      <w:lvlText w:val="%2.%3 "/>
      <w:lvlJc w:val="left"/>
      <w:pPr>
        <w:pStyle w:val="961"/>
        <w:ind w:left="0" w:firstLine="0"/>
      </w:pPr>
      <w:rPr>
        <w:rFonts w:hint="eastAsia"/>
      </w:rPr>
    </w:lvl>
    <w:lvl w:ilvl="3">
      <w:start w:val="1"/>
      <w:numFmt w:val="decimal"/>
      <w:isLgl w:val="false"/>
      <w:suff w:val="nothing"/>
      <w:lvlText w:val="%2.%3.%4 "/>
      <w:lvlJc w:val="left"/>
      <w:pPr>
        <w:pStyle w:val="961"/>
        <w:ind w:left="0" w:firstLine="0"/>
      </w:pPr>
      <w:rPr>
        <w:rFonts w:hint="eastAsia"/>
      </w:rPr>
    </w:lvl>
    <w:lvl w:ilvl="4">
      <w:start w:val="1"/>
      <w:numFmt w:val="decimal"/>
      <w:isLgl w:val="false"/>
      <w:suff w:val="nothing"/>
      <w:lvlText w:val="%2.%3.%4.%5 "/>
      <w:lvlJc w:val="left"/>
      <w:pPr>
        <w:pStyle w:val="961"/>
        <w:ind w:left="0" w:firstLine="0"/>
      </w:pPr>
      <w:rPr>
        <w:rFonts w:hint="eastAsia"/>
      </w:rPr>
    </w:lvl>
    <w:lvl w:ilvl="5">
      <w:start w:val="1"/>
      <w:numFmt w:val="decimal"/>
      <w:pStyle w:val="967"/>
      <w:isLgl w:val="false"/>
      <w:suff w:val="nothing"/>
      <w:lvlText w:val=""/>
      <w:lvlJc w:val="left"/>
      <w:pPr>
        <w:pStyle w:val="961"/>
        <w:ind w:left="0" w:firstLine="0"/>
      </w:pPr>
      <w:rPr>
        <w:rFonts w:hint="eastAsia"/>
      </w:rPr>
    </w:lvl>
    <w:lvl w:ilvl="6">
      <w:start w:val="1"/>
      <w:numFmt w:val="decimal"/>
      <w:pStyle w:val="968"/>
      <w:isLgl w:val="false"/>
      <w:suff w:val="nothing"/>
      <w:lvlText w:val=""/>
      <w:lvlJc w:val="left"/>
      <w:pPr>
        <w:pStyle w:val="961"/>
        <w:ind w:left="0" w:firstLine="0"/>
      </w:pPr>
      <w:rPr>
        <w:rFonts w:hint="eastAsia"/>
      </w:rPr>
    </w:lvl>
    <w:lvl w:ilvl="7">
      <w:start w:val="1"/>
      <w:numFmt w:val="decimal"/>
      <w:pStyle w:val="969"/>
      <w:isLgl w:val="false"/>
      <w:suff w:val="nothing"/>
      <w:lvlText w:val=""/>
      <w:lvlJc w:val="left"/>
      <w:pPr>
        <w:pStyle w:val="961"/>
        <w:ind w:left="0" w:firstLine="0"/>
      </w:pPr>
      <w:rPr>
        <w:rFonts w:hint="eastAsia"/>
      </w:rPr>
    </w:lvl>
    <w:lvl w:ilvl="8">
      <w:start w:val="1"/>
      <w:numFmt w:val="decimal"/>
      <w:pStyle w:val="970"/>
      <w:isLgl w:val="false"/>
      <w:suff w:val="nothing"/>
      <w:lvlText w:val=""/>
      <w:lvlJc w:val="left"/>
      <w:pPr>
        <w:pStyle w:val="961"/>
        <w:ind w:left="0" w:firstLine="0"/>
      </w:pPr>
      <w:rPr>
        <w:rFonts w:hint="eastAsia"/>
      </w:rPr>
    </w:lvl>
  </w:abstractNum>
  <w:num w:numId="1">
    <w:abstractNumId w:val="6"/>
  </w:num>
  <w:num w:numId="2">
    <w:abstractNumId w:val="4"/>
  </w:num>
  <w:num w:numId="3">
    <w:abstractNumId w:val="5"/>
  </w:num>
  <w:num w:numId="4">
    <w:abstractNumId w:val="0"/>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1"/>
    <w:next w:val="961"/>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1"/>
    <w:next w:val="961"/>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1"/>
    <w:next w:val="961"/>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1"/>
    <w:next w:val="961"/>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1"/>
    <w:next w:val="961"/>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1"/>
    <w:next w:val="961"/>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1"/>
    <w:next w:val="96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1"/>
    <w:next w:val="96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1"/>
    <w:next w:val="96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961"/>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61"/>
    <w:link w:val="961"/>
    <w:qFormat/>
    <w:pPr>
      <w:jc w:val="both"/>
      <w:widowControl w:val="off"/>
    </w:pPr>
    <w:rPr>
      <w:sz w:val="21"/>
      <w:szCs w:val="22"/>
      <w:lang w:val="en-US" w:eastAsia="zh-CN" w:bidi="ar-SA"/>
    </w:rPr>
  </w:style>
  <w:style w:type="paragraph" w:styleId="962">
    <w:name w:val="标题 1"/>
    <w:basedOn w:val="961"/>
    <w:next w:val="961"/>
    <w:link w:val="973"/>
    <w:qFormat/>
    <w:pPr>
      <w:jc w:val="center"/>
      <w:keepNext/>
      <w:outlineLvl w:val="0"/>
    </w:pPr>
    <w:rPr>
      <w:rFonts w:ascii="楷体_GB2312" w:hAnsi="Times New Roman" w:eastAsia="楷体_GB2312" w:cs="Times New Roman"/>
      <w:sz w:val="28"/>
      <w:szCs w:val="28"/>
    </w:rPr>
  </w:style>
  <w:style w:type="paragraph" w:styleId="963">
    <w:name w:val="标题 2"/>
    <w:basedOn w:val="961"/>
    <w:next w:val="975"/>
    <w:link w:val="974"/>
    <w:qFormat/>
    <w:pPr>
      <w:jc w:val="center"/>
      <w:keepLines/>
      <w:keepNext/>
      <w:spacing w:before="260" w:after="260" w:line="416" w:lineRule="auto"/>
      <w:outlineLvl w:val="1"/>
    </w:pPr>
    <w:rPr>
      <w:rFonts w:ascii="Arial" w:hAnsi="Arial" w:eastAsia="幼圆" w:cs="Arial"/>
      <w:b/>
      <w:bCs/>
      <w:sz w:val="44"/>
      <w:szCs w:val="44"/>
    </w:rPr>
  </w:style>
  <w:style w:type="paragraph" w:styleId="964">
    <w:name w:val="标题 3"/>
    <w:basedOn w:val="961"/>
    <w:next w:val="975"/>
    <w:link w:val="97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65">
    <w:name w:val="标题 4"/>
    <w:basedOn w:val="961"/>
    <w:next w:val="975"/>
    <w:link w:val="978"/>
    <w:qFormat/>
    <w:pPr>
      <w:keepLines/>
      <w:keepNext/>
      <w:spacing w:before="280" w:after="290" w:line="376" w:lineRule="auto"/>
      <w:outlineLvl w:val="3"/>
    </w:pPr>
    <w:rPr>
      <w:rFonts w:ascii="Arial" w:hAnsi="Arial" w:eastAsia="黑体" w:cs="Arial"/>
      <w:b/>
      <w:bCs/>
      <w:sz w:val="28"/>
      <w:szCs w:val="28"/>
    </w:rPr>
  </w:style>
  <w:style w:type="paragraph" w:styleId="966">
    <w:name w:val="标题 5"/>
    <w:basedOn w:val="961"/>
    <w:next w:val="975"/>
    <w:link w:val="979"/>
    <w:qFormat/>
    <w:pPr>
      <w:keepNext/>
      <w:outlineLvl w:val="4"/>
    </w:pPr>
    <w:rPr>
      <w:rFonts w:ascii="宋体" w:hAnsi="Times New Roman" w:eastAsia="宋体" w:cs="Times New Roman"/>
      <w:color w:val="000000"/>
      <w:sz w:val="28"/>
      <w:szCs w:val="28"/>
    </w:rPr>
  </w:style>
  <w:style w:type="paragraph" w:styleId="967">
    <w:name w:val="标题 6"/>
    <w:basedOn w:val="961"/>
    <w:next w:val="961"/>
    <w:link w:val="98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8">
    <w:name w:val="标题 7"/>
    <w:basedOn w:val="961"/>
    <w:next w:val="961"/>
    <w:link w:val="98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9">
    <w:name w:val="标题 8"/>
    <w:basedOn w:val="961"/>
    <w:next w:val="961"/>
    <w:link w:val="98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70">
    <w:name w:val="标题 9"/>
    <w:basedOn w:val="961"/>
    <w:next w:val="961"/>
    <w:link w:val="983"/>
    <w:qFormat/>
    <w:pPr>
      <w:numPr>
        <w:ilvl w:val="8"/>
        <w:numId w:val="1"/>
      </w:numPr>
      <w:keepLines/>
      <w:keepNext/>
      <w:spacing w:before="240" w:after="64" w:line="320" w:lineRule="auto"/>
      <w:outlineLvl w:val="8"/>
    </w:pPr>
    <w:rPr>
      <w:rFonts w:ascii="Arial" w:hAnsi="Arial" w:eastAsia="黑体" w:cs="Times New Roman"/>
      <w:szCs w:val="21"/>
    </w:rPr>
  </w:style>
  <w:style w:type="character" w:styleId="971">
    <w:name w:val="默认段落字体"/>
    <w:next w:val="971"/>
    <w:link w:val="961"/>
    <w:uiPriority w:val="1"/>
    <w:unhideWhenUsed/>
  </w:style>
  <w:style w:type="table" w:styleId="972">
    <w:name w:val="普通表格"/>
    <w:next w:val="972"/>
    <w:link w:val="961"/>
    <w:uiPriority w:val="99"/>
    <w:unhideWhenUsed/>
    <w:tblPr/>
  </w:style>
  <w:style w:type="character" w:styleId="973">
    <w:name w:val="标题 1 Char"/>
    <w:next w:val="973"/>
    <w:link w:val="962"/>
    <w:rPr>
      <w:rFonts w:ascii="楷体_GB2312" w:hAnsi="Times New Roman" w:eastAsia="楷体_GB2312" w:cs="Times New Roman"/>
      <w:sz w:val="28"/>
      <w:szCs w:val="28"/>
    </w:rPr>
  </w:style>
  <w:style w:type="character" w:styleId="974">
    <w:name w:val="标题 2 Char"/>
    <w:next w:val="974"/>
    <w:link w:val="963"/>
    <w:rPr>
      <w:rFonts w:ascii="Arial" w:hAnsi="Arial" w:eastAsia="幼圆" w:cs="Arial"/>
      <w:b/>
      <w:bCs/>
      <w:sz w:val="44"/>
      <w:szCs w:val="44"/>
    </w:rPr>
  </w:style>
  <w:style w:type="paragraph" w:styleId="975">
    <w:name w:val="正文缩进"/>
    <w:basedOn w:val="961"/>
    <w:next w:val="975"/>
    <w:link w:val="976"/>
    <w:pPr>
      <w:ind w:firstLine="420"/>
    </w:pPr>
    <w:rPr>
      <w:szCs w:val="21"/>
    </w:rPr>
  </w:style>
  <w:style w:type="character" w:styleId="976">
    <w:name w:val="正文缩进 Char"/>
    <w:next w:val="976"/>
    <w:link w:val="975"/>
    <w:rPr>
      <w:szCs w:val="21"/>
    </w:rPr>
  </w:style>
  <w:style w:type="character" w:styleId="977">
    <w:name w:val="标题 3 Char"/>
    <w:next w:val="977"/>
    <w:link w:val="964"/>
    <w:rPr>
      <w:rFonts w:ascii="Times New Roman" w:hAnsi="Times New Roman" w:eastAsia="宋体" w:cs="Times New Roman"/>
      <w:b/>
      <w:bCs/>
      <w:sz w:val="32"/>
      <w:szCs w:val="32"/>
    </w:rPr>
  </w:style>
  <w:style w:type="character" w:styleId="978">
    <w:name w:val="标题 4 Char"/>
    <w:next w:val="978"/>
    <w:link w:val="965"/>
    <w:rPr>
      <w:rFonts w:ascii="Arial" w:hAnsi="Arial" w:eastAsia="黑体" w:cs="Arial"/>
      <w:b/>
      <w:bCs/>
      <w:sz w:val="28"/>
      <w:szCs w:val="28"/>
    </w:rPr>
  </w:style>
  <w:style w:type="character" w:styleId="979">
    <w:name w:val="标题 5 Char"/>
    <w:next w:val="979"/>
    <w:link w:val="966"/>
    <w:rPr>
      <w:rFonts w:ascii="宋体" w:hAnsi="Times New Roman" w:eastAsia="宋体" w:cs="Times New Roman"/>
      <w:color w:val="000000"/>
      <w:sz w:val="28"/>
      <w:szCs w:val="28"/>
    </w:rPr>
  </w:style>
  <w:style w:type="character" w:styleId="980">
    <w:name w:val="标题 6 Char"/>
    <w:next w:val="980"/>
    <w:link w:val="967"/>
    <w:rPr>
      <w:rFonts w:ascii="Arial" w:hAnsi="Arial" w:eastAsia="黑体" w:cs="Times New Roman"/>
      <w:b/>
      <w:bCs/>
      <w:sz w:val="24"/>
      <w:szCs w:val="24"/>
    </w:rPr>
  </w:style>
  <w:style w:type="character" w:styleId="981">
    <w:name w:val="标题 7 Char"/>
    <w:next w:val="981"/>
    <w:link w:val="968"/>
    <w:rPr>
      <w:rFonts w:ascii="Times New Roman" w:hAnsi="Times New Roman" w:eastAsia="宋体" w:cs="Times New Roman"/>
      <w:b/>
      <w:bCs/>
      <w:sz w:val="24"/>
      <w:szCs w:val="24"/>
    </w:rPr>
  </w:style>
  <w:style w:type="character" w:styleId="982">
    <w:name w:val="标题 8 Char"/>
    <w:next w:val="982"/>
    <w:link w:val="969"/>
    <w:rPr>
      <w:rFonts w:ascii="Arial" w:hAnsi="Arial" w:eastAsia="黑体" w:cs="Times New Roman"/>
      <w:sz w:val="24"/>
      <w:szCs w:val="24"/>
    </w:rPr>
  </w:style>
  <w:style w:type="character" w:styleId="983">
    <w:name w:val="标题 9 Char"/>
    <w:next w:val="983"/>
    <w:link w:val="970"/>
    <w:rPr>
      <w:rFonts w:ascii="Arial" w:hAnsi="Arial" w:eastAsia="黑体" w:cs="Times New Roman"/>
      <w:szCs w:val="21"/>
    </w:rPr>
  </w:style>
  <w:style w:type="paragraph" w:styleId="984">
    <w:name w:val="列表 3"/>
    <w:basedOn w:val="961"/>
    <w:next w:val="984"/>
    <w:link w:val="961"/>
    <w:pPr>
      <w:ind w:left="100" w:hanging="200"/>
    </w:pPr>
    <w:rPr>
      <w:rFonts w:ascii="Times New Roman" w:hAnsi="Times New Roman" w:eastAsia="宋体" w:cs="Times New Roman"/>
      <w:szCs w:val="21"/>
    </w:rPr>
  </w:style>
  <w:style w:type="paragraph" w:styleId="985">
    <w:name w:val="目录 7"/>
    <w:basedOn w:val="961"/>
    <w:next w:val="961"/>
    <w:link w:val="961"/>
    <w:semiHidden/>
    <w:pPr>
      <w:ind w:left="1260"/>
      <w:jc w:val="left"/>
    </w:pPr>
    <w:rPr>
      <w:rFonts w:ascii="Times New Roman" w:hAnsi="Times New Roman" w:eastAsia="宋体" w:cs="Times New Roman"/>
      <w:szCs w:val="21"/>
    </w:rPr>
  </w:style>
  <w:style w:type="paragraph" w:styleId="986">
    <w:name w:val="文档结构图"/>
    <w:basedOn w:val="961"/>
    <w:next w:val="986"/>
    <w:link w:val="987"/>
    <w:semiHidden/>
    <w:pPr>
      <w:shd w:val="clear" w:color="auto" w:fill="000080"/>
    </w:pPr>
    <w:rPr>
      <w:rFonts w:ascii="Times New Roman" w:hAnsi="Times New Roman" w:eastAsia="宋体" w:cs="Times New Roman"/>
      <w:szCs w:val="21"/>
    </w:rPr>
  </w:style>
  <w:style w:type="character" w:styleId="987">
    <w:name w:val="文档结构图 Char"/>
    <w:next w:val="987"/>
    <w:link w:val="986"/>
    <w:semiHidden/>
    <w:rPr>
      <w:rFonts w:ascii="Times New Roman" w:hAnsi="Times New Roman" w:eastAsia="宋体" w:cs="Times New Roman"/>
      <w:szCs w:val="21"/>
      <w:shd w:val="clear" w:color="auto" w:fill="000080"/>
    </w:rPr>
  </w:style>
  <w:style w:type="paragraph" w:styleId="988">
    <w:name w:val="批注文字"/>
    <w:basedOn w:val="961"/>
    <w:next w:val="988"/>
    <w:link w:val="989"/>
    <w:unhideWhenUsed/>
    <w:pPr>
      <w:jc w:val="left"/>
    </w:pPr>
  </w:style>
  <w:style w:type="character" w:styleId="989">
    <w:name w:val="批注文字 Char"/>
    <w:next w:val="989"/>
    <w:link w:val="988"/>
    <w:uiPriority w:val="99"/>
    <w:semiHidden/>
  </w:style>
  <w:style w:type="paragraph" w:styleId="990">
    <w:name w:val="正文文本 3"/>
    <w:basedOn w:val="961"/>
    <w:next w:val="990"/>
    <w:link w:val="991"/>
    <w:rPr>
      <w:rFonts w:ascii="仿宋_GB2312" w:hAnsi="Arial" w:eastAsia="仿宋_GB2312" w:cs="Times New Roman"/>
      <w:sz w:val="32"/>
      <w:szCs w:val="32"/>
    </w:rPr>
  </w:style>
  <w:style w:type="character" w:styleId="991">
    <w:name w:val="正文文本 3 Char"/>
    <w:next w:val="991"/>
    <w:link w:val="990"/>
    <w:rPr>
      <w:rFonts w:ascii="仿宋_GB2312" w:hAnsi="Arial" w:eastAsia="仿宋_GB2312" w:cs="Times New Roman"/>
      <w:sz w:val="32"/>
      <w:szCs w:val="32"/>
    </w:rPr>
  </w:style>
  <w:style w:type="paragraph" w:styleId="992">
    <w:name w:val="正文文本"/>
    <w:basedOn w:val="961"/>
    <w:next w:val="992"/>
    <w:link w:val="993"/>
    <w:rPr>
      <w:rFonts w:ascii="楷体_GB2312" w:hAnsi="Arial" w:eastAsia="楷体_GB2312" w:cs="Times New Roman"/>
      <w:sz w:val="28"/>
      <w:szCs w:val="28"/>
    </w:rPr>
  </w:style>
  <w:style w:type="character" w:styleId="993">
    <w:name w:val="正文文本 Char"/>
    <w:next w:val="993"/>
    <w:link w:val="992"/>
    <w:rPr>
      <w:rFonts w:ascii="楷体_GB2312" w:hAnsi="Arial" w:eastAsia="楷体_GB2312" w:cs="Times New Roman"/>
      <w:sz w:val="28"/>
      <w:szCs w:val="28"/>
    </w:rPr>
  </w:style>
  <w:style w:type="paragraph" w:styleId="994">
    <w:name w:val="正文文本缩进"/>
    <w:basedOn w:val="961"/>
    <w:next w:val="994"/>
    <w:link w:val="995"/>
    <w:unhideWhenUsed/>
    <w:pPr>
      <w:ind w:left="420"/>
      <w:spacing w:after="120"/>
    </w:pPr>
  </w:style>
  <w:style w:type="character" w:styleId="995">
    <w:name w:val="正文文本缩进 Char"/>
    <w:next w:val="995"/>
    <w:link w:val="994"/>
    <w:uiPriority w:val="99"/>
    <w:semiHidden/>
  </w:style>
  <w:style w:type="paragraph" w:styleId="996">
    <w:name w:val="列表 2"/>
    <w:basedOn w:val="961"/>
    <w:next w:val="996"/>
    <w:link w:val="961"/>
    <w:pPr>
      <w:ind w:left="100" w:hanging="200"/>
    </w:pPr>
    <w:rPr>
      <w:rFonts w:ascii="Times New Roman" w:hAnsi="Times New Roman" w:eastAsia="宋体" w:cs="Times New Roman"/>
      <w:szCs w:val="21"/>
    </w:rPr>
  </w:style>
  <w:style w:type="paragraph" w:styleId="997">
    <w:name w:val="目录 5"/>
    <w:basedOn w:val="961"/>
    <w:next w:val="961"/>
    <w:link w:val="961"/>
    <w:semiHidden/>
    <w:pPr>
      <w:ind w:left="840"/>
      <w:jc w:val="left"/>
    </w:pPr>
    <w:rPr>
      <w:rFonts w:ascii="Times New Roman" w:hAnsi="Times New Roman" w:eastAsia="宋体" w:cs="Times New Roman"/>
      <w:szCs w:val="21"/>
    </w:rPr>
  </w:style>
  <w:style w:type="paragraph" w:styleId="998">
    <w:name w:val="目录 3"/>
    <w:basedOn w:val="961"/>
    <w:next w:val="961"/>
    <w:link w:val="961"/>
    <w:semiHidden/>
    <w:pPr>
      <w:ind w:left="420"/>
      <w:jc w:val="left"/>
    </w:pPr>
    <w:rPr>
      <w:rFonts w:ascii="Times New Roman" w:hAnsi="Times New Roman" w:eastAsia="宋体" w:cs="Times New Roman"/>
      <w:i/>
      <w:iCs/>
      <w:szCs w:val="24"/>
    </w:rPr>
  </w:style>
  <w:style w:type="paragraph" w:styleId="999">
    <w:name w:val="纯文本"/>
    <w:basedOn w:val="961"/>
    <w:next w:val="999"/>
    <w:link w:val="1000"/>
    <w:qFormat/>
    <w:rPr>
      <w:rFonts w:ascii="宋体" w:hAnsi="Courier New" w:eastAsia="宋体" w:cs="Courier New"/>
      <w:szCs w:val="21"/>
    </w:rPr>
  </w:style>
  <w:style w:type="character" w:styleId="1000">
    <w:name w:val="纯文本 Char"/>
    <w:next w:val="1000"/>
    <w:link w:val="999"/>
    <w:rPr>
      <w:rFonts w:ascii="宋体" w:hAnsi="Courier New" w:eastAsia="宋体" w:cs="Courier New"/>
      <w:szCs w:val="21"/>
    </w:rPr>
  </w:style>
  <w:style w:type="paragraph" w:styleId="1001">
    <w:name w:val="目录 8"/>
    <w:basedOn w:val="961"/>
    <w:next w:val="961"/>
    <w:link w:val="961"/>
    <w:semiHidden/>
    <w:pPr>
      <w:ind w:left="1470"/>
      <w:jc w:val="left"/>
    </w:pPr>
    <w:rPr>
      <w:rFonts w:ascii="Times New Roman" w:hAnsi="Times New Roman" w:eastAsia="宋体" w:cs="Times New Roman"/>
      <w:szCs w:val="21"/>
    </w:rPr>
  </w:style>
  <w:style w:type="paragraph" w:styleId="1002">
    <w:name w:val="日期"/>
    <w:basedOn w:val="961"/>
    <w:next w:val="961"/>
    <w:link w:val="1003"/>
    <w:rPr>
      <w:rFonts w:ascii="Times New Roman" w:hAnsi="Times New Roman" w:eastAsia="宋体" w:cs="Times New Roman"/>
      <w:sz w:val="24"/>
      <w:szCs w:val="24"/>
    </w:rPr>
  </w:style>
  <w:style w:type="character" w:styleId="1003">
    <w:name w:val="日期 Char"/>
    <w:next w:val="1003"/>
    <w:link w:val="1002"/>
    <w:rPr>
      <w:rFonts w:ascii="Times New Roman" w:hAnsi="Times New Roman" w:eastAsia="宋体" w:cs="Times New Roman"/>
      <w:sz w:val="24"/>
      <w:szCs w:val="24"/>
    </w:rPr>
  </w:style>
  <w:style w:type="paragraph" w:styleId="1004">
    <w:name w:val="正文文本缩进 2"/>
    <w:basedOn w:val="961"/>
    <w:next w:val="1004"/>
    <w:link w:val="1005"/>
    <w:pPr>
      <w:ind w:left="630" w:firstLine="645"/>
    </w:pPr>
    <w:rPr>
      <w:rFonts w:ascii="Arial" w:hAnsi="Arial" w:eastAsia="仿宋_GB2312" w:cs="Arial"/>
      <w:sz w:val="32"/>
      <w:szCs w:val="32"/>
    </w:rPr>
  </w:style>
  <w:style w:type="character" w:styleId="1005">
    <w:name w:val="正文文本缩进 2 Char"/>
    <w:next w:val="1005"/>
    <w:link w:val="1004"/>
    <w:rPr>
      <w:rFonts w:ascii="Arial" w:hAnsi="Arial" w:eastAsia="仿宋_GB2312" w:cs="Arial"/>
      <w:sz w:val="32"/>
      <w:szCs w:val="32"/>
    </w:rPr>
  </w:style>
  <w:style w:type="paragraph" w:styleId="1006">
    <w:name w:val="批注框文本"/>
    <w:basedOn w:val="961"/>
    <w:next w:val="1006"/>
    <w:link w:val="1007"/>
    <w:semiHidden/>
    <w:rPr>
      <w:rFonts w:ascii="Times New Roman" w:hAnsi="Times New Roman" w:eastAsia="宋体" w:cs="Times New Roman"/>
      <w:sz w:val="18"/>
      <w:szCs w:val="18"/>
    </w:rPr>
  </w:style>
  <w:style w:type="character" w:styleId="1007">
    <w:name w:val="批注框文本 Char"/>
    <w:next w:val="1007"/>
    <w:link w:val="1006"/>
    <w:semiHidden/>
    <w:rPr>
      <w:rFonts w:ascii="Times New Roman" w:hAnsi="Times New Roman" w:eastAsia="宋体" w:cs="Times New Roman"/>
      <w:sz w:val="18"/>
      <w:szCs w:val="18"/>
    </w:rPr>
  </w:style>
  <w:style w:type="paragraph" w:styleId="1008">
    <w:name w:val="页脚"/>
    <w:basedOn w:val="961"/>
    <w:next w:val="1008"/>
    <w:link w:val="100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09">
    <w:name w:val="页脚 Char"/>
    <w:next w:val="1009"/>
    <w:link w:val="1008"/>
    <w:uiPriority w:val="99"/>
    <w:rPr>
      <w:rFonts w:ascii="Times New Roman" w:hAnsi="Times New Roman" w:eastAsia="宋体" w:cs="Times New Roman"/>
      <w:sz w:val="18"/>
      <w:szCs w:val="18"/>
    </w:rPr>
  </w:style>
  <w:style w:type="paragraph" w:styleId="1010">
    <w:name w:val="页眉"/>
    <w:basedOn w:val="961"/>
    <w:next w:val="1010"/>
    <w:link w:val="101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1">
    <w:name w:val="页眉 Char"/>
    <w:next w:val="1011"/>
    <w:link w:val="1010"/>
    <w:rPr>
      <w:rFonts w:ascii="Times New Roman" w:hAnsi="Times New Roman" w:eastAsia="宋体" w:cs="Times New Roman"/>
      <w:sz w:val="18"/>
      <w:szCs w:val="18"/>
    </w:rPr>
  </w:style>
  <w:style w:type="paragraph" w:styleId="1012">
    <w:name w:val="目录 1"/>
    <w:basedOn w:val="961"/>
    <w:next w:val="961"/>
    <w:link w:val="96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13">
    <w:name w:val="目录 4"/>
    <w:basedOn w:val="961"/>
    <w:next w:val="961"/>
    <w:link w:val="961"/>
    <w:semiHidden/>
    <w:pPr>
      <w:ind w:left="630"/>
      <w:jc w:val="left"/>
    </w:pPr>
    <w:rPr>
      <w:rFonts w:ascii="Times New Roman" w:hAnsi="Times New Roman" w:eastAsia="宋体" w:cs="Times New Roman"/>
      <w:szCs w:val="21"/>
    </w:rPr>
  </w:style>
  <w:style w:type="paragraph" w:styleId="1014">
    <w:name w:val="列表"/>
    <w:basedOn w:val="961"/>
    <w:next w:val="1014"/>
    <w:link w:val="961"/>
    <w:pPr>
      <w:ind w:left="200" w:hanging="200"/>
    </w:pPr>
    <w:rPr>
      <w:rFonts w:ascii="Times New Roman" w:hAnsi="Times New Roman" w:eastAsia="宋体" w:cs="Times New Roman"/>
      <w:szCs w:val="21"/>
    </w:rPr>
  </w:style>
  <w:style w:type="paragraph" w:styleId="1015">
    <w:name w:val="目录 6"/>
    <w:basedOn w:val="961"/>
    <w:next w:val="961"/>
    <w:link w:val="961"/>
    <w:semiHidden/>
    <w:pPr>
      <w:ind w:left="1050"/>
      <w:jc w:val="left"/>
    </w:pPr>
    <w:rPr>
      <w:rFonts w:ascii="Times New Roman" w:hAnsi="Times New Roman" w:eastAsia="宋体" w:cs="Times New Roman"/>
      <w:szCs w:val="21"/>
    </w:rPr>
  </w:style>
  <w:style w:type="paragraph" w:styleId="1016">
    <w:name w:val="正文文本缩进 3"/>
    <w:basedOn w:val="961"/>
    <w:next w:val="1016"/>
    <w:link w:val="1017"/>
    <w:pPr>
      <w:ind w:left="645" w:firstLine="645"/>
    </w:pPr>
    <w:rPr>
      <w:rFonts w:ascii="Arial" w:hAnsi="Arial" w:eastAsia="仿宋_GB2312" w:cs="Arial"/>
      <w:color w:val="ffff00"/>
      <w:sz w:val="32"/>
      <w:szCs w:val="32"/>
    </w:rPr>
  </w:style>
  <w:style w:type="character" w:styleId="1017">
    <w:name w:val="正文文本缩进 3 Char"/>
    <w:next w:val="1017"/>
    <w:link w:val="1016"/>
    <w:rPr>
      <w:rFonts w:ascii="Arial" w:hAnsi="Arial" w:eastAsia="仿宋_GB2312" w:cs="Arial"/>
      <w:color w:val="ffff00"/>
      <w:sz w:val="32"/>
      <w:szCs w:val="32"/>
    </w:rPr>
  </w:style>
  <w:style w:type="paragraph" w:styleId="1018">
    <w:name w:val="图表目录"/>
    <w:basedOn w:val="961"/>
    <w:next w:val="961"/>
    <w:link w:val="961"/>
    <w:semiHidden/>
    <w:pPr>
      <w:ind w:left="840" w:hanging="420"/>
    </w:pPr>
    <w:rPr>
      <w:rFonts w:ascii="Times New Roman" w:hAnsi="Times New Roman" w:eastAsia="宋体" w:cs="Times New Roman"/>
      <w:szCs w:val="21"/>
    </w:rPr>
  </w:style>
  <w:style w:type="paragraph" w:styleId="1019">
    <w:name w:val="目录 2"/>
    <w:basedOn w:val="961"/>
    <w:next w:val="961"/>
    <w:link w:val="961"/>
    <w:semiHidden/>
    <w:pPr>
      <w:ind w:left="210"/>
      <w:jc w:val="left"/>
    </w:pPr>
    <w:rPr>
      <w:rFonts w:ascii="Times New Roman" w:hAnsi="Times New Roman" w:eastAsia="宋体" w:cs="Times New Roman"/>
      <w:smallCaps/>
      <w:szCs w:val="24"/>
    </w:rPr>
  </w:style>
  <w:style w:type="paragraph" w:styleId="1020">
    <w:name w:val="目录 9"/>
    <w:basedOn w:val="961"/>
    <w:next w:val="961"/>
    <w:link w:val="961"/>
    <w:semiHidden/>
    <w:pPr>
      <w:ind w:left="1680"/>
      <w:jc w:val="left"/>
    </w:pPr>
    <w:rPr>
      <w:rFonts w:ascii="Times New Roman" w:hAnsi="Times New Roman" w:eastAsia="宋体" w:cs="Times New Roman"/>
      <w:szCs w:val="21"/>
    </w:rPr>
  </w:style>
  <w:style w:type="paragraph" w:styleId="1021">
    <w:name w:val="正文文本 2"/>
    <w:basedOn w:val="961"/>
    <w:next w:val="1021"/>
    <w:link w:val="1022"/>
    <w:pPr>
      <w:jc w:val="center"/>
      <w:widowControl/>
    </w:pPr>
    <w:rPr>
      <w:rFonts w:ascii="楷体_GB2312" w:hAnsi="Times New Roman" w:eastAsia="楷体_GB2312" w:cs="Times New Roman"/>
      <w:sz w:val="28"/>
      <w:szCs w:val="28"/>
    </w:rPr>
  </w:style>
  <w:style w:type="character" w:styleId="1022">
    <w:name w:val="正文文本 2 Char"/>
    <w:next w:val="1022"/>
    <w:link w:val="1021"/>
    <w:rPr>
      <w:rFonts w:ascii="楷体_GB2312" w:hAnsi="Times New Roman" w:eastAsia="楷体_GB2312" w:cs="Times New Roman"/>
      <w:sz w:val="28"/>
      <w:szCs w:val="28"/>
    </w:rPr>
  </w:style>
  <w:style w:type="paragraph" w:styleId="1023">
    <w:name w:val="普通(网站)"/>
    <w:basedOn w:val="961"/>
    <w:next w:val="1023"/>
    <w:link w:val="961"/>
    <w:uiPriority w:val="99"/>
    <w:pPr>
      <w:jc w:val="left"/>
      <w:spacing w:before="100" w:beforeAutospacing="1" w:after="100" w:afterAutospacing="1"/>
      <w:widowControl/>
    </w:pPr>
    <w:rPr>
      <w:rFonts w:ascii="宋体" w:hAnsi="宋体" w:eastAsia="宋体" w:cs="宋体"/>
      <w:sz w:val="24"/>
      <w:szCs w:val="24"/>
    </w:rPr>
  </w:style>
  <w:style w:type="paragraph" w:styleId="1024">
    <w:name w:val="索引 1"/>
    <w:basedOn w:val="961"/>
    <w:next w:val="961"/>
    <w:link w:val="961"/>
    <w:semiHidden/>
    <w:pPr>
      <w:spacing w:line="240" w:lineRule="atLeast"/>
    </w:pPr>
    <w:rPr>
      <w:rFonts w:ascii="Times New Roman" w:hAnsi="Times New Roman" w:eastAsia="宋体" w:cs="Times New Roman"/>
      <w:b/>
      <w:bCs/>
      <w:szCs w:val="21"/>
    </w:rPr>
  </w:style>
  <w:style w:type="paragraph" w:styleId="1025">
    <w:name w:val="批注主题"/>
    <w:basedOn w:val="988"/>
    <w:next w:val="988"/>
    <w:link w:val="1026"/>
    <w:semiHidden/>
    <w:rPr>
      <w:rFonts w:ascii="Times New Roman" w:hAnsi="Times New Roman" w:eastAsia="宋体" w:cs="Times New Roman"/>
      <w:b/>
      <w:bCs/>
      <w:szCs w:val="21"/>
    </w:rPr>
  </w:style>
  <w:style w:type="character" w:styleId="1026">
    <w:name w:val="批注主题 Char"/>
    <w:next w:val="1026"/>
    <w:link w:val="1025"/>
    <w:semiHidden/>
    <w:rPr>
      <w:rFonts w:ascii="Times New Roman" w:hAnsi="Times New Roman" w:eastAsia="宋体" w:cs="Times New Roman"/>
      <w:b/>
      <w:bCs/>
      <w:szCs w:val="21"/>
    </w:rPr>
  </w:style>
  <w:style w:type="paragraph" w:styleId="1027">
    <w:name w:val="正文首行缩进"/>
    <w:basedOn w:val="961"/>
    <w:next w:val="1027"/>
    <w:link w:val="1028"/>
    <w:pPr>
      <w:ind w:firstLine="200"/>
      <w:spacing w:line="360" w:lineRule="auto"/>
    </w:pPr>
    <w:rPr>
      <w:rFonts w:ascii="仿宋_GB2312" w:hAnsi="Times New Roman" w:eastAsia="仿宋_GB2312" w:cs="Times New Roman"/>
      <w:sz w:val="30"/>
      <w:szCs w:val="30"/>
    </w:rPr>
  </w:style>
  <w:style w:type="character" w:styleId="1028">
    <w:name w:val="正文首行缩进 Char"/>
    <w:next w:val="1028"/>
    <w:link w:val="1027"/>
    <w:rPr>
      <w:rFonts w:ascii="仿宋_GB2312" w:hAnsi="Times New Roman" w:eastAsia="仿宋_GB2312" w:cs="Times New Roman"/>
      <w:sz w:val="30"/>
      <w:szCs w:val="30"/>
    </w:rPr>
  </w:style>
  <w:style w:type="paragraph" w:styleId="1029">
    <w:name w:val="正文首行缩进 2"/>
    <w:basedOn w:val="994"/>
    <w:next w:val="1029"/>
    <w:link w:val="1030"/>
    <w:pPr>
      <w:ind w:left="0" w:firstLine="420"/>
      <w:spacing w:after="0" w:line="360" w:lineRule="auto"/>
    </w:pPr>
    <w:rPr>
      <w:rFonts w:ascii="宋体" w:hAnsi="宋体" w:eastAsia="宋体" w:cs="Times New Roman"/>
      <w:szCs w:val="20"/>
    </w:rPr>
  </w:style>
  <w:style w:type="character" w:styleId="1030">
    <w:name w:val="正文首行缩进 2 Char"/>
    <w:next w:val="1030"/>
    <w:link w:val="1029"/>
    <w:rPr>
      <w:rFonts w:ascii="宋体" w:hAnsi="宋体" w:eastAsia="宋体" w:cs="Times New Roman"/>
      <w:szCs w:val="20"/>
    </w:rPr>
  </w:style>
  <w:style w:type="table" w:styleId="1031">
    <w:name w:val="网格型"/>
    <w:basedOn w:val="972"/>
    <w:next w:val="1031"/>
    <w:link w:val="961"/>
    <w:pPr>
      <w:jc w:val="both"/>
      <w:widowControl w:val="off"/>
    </w:pPr>
    <w:rPr>
      <w:rFonts w:ascii="Times New Roman" w:hAnsi="Times New Roman" w:eastAsia="宋体" w:cs="Times New Roman"/>
      <w:sz w:val="20"/>
      <w:szCs w:val="20"/>
    </w:rPr>
    <w:tblPr/>
  </w:style>
  <w:style w:type="character" w:styleId="1032">
    <w:name w:val="要点"/>
    <w:basedOn w:val="971"/>
    <w:next w:val="1032"/>
    <w:link w:val="961"/>
    <w:qFormat/>
    <w:rPr>
      <w:b/>
      <w:bCs/>
    </w:rPr>
  </w:style>
  <w:style w:type="character" w:styleId="1033">
    <w:name w:val="页码"/>
    <w:next w:val="1033"/>
    <w:link w:val="961"/>
  </w:style>
  <w:style w:type="character" w:styleId="1034">
    <w:name w:val="已访问的超链接"/>
    <w:next w:val="1034"/>
    <w:link w:val="961"/>
    <w:rPr>
      <w:color w:val="800080"/>
      <w:u w:val="single"/>
    </w:rPr>
  </w:style>
  <w:style w:type="character" w:styleId="1035">
    <w:name w:val="强调"/>
    <w:basedOn w:val="971"/>
    <w:next w:val="1035"/>
    <w:link w:val="961"/>
    <w:qFormat/>
    <w:rPr>
      <w:i/>
    </w:rPr>
  </w:style>
  <w:style w:type="character" w:styleId="1036">
    <w:name w:val="超链接"/>
    <w:next w:val="1036"/>
    <w:link w:val="961"/>
    <w:rPr>
      <w:color w:val="0000ff"/>
      <w:u w:val="single"/>
    </w:rPr>
  </w:style>
  <w:style w:type="character" w:styleId="1037">
    <w:name w:val="批注引用"/>
    <w:next w:val="1037"/>
    <w:link w:val="961"/>
    <w:semiHidden/>
    <w:rPr>
      <w:sz w:val="21"/>
      <w:szCs w:val="21"/>
    </w:rPr>
  </w:style>
  <w:style w:type="character" w:styleId="1038">
    <w:name w:val="font5 Char"/>
    <w:next w:val="1038"/>
    <w:link w:val="961"/>
    <w:rPr>
      <w:rFonts w:ascii="宋体" w:hAnsi="宋体" w:eastAsia="宋体"/>
      <w:sz w:val="28"/>
      <w:szCs w:val="28"/>
      <w:lang w:val="en-US" w:eastAsia="zh-CN" w:bidi="ar-SA"/>
    </w:rPr>
  </w:style>
  <w:style w:type="character" w:styleId="1039">
    <w:name w:val="二级目录 Char"/>
    <w:next w:val="1039"/>
    <w:link w:val="1040"/>
    <w:rPr>
      <w:b/>
      <w:sz w:val="30"/>
      <w:szCs w:val="28"/>
    </w:rPr>
  </w:style>
  <w:style w:type="paragraph" w:styleId="1040">
    <w:name w:val="二级目录"/>
    <w:next w:val="961"/>
    <w:link w:val="1039"/>
    <w:pPr>
      <w:numPr>
        <w:ilvl w:val="0"/>
        <w:numId w:val="2"/>
      </w:numPr>
      <w:tabs>
        <w:tab w:val="left" w:pos="907" w:leader="none"/>
        <w:tab w:val="left" w:pos="1145" w:leader="none"/>
      </w:tabs>
      <w:outlineLvl w:val="1"/>
    </w:pPr>
    <w:rPr>
      <w:b/>
      <w:sz w:val="30"/>
      <w:szCs w:val="28"/>
      <w:lang w:val="en-US" w:eastAsia="zh-CN" w:bidi="ar-SA"/>
    </w:rPr>
  </w:style>
  <w:style w:type="character" w:styleId="1041">
    <w:name w:val="列出段落 Char,Bullet List Char,numbered Char,FooterText Char,List Paragraph1 Char,Paragraphe de liste1 Char"/>
    <w:next w:val="1041"/>
    <w:link w:val="1042"/>
    <w:rPr>
      <w:rFonts w:ascii="Calibri" w:hAnsi="Calibri"/>
      <w:sz w:val="24"/>
      <w:szCs w:val="24"/>
      <w:lang w:eastAsia="en-US" w:bidi="en-US"/>
    </w:rPr>
  </w:style>
  <w:style w:type="paragraph" w:styleId="1042">
    <w:name w:val="列出段落1"/>
    <w:basedOn w:val="961"/>
    <w:next w:val="1042"/>
    <w:link w:val="1041"/>
    <w:qFormat/>
    <w:pPr>
      <w:contextualSpacing/>
      <w:ind w:left="720"/>
      <w:jc w:val="left"/>
      <w:widowControl/>
    </w:pPr>
    <w:rPr>
      <w:rFonts w:ascii="Calibri" w:hAnsi="Calibri"/>
      <w:sz w:val="24"/>
      <w:szCs w:val="24"/>
      <w:lang w:eastAsia="en-US" w:bidi="en-US"/>
    </w:rPr>
  </w:style>
  <w:style w:type="paragraph" w:styleId="1043">
    <w:name w:val="Body Text(ch)"/>
    <w:basedOn w:val="961"/>
    <w:next w:val="992"/>
    <w:link w:val="961"/>
    <w:pPr>
      <w:spacing w:after="120"/>
    </w:pPr>
    <w:rPr>
      <w:rFonts w:ascii="宋体" w:hAnsi="Arial" w:eastAsia="宋体" w:cs="Times New Roman"/>
      <w:bCs/>
      <w:iCs/>
      <w:szCs w:val="24"/>
    </w:rPr>
  </w:style>
  <w:style w:type="paragraph" w:styleId="1044">
    <w:name w:val="xl27"/>
    <w:basedOn w:val="961"/>
    <w:next w:val="1044"/>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5">
    <w:name w:val="xl26"/>
    <w:basedOn w:val="961"/>
    <w:next w:val="1045"/>
    <w:link w:val="9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6">
    <w:name w:val="Char"/>
    <w:basedOn w:val="961"/>
    <w:next w:val="1046"/>
    <w:link w:val="961"/>
    <w:pPr>
      <w:ind w:firstLine="200"/>
      <w:tabs>
        <w:tab w:val="left" w:pos="360" w:leader="none"/>
      </w:tabs>
    </w:pPr>
    <w:rPr>
      <w:rFonts w:ascii="Times New Roman" w:hAnsi="Times New Roman" w:eastAsia="宋体" w:cs="Times New Roman"/>
      <w:sz w:val="28"/>
      <w:szCs w:val="30"/>
    </w:rPr>
  </w:style>
  <w:style w:type="paragraph" w:styleId="1047">
    <w:name w:val=" Char"/>
    <w:basedOn w:val="986"/>
    <w:next w:val="1047"/>
    <w:link w:val="961"/>
    <w:rPr>
      <w:rFonts w:ascii="Tahoma" w:hAnsi="Tahoma"/>
      <w:sz w:val="24"/>
      <w:szCs w:val="24"/>
    </w:rPr>
  </w:style>
  <w:style w:type="paragraph" w:styleId="1048">
    <w:name w:val="普通正文"/>
    <w:basedOn w:val="961"/>
    <w:next w:val="1048"/>
    <w:link w:val="961"/>
    <w:pPr>
      <w:ind w:firstLine="480"/>
      <w:jc w:val="left"/>
      <w:spacing w:before="120" w:after="120" w:line="360" w:lineRule="auto"/>
    </w:pPr>
    <w:rPr>
      <w:rFonts w:ascii="Arial" w:hAnsi="Arial" w:eastAsia="宋体" w:cs="Times New Roman"/>
      <w:sz w:val="24"/>
      <w:szCs w:val="24"/>
    </w:rPr>
  </w:style>
  <w:style w:type="paragraph" w:styleId="1049">
    <w:name w:val="table_lines"/>
    <w:basedOn w:val="961"/>
    <w:next w:val="1049"/>
    <w:link w:val="961"/>
    <w:pPr>
      <w:jc w:val="left"/>
      <w:widowControl/>
    </w:pPr>
    <w:rPr>
      <w:rFonts w:ascii="Times New Roman" w:hAnsi="Times New Roman" w:eastAsia="宋体" w:cs="Times New Roman"/>
      <w:sz w:val="20"/>
      <w:szCs w:val="20"/>
      <w:lang w:val="de-DE" w:eastAsia="de-DE"/>
    </w:rPr>
  </w:style>
  <w:style w:type="paragraph" w:styleId="1050">
    <w:name w:val="附录1"/>
    <w:next w:val="1050"/>
    <w:link w:val="96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1">
    <w:name w:val="font7"/>
    <w:basedOn w:val="961"/>
    <w:next w:val="1051"/>
    <w:link w:val="961"/>
    <w:pPr>
      <w:jc w:val="left"/>
      <w:spacing w:before="100" w:beforeAutospacing="1" w:after="100" w:afterAutospacing="1"/>
      <w:widowControl/>
    </w:pPr>
    <w:rPr>
      <w:rFonts w:hint="eastAsia" w:ascii="宋体" w:hAnsi="宋体" w:eastAsia="宋体" w:cs="Times New Roman"/>
      <w:sz w:val="18"/>
      <w:szCs w:val="18"/>
    </w:rPr>
  </w:style>
  <w:style w:type="paragraph" w:styleId="1052">
    <w:name w:val=" Char Char Char Char"/>
    <w:basedOn w:val="986"/>
    <w:next w:val="1052"/>
    <w:link w:val="961"/>
    <w:pPr>
      <w:spacing w:line="360" w:lineRule="auto"/>
    </w:pPr>
    <w:rPr>
      <w:rFonts w:ascii="Tahoma" w:hAnsi="Tahoma"/>
      <w:sz w:val="24"/>
      <w:szCs w:val="24"/>
    </w:rPr>
  </w:style>
  <w:style w:type="paragraph" w:styleId="1053">
    <w:name w:val="列出段落"/>
    <w:basedOn w:val="961"/>
    <w:next w:val="1053"/>
    <w:link w:val="961"/>
    <w:qFormat/>
    <w:pPr>
      <w:contextualSpacing/>
      <w:ind w:left="720"/>
      <w:jc w:val="left"/>
      <w:widowControl/>
    </w:pPr>
    <w:rPr>
      <w:rFonts w:ascii="Calibri" w:hAnsi="Calibri" w:eastAsia="宋体" w:cs="Times New Roman"/>
      <w:sz w:val="24"/>
      <w:szCs w:val="24"/>
      <w:lang w:eastAsia="en-US" w:bidi="en-US"/>
    </w:rPr>
  </w:style>
  <w:style w:type="paragraph" w:styleId="1054">
    <w:name w:val="4"/>
    <w:basedOn w:val="961"/>
    <w:next w:val="1016"/>
    <w:link w:val="961"/>
    <w:pPr>
      <w:ind w:firstLine="420"/>
      <w:spacing w:line="360" w:lineRule="auto"/>
    </w:pPr>
    <w:rPr>
      <w:rFonts w:ascii="Times New Roman" w:hAnsi="Times New Roman" w:eastAsia="宋体" w:cs="Times New Roman"/>
      <w:color w:val="ff0000"/>
      <w:sz w:val="24"/>
      <w:szCs w:val="24"/>
    </w:rPr>
  </w:style>
  <w:style w:type="paragraph" w:styleId="1055">
    <w:name w:val="普通 (Web)"/>
    <w:basedOn w:val="961"/>
    <w:next w:val="1055"/>
    <w:link w:val="961"/>
    <w:pPr>
      <w:jc w:val="left"/>
      <w:spacing w:before="100" w:beforeAutospacing="1" w:after="100" w:afterAutospacing="1"/>
      <w:widowControl/>
    </w:pPr>
    <w:rPr>
      <w:rFonts w:ascii="宋体" w:hAnsi="宋体" w:eastAsia="宋体" w:cs="Times New Roman"/>
      <w:sz w:val="24"/>
      <w:szCs w:val="24"/>
    </w:rPr>
  </w:style>
  <w:style w:type="paragraph" w:styleId="1056">
    <w:name w:val=" Char Char Char Char Char Char Char Char Char Char"/>
    <w:basedOn w:val="961"/>
    <w:next w:val="1056"/>
    <w:link w:val="961"/>
    <w:pPr>
      <w:spacing w:line="360" w:lineRule="auto"/>
    </w:pPr>
    <w:rPr>
      <w:rFonts w:ascii="Times New Roman" w:hAnsi="Times New Roman" w:eastAsia="宋体" w:cs="Times New Roman"/>
      <w:sz w:val="24"/>
      <w:szCs w:val="20"/>
    </w:rPr>
  </w:style>
  <w:style w:type="paragraph" w:styleId="1057">
    <w:name w:val="样式1"/>
    <w:basedOn w:val="961"/>
    <w:next w:val="1057"/>
    <w:link w:val="961"/>
    <w:pPr>
      <w:numPr>
        <w:ilvl w:val="0"/>
        <w:numId w:val="3"/>
      </w:numPr>
      <w:tabs>
        <w:tab w:val="left" w:pos="709" w:leader="none"/>
      </w:tabs>
    </w:pPr>
    <w:rPr>
      <w:rFonts w:ascii="宋体" w:hAnsi="宋体" w:eastAsia="宋体" w:cs="Times New Roman"/>
      <w:szCs w:val="21"/>
    </w:rPr>
  </w:style>
  <w:style w:type="paragraph" w:styleId="1058">
    <w:name w:val="font6"/>
    <w:basedOn w:val="961"/>
    <w:next w:val="1058"/>
    <w:link w:val="961"/>
    <w:pPr>
      <w:jc w:val="left"/>
      <w:spacing w:before="100" w:beforeAutospacing="1" w:after="100" w:afterAutospacing="1"/>
      <w:widowControl/>
    </w:pPr>
    <w:rPr>
      <w:rFonts w:hint="eastAsia" w:ascii="宋体" w:hAnsi="宋体" w:eastAsia="宋体" w:cs="Times New Roman"/>
      <w:sz w:val="28"/>
      <w:szCs w:val="28"/>
      <w:u w:val="single"/>
    </w:rPr>
  </w:style>
  <w:style w:type="paragraph" w:styleId="1059">
    <w:name w:val="xl25"/>
    <w:basedOn w:val="961"/>
    <w:next w:val="1059"/>
    <w:link w:val="96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name w:val="图标"/>
    <w:basedOn w:val="961"/>
    <w:next w:val="961"/>
    <w:link w:val="96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1">
    <w:name w:val="标题3"/>
    <w:basedOn w:val="961"/>
    <w:next w:val="961"/>
    <w:link w:val="961"/>
    <w:pPr>
      <w:ind w:firstLine="624"/>
      <w:spacing w:line="590" w:lineRule="atLeast"/>
    </w:pPr>
    <w:rPr>
      <w:rFonts w:ascii="方正黑体_GBK" w:hAnsi="Times New Roman" w:eastAsia="方正黑体_GBK" w:cs="Times New Roman"/>
      <w:sz w:val="32"/>
      <w:szCs w:val="32"/>
    </w:rPr>
  </w:style>
  <w:style w:type="paragraph" w:styleId="1062">
    <w:name w:val="xl24"/>
    <w:basedOn w:val="961"/>
    <w:next w:val="1062"/>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3">
    <w:name w:val="xl29"/>
    <w:basedOn w:val="961"/>
    <w:next w:val="1063"/>
    <w:link w:val="96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4">
    <w:name w:val="Char Char Char Char Char Char Char Char"/>
    <w:basedOn w:val="961"/>
    <w:next w:val="1064"/>
    <w:link w:val="961"/>
    <w:pPr>
      <w:jc w:val="left"/>
      <w:spacing w:after="160" w:line="240" w:lineRule="exact"/>
      <w:widowControl/>
    </w:pPr>
    <w:rPr>
      <w:rFonts w:ascii="Verdana" w:hAnsi="Verdana" w:eastAsia="宋体" w:cs="Times New Roman"/>
      <w:sz w:val="20"/>
      <w:szCs w:val="20"/>
      <w:lang w:eastAsia="en-US"/>
    </w:rPr>
  </w:style>
  <w:style w:type="paragraph" w:styleId="1065">
    <w:name w:val="xl28"/>
    <w:basedOn w:val="961"/>
    <w:next w:val="1065"/>
    <w:link w:val="9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6">
    <w:name w:val=" Char Char Char Char Char Char Char Char"/>
    <w:basedOn w:val="961"/>
    <w:next w:val="1066"/>
    <w:link w:val="961"/>
    <w:pPr>
      <w:jc w:val="left"/>
      <w:spacing w:after="160" w:line="240" w:lineRule="exact"/>
      <w:widowControl/>
    </w:pPr>
    <w:rPr>
      <w:rFonts w:ascii="Verdana" w:hAnsi="Verdana" w:eastAsia="宋体" w:cs="Times New Roman"/>
      <w:sz w:val="20"/>
      <w:szCs w:val="20"/>
      <w:lang w:eastAsia="en-US"/>
    </w:rPr>
  </w:style>
  <w:style w:type="paragraph" w:styleId="1067">
    <w:name w:val="xl30"/>
    <w:basedOn w:val="961"/>
    <w:next w:val="1067"/>
    <w:link w:val="961"/>
    <w:pPr>
      <w:jc w:val="center"/>
      <w:spacing w:before="100" w:beforeAutospacing="1" w:after="100" w:afterAutospacing="1"/>
      <w:widowControl/>
    </w:pPr>
    <w:rPr>
      <w:rFonts w:ascii="宋体" w:hAnsi="宋体" w:eastAsia="宋体" w:cs="Times New Roman"/>
      <w:b/>
      <w:bCs/>
      <w:sz w:val="36"/>
      <w:szCs w:val="36"/>
    </w:rPr>
  </w:style>
  <w:style w:type="paragraph" w:styleId="1068">
    <w:name w:val="Char Char Char Char"/>
    <w:basedOn w:val="986"/>
    <w:next w:val="1068"/>
    <w:link w:val="961"/>
    <w:pPr>
      <w:spacing w:line="360" w:lineRule="auto"/>
    </w:pPr>
    <w:rPr>
      <w:rFonts w:ascii="Tahoma" w:hAnsi="Tahoma"/>
      <w:sz w:val="24"/>
      <w:szCs w:val="24"/>
    </w:rPr>
  </w:style>
  <w:style w:type="paragraph" w:styleId="1069">
    <w:name w:val="table_1stline"/>
    <w:basedOn w:val="961"/>
    <w:next w:val="1069"/>
    <w:link w:val="961"/>
    <w:pPr>
      <w:jc w:val="left"/>
      <w:spacing w:before="120"/>
      <w:widowControl/>
    </w:pPr>
    <w:rPr>
      <w:rFonts w:ascii="Times New Roman" w:hAnsi="Times New Roman" w:eastAsia="宋体" w:cs="Times New Roman"/>
      <w:bCs/>
      <w:sz w:val="20"/>
      <w:szCs w:val="20"/>
      <w:lang w:val="de-DE" w:eastAsia="de-DE"/>
    </w:rPr>
  </w:style>
  <w:style w:type="paragraph" w:styleId="1070">
    <w:name w:val="font5"/>
    <w:basedOn w:val="961"/>
    <w:next w:val="1070"/>
    <w:link w:val="961"/>
    <w:pPr>
      <w:jc w:val="left"/>
      <w:spacing w:before="100" w:beforeAutospacing="1" w:after="100" w:afterAutospacing="1"/>
      <w:widowControl/>
    </w:pPr>
    <w:rPr>
      <w:rFonts w:hint="eastAsia" w:ascii="宋体" w:hAnsi="宋体" w:eastAsia="宋体" w:cs="Times New Roman"/>
      <w:sz w:val="28"/>
      <w:szCs w:val="28"/>
    </w:rPr>
  </w:style>
  <w:style w:type="paragraph" w:styleId="1071">
    <w:name w:val="标题1"/>
    <w:basedOn w:val="961"/>
    <w:next w:val="961"/>
    <w:link w:val="96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2">
    <w:name w:val="修订"/>
    <w:next w:val="1072"/>
    <w:link w:val="961"/>
    <w:uiPriority w:val="99"/>
    <w:semiHidden/>
    <w:rPr>
      <w:rFonts w:ascii="Times New Roman" w:hAnsi="Times New Roman"/>
      <w:sz w:val="21"/>
      <w:szCs w:val="21"/>
      <w:lang w:val="en-US" w:eastAsia="zh-CN" w:bidi="ar-SA"/>
    </w:rPr>
  </w:style>
  <w:style w:type="paragraph" w:styleId="1073">
    <w:name w:val="无间隔"/>
    <w:next w:val="1073"/>
    <w:link w:val="961"/>
    <w:uiPriority w:val="99"/>
    <w:qFormat/>
    <w:pPr>
      <w:jc w:val="both"/>
      <w:widowControl w:val="off"/>
    </w:pPr>
    <w:rPr>
      <w:rFonts w:ascii="Times New Roman" w:hAnsi="Times New Roman"/>
      <w:sz w:val="21"/>
      <w:szCs w:val="21"/>
      <w:lang w:val="en-US" w:eastAsia="zh-CN" w:bidi="ar-SA"/>
    </w:rPr>
  </w:style>
  <w:style w:type="paragraph" w:styleId="1074">
    <w:name w:val="AONormal"/>
    <w:next w:val="1074"/>
    <w:link w:val="961"/>
    <w:qFormat/>
    <w:pPr>
      <w:ind w:firstLine="440"/>
      <w:spacing w:line="400" w:lineRule="exact"/>
    </w:pPr>
    <w:rPr>
      <w:rFonts w:ascii="华文楷体" w:hAnsi="华文楷体" w:eastAsia="华文楷体" w:cs="华文楷体"/>
      <w:sz w:val="22"/>
      <w:szCs w:val="21"/>
      <w:lang w:val="en-US" w:eastAsia="zh-CN" w:bidi="ar-SA"/>
    </w:rPr>
  </w:style>
  <w:style w:type="paragraph" w:styleId="1075">
    <w:name w:val="Table Text"/>
    <w:basedOn w:val="961"/>
    <w:next w:val="1075"/>
    <w:link w:val="961"/>
    <w:semiHidden/>
    <w:qFormat/>
    <w:rPr>
      <w:rFonts w:ascii="华文细黑" w:hAnsi="华文细黑" w:eastAsia="华文细黑" w:cs="华文细黑"/>
      <w:sz w:val="16"/>
      <w:szCs w:val="16"/>
      <w:lang w:val="en-US" w:eastAsia="en-US" w:bidi="ar-SA"/>
    </w:rPr>
  </w:style>
  <w:style w:type="character" w:styleId="1076" w:default="1">
    <w:name w:val="Default Paragraph Font"/>
    <w:uiPriority w:val="1"/>
    <w:semiHidden/>
    <w:unhideWhenUsed/>
  </w:style>
  <w:style w:type="numbering" w:styleId="1077" w:default="1">
    <w:name w:val="No List"/>
    <w:uiPriority w:val="99"/>
    <w:semiHidden/>
    <w:unhideWhenUsed/>
  </w:style>
  <w:style w:type="table" w:styleId="10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8</cp:revision>
  <dcterms:created xsi:type="dcterms:W3CDTF">2023-03-16T02:13:00Z</dcterms:created>
  <dcterms:modified xsi:type="dcterms:W3CDTF">2026-09-20T00:45:24Z</dcterms:modified>
</cp:coreProperties>
</file>