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88"/>
        <w:ind w:firstLine="0"/>
        <w:jc w:val="center"/>
        <w:rPr>
          <w:rFonts w:hint="eastAsia" w:ascii="宋体" w:hAnsi="宋体" w:cs="宋体"/>
          <w:b/>
          <w:bCs/>
          <w:color w:val="auto"/>
          <w:sz w:val="84"/>
          <w:highlight w:val="none"/>
        </w:rPr>
      </w:pPr>
      <w:r>
        <w:rPr>
          <w:rFonts w:hint="eastAsia" w:ascii="宋体" w:hAnsi="宋体" w:cs="宋体"/>
          <w:b/>
          <w:bCs/>
          <w:color w:val="auto"/>
          <w:sz w:val="52"/>
          <w:szCs w:val="52"/>
          <w:highlight w:val="none"/>
        </w:rPr>
        <w:t xml:space="preserve">竞争性磋商文件</w:t>
      </w:r>
      <w:r/>
    </w:p>
    <w:p>
      <w:pPr>
        <w:pStyle w:val="988"/>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8"/>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88"/>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bCs/>
          <w:color w:val="auto"/>
          <w:sz w:val="32"/>
          <w:highlight w:val="none"/>
          <w:lang w:eastAsia="zh-CN"/>
        </w:rPr>
        <w:t xml:space="preserve">城中街道社区卫生服务中心中药饮片采购、代加工及配送服务</w:t>
      </w:r>
      <w:r/>
    </w:p>
    <w:p>
      <w:pPr>
        <w:pStyle w:val="988"/>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88"/>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JSZC-321202-JXJS-C2026-0008</w:t>
      </w:r>
      <w:r/>
    </w:p>
    <w:p>
      <w:pPr>
        <w:pStyle w:val="988"/>
        <w:jc w:val="center"/>
        <w:rPr>
          <w:rFonts w:hint="eastAsia" w:ascii="宋体" w:hAnsi="宋体" w:cs="宋体"/>
          <w:b/>
          <w:bCs/>
          <w:color w:val="auto"/>
          <w:sz w:val="32"/>
          <w:highlight w:val="none"/>
        </w:rPr>
      </w:pPr>
      <w:r>
        <w:rPr>
          <w:rFonts w:hint="eastAsia" w:ascii="宋体" w:hAnsi="宋体" w:cs="宋体"/>
          <w:b/>
          <w:bCs/>
          <w:color w:val="auto"/>
          <w:sz w:val="32"/>
          <w:highlight w:val="none"/>
        </w:rPr>
        <w:t xml:space="preserve">（全流程电子化不见面采购）</w:t>
      </w:r>
      <w:bookmarkStart w:id="142" w:name="_GoBack"/>
      <w:r/>
      <w:bookmarkEnd w:id="142"/>
      <w:r/>
      <w:r/>
    </w:p>
    <w:p>
      <w:pPr>
        <w:pStyle w:val="988"/>
        <w:ind w:firstLine="479"/>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88"/>
        <w:ind w:firstLine="0"/>
        <w:jc w:val="both"/>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88"/>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采购人：</w:t>
      </w:r>
      <w:r>
        <w:rPr>
          <w:rFonts w:hint="eastAsia" w:ascii="宋体" w:hAnsi="宋体" w:cs="宋体"/>
          <w:b/>
          <w:bCs/>
          <w:color w:val="auto"/>
          <w:sz w:val="32"/>
          <w:highlight w:val="none"/>
          <w:lang w:eastAsia="zh-CN"/>
        </w:rPr>
        <w:t xml:space="preserve">城中街道社区卫生服务中心</w:t>
      </w:r>
      <w:r/>
    </w:p>
    <w:p>
      <w:pPr>
        <w:pStyle w:val="988"/>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88"/>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代理机构：</w:t>
      </w:r>
      <w:r>
        <w:rPr>
          <w:rFonts w:hint="eastAsia" w:ascii="宋体" w:hAnsi="宋体" w:cs="宋体"/>
          <w:b/>
          <w:bCs/>
          <w:color w:val="auto"/>
          <w:sz w:val="32"/>
          <w:highlight w:val="none"/>
          <w:lang w:eastAsia="zh-CN"/>
        </w:rPr>
        <w:t xml:space="preserve">江苏捷星建设项目投资管理有限公司</w:t>
      </w:r>
      <w:r/>
    </w:p>
    <w:p>
      <w:pPr>
        <w:pStyle w:val="988"/>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88"/>
        <w:ind w:firstLine="0"/>
        <w:jc w:val="center"/>
        <w:rPr>
          <w:rFonts w:hint="eastAsia" w:ascii="宋体" w:hAnsi="宋体" w:cs="宋体"/>
          <w:b/>
          <w:bCs/>
          <w:color w:val="auto"/>
          <w:sz w:val="32"/>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82"/>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8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8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8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8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82"/>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64"/>
        <w:keepNext w:val="0"/>
        <w:rPr>
          <w:rFonts w:hint="eastAsia" w:ascii="宋体" w:hAnsi="宋体" w:eastAsia="宋体" w:cs="宋体"/>
          <w:color w:val="auto"/>
          <w:sz w:val="32"/>
          <w:szCs w:val="32"/>
          <w:highlight w:val="none"/>
        </w:rPr>
        <w:sectPr>
          <w:footerReference w:type="default" r:id="rId10"/>
          <w:footnotePr/>
          <w:endnotePr/>
          <w:type w:val="nextPage"/>
          <w:pgSz w:w="11906" w:h="16838" w:orient="portrait"/>
          <w:pgMar w:top="1440" w:right="1463" w:bottom="1440" w:left="1463" w:header="851" w:footer="992" w:gutter="0"/>
          <w:pgNumType w:start="1"/>
          <w:cols w:num="1" w:sep="0" w:space="720" w:equalWidth="1"/>
          <w:docGrid w:linePitch="360"/>
        </w:sectPr>
      </w:pPr>
      <w:r/>
      <w:bookmarkStart w:id="0" w:name="_Toc24405"/>
      <w:r/>
      <w:bookmarkStart w:id="1" w:name="_Toc32147"/>
      <w:r/>
      <w:r/>
    </w:p>
    <w:p>
      <w:pPr>
        <w:pStyle w:val="964"/>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2" w:name="二．报价方须知"/>
      <w:r/>
      <w:bookmarkEnd w:id="2"/>
      <w:r>
        <w:rPr>
          <w:rFonts w:hint="eastAsia" w:ascii="黑体" w:hAnsi="黑体" w:eastAsia="黑体" w:cs="黑体"/>
          <w:color w:val="auto"/>
          <w:sz w:val="32"/>
          <w:szCs w:val="32"/>
          <w:highlight w:val="none"/>
        </w:rPr>
        <w:t xml:space="preserve">采购公告</w:t>
      </w:r>
      <w:bookmarkEnd w:id="0"/>
      <w:r/>
      <w:bookmarkEnd w:id="1"/>
      <w:r/>
      <w:r/>
    </w:p>
    <w:p>
      <w:pPr>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3" w:name="_Toc35393629"/>
      <w:r/>
      <w:bookmarkStart w:id="4" w:name="_Toc35393798"/>
      <w:r/>
      <w:bookmarkStart w:id="5" w:name="_Toc28359012"/>
      <w:r/>
      <w:bookmarkStart w:id="6" w:name="_Toc28359089"/>
      <w:r>
        <w:rPr>
          <w:rFonts w:hint="eastAsia" w:ascii="宋体" w:hAnsi="宋体" w:cs="宋体"/>
          <w:b/>
          <w:bCs/>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lang w:eastAsia="zh-CN"/>
        </w:rPr>
        <w:t xml:space="preserve">城中街道社区卫生服务中心中药饮片采购、代加工及配送服务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lang w:val="en-US" w:eastAsia="zh-CN"/>
        </w:rPr>
        <w:t xml:space="preserve">应</w:t>
      </w:r>
      <w:r>
        <w:rPr>
          <w:rFonts w:hint="eastAsia" w:ascii="宋体" w:hAnsi="宋体" w:cs="宋体"/>
          <w:color w:val="auto"/>
          <w:szCs w:val="21"/>
          <w:highlight w:val="none"/>
        </w:rPr>
        <w:t xml:space="preserve">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26</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项目编号：</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JSZC-321202-JXJS-C2026-0008</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城中街道社区卫生服务中心中药饮片采购、代加工及配送服务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180</w:t>
      </w:r>
      <w:r>
        <w:rPr>
          <w:rFonts w:hint="eastAsia" w:ascii="宋体" w:hAnsi="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最高限价：最高折扣率100%（本项目涉及的折扣率=1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优惠率）注：本次投报的是优惠率，如折扣率为40%，则报价表中优惠率填写60%；如打四折，则报价表中优惠率一栏填写60%，以此为例</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zh-CN"/>
        </w:rPr>
        <w:t xml:space="preserve">具体详细内容见本磋商文件第四章项目需求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一年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7" w:name="_Toc28359090"/>
      <w:r/>
      <w:bookmarkStart w:id="8" w:name="_Toc35393630"/>
      <w:r/>
      <w:bookmarkStart w:id="9" w:name="_Toc35393799"/>
      <w:r/>
      <w:bookmarkStart w:id="10" w:name="_Toc28359013"/>
      <w:r>
        <w:rPr>
          <w:rFonts w:hint="eastAsia" w:ascii="宋体" w:hAnsi="宋体" w:cs="宋体"/>
          <w:b/>
          <w:color w:val="auto"/>
          <w:szCs w:val="21"/>
          <w:highlight w:val="none"/>
        </w:rPr>
        <w:t xml:space="preserve">二、申请人的资格要求</w:t>
      </w:r>
      <w:bookmarkEnd w:id="7"/>
      <w:r/>
      <w:bookmarkEnd w:id="8"/>
      <w:r/>
      <w:bookmarkEnd w:id="9"/>
      <w:r/>
      <w:bookmarkEnd w:id="10"/>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1" w:name="_Toc28359091"/>
      <w:r/>
      <w:bookmarkStart w:id="12" w:name="_Toc28359014"/>
      <w:r/>
      <w:bookmarkStart w:id="13" w:name="_Toc35393800"/>
      <w:r/>
      <w:bookmarkStart w:id="14" w:name="_Toc35393631"/>
      <w:r>
        <w:rPr>
          <w:rFonts w:hint="eastAsia" w:ascii="宋体" w:hAnsi="宋体" w:cs="宋体"/>
          <w:color w:val="auto"/>
          <w:szCs w:val="21"/>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本项目专门面向中小企业、监狱企业、残疾人福利性单位采购，供应商应为中小企业或监狱企业或残疾人福利性单位。</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（三）本项目的特定资格要求：投标人如为生产企业，需提供有效期内的《药品生产许可证》；投标人如为经营企业，需提供有效期内的《药品经营许可证》。</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Cs/>
          <w:color w:val="auto"/>
          <w:sz w:val="21"/>
          <w:szCs w:val="21"/>
          <w:highlight w:val="none"/>
          <w:lang w:val="en-US" w:eastAsia="zh-CN"/>
        </w:rPr>
        <w:t xml:space="preserve">除单一来源采购项目外，为采购项目提供整体设计、规范编制或者项目管理、监理、检测等服务的供应商，不得再参加该采购项目的其他采购活动；</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供应商单位负责人为同一人或者存在直接控股、管理关系的不同供应商，不得参加同一合同项下的采购活动。</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1"/>
      <w:r/>
      <w:bookmarkEnd w:id="12"/>
      <w:r/>
      <w:bookmarkEnd w:id="13"/>
      <w:r/>
      <w:bookmarkEnd w:id="14"/>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5" w:name="_Toc28359015"/>
      <w:r/>
      <w:bookmarkStart w:id="16" w:name="_Toc35393632"/>
      <w:r/>
      <w:bookmarkStart w:id="17" w:name="_Toc35393801"/>
      <w:r/>
      <w:bookmarkStart w:id="18" w:name="_Toc28359092"/>
      <w:r>
        <w:rPr>
          <w:rFonts w:ascii="宋体" w:hAnsi="宋体" w:eastAsia="宋体" w:cs="宋体"/>
          <w:color w:val="auto"/>
          <w:sz w:val="21"/>
          <w:highlight w:val="none"/>
        </w:rPr>
        <w:t xml:space="preserve">自磋商采购公告发布之日起5个工作日</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5"/>
      <w:r/>
      <w:bookmarkEnd w:id="16"/>
      <w:r/>
      <w:bookmarkEnd w:id="17"/>
      <w:r/>
      <w:bookmarkEnd w:id="18"/>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点</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19" w:name="OLE_LINK37"/>
      <w:r/>
      <w:bookmarkStart w:id="20" w:name="OLE_LINK38"/>
      <w:r>
        <w:rPr>
          <w:rFonts w:hint="eastAsia" w:ascii="宋体" w:hAnsi="宋体" w:cs="宋体"/>
          <w:color w:val="auto"/>
          <w:szCs w:val="21"/>
          <w:highlight w:val="none"/>
        </w:rPr>
        <w:t xml:space="preserve">http://jszfcg.jsczt.cn/</w:t>
      </w:r>
      <w:bookmarkEnd w:id="19"/>
      <w:r/>
      <w:bookmarkEnd w:id="20"/>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1" w:name="_Toc35393633"/>
      <w:r/>
      <w:bookmarkStart w:id="22" w:name="_Toc28359016"/>
      <w:r/>
      <w:bookmarkStart w:id="23" w:name="_Toc35393802"/>
      <w:r/>
      <w:bookmarkStart w:id="24" w:name="_Toc28359093"/>
      <w:r>
        <w:rPr>
          <w:rFonts w:hint="eastAsia" w:ascii="宋体" w:hAnsi="宋体" w:cs="宋体"/>
          <w:b/>
          <w:color w:val="auto"/>
          <w:szCs w:val="21"/>
          <w:highlight w:val="none"/>
        </w:rPr>
        <w:t xml:space="preserve">五、开启</w:t>
      </w:r>
      <w:bookmarkEnd w:id="21"/>
      <w:r/>
      <w:bookmarkEnd w:id="22"/>
      <w:r/>
      <w:bookmarkEnd w:id="23"/>
      <w:r/>
      <w:bookmarkEnd w:id="24"/>
      <w:r>
        <w:rPr>
          <w:rFonts w:hint="eastAsia" w:ascii="宋体" w:hAnsi="宋体" w:cs="宋体"/>
          <w:b/>
          <w:color w:val="auto"/>
          <w:szCs w:val="21"/>
          <w:highlight w:val="none"/>
        </w:rPr>
        <w:t xml:space="preserve">（开标时间）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点</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5" w:name="_Toc35393803"/>
      <w:r/>
      <w:bookmarkStart w:id="26" w:name="_Toc28359017"/>
      <w:r/>
      <w:bookmarkStart w:id="27" w:name="_Toc28359094"/>
      <w:r/>
      <w:bookmarkStart w:id="28" w:name="_Toc35393634"/>
      <w:r>
        <w:rPr>
          <w:rFonts w:hint="eastAsia" w:ascii="宋体" w:hAnsi="宋体" w:cs="宋体"/>
          <w:b/>
          <w:color w:val="auto"/>
          <w:szCs w:val="21"/>
          <w:highlight w:val="none"/>
        </w:rPr>
        <w:t xml:space="preserve">六、公告期限</w:t>
      </w:r>
      <w:bookmarkEnd w:id="25"/>
      <w:r/>
      <w:bookmarkEnd w:id="26"/>
      <w:r/>
      <w:bookmarkEnd w:id="27"/>
      <w:r/>
      <w:bookmarkEnd w:id="28"/>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9" w:name="_Toc35393804"/>
      <w:r/>
      <w:bookmarkStart w:id="30" w:name="_Toc35393635"/>
      <w:r>
        <w:rPr>
          <w:rFonts w:hint="eastAsia" w:ascii="宋体" w:hAnsi="宋体" w:cs="宋体"/>
          <w:b/>
          <w:color w:val="auto"/>
          <w:szCs w:val="21"/>
          <w:highlight w:val="none"/>
        </w:rPr>
        <w:t xml:space="preserve">七、其他补充事宜</w:t>
      </w:r>
      <w:bookmarkEnd w:id="29"/>
      <w:r/>
      <w:bookmarkEnd w:id="30"/>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2.本次招标的事项若存在变动或修改，敬请及时关注“江苏政府采购网”发布的更正公告。</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1" w:name="_Toc28359018"/>
      <w:r/>
      <w:bookmarkStart w:id="32" w:name="_Toc28359095"/>
      <w:r/>
      <w:bookmarkStart w:id="33" w:name="_Toc35393636"/>
      <w:r/>
      <w:bookmarkStart w:id="34" w:name="_Toc35393805"/>
      <w:r>
        <w:rPr>
          <w:rFonts w:hint="eastAsia" w:ascii="宋体" w:hAnsi="宋体" w:cs="宋体"/>
          <w:b/>
          <w:color w:val="auto"/>
          <w:szCs w:val="21"/>
          <w:highlight w:val="none"/>
        </w:rPr>
        <w:t xml:space="preserve">八、凡对本次采购提出询问，请按以下方式联系</w:t>
      </w:r>
      <w:bookmarkEnd w:id="31"/>
      <w:r/>
      <w:bookmarkEnd w:id="32"/>
      <w:r/>
      <w:bookmarkEnd w:id="33"/>
      <w:r/>
      <w:bookmarkEnd w:id="34"/>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城中街道社区卫生服务中心</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地址：泰州市海陵区五一路19号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李先生</w:t>
      </w:r>
      <w:r>
        <w:rPr>
          <w:rFonts w:hint="eastAsia" w:ascii="宋体" w:hAnsi="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18061046588</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2.代理机构：</w:t>
      </w:r>
      <w:r>
        <w:rPr>
          <w:rFonts w:hint="eastAsia" w:ascii="宋体" w:hAnsi="宋体" w:cs="宋体"/>
          <w:color w:val="auto"/>
          <w:szCs w:val="21"/>
          <w:highlight w:val="none"/>
          <w:lang w:eastAsia="zh-CN"/>
        </w:rPr>
        <w:t xml:space="preserve">江苏捷星建设项目投资管理有限公司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地址：泰州市</w:t>
      </w:r>
      <w:r>
        <w:rPr>
          <w:rFonts w:hint="eastAsia" w:ascii="宋体" w:hAnsi="宋体" w:eastAsia="宋体" w:cs="宋体"/>
          <w:color w:val="auto"/>
          <w:szCs w:val="21"/>
          <w:highlight w:val="none"/>
          <w:lang w:val="en-US" w:eastAsia="zh-CN"/>
        </w:rPr>
        <w:t xml:space="preserve">春风路108号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吴</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5" w:name="_Toc28359021"/>
      <w:r/>
      <w:bookmarkStart w:id="36" w:name="_Toc28359098"/>
      <w:r/>
      <w:bookmarkStart w:id="37" w:name="_Toc35393808"/>
      <w:r/>
      <w:bookmarkStart w:id="38" w:name="_Toc35393639"/>
      <w:r>
        <w:rPr>
          <w:rFonts w:hint="eastAsia" w:ascii="宋体" w:hAnsi="宋体" w:cs="宋体"/>
          <w:color w:val="auto"/>
          <w:szCs w:val="21"/>
          <w:highlight w:val="none"/>
          <w:lang w:val="en-US" w:eastAsia="zh-CN"/>
        </w:rPr>
        <w:t xml:space="preserve">15896019949</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5"/>
      <w:r/>
      <w:bookmarkEnd w:id="36"/>
      <w:r/>
      <w:bookmarkEnd w:id="37"/>
      <w:r/>
      <w:bookmarkEnd w:id="38"/>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吴</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val="en-US" w:eastAsia="zh-CN"/>
        </w:rPr>
        <w:t xml:space="preserve">15896019949</w:t>
      </w:r>
      <w:r/>
    </w:p>
    <w:p>
      <w:pPr>
        <w:pStyle w:val="96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39" w:name="_Toc11632"/>
      <w:r/>
      <w:bookmarkStart w:id="40" w:name="_Toc13715"/>
      <w:r>
        <w:rPr>
          <w:rFonts w:hint="eastAsia" w:ascii="黑体" w:hAnsi="黑体" w:eastAsia="黑体" w:cs="黑体"/>
          <w:color w:val="auto"/>
          <w:sz w:val="32"/>
          <w:szCs w:val="32"/>
          <w:highlight w:val="none"/>
        </w:rPr>
        <w:t xml:space="preserve">第二章 参加磋商供应商须知</w:t>
      </w:r>
      <w:bookmarkEnd w:id="39"/>
      <w:r/>
      <w:bookmarkEnd w:id="40"/>
      <w:r/>
      <w:r/>
    </w:p>
    <w:p>
      <w:pPr>
        <w:jc w:val="cente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（参加竞争性磋商的供应商以下简称“供应商”）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仅适用于</w:t>
      </w:r>
      <w:r>
        <w:rPr>
          <w:rFonts w:hint="eastAsia" w:ascii="宋体" w:hAnsi="宋体" w:cs="宋体"/>
          <w:color w:val="auto"/>
          <w:szCs w:val="21"/>
          <w:highlight w:val="none"/>
          <w:lang w:eastAsia="zh-CN"/>
        </w:rPr>
        <w:t xml:space="preserve">城中街道社区卫生服务中心中药饮片采购、代加工及配送服务</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3.合格的</w:t>
      </w:r>
      <w:r>
        <w:rPr>
          <w:rFonts w:hint="eastAsia" w:ascii="宋体" w:hAnsi="宋体" w:cs="宋体"/>
          <w:color w:val="auto"/>
          <w:highlight w:val="none"/>
          <w:lang w:eastAsia="zh-CN"/>
        </w:rPr>
        <w:t xml:space="preserve">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“竞争性磋商采购公告”中申请人的资格要求的规定。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实质性要求和条件的规定。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4.1参加磋商供应商应自行承担所有与参加磋商有关的费用。不论最终的成交结果如何，</w:t>
      </w:r>
      <w:r>
        <w:rPr>
          <w:rFonts w:hint="eastAsia" w:ascii="宋体" w:hAnsi="宋体" w:cs="宋体"/>
          <w:color w:val="auto"/>
          <w:highlight w:val="none"/>
          <w:lang w:val="en-US" w:eastAsia="zh-CN"/>
        </w:rPr>
        <w:t xml:space="preserve">采购人和</w:t>
      </w:r>
      <w:r>
        <w:rPr>
          <w:rFonts w:hint="eastAsia" w:ascii="宋体" w:hAnsi="宋体" w:cs="宋体"/>
          <w:color w:val="auto"/>
          <w:highlight w:val="none"/>
        </w:rPr>
        <w:t xml:space="preserve">代理机构在任何情况下均无义务和责任承担这些费用。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供应商一旦领取了本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并决定参加磋商，即被视为接受了本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的规定和约束，并且视为自竞争性磋商公告期限届满之日起已经知道或应当知道自身权益是否受到了损害。</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bookmarkStart w:id="41" w:name="_Toc20823283"/>
      <w:r/>
      <w:bookmarkStart w:id="42" w:name="_Toc16938527"/>
      <w:r/>
      <w:bookmarkStart w:id="43" w:name="_Toc513029211"/>
      <w:r/>
      <w:bookmarkStart w:id="44" w:name="_Toc462564070"/>
      <w:r>
        <w:rPr>
          <w:rFonts w:hint="eastAsia" w:ascii="宋体" w:hAnsi="宋体" w:cs="宋体"/>
          <w:color w:val="auto"/>
          <w:highlight w:val="none"/>
        </w:rPr>
        <w:t xml:space="preserve">.</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的澄清</w:t>
      </w:r>
      <w:bookmarkEnd w:id="41"/>
      <w:r/>
      <w:bookmarkEnd w:id="42"/>
      <w:r/>
      <w:bookmarkEnd w:id="43"/>
      <w:r/>
      <w:bookmarkEnd w:id="44"/>
      <w:r>
        <w:rPr>
          <w:rFonts w:hint="eastAsia" w:ascii="宋体" w:hAnsi="宋体" w:cs="宋体"/>
          <w:color w:val="auto"/>
          <w:highlight w:val="none"/>
        </w:rPr>
        <w:t xml:space="preserve">及修改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6.1任何要求对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进行必要的澄清或者修改，澄清或者修改的内容作为</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的供应商。不足5日的，代理机构顺延提交首次响应文件截止时间。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45" w:name="_Toc462564072"/>
      <w:r/>
      <w:bookmarkStart w:id="46" w:name="_Toc14577351"/>
      <w:r/>
      <w:bookmarkStart w:id="47" w:name="_Toc61149553"/>
      <w:r/>
      <w:bookmarkStart w:id="48" w:name="_Toc513029213"/>
      <w:r>
        <w:rPr>
          <w:rFonts w:hint="eastAsia" w:ascii="宋体" w:hAnsi="宋体" w:cs="宋体"/>
          <w:b/>
          <w:bCs/>
          <w:color w:val="auto"/>
          <w:highlight w:val="none"/>
        </w:rPr>
        <w:t xml:space="preserve">二、磋商响应文件的编制</w:t>
      </w:r>
      <w:bookmarkEnd w:id="45"/>
      <w:r/>
      <w:bookmarkEnd w:id="46"/>
      <w:r/>
      <w:bookmarkEnd w:id="47"/>
      <w:r/>
      <w:bookmarkEnd w:id="48"/>
      <w:r>
        <w:rPr>
          <w:rFonts w:hint="eastAsia" w:ascii="宋体" w:hAnsi="宋体" w:cs="宋体"/>
          <w:b/>
          <w:bCs/>
          <w:color w:val="auto"/>
          <w:highlight w:val="none"/>
        </w:rPr>
        <w:t xml:space="preserve">及保证金收取</w:t>
      </w:r>
      <w:r/>
    </w:p>
    <w:p>
      <w:pPr>
        <w:ind w:firstLine="420"/>
        <w:keepLines w:val="0"/>
        <w:keepNext w:val="0"/>
        <w:pageBreakBefore w:val="0"/>
        <w:spacing w:line="360" w:lineRule="auto"/>
        <w:widowControl w:val="off"/>
        <w:rPr>
          <w:rFonts w:hint="eastAsia" w:ascii="宋体" w:hAnsi="宋体" w:cs="宋体"/>
          <w:color w:val="auto"/>
          <w:highlight w:val="none"/>
        </w:rPr>
      </w:pPr>
      <w:r/>
      <w:bookmarkStart w:id="49" w:name="_Hlt26954834"/>
      <w:r/>
      <w:bookmarkEnd w:id="49"/>
      <w:r/>
      <w:bookmarkStart w:id="50" w:name="_Toc14577353"/>
      <w:r/>
      <w:bookmarkStart w:id="51" w:name="_Toc513029215"/>
      <w:r/>
      <w:bookmarkStart w:id="52" w:name="_Toc61149555"/>
      <w:r/>
      <w:bookmarkStart w:id="53" w:name="_Toc462564074"/>
      <w:r/>
      <w:bookmarkStart w:id="54" w:name="_Toc462564073"/>
      <w:r/>
      <w:bookmarkStart w:id="55" w:name="_Toc14577352"/>
      <w:r/>
      <w:bookmarkStart w:id="56" w:name="_Toc61149554"/>
      <w:r/>
      <w:bookmarkStart w:id="57" w:name="_Toc513029214"/>
      <w:r>
        <w:rPr>
          <w:rFonts w:hint="eastAsia" w:ascii="宋体" w:hAnsi="宋体" w:cs="宋体"/>
          <w:color w:val="auto"/>
          <w:highlight w:val="none"/>
        </w:rPr>
        <w:t xml:space="preserve">1.响应文件</w:t>
      </w:r>
      <w:bookmarkEnd w:id="50"/>
      <w:r/>
      <w:bookmarkEnd w:id="51"/>
      <w:r/>
      <w:bookmarkEnd w:id="52"/>
      <w:r/>
      <w:bookmarkEnd w:id="53"/>
      <w:r>
        <w:rPr>
          <w:rFonts w:hint="eastAsia" w:ascii="宋体" w:hAnsi="宋体" w:cs="宋体"/>
          <w:color w:val="auto"/>
          <w:highlight w:val="none"/>
        </w:rPr>
        <w:t xml:space="preserve">编制要求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1.1供应商提交的响应文件以及其与代理机构及采购人就有关磋商的所有来往函电均应使用简体中文。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中既有中文也有外文的，以中文意义为准。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4"/>
      <w:r/>
      <w:bookmarkEnd w:id="55"/>
      <w:r/>
      <w:bookmarkEnd w:id="56"/>
      <w:r/>
      <w:bookmarkEnd w:id="57"/>
      <w:r/>
      <w:r/>
    </w:p>
    <w:p>
      <w:pPr>
        <w:ind w:firstLine="420"/>
        <w:keepLines w:val="0"/>
        <w:keepNext w:val="0"/>
        <w:pageBreakBefore w:val="0"/>
        <w:spacing w:line="360" w:lineRule="auto"/>
        <w:widowControl w:val="off"/>
        <w:rPr>
          <w:rFonts w:hint="eastAsia" w:ascii="宋体" w:hAnsi="宋体" w:cs="宋体"/>
          <w:color w:val="auto"/>
          <w:highlight w:val="none"/>
        </w:rPr>
      </w:pPr>
      <w:r/>
      <w:bookmarkStart w:id="58" w:name="_Hlt26670357"/>
      <w:r/>
      <w:bookmarkEnd w:id="58"/>
      <w:r/>
      <w:bookmarkStart w:id="59" w:name="_Hlt26954836"/>
      <w:r/>
      <w:bookmarkEnd w:id="59"/>
      <w:r/>
      <w:bookmarkStart w:id="60" w:name="_Toc513029219"/>
      <w:r/>
      <w:bookmarkStart w:id="61" w:name="_Toc61149558"/>
      <w:r/>
      <w:bookmarkStart w:id="62" w:name="_Toc14577357"/>
      <w:r/>
      <w:bookmarkStart w:id="63" w:name="_Toc14577355"/>
      <w:r/>
      <w:bookmarkStart w:id="64" w:name="_Toc513029217"/>
      <w:r/>
      <w:bookmarkStart w:id="65" w:name="_Toc61149557"/>
      <w:r>
        <w:rPr>
          <w:rFonts w:hint="eastAsia" w:ascii="宋体" w:hAnsi="宋体" w:cs="宋体"/>
          <w:color w:val="auto"/>
          <w:highlight w:val="none"/>
        </w:rPr>
        <w:t xml:space="preserve">1.3响应文件构成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供应商应认真阅读和理解</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的要求编制响应文件；响应文件应对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作实质性响应，并保证所提供资料的真实性。</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编写的响应文件应包括下列部分：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w:t>
      </w:r>
      <w:r>
        <w:rPr>
          <w:rFonts w:hint="eastAsia" w:ascii="宋体" w:hAnsi="宋体" w:cs="宋体"/>
          <w:color w:val="auto"/>
          <w:highlight w:val="none"/>
          <w:lang w:val="en-US" w:eastAsia="zh-CN"/>
        </w:rPr>
        <w:t xml:space="preserve">身份证明</w:t>
      </w:r>
      <w:r>
        <w:rPr>
          <w:rFonts w:hint="eastAsia" w:ascii="宋体" w:hAnsi="宋体" w:cs="宋体"/>
          <w:color w:val="auto"/>
          <w:highlight w:val="none"/>
        </w:rPr>
        <w:t xml:space="preserve">书</w:t>
      </w:r>
      <w:bookmarkStart w:id="66" w:name="OLE_LINK57"/>
      <w:r/>
      <w:bookmarkStart w:id="67" w:name="OLE_LINK56"/>
      <w:r>
        <w:rPr>
          <w:rFonts w:hint="eastAsia" w:ascii="宋体" w:hAnsi="宋体" w:cs="宋体"/>
          <w:b/>
          <w:color w:val="auto"/>
          <w:highlight w:val="none"/>
        </w:rPr>
        <w:t xml:space="preserve">（格式见附件）</w:t>
      </w:r>
      <w:bookmarkEnd w:id="66"/>
      <w:r/>
      <w:bookmarkEnd w:id="67"/>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（5）★供应商近六个月中任意一个月份</w:t>
      </w:r>
      <w:r>
        <w:rPr>
          <w:rFonts w:hint="eastAsia" w:ascii="宋体" w:hAnsi="宋体" w:cs="宋体"/>
          <w:color w:val="auto"/>
          <w:szCs w:val="21"/>
          <w:highlight w:val="none"/>
        </w:rPr>
        <w:t xml:space="preserve">（不含投标当月）</w:t>
      </w:r>
      <w:r>
        <w:rPr>
          <w:rFonts w:hint="eastAsia" w:ascii="宋体" w:hAnsi="宋体" w:cs="宋体"/>
          <w:color w:val="auto"/>
          <w:highlight w:val="none"/>
        </w:rPr>
        <w:t xml:space="preserve">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（6）★供应商近六个月中任意一个月份</w:t>
      </w:r>
      <w:r>
        <w:rPr>
          <w:rFonts w:hint="eastAsia" w:ascii="宋体" w:hAnsi="宋体" w:cs="宋体"/>
          <w:color w:val="auto"/>
          <w:szCs w:val="21"/>
          <w:highlight w:val="none"/>
        </w:rPr>
        <w:t xml:space="preserve">（不含投标当月）</w:t>
      </w:r>
      <w:r>
        <w:rPr>
          <w:rFonts w:hint="eastAsia" w:ascii="宋体" w:hAnsi="宋体" w:cs="宋体"/>
          <w:color w:val="auto"/>
          <w:highlight w:val="none"/>
        </w:rPr>
        <w:t xml:space="preserve">的依法缴纳税收的相关材料（提供相关主管部门证明或银行代扣证明）复印件（依法免税的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，应提供其依法免税的证明材料）；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（7）★供应商近六个月中任意一个月份</w:t>
      </w:r>
      <w:r>
        <w:rPr>
          <w:rFonts w:hint="eastAsia" w:ascii="宋体" w:hAnsi="宋体" w:cs="宋体"/>
          <w:color w:val="auto"/>
          <w:szCs w:val="21"/>
          <w:highlight w:val="none"/>
        </w:rPr>
        <w:t xml:space="preserve">（不含投标当月）</w:t>
      </w:r>
      <w:r>
        <w:rPr>
          <w:rFonts w:hint="eastAsia" w:ascii="宋体" w:hAnsi="宋体" w:cs="宋体"/>
          <w:color w:val="auto"/>
          <w:highlight w:val="none"/>
        </w:rPr>
        <w:t xml:space="preserve">的依法缴纳社会保障资金的相关材料（提供相关主管部门证明或银行代扣证明）；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应提供《关于符合本国产品标准的声明函》</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）根据项目需求和评审方法以及评审标准，供应商为使自身处于有利评审地位，应当提交的其他文件和证明资料；</w:t>
      </w:r>
      <w:bookmarkEnd w:id="60"/>
      <w:r/>
      <w:bookmarkEnd w:id="61"/>
      <w:r/>
      <w:bookmarkEnd w:id="62"/>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不一致，请以“</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68" w:name="_Hlt26668999"/>
      <w:r/>
      <w:bookmarkEnd w:id="68"/>
      <w:r>
        <w:rPr>
          <w:rFonts w:hint="eastAsia" w:ascii="宋体" w:hAnsi="宋体" w:cs="宋体"/>
          <w:color w:val="auto"/>
          <w:highlight w:val="none"/>
        </w:rPr>
        <w:t xml:space="preserve">2.磋商响应报价</w:t>
      </w:r>
      <w:bookmarkEnd w:id="63"/>
      <w:r/>
      <w:bookmarkEnd w:id="64"/>
      <w:r/>
      <w:bookmarkStart w:id="69" w:name="_Hlt26670373"/>
      <w:r/>
      <w:bookmarkEnd w:id="69"/>
      <w:r>
        <w:rPr>
          <w:rFonts w:hint="eastAsia" w:ascii="宋体" w:hAnsi="宋体" w:cs="宋体"/>
          <w:color w:val="auto"/>
          <w:highlight w:val="none"/>
        </w:rPr>
        <w:t xml:space="preserve">表</w:t>
      </w:r>
      <w:bookmarkEnd w:id="65"/>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规定格式填报磋商响应报价表。每项产品或服务只允许有一个报价，任何有选择的报价将不予接受，</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2.3.1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的总报价应包括为完成本项目发生的所有费用，本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中另有规定的除外。</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2.3.</w:t>
      </w:r>
      <w:r>
        <w:rPr>
          <w:rFonts w:hint="eastAsia" w:ascii="宋体" w:hAnsi="宋体" w:cs="宋体"/>
          <w:color w:val="auto"/>
          <w:highlight w:val="none"/>
          <w:u w:val="single"/>
          <w:lang w:val="en-US" w:eastAsia="zh-CN"/>
        </w:rPr>
        <w:t xml:space="preserve">因采购人财政预算统筹安排需要，本项目代理服务费由中标成交供应商支付，招标代理服务费按江苏省政府采购协会《江苏省政府采购代理服务收费指导意见》(苏政采协(2024)20号)文件打七折收取（（差额累进），上述费用须在领取中标通知书前以电汇等付款方式一次性支付给招标代理单位，请各供应商将其费用充分考虑在本次投标报价中。</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2.3.3</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未列明，而</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认为必需的费用也须列入报价。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2.4报价采用的货币及方式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 响应报价表上的价格应按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报价超过最高限价的，作为无效标处理。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0" w:name="_Hlt26668983"/>
      <w:r/>
      <w:bookmarkEnd w:id="70"/>
      <w:r/>
      <w:bookmarkStart w:id="71" w:name="_Hlt26954848"/>
      <w:r/>
      <w:bookmarkEnd w:id="71"/>
      <w:r/>
      <w:bookmarkStart w:id="72" w:name="_Hlt26670489"/>
      <w:r/>
      <w:bookmarkEnd w:id="72"/>
      <w:r/>
      <w:bookmarkStart w:id="73" w:name="_Hlt26670403"/>
      <w:r/>
      <w:bookmarkEnd w:id="73"/>
      <w:r/>
      <w:bookmarkStart w:id="74" w:name="_Hlt26954854"/>
      <w:r/>
      <w:bookmarkEnd w:id="74"/>
      <w:r/>
      <w:bookmarkStart w:id="75" w:name="_Hlt26670486"/>
      <w:r/>
      <w:bookmarkEnd w:id="75"/>
      <w:r/>
      <w:bookmarkStart w:id="76" w:name="_Hlt26954731"/>
      <w:r/>
      <w:bookmarkEnd w:id="76"/>
      <w:r/>
      <w:bookmarkStart w:id="77" w:name="_Hlt26670482"/>
      <w:r/>
      <w:bookmarkEnd w:id="77"/>
      <w:r/>
      <w:bookmarkStart w:id="78" w:name="_Hlt26670493"/>
      <w:r/>
      <w:bookmarkEnd w:id="78"/>
      <w:r/>
      <w:bookmarkStart w:id="79" w:name="_Hlt26954850"/>
      <w:r/>
      <w:bookmarkEnd w:id="79"/>
      <w:r/>
      <w:bookmarkStart w:id="80" w:name="_Hlt26954852"/>
      <w:r/>
      <w:bookmarkEnd w:id="80"/>
      <w:r/>
      <w:bookmarkStart w:id="81" w:name="_Hlt26954844"/>
      <w:r/>
      <w:bookmarkEnd w:id="81"/>
      <w:r/>
      <w:bookmarkStart w:id="82" w:name="_Hlt26954739"/>
      <w:r/>
      <w:bookmarkEnd w:id="82"/>
      <w:r/>
      <w:bookmarkStart w:id="83" w:name="_Hlt26954749"/>
      <w:r/>
      <w:bookmarkEnd w:id="83"/>
      <w:r/>
      <w:bookmarkStart w:id="84" w:name="_Hlt26954734"/>
      <w:r/>
      <w:bookmarkEnd w:id="84"/>
      <w:r/>
      <w:bookmarkStart w:id="85" w:name="_Hlt26670425"/>
      <w:r/>
      <w:bookmarkEnd w:id="85"/>
      <w:r/>
      <w:bookmarkStart w:id="86" w:name="_Hlt26954846"/>
      <w:r/>
      <w:bookmarkEnd w:id="86"/>
      <w:r/>
      <w:bookmarkStart w:id="87" w:name="_Hlt26954842"/>
      <w:r/>
      <w:bookmarkEnd w:id="87"/>
      <w:r/>
      <w:bookmarkStart w:id="88" w:name="_Toc14577362"/>
      <w:r/>
      <w:bookmarkStart w:id="89" w:name="_Toc61149562"/>
      <w:r/>
      <w:bookmarkStart w:id="90" w:name="_Toc513029224"/>
      <w:r>
        <w:rPr>
          <w:rFonts w:hint="eastAsia" w:ascii="宋体" w:hAnsi="宋体" w:cs="宋体"/>
          <w:color w:val="auto"/>
          <w:highlight w:val="none"/>
        </w:rPr>
        <w:t xml:space="preserve">3.磋商保证金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中有关磋商保证金的条款均取消。</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88"/>
      <w:r/>
      <w:bookmarkEnd w:id="89"/>
      <w:r/>
      <w:bookmarkEnd w:id="90"/>
      <w:r/>
      <w:r/>
    </w:p>
    <w:p>
      <w:pPr>
        <w:ind w:firstLine="420"/>
        <w:keepLines w:val="0"/>
        <w:keepNext w:val="0"/>
        <w:pageBreakBefore w:val="0"/>
        <w:spacing w:line="360" w:lineRule="auto"/>
        <w:widowControl w:val="off"/>
        <w:rPr>
          <w:rFonts w:hint="eastAsia" w:ascii="宋体" w:hAnsi="宋体" w:cs="宋体"/>
          <w:color w:val="auto"/>
          <w:highlight w:val="none"/>
        </w:rPr>
      </w:pPr>
      <w:r/>
      <w:bookmarkStart w:id="91" w:name="_Hlt26954856"/>
      <w:r/>
      <w:bookmarkEnd w:id="91"/>
      <w:r/>
      <w:bookmarkStart w:id="92" w:name="_Toc513029225"/>
      <w:r/>
      <w:bookmarkStart w:id="93" w:name="_Toc14577363"/>
      <w:r/>
      <w:bookmarkStart w:id="94" w:name="_Toc61149563"/>
      <w:r/>
      <w:bookmarkStart w:id="95" w:name="_Toc462564084"/>
      <w:r>
        <w:rPr>
          <w:rFonts w:hint="eastAsia" w:ascii="宋体" w:hAnsi="宋体" w:cs="宋体"/>
          <w:color w:val="auto"/>
          <w:highlight w:val="none"/>
        </w:rPr>
        <w:t xml:space="preserve">1.</w:t>
      </w:r>
      <w:bookmarkEnd w:id="92"/>
      <w:r/>
      <w:bookmarkEnd w:id="93"/>
      <w:r/>
      <w:bookmarkEnd w:id="94"/>
      <w:r/>
      <w:bookmarkEnd w:id="95"/>
      <w:r>
        <w:rPr>
          <w:rFonts w:hint="eastAsia" w:ascii="宋体" w:hAnsi="宋体" w:cs="宋体"/>
          <w:color w:val="auto"/>
          <w:highlight w:val="none"/>
        </w:rPr>
        <w:t xml:space="preserve">电子响应文件的递交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公告中规定的提交响应文件截止时间。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第二章第5.3.2条规定作无效响应处理。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2.2采购人和代理机构可以按照规定，通过修改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96" w:name="_Hlt26954858"/>
      <w:r/>
      <w:bookmarkEnd w:id="96"/>
      <w:r/>
      <w:bookmarkStart w:id="97" w:name="_Hlt26954752"/>
      <w:r/>
      <w:bookmarkEnd w:id="97"/>
      <w:r/>
      <w:bookmarkStart w:id="98" w:name="_Hlt26670496"/>
      <w:r/>
      <w:bookmarkEnd w:id="98"/>
      <w:r/>
      <w:bookmarkStart w:id="99" w:name="_Toc61149564"/>
      <w:r/>
      <w:bookmarkStart w:id="100" w:name="_Toc513029226"/>
      <w:r/>
      <w:bookmarkStart w:id="101" w:name="_Toc14577364"/>
      <w:r>
        <w:rPr>
          <w:rFonts w:hint="eastAsia" w:ascii="宋体" w:hAnsi="宋体" w:cs="宋体"/>
          <w:color w:val="auto"/>
          <w:highlight w:val="none"/>
        </w:rPr>
        <w:t xml:space="preserve">3.响应文件的拒收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3.1采购人拒绝接收在规定的提交响应文件截止时间后上传的任何电子响应文件。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4.4在提交响应文件截止时间至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1.1供应商应当按照《操作手册》规定，在苏采云系统规定的时间内对响应文件进行解密。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5.1.2符合性审查：依据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的规定，由磋商小组从响应文件的有效性、完整性和对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的响应程度进行审查，以确定是否对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的实质性要求作出响应。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的要求。实质性响应的响应文件应该是与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要求的条款、条件和规格相符，没有重大偏离或保留。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规定的实质性要求存在负偏离，或者在实质上与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5.3.2供应商未按照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要求上传电子响应文件的；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5.3.4供应商不具备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中规定的资格要求的；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5.3.6不符合</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中规定的实质性要求和条件的；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5.3.10响应文件未按照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要求加盖CA电子公章的；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5.4未实质性响应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的响应文件按无效响应处理。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5.5如果响应文件实质上没有响应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的要求，磋商小组将予以拒绝，供应商不得通过修改或撤销不符合要求的偏离或保留而使其成为实质性响应的文件。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5.6供应商在项目评审全过程中应</w:t>
      </w:r>
      <w:r>
        <w:rPr>
          <w:rFonts w:hint="eastAsia" w:ascii="宋体" w:hAnsi="宋体" w:cs="宋体"/>
          <w:color w:val="auto"/>
          <w:highlight w:val="none"/>
          <w:lang w:eastAsia="zh-CN"/>
        </w:rPr>
        <w:t xml:space="preserve">保持通信畅通</w:t>
      </w:r>
      <w:r>
        <w:rPr>
          <w:rFonts w:hint="eastAsia" w:ascii="宋体" w:hAnsi="宋体" w:cs="宋体"/>
          <w:color w:val="auto"/>
          <w:highlight w:val="none"/>
        </w:rPr>
        <w:t xml:space="preserve">，并安排专人与采购代理机构及磋商小组联系。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和磋商情况实质性变动的内容有：采购需求中的技术、服务要求以及合同草案条款。对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作出的实质性变动是</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的有效组成部分，磋商小组将在苏采云系统中通知所有参加磋商的供应商。供应商应当按照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所述综合评分法，是指响应文件满足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6.2.2相同品牌产品的处理方法</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 xml:space="preserve">采取随机抽取方式</w:t>
      </w:r>
      <w:r>
        <w:rPr>
          <w:rFonts w:hint="eastAsia" w:ascii="宋体" w:hAnsi="宋体" w:eastAsia="宋体" w:cs="宋体"/>
          <w:color w:val="auto"/>
          <w:spacing w:val="0"/>
          <w:sz w:val="21"/>
          <w:szCs w:val="21"/>
          <w:highlight w:val="none"/>
          <w:lang w:val="en-US" w:eastAsia="zh-CN"/>
        </w:rPr>
        <w:t xml:space="preserve">确定，其他同品牌投标人不作为中标候选人。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spacing w:val="0"/>
          <w:sz w:val="21"/>
          <w:szCs w:val="21"/>
          <w:highlight w:val="none"/>
          <w:lang w:val="en-US" w:eastAsia="zh-CN"/>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第五章规定。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6.3.3除本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w:t>
      </w:r>
      <w:r>
        <w:rPr>
          <w:rFonts w:hint="eastAsia" w:ascii="宋体" w:hAnsi="宋体" w:cs="宋体"/>
          <w:color w:val="auto"/>
          <w:highlight w:val="none"/>
          <w:lang w:eastAsia="zh-CN"/>
        </w:rPr>
        <w:t xml:space="preserve">人在确定成交供应商</w:t>
      </w:r>
      <w:r>
        <w:rPr>
          <w:rFonts w:hint="eastAsia" w:ascii="宋体" w:hAnsi="宋体" w:cs="宋体"/>
          <w:color w:val="auto"/>
          <w:highlight w:val="none"/>
        </w:rPr>
        <w:t xml:space="preserve">后，采购人将在“</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政府采购网”发布成交结果公告，公告期限为1个工作日。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1.3.5不满足本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规定的实质性要求，但在评审过程中又未被磋商小组发现的。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确定的事项签订政府采购合同的。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2.3质疑函必须按照本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中《质疑函范本》要求的格式和内容进行填写。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第一章。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99"/>
      <w:r/>
      <w:bookmarkEnd w:id="100"/>
      <w:r/>
      <w:bookmarkEnd w:id="101"/>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102" w:name="_Toc513029237"/>
      <w:r/>
      <w:bookmarkStart w:id="103" w:name="_Toc16938553"/>
      <w:r/>
      <w:bookmarkStart w:id="104" w:name="_Toc20823309"/>
      <w:r>
        <w:rPr>
          <w:rFonts w:hint="eastAsia" w:ascii="宋体" w:hAnsi="宋体" w:cs="宋体"/>
          <w:b/>
          <w:bCs/>
          <w:color w:val="auto"/>
          <w:highlight w:val="none"/>
        </w:rPr>
        <w:t xml:space="preserve">六、签订、履行合同</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rPr>
        <w:t xml:space="preserve">1.履约保证金：</w:t>
      </w:r>
      <w:r>
        <w:rPr>
          <w:rFonts w:hint="eastAsia" w:ascii="宋体" w:hAnsi="宋体"/>
          <w:bCs/>
          <w:color w:val="auto"/>
          <w:sz w:val="21"/>
          <w:szCs w:val="21"/>
          <w:highlight w:val="none"/>
        </w:rPr>
        <w:t xml:space="preserve">本项目不收取履约保证金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2.签订合同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2.l成交供应商应当在成交通知书发出之日起30日内，按照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确定的事项与采购人签订政府采购合同。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3.标的物的追加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2"/>
      <w:r/>
      <w:bookmarkEnd w:id="103"/>
      <w:r/>
      <w:bookmarkEnd w:id="104"/>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pStyle w:val="752"/>
        <w:rPr>
          <w:rFonts w:hint="eastAsia" w:eastAsia="宋体"/>
          <w:color w:val="auto"/>
          <w:highlight w:val="none"/>
          <w:u w:val="single"/>
          <w:lang w:eastAsia="zh-CN"/>
        </w:rPr>
      </w:pPr>
      <w:r>
        <w:rPr>
          <w:rFonts w:hint="eastAsia"/>
          <w:color w:val="auto"/>
          <w:highlight w:val="none"/>
          <w:u w:val="single"/>
        </w:rPr>
        <w:t xml:space="preserve">本项目专门面向中小企业采购，不再进行价格扣除优惠</w:t>
      </w:r>
      <w:r>
        <w:rPr>
          <w:rFonts w:hint="eastAsia"/>
          <w:color w:val="auto"/>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.未按要求提供相关材料的，不享受相关政策。</w:t>
      </w:r>
      <w:r/>
    </w:p>
    <w:p>
      <w:pPr>
        <w:ind w:firstLine="422"/>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采购本国产品的支持政策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 xml:space="preserve">20%</w:t>
      </w:r>
      <w:r>
        <w:rPr>
          <w:rFonts w:hint="eastAsia" w:ascii="宋体" w:hAnsi="宋体" w:cs="宋体"/>
          <w:color w:val="auto"/>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、关于异常低价的审查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 xml:space="preserve">1.1</w:t>
      </w:r>
      <w:r>
        <w:rPr>
          <w:rFonts w:hint="eastAsia" w:ascii="宋体" w:hAnsi="宋体" w:cs="宋体"/>
          <w:b w:val="0"/>
          <w:bCs w:val="0"/>
          <w:color w:val="auto"/>
          <w:highlight w:val="none"/>
          <w:u w:val="none"/>
          <w:lang w:eastAsia="zh-CN"/>
        </w:rPr>
        <w:t xml:space="preserve">（</w:t>
      </w:r>
      <w:r>
        <w:rPr>
          <w:rFonts w:hint="eastAsia" w:ascii="宋体" w:hAnsi="宋体" w:cs="宋体"/>
          <w:b w:val="0"/>
          <w:bCs w:val="0"/>
          <w:color w:val="auto"/>
          <w:highlight w:val="none"/>
          <w:u w:val="none"/>
          <w:lang w:val="en-US" w:eastAsia="zh-CN"/>
        </w:rPr>
        <w:t xml:space="preserve">1-优惠率报价</w:t>
      </w:r>
      <w:r>
        <w:rPr>
          <w:rFonts w:hint="eastAsia" w:ascii="宋体" w:hAnsi="宋体" w:cs="宋体"/>
          <w:b w:val="0"/>
          <w:bCs w:val="0"/>
          <w:color w:val="auto"/>
          <w:highlight w:val="none"/>
          <w:u w:val="none"/>
          <w:lang w:eastAsia="zh-CN"/>
        </w:rPr>
        <w:t xml:space="preserve">）</w:t>
      </w:r>
      <w:r>
        <w:rPr>
          <w:rFonts w:hint="eastAsia" w:ascii="宋体" w:hAnsi="宋体" w:cs="宋体"/>
          <w:b w:val="0"/>
          <w:bCs w:val="0"/>
          <w:color w:val="auto"/>
          <w:highlight w:val="none"/>
          <w:u w:val="none"/>
          <w:lang w:val="en-US" w:eastAsia="zh-CN"/>
        </w:rPr>
        <w:t xml:space="preserve">＜全部通过符合性审查供应商的（1-优惠率报价）平均值*65</w:t>
      </w:r>
      <w:r>
        <w:rPr>
          <w:rFonts w:hint="eastAsia" w:ascii="宋体" w:hAnsi="宋体" w:cs="宋体"/>
          <w:b w:val="0"/>
          <w:bCs w:val="0"/>
          <w:color w:val="auto"/>
          <w:highlight w:val="none"/>
          <w:u w:val="none"/>
          <w:lang w:eastAsia="zh-CN"/>
        </w:rPr>
        <w:t xml:space="preserve">%； </w:t>
      </w:r>
      <w:r/>
    </w:p>
    <w:p>
      <w:pPr>
        <w:ind w:firstLine="420"/>
        <w:keepLines w:val="0"/>
        <w:keepNext w:val="0"/>
        <w:pageBreakBefore w:val="0"/>
        <w:spacing w:line="360" w:lineRule="auto"/>
        <w:widowControl w:val="off"/>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 xml:space="preserve">1.2</w:t>
      </w:r>
      <w:r>
        <w:rPr>
          <w:rFonts w:hint="eastAsia" w:ascii="宋体" w:hAnsi="宋体" w:cs="宋体"/>
          <w:b w:val="0"/>
          <w:bCs w:val="0"/>
          <w:color w:val="auto"/>
          <w:highlight w:val="none"/>
          <w:u w:val="none"/>
          <w:lang w:eastAsia="zh-CN"/>
        </w:rPr>
        <w:t xml:space="preserve">（</w:t>
      </w:r>
      <w:r>
        <w:rPr>
          <w:rFonts w:hint="eastAsia" w:ascii="宋体" w:hAnsi="宋体" w:cs="宋体"/>
          <w:b w:val="0"/>
          <w:bCs w:val="0"/>
          <w:color w:val="auto"/>
          <w:highlight w:val="none"/>
          <w:u w:val="none"/>
          <w:lang w:val="en-US" w:eastAsia="zh-CN"/>
        </w:rPr>
        <w:t xml:space="preserve">1-优惠率报价</w:t>
      </w:r>
      <w:r>
        <w:rPr>
          <w:rFonts w:hint="eastAsia" w:ascii="宋体" w:hAnsi="宋体" w:cs="宋体"/>
          <w:b w:val="0"/>
          <w:bCs w:val="0"/>
          <w:color w:val="auto"/>
          <w:highlight w:val="none"/>
          <w:u w:val="none"/>
          <w:lang w:eastAsia="zh-CN"/>
        </w:rPr>
        <w:t xml:space="preserve">）</w:t>
      </w:r>
      <w:r>
        <w:rPr>
          <w:rFonts w:hint="eastAsia" w:ascii="宋体" w:hAnsi="宋体" w:cs="宋体"/>
          <w:b w:val="0"/>
          <w:bCs w:val="0"/>
          <w:color w:val="auto"/>
          <w:highlight w:val="none"/>
          <w:u w:val="none"/>
          <w:lang w:val="en-US" w:eastAsia="zh-CN"/>
        </w:rPr>
        <w:t xml:space="preserve">＜通过符合性审查供应商的（1-优惠率报价）次低价*65</w:t>
      </w:r>
      <w:r>
        <w:rPr>
          <w:rFonts w:hint="eastAsia" w:ascii="宋体" w:hAnsi="宋体" w:cs="宋体"/>
          <w:b w:val="0"/>
          <w:bCs w:val="0"/>
          <w:color w:val="auto"/>
          <w:highlight w:val="none"/>
          <w:u w:val="none"/>
          <w:lang w:eastAsia="zh-CN"/>
        </w:rPr>
        <w:t xml:space="preserve">%； </w:t>
      </w:r>
      <w:r/>
    </w:p>
    <w:p>
      <w:pPr>
        <w:ind w:firstLine="420"/>
        <w:keepLines w:val="0"/>
        <w:keepNext w:val="0"/>
        <w:pageBreakBefore w:val="0"/>
        <w:spacing w:line="360" w:lineRule="auto"/>
        <w:widowControl w:val="off"/>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 xml:space="preserve">1.3</w:t>
      </w:r>
      <w:r>
        <w:rPr>
          <w:rFonts w:hint="eastAsia" w:ascii="宋体" w:hAnsi="宋体" w:cs="宋体"/>
          <w:b w:val="0"/>
          <w:bCs w:val="0"/>
          <w:color w:val="auto"/>
          <w:highlight w:val="none"/>
          <w:u w:val="none"/>
          <w:lang w:eastAsia="zh-CN"/>
        </w:rPr>
        <w:t xml:space="preserve">（</w:t>
      </w:r>
      <w:r>
        <w:rPr>
          <w:rFonts w:hint="eastAsia" w:ascii="宋体" w:hAnsi="宋体" w:cs="宋体"/>
          <w:b w:val="0"/>
          <w:bCs w:val="0"/>
          <w:color w:val="auto"/>
          <w:highlight w:val="none"/>
          <w:u w:val="none"/>
          <w:lang w:val="en-US" w:eastAsia="zh-CN"/>
        </w:rPr>
        <w:t xml:space="preserve">1-优惠率报价</w:t>
      </w:r>
      <w:r>
        <w:rPr>
          <w:rFonts w:hint="eastAsia" w:ascii="宋体" w:hAnsi="宋体" w:cs="宋体"/>
          <w:b w:val="0"/>
          <w:bCs w:val="0"/>
          <w:color w:val="auto"/>
          <w:highlight w:val="none"/>
          <w:u w:val="none"/>
          <w:lang w:eastAsia="zh-CN"/>
        </w:rPr>
        <w:t xml:space="preserve">）</w:t>
      </w:r>
      <w:r>
        <w:rPr>
          <w:rFonts w:hint="eastAsia" w:ascii="宋体" w:hAnsi="宋体" w:cs="宋体"/>
          <w:b w:val="0"/>
          <w:bCs w:val="0"/>
          <w:color w:val="auto"/>
          <w:highlight w:val="none"/>
          <w:u w:val="none"/>
          <w:lang w:val="en-US" w:eastAsia="zh-CN"/>
        </w:rPr>
        <w:t xml:space="preserve">＜65</w:t>
      </w:r>
      <w:r>
        <w:rPr>
          <w:rFonts w:hint="eastAsia" w:ascii="宋体" w:hAnsi="宋体" w:cs="宋体"/>
          <w:b w:val="0"/>
          <w:bCs w:val="0"/>
          <w:color w:val="auto"/>
          <w:highlight w:val="none"/>
          <w:u w:val="none"/>
          <w:lang w:eastAsia="zh-CN"/>
        </w:rPr>
        <w:t xml:space="preserve">%； </w:t>
      </w:r>
      <w:r/>
    </w:p>
    <w:p>
      <w:pPr>
        <w:ind w:firstLine="420"/>
        <w:keepLines w:val="0"/>
        <w:keepNext w:val="0"/>
        <w:pageBreakBefore w:val="0"/>
        <w:spacing w:line="360" w:lineRule="auto"/>
        <w:widowControl w:val="off"/>
        <w:rPr>
          <w:rFonts w:hint="eastAsia"/>
          <w:color w:val="auto"/>
          <w:highlight w:val="none"/>
        </w:rPr>
      </w:pPr>
      <w:r>
        <w:rPr>
          <w:rFonts w:hint="eastAsia" w:ascii="宋体" w:hAnsi="宋体" w:cs="宋体"/>
          <w:b w:val="0"/>
          <w:bCs w:val="0"/>
          <w:color w:val="auto"/>
          <w:highlight w:val="none"/>
          <w:u w:val="none"/>
          <w:lang w:val="en-US" w:eastAsia="zh-CN"/>
        </w:rPr>
        <w:t xml:space="preserve">1.4</w:t>
      </w:r>
      <w:r>
        <w:rPr>
          <w:rFonts w:hint="eastAsia" w:ascii="宋体" w:hAnsi="宋体" w:cs="宋体"/>
          <w:b w:val="0"/>
          <w:bCs w:val="0"/>
          <w:color w:val="auto"/>
          <w:highlight w:val="none"/>
          <w:u w:val="none"/>
          <w:lang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 xml:space="preserve">，并</w:t>
      </w:r>
      <w:r>
        <w:rPr>
          <w:rFonts w:hint="eastAsia" w:ascii="宋体" w:hAnsi="宋体" w:cs="宋体"/>
          <w:color w:val="auto"/>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4"/>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ind w:right="42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（以最终签订的合同文本为准）                                    </w:t>
      </w:r>
      <w:r/>
    </w:p>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                                                （合同编号：           ）</w:t>
      </w:r>
      <w:r/>
    </w:p>
    <w:p>
      <w:pPr>
        <w:jc w:val="left"/>
        <w:spacing w:line="400" w:lineRule="exact"/>
        <w:widowControl/>
        <w:rPr>
          <w:rFonts w:ascii="Calibri" w:hAnsi="Calibri"/>
          <w:color w:val="auto"/>
          <w:szCs w:val="21"/>
          <w:highlight w:val="none"/>
          <w:u w:val="single"/>
        </w:rPr>
      </w:pPr>
      <w:r>
        <w:rPr>
          <w:rFonts w:hint="eastAsia" w:ascii="Calibri" w:hAnsi="Calibri"/>
          <w:color w:val="auto"/>
          <w:szCs w:val="21"/>
          <w:highlight w:val="none"/>
        </w:rPr>
        <w:t xml:space="preserve">甲方（采购人）：</w:t>
      </w:r>
      <w:r>
        <w:rPr>
          <w:rFonts w:hint="eastAsia" w:ascii="Calibri" w:hAnsi="Calibri"/>
          <w:color w:val="auto"/>
          <w:szCs w:val="21"/>
          <w:highlight w:val="none"/>
          <w:u w:val="single"/>
        </w:rPr>
        <w:t xml:space="preserve"> </w:t>
      </w:r>
      <w:r>
        <w:rPr>
          <w:rFonts w:hint="eastAsia" w:ascii="Calibri" w:hAnsi="Calibri"/>
          <w:color w:val="auto"/>
          <w:szCs w:val="21"/>
          <w:highlight w:val="none"/>
          <w:u w:val="single"/>
          <w:lang w:eastAsia="zh-CN"/>
        </w:rPr>
        <w:t xml:space="preserve">城中街道社区卫生服务中心</w:t>
      </w:r>
      <w:r>
        <w:rPr>
          <w:rFonts w:hint="eastAsia" w:ascii="Calibri" w:hAnsi="Calibri"/>
          <w:color w:val="auto"/>
          <w:szCs w:val="21"/>
          <w:highlight w:val="none"/>
          <w:u w:val="single"/>
        </w:rPr>
        <w:t xml:space="preserve"> </w:t>
      </w:r>
      <w:r/>
    </w:p>
    <w:p>
      <w:pPr>
        <w:jc w:val="left"/>
        <w:spacing w:line="400" w:lineRule="exact"/>
        <w:widowControl/>
        <w:rPr>
          <w:rFonts w:ascii="Calibri" w:hAnsi="Calibri"/>
          <w:color w:val="auto"/>
          <w:szCs w:val="21"/>
          <w:highlight w:val="none"/>
        </w:rPr>
      </w:pPr>
      <w:r>
        <w:rPr>
          <w:rFonts w:hint="eastAsia" w:ascii="Calibri" w:hAnsi="Calibri"/>
          <w:color w:val="auto"/>
          <w:szCs w:val="21"/>
          <w:highlight w:val="none"/>
        </w:rPr>
        <w:t xml:space="preserve">乙方（供应商）：</w:t>
      </w:r>
      <w:r>
        <w:rPr>
          <w:rFonts w:hint="eastAsia" w:ascii="Calibri" w:hAnsi="Calibri"/>
          <w:color w:val="auto"/>
          <w:szCs w:val="21"/>
          <w:highlight w:val="none"/>
          <w:u w:val="single"/>
        </w:rPr>
        <w:t xml:space="preserve">           </w:t>
      </w:r>
      <w:r>
        <w:rPr>
          <w:rFonts w:hint="eastAsia" w:ascii="Calibri" w:hAnsi="Calibri"/>
          <w:color w:val="auto"/>
          <w:szCs w:val="21"/>
          <w:highlight w:val="none"/>
        </w:rPr>
        <w:t xml:space="preserve"> </w:t>
      </w:r>
      <w:r/>
    </w:p>
    <w:p>
      <w:pPr>
        <w:ind w:firstLine="420"/>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甲、乙双方根据</w:t>
      </w:r>
      <w:r>
        <w:rPr>
          <w:rFonts w:hint="eastAsia" w:ascii="宋体" w:hAnsi="宋体" w:cs="宋体"/>
          <w:color w:val="auto"/>
          <w:szCs w:val="21"/>
          <w:highlight w:val="none"/>
          <w:lang w:val="en-US" w:eastAsia="zh-CN"/>
        </w:rPr>
        <w:t xml:space="preserve">泰</w:t>
      </w:r>
      <w:r>
        <w:rPr>
          <w:rFonts w:hint="eastAsia" w:ascii="宋体" w:hAnsi="宋体" w:cs="宋体"/>
          <w:color w:val="auto"/>
          <w:szCs w:val="21"/>
          <w:highlight w:val="none"/>
        </w:rPr>
        <w:t xml:space="preserve">州市政府采购招标的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的竞争性磋商采购结果，签署合同。</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根据《中华人民共和国民法典》等相关法律法规之规定，按照平等、自愿、公平和诚实信用的原则，经甲乙双方协商一致，约定以下合同条款，以兹共同遵守、全面履行。</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（一）合同组成部分</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1.本合同及其补充合同、变更协议；</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2.中标通知书；</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3.投标文件；</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4.招标文件；</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5.其他相关文件（如有）。</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双方有关项目的洽商、变更等书面协议或文件视为本合同的组成部分。</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（二）合同标的内容</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1.项目编号：</w:t>
      </w:r>
      <w:r>
        <w:rPr>
          <w:rFonts w:hint="eastAsia" w:ascii="宋体" w:hAnsi="宋体" w:cs="Calibri"/>
          <w:color w:val="auto"/>
          <w:szCs w:val="21"/>
          <w:highlight w:val="none"/>
          <w:u w:val="single"/>
        </w:rPr>
        <w:t xml:space="preserve">                              </w:t>
      </w:r>
      <w:r>
        <w:rPr>
          <w:rFonts w:hint="eastAsia" w:ascii="宋体" w:hAnsi="宋体" w:cs="Calibri"/>
          <w:color w:val="auto"/>
          <w:szCs w:val="21"/>
          <w:highlight w:val="none"/>
        </w:rPr>
        <w:t xml:space="preserve"> ； </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2.项目名称：</w:t>
      </w:r>
      <w:r>
        <w:rPr>
          <w:rFonts w:hint="eastAsia" w:ascii="宋体" w:hAnsi="宋体" w:cs="Calibri"/>
          <w:color w:val="auto"/>
          <w:szCs w:val="21"/>
          <w:highlight w:val="none"/>
          <w:u w:val="single"/>
        </w:rPr>
        <w:t xml:space="preserve">                              </w:t>
      </w:r>
      <w:r>
        <w:rPr>
          <w:rFonts w:hint="eastAsia" w:ascii="宋体" w:hAnsi="宋体" w:cs="Calibri"/>
          <w:color w:val="auto"/>
          <w:szCs w:val="21"/>
          <w:highlight w:val="none"/>
        </w:rPr>
        <w:t xml:space="preserve"> ；</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3.配送地点：提供免费配送至医院指定地点；</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4.服务内容：</w:t>
      </w:r>
      <w:r/>
    </w:p>
    <w:p>
      <w:pPr>
        <w:ind w:firstLine="422"/>
        <w:spacing w:line="400" w:lineRule="exact"/>
        <w:rPr>
          <w:rFonts w:hint="eastAsia"/>
          <w:b/>
          <w:bCs/>
          <w:color w:val="auto"/>
          <w:szCs w:val="21"/>
          <w:highlight w:val="none"/>
        </w:rPr>
      </w:pPr>
      <w:r>
        <w:rPr>
          <w:rFonts w:ascii="宋体" w:hAnsi="宋体" w:cs="Calibri"/>
          <w:color w:val="auto"/>
          <w:szCs w:val="21"/>
          <w:highlight w:val="none"/>
        </w:rPr>
        <w:t xml:space="preserve">5</w:t>
      </w:r>
      <w:r>
        <w:rPr>
          <w:rFonts w:hint="eastAsia" w:ascii="宋体" w:hAnsi="宋体" w:cs="Calibri"/>
          <w:color w:val="auto"/>
          <w:szCs w:val="21"/>
          <w:highlight w:val="none"/>
        </w:rPr>
        <w:t xml:space="preserve">.服务期限：</w:t>
      </w:r>
      <w:r>
        <w:rPr>
          <w:rFonts w:hint="eastAsia"/>
          <w:b/>
          <w:bCs/>
          <w:color w:val="auto"/>
          <w:szCs w:val="21"/>
          <w:highlight w:val="none"/>
        </w:rPr>
        <w:t xml:space="preserve">自合同签订之日起1年或累计合同发生金额达到</w:t>
      </w:r>
      <w:r>
        <w:rPr>
          <w:rFonts w:hint="eastAsia"/>
          <w:b/>
          <w:bCs/>
          <w:color w:val="auto"/>
          <w:szCs w:val="21"/>
          <w:highlight w:val="none"/>
          <w:lang w:val="en-US" w:eastAsia="zh-CN"/>
        </w:rPr>
        <w:t xml:space="preserve">总</w:t>
      </w:r>
      <w:r>
        <w:rPr>
          <w:rFonts w:hint="eastAsia"/>
          <w:b/>
          <w:bCs/>
          <w:color w:val="auto"/>
          <w:szCs w:val="21"/>
          <w:highlight w:val="none"/>
        </w:rPr>
        <w:t xml:space="preserve">预算数额止。</w:t>
      </w:r>
      <w:r/>
    </w:p>
    <w:p>
      <w:pPr>
        <w:ind w:firstLine="420"/>
        <w:spacing w:line="400" w:lineRule="exact"/>
        <w:rPr>
          <w:rFonts w:ascii="宋体" w:hAnsi="宋体" w:eastAsia="宋体" w:cs="Calibri"/>
          <w:color w:val="auto"/>
          <w:szCs w:val="21"/>
          <w:highlight w:val="none"/>
          <w:lang w:val="en-US" w:eastAsia="zh-CN"/>
        </w:rPr>
      </w:pPr>
      <w:r>
        <w:rPr>
          <w:rFonts w:hint="eastAsia" w:ascii="宋体" w:hAnsi="宋体" w:cs="Calibri"/>
          <w:color w:val="auto"/>
          <w:szCs w:val="21"/>
          <w:highlight w:val="none"/>
        </w:rPr>
        <w:t xml:space="preserve">（三）合同价款</w:t>
      </w:r>
      <w:r>
        <w:rPr>
          <w:rFonts w:hint="eastAsia" w:ascii="宋体" w:hAnsi="宋体" w:cs="Calibri"/>
          <w:color w:val="auto"/>
          <w:szCs w:val="21"/>
          <w:highlight w:val="none"/>
          <w:lang w:val="en-US" w:eastAsia="zh-CN"/>
        </w:rPr>
        <w:t xml:space="preserve">及支付方式：</w:t>
      </w:r>
      <w:r/>
    </w:p>
    <w:p>
      <w:pPr>
        <w:ind w:firstLine="420"/>
        <w:spacing w:line="400" w:lineRule="exac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合同</w:t>
      </w:r>
      <w:r>
        <w:rPr>
          <w:rFonts w:hint="eastAsia" w:ascii="宋体" w:hAnsi="宋体" w:cs="宋体"/>
          <w:b w:val="0"/>
          <w:bCs w:val="0"/>
          <w:color w:val="auto"/>
          <w:sz w:val="21"/>
          <w:szCs w:val="21"/>
          <w:highlight w:val="none"/>
          <w:lang w:val="en-US" w:eastAsia="zh-CN"/>
        </w:rPr>
        <w:t xml:space="preserve">预估</w:t>
      </w:r>
      <w:r>
        <w:rPr>
          <w:rFonts w:hint="eastAsia" w:ascii="宋体" w:hAnsi="宋体" w:cs="宋体"/>
          <w:b w:val="0"/>
          <w:bCs w:val="0"/>
          <w:color w:val="auto"/>
          <w:sz w:val="21"/>
          <w:szCs w:val="21"/>
          <w:highlight w:val="none"/>
          <w:lang w:eastAsia="zh-CN"/>
        </w:rPr>
        <w:t xml:space="preserve">金额（</w:t>
      </w:r>
      <w:r>
        <w:rPr>
          <w:rFonts w:hint="eastAsia" w:ascii="宋体" w:hAnsi="宋体" w:cs="宋体"/>
          <w:b w:val="0"/>
          <w:bCs w:val="0"/>
          <w:color w:val="auto"/>
          <w:sz w:val="21"/>
          <w:szCs w:val="21"/>
          <w:highlight w:val="none"/>
          <w:lang w:val="en-US" w:eastAsia="zh-CN"/>
        </w:rPr>
        <w:t xml:space="preserve">总预算）</w:t>
      </w:r>
      <w:r>
        <w:rPr>
          <w:rFonts w:hint="eastAsia" w:ascii="宋体" w:hAnsi="宋体" w:cs="宋体"/>
          <w:b w:val="0"/>
          <w:bCs w:val="0"/>
          <w:color w:val="auto"/>
          <w:sz w:val="21"/>
          <w:szCs w:val="21"/>
          <w:highlight w:val="none"/>
          <w:lang w:eastAsia="zh-CN"/>
        </w:rPr>
        <w:t xml:space="preserve">为</w:t>
      </w:r>
      <w:r>
        <w:rPr>
          <w:rFonts w:hint="eastAsia" w:ascii="宋体" w:hAnsi="宋体" w:cs="宋体"/>
          <w:b w:val="0"/>
          <w:bCs w:val="0"/>
          <w:color w:val="auto"/>
          <w:sz w:val="21"/>
          <w:szCs w:val="21"/>
          <w:highlight w:val="none"/>
          <w:u w:val="single"/>
          <w:lang w:val="en-US" w:eastAsia="zh-CN"/>
        </w:rPr>
        <w:t xml:space="preserve">180万元人民币</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中药饮片</w:t>
      </w:r>
      <w:r>
        <w:rPr>
          <w:rFonts w:hint="eastAsia" w:ascii="宋体" w:hAnsi="宋体" w:cs="宋体"/>
          <w:b w:val="0"/>
          <w:bCs w:val="0"/>
          <w:color w:val="auto"/>
          <w:sz w:val="21"/>
          <w:szCs w:val="21"/>
          <w:highlight w:val="none"/>
          <w:lang w:val="en-US" w:eastAsia="zh-CN"/>
        </w:rPr>
        <w:t xml:space="preserve">统一</w:t>
      </w:r>
      <w:r>
        <w:rPr>
          <w:rFonts w:hint="eastAsia" w:ascii="宋体" w:hAnsi="宋体" w:cs="宋体"/>
          <w:b w:val="0"/>
          <w:bCs w:val="0"/>
          <w:color w:val="auto"/>
          <w:sz w:val="21"/>
          <w:szCs w:val="21"/>
          <w:highlight w:val="none"/>
          <w:lang w:eastAsia="zh-CN"/>
        </w:rPr>
        <w:t xml:space="preserve">优惠率</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u w:val="single"/>
        </w:rPr>
        <w:t xml:space="preserve"> </w:t>
      </w:r>
      <w:r>
        <w:rPr>
          <w:rFonts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w:t>
      </w:r>
      <w:r>
        <w:rPr>
          <w:rFonts w:hint="eastAsia" w:ascii="宋体" w:hAnsi="宋体" w:cs="宋体"/>
          <w:b w:val="0"/>
          <w:bCs w:val="0"/>
          <w:color w:val="auto"/>
          <w:sz w:val="21"/>
          <w:szCs w:val="21"/>
          <w:highlight w:val="none"/>
          <w:u w:val="none"/>
          <w:lang w:eastAsia="zh-CN"/>
        </w:rPr>
        <w:t xml:space="preserve">（明细详见附件）</w:t>
      </w:r>
      <w:r>
        <w:rPr>
          <w:rFonts w:hint="eastAsia" w:ascii="宋体" w:hAnsi="宋体" w:cs="宋体"/>
          <w:b w:val="0"/>
          <w:bCs w:val="0"/>
          <w:color w:val="auto"/>
          <w:sz w:val="21"/>
          <w:szCs w:val="21"/>
          <w:highlight w:val="none"/>
        </w:rPr>
        <w:t xml:space="preserve">。药品代煎服务费标准为煎汤每贴</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3.3</w:t>
      </w:r>
      <w:r>
        <w:rPr>
          <w:rFonts w:hint="eastAsia" w:ascii="宋体" w:hAnsi="宋体" w:cs="宋体"/>
          <w:b w:val="0"/>
          <w:bCs w:val="0"/>
          <w:color w:val="auto"/>
          <w:sz w:val="21"/>
          <w:szCs w:val="21"/>
          <w:highlight w:val="none"/>
        </w:rPr>
        <w:t xml:space="preserve">元，熬膏每料</w:t>
      </w:r>
      <w:r>
        <w:rPr>
          <w:rFonts w:hint="eastAsia" w:ascii="宋体" w:hAnsi="宋体" w:cs="宋体"/>
          <w:b w:val="0"/>
          <w:bCs w:val="0"/>
          <w:color w:val="auto"/>
          <w:sz w:val="21"/>
          <w:szCs w:val="21"/>
          <w:highlight w:val="none"/>
          <w:u w:val="single"/>
        </w:rPr>
        <w:t xml:space="preserve">  3</w:t>
      </w:r>
      <w:r>
        <w:rPr>
          <w:rFonts w:hint="eastAsia" w:ascii="宋体" w:hAnsi="宋体" w:cs="宋体"/>
          <w:b w:val="0"/>
          <w:bCs w:val="0"/>
          <w:color w:val="auto"/>
          <w:sz w:val="21"/>
          <w:szCs w:val="21"/>
          <w:highlight w:val="none"/>
          <w:u w:val="single"/>
          <w:lang w:val="en-US" w:eastAsia="zh-CN"/>
        </w:rPr>
        <w:t xml:space="preserve">0</w:t>
      </w:r>
      <w:r>
        <w:rPr>
          <w:rFonts w:hint="eastAsia" w:ascii="宋体" w:hAnsi="宋体" w:cs="宋体"/>
          <w:b w:val="0"/>
          <w:bCs w:val="0"/>
          <w:color w:val="auto"/>
          <w:sz w:val="21"/>
          <w:szCs w:val="21"/>
          <w:highlight w:val="none"/>
          <w:u w:val="single"/>
        </w:rPr>
        <w:t xml:space="preserve">0 </w:t>
      </w:r>
      <w:r>
        <w:rPr>
          <w:rFonts w:hint="eastAsia" w:ascii="宋体" w:hAnsi="宋体" w:cs="宋体"/>
          <w:b w:val="0"/>
          <w:bCs w:val="0"/>
          <w:color w:val="auto"/>
          <w:sz w:val="21"/>
          <w:szCs w:val="21"/>
          <w:highlight w:val="none"/>
        </w:rPr>
        <w:t xml:space="preserve">元（含黄酒、容器、冰糖）</w:t>
      </w:r>
      <w:r>
        <w:rPr>
          <w:rFonts w:hint="eastAsia" w:ascii="宋体" w:hAnsi="宋体" w:cs="宋体"/>
          <w:b w:val="0"/>
          <w:bCs w:val="0"/>
          <w:color w:val="auto"/>
          <w:sz w:val="21"/>
          <w:szCs w:val="21"/>
          <w:highlight w:val="none"/>
          <w:lang w:eastAsia="zh-CN"/>
        </w:rPr>
        <w:t xml:space="preserve">。上述费用</w:t>
      </w:r>
      <w:r>
        <w:rPr>
          <w:rFonts w:hint="eastAsia" w:ascii="宋体" w:hAnsi="宋体" w:cs="宋体"/>
          <w:b w:val="0"/>
          <w:bCs w:val="0"/>
          <w:color w:val="auto"/>
          <w:sz w:val="21"/>
          <w:szCs w:val="21"/>
          <w:highlight w:val="none"/>
        </w:rPr>
        <w:t xml:space="preserve">包括在承包期内完成服务内容所需要的一切费用，包括但不限于</w:t>
      </w:r>
      <w:r>
        <w:rPr>
          <w:rFonts w:hint="eastAsia" w:ascii="宋体" w:hAnsi="宋体" w:cs="宋体"/>
          <w:b w:val="0"/>
          <w:bCs w:val="0"/>
          <w:color w:val="auto"/>
          <w:sz w:val="21"/>
          <w:szCs w:val="21"/>
          <w:highlight w:val="none"/>
          <w:lang w:eastAsia="zh-CN"/>
        </w:rPr>
        <w:t xml:space="preserve">供货、包装、运输、</w:t>
      </w:r>
      <w:r>
        <w:rPr>
          <w:rFonts w:hint="eastAsia" w:ascii="宋体" w:hAnsi="宋体" w:cs="宋体"/>
          <w:color w:val="auto"/>
          <w:sz w:val="21"/>
          <w:szCs w:val="21"/>
          <w:highlight w:val="none"/>
          <w:lang w:eastAsia="zh-CN"/>
        </w:rPr>
        <w:t xml:space="preserve">保险、配送、管理、维护、劳务、培训、验收、办公设备、利润、风险、税金、</w:t>
      </w:r>
      <w:r>
        <w:rPr>
          <w:rFonts w:hint="eastAsia" w:ascii="宋体" w:hAnsi="宋体" w:cs="宋体"/>
          <w:color w:val="auto"/>
          <w:sz w:val="21"/>
          <w:szCs w:val="21"/>
          <w:highlight w:val="none"/>
        </w:rPr>
        <w:t xml:space="preserve">招标代理服务费、政策性文件规定及合同包含的所有风险、责任等各项应有费用。</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w:t>
      </w:r>
      <w:r>
        <w:rPr>
          <w:rFonts w:hint="eastAsia" w:ascii="宋体" w:hAnsi="宋体" w:cs="Calibri"/>
          <w:color w:val="auto"/>
          <w:szCs w:val="21"/>
          <w:highlight w:val="none"/>
          <w:lang w:val="en-US" w:eastAsia="zh-CN"/>
        </w:rPr>
        <w:t xml:space="preserve">结算方式</w:t>
      </w:r>
      <w:r>
        <w:rPr>
          <w:rFonts w:hint="eastAsia" w:ascii="宋体" w:hAnsi="宋体" w:cs="Calibri"/>
          <w:color w:val="auto"/>
          <w:szCs w:val="21"/>
          <w:highlight w:val="none"/>
        </w:rPr>
        <w:t xml:space="preserve">：</w:t>
      </w:r>
      <w:r/>
    </w:p>
    <w:p>
      <w:pPr>
        <w:ind w:firstLine="420"/>
        <w:spacing w:line="400" w:lineRule="exact"/>
        <w:rPr>
          <w:rFonts w:hint="eastAsia" w:ascii="宋体" w:hAnsi="宋体" w:cs="Calibri"/>
          <w:color w:val="auto"/>
          <w:szCs w:val="21"/>
          <w:highlight w:val="none"/>
          <w:lang w:val="en-US" w:eastAsia="zh-CN"/>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1</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合同签订后，中药饮片结算单位单价＝对应品类单位单价最高限价×（1-中标优惠率），结算数量按甲方实际确认采购数量为准。属于集中采购目录的品种，按集采政策执行，不适用本优惠率。按季度结算，每季度开始月份的10日前，统计上季度的实际配送品种、数量及金额，经双方核对无误后10个工作日内支付相应货款。中标方开具正规发票，采购方根据医院审批和账期进行支付。</w:t>
      </w:r>
      <w:r/>
    </w:p>
    <w:p>
      <w:pPr>
        <w:ind w:firstLine="420"/>
        <w:spacing w:line="400" w:lineRule="exact"/>
        <w:rPr>
          <w:rFonts w:hint="eastAsia" w:ascii="宋体" w:hAnsi="宋体" w:cs="Calibri"/>
          <w:color w:val="auto"/>
          <w:szCs w:val="21"/>
          <w:highlight w:val="none"/>
          <w:lang w:val="en-US" w:eastAsia="zh-CN"/>
        </w:rPr>
      </w:pPr>
      <w:r>
        <w:rPr>
          <w:rFonts w:hint="eastAsia" w:ascii="宋体" w:hAnsi="宋体" w:cs="Calibri"/>
          <w:color w:val="auto"/>
          <w:szCs w:val="21"/>
          <w:highlight w:val="none"/>
          <w:lang w:val="en-US" w:eastAsia="zh-CN"/>
        </w:rPr>
        <w:t xml:space="preserve">（2）中药饮片的实际采购中，乙方对已确定的结算价不得随意提升价格，市场价格有较大变动时，乙方须出具书面调价申请，经甲方同意后方可调价。</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val="en-US" w:eastAsia="zh-CN"/>
        </w:rPr>
        <w:t xml:space="preserve">（3）中药饮片价格如遇政策调整，按新政策执行。</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四</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rPr>
        <w:t xml:space="preserve">服务质量与检验：待整个服务项目开始实施后，验收时甲乙双方派员一起当场对所提供的服务项目进行逐一验收，如发现整个服务项目与投标承诺有出入时，应</w:t>
      </w:r>
      <w:r>
        <w:rPr>
          <w:rFonts w:hint="eastAsia" w:ascii="宋体" w:hAnsi="宋体" w:cs="Calibri"/>
          <w:color w:val="auto"/>
          <w:szCs w:val="21"/>
          <w:highlight w:val="none"/>
          <w:lang w:eastAsia="zh-CN"/>
        </w:rPr>
        <w:t xml:space="preserve">做</w:t>
      </w:r>
      <w:r>
        <w:rPr>
          <w:rFonts w:hint="eastAsia" w:ascii="宋体" w:hAnsi="宋体" w:cs="Calibri"/>
          <w:color w:val="auto"/>
          <w:szCs w:val="21"/>
          <w:highlight w:val="none"/>
        </w:rPr>
        <w:t xml:space="preserve">详细记录，由乙方立即无条件更正，同时由乙方承担因此而产生的一切后果。</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五</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rPr>
        <w:t xml:space="preserve">甲方权利和义务：</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1.根据甲方采购要求及乙方响应文件中的承诺，对乙方提供的服务及履行本合同情况实行验收。</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2.甲方必须满足本采购文件相关要求。</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六</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rPr>
        <w:t xml:space="preserve">乙方权利和义务：</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1.乙方根据甲方有关要求，积极主动保质保量地完成此项目。</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2.乙方必须满足本采购文件要求。</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七</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rPr>
        <w:t xml:space="preserve">违约责任：合同一方不履行合同义务或者履行合同义务不符合约定的，应当承担继续履行、采取补救措施或者赔偿损失等违约责任。</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1.甲方违约责任：</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1.1在合同生效后，甲方无正当理由要求解除合同的，应向乙方偿付</w:t>
      </w:r>
      <w:r>
        <w:rPr>
          <w:rFonts w:hint="eastAsia" w:ascii="宋体" w:hAnsi="宋体" w:cs="Calibri"/>
          <w:color w:val="auto"/>
          <w:szCs w:val="21"/>
          <w:highlight w:val="none"/>
          <w:lang w:eastAsia="zh-CN"/>
        </w:rPr>
        <w:t xml:space="preserve">合同预估总金额</w:t>
      </w:r>
      <w:r>
        <w:rPr>
          <w:rFonts w:hint="eastAsia" w:ascii="宋体" w:hAnsi="宋体" w:cs="Calibri"/>
          <w:color w:val="auto"/>
          <w:szCs w:val="21"/>
          <w:highlight w:val="none"/>
        </w:rPr>
        <w:t xml:space="preserve">的5%作为违约金，违约金不足以补偿损失的，乙方有权要求甲方补足。</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1.2甲方逾期付款的应按照逾期付款金额的每天万分之四支付逾期付款违约金，但至多不超过</w:t>
      </w:r>
      <w:r>
        <w:rPr>
          <w:rFonts w:hint="eastAsia" w:ascii="宋体" w:hAnsi="宋体" w:cs="Calibri"/>
          <w:color w:val="auto"/>
          <w:szCs w:val="21"/>
          <w:highlight w:val="none"/>
          <w:lang w:eastAsia="zh-CN"/>
        </w:rPr>
        <w:t xml:space="preserve">合同预估总金额</w:t>
      </w:r>
      <w:r>
        <w:rPr>
          <w:rFonts w:hint="eastAsia" w:ascii="宋体" w:hAnsi="宋体" w:cs="Calibri"/>
          <w:color w:val="auto"/>
          <w:szCs w:val="21"/>
          <w:highlight w:val="none"/>
        </w:rPr>
        <w:t xml:space="preserve">的5%。</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2.乙方违约责任：</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2.1乙方未按合同规定提供服务或提供服务不合格，不能完成合同，从而影响甲方正常项目进度的，甲方有权解除合同，乙方向甲方偿付</w:t>
      </w:r>
      <w:r>
        <w:rPr>
          <w:rFonts w:hint="eastAsia" w:ascii="宋体" w:hAnsi="宋体" w:cs="Calibri"/>
          <w:color w:val="auto"/>
          <w:szCs w:val="21"/>
          <w:highlight w:val="none"/>
          <w:lang w:eastAsia="zh-CN"/>
        </w:rPr>
        <w:t xml:space="preserve">合同预估总金额</w:t>
      </w:r>
      <w:r>
        <w:rPr>
          <w:rFonts w:hint="eastAsia" w:ascii="宋体" w:hAnsi="宋体" w:cs="Calibri"/>
          <w:color w:val="auto"/>
          <w:szCs w:val="21"/>
          <w:highlight w:val="none"/>
          <w:lang w:val="en-US" w:eastAsia="zh-CN"/>
        </w:rPr>
        <w:t xml:space="preserve">5</w:t>
      </w:r>
      <w:r>
        <w:rPr>
          <w:rFonts w:hint="eastAsia" w:ascii="宋体" w:hAnsi="宋体" w:cs="Calibri"/>
          <w:color w:val="auto"/>
          <w:szCs w:val="21"/>
          <w:highlight w:val="none"/>
        </w:rPr>
        <w:t xml:space="preserve">%的违约金，同时承担甲方因此产生的损失。</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2.2乙方在合同期限内不提供服务或提供服务不合格，影响甲方正常工作的，应当向甲方支付</w:t>
      </w:r>
      <w:r>
        <w:rPr>
          <w:rFonts w:hint="eastAsia" w:ascii="宋体" w:hAnsi="宋体" w:cs="Calibri"/>
          <w:color w:val="auto"/>
          <w:szCs w:val="21"/>
          <w:highlight w:val="none"/>
          <w:lang w:eastAsia="zh-CN"/>
        </w:rPr>
        <w:t xml:space="preserve">合同预估总金额</w:t>
      </w:r>
      <w:r>
        <w:rPr>
          <w:rFonts w:hint="eastAsia" w:ascii="宋体" w:hAnsi="宋体" w:cs="Calibri"/>
          <w:color w:val="auto"/>
          <w:szCs w:val="21"/>
          <w:highlight w:val="none"/>
          <w:lang w:val="en-US" w:eastAsia="zh-CN"/>
        </w:rPr>
        <w:t xml:space="preserve">5</w:t>
      </w:r>
      <w:r>
        <w:rPr>
          <w:rFonts w:hint="eastAsia" w:ascii="宋体" w:hAnsi="宋体" w:cs="Calibri"/>
          <w:color w:val="auto"/>
          <w:szCs w:val="21"/>
          <w:highlight w:val="none"/>
        </w:rPr>
        <w:t xml:space="preserve">%的违约金并赔偿甲方因此产生的损失。</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w:t>
      </w:r>
      <w:r>
        <w:rPr>
          <w:rFonts w:hint="eastAsia" w:ascii="宋体" w:hAnsi="宋体" w:cs="Calibri"/>
          <w:color w:val="auto"/>
          <w:szCs w:val="21"/>
          <w:highlight w:val="none"/>
          <w:lang w:eastAsia="zh-CN"/>
        </w:rPr>
        <w:t xml:space="preserve">合同预估总金额</w:t>
      </w:r>
      <w:r>
        <w:rPr>
          <w:rFonts w:hint="eastAsia" w:ascii="宋体" w:hAnsi="宋体" w:cs="Calibri"/>
          <w:color w:val="auto"/>
          <w:szCs w:val="21"/>
          <w:highlight w:val="none"/>
          <w:lang w:val="en-US" w:eastAsia="zh-CN"/>
        </w:rPr>
        <w:t xml:space="preserve">5</w:t>
      </w:r>
      <w:r>
        <w:rPr>
          <w:rFonts w:hint="eastAsia" w:ascii="宋体" w:hAnsi="宋体" w:cs="Calibri"/>
          <w:color w:val="auto"/>
          <w:szCs w:val="21"/>
          <w:highlight w:val="none"/>
        </w:rPr>
        <w:t xml:space="preserve">%的违约金并赔偿甲方因此产生的损失。</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2.4乙方有其他违反合同约定情形的，应当向甲方支付</w:t>
      </w:r>
      <w:r>
        <w:rPr>
          <w:rFonts w:hint="eastAsia" w:ascii="宋体" w:hAnsi="宋体" w:cs="Calibri"/>
          <w:color w:val="auto"/>
          <w:szCs w:val="21"/>
          <w:highlight w:val="none"/>
          <w:lang w:eastAsia="zh-CN"/>
        </w:rPr>
        <w:t xml:space="preserve">合同预估总金额</w:t>
      </w:r>
      <w:r>
        <w:rPr>
          <w:rFonts w:hint="eastAsia" w:ascii="宋体" w:hAnsi="宋体" w:cs="Calibri"/>
          <w:color w:val="auto"/>
          <w:szCs w:val="21"/>
          <w:highlight w:val="none"/>
        </w:rPr>
        <w:t xml:space="preserve">5%的违约金。</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八</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rPr>
        <w:t xml:space="preserve">不可抗力：</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九</w:t>
      </w: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rPr>
        <w:t xml:space="preserve">合同修改：甲方和乙方都不得擅自变更本合同，但合同继续履行将损害国家和社会公共利益的除外。</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十</w:t>
      </w:r>
      <w:r>
        <w:rPr>
          <w:rFonts w:hint="eastAsia" w:ascii="宋体" w:hAnsi="宋体" w:cs="Calibri"/>
          <w:color w:val="auto"/>
          <w:szCs w:val="21"/>
          <w:highlight w:val="none"/>
          <w:lang w:eastAsia="zh-CN"/>
        </w:rPr>
        <w:t xml:space="preserve">）转让和分包：</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1.政府采购合同的部分和全部都不得转让。</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十一</w:t>
      </w:r>
      <w:r>
        <w:rPr>
          <w:rFonts w:hint="eastAsia" w:ascii="宋体" w:hAnsi="宋体" w:cs="Calibri"/>
          <w:color w:val="auto"/>
          <w:szCs w:val="21"/>
          <w:highlight w:val="none"/>
          <w:lang w:eastAsia="zh-CN"/>
        </w:rPr>
        <w:t xml:space="preserve">）争议解决办法：</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因本合同或与本合同有关的一切事项发生争议，由双方友好协商解决。协商不成的，任何一方均可向甲方所在地的人民法院起诉。</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十二</w:t>
      </w:r>
      <w:r>
        <w:rPr>
          <w:rFonts w:hint="eastAsia" w:ascii="宋体" w:hAnsi="宋体" w:cs="Calibri"/>
          <w:color w:val="auto"/>
          <w:szCs w:val="21"/>
          <w:highlight w:val="none"/>
          <w:lang w:eastAsia="zh-CN"/>
        </w:rPr>
        <w:t xml:space="preserve">）合同的解除：</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1.除《中华人民共和国政府采购法》第四十九条、第50条第二款规定的情形及本合同约定的情形外，本合同签订后，甲乙双方不得擅自变更、解除或终止本合同。</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2.有下列情形之一，合同一方可以解除合同：</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2.1因不可抗力致使不能实现合同目的，未受不可抗力影响的一方有权解除合同；</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2.2因合同一方违约导致合同不能履行，另一方有权解除合同。</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3.有权解除合同的一方，应当在违约事实或不可抗力发生之后三十天内书面通知对方提出解除合同，合同在书面通知到达对方时解除。</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w:t>
      </w:r>
      <w:r>
        <w:rPr>
          <w:rFonts w:hint="eastAsia" w:ascii="宋体" w:hAnsi="宋体" w:cs="Calibri"/>
          <w:color w:val="auto"/>
          <w:szCs w:val="21"/>
          <w:highlight w:val="none"/>
          <w:lang w:val="en-US" w:eastAsia="zh-CN"/>
        </w:rPr>
        <w:t xml:space="preserve">十三</w:t>
      </w:r>
      <w:r>
        <w:rPr>
          <w:rFonts w:hint="eastAsia" w:ascii="宋体" w:hAnsi="宋体" w:cs="Calibri"/>
          <w:color w:val="auto"/>
          <w:szCs w:val="21"/>
          <w:highlight w:val="none"/>
          <w:lang w:eastAsia="zh-CN"/>
        </w:rPr>
        <w:t xml:space="preserve">）其它约定事项：</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1.下列文件为本合同不可分割部分：</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1.1中标通知书；</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1.2乙方的投标文件；</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1.3乙方在开标过程中所作的其它承诺、声明、书面澄清等；</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1.4招标文件及其附件；</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1.5合同附件；</w:t>
      </w:r>
      <w:r/>
    </w:p>
    <w:p>
      <w:pPr>
        <w:ind w:firstLine="420"/>
        <w:spacing w:line="400" w:lineRule="exact"/>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 xml:space="preserve">以上与本合同具有同等法律效力。</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lang w:eastAsia="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（十</w:t>
      </w:r>
      <w:r>
        <w:rPr>
          <w:rFonts w:hint="eastAsia" w:ascii="宋体" w:hAnsi="宋体" w:cs="Calibri"/>
          <w:color w:val="auto"/>
          <w:szCs w:val="21"/>
          <w:highlight w:val="none"/>
          <w:lang w:val="en-US" w:eastAsia="zh-CN"/>
        </w:rPr>
        <w:t xml:space="preserve">四</w:t>
      </w:r>
      <w:r>
        <w:rPr>
          <w:rFonts w:hint="eastAsia" w:ascii="宋体" w:hAnsi="宋体" w:cs="Calibri"/>
          <w:color w:val="auto"/>
          <w:szCs w:val="21"/>
          <w:highlight w:val="none"/>
        </w:rPr>
        <w:t xml:space="preserve">）合同生效</w:t>
      </w:r>
      <w:r/>
    </w:p>
    <w:p>
      <w:pPr>
        <w:ind w:firstLine="420"/>
        <w:spacing w:line="400" w:lineRule="exact"/>
        <w:rPr>
          <w:rFonts w:ascii="宋体" w:hAnsi="宋体" w:cs="Calibri"/>
          <w:color w:val="auto"/>
          <w:szCs w:val="21"/>
          <w:highlight w:val="none"/>
        </w:rPr>
      </w:pPr>
      <w:r>
        <w:rPr>
          <w:rFonts w:hint="eastAsia" w:ascii="宋体" w:hAnsi="宋体" w:cs="Calibri"/>
          <w:color w:val="auto"/>
          <w:szCs w:val="21"/>
          <w:highlight w:val="none"/>
        </w:rPr>
        <w:t xml:space="preserve">本合同自双方当事人盖章或者签字时生效。合同一式</w:t>
      </w:r>
      <w:r>
        <w:rPr>
          <w:rFonts w:hint="eastAsia" w:ascii="宋体" w:hAnsi="宋体" w:cs="Calibri"/>
          <w:color w:val="auto"/>
          <w:szCs w:val="21"/>
          <w:highlight w:val="none"/>
          <w:lang w:val="en-US" w:eastAsia="zh-CN"/>
        </w:rPr>
        <w:t xml:space="preserve">五</w:t>
      </w:r>
      <w:r>
        <w:rPr>
          <w:rFonts w:hint="eastAsia" w:ascii="宋体" w:hAnsi="宋体" w:cs="Calibri"/>
          <w:color w:val="auto"/>
          <w:szCs w:val="21"/>
          <w:highlight w:val="none"/>
        </w:rPr>
        <w:t xml:space="preserve">份，甲乙双方各执贰份；代理机构执壹份。</w:t>
      </w:r>
      <w:r/>
    </w:p>
    <w:p>
      <w:pPr>
        <w:ind w:firstLine="420"/>
        <w:spacing w:line="400" w:lineRule="exact"/>
        <w:rPr>
          <w:rFonts w:hint="eastAsia" w:ascii="宋体" w:hAnsi="宋体" w:cs="Calibri"/>
          <w:color w:val="auto"/>
          <w:szCs w:val="21"/>
          <w:highlight w:val="none"/>
        </w:rPr>
      </w:pPr>
      <w:r>
        <w:rPr>
          <w:rFonts w:hint="eastAsia" w:ascii="宋体" w:hAnsi="宋体" w:cs="Calibri"/>
          <w:color w:val="auto"/>
          <w:szCs w:val="21"/>
          <w:highlight w:val="none"/>
        </w:rPr>
      </w:r>
      <w:r/>
    </w:p>
    <w:p>
      <w:pPr>
        <w:pStyle w:val="777"/>
        <w:rPr>
          <w:rFonts w:hint="eastAsia"/>
          <w:color w:val="auto"/>
          <w:highlight w:val="none"/>
        </w:rPr>
      </w:pPr>
      <w:r>
        <w:rPr>
          <w:rFonts w:hint="eastAsia"/>
          <w:color w:val="auto"/>
          <w:highlight w:val="none"/>
        </w:rPr>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甲方（盖章）：                       乙方（盖章）：                       </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地址：       </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法定代表人：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法定代表人：   </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委托代理人：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委托代理人：</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电话：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电话：</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传真：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传真：</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开户银行：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开户银行：</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账号：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账号：</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邮政编码：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邮政编码：</w:t>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签订日期：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签订日期：</w:t>
      </w:r>
      <w:r/>
    </w:p>
    <w:p>
      <w:pPr>
        <w:pStyle w:val="96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05" w:name="_Toc22763"/>
      <w:r>
        <w:rPr>
          <w:rFonts w:hint="eastAsia" w:ascii="黑体" w:hAnsi="黑体" w:eastAsia="黑体" w:cs="黑体"/>
          <w:color w:val="auto"/>
          <w:sz w:val="32"/>
          <w:szCs w:val="32"/>
          <w:highlight w:val="none"/>
        </w:rPr>
        <w:t xml:space="preserve">第四章  项目需求</w:t>
      </w:r>
      <w:bookmarkEnd w:id="105"/>
      <w:r/>
      <w:r/>
    </w:p>
    <w:p>
      <w:pPr>
        <w:ind w:firstLine="48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一、项目简介：</w:t>
      </w:r>
      <w:r>
        <w:rPr>
          <w:rFonts w:hint="eastAsia" w:ascii="宋体" w:hAnsi="宋体"/>
          <w:color w:val="auto"/>
          <w:sz w:val="21"/>
          <w:szCs w:val="21"/>
          <w:highlight w:val="none"/>
        </w:rPr>
        <w:t xml:space="preserve">为规范中药饮片采购渠道，统一质量标准，保障中药饮片质量和供给，促进中医药事业发展，结合国家相关政策，拟采购中药饮片集中代加工及配送服务。此项服务需提供所需合格的中药饮片，且利用信息技术优势和规模优势，为采购客户提供代配、代煎、熬膏等中药代加工服务，并将配好的药方或汤剂、膏剂、丸剂等代加工后的成品配送到</w:t>
      </w:r>
      <w:r>
        <w:rPr>
          <w:rFonts w:hint="eastAsia" w:ascii="宋体" w:hAnsi="宋体" w:eastAsia="宋体"/>
          <w:color w:val="auto"/>
          <w:sz w:val="21"/>
          <w:szCs w:val="21"/>
          <w:highlight w:val="none"/>
        </w:rPr>
        <w:t xml:space="preserve">采购人</w:t>
      </w:r>
      <w:r>
        <w:rPr>
          <w:rFonts w:hint="eastAsia" w:ascii="宋体" w:hAnsi="宋体"/>
          <w:color w:val="auto"/>
          <w:sz w:val="21"/>
          <w:szCs w:val="21"/>
          <w:highlight w:val="none"/>
        </w:rPr>
        <w:t xml:space="preserve">或客户手中</w:t>
      </w:r>
      <w:r>
        <w:rPr>
          <w:rFonts w:hint="eastAsia" w:ascii="宋体" w:hAnsi="宋体" w:cs="宋体"/>
          <w:color w:val="auto"/>
          <w:sz w:val="21"/>
          <w:szCs w:val="21"/>
          <w:highlight w:val="none"/>
        </w:rPr>
        <w:t xml:space="preserve">。</w:t>
      </w:r>
      <w:r/>
    </w:p>
    <w:p>
      <w:pPr>
        <w:numPr>
          <w:ilvl w:val="0"/>
          <w:numId w:val="1"/>
        </w:numPr>
        <w:ind w:firstLine="48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年。</w:t>
      </w:r>
      <w:r/>
    </w:p>
    <w:p>
      <w:pPr>
        <w:numPr>
          <w:ilvl w:val="0"/>
          <w:numId w:val="1"/>
        </w:numPr>
        <w:ind w:firstLine="48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服务要求：</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1.中药品种与规格：供应商应确保用于代煎服务的中药饮片质量均应符合《中华人民共和国药典</w:t>
      </w:r>
      <w:r>
        <w:rPr>
          <w:rFonts w:hint="eastAsia" w:ascii="宋体" w:hAnsi="宋体"/>
          <w:color w:val="auto"/>
          <w:sz w:val="21"/>
          <w:szCs w:val="21"/>
          <w:highlight w:val="none"/>
        </w:rPr>
        <w:t xml:space="preserve">》《</w:t>
      </w:r>
      <w:r>
        <w:rPr>
          <w:rFonts w:hint="eastAsia" w:ascii="宋体" w:hAnsi="宋体" w:eastAsia="宋体"/>
          <w:color w:val="auto"/>
          <w:sz w:val="21"/>
          <w:szCs w:val="21"/>
          <w:highlight w:val="none"/>
        </w:rPr>
        <w:t xml:space="preserve">江苏省中药饮片炮制规范》等标准，且达到采购人使用中药饮片质量的要求</w:t>
      </w:r>
      <w:r>
        <w:rPr>
          <w:rFonts w:hint="eastAsia" w:ascii="宋体" w:hAnsi="宋体"/>
          <w:color w:val="auto"/>
          <w:sz w:val="21"/>
          <w:szCs w:val="21"/>
          <w:highlight w:val="none"/>
        </w:rPr>
        <w:t xml:space="preserve">，根</w:t>
      </w:r>
      <w:r>
        <w:rPr>
          <w:rFonts w:hint="eastAsia" w:ascii="宋体" w:hAnsi="宋体" w:eastAsia="宋体"/>
          <w:color w:val="auto"/>
          <w:sz w:val="21"/>
          <w:szCs w:val="21"/>
          <w:highlight w:val="none"/>
        </w:rPr>
        <w:t xml:space="preserve">据临床需求，确定每种中药的具体规格和包装形式。</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2.投标供应商应确保提供的代煎服务具有质量保证体系</w:t>
      </w:r>
      <w:r>
        <w:rPr>
          <w:rFonts w:hint="eastAsia" w:ascii="宋体" w:hAnsi="宋体"/>
          <w:color w:val="auto"/>
          <w:sz w:val="21"/>
          <w:szCs w:val="21"/>
          <w:highlight w:val="none"/>
        </w:rPr>
        <w:t xml:space="preserve">：</w:t>
      </w:r>
      <w:r>
        <w:rPr>
          <w:rFonts w:hint="eastAsia" w:ascii="宋体" w:hAnsi="宋体" w:eastAsia="宋体"/>
          <w:color w:val="auto"/>
          <w:sz w:val="21"/>
          <w:szCs w:val="21"/>
          <w:highlight w:val="none"/>
        </w:rPr>
        <w:t xml:space="preserve">①制定质量保证管理制度、职责和管理规范；②有保证煎药质量的煎药设备，能满足采购人煎药数量以及特色煎制的要求；③有规范的操作记录，建立留样制度，建立质量跟踪、追溯、监控体系。</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3.代煎药剂配送时间应满足患者用药需要，交付时间不受节假日的影响。制定能够保证汤剂质量与用药安全的配送管理制度和流程，确保配送及时、准确。</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4.为保证中药饮片集中代加工及配送服务质量，中标供应商应与采购人建立中药代</w:t>
      </w:r>
      <w:r>
        <w:rPr>
          <w:rFonts w:hint="eastAsia" w:ascii="宋体" w:hAnsi="宋体"/>
          <w:color w:val="auto"/>
          <w:sz w:val="21"/>
          <w:szCs w:val="21"/>
          <w:highlight w:val="none"/>
        </w:rPr>
        <w:t xml:space="preserve">配代</w:t>
      </w:r>
      <w:r>
        <w:rPr>
          <w:rFonts w:hint="eastAsia" w:ascii="宋体" w:hAnsi="宋体" w:eastAsia="宋体"/>
          <w:color w:val="auto"/>
          <w:sz w:val="21"/>
          <w:szCs w:val="21"/>
          <w:highlight w:val="none"/>
        </w:rPr>
        <w:t xml:space="preserve">煎信息化平台，以信息化为主导，信息安全为前提，实现实施过程的闭环管理，其中所需一切费用均由中标供应商承担，具体方案要求如下：</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①门诊处方信息传递</w:t>
      </w:r>
      <w:r>
        <w:rPr>
          <w:rFonts w:hint="eastAsia" w:ascii="宋体" w:hAnsi="宋体"/>
          <w:color w:val="auto"/>
          <w:sz w:val="21"/>
          <w:szCs w:val="21"/>
          <w:highlight w:val="none"/>
        </w:rPr>
        <w:t xml:space="preserve">：</w:t>
      </w:r>
      <w:r>
        <w:rPr>
          <w:rFonts w:hint="eastAsia" w:ascii="宋体" w:hAnsi="宋体" w:eastAsia="宋体"/>
          <w:color w:val="auto"/>
          <w:sz w:val="21"/>
          <w:szCs w:val="21"/>
          <w:highlight w:val="none"/>
        </w:rPr>
        <w:t xml:space="preserve">医师开具的电子处方经过采购人HIS系统传送到药房系统终端，标识为饮片的处方转入代配代煎系统，经过药师审核、信息录入后传送至代配代煎中心。</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②饮片代加工全过程可远程视频监控，中标方负责在采购人指定区域布置监控设备，并提供所需软硬件。</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5.配送服务要求：加工方式为临方配药、煎药的，收方时间在当天1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0之前的处方送货时间为收方后第二天，当天1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0之后的处方送货时间为收方后第三天；加工方式为膏方加工的，送货时间为收方后7～10天。如遇加工量超出正常范围的，</w:t>
      </w:r>
      <w:r>
        <w:rPr>
          <w:rFonts w:hint="eastAsia" w:ascii="宋体" w:hAnsi="宋体" w:eastAsia="宋体" w:cs="宋体"/>
          <w:color w:val="auto"/>
          <w:sz w:val="21"/>
          <w:szCs w:val="21"/>
          <w:highlight w:val="none"/>
        </w:rPr>
        <w:t xml:space="preserve">可临时协商送货时间。</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6.中标人的中药饮片管理符合《中华人民共和国药品管理法》及《中华人民共和国药品管理法实施条例》《医院中药饮片管理规范》等法律规范的要求，能够接受各级部门及采购人的检查。</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s="宋体"/>
          <w:color w:val="auto"/>
          <w:sz w:val="21"/>
          <w:szCs w:val="21"/>
          <w:highlight w:val="none"/>
        </w:rPr>
        <w:t xml:space="preserve">中药代煎及配送服务要求</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②为了保证代煎中药质量，中标人对每个操作步骤都作出详细规定，并做好记录可供追溯，全程均有监控录像，做到每个操作步骤都有记录存档，有质量跟踪。</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③现场环境整洁，不存在废水、废气、废渣等污染问题。</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④煎药质量保证</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煎药时长、温度、文武火、先煎后下等煎煮条件由计算机设置，避免人为操作失误，实现煎药过程标准化。</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⑤熬膏辅料齐全，至少包括冰糖、饴糖、木糖醇、蜂蜜、元贞糖，以及核桃肉、黑芝麻。</w:t>
      </w:r>
      <w:r/>
    </w:p>
    <w:p>
      <w:pPr>
        <w:ind w:firstLine="48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⑥配送服务：中标人的中药饮片提供免费配送至采购人，有专门配送车队。</w:t>
      </w:r>
      <w:r>
        <w:rPr>
          <w:rFonts w:hint="eastAsia" w:ascii="宋体" w:hAnsi="宋体" w:cs="宋体"/>
          <w:color w:val="auto"/>
          <w:sz w:val="21"/>
          <w:szCs w:val="21"/>
          <w:highlight w:val="none"/>
        </w:rPr>
        <w:t xml:space="preserve">提供配送至</w:t>
      </w:r>
      <w:r>
        <w:rPr>
          <w:rFonts w:hint="eastAsia" w:ascii="宋体" w:hAnsi="宋体" w:eastAsia="宋体" w:cs="宋体"/>
          <w:color w:val="auto"/>
          <w:sz w:val="21"/>
          <w:szCs w:val="21"/>
          <w:highlight w:val="none"/>
        </w:rPr>
        <w:t xml:space="preserve">患者家中</w:t>
      </w:r>
      <w:r>
        <w:rPr>
          <w:rFonts w:hint="eastAsia" w:ascii="宋体" w:hAnsi="宋体" w:cs="宋体"/>
          <w:color w:val="auto"/>
          <w:sz w:val="21"/>
          <w:szCs w:val="21"/>
          <w:highlight w:val="none"/>
        </w:rPr>
        <w:t xml:space="preserve">服务，配送费由患者支付。因配送导致包装破损或其他纠纷问题由中标供应商负责与快递公司协商解决。</w:t>
      </w:r>
      <w:r/>
    </w:p>
    <w:p>
      <w:pPr>
        <w:ind w:firstLine="420"/>
        <w:spacing w:line="360" w:lineRule="auto"/>
        <w:rPr>
          <w:rFonts w:hint="default" w:ascii="宋体" w:hAnsi="宋体" w:eastAsia="宋体" w:cs="宋体"/>
          <w:color w:val="auto"/>
          <w:sz w:val="21"/>
          <w:szCs w:val="21"/>
          <w:highlight w:val="none"/>
          <w:lang w:val="en-US" w:eastAsia="zh-CN"/>
        </w:rPr>
        <w:outlineLvl w:val="2"/>
      </w:pPr>
      <w:r>
        <w:rPr>
          <w:rFonts w:hint="eastAsia" w:ascii="宋体" w:hAnsi="宋体" w:cs="宋体"/>
          <w:color w:val="auto"/>
          <w:sz w:val="21"/>
          <w:szCs w:val="21"/>
          <w:highlight w:val="none"/>
          <w:lang w:val="en-US" w:eastAsia="zh-CN"/>
        </w:rPr>
        <w:t xml:space="preserve">8.</w:t>
      </w:r>
      <w:r>
        <w:rPr>
          <w:rFonts w:hint="eastAsia" w:ascii="宋体" w:hAnsi="宋体" w:cs="Times New Roman"/>
          <w:b w:val="0"/>
          <w:bCs w:val="0"/>
          <w:color w:val="auto"/>
          <w:sz w:val="21"/>
          <w:szCs w:val="21"/>
          <w:highlight w:val="none"/>
          <w:lang w:val="en-US" w:eastAsia="zh-CN"/>
        </w:rPr>
        <w:t xml:space="preserve">中医药事业协同发展服务，投标人须协助医院共同发展中医药事业，包括但不限于中医药文化宣传、中医药学术交流或中医药特色科室建设等。</w:t>
      </w:r>
      <w:r/>
    </w:p>
    <w:p>
      <w:pPr>
        <w:ind w:firstLine="480"/>
        <w:spacing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.中标供应商供应的中药饮片保证符合国家相关质量标准，如因产品质量</w:t>
      </w:r>
      <w:r>
        <w:rPr>
          <w:rFonts w:hint="eastAsia" w:ascii="宋体" w:hAnsi="宋体" w:cs="宋体"/>
          <w:color w:val="auto"/>
          <w:sz w:val="21"/>
          <w:szCs w:val="21"/>
          <w:highlight w:val="none"/>
        </w:rPr>
        <w:t xml:space="preserve">或其他</w:t>
      </w:r>
      <w:r>
        <w:rPr>
          <w:rFonts w:hint="eastAsia" w:ascii="宋体" w:hAnsi="宋体" w:eastAsia="宋体" w:cs="宋体"/>
          <w:color w:val="auto"/>
          <w:sz w:val="21"/>
          <w:szCs w:val="21"/>
          <w:highlight w:val="none"/>
        </w:rPr>
        <w:t xml:space="preserve">问题导致不良后果，中标人</w:t>
      </w:r>
      <w:r>
        <w:rPr>
          <w:rFonts w:hint="eastAsia" w:ascii="宋体" w:hAnsi="宋体" w:cs="宋体"/>
          <w:color w:val="auto"/>
          <w:sz w:val="21"/>
          <w:szCs w:val="21"/>
          <w:highlight w:val="none"/>
        </w:rPr>
        <w:t xml:space="preserve">负有</w:t>
      </w:r>
      <w:r>
        <w:rPr>
          <w:rFonts w:hint="eastAsia" w:ascii="宋体" w:hAnsi="宋体" w:eastAsia="宋体" w:cs="宋体"/>
          <w:color w:val="auto"/>
          <w:sz w:val="21"/>
          <w:szCs w:val="21"/>
          <w:highlight w:val="none"/>
        </w:rPr>
        <w:t xml:space="preserve">相应的经济及法律责任。且院方可随时终止合同。</w:t>
      </w:r>
      <w:r/>
    </w:p>
    <w:p>
      <w:pPr>
        <w:ind w:firstLine="480"/>
        <w:spacing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.服务响应：一般问题如未能按时送达、顾客服务性投诉的，响应时间不超过半小时，重大问题如货物遗失的，解决问题时间不超过 24 小时。</w:t>
      </w:r>
      <w:r/>
    </w:p>
    <w:p>
      <w:pPr>
        <w:ind w:firstLine="48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附：中药饮片代煎服务要求</w:t>
      </w:r>
      <w:r/>
    </w:p>
    <w:tbl>
      <w:tblPr>
        <w:tblStyle w:val="745"/>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263"/>
      </w:tblGrid>
      <w:tr>
        <w:trPr>
          <w:jc w:val="center"/>
        </w:trPr>
        <w:tc>
          <w:tcPr>
            <w:tcW w:w="1671" w:type="dxa"/>
            <w:vAlign w:val="center"/>
            <w:vMerge w:val="restart"/>
            <w:textDirection w:val="lrTb"/>
            <w:noWrap w:val="false"/>
          </w:tcPr>
          <w:p>
            <w:pPr>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场地设施和加工用具</w:t>
            </w:r>
            <w:r/>
          </w:p>
        </w:tc>
        <w:tc>
          <w:tcPr>
            <w:tcW w:w="7263" w:type="dxa"/>
            <w:textDirection w:val="lrTb"/>
            <w:noWrap w:val="false"/>
          </w:tcPr>
          <w:p>
            <w:pPr>
              <w:ind w:firstLine="24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具体要求</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60天。</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2.设置中药煎药专用饮片仓库，仓储管理符合GSP的相关要求。</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3.加强煎药设备的维护养护和分类管理，设备有明显状态标识。</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4.煎药场所应定期消毒</w:t>
            </w:r>
            <w:r/>
          </w:p>
        </w:tc>
      </w:tr>
      <w:tr>
        <w:trPr>
          <w:jc w:val="center"/>
          <w:trHeight w:val="488"/>
        </w:trPr>
        <w:tc>
          <w:tcPr>
            <w:tcW w:w="1671" w:type="dxa"/>
            <w:vAlign w:val="center"/>
            <w:vMerge w:val="restart"/>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岗位人员要求</w:t>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1.煎药部门负责人应具有</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1671" w:type="dxa"/>
            <w:vAlign w:val="center"/>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2.从事中药调配、复核与煎药岗位操作人员参照《食品从业人员健康标准》，上岗前及每年进行健康体检，并建立健康档案。</w:t>
            </w:r>
            <w:r/>
          </w:p>
        </w:tc>
      </w:tr>
      <w:tr>
        <w:trPr>
          <w:jc w:val="center"/>
        </w:trPr>
        <w:tc>
          <w:tcPr>
            <w:tcW w:w="1671" w:type="dxa"/>
            <w:vAlign w:val="center"/>
            <w:vMerge w:val="restart"/>
            <w:textDirection w:val="lrTb"/>
            <w:noWrap w:val="false"/>
          </w:tcPr>
          <w:p>
            <w:pPr>
              <w:ind w:firstLine="24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代煎调配</w:t>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1.生产企业应使用自产饮片，</w:t>
            </w:r>
            <w:r>
              <w:rPr>
                <w:rFonts w:hint="eastAsia" w:ascii="宋体" w:hAnsi="宋体" w:cs="宋体"/>
                <w:color w:val="auto"/>
                <w:sz w:val="21"/>
                <w:szCs w:val="21"/>
                <w:highlight w:val="none"/>
              </w:rPr>
              <w:t xml:space="preserve">做好</w:t>
            </w:r>
            <w:r>
              <w:rPr>
                <w:rFonts w:hint="eastAsia" w:ascii="宋体" w:hAnsi="宋体" w:eastAsia="宋体" w:cs="宋体"/>
                <w:color w:val="auto"/>
                <w:sz w:val="21"/>
                <w:szCs w:val="21"/>
                <w:highlight w:val="none"/>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1671" w:type="dxa"/>
            <w:vAlign w:val="center"/>
            <w:vMerge w:val="restart"/>
            <w:textDirection w:val="lrTb"/>
            <w:noWrap w:val="false"/>
          </w:tcPr>
          <w:p>
            <w:pPr>
              <w:ind w:firstLine="24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技术标准</w:t>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1.中药饮片质量标准：符合现行版《中华人民共和国药典》及《江苏省中药饮片炮制规范》。</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2.煎药机煎液包装膜材质：PET/PE耐高温无毒，符合药品包装材料药用复合膜通则规定要求。</w:t>
            </w:r>
            <w:r/>
          </w:p>
        </w:tc>
      </w:tr>
      <w:tr>
        <w:trPr>
          <w:jc w:val="center"/>
        </w:trPr>
        <w:tc>
          <w:tcPr>
            <w:tcW w:w="1671" w:type="dxa"/>
            <w:vMerge w:val="continue"/>
            <w:textDirection w:val="lrTb"/>
            <w:noWrap w:val="false"/>
          </w:tcPr>
          <w:p>
            <w:pPr>
              <w:ind w:firstLine="24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263" w:type="dxa"/>
            <w:textDirection w:val="lrTb"/>
            <w:noWrap w:val="false"/>
          </w:tcPr>
          <w:p>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3.汤剂质量标准：①药料煎透度：汁浓味厚，色泽均匀，无可见异物；②药液装量：分装均匀，装量差异控制在±5%以内；③药液包装袋封口平整完好，无渗漏，无药汁污染。</w:t>
            </w:r>
            <w:r/>
          </w:p>
        </w:tc>
      </w:tr>
    </w:tbl>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2"/>
        <w:spacing w:line="440" w:lineRule="exact"/>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、中药饮片清单及单价最高限价</w:t>
      </w:r>
      <w:r/>
    </w:p>
    <w:tbl>
      <w:tblPr>
        <w:tblStyle w:val="745"/>
        <w:tblW w:w="88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568"/>
        <w:gridCol w:w="1380"/>
        <w:gridCol w:w="3801"/>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left"/>
              <w:keepLines w:val="0"/>
              <w:keepNext w:val="0"/>
              <w:widowControl/>
              <w:rPr>
                <w:rFonts w:ascii="Calibri" w:hAnsi="Calibri" w:cs="Calibri"/>
                <w:b/>
                <w:bCs/>
                <w:i w:val="0"/>
                <w:iCs w:val="0"/>
                <w:color w:val="auto"/>
                <w:sz w:val="21"/>
                <w:szCs w:val="21"/>
                <w:highlight w:val="none"/>
                <w:u w:val="none"/>
              </w:rPr>
              <w:suppressLineNumbers w:val="0"/>
            </w:pPr>
            <w:r>
              <w:rPr>
                <w:rFonts w:hint="default" w:ascii="Calibri" w:hAnsi="Calibri" w:eastAsia="宋体" w:cs="Calibri"/>
                <w:b/>
                <w:bCs/>
                <w:i w:val="0"/>
                <w:iCs w:val="0"/>
                <w:color w:val="auto"/>
                <w:sz w:val="21"/>
                <w:szCs w:val="21"/>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药品规格</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最高限价（元</w:t>
            </w:r>
            <w:r>
              <w:rPr>
                <w:rStyle w:val="1011"/>
                <w:rFonts w:eastAsia="宋体"/>
                <w:b/>
                <w:bCs/>
                <w:color w:val="auto"/>
                <w:sz w:val="21"/>
                <w:szCs w:val="21"/>
                <w:highlight w:val="none"/>
                <w:lang w:val="en-US" w:eastAsia="zh-CN" w:bidi="ar"/>
              </w:rPr>
              <w:t xml:space="preserve">/g</w:t>
            </w:r>
            <w:r>
              <w:rPr>
                <w:rStyle w:val="1023"/>
                <w:b/>
                <w:bCs/>
                <w:color w:val="auto"/>
                <w:sz w:val="21"/>
                <w:szCs w:val="21"/>
                <w:highlight w:val="none"/>
                <w:lang w:val="en-US" w:eastAsia="zh-CN" w:bidi="ar"/>
              </w:rPr>
              <w:t xml:space="preserve">、个、对、条、包）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一枝黄花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三七花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三棱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东阿阿胶（铁盒）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两面针</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0.0397375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九香虫</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五灵脂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亚麻子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人中白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人中黄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人参叶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何首乌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佛耳草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僵蚕</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儿茶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八角茴香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生六神曲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六神曲炭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冬瓜子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冬葵子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凤仙透骨草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凤凰衣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刘寄奴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北刘寄奴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千里光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南方红豆杉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厚朴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叶下珠</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咸秋石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喜树果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四叶参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地枫皮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0.9625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墓头回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壁虎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0.048225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夜明砂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大皂角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大蓟炭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大豆黄卷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大风子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大黄炭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天浆壳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0.0736875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姜炭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干姜皮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娑罗子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寒水石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小茴香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小蓟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小蓟炭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小通草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山楂炭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0.0434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山萸肉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山豆根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川楝子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0.031875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0.1324375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当归炭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扁豆花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扁豆衣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拳参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接骨木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无花果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明党参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春柴胡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望江南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木槿花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0.0288625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木芙蓉叶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杜仲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0.034125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杠板归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枇杷叶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枳椇子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枸骨叶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0.72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核桃仁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桑白皮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桑螵蛸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棕榈炭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椿皮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槐花（槐米）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槐花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槐花炭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槐角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橘核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款冬花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毛冬青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水红花子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0.72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沙棘</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泽泻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0.023875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泽漆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0.855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淡豆豉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清半夏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溪黄草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炉甘石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炒山楂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炒栀子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炒海螵蛸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炒牡丹皮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麸炒白芍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炒葶苈子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炒赤芍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炒路路通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0.9025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炒防风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0.0077625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0.0396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0.0486875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烫狗脊</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烫骨碎补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焦麦芽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煅石决明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煅紫贝齿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煅赤石脂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煅赭石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煅钟乳石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煅鱼脑石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0.9475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煨木香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燀山桃仁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0.033575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牛蒡子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牡丹皮炭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牡蛎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猪牙皂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猫人参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琥珀</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瓜蒌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瓜蒌子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瓜蒌皮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瓦楞子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甘草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决明子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酸枣仁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白扁豆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0.1432375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白果仁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白石英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0.0242625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0.109375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百部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盐泽泻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盐牛膝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盐知母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盐荔枝核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盐菟丝子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盐黄柏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矮地茶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石楠叶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石楠藤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磁石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禹余粮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稻芽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穿心莲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穿破石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竹茹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紫石英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紫荆皮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紫贝齿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0.135475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1.735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绵萆薢</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绵马贯众炭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羊蹄根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翻白草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肉苁蓉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臭梧桐叶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芥子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芦荟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花生衣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花蕊石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苍术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苍耳子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苘麻子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苦丁茶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苦杏仁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苦楝皮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苦瓜干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茉莉花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茶树根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0.0129125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草果仁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草豆蔻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荜澄茄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荜茇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莪术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莱菔子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莲须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葎草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蒺藜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蔊菜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蔓荆子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蕲蛇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薏苡仁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0.0163375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薏苡根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藁本片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藕节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蛤壳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蛤蚧</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蜂房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蜜升麻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蜜白前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蜜马兜铃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1.815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血竭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2.93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补骨脂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西青果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贡菊</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赭石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车前子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辣蓼</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0.1163375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连钱草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0.71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酒大黄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醋春柴胡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醋青皮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1.645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金沸草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金蝉花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1.365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金钱白花蛇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金雀根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钟乳石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铁树叶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铁苋菜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锦灯笼</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阳起石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0.0171625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青皮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青礞石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香加皮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马勃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2.0975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鱼脑石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鸡冠花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鸡矢藤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4.325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0.119375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麸炒椿皮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麸炒薏苡仁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煨肉豆蔻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麻黄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黄明胶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黄芩炭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0.0363125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黄药子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黄蜀葵花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黑芝麻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黑顺片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0.9375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5.3625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炒刺猬皮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苍耳草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党参片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0.211075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胡芦巴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人工天竺黄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金樱子肉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0.895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蜜前胡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地黄炭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秫米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白矾</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花椒目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黄芩</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西洋参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1.2825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代代花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巴戟肉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枳壳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枳实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榧子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灯心草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炒火麻仁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炒扁豆衣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炒谷芽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炒陈皮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盐续断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紫苏子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肉豆蔻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自然铜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蚕砂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诃子肉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酒地龙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0.8425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酒川芎</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酒黄连</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0.5675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醋甘遂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1.4775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鳖甲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鸡内金</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麸炒乌药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黄精</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龟甲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炒瓜蒌皮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炒土鳖虫</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干鱼腥草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谷芽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煅紫石英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0.895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炒诃子肉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黑大豆衣</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焦稻芽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酒牛膝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0.0825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荔枝草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煨粉葛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白药子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荷梗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莱菔叶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石打穿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大腹毛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艾绒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丁公藤</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巨胜子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0.0925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鳖甲胶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炒芥子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炒淡豆豉（南京）</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蜜瓜蒌</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冰片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0.7025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浙土牛膝</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人参须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0.6975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新疆紫草</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酒乌梢蛇10g</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蕲蛇10g</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63.95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葫芦瓢</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炒没药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0.2875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制地龙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bottom"/>
            <w:textDirection w:val="lrTb"/>
            <w:noWrap/>
          </w:tcPr>
          <w:p>
            <w:pPr>
              <w:jc w:val="left"/>
              <w:keepLines w:val="0"/>
              <w:keepNext w:val="0"/>
              <w:widowControl/>
              <w:rPr>
                <w:rFonts w:hint="default" w:ascii="Calibri" w:hAnsi="Calibri"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0.8425</w:t>
            </w:r>
            <w:r/>
          </w:p>
        </w:tc>
      </w:tr>
    </w:tbl>
    <w:p>
      <w:pPr>
        <w:ind w:firstLine="480"/>
        <w:spacing w:line="360" w:lineRule="auto"/>
        <w:rPr>
          <w:b/>
          <w:bCs/>
          <w:color w:val="auto"/>
          <w:sz w:val="21"/>
          <w:szCs w:val="21"/>
          <w:highlight w:val="none"/>
        </w:rPr>
      </w:pPr>
      <w:r>
        <w:rPr>
          <w:b/>
          <w:bCs/>
          <w:color w:val="auto"/>
          <w:sz w:val="21"/>
          <w:szCs w:val="21"/>
          <w:highlight w:val="none"/>
        </w:rPr>
      </w:r>
      <w:r/>
    </w:p>
    <w:p>
      <w:pPr>
        <w:ind w:firstLine="480"/>
        <w:spacing w:line="360" w:lineRule="auto"/>
        <w:rPr>
          <w:rFonts w:eastAsia="宋体"/>
          <w:color w:val="auto"/>
          <w:sz w:val="21"/>
          <w:szCs w:val="21"/>
          <w:highlight w:val="none"/>
          <w:u w:val="single"/>
        </w:rPr>
      </w:pPr>
      <w:r>
        <w:rPr>
          <w:rFonts w:hint="eastAsia"/>
          <w:b/>
          <w:bCs/>
          <w:color w:val="auto"/>
          <w:sz w:val="21"/>
          <w:szCs w:val="21"/>
          <w:highlight w:val="none"/>
          <w:u w:val="single"/>
        </w:rPr>
        <w:t xml:space="preserve">注：若受政策性因素影响，中标后以</w:t>
      </w:r>
      <w:r>
        <w:rPr>
          <w:rFonts w:hint="eastAsia" w:ascii="Times New Roman" w:hAnsi="Times New Roman" w:eastAsia="宋体"/>
          <w:b/>
          <w:bCs/>
          <w:color w:val="auto"/>
          <w:sz w:val="21"/>
          <w:szCs w:val="21"/>
          <w:highlight w:val="none"/>
          <w:u w:val="single"/>
        </w:rPr>
        <w:t xml:space="preserve">上药品种类需纳入集中采购目录的，采购人有权与中标人终止该药品种类的采购，并不构成违约。</w:t>
      </w:r>
      <w:r>
        <w:rPr>
          <w:rFonts w:hint="eastAsia"/>
          <w:color w:val="auto"/>
          <w:sz w:val="21"/>
          <w:szCs w:val="21"/>
          <w:highlight w:val="none"/>
          <w:u w:val="single"/>
        </w:rPr>
        <w:t xml:space="preserve">如采购人有需要其他不在此次招标清单内的中药饮片，则参考本地同等级</w:t>
      </w:r>
      <w:r>
        <w:rPr>
          <w:rFonts w:hint="eastAsia" w:eastAsia="宋体"/>
          <w:color w:val="auto"/>
          <w:sz w:val="21"/>
          <w:szCs w:val="21"/>
          <w:highlight w:val="none"/>
          <w:u w:val="single"/>
        </w:rPr>
        <w:t xml:space="preserve">社区卫生服务中心</w:t>
      </w:r>
      <w:r>
        <w:rPr>
          <w:rFonts w:hint="eastAsia"/>
          <w:color w:val="auto"/>
          <w:sz w:val="21"/>
          <w:szCs w:val="21"/>
          <w:highlight w:val="none"/>
          <w:u w:val="single"/>
        </w:rPr>
        <w:t xml:space="preserve">供货价</w:t>
      </w:r>
      <w:r>
        <w:rPr>
          <w:rFonts w:hint="eastAsia"/>
          <w:color w:val="auto"/>
          <w:sz w:val="21"/>
          <w:szCs w:val="21"/>
          <w:highlight w:val="none"/>
          <w:u w:val="single"/>
          <w:lang w:val="en-US" w:eastAsia="zh-CN"/>
        </w:rPr>
        <w:t xml:space="preserve">×</w:t>
      </w:r>
      <w:r>
        <w:rPr>
          <w:rFonts w:hint="eastAsia"/>
          <w:color w:val="auto"/>
          <w:sz w:val="21"/>
          <w:szCs w:val="21"/>
          <w:highlight w:val="none"/>
          <w:u w:val="single"/>
        </w:rPr>
        <w:t xml:space="preserve">（1－中标优惠率）进行结算，中标人需提供同等级</w:t>
      </w:r>
      <w:r>
        <w:rPr>
          <w:rFonts w:hint="eastAsia" w:eastAsia="宋体"/>
          <w:color w:val="auto"/>
          <w:sz w:val="21"/>
          <w:szCs w:val="21"/>
          <w:highlight w:val="none"/>
          <w:u w:val="single"/>
        </w:rPr>
        <w:t xml:space="preserve">社区卫生服务中心</w:t>
      </w:r>
      <w:r>
        <w:rPr>
          <w:rFonts w:hint="eastAsia"/>
          <w:color w:val="auto"/>
          <w:sz w:val="21"/>
          <w:szCs w:val="21"/>
          <w:highlight w:val="none"/>
          <w:u w:val="single"/>
        </w:rPr>
        <w:t xml:space="preserve">供货清单，双方确认后进行结算。</w:t>
      </w:r>
      <w:r/>
    </w:p>
    <w:p>
      <w:pPr>
        <w:pStyle w:val="994"/>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五</w:t>
      </w:r>
      <w:r>
        <w:rPr>
          <w:rFonts w:hint="eastAsia" w:ascii="宋体" w:hAnsi="宋体" w:eastAsia="宋体"/>
          <w:b/>
          <w:bCs/>
          <w:color w:val="auto"/>
          <w:sz w:val="21"/>
          <w:szCs w:val="21"/>
          <w:highlight w:val="none"/>
        </w:rPr>
        <w:t xml:space="preserve">、代加工服务需求清单：</w:t>
      </w:r>
      <w:r/>
    </w:p>
    <w:tbl>
      <w:tblPr>
        <w:tblStyle w:val="745"/>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2451"/>
        <w:gridCol w:w="768"/>
        <w:gridCol w:w="1795"/>
        <w:gridCol w:w="2774"/>
      </w:tblGrid>
      <w:tr>
        <w:trPr>
          <w:jc w:val="center"/>
          <w:trHeight w:val="23"/>
        </w:trPr>
        <w:tc>
          <w:tcPr>
            <w:tcW w:w="540" w:type="pct"/>
            <w:vAlign w:val="center"/>
            <w:textDirection w:val="lrTb"/>
            <w:noWrap w:val="false"/>
          </w:tcPr>
          <w:p>
            <w:pPr>
              <w:jc w:val="cente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序号</w:t>
            </w:r>
            <w:r/>
          </w:p>
        </w:tc>
        <w:tc>
          <w:tcPr>
            <w:tcW w:w="1403" w:type="pct"/>
            <w:vAlign w:val="center"/>
            <w:textDirection w:val="lrTb"/>
            <w:noWrap w:val="false"/>
          </w:tcPr>
          <w:p>
            <w:pPr>
              <w:jc w:val="center"/>
              <w:spacing w:line="360" w:lineRule="auto"/>
              <w:rPr>
                <w:rFonts w:ascii="宋体" w:hAnsi="宋体"/>
                <w:b/>
                <w:bCs/>
                <w:color w:val="auto"/>
                <w:sz w:val="21"/>
                <w:szCs w:val="21"/>
                <w:highlight w:val="none"/>
                <w:lang w:val="zh-CN"/>
              </w:rPr>
            </w:pPr>
            <w:r>
              <w:rPr>
                <w:rFonts w:hint="eastAsia" w:ascii="宋体" w:hAnsi="宋体"/>
                <w:b/>
                <w:bCs/>
                <w:color w:val="auto"/>
                <w:sz w:val="21"/>
                <w:szCs w:val="21"/>
                <w:highlight w:val="none"/>
              </w:rPr>
              <w:t xml:space="preserve">项目</w:t>
            </w:r>
            <w:r>
              <w:rPr>
                <w:rFonts w:ascii="宋体" w:hAnsi="宋体"/>
                <w:b/>
                <w:bCs/>
                <w:color w:val="auto"/>
                <w:sz w:val="21"/>
                <w:szCs w:val="21"/>
                <w:highlight w:val="none"/>
                <w:lang w:val="zh-CN"/>
              </w:rPr>
              <w:t xml:space="preserve">名称</w:t>
            </w:r>
            <w:r/>
          </w:p>
        </w:tc>
        <w:tc>
          <w:tcPr>
            <w:tcW w:w="439"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单位</w:t>
            </w:r>
            <w:r/>
          </w:p>
        </w:tc>
        <w:tc>
          <w:tcPr>
            <w:tcW w:w="1027"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val="en-US" w:eastAsia="zh-CN"/>
              </w:rPr>
              <w:t xml:space="preserve">固定单价</w:t>
            </w:r>
            <w:r/>
          </w:p>
        </w:tc>
        <w:tc>
          <w:tcPr>
            <w:tcW w:w="1588" w:type="pct"/>
            <w:vAlign w:val="center"/>
            <w:textDirection w:val="lrTb"/>
            <w:noWrap w:val="false"/>
          </w:tcPr>
          <w:p>
            <w:pPr>
              <w:jc w:val="cente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备注</w:t>
            </w:r>
            <w:r/>
          </w:p>
        </w:tc>
      </w:tr>
      <w:tr>
        <w:trPr>
          <w:jc w:val="center"/>
          <w:trHeight w:val="518"/>
        </w:trPr>
        <w:tc>
          <w:tcPr>
            <w:tcW w:w="540" w:type="pct"/>
            <w:vAlign w:val="center"/>
            <w:textDirection w:val="lrTb"/>
            <w:noWrap w:val="false"/>
          </w:tcPr>
          <w:p>
            <w:pPr>
              <w:jc w:val="center"/>
              <w:widowControl/>
              <w:rPr>
                <w:rFonts w:ascii="宋体" w:hAnsi="宋体"/>
                <w:color w:val="auto"/>
                <w:sz w:val="21"/>
                <w:szCs w:val="21"/>
                <w:highlight w:val="none"/>
                <w:lang w:val="zh-CN"/>
              </w:rPr>
            </w:pPr>
            <w:r>
              <w:rPr>
                <w:rFonts w:hint="eastAsia" w:ascii="宋体" w:hAnsi="宋体" w:eastAsia="宋体" w:cs="宋体"/>
                <w:color w:val="auto"/>
                <w:sz w:val="21"/>
                <w:szCs w:val="21"/>
                <w:highlight w:val="none"/>
                <w:lang w:bidi="ar"/>
              </w:rPr>
              <w:t xml:space="preserve">1</w:t>
            </w:r>
            <w:r/>
          </w:p>
        </w:tc>
        <w:tc>
          <w:tcPr>
            <w:tcW w:w="1403" w:type="pct"/>
            <w:vAlign w:val="center"/>
            <w:textDirection w:val="lrTb"/>
            <w:noWrap w:val="false"/>
          </w:tcPr>
          <w:p>
            <w:pPr>
              <w:jc w:val="center"/>
              <w:widowControl/>
              <w:rPr>
                <w:rFonts w:ascii="宋体" w:hAnsi="宋体"/>
                <w:color w:val="auto"/>
                <w:sz w:val="21"/>
                <w:szCs w:val="21"/>
                <w:highlight w:val="none"/>
              </w:rPr>
            </w:pPr>
            <w:r>
              <w:rPr>
                <w:rFonts w:hint="eastAsia" w:ascii="宋体" w:hAnsi="宋体" w:eastAsia="宋体" w:cs="宋体"/>
                <w:color w:val="auto"/>
                <w:sz w:val="21"/>
                <w:szCs w:val="21"/>
                <w:highlight w:val="none"/>
                <w:lang w:bidi="ar"/>
              </w:rPr>
              <w:t xml:space="preserve">中药临方加工（煎汤）</w:t>
            </w:r>
            <w:r/>
          </w:p>
        </w:tc>
        <w:tc>
          <w:tcPr>
            <w:tcW w:w="439"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lang w:bidi="ar"/>
              </w:rPr>
              <w:t xml:space="preserve">贴</w:t>
            </w:r>
            <w:r/>
          </w:p>
        </w:tc>
        <w:tc>
          <w:tcPr>
            <w:tcW w:w="1027" w:type="pct"/>
            <w:vAlign w:val="center"/>
            <w:textDirection w:val="lrTb"/>
            <w:noWrap w:val="false"/>
          </w:tcPr>
          <w:p>
            <w:pPr>
              <w:jc w:val="center"/>
              <w:widowControl/>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3.3元/贴</w:t>
            </w:r>
            <w:r/>
          </w:p>
        </w:tc>
        <w:tc>
          <w:tcPr>
            <w:tcW w:w="1588"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 xml:space="preserve">煎药机煎药</w:t>
            </w:r>
            <w:r/>
          </w:p>
        </w:tc>
      </w:tr>
      <w:tr>
        <w:trPr>
          <w:jc w:val="center"/>
          <w:trHeight w:val="851"/>
        </w:trPr>
        <w:tc>
          <w:tcPr>
            <w:tcW w:w="540" w:type="pct"/>
            <w:vAlign w:val="center"/>
            <w:textDirection w:val="lrTb"/>
            <w:noWrap w:val="false"/>
          </w:tcPr>
          <w:p>
            <w:pPr>
              <w:jc w:val="center"/>
              <w:widowControl/>
              <w:rPr>
                <w:rFonts w:ascii="宋体" w:hAnsi="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1403" w:type="pct"/>
            <w:vAlign w:val="center"/>
            <w:textDirection w:val="lrTb"/>
            <w:noWrap w:val="false"/>
          </w:tcPr>
          <w:p>
            <w:pPr>
              <w:jc w:val="center"/>
              <w:widowControl/>
              <w:rPr>
                <w:rFonts w:ascii="宋体" w:hAnsi="宋体"/>
                <w:color w:val="auto"/>
                <w:sz w:val="21"/>
                <w:szCs w:val="21"/>
                <w:highlight w:val="none"/>
                <w:lang w:val="zh-CN"/>
              </w:rPr>
            </w:pPr>
            <w:r>
              <w:rPr>
                <w:rFonts w:hint="eastAsia" w:ascii="宋体" w:hAnsi="宋体" w:eastAsia="宋体" w:cs="宋体"/>
                <w:color w:val="auto"/>
                <w:sz w:val="21"/>
                <w:szCs w:val="21"/>
                <w:highlight w:val="none"/>
                <w:lang w:bidi="ar"/>
              </w:rPr>
              <w:t xml:space="preserve">中药临方加工（熬膏）</w:t>
            </w:r>
            <w:r/>
          </w:p>
        </w:tc>
        <w:tc>
          <w:tcPr>
            <w:tcW w:w="439" w:type="pct"/>
            <w:vAlign w:val="center"/>
            <w:textDirection w:val="lrTb"/>
            <w:noWrap w:val="false"/>
          </w:tcPr>
          <w:p>
            <w:pPr>
              <w:jc w:val="center"/>
              <w:widowControl/>
              <w:rPr>
                <w:rFonts w:ascii="宋体" w:hAnsi="宋体"/>
                <w:color w:val="auto"/>
                <w:sz w:val="21"/>
                <w:szCs w:val="21"/>
                <w:highlight w:val="none"/>
              </w:rPr>
            </w:pPr>
            <w:r>
              <w:rPr>
                <w:rFonts w:hint="eastAsia" w:ascii="宋体" w:hAnsi="宋体" w:eastAsia="宋体" w:cs="宋体"/>
                <w:color w:val="auto"/>
                <w:sz w:val="21"/>
                <w:szCs w:val="21"/>
                <w:highlight w:val="none"/>
                <w:lang w:bidi="ar"/>
              </w:rPr>
              <w:t xml:space="preserve">料</w:t>
            </w:r>
            <w:r/>
          </w:p>
        </w:tc>
        <w:tc>
          <w:tcPr>
            <w:tcW w:w="1027" w:type="pct"/>
            <w:vAlign w:val="center"/>
            <w:textDirection w:val="lrTb"/>
            <w:noWrap w:val="false"/>
          </w:tcPr>
          <w:p>
            <w:pPr>
              <w:jc w:val="center"/>
              <w:widowControl/>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color w:val="auto"/>
                <w:sz w:val="21"/>
                <w:szCs w:val="21"/>
                <w:highlight w:val="none"/>
                <w:lang w:val="en-US" w:eastAsia="zh-CN"/>
              </w:rPr>
              <w:t xml:space="preserve">00元/料</w:t>
            </w:r>
            <w:r/>
          </w:p>
        </w:tc>
        <w:tc>
          <w:tcPr>
            <w:tcW w:w="1588"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 xml:space="preserve">含黄酒、容器、冰糖</w:t>
            </w:r>
            <w:r/>
          </w:p>
        </w:tc>
      </w:tr>
    </w:tbl>
    <w:p>
      <w:pPr>
        <w:pStyle w:val="751"/>
        <w:numPr>
          <w:ilvl w:val="0"/>
          <w:numId w:val="0"/>
        </w:numPr>
        <w:jc w:val="left"/>
        <w:spacing w:after="200" w:line="300" w:lineRule="atLeast"/>
        <w:widowControl/>
        <w:rPr>
          <w:color w:val="auto"/>
          <w:sz w:val="21"/>
          <w:szCs w:val="21"/>
          <w:highlight w:val="none"/>
        </w:rPr>
      </w:pPr>
      <w:r>
        <w:rPr>
          <w:color w:val="auto"/>
          <w:sz w:val="21"/>
          <w:szCs w:val="21"/>
          <w:highlight w:val="none"/>
        </w:rPr>
      </w:r>
      <w:r/>
    </w:p>
    <w:p>
      <w:pPr>
        <w:ind w:firstLine="482"/>
        <w:spacing w:line="360" w:lineRule="auto"/>
        <w:widowControl/>
        <w:tabs>
          <w:tab w:val="center" w:pos="4201" w:leader="none"/>
          <w:tab w:val="right" w:pos="9298" w:leader="dot"/>
        </w:tabs>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六</w:t>
      </w:r>
      <w:r>
        <w:rPr>
          <w:rFonts w:hint="eastAsia" w:ascii="宋体" w:hAnsi="宋体"/>
          <w:b/>
          <w:bCs/>
          <w:color w:val="auto"/>
          <w:sz w:val="21"/>
          <w:szCs w:val="21"/>
          <w:highlight w:val="none"/>
        </w:rPr>
        <w:t xml:space="preserve">、履约保证金</w:t>
      </w:r>
      <w:r/>
    </w:p>
    <w:p>
      <w:pPr>
        <w:ind w:firstLine="480"/>
        <w:spacing w:line="360" w:lineRule="auto"/>
        <w:widowControl/>
        <w:tabs>
          <w:tab w:val="center" w:pos="4201" w:leader="none"/>
          <w:tab w:val="right" w:pos="9298" w:leader="dot"/>
        </w:tabs>
        <w:rPr>
          <w:rFonts w:ascii="宋体" w:hAnsi="宋体"/>
          <w:bCs/>
          <w:color w:val="auto"/>
          <w:sz w:val="21"/>
          <w:szCs w:val="21"/>
          <w:highlight w:val="none"/>
        </w:rPr>
      </w:pPr>
      <w:r>
        <w:rPr>
          <w:rFonts w:hint="eastAsia" w:ascii="宋体" w:hAnsi="宋体"/>
          <w:bCs/>
          <w:color w:val="auto"/>
          <w:sz w:val="21"/>
          <w:szCs w:val="21"/>
          <w:highlight w:val="none"/>
        </w:rPr>
        <w:t xml:space="preserve">本项目不收取履约保证金。</w:t>
      </w:r>
      <w:r/>
    </w:p>
    <w:p>
      <w:pPr>
        <w:ind w:firstLine="482"/>
        <w:spacing w:line="360" w:lineRule="auto"/>
        <w:widowControl/>
        <w:tabs>
          <w:tab w:val="center" w:pos="4201" w:leader="none"/>
          <w:tab w:val="right" w:pos="9298" w:leader="dot"/>
        </w:tabs>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hint="eastAsia" w:ascii="宋体" w:hAnsi="宋体"/>
          <w:b/>
          <w:bCs/>
          <w:color w:val="auto"/>
          <w:sz w:val="21"/>
          <w:szCs w:val="21"/>
          <w:highlight w:val="none"/>
        </w:rPr>
        <w:t xml:space="preserve">、结算方式</w:t>
      </w:r>
      <w:r/>
    </w:p>
    <w:p>
      <w:pPr>
        <w:pStyle w:val="971"/>
        <w:ind w:firstLine="420"/>
        <w:keepLines w:val="0"/>
        <w:keepNext w:val="0"/>
        <w:pageBreakBefore w:val="0"/>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合同签订后，中药饮片结算单位单价＝对应品类单位单价最高限价×（1-中标优惠率），结算数量按甲方实际确认采购数量为准。属于集中采购目录的品种，按集采政策执行，不适用本优惠率。按季度结算，每季度开始月份的10日前，统计上季度的实际配送品种、数量及金额，经双方核对无误后10个工作日内支付相应货款。中标方开具正规发票，采购方根据医院审批和账期进行支付。</w:t>
      </w:r>
      <w:r/>
    </w:p>
    <w:p>
      <w:pPr>
        <w:pStyle w:val="971"/>
        <w:ind w:firstLine="420"/>
        <w:keepLines w:val="0"/>
        <w:keepNext w:val="0"/>
        <w:pageBreakBefore w:val="0"/>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r/>
    </w:p>
    <w:p>
      <w:pPr>
        <w:pStyle w:val="964"/>
        <w:jc w:val="center"/>
        <w:keepLines w:val="0"/>
        <w:keepNext w:val="0"/>
        <w:pageBreakBefore w:val="0"/>
        <w:spacing w:line="360" w:lineRule="auto"/>
        <w:widowControl w:val="off"/>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在最大限度地满足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自身原因，在磋商期间，不能及时、完整、有效提供相关原件以供磋商小组查询，由此导致不利于响应文件的磋商后果由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45"/>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653"/>
        <w:gridCol w:w="1038"/>
        <w:gridCol w:w="6173"/>
        <w:gridCol w:w="566"/>
      </w:tblGrid>
      <w:tr>
        <w:trPr>
          <w:jc w:val="center"/>
          <w:trHeight w:val="280"/>
        </w:trPr>
        <w:tc>
          <w:tcPr>
            <w:shd w:val="clear" w:color="auto" w:fill="bfbfbf"/>
            <w:tcW w:w="581" w:type="dxa"/>
            <w:vAlign w:val="center"/>
            <w:textDirection w:val="lrTb"/>
            <w:noWrap w:val="false"/>
          </w:tcPr>
          <w:p>
            <w:pPr>
              <w:jc w:val="center"/>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 xml:space="preserve">序号</w:t>
            </w:r>
            <w:r/>
          </w:p>
        </w:tc>
        <w:tc>
          <w:tcPr>
            <w:shd w:val="clear" w:color="auto" w:fill="bfbfbf"/>
            <w:tcW w:w="670" w:type="dxa"/>
            <w:vAlign w:val="center"/>
            <w:textDirection w:val="lrTb"/>
            <w:noWrap w:val="false"/>
          </w:tcPr>
          <w:p>
            <w:pPr>
              <w:jc w:val="center"/>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 xml:space="preserve">评审因素</w:t>
            </w:r>
            <w:r/>
          </w:p>
        </w:tc>
        <w:tc>
          <w:tcPr>
            <w:shd w:val="clear" w:color="auto" w:fill="bfbfbf"/>
            <w:tcW w:w="1064" w:type="dxa"/>
            <w:vAlign w:val="center"/>
            <w:textDirection w:val="lrTb"/>
            <w:noWrap w:val="false"/>
          </w:tcPr>
          <w:p>
            <w:pPr>
              <w:jc w:val="center"/>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 xml:space="preserve">内容</w:t>
            </w:r>
            <w:r/>
          </w:p>
        </w:tc>
        <w:tc>
          <w:tcPr>
            <w:shd w:val="clear" w:color="auto" w:fill="bfbfbf"/>
            <w:tcW w:w="6325" w:type="dxa"/>
            <w:vAlign w:val="center"/>
            <w:textDirection w:val="lrTb"/>
            <w:noWrap w:val="false"/>
          </w:tcPr>
          <w:p>
            <w:pPr>
              <w:jc w:val="center"/>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 xml:space="preserve">评分要求</w:t>
            </w:r>
            <w:r/>
          </w:p>
        </w:tc>
        <w:tc>
          <w:tcPr>
            <w:shd w:val="clear" w:color="auto" w:fill="bfbfbf"/>
            <w:tcW w:w="581" w:type="dxa"/>
            <w:vAlign w:val="center"/>
            <w:textDirection w:val="lrTb"/>
            <w:noWrap w:val="false"/>
          </w:tcPr>
          <w:p>
            <w:pPr>
              <w:jc w:val="center"/>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 xml:space="preserve">分值</w:t>
            </w:r>
            <w:r/>
          </w:p>
        </w:tc>
      </w:tr>
      <w:tr>
        <w:trPr>
          <w:jc w:val="center"/>
          <w:trHeight w:val="840"/>
        </w:trPr>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670"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价格部分</w:t>
            </w:r>
            <w:r/>
          </w:p>
        </w:tc>
        <w:tc>
          <w:tcPr>
            <w:tcW w:w="1064" w:type="dxa"/>
            <w:vAlign w:val="center"/>
            <w:textDirection w:val="lrTb"/>
            <w:noWrap w:val="false"/>
          </w:tcPr>
          <w:p>
            <w:pPr>
              <w:jc w:val="center"/>
              <w:widowControl/>
              <w:rPr>
                <w:rFonts w:hint="eastAsia" w:ascii="宋体" w:hAnsi="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价格</w:t>
            </w:r>
            <w:r/>
          </w:p>
        </w:tc>
        <w:tc>
          <w:tcPr>
            <w:tcW w:w="632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采用低价优先法计算，即满足采购文件要求且有效的报折扣率（折扣率=1-优惠率）最低的报价人的优惠率为评标基准价，满分10分。其他投标人的价格分统一按照下列公式计算：</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投标报价得分=（1-评标基准价）／（1-</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，结果保留两位小数。</w:t>
            </w:r>
            <w:r/>
          </w:p>
        </w:tc>
        <w:tc>
          <w:tcPr>
            <w:tcW w:w="581"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840"/>
        </w:trPr>
        <w:tc>
          <w:tcPr>
            <w:tcW w:w="581"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670"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商务部分</w:t>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tc>
        <w:tc>
          <w:tcPr>
            <w:tcW w:w="6325" w:type="dxa"/>
            <w:vAlign w:val="center"/>
            <w:textDirection w:val="lrTb"/>
            <w:noWrap w:val="false"/>
          </w:tcPr>
          <w:p>
            <w:pPr>
              <w:jc w:val="lef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提供自2023年1月1日以来（以签订合同时间为准）承担过类似</w:t>
            </w:r>
            <w:r>
              <w:rPr>
                <w:rFonts w:hint="eastAsia"/>
                <w:color w:val="auto"/>
                <w:sz w:val="21"/>
                <w:szCs w:val="21"/>
                <w:highlight w:val="none"/>
                <w:u w:val="none"/>
                <w:lang w:val="en-US" w:eastAsia="zh-CN"/>
              </w:rPr>
              <w:t xml:space="preserve">中药饮片供应及代加工</w:t>
            </w:r>
            <w:r>
              <w:rPr>
                <w:rFonts w:hint="eastAsia" w:ascii="宋体" w:hAnsi="宋体" w:eastAsia="宋体" w:cs="宋体"/>
                <w:i w:val="0"/>
                <w:iCs w:val="0"/>
                <w:color w:val="auto"/>
                <w:sz w:val="21"/>
                <w:szCs w:val="21"/>
                <w:highlight w:val="none"/>
                <w:u w:val="none"/>
                <w:lang w:val="en-US" w:eastAsia="zh-CN" w:bidi="ar"/>
              </w:rPr>
              <w:t xml:space="preserve">项目业绩</w:t>
            </w:r>
            <w:r>
              <w:rPr>
                <w:rFonts w:hint="eastAsia" w:ascii="宋体" w:hAnsi="宋体" w:cs="宋体"/>
                <w:i w:val="0"/>
                <w:iCs w:val="0"/>
                <w:color w:val="auto"/>
                <w:sz w:val="21"/>
                <w:szCs w:val="21"/>
                <w:highlight w:val="none"/>
                <w:u w:val="none"/>
                <w:lang w:val="en-US" w:eastAsia="zh-CN" w:bidi="ar"/>
              </w:rPr>
              <w:t xml:space="preserve">的</w:t>
            </w:r>
            <w:r>
              <w:rPr>
                <w:rFonts w:hint="eastAsia" w:ascii="宋体" w:hAnsi="宋体" w:eastAsia="宋体" w:cs="宋体"/>
                <w:i w:val="0"/>
                <w:iCs w:val="0"/>
                <w:color w:val="auto"/>
                <w:sz w:val="21"/>
                <w:szCs w:val="21"/>
                <w:highlight w:val="none"/>
                <w:u w:val="none"/>
                <w:lang w:val="en-US" w:eastAsia="zh-CN" w:bidi="ar"/>
              </w:rPr>
              <w:t xml:space="preserve">，有一个得1分，最高得5分。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须同时提供合同和合同对应的供货发票</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加盖公章</w:t>
            </w:r>
            <w:r>
              <w:rPr>
                <w:rFonts w:hint="eastAsia" w:ascii="宋体" w:hAnsi="宋体" w:cs="宋体"/>
                <w:color w:val="auto"/>
                <w:sz w:val="21"/>
                <w:szCs w:val="21"/>
                <w:highlight w:val="none"/>
                <w:lang w:val="en-US" w:eastAsia="zh-CN"/>
              </w:rPr>
              <w:t xml:space="preserve">的原件扫描件作为证明材料，不提供或未按要求提供不得分。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供应保障能力</w:t>
            </w:r>
            <w:r/>
          </w:p>
        </w:tc>
        <w:tc>
          <w:tcPr>
            <w:tcW w:w="6325" w:type="dxa"/>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投标供应商销售的饮片品种在400种以下不得分，400 种（含）-600 种得1分，600 种（含）-800 种得2分；在800 种（含）以上的得3分，本项最高得3分。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需提供销售的饮片品种目录清单的生产或经营记录扫描件，</w:t>
            </w:r>
            <w:r>
              <w:rPr>
                <w:rFonts w:hint="eastAsia" w:ascii="宋体" w:hAnsi="宋体" w:cs="宋体"/>
                <w:color w:val="auto"/>
                <w:sz w:val="21"/>
                <w:szCs w:val="21"/>
                <w:highlight w:val="none"/>
                <w:lang w:val="en-US" w:eastAsia="zh-CN"/>
              </w:rPr>
              <w:t xml:space="preserve">未提供或未按要求提供不得分</w:t>
            </w:r>
            <w:r>
              <w:rPr>
                <w:rFonts w:hint="eastAsia" w:ascii="宋体" w:hAnsi="宋体" w:cs="宋体"/>
                <w:color w:val="auto"/>
                <w:sz w:val="21"/>
                <w:szCs w:val="21"/>
                <w:highlight w:val="none"/>
              </w:rPr>
              <w:t xml:space="preserve">。</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w:t>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w:t>
            </w:r>
            <w:r/>
          </w:p>
        </w:tc>
        <w:tc>
          <w:tcPr>
            <w:tcW w:w="6325" w:type="dxa"/>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投标人为本项目配备中药师（含以上）或执业中药师数量11人及以上的得6分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8-10人的得3分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5-7人的得1 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5人以下不得分。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项目人员拟派员配置表（格式见附件）</w:t>
            </w:r>
            <w:r>
              <w:rPr>
                <w:rFonts w:hint="eastAsia" w:ascii="宋体" w:hAnsi="宋体" w:cs="宋体"/>
                <w:color w:val="auto"/>
                <w:sz w:val="21"/>
                <w:szCs w:val="21"/>
                <w:highlight w:val="none"/>
              </w:rPr>
              <w:t xml:space="preserve">、资格证书材料扫描件及投标人近半年内任意一个月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不含投标当月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为其的社保缴纳证明扫描件加盖公章，</w:t>
            </w:r>
            <w:r>
              <w:rPr>
                <w:rFonts w:hint="eastAsia" w:ascii="宋体" w:hAnsi="宋体" w:cs="宋体"/>
                <w:color w:val="auto"/>
                <w:sz w:val="21"/>
                <w:szCs w:val="21"/>
                <w:highlight w:val="none"/>
                <w:lang w:val="en-US" w:eastAsia="zh-CN"/>
              </w:rPr>
              <w:t xml:space="preserve">未提供或未按要求提供不得分</w:t>
            </w:r>
            <w:r>
              <w:rPr>
                <w:rFonts w:hint="eastAsia" w:ascii="宋体" w:hAnsi="宋体" w:cs="宋体"/>
                <w:color w:val="auto"/>
                <w:sz w:val="21"/>
                <w:szCs w:val="21"/>
                <w:highlight w:val="none"/>
              </w:rPr>
              <w:t xml:space="preserve">。</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w:t>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信誉</w:t>
            </w:r>
            <w:r/>
          </w:p>
        </w:tc>
        <w:tc>
          <w:tcPr>
            <w:tcW w:w="6325" w:type="dxa"/>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投标供应商具有供应商具备有效期内的质量管理体系认证证书、环境管理体系认证证书、职业健康体系认证证书，每提供一份得2分，共6分。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【注】需</w:t>
            </w:r>
            <w:r>
              <w:rPr>
                <w:rFonts w:hint="eastAsia" w:ascii="宋体" w:hAnsi="宋体" w:cs="宋体"/>
                <w:color w:val="auto"/>
                <w:sz w:val="21"/>
                <w:szCs w:val="21"/>
                <w:highlight w:val="none"/>
              </w:rPr>
              <w:t xml:space="preserve">提供证书扫描件。</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仓储</w:t>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条件</w:t>
            </w:r>
            <w:r/>
          </w:p>
        </w:tc>
        <w:tc>
          <w:tcPr>
            <w:tcW w:w="6325"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供应商具备完善的仓储分区，如常温库、阴凉库，且各区域温湿度监控设备齐全，且运行记录完整的得2分/库，此项最高得4分，未提供证明资料或提供不全的不得分。</w:t>
            </w:r>
            <w:r/>
          </w:p>
          <w:p>
            <w:pPr>
              <w:numPr>
                <w:ilvl w:val="0"/>
                <w:numId w:val="0"/>
              </w:numPr>
              <w:rPr>
                <w:rFonts w:hint="eastAsia" w:ascii="宋体" w:hAnsi="宋体" w:cs="宋体"/>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注】每个分区库须同时具备以下证明资料得2分/库，资料缺项或任意一项不符合要求均不得分。需同时提供该仓储库平面图+房产证明（或租赁证明）+现场温湿度监控设备及仓储库现场照片+监测运行记录（截止投标前6个月任意一个月监测运行记录）。资料须为盖章的原件扫描件。</w:t>
            </w:r>
            <w:r/>
          </w:p>
        </w:tc>
        <w:tc>
          <w:tcPr>
            <w:tcW w:w="581"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w:t>
            </w:r>
            <w:r>
              <w:rPr>
                <w:rFonts w:hint="eastAsia" w:ascii="宋体" w:hAnsi="宋体" w:cs="宋体"/>
                <w:color w:val="auto"/>
                <w:sz w:val="21"/>
                <w:szCs w:val="21"/>
                <w:highlight w:val="none"/>
                <w:lang w:val="en-US" w:eastAsia="zh-CN"/>
              </w:rPr>
              <w:t xml:space="preserve">设备</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投标人配备与本项目相关的质检设备：高效液相色谱仪，三重四级杆液质联用仪、三重四级杆气质联用仪，紫外可见分光光度计，普析原子吸收分光光度计，有一类得1分，最高得5分。</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cs="宋体"/>
                <w:i w:val="0"/>
                <w:iCs w:val="0"/>
                <w:color w:val="auto"/>
                <w:sz w:val="21"/>
                <w:szCs w:val="21"/>
                <w:highlight w:val="none"/>
                <w:u w:val="none"/>
                <w:lang w:val="en-US" w:eastAsia="zh-CN" w:bidi="ar"/>
              </w:rPr>
              <w:t xml:space="preserve">【注】</w:t>
            </w:r>
            <w:r>
              <w:rPr>
                <w:rFonts w:hint="eastAsia" w:ascii="宋体" w:hAnsi="宋体" w:eastAsia="宋体" w:cs="宋体"/>
                <w:i w:val="0"/>
                <w:iCs w:val="0"/>
                <w:color w:val="auto"/>
                <w:sz w:val="21"/>
                <w:szCs w:val="21"/>
                <w:highlight w:val="none"/>
                <w:u w:val="none"/>
                <w:lang w:val="en-US" w:eastAsia="zh-CN" w:bidi="ar"/>
              </w:rPr>
              <w:t xml:space="preserve">设备需提供设备真实有效的购买发票原件扫描件上传系统并签章。</w:t>
            </w:r>
            <w:r>
              <w:rPr>
                <w:rFonts w:hint="eastAsia" w:ascii="宋体" w:hAnsi="宋体" w:cs="宋体"/>
                <w:i w:val="0"/>
                <w:iCs w:val="0"/>
                <w:color w:val="auto"/>
                <w:sz w:val="21"/>
                <w:szCs w:val="21"/>
                <w:highlight w:val="none"/>
                <w:u w:val="none"/>
                <w:lang w:val="en-US" w:eastAsia="zh-CN" w:bidi="ar"/>
              </w:rPr>
              <w:t xml:space="preserve">（供应商如为经营企业，可提供厂家相关资料）。</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投标供应商及饮片生产企业质量抽检</w:t>
            </w:r>
            <w:r/>
          </w:p>
        </w:tc>
        <w:tc>
          <w:tcPr>
            <w:tcW w:w="6325" w:type="dxa"/>
            <w:vAlign w:val="center"/>
            <w:textDirection w:val="lrTb"/>
            <w:noWrap w:val="false"/>
          </w:tcPr>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-2025年国家药品监督管理局官网质量公告上榜条数(关于药品不符合规定的通告查询地址:国家药品监督管理局网址为:https://www.nmpa.gov.cn/xxgk/ggtg/ypggtg/ypchj/index.html。（投标供应商和饮片生产企业)每上榜一次扣1分，扣完为止。供应商(含饮片生产企业)需自行注明2023年-2025年上榜次数并承诺（承诺书格式自拟），不提供或</w:t>
            </w:r>
            <w:r>
              <w:rPr>
                <w:rFonts w:hint="eastAsia" w:ascii="宋体" w:hAnsi="宋体" w:cs="宋体"/>
                <w:i w:val="0"/>
                <w:iCs w:val="0"/>
                <w:color w:val="auto"/>
                <w:sz w:val="21"/>
                <w:szCs w:val="21"/>
                <w:highlight w:val="none"/>
                <w:u w:val="none"/>
                <w:lang w:val="en-US" w:eastAsia="zh-CN" w:bidi="ar"/>
              </w:rPr>
              <w:t xml:space="preserve">未按要求提供</w:t>
            </w:r>
            <w:r>
              <w:rPr>
                <w:rFonts w:hint="eastAsia" w:ascii="宋体" w:hAnsi="宋体" w:eastAsia="宋体" w:cs="宋体"/>
                <w:i w:val="0"/>
                <w:iCs w:val="0"/>
                <w:color w:val="auto"/>
                <w:sz w:val="21"/>
                <w:szCs w:val="21"/>
                <w:highlight w:val="none"/>
                <w:u w:val="none"/>
                <w:lang w:val="en-US" w:eastAsia="zh-CN" w:bidi="ar"/>
              </w:rPr>
              <w:t xml:space="preserve">不得分。（如发现提供虚假材料则</w:t>
            </w:r>
            <w:r>
              <w:rPr>
                <w:rFonts w:hint="eastAsia" w:ascii="宋体" w:hAnsi="宋体" w:cs="宋体"/>
                <w:i w:val="0"/>
                <w:iCs w:val="0"/>
                <w:color w:val="auto"/>
                <w:sz w:val="21"/>
                <w:szCs w:val="21"/>
                <w:highlight w:val="none"/>
                <w:u w:val="none"/>
                <w:lang w:val="en-US" w:eastAsia="zh-CN" w:bidi="ar"/>
              </w:rPr>
              <w:t xml:space="preserve">采购人有权</w:t>
            </w:r>
            <w:r>
              <w:rPr>
                <w:rFonts w:hint="eastAsia" w:ascii="宋体" w:hAnsi="宋体" w:eastAsia="宋体" w:cs="宋体"/>
                <w:i w:val="0"/>
                <w:iCs w:val="0"/>
                <w:color w:val="auto"/>
                <w:sz w:val="21"/>
                <w:szCs w:val="21"/>
                <w:highlight w:val="none"/>
                <w:u w:val="none"/>
                <w:lang w:val="en-US" w:eastAsia="zh-CN" w:bidi="ar"/>
              </w:rPr>
              <w:t xml:space="preserve">取消中标资格）</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r>
      <w:tr>
        <w:trPr>
          <w:jc w:val="center"/>
          <w:trHeight w:val="840"/>
        </w:trPr>
        <w:tc>
          <w:tcPr>
            <w:tcW w:w="581"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3</w:t>
            </w:r>
            <w:r/>
          </w:p>
        </w:tc>
        <w:tc>
          <w:tcPr>
            <w:tcW w:w="670"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技术部分</w:t>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质量控制方案</w:t>
            </w:r>
            <w:r/>
          </w:p>
        </w:tc>
        <w:tc>
          <w:tcPr>
            <w:tcW w:w="6325" w:type="dxa"/>
            <w:vAlign w:val="center"/>
            <w:textDirection w:val="lrTb"/>
            <w:noWrap w:val="false"/>
          </w:tcPr>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根据投标供应商针对本项目的全程质量控制管理方案进行评审，全程质量控制管理方案包括且不限于中药饮片质量控制、代加工服务质量控制、信息管理质量控制等措施和方案。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针对本项目的方案详尽且完善，中药饮片质量控制、代加工服务质量控制、信息管理质量控制等措施和方案均得到有效体现，且具备高度的可操作性和实施效果得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针对本项目的方案较为全面，控制措施较完整，针对性及可操作性一般得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针对本项目的方案简单，可能影响整体质量控制效果得1分；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未</w:t>
            </w:r>
            <w:r>
              <w:rPr>
                <w:rFonts w:hint="eastAsia" w:ascii="宋体" w:hAnsi="宋体" w:eastAsia="宋体" w:cs="宋体"/>
                <w:i w:val="0"/>
                <w:iCs w:val="0"/>
                <w:color w:val="auto"/>
                <w:sz w:val="21"/>
                <w:szCs w:val="21"/>
                <w:highlight w:val="none"/>
                <w:u w:val="none"/>
                <w:lang w:val="en-US" w:eastAsia="zh-CN" w:bidi="ar"/>
              </w:rPr>
              <w:t xml:space="preserve">提供方案或</w:t>
            </w:r>
            <w:r>
              <w:rPr>
                <w:rFonts w:hint="eastAsia" w:ascii="宋体" w:hAnsi="宋体" w:cs="宋体"/>
                <w:i w:val="0"/>
                <w:iCs w:val="0"/>
                <w:color w:val="auto"/>
                <w:sz w:val="21"/>
                <w:szCs w:val="21"/>
                <w:highlight w:val="none"/>
                <w:u w:val="none"/>
                <w:lang w:val="en-US" w:eastAsia="zh-CN" w:bidi="ar"/>
              </w:rPr>
              <w:t xml:space="preserve">方案</w:t>
            </w:r>
            <w:r>
              <w:rPr>
                <w:rFonts w:hint="eastAsia" w:ascii="宋体" w:hAnsi="宋体" w:eastAsia="宋体" w:cs="宋体"/>
                <w:i w:val="0"/>
                <w:iCs w:val="0"/>
                <w:color w:val="auto"/>
                <w:sz w:val="21"/>
                <w:szCs w:val="21"/>
                <w:highlight w:val="none"/>
                <w:u w:val="none"/>
                <w:lang w:val="en-US" w:eastAsia="zh-CN" w:bidi="ar"/>
              </w:rPr>
              <w:t xml:space="preserve">完全不符合要求不得分。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饮片供应方案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针对本项目的供应方案详尽、完善，包括饮片来源、储存管理、配送流程等方面，确保饮片供应的及时性、准确性和安全性得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针对本项目的供应方案基本覆盖主要部分，供应环节步骤较清晰完整，思路较合理得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针对本项目的供应方案内容较为简略，缺乏关键环节的详细描述得1分；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未</w:t>
            </w:r>
            <w:r>
              <w:rPr>
                <w:rFonts w:hint="eastAsia" w:ascii="宋体" w:hAnsi="宋体" w:eastAsia="宋体" w:cs="宋体"/>
                <w:i w:val="0"/>
                <w:iCs w:val="0"/>
                <w:color w:val="auto"/>
                <w:sz w:val="21"/>
                <w:szCs w:val="21"/>
                <w:highlight w:val="none"/>
                <w:u w:val="none"/>
                <w:lang w:val="en-US" w:eastAsia="zh-CN" w:bidi="ar"/>
              </w:rPr>
              <w:t xml:space="preserve">提供方案或</w:t>
            </w:r>
            <w:r>
              <w:rPr>
                <w:rFonts w:hint="eastAsia" w:ascii="宋体" w:hAnsi="宋体" w:cs="宋体"/>
                <w:i w:val="0"/>
                <w:iCs w:val="0"/>
                <w:color w:val="auto"/>
                <w:sz w:val="21"/>
                <w:szCs w:val="21"/>
                <w:highlight w:val="none"/>
                <w:u w:val="none"/>
                <w:lang w:val="en-US" w:eastAsia="zh-CN" w:bidi="ar"/>
              </w:rPr>
              <w:t xml:space="preserve">方案</w:t>
            </w:r>
            <w:r>
              <w:rPr>
                <w:rFonts w:hint="eastAsia" w:ascii="宋体" w:hAnsi="宋体" w:eastAsia="宋体" w:cs="宋体"/>
                <w:i w:val="0"/>
                <w:iCs w:val="0"/>
                <w:color w:val="auto"/>
                <w:sz w:val="21"/>
                <w:szCs w:val="21"/>
                <w:highlight w:val="none"/>
                <w:u w:val="none"/>
                <w:lang w:val="en-US" w:eastAsia="zh-CN" w:bidi="ar"/>
              </w:rPr>
              <w:t xml:space="preserve">完全不符合要求不得分。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代加工（汤剂、膏药）管理方案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针对本项目的管理方案全面且详细，涵盖原料采购、加工流程、成品储存与配送等方面，确保代加工服务的规范化、高效化和安全化得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针对本项目的管理方案基本覆盖主要环节，代加工服务较为规范合理得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针对本项目的管理方案内容较为简单，缺乏关键环节的详细描述得1分；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未</w:t>
            </w:r>
            <w:r>
              <w:rPr>
                <w:rFonts w:hint="eastAsia" w:ascii="宋体" w:hAnsi="宋体" w:eastAsia="宋体" w:cs="宋体"/>
                <w:i w:val="0"/>
                <w:iCs w:val="0"/>
                <w:color w:val="auto"/>
                <w:sz w:val="21"/>
                <w:szCs w:val="21"/>
                <w:highlight w:val="none"/>
                <w:u w:val="none"/>
                <w:lang w:val="en-US" w:eastAsia="zh-CN" w:bidi="ar"/>
              </w:rPr>
              <w:t xml:space="preserve">提供方案或</w:t>
            </w:r>
            <w:r>
              <w:rPr>
                <w:rFonts w:hint="eastAsia" w:ascii="宋体" w:hAnsi="宋体" w:cs="宋体"/>
                <w:i w:val="0"/>
                <w:iCs w:val="0"/>
                <w:color w:val="auto"/>
                <w:sz w:val="21"/>
                <w:szCs w:val="21"/>
                <w:highlight w:val="none"/>
                <w:u w:val="none"/>
                <w:lang w:val="en-US" w:eastAsia="zh-CN" w:bidi="ar"/>
              </w:rPr>
              <w:t xml:space="preserve">方案</w:t>
            </w:r>
            <w:r>
              <w:rPr>
                <w:rFonts w:hint="eastAsia" w:ascii="宋体" w:hAnsi="宋体" w:eastAsia="宋体" w:cs="宋体"/>
                <w:i w:val="0"/>
                <w:iCs w:val="0"/>
                <w:color w:val="auto"/>
                <w:sz w:val="21"/>
                <w:szCs w:val="21"/>
                <w:highlight w:val="none"/>
                <w:u w:val="none"/>
                <w:lang w:val="en-US" w:eastAsia="zh-CN" w:bidi="ar"/>
              </w:rPr>
              <w:t xml:space="preserve">完全不符合要求不得分。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日常管理方案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针对本项目的日常管理方案完善，包括人员培训、设备维护、环境卫生、安全管理等方面，确保日常运营的顺利进行得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针对本项目的日常管理方案较详细，针对性及可操作性一般得2分；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针对本项目的日常管理方案内容较为简略，针对性及可行性不高得1分：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未</w:t>
            </w:r>
            <w:r>
              <w:rPr>
                <w:rFonts w:hint="eastAsia" w:ascii="宋体" w:hAnsi="宋体" w:eastAsia="宋体" w:cs="宋体"/>
                <w:i w:val="0"/>
                <w:iCs w:val="0"/>
                <w:color w:val="auto"/>
                <w:sz w:val="21"/>
                <w:szCs w:val="21"/>
                <w:highlight w:val="none"/>
                <w:u w:val="none"/>
                <w:lang w:val="en-US" w:eastAsia="zh-CN" w:bidi="ar"/>
              </w:rPr>
              <w:t xml:space="preserve">提供方案或</w:t>
            </w:r>
            <w:r>
              <w:rPr>
                <w:rFonts w:hint="eastAsia" w:ascii="宋体" w:hAnsi="宋体" w:cs="宋体"/>
                <w:i w:val="0"/>
                <w:iCs w:val="0"/>
                <w:color w:val="auto"/>
                <w:sz w:val="21"/>
                <w:szCs w:val="21"/>
                <w:highlight w:val="none"/>
                <w:u w:val="none"/>
                <w:lang w:val="en-US" w:eastAsia="zh-CN" w:bidi="ar"/>
              </w:rPr>
              <w:t xml:space="preserve">方案</w:t>
            </w:r>
            <w:r>
              <w:rPr>
                <w:rFonts w:hint="eastAsia" w:ascii="宋体" w:hAnsi="宋体" w:eastAsia="宋体" w:cs="宋体"/>
                <w:i w:val="0"/>
                <w:iCs w:val="0"/>
                <w:color w:val="auto"/>
                <w:sz w:val="21"/>
                <w:szCs w:val="21"/>
                <w:highlight w:val="none"/>
                <w:u w:val="none"/>
                <w:lang w:val="en-US" w:eastAsia="zh-CN" w:bidi="ar"/>
              </w:rPr>
              <w:t xml:space="preserve">完全不符合要求不得分。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差错处理措施及方案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针对本项目的差错处理方案详尽且实用，包括差错识别、原因分析、纠正措施、预防措施等方面，确保及时有效地处理差错并防止类似问题再次发生得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针对本项目的差错处理方案较详细，相关措施较完整，针对性及可操作性一般得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针对本项目的差错处理方案内容较为简单，相关措施针对性及可行性不高得1分；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未</w:t>
            </w:r>
            <w:r>
              <w:rPr>
                <w:rFonts w:hint="eastAsia" w:ascii="宋体" w:hAnsi="宋体" w:eastAsia="宋体" w:cs="宋体"/>
                <w:i w:val="0"/>
                <w:iCs w:val="0"/>
                <w:color w:val="auto"/>
                <w:sz w:val="21"/>
                <w:szCs w:val="21"/>
                <w:highlight w:val="none"/>
                <w:u w:val="none"/>
                <w:lang w:val="en-US" w:eastAsia="zh-CN" w:bidi="ar"/>
              </w:rPr>
              <w:t xml:space="preserve">提供方案或</w:t>
            </w:r>
            <w:r>
              <w:rPr>
                <w:rFonts w:hint="eastAsia" w:ascii="宋体" w:hAnsi="宋体" w:cs="宋体"/>
                <w:i w:val="0"/>
                <w:iCs w:val="0"/>
                <w:color w:val="auto"/>
                <w:sz w:val="21"/>
                <w:szCs w:val="21"/>
                <w:highlight w:val="none"/>
                <w:u w:val="none"/>
                <w:lang w:val="en-US" w:eastAsia="zh-CN" w:bidi="ar"/>
              </w:rPr>
              <w:t xml:space="preserve">方案</w:t>
            </w:r>
            <w:r>
              <w:rPr>
                <w:rFonts w:hint="eastAsia" w:ascii="宋体" w:hAnsi="宋体" w:eastAsia="宋体" w:cs="宋体"/>
                <w:i w:val="0"/>
                <w:iCs w:val="0"/>
                <w:color w:val="auto"/>
                <w:sz w:val="21"/>
                <w:szCs w:val="21"/>
                <w:highlight w:val="none"/>
                <w:u w:val="none"/>
                <w:lang w:val="en-US" w:eastAsia="zh-CN" w:bidi="ar"/>
              </w:rPr>
              <w:t xml:space="preserve">完全不符合要求不得分。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根据投标人提供的针对本项目的售后服务方案，包括售后服务的内容和详细方案合理性、科学性、备件备品、故障响应时间、重大故障的应急预案和措施等情况酌情给分。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针对本项目的售后服务方案详细完整，参照医院实际情况编制，思路合理得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针对本项目的售后服务方案较详细完整，与医院实际情况大致相符，思路较合理得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针对本项目的售后服务方案简单，不太符合医院实际情况，思路合理性一般得1分；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针对本项目的售后服务方案差，不符合医院实际情况，思路合理性差不得分。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针对本项目的</w:t>
            </w:r>
            <w:r>
              <w:rPr>
                <w:rFonts w:hint="eastAsia" w:ascii="宋体" w:hAnsi="宋体" w:eastAsia="宋体" w:cs="宋体"/>
                <w:color w:val="auto"/>
                <w:sz w:val="21"/>
                <w:szCs w:val="21"/>
                <w:highlight w:val="none"/>
                <w:lang w:val="en-US" w:eastAsia="zh-CN"/>
              </w:rPr>
              <w:t xml:space="preserve">应急</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i w:val="0"/>
                <w:iCs w:val="0"/>
                <w:color w:val="auto"/>
                <w:sz w:val="21"/>
                <w:szCs w:val="21"/>
                <w:highlight w:val="none"/>
                <w:u w:val="none"/>
                <w:lang w:val="en-US" w:eastAsia="zh-CN" w:bidi="ar"/>
              </w:rPr>
              <w:t xml:space="preserve">详细完整，针对性强，思路合理得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w:t>
            </w:r>
            <w:r>
              <w:rPr>
                <w:rFonts w:hint="eastAsia" w:ascii="宋体" w:hAnsi="宋体" w:eastAsia="宋体" w:cs="宋体"/>
                <w:color w:val="auto"/>
                <w:sz w:val="21"/>
                <w:szCs w:val="21"/>
                <w:highlight w:val="none"/>
                <w:lang w:val="en-US" w:eastAsia="zh-CN"/>
              </w:rPr>
              <w:t xml:space="preserve">应急</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i w:val="0"/>
                <w:iCs w:val="0"/>
                <w:color w:val="auto"/>
                <w:sz w:val="21"/>
                <w:szCs w:val="21"/>
                <w:highlight w:val="none"/>
                <w:u w:val="none"/>
                <w:lang w:val="en-US" w:eastAsia="zh-CN" w:bidi="ar"/>
              </w:rPr>
              <w:t xml:space="preserve">较详细完整，针对性较强，思路较合理得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w:t>
            </w:r>
            <w:r>
              <w:rPr>
                <w:rFonts w:hint="eastAsia" w:ascii="宋体" w:hAnsi="宋体" w:eastAsia="宋体" w:cs="宋体"/>
                <w:color w:val="auto"/>
                <w:sz w:val="21"/>
                <w:szCs w:val="21"/>
                <w:highlight w:val="none"/>
                <w:lang w:val="en-US" w:eastAsia="zh-CN"/>
              </w:rPr>
              <w:t xml:space="preserve">应急</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i w:val="0"/>
                <w:iCs w:val="0"/>
                <w:color w:val="auto"/>
                <w:sz w:val="21"/>
                <w:szCs w:val="21"/>
                <w:highlight w:val="none"/>
                <w:u w:val="none"/>
                <w:lang w:val="en-US" w:eastAsia="zh-CN" w:bidi="ar"/>
              </w:rPr>
              <w:t xml:space="preserve">简单，针对性一般，思路可行性不高得1分；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lang w:val="en-US" w:eastAsia="zh-CN"/>
              </w:rPr>
              <w:t xml:space="preserve">应急</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i w:val="0"/>
                <w:iCs w:val="0"/>
                <w:color w:val="auto"/>
                <w:sz w:val="21"/>
                <w:szCs w:val="21"/>
                <w:highlight w:val="none"/>
                <w:u w:val="none"/>
                <w:lang w:val="en-US" w:eastAsia="zh-CN" w:bidi="ar"/>
              </w:rPr>
              <w:t xml:space="preserve">无可操作性，思路不合理或未提供方案不得分。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信息系统对接方案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针对本项目的方案至少包括信息系统维护更新的及时性（保证医疗机构和投标供应商间的处方信息和配送信息及时传达到位，服务及时）、处方信息的完整性、配送信息的及时准确性、服务手段的便利性。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针对本项目的对接方案科学合理、信息完整准确，服务便利，得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针对本项目的对接方案科学合理、信息较为完整准确，服务较便利，得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针对本项目的对接方案合理性、信息完整度及准确性不高，服务较为麻烦，得1分；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未提供信息系统对接方案不得分。</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840"/>
        </w:trPr>
        <w:tc>
          <w:tcPr>
            <w:tcW w:w="581"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vMerge w:val="continue"/>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中药饮片溯源方案</w:t>
            </w:r>
            <w:r/>
          </w:p>
        </w:tc>
        <w:tc>
          <w:tcPr>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提供针对本项目药品的溯源管理方案和具体的溯源措施，方案及措施</w:t>
            </w:r>
            <w:r>
              <w:rPr>
                <w:rFonts w:hint="eastAsia" w:ascii="宋体" w:hAnsi="宋体" w:cs="宋体"/>
                <w:i w:val="0"/>
                <w:iCs w:val="0"/>
                <w:color w:val="auto"/>
                <w:sz w:val="21"/>
                <w:szCs w:val="21"/>
                <w:highlight w:val="none"/>
                <w:u w:val="none"/>
                <w:lang w:val="en-US" w:eastAsia="zh-CN" w:bidi="ar"/>
              </w:rPr>
              <w:t xml:space="preserve">需符合</w:t>
            </w:r>
            <w:r>
              <w:rPr>
                <w:rFonts w:hint="eastAsia" w:ascii="宋体" w:hAnsi="宋体" w:eastAsia="宋体" w:cs="宋体"/>
                <w:i w:val="0"/>
                <w:iCs w:val="0"/>
                <w:color w:val="auto"/>
                <w:sz w:val="21"/>
                <w:szCs w:val="21"/>
                <w:highlight w:val="none"/>
                <w:u w:val="none"/>
                <w:lang w:val="en-US" w:eastAsia="zh-CN" w:bidi="ar"/>
              </w:rPr>
              <w:t xml:space="preserve">国家药典及地方饮片标准，方案及措施</w:t>
            </w:r>
            <w:r>
              <w:rPr>
                <w:rFonts w:hint="eastAsia" w:ascii="宋体" w:hAnsi="宋体" w:cs="宋体"/>
                <w:i w:val="0"/>
                <w:iCs w:val="0"/>
                <w:color w:val="auto"/>
                <w:sz w:val="21"/>
                <w:szCs w:val="21"/>
                <w:highlight w:val="none"/>
                <w:u w:val="none"/>
                <w:lang w:val="en-US" w:eastAsia="zh-CN" w:bidi="ar"/>
              </w:rPr>
              <w:t xml:space="preserve">需能够</w:t>
            </w:r>
            <w:r>
              <w:rPr>
                <w:rFonts w:hint="eastAsia" w:ascii="宋体" w:hAnsi="宋体" w:eastAsia="宋体" w:cs="宋体"/>
                <w:i w:val="0"/>
                <w:iCs w:val="0"/>
                <w:color w:val="auto"/>
                <w:sz w:val="21"/>
                <w:szCs w:val="21"/>
                <w:highlight w:val="none"/>
                <w:u w:val="none"/>
                <w:lang w:val="en-US" w:eastAsia="zh-CN" w:bidi="ar"/>
              </w:rPr>
              <w:t xml:space="preserve">溯源每一批次的①原料采购、②验收、③加工、④生产、⑤检验、⑥包装、⑦销售环节，以上一个环节每缺少1个环节的溯源方案</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eastAsia="宋体" w:cs="宋体"/>
                <w:i w:val="0"/>
                <w:iCs w:val="0"/>
                <w:color w:val="auto"/>
                <w:sz w:val="21"/>
                <w:szCs w:val="21"/>
                <w:highlight w:val="none"/>
                <w:u w:val="none"/>
                <w:lang w:val="en-US" w:eastAsia="zh-CN" w:bidi="ar"/>
              </w:rPr>
              <w:t xml:space="preserve">具体的溯源措施</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eastAsia="宋体" w:cs="宋体"/>
                <w:i w:val="0"/>
                <w:iCs w:val="0"/>
                <w:color w:val="auto"/>
                <w:sz w:val="21"/>
                <w:szCs w:val="21"/>
                <w:highlight w:val="none"/>
                <w:u w:val="none"/>
                <w:lang w:val="en-US" w:eastAsia="zh-CN" w:bidi="ar"/>
              </w:rPr>
              <w:t xml:space="preserve">没有支撑材料的扣1分，满分7分。【投标文件中提供采购目录中任意十个品种</w:t>
            </w:r>
            <w:r>
              <w:rPr>
                <w:rFonts w:hint="eastAsia" w:ascii="宋体" w:hAnsi="宋体" w:cs="宋体"/>
                <w:i w:val="0"/>
                <w:iCs w:val="0"/>
                <w:color w:val="auto"/>
                <w:sz w:val="21"/>
                <w:szCs w:val="21"/>
                <w:highlight w:val="none"/>
                <w:u w:val="none"/>
                <w:lang w:val="en-US" w:eastAsia="zh-CN" w:bidi="ar"/>
              </w:rPr>
              <w:t xml:space="preserve">的</w:t>
            </w:r>
            <w:r>
              <w:rPr>
                <w:rFonts w:hint="eastAsia" w:ascii="宋体" w:hAnsi="宋体" w:eastAsia="宋体" w:cs="宋体"/>
                <w:i w:val="0"/>
                <w:iCs w:val="0"/>
                <w:color w:val="auto"/>
                <w:sz w:val="21"/>
                <w:szCs w:val="21"/>
                <w:highlight w:val="none"/>
                <w:u w:val="none"/>
                <w:lang w:val="en-US" w:eastAsia="zh-CN" w:bidi="ar"/>
              </w:rPr>
              <w:t xml:space="preserve">溯源证明材料（如溯源的记录图片、系统截图等）作为支撑材料，材料内容模糊不清、无法分辨的视为未提供】（供应商如为</w:t>
            </w:r>
            <w:r>
              <w:rPr>
                <w:rFonts w:hint="eastAsia" w:ascii="宋体" w:hAnsi="宋体" w:cs="宋体"/>
                <w:i w:val="0"/>
                <w:iCs w:val="0"/>
                <w:color w:val="auto"/>
                <w:sz w:val="21"/>
                <w:szCs w:val="21"/>
                <w:highlight w:val="none"/>
                <w:u w:val="none"/>
                <w:lang w:val="en-US" w:eastAsia="zh-CN" w:bidi="ar"/>
              </w:rPr>
              <w:t xml:space="preserve">经营</w:t>
            </w:r>
            <w:r>
              <w:rPr>
                <w:rFonts w:hint="eastAsia" w:ascii="宋体" w:hAnsi="宋体" w:eastAsia="宋体" w:cs="宋体"/>
                <w:i w:val="0"/>
                <w:iCs w:val="0"/>
                <w:color w:val="auto"/>
                <w:sz w:val="21"/>
                <w:szCs w:val="21"/>
                <w:highlight w:val="none"/>
                <w:u w:val="none"/>
                <w:lang w:val="en-US" w:eastAsia="zh-CN" w:bidi="ar"/>
              </w:rPr>
              <w:t xml:space="preserve">企业，</w:t>
            </w:r>
            <w:r>
              <w:rPr>
                <w:rFonts w:hint="eastAsia" w:ascii="宋体" w:hAnsi="宋体" w:cs="宋体"/>
                <w:i w:val="0"/>
                <w:iCs w:val="0"/>
                <w:color w:val="auto"/>
                <w:sz w:val="21"/>
                <w:szCs w:val="21"/>
                <w:highlight w:val="none"/>
                <w:u w:val="none"/>
                <w:lang w:val="en-US" w:eastAsia="zh-CN" w:bidi="ar"/>
              </w:rPr>
              <w:t xml:space="preserve">可</w:t>
            </w:r>
            <w:r>
              <w:rPr>
                <w:rFonts w:hint="eastAsia" w:ascii="宋体" w:hAnsi="宋体" w:eastAsia="宋体" w:cs="宋体"/>
                <w:i w:val="0"/>
                <w:iCs w:val="0"/>
                <w:color w:val="auto"/>
                <w:sz w:val="21"/>
                <w:szCs w:val="21"/>
                <w:highlight w:val="none"/>
                <w:u w:val="none"/>
                <w:lang w:val="en-US" w:eastAsia="zh-CN" w:bidi="ar"/>
              </w:rPr>
              <w:t xml:space="preserve">提供厂家相关资料）</w:t>
            </w:r>
            <w:r>
              <w:rPr>
                <w:rFonts w:hint="eastAsia" w:ascii="宋体" w:hAnsi="宋体" w:cs="宋体"/>
                <w:i w:val="0"/>
                <w:iCs w:val="0"/>
                <w:color w:val="auto"/>
                <w:sz w:val="21"/>
                <w:szCs w:val="21"/>
                <w:highlight w:val="none"/>
                <w:u w:val="none"/>
                <w:lang w:val="en-US" w:eastAsia="zh-CN" w:bidi="ar"/>
              </w:rPr>
              <w:t xml:space="preserve">。</w:t>
            </w:r>
            <w:r/>
          </w:p>
        </w:tc>
        <w:tc>
          <w:tcPr>
            <w:tcW w:w="5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r>
      <w:tr>
        <w:trPr>
          <w:jc w:val="center"/>
          <w:trHeight w:val="840"/>
        </w:trPr>
        <w:tc>
          <w:tcPr>
            <w:tcW w:w="581"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配送方案</w:t>
            </w:r>
            <w:r>
              <w:rPr>
                <w:rFonts w:hint="eastAsia" w:ascii="宋体" w:hAnsi="宋体" w:eastAsia="宋体" w:cs="宋体"/>
                <w:color w:val="auto"/>
                <w:sz w:val="21"/>
                <w:szCs w:val="21"/>
                <w:highlight w:val="none"/>
                <w:lang w:val="en-US" w:eastAsia="zh-CN"/>
              </w:rPr>
              <w:br/>
            </w:r>
            <w:r/>
          </w:p>
        </w:tc>
        <w:tc>
          <w:tcPr>
            <w:shd w:val="clear" w:color="auto" w:fill="auto"/>
            <w:tcW w:w="632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投标人的配送能力及方案内容进行综合评审，包括但不限于1配送渠道、2物流设施、3配送保管方案、4在运输过程中采取必要的保温或者冷藏措施、5完全保证中药饮片及代加工产品配送的及时性和安全性。方案内容全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针对性强、可操作性强的</w:t>
            </w:r>
            <w:r>
              <w:rPr>
                <w:rFonts w:hint="eastAsia" w:ascii="宋体" w:hAnsi="宋体" w:cs="宋体"/>
                <w:i w:val="0"/>
                <w:iCs w:val="0"/>
                <w:color w:val="auto"/>
                <w:sz w:val="21"/>
                <w:szCs w:val="21"/>
                <w:highlight w:val="none"/>
                <w:u w:val="none"/>
                <w:lang w:val="en-US" w:eastAsia="zh-CN" w:bidi="ar"/>
              </w:rPr>
              <w:t xml:space="preserve">得</w:t>
            </w:r>
            <w:r>
              <w:rPr>
                <w:rFonts w:hint="eastAsia" w:ascii="宋体" w:hAnsi="宋体" w:eastAsia="宋体" w:cs="宋体"/>
                <w:i w:val="0"/>
                <w:iCs w:val="0"/>
                <w:color w:val="auto"/>
                <w:sz w:val="21"/>
                <w:szCs w:val="21"/>
                <w:highlight w:val="none"/>
                <w:u w:val="none"/>
                <w:lang w:val="en-US" w:eastAsia="zh-CN" w:bidi="ar"/>
              </w:rPr>
              <w:t xml:space="preserve">5分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方案内容</w:t>
            </w:r>
            <w:r>
              <w:rPr>
                <w:rFonts w:hint="eastAsia" w:ascii="宋体" w:hAnsi="宋体" w:cs="宋体"/>
                <w:i w:val="0"/>
                <w:iCs w:val="0"/>
                <w:color w:val="auto"/>
                <w:sz w:val="21"/>
                <w:szCs w:val="21"/>
                <w:highlight w:val="none"/>
                <w:u w:val="none"/>
                <w:lang w:val="en-US" w:eastAsia="zh-CN" w:bidi="ar"/>
              </w:rPr>
              <w:t xml:space="preserve">较为</w:t>
            </w:r>
            <w:r>
              <w:rPr>
                <w:rFonts w:hint="eastAsia" w:ascii="宋体" w:hAnsi="宋体" w:eastAsia="宋体" w:cs="宋体"/>
                <w:i w:val="0"/>
                <w:iCs w:val="0"/>
                <w:color w:val="auto"/>
                <w:sz w:val="21"/>
                <w:szCs w:val="21"/>
                <w:highlight w:val="none"/>
                <w:u w:val="none"/>
                <w:lang w:val="en-US" w:eastAsia="zh-CN" w:bidi="ar"/>
              </w:rPr>
              <w:t xml:space="preserve">全面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针对性</w:t>
            </w:r>
            <w:r>
              <w:rPr>
                <w:rFonts w:hint="eastAsia" w:ascii="宋体" w:hAnsi="宋体" w:cs="宋体"/>
                <w:i w:val="0"/>
                <w:iCs w:val="0"/>
                <w:color w:val="auto"/>
                <w:sz w:val="21"/>
                <w:szCs w:val="21"/>
                <w:highlight w:val="none"/>
                <w:u w:val="none"/>
                <w:lang w:val="en-US" w:eastAsia="zh-CN" w:bidi="ar"/>
              </w:rPr>
              <w:t xml:space="preserve">及</w:t>
            </w:r>
            <w:r>
              <w:rPr>
                <w:rFonts w:hint="eastAsia" w:ascii="宋体" w:hAnsi="宋体" w:eastAsia="宋体" w:cs="宋体"/>
                <w:i w:val="0"/>
                <w:iCs w:val="0"/>
                <w:color w:val="auto"/>
                <w:sz w:val="21"/>
                <w:szCs w:val="21"/>
                <w:highlight w:val="none"/>
                <w:u w:val="none"/>
                <w:lang w:val="en-US" w:eastAsia="zh-CN" w:bidi="ar"/>
              </w:rPr>
              <w:t xml:space="preserve">可操作性</w:t>
            </w:r>
            <w:r>
              <w:rPr>
                <w:rFonts w:hint="eastAsia" w:ascii="宋体" w:hAnsi="宋体" w:cs="宋体"/>
                <w:i w:val="0"/>
                <w:iCs w:val="0"/>
                <w:color w:val="auto"/>
                <w:sz w:val="21"/>
                <w:szCs w:val="21"/>
                <w:highlight w:val="none"/>
                <w:u w:val="none"/>
                <w:lang w:val="en-US" w:eastAsia="zh-CN" w:bidi="ar"/>
              </w:rPr>
              <w:t xml:space="preserve">一般</w:t>
            </w:r>
            <w:r>
              <w:rPr>
                <w:rFonts w:hint="eastAsia" w:ascii="宋体" w:hAnsi="宋体" w:eastAsia="宋体" w:cs="宋体"/>
                <w:i w:val="0"/>
                <w:iCs w:val="0"/>
                <w:color w:val="auto"/>
                <w:sz w:val="21"/>
                <w:szCs w:val="21"/>
                <w:highlight w:val="none"/>
                <w:u w:val="none"/>
                <w:lang w:val="en-US" w:eastAsia="zh-CN" w:bidi="ar"/>
              </w:rPr>
              <w:t xml:space="preserve">的，</w:t>
            </w:r>
            <w:r>
              <w:rPr>
                <w:rFonts w:hint="eastAsia" w:ascii="宋体" w:hAnsi="宋体" w:cs="宋体"/>
                <w:i w:val="0"/>
                <w:iCs w:val="0"/>
                <w:color w:val="auto"/>
                <w:sz w:val="21"/>
                <w:szCs w:val="21"/>
                <w:highlight w:val="none"/>
                <w:u w:val="none"/>
                <w:lang w:val="en-US" w:eastAsia="zh-CN" w:bidi="ar"/>
              </w:rPr>
              <w:t xml:space="preserve">得3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方案内容</w:t>
            </w:r>
            <w:r>
              <w:rPr>
                <w:rFonts w:hint="eastAsia" w:ascii="宋体" w:hAnsi="宋体" w:cs="宋体"/>
                <w:i w:val="0"/>
                <w:iCs w:val="0"/>
                <w:color w:val="auto"/>
                <w:sz w:val="21"/>
                <w:szCs w:val="21"/>
                <w:highlight w:val="none"/>
                <w:u w:val="none"/>
                <w:lang w:val="en-US" w:eastAsia="zh-CN" w:bidi="ar"/>
              </w:rPr>
              <w:t xml:space="preserve">不全、无</w:t>
            </w:r>
            <w:r>
              <w:rPr>
                <w:rFonts w:hint="eastAsia" w:ascii="宋体" w:hAnsi="宋体" w:eastAsia="宋体" w:cs="宋体"/>
                <w:i w:val="0"/>
                <w:iCs w:val="0"/>
                <w:color w:val="auto"/>
                <w:sz w:val="21"/>
                <w:szCs w:val="21"/>
                <w:highlight w:val="none"/>
                <w:u w:val="none"/>
                <w:lang w:val="en-US" w:eastAsia="zh-CN" w:bidi="ar"/>
              </w:rPr>
              <w:t xml:space="preserve">针对性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可操作性</w:t>
            </w:r>
            <w:r>
              <w:rPr>
                <w:rFonts w:hint="eastAsia" w:ascii="宋体" w:hAnsi="宋体" w:cs="宋体"/>
                <w:i w:val="0"/>
                <w:iCs w:val="0"/>
                <w:color w:val="auto"/>
                <w:sz w:val="21"/>
                <w:szCs w:val="21"/>
                <w:highlight w:val="none"/>
                <w:u w:val="none"/>
                <w:lang w:val="en-US" w:eastAsia="zh-CN" w:bidi="ar"/>
              </w:rPr>
              <w:t xml:space="preserve">差</w:t>
            </w:r>
            <w:r>
              <w:rPr>
                <w:rFonts w:hint="eastAsia" w:ascii="宋体" w:hAnsi="宋体" w:eastAsia="宋体" w:cs="宋体"/>
                <w:i w:val="0"/>
                <w:iCs w:val="0"/>
                <w:color w:val="auto"/>
                <w:sz w:val="21"/>
                <w:szCs w:val="21"/>
                <w:highlight w:val="none"/>
                <w:u w:val="none"/>
                <w:lang w:val="en-US" w:eastAsia="zh-CN" w:bidi="ar"/>
              </w:rPr>
              <w:t xml:space="preserve">的</w:t>
            </w:r>
            <w:r>
              <w:rPr>
                <w:rFonts w:hint="eastAsia" w:ascii="宋体" w:hAnsi="宋体" w:cs="宋体"/>
                <w:i w:val="0"/>
                <w:iCs w:val="0"/>
                <w:color w:val="auto"/>
                <w:sz w:val="21"/>
                <w:szCs w:val="21"/>
                <w:highlight w:val="none"/>
                <w:u w:val="none"/>
                <w:lang w:val="en-US" w:eastAsia="zh-CN" w:bidi="ar"/>
              </w:rPr>
              <w:t xml:space="preserve">得1</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；未提供不得分。</w:t>
            </w:r>
            <w:r/>
          </w:p>
        </w:tc>
        <w:tc>
          <w:tcPr>
            <w:shd w:val="clear" w:color="auto" w:fill="auto"/>
            <w:tcW w:w="581"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r>
      <w:tr>
        <w:trPr>
          <w:jc w:val="center"/>
          <w:trHeight w:val="840"/>
        </w:trPr>
        <w:tc>
          <w:tcPr>
            <w:tcW w:w="581"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饮片集采中选比较</w:t>
            </w:r>
            <w:r/>
          </w:p>
        </w:tc>
        <w:tc>
          <w:tcPr>
            <w:shd w:val="clear" w:color="auto" w:fill="auto"/>
            <w:tcW w:w="6325"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投标人具有省级及以上中药饮片集采中选品种的中标或配送业绩的，每个得0.5分，本项最高5分。同一品种在不同集采批次中可重复计分，但同一批次内不重复计分。</w:t>
            </w:r>
            <w:r/>
          </w:p>
          <w:p>
            <w:pPr>
              <w:pStyle w:val="746"/>
              <w:ind w:left="0" w:firstLine="0"/>
              <w:rPr>
                <w:rFonts w:hint="eastAsia"/>
                <w:color w:val="auto"/>
                <w:highlight w:val="none"/>
                <w:lang w:val="en-US" w:eastAsia="zh-CN"/>
              </w:rPr>
            </w:pPr>
            <w:r>
              <w:rPr>
                <w:rFonts w:hint="eastAsia"/>
                <w:b w:val="0"/>
                <w:bCs/>
                <w:color w:val="auto"/>
                <w:highlight w:val="none"/>
                <w:lang w:val="en-US" w:eastAsia="zh-CN"/>
              </w:rPr>
              <w:t xml:space="preserve">证明材料:须提供集采中选通知书(或中选结果公告截图，含企业名称及品种名称)以及对应的配送协议/授权书(经营企业适用)、销售发票或履约验收证明。</w:t>
            </w:r>
            <w:r/>
          </w:p>
        </w:tc>
        <w:tc>
          <w:tcPr>
            <w:shd w:val="clear" w:color="auto" w:fill="auto"/>
            <w:tcW w:w="581" w:type="dxa"/>
            <w:vAlign w:val="center"/>
            <w:textDirection w:val="lrTb"/>
            <w:noWrap w:val="false"/>
          </w:tcPr>
          <w:p>
            <w:pPr>
              <w:jc w:val="center"/>
              <w:widowControl/>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r>
      <w:tr>
        <w:trPr>
          <w:jc w:val="center"/>
          <w:trHeight w:val="840"/>
        </w:trPr>
        <w:tc>
          <w:tcPr>
            <w:tcW w:w="581"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0"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W w:w="106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增值服务</w:t>
            </w:r>
            <w:r>
              <w:rPr>
                <w:rFonts w:hint="eastAsia" w:ascii="宋体" w:hAnsi="宋体" w:cs="宋体"/>
                <w:color w:val="auto"/>
                <w:sz w:val="21"/>
                <w:szCs w:val="21"/>
                <w:highlight w:val="none"/>
                <w:lang w:val="en-US" w:eastAsia="zh-CN"/>
              </w:rPr>
              <w:t xml:space="preserve">方案</w:t>
            </w:r>
            <w:r/>
          </w:p>
        </w:tc>
        <w:tc>
          <w:tcPr>
            <w:shd w:val="clear" w:color="auto" w:fill="auto"/>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根据投标人提供的针对本项目增值</w:t>
            </w:r>
            <w:r>
              <w:rPr>
                <w:rFonts w:hint="eastAsia" w:ascii="宋体" w:hAnsi="宋体" w:cs="宋体"/>
                <w:i w:val="0"/>
                <w:iCs w:val="0"/>
                <w:color w:val="auto"/>
                <w:sz w:val="21"/>
                <w:szCs w:val="21"/>
                <w:highlight w:val="none"/>
                <w:u w:val="none"/>
                <w:lang w:val="en-US" w:eastAsia="zh-CN" w:bidi="ar"/>
              </w:rPr>
              <w:t xml:space="preserve">服务</w:t>
            </w:r>
            <w:r>
              <w:rPr>
                <w:rFonts w:hint="eastAsia" w:ascii="宋体" w:hAnsi="宋体" w:eastAsia="宋体" w:cs="宋体"/>
                <w:i w:val="0"/>
                <w:iCs w:val="0"/>
                <w:color w:val="auto"/>
                <w:sz w:val="21"/>
                <w:szCs w:val="21"/>
                <w:highlight w:val="none"/>
                <w:u w:val="none"/>
                <w:lang w:val="en-US" w:eastAsia="zh-CN" w:bidi="ar"/>
              </w:rPr>
              <w:t xml:space="preserve">方案进行独立评审，方案内容包含：1、中医药文化推广（中医药文化宣传、中医药学术交流）2、中医药特色科室建设</w:t>
            </w:r>
            <w:r>
              <w:rPr>
                <w:rFonts w:hint="eastAsia" w:ascii="宋体" w:hAnsi="宋体" w:cs="宋体"/>
                <w:i w:val="0"/>
                <w:iCs w:val="0"/>
                <w:color w:val="auto"/>
                <w:sz w:val="21"/>
                <w:szCs w:val="21"/>
                <w:highlight w:val="none"/>
                <w:u w:val="none"/>
                <w:lang w:val="en-US" w:eastAsia="zh-CN" w:bidi="ar"/>
              </w:rPr>
              <w:t xml:space="preserve">增值服务方案</w:t>
            </w:r>
            <w:r>
              <w:rPr>
                <w:rFonts w:hint="eastAsia" w:ascii="宋体" w:hAnsi="宋体" w:eastAsia="宋体" w:cs="宋体"/>
                <w:i w:val="0"/>
                <w:iCs w:val="0"/>
                <w:color w:val="auto"/>
                <w:sz w:val="21"/>
                <w:szCs w:val="21"/>
                <w:highlight w:val="none"/>
                <w:u w:val="none"/>
                <w:lang w:val="en-US" w:eastAsia="zh-CN" w:bidi="ar"/>
              </w:rPr>
              <w:t xml:space="preserve">。评标委员会结合投标人方案进行打分。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①</w:t>
            </w:r>
            <w:r>
              <w:rPr>
                <w:rFonts w:hint="eastAsia" w:ascii="宋体" w:hAnsi="宋体" w:eastAsia="宋体" w:cs="宋体"/>
                <w:i w:val="0"/>
                <w:iCs w:val="0"/>
                <w:color w:val="auto"/>
                <w:sz w:val="21"/>
                <w:szCs w:val="21"/>
                <w:highlight w:val="none"/>
                <w:u w:val="none"/>
                <w:lang w:val="en-US" w:eastAsia="zh-CN" w:bidi="ar"/>
              </w:rPr>
              <w:t xml:space="preserve">方案内容全面、服务要点明确，思路清晰，针对以上</w:t>
            </w:r>
            <w:r>
              <w:rPr>
                <w:rFonts w:hint="eastAsia" w:ascii="宋体" w:hAnsi="宋体" w:cs="宋体"/>
                <w:i w:val="0"/>
                <w:iCs w:val="0"/>
                <w:color w:val="auto"/>
                <w:sz w:val="21"/>
                <w:szCs w:val="21"/>
                <w:highlight w:val="none"/>
                <w:u w:val="none"/>
                <w:lang w:val="en-US" w:eastAsia="zh-CN" w:bidi="ar"/>
              </w:rPr>
              <w:t xml:space="preserve">两</w:t>
            </w:r>
            <w:r>
              <w:rPr>
                <w:rFonts w:hint="eastAsia" w:ascii="宋体" w:hAnsi="宋体" w:eastAsia="宋体" w:cs="宋体"/>
                <w:i w:val="0"/>
                <w:iCs w:val="0"/>
                <w:color w:val="auto"/>
                <w:sz w:val="21"/>
                <w:szCs w:val="21"/>
                <w:highlight w:val="none"/>
                <w:u w:val="none"/>
                <w:lang w:val="en-US" w:eastAsia="zh-CN" w:bidi="ar"/>
              </w:rPr>
              <w:t xml:space="preserve">方面内容提出专项解决方案和措施，操作性强，对采购人中医药特色科室建设确实能提供有效帮助，并能提供相关方案实施能力佐证</w:t>
            </w:r>
            <w:r>
              <w:rPr>
                <w:rFonts w:hint="eastAsia" w:ascii="宋体" w:hAnsi="宋体" w:cs="宋体"/>
                <w:i w:val="0"/>
                <w:iCs w:val="0"/>
                <w:color w:val="auto"/>
                <w:sz w:val="21"/>
                <w:szCs w:val="21"/>
                <w:highlight w:val="none"/>
                <w:u w:val="none"/>
                <w:lang w:val="en-US" w:eastAsia="zh-CN" w:bidi="ar"/>
              </w:rPr>
              <w:t xml:space="preserve">材料的</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方案有具体内容、有服务要点，有明确思路，有专项解决方案和操作措施，可以基本实现采购需求，</w:t>
            </w:r>
            <w:r>
              <w:rPr>
                <w:rFonts w:hint="eastAsia" w:ascii="宋体" w:hAnsi="宋体" w:cs="宋体"/>
                <w:i w:val="0"/>
                <w:iCs w:val="0"/>
                <w:color w:val="auto"/>
                <w:sz w:val="21"/>
                <w:szCs w:val="21"/>
                <w:highlight w:val="none"/>
                <w:u w:val="none"/>
                <w:lang w:val="en-US" w:eastAsia="zh-CN" w:bidi="ar"/>
              </w:rPr>
              <w:t xml:space="preserve">并</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相关</w:t>
            </w:r>
            <w:r>
              <w:rPr>
                <w:rFonts w:hint="eastAsia" w:ascii="宋体" w:hAnsi="宋体" w:eastAsia="宋体" w:cs="宋体"/>
                <w:i w:val="0"/>
                <w:iCs w:val="0"/>
                <w:color w:val="auto"/>
                <w:sz w:val="21"/>
                <w:szCs w:val="21"/>
                <w:highlight w:val="none"/>
                <w:u w:val="none"/>
                <w:lang w:val="en-US" w:eastAsia="zh-CN" w:bidi="ar"/>
              </w:rPr>
              <w:t xml:space="preserve">佐证</w:t>
            </w:r>
            <w:r>
              <w:rPr>
                <w:rFonts w:hint="eastAsia" w:ascii="宋体" w:hAnsi="宋体" w:cs="宋体"/>
                <w:i w:val="0"/>
                <w:iCs w:val="0"/>
                <w:color w:val="auto"/>
                <w:sz w:val="21"/>
                <w:szCs w:val="21"/>
                <w:highlight w:val="none"/>
                <w:u w:val="none"/>
                <w:lang w:val="en-US" w:eastAsia="zh-CN" w:bidi="ar"/>
              </w:rPr>
              <w:t xml:space="preserve">材料的</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③</w:t>
            </w:r>
            <w:r>
              <w:rPr>
                <w:rFonts w:hint="eastAsia" w:ascii="宋体" w:hAnsi="宋体" w:eastAsia="宋体" w:cs="宋体"/>
                <w:i w:val="0"/>
                <w:iCs w:val="0"/>
                <w:color w:val="auto"/>
                <w:sz w:val="21"/>
                <w:szCs w:val="21"/>
                <w:highlight w:val="none"/>
                <w:u w:val="none"/>
                <w:lang w:val="en-US" w:eastAsia="zh-CN" w:bidi="ar"/>
              </w:rPr>
              <w:t xml:space="preserve">方案内容不全面不具体、服务要点不明确，思路模糊，专项措施不具体，内容有欠缺，无法实现采购需求，但承诺后期通过优化后可以实现采购需求的，得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④</w:t>
            </w:r>
            <w:r>
              <w:rPr>
                <w:rFonts w:hint="eastAsia" w:ascii="宋体" w:hAnsi="宋体" w:eastAsia="宋体" w:cs="宋体"/>
                <w:i w:val="0"/>
                <w:iCs w:val="0"/>
                <w:color w:val="auto"/>
                <w:sz w:val="21"/>
                <w:szCs w:val="21"/>
                <w:highlight w:val="none"/>
                <w:u w:val="none"/>
                <w:lang w:val="en-US" w:eastAsia="zh-CN" w:bidi="ar"/>
              </w:rPr>
              <w:t xml:space="preserve">没有提供相关方案的，不得分。</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【注】需</w:t>
            </w:r>
            <w:r>
              <w:rPr>
                <w:rFonts w:hint="eastAsia" w:ascii="宋体" w:hAnsi="宋体" w:eastAsia="宋体" w:cs="宋体"/>
                <w:i w:val="0"/>
                <w:iCs w:val="0"/>
                <w:color w:val="auto"/>
                <w:sz w:val="21"/>
                <w:szCs w:val="21"/>
                <w:highlight w:val="none"/>
                <w:u w:val="none"/>
                <w:lang w:val="en-US" w:eastAsia="zh-CN" w:bidi="ar"/>
              </w:rPr>
              <w:t xml:space="preserve">提供相关方案佐证</w:t>
            </w:r>
            <w:r>
              <w:rPr>
                <w:rFonts w:hint="eastAsia" w:ascii="宋体" w:hAnsi="宋体" w:cs="宋体"/>
                <w:i w:val="0"/>
                <w:iCs w:val="0"/>
                <w:color w:val="auto"/>
                <w:sz w:val="21"/>
                <w:szCs w:val="21"/>
                <w:highlight w:val="none"/>
                <w:u w:val="none"/>
                <w:lang w:val="en-US" w:eastAsia="zh-CN" w:bidi="ar"/>
              </w:rPr>
              <w:t xml:space="preserve">材料</w:t>
            </w:r>
            <w:r>
              <w:rPr>
                <w:rFonts w:hint="eastAsia" w:ascii="宋体" w:hAnsi="宋体" w:eastAsia="宋体" w:cs="宋体"/>
                <w:i w:val="0"/>
                <w:iCs w:val="0"/>
                <w:color w:val="auto"/>
                <w:sz w:val="21"/>
                <w:szCs w:val="21"/>
                <w:highlight w:val="none"/>
                <w:u w:val="none"/>
                <w:lang w:val="en-US" w:eastAsia="zh-CN" w:bidi="ar"/>
              </w:rPr>
              <w:t xml:space="preserve">（佐证材料指：宣传活动案例，学术交流案例，中医药技术合作案例，项目研发合作案例，中医药技术课题申报合作案例，中医药特色科室建设案例等）</w:t>
            </w:r>
            <w:r/>
          </w:p>
        </w:tc>
        <w:tc>
          <w:tcPr>
            <w:shd w:val="clear" w:color="auto" w:fill="auto"/>
            <w:tcW w:w="581" w:type="dxa"/>
            <w:vAlign w:val="center"/>
            <w:textDirection w:val="lrTb"/>
            <w:noWrap w:val="false"/>
          </w:tcPr>
          <w:p>
            <w:pPr>
              <w:jc w:val="center"/>
              <w:widowControl/>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r>
    </w:tbl>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r>
      <w:r/>
    </w:p>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澄清说明，澄清说明事项涉及评分时，该项不得分。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承诺所提供的商务、技术、业绩资料全部真实，如有伪造，视作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自动放弃投标及成交资格，并视作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自愿接受相关处罚。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4.供应商应根据国家政策调整规律进行报价，充分考虑服务期内的市场因素和成本变化状况的风险。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64"/>
        <w:jc w:val="center"/>
        <w:keepNext w:val="0"/>
        <w:rPr>
          <w:rFonts w:hint="eastAsia" w:ascii="黑体" w:hAnsi="黑体" w:eastAsia="黑体" w:cs="黑体"/>
          <w:color w:val="auto"/>
          <w:sz w:val="32"/>
          <w:szCs w:val="32"/>
          <w:highlight w:val="none"/>
        </w:rPr>
      </w:pPr>
      <w:r/>
      <w:bookmarkStart w:id="106" w:name="_Toc29253"/>
      <w:r>
        <w:rPr>
          <w:rFonts w:hint="eastAsia" w:ascii="黑体" w:hAnsi="黑体" w:eastAsia="黑体" w:cs="黑体"/>
          <w:color w:val="auto"/>
          <w:sz w:val="32"/>
          <w:szCs w:val="32"/>
          <w:highlight w:val="none"/>
        </w:rPr>
        <w:t xml:space="preserve">第六章 响应文件的组成和格式</w:t>
      </w:r>
      <w:bookmarkEnd w:id="106"/>
      <w:r/>
      <w:r/>
    </w:p>
    <w:p>
      <w:pPr>
        <w:rPr>
          <w:rFonts w:hint="eastAsia" w:ascii="宋体" w:hAnsi="宋体" w:cs="宋体"/>
          <w:color w:val="auto"/>
          <w:highlight w:val="none"/>
        </w:rPr>
      </w:pPr>
      <w:r>
        <w:rPr>
          <w:rFonts w:hint="eastAsia" w:ascii="宋体" w:hAnsi="宋体" w:cs="宋体"/>
          <w:color w:val="auto"/>
          <w:highlight w:val="none"/>
        </w:rPr>
      </w:r>
      <w:r/>
    </w:p>
    <w:p>
      <w:pPr>
        <w:pStyle w:val="996"/>
        <w:rPr>
          <w:rFonts w:hint="eastAsia" w:hAnsi="宋体" w:eastAsia="宋体"/>
          <w:color w:val="auto"/>
          <w:highlight w:val="none"/>
        </w:rPr>
      </w:pPr>
      <w:r>
        <w:rPr>
          <w:rFonts w:hint="eastAsia" w:hAnsi="宋体" w:eastAsia="宋体"/>
          <w:color w:val="auto"/>
          <w:highlight w:val="none"/>
        </w:rPr>
      </w:r>
      <w:r/>
    </w:p>
    <w:p>
      <w:pPr>
        <w:pStyle w:val="996"/>
        <w:rPr>
          <w:rFonts w:hint="eastAsia" w:hAnsi="宋体" w:eastAsia="宋体"/>
          <w:color w:val="auto"/>
          <w:highlight w:val="none"/>
        </w:rPr>
      </w:pPr>
      <w:r>
        <w:rPr>
          <w:rFonts w:hint="eastAsia" w:hAnsi="宋体" w:eastAsia="宋体"/>
          <w:color w:val="auto"/>
          <w:highlight w:val="none"/>
        </w:rPr>
      </w:r>
      <w:r/>
    </w:p>
    <w:p>
      <w:pPr>
        <w:pStyle w:val="996"/>
        <w:rPr>
          <w:rFonts w:hint="eastAsia" w:hAnsi="宋体" w:eastAsia="宋体"/>
          <w:color w:val="auto"/>
          <w:highlight w:val="none"/>
        </w:rPr>
      </w:pPr>
      <w:r>
        <w:rPr>
          <w:rFonts w:hint="eastAsia" w:hAnsi="宋体" w:eastAsia="宋体"/>
          <w:color w:val="auto"/>
          <w:highlight w:val="none"/>
        </w:rPr>
      </w:r>
      <w:r/>
    </w:p>
    <w:p>
      <w:pPr>
        <w:pStyle w:val="996"/>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8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7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88"/>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88"/>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88"/>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88"/>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88"/>
        <w:rPr>
          <w:rFonts w:hint="eastAsia" w:ascii="宋体" w:hAnsi="宋体" w:cs="宋体"/>
          <w:color w:val="auto"/>
          <w:highlight w:val="none"/>
        </w:rPr>
      </w:pPr>
      <w:r>
        <w:rPr>
          <w:rFonts w:hint="eastAsia" w:ascii="宋体" w:hAnsi="宋体" w:cs="宋体"/>
          <w:color w:val="auto"/>
          <w:highlight w:val="none"/>
        </w:rPr>
      </w:r>
      <w:r/>
    </w:p>
    <w:p>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highlight w:val="none"/>
        </w:rPr>
        <w:br w:type="page" w:clear="all"/>
      </w:r>
      <w:r>
        <w:rPr>
          <w:rFonts w:hint="eastAsia" w:ascii="宋体" w:hAnsi="宋体" w:cs="宋体"/>
          <w:color w:val="auto"/>
          <w:sz w:val="32"/>
          <w:szCs w:val="32"/>
          <w:highlight w:val="none"/>
        </w:rPr>
        <w:t xml:space="preserve">磋商报价表</w:t>
      </w:r>
      <w:r>
        <w:rPr>
          <w:rFonts w:hint="eastAsia" w:ascii="宋体" w:hAnsi="宋体" w:cs="宋体"/>
          <w:color w:val="auto"/>
          <w:sz w:val="32"/>
          <w:szCs w:val="32"/>
          <w:highlight w:val="none"/>
          <w:lang w:eastAsia="zh-CN"/>
        </w:rPr>
        <w:t xml:space="preserve">（</w:t>
      </w:r>
      <w:r>
        <w:rPr>
          <w:rFonts w:hint="eastAsia" w:ascii="宋体" w:hAnsi="宋体" w:cs="宋体"/>
          <w:color w:val="auto"/>
          <w:sz w:val="32"/>
          <w:szCs w:val="32"/>
          <w:highlight w:val="none"/>
          <w:lang w:val="en-US" w:eastAsia="zh-CN"/>
        </w:rPr>
        <w:t xml:space="preserve">首次报价）</w:t>
      </w:r>
      <w:r/>
    </w:p>
    <w:p>
      <w:pPr>
        <w:pStyle w:val="997"/>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7"/>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r/>
    </w:p>
    <w:p>
      <w:pPr>
        <w:pStyle w:val="997"/>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482"/>
        <w:gridCol w:w="1949"/>
        <w:gridCol w:w="2858"/>
      </w:tblGrid>
      <w:tr>
        <w:trPr>
          <w:cantSplit/>
          <w:jc w:val="center"/>
          <w:trHeight w:val="1182"/>
        </w:trPr>
        <w:tc>
          <w:tcPr>
            <w:tcBorders>
              <w:top w:val="single" w:color="000000" w:sz="6" w:space="0"/>
            </w:tcBorders>
            <w:tcW w:w="3482" w:type="dxa"/>
            <w:vAlign w:val="center"/>
            <w:textDirection w:val="lrTb"/>
            <w:noWrap w:val="false"/>
          </w:tcPr>
          <w:p>
            <w:pPr>
              <w:pStyle w:val="985"/>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1949" w:type="dxa"/>
            <w:vAlign w:val="center"/>
            <w:textDirection w:val="lrTb"/>
            <w:noWrap w:val="false"/>
          </w:tcPr>
          <w:p>
            <w:pPr>
              <w:pStyle w:val="985"/>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85"/>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投标优惠率</w:t>
            </w:r>
            <w:r/>
          </w:p>
        </w:tc>
      </w:tr>
      <w:tr>
        <w:trPr>
          <w:cantSplit/>
          <w:jc w:val="center"/>
          <w:trHeight w:val="1012"/>
        </w:trPr>
        <w:tc>
          <w:tcPr>
            <w:tcW w:w="3482" w:type="dxa"/>
            <w:vAlign w:val="center"/>
            <w:textDirection w:val="lrTb"/>
            <w:noWrap w:val="false"/>
          </w:tcPr>
          <w:p>
            <w:pPr>
              <w:pStyle w:val="985"/>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城中街道社区卫生服务中心中药饮片采购、代加工及配送服务</w:t>
            </w:r>
            <w:r/>
          </w:p>
        </w:tc>
        <w:tc>
          <w:tcPr>
            <w:tcW w:w="1949" w:type="dxa"/>
            <w:vAlign w:val="center"/>
            <w:textDirection w:val="lrTb"/>
            <w:noWrap w:val="false"/>
          </w:tcPr>
          <w:p>
            <w:pPr>
              <w:pStyle w:val="985"/>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8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p>
        </w:tc>
      </w:tr>
    </w:tbl>
    <w:p>
      <w:pPr>
        <w:pStyle w:val="99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ind w:firstLine="420"/>
        <w:spacing w:line="360" w:lineRule="auto"/>
        <w:widowControl w:val="off"/>
        <w:rPr>
          <w:rFonts w:hint="eastAsia" w:ascii="宋体" w:hAnsi="宋体" w:eastAsia="宋体" w:cs="宋体"/>
          <w:color w:val="auto"/>
          <w:highlight w:val="none"/>
        </w:rPr>
      </w:pPr>
      <w:r/>
      <w:bookmarkStart w:id="107" w:name="OLE_LINK18"/>
      <w:r/>
      <w:r/>
    </w:p>
    <w:p>
      <w:pPr>
        <w:pStyle w:val="99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07"/>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注</w:t>
      </w:r>
      <w:r>
        <w:rPr>
          <w:rFonts w:hint="eastAsia" w:ascii="宋体" w:hAnsi="宋体"/>
          <w:color w:val="auto"/>
          <w:szCs w:val="21"/>
          <w:highlight w:val="none"/>
          <w:lang w:eastAsia="zh-CN"/>
        </w:rPr>
        <w:t xml:space="preserve">】</w:t>
      </w:r>
      <w:r/>
    </w:p>
    <w:p>
      <w:pPr>
        <w:ind w:firstLine="42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①本表填报的投标</w:t>
      </w:r>
      <w:r>
        <w:rPr>
          <w:rFonts w:hint="eastAsia" w:ascii="宋体" w:hAnsi="宋体"/>
          <w:color w:val="auto"/>
          <w:szCs w:val="21"/>
          <w:highlight w:val="none"/>
        </w:rPr>
        <w:t xml:space="preserve">优惠率为中药饮片统一优惠率</w:t>
      </w:r>
      <w:r>
        <w:rPr>
          <w:rFonts w:hint="eastAsia" w:ascii="宋体" w:hAnsi="宋体"/>
          <w:color w:val="auto"/>
          <w:szCs w:val="21"/>
          <w:highlight w:val="none"/>
          <w:lang w:eastAsia="zh-CN"/>
        </w:rPr>
        <w:t xml:space="preserve">；</w:t>
      </w:r>
      <w:r/>
    </w:p>
    <w:p>
      <w:pPr>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最高折扣率100%（本项目涉及的折扣率=1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优惠率）注：本次投报的是优惠率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0% ≤优惠率＜100%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如折扣率为40%，则报价表中优惠率填写60%；如打四折，则报价表中优惠率一栏填写60%，以此为例；</w:t>
      </w:r>
      <w:r/>
    </w:p>
    <w:p>
      <w:pPr>
        <w:pStyle w:val="777"/>
        <w:ind w:firstLine="40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③本表为参考格式，以苏采云系统格式为准。</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附件1 ：</w:t>
      </w:r>
      <w:r/>
    </w:p>
    <w:p>
      <w:pPr>
        <w:jc w:val="center"/>
        <w:rPr>
          <w:rFonts w:hint="eastAsia" w:ascii="宋体" w:hAnsi="宋体" w:cs="宋体"/>
          <w:color w:val="auto"/>
          <w:sz w:val="32"/>
          <w:szCs w:val="32"/>
          <w:highlight w:val="none"/>
        </w:rPr>
      </w:pPr>
      <w:r/>
      <w:bookmarkStart w:id="108" w:name="_Toc541"/>
      <w:r>
        <w:rPr>
          <w:rFonts w:hint="eastAsia" w:ascii="宋体" w:hAnsi="宋体" w:cs="宋体"/>
          <w:color w:val="auto"/>
          <w:sz w:val="32"/>
          <w:szCs w:val="32"/>
          <w:highlight w:val="none"/>
        </w:rPr>
        <w:t xml:space="preserve">法定代表人</w:t>
      </w:r>
      <w:r>
        <w:rPr>
          <w:rFonts w:hint="eastAsia" w:ascii="宋体" w:hAnsi="宋体" w:cs="宋体"/>
          <w:color w:val="auto"/>
          <w:sz w:val="32"/>
          <w:szCs w:val="32"/>
          <w:highlight w:val="none"/>
          <w:lang w:val="en-US" w:eastAsia="zh-CN"/>
        </w:rPr>
        <w:t xml:space="preserve">身份</w:t>
      </w:r>
      <w:r>
        <w:rPr>
          <w:rFonts w:hint="eastAsia" w:ascii="宋体" w:hAnsi="宋体" w:cs="宋体"/>
          <w:color w:val="auto"/>
          <w:sz w:val="32"/>
          <w:szCs w:val="32"/>
          <w:highlight w:val="none"/>
        </w:rPr>
        <w:t xml:space="preserve">证明书</w:t>
      </w:r>
      <w:bookmarkEnd w:id="108"/>
      <w:r/>
      <w:r/>
    </w:p>
    <w:p>
      <w:pPr>
        <w:pStyle w:val="986"/>
        <w:keepLines w:val="0"/>
        <w:keepNext w:val="0"/>
        <w:pageBreakBefore w:val="0"/>
        <w:widowControl w:val="off"/>
        <w:rPr>
          <w:rFonts w:hint="eastAsia" w:ascii="宋体" w:hAnsi="宋体" w:eastAsia="宋体"/>
          <w:color w:val="auto"/>
          <w:highlight w:val="none"/>
        </w:rPr>
      </w:pPr>
      <w:r>
        <w:rPr>
          <w:rFonts w:hint="eastAsia" w:ascii="宋体" w:hAnsi="宋体" w:eastAsia="宋体"/>
          <w:color w:val="auto"/>
          <w:highlight w:val="none"/>
        </w:rPr>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u w:val="single"/>
        </w:rPr>
        <w:t xml:space="preserve">（法定代表人姓名）</w:t>
      </w:r>
      <w:r>
        <w:rPr>
          <w:rFonts w:hint="eastAsia" w:ascii="宋体" w:hAnsi="宋体" w:cs="宋体"/>
          <w:color w:val="auto"/>
          <w:highlight w:val="none"/>
        </w:rPr>
        <w:t xml:space="preserve">在</w:t>
      </w:r>
      <w:r>
        <w:rPr>
          <w:rFonts w:hint="eastAsia" w:ascii="宋体" w:hAnsi="宋体" w:cs="宋体"/>
          <w:color w:val="auto"/>
          <w:highlight w:val="none"/>
          <w:u w:val="single"/>
        </w:rPr>
        <w:t xml:space="preserve">（供应商名称）</w:t>
      </w:r>
      <w:r>
        <w:rPr>
          <w:rFonts w:hint="eastAsia" w:ascii="宋体" w:hAnsi="宋体" w:cs="宋体"/>
          <w:color w:val="auto"/>
          <w:highlight w:val="none"/>
        </w:rPr>
        <w:t xml:space="preserve">处任</w:t>
      </w:r>
      <w:r>
        <w:rPr>
          <w:rFonts w:hint="eastAsia" w:ascii="宋体" w:hAnsi="宋体" w:cs="宋体"/>
          <w:color w:val="auto"/>
          <w:highlight w:val="none"/>
          <w:u w:val="single"/>
        </w:rPr>
        <w:t xml:space="preserve">（职务名称）</w:t>
      </w:r>
      <w:r>
        <w:rPr>
          <w:rFonts w:hint="eastAsia" w:ascii="宋体" w:hAnsi="宋体" w:cs="宋体"/>
          <w:color w:val="auto"/>
          <w:highlight w:val="none"/>
        </w:rPr>
        <w:t xml:space="preserve">职务，是</w:t>
      </w:r>
      <w:r>
        <w:rPr>
          <w:rFonts w:hint="eastAsia" w:ascii="宋体" w:hAnsi="宋体" w:cs="宋体"/>
          <w:color w:val="auto"/>
          <w:highlight w:val="none"/>
          <w:u w:val="single"/>
        </w:rPr>
        <w:t xml:space="preserve">（供应商名称）</w:t>
      </w:r>
      <w:r>
        <w:rPr>
          <w:rFonts w:hint="eastAsia" w:ascii="宋体" w:hAnsi="宋体" w:cs="宋体"/>
          <w:color w:val="auto"/>
          <w:highlight w:val="none"/>
        </w:rPr>
        <w:t xml:space="preserve">的法定代表人。</w:t>
      </w:r>
      <w:r/>
    </w:p>
    <w:p>
      <w:pPr>
        <w:pStyle w:val="986"/>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66"/>
        <w:rPr>
          <w:rFonts w:hint="eastAsia" w:ascii="宋体" w:hAnsi="宋体" w:cs="宋体"/>
          <w:color w:val="auto"/>
          <w:highlight w:val="none"/>
        </w:rPr>
      </w:pPr>
      <w:r>
        <w:rPr>
          <w:rFonts w:hint="eastAsia" w:ascii="宋体" w:hAnsi="宋体" w:cs="宋体"/>
          <w:color w:val="auto"/>
          <w:highlight w:val="none"/>
        </w:rPr>
      </w:r>
      <w:r/>
    </w:p>
    <w:tbl>
      <w:tblPr>
        <w:tblStyle w:val="745"/>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66"/>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66"/>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7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09" w:name="_Toc10173"/>
      <w:r/>
      <w:bookmarkStart w:id="110" w:name="_Toc7422"/>
      <w:r/>
      <w:bookmarkStart w:id="111" w:name="_Toc3508"/>
      <w:r/>
      <w:bookmarkStart w:id="112" w:name="_Toc27742"/>
      <w:r>
        <w:rPr>
          <w:rFonts w:hint="eastAsia" w:ascii="宋体" w:hAnsi="宋体" w:cs="宋体"/>
          <w:color w:val="auto"/>
          <w:sz w:val="24"/>
          <w:highlight w:val="none"/>
        </w:rPr>
        <w:t xml:space="preserve">附件2：</w:t>
      </w:r>
      <w:bookmarkEnd w:id="109"/>
      <w:r/>
      <w:bookmarkEnd w:id="110"/>
      <w:r/>
      <w:bookmarkEnd w:id="111"/>
      <w:r/>
      <w:bookmarkEnd w:id="112"/>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13" w:name="_Toc30840"/>
      <w:r/>
      <w:bookmarkStart w:id="114" w:name="_Toc32139"/>
      <w:r/>
      <w:bookmarkStart w:id="115" w:name="_Toc17493"/>
      <w:r/>
      <w:bookmarkStart w:id="116" w:name="_Toc24313"/>
      <w:r>
        <w:rPr>
          <w:rFonts w:hint="eastAsia" w:ascii="宋体" w:hAnsi="宋体" w:cs="宋体"/>
          <w:color w:val="auto"/>
          <w:sz w:val="32"/>
          <w:szCs w:val="32"/>
          <w:highlight w:val="none"/>
        </w:rPr>
        <w:t xml:space="preserve">法定代表人授权委托书</w:t>
      </w:r>
      <w:bookmarkEnd w:id="113"/>
      <w:r/>
      <w:bookmarkEnd w:id="114"/>
      <w:r/>
      <w:bookmarkEnd w:id="115"/>
      <w:r/>
      <w:bookmarkEnd w:id="116"/>
      <w:r/>
      <w:r/>
    </w:p>
    <w:p>
      <w:pPr>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城中街道社区卫生服务中心</w:t>
      </w:r>
      <w:r>
        <w:rPr>
          <w:rFonts w:hint="eastAsia" w:ascii="宋体" w:hAnsi="宋体" w:cs="宋体"/>
          <w:color w:val="auto"/>
          <w:szCs w:val="21"/>
          <w:highlight w:val="none"/>
        </w:rPr>
        <w:t xml:space="preserve">：</w:t>
      </w:r>
      <w:r/>
    </w:p>
    <w:p>
      <w:pPr>
        <w:pStyle w:val="99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9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被授权代表情况：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姓名：                       性别：                    电话：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bl>
      <w:tblPr>
        <w:tblStyle w:val="745"/>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盖</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CA</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子</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章</w:t>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bl>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6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7" w:name="_Toc22640"/>
      <w:r>
        <w:rPr>
          <w:rFonts w:hint="eastAsia" w:ascii="宋体" w:hAnsi="宋体" w:cs="宋体"/>
          <w:color w:val="auto"/>
          <w:highlight w:val="none"/>
        </w:rPr>
        <w:t xml:space="preserve">附件3 ：</w:t>
      </w:r>
      <w:bookmarkEnd w:id="117"/>
      <w:r/>
      <w:r/>
    </w:p>
    <w:p>
      <w:pPr>
        <w:pStyle w:val="999"/>
        <w:rPr>
          <w:rFonts w:hint="eastAsia" w:ascii="宋体" w:hAnsi="宋体" w:cs="宋体"/>
          <w:color w:val="auto"/>
          <w:highlight w:val="none"/>
        </w:rPr>
      </w:pPr>
      <w:r>
        <w:rPr>
          <w:rFonts w:hint="eastAsia" w:ascii="宋体" w:hAnsi="宋体" w:cs="宋体"/>
          <w:color w:val="auto"/>
          <w:highlight w:val="none"/>
        </w:rPr>
      </w:r>
      <w:r/>
    </w:p>
    <w:p>
      <w:pPr>
        <w:pStyle w:val="99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9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6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br w:type="page" w:clear="all"/>
      </w:r>
      <w:bookmarkStart w:id="118" w:name="_Toc14753"/>
      <w:r/>
      <w:bookmarkStart w:id="119" w:name="_Toc28534"/>
      <w:r/>
      <w:bookmarkStart w:id="120" w:name="_Toc20864"/>
      <w:r/>
      <w:bookmarkStart w:id="121" w:name="_Toc3595"/>
      <w:r>
        <w:rPr>
          <w:rFonts w:hint="eastAsia" w:ascii="宋体" w:hAnsi="宋体" w:cs="宋体"/>
          <w:color w:val="auto"/>
          <w:highlight w:val="none"/>
        </w:rPr>
        <w:t xml:space="preserve">附件4：</w:t>
      </w:r>
      <w:bookmarkEnd w:id="118"/>
      <w:r/>
      <w:bookmarkEnd w:id="119"/>
      <w:r/>
      <w:bookmarkEnd w:id="120"/>
      <w:r/>
      <w:bookmarkEnd w:id="121"/>
      <w:r>
        <w:rPr>
          <w:rFonts w:hint="eastAsia" w:ascii="宋体" w:hAnsi="宋体" w:cs="宋体"/>
          <w:color w:val="auto"/>
          <w:highlight w:val="none"/>
        </w:rPr>
        <w:t xml:space="preserve"> </w:t>
      </w:r>
      <w:r/>
    </w:p>
    <w:p>
      <w:pPr>
        <w:pStyle w:val="980"/>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本公司郑重声明，根据《政府采购促进中小企业发展管理办法》（财库﹝2020﹞46 号）的规定，本公司参加</w:t>
      </w:r>
      <w:r>
        <w:rPr>
          <w:rFonts w:hint="eastAsia" w:ascii="宋体" w:hAnsi="宋体" w:eastAsia="宋体" w:cs="宋体"/>
          <w:bCs/>
          <w:color w:val="auto"/>
          <w:sz w:val="21"/>
          <w:szCs w:val="21"/>
          <w:highlight w:val="none"/>
          <w:u w:val="single"/>
        </w:rPr>
        <w:t xml:space="preserve">（单位名称）</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u w:val="single"/>
        </w:rPr>
        <w:t xml:space="preserve">（项目名称）</w:t>
      </w:r>
      <w:r>
        <w:rPr>
          <w:rFonts w:hint="eastAsia" w:ascii="宋体" w:hAnsi="宋体" w:eastAsia="宋体" w:cs="宋体"/>
          <w:bCs/>
          <w:color w:val="auto"/>
          <w:sz w:val="21"/>
          <w:szCs w:val="21"/>
          <w:highlight w:val="none"/>
        </w:rPr>
        <w:t xml:space="preserve">采购活动，服务全部由符合政策要求的中小企业承接。相关企业的具体情况如下：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u w:val="single"/>
        </w:rPr>
        <w:t xml:space="preserve"> （标的名称）</w:t>
      </w:r>
      <w:r>
        <w:rPr>
          <w:rFonts w:hint="eastAsia" w:ascii="宋体" w:hAnsi="宋体" w:eastAsia="宋体" w:cs="宋体"/>
          <w:bCs/>
          <w:color w:val="auto"/>
          <w:sz w:val="21"/>
          <w:szCs w:val="21"/>
          <w:highlight w:val="none"/>
        </w:rPr>
        <w:t xml:space="preserve"> ，属于</w:t>
      </w:r>
      <w:r>
        <w:rPr>
          <w:rFonts w:hint="eastAsia" w:ascii="宋体" w:hAnsi="宋体" w:cs="宋体"/>
          <w:color w:val="auto"/>
          <w:highlight w:val="none"/>
          <w:u w:val="single"/>
          <w:lang w:val="en-US" w:eastAsia="zh-CN"/>
        </w:rPr>
        <w:t xml:space="preserve">其他未列明行业</w:t>
      </w:r>
      <w:r>
        <w:rPr>
          <w:rFonts w:hint="eastAsia" w:ascii="宋体" w:hAnsi="宋体" w:eastAsia="宋体" w:cs="宋体"/>
          <w:bCs/>
          <w:color w:val="auto"/>
          <w:sz w:val="21"/>
          <w:szCs w:val="21"/>
          <w:highlight w:val="none"/>
        </w:rPr>
        <w:t xml:space="preserve">；承接企业为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 中型企业、小型企业、微型企业）</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本企业对上述声明</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的真实性负责。如有虚假，将依法承担相应责任。</w:t>
      </w:r>
      <w:r/>
    </w:p>
    <w:p>
      <w:pPr>
        <w:ind w:right="480" w:firstLine="48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（加盖CA电子章）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2.中小微企业划型标准</w:t>
      </w:r>
      <w:r>
        <w:rPr>
          <w:rFonts w:hint="eastAsia" w:ascii="宋体" w:hAnsi="宋体" w:cs="宋体"/>
          <w:color w:val="auto"/>
          <w:highlight w:val="none"/>
          <w:lang w:val="en-US" w:eastAsia="zh-CN"/>
        </w:rPr>
        <w:t xml:space="preserve">按《</w:t>
      </w:r>
      <w:r>
        <w:rPr>
          <w:rFonts w:hint="eastAsia" w:ascii="宋体" w:hAnsi="宋体" w:cs="宋体"/>
          <w:color w:val="auto"/>
          <w:highlight w:val="none"/>
        </w:rPr>
        <w:t xml:space="preserve">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其他未列明行业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80"/>
        <w:widowControl w:val="off"/>
        <w:rPr>
          <w:rFonts w:hint="eastAsia"/>
          <w:color w:val="auto"/>
          <w:highlight w:val="none"/>
        </w:rPr>
      </w:pPr>
      <w:r>
        <w:rPr>
          <w:rFonts w:hint="eastAsia"/>
          <w:color w:val="auto"/>
          <w:highlight w:val="none"/>
          <w:u w:val="single"/>
        </w:rPr>
        <w:br w:type="page" w:clear="all"/>
      </w:r>
      <w:r>
        <w:rPr>
          <w:rFonts w:hint="eastAsia"/>
          <w:color w:val="auto"/>
          <w:highlight w:val="none"/>
        </w:rPr>
        <w:t xml:space="preserve">附件5：</w:t>
      </w:r>
      <w:r/>
    </w:p>
    <w:p>
      <w:pPr>
        <w:pStyle w:val="980"/>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74"/>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74"/>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74"/>
        <w:rPr>
          <w:rFonts w:hint="eastAsia" w:hAnsi="宋体" w:cs="宋体"/>
          <w:color w:val="auto"/>
          <w:highlight w:val="none"/>
        </w:rPr>
      </w:pPr>
      <w:r>
        <w:rPr>
          <w:rFonts w:hint="eastAsia" w:hAnsi="宋体" w:cs="宋体"/>
          <w:color w:val="auto"/>
          <w:highlight w:val="none"/>
        </w:rPr>
      </w:r>
      <w:r/>
    </w:p>
    <w:p>
      <w:pPr>
        <w:pStyle w:val="974"/>
        <w:rPr>
          <w:rFonts w:hint="eastAsia" w:hAnsi="宋体" w:cs="宋体"/>
          <w:color w:val="auto"/>
          <w:highlight w:val="none"/>
        </w:rPr>
      </w:pPr>
      <w:r>
        <w:rPr>
          <w:rFonts w:hint="eastAsia" w:hAnsi="宋体" w:cs="宋体"/>
          <w:color w:val="auto"/>
          <w:highlight w:val="none"/>
        </w:rPr>
      </w:r>
      <w:r/>
    </w:p>
    <w:p>
      <w:pPr>
        <w:pStyle w:val="980"/>
        <w:widowControl w:val="off"/>
        <w:rPr>
          <w:rFonts w:hint="eastAsia"/>
          <w:color w:val="auto"/>
          <w:highlight w:val="none"/>
        </w:rPr>
      </w:pPr>
      <w:r>
        <w:rPr>
          <w:rFonts w:hint="eastAsia"/>
          <w:color w:val="auto"/>
          <w:highlight w:val="none"/>
        </w:rPr>
        <w:br w:type="page" w:clear="all"/>
      </w:r>
      <w:r>
        <w:rPr>
          <w:rFonts w:hint="eastAsia"/>
          <w:color w:val="auto"/>
          <w:highlight w:val="none"/>
        </w:rPr>
        <w:t xml:space="preserve">附件6：</w:t>
      </w:r>
      <w:r/>
    </w:p>
    <w:p>
      <w:pPr>
        <w:pStyle w:val="974"/>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74"/>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74"/>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74"/>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74"/>
        <w:rPr>
          <w:rFonts w:hint="eastAsia" w:hAnsi="宋体" w:cs="宋体"/>
          <w:color w:val="auto"/>
          <w:highlight w:val="none"/>
        </w:rPr>
      </w:pPr>
      <w:r>
        <w:rPr>
          <w:rFonts w:hint="eastAsia" w:hAnsi="宋体" w:cs="宋体"/>
          <w:color w:val="auto"/>
          <w:highlight w:val="none"/>
        </w:rPr>
      </w:r>
      <w:r/>
    </w:p>
    <w:p>
      <w:pPr>
        <w:pStyle w:val="974"/>
        <w:rPr>
          <w:rFonts w:hint="eastAsia" w:hAnsi="宋体" w:cs="宋体"/>
          <w:color w:val="auto"/>
          <w:highlight w:val="none"/>
        </w:rPr>
      </w:pPr>
      <w:r>
        <w:rPr>
          <w:rFonts w:hint="eastAsia" w:hAnsi="宋体" w:cs="宋体"/>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74"/>
        <w:rPr>
          <w:rFonts w:hint="eastAsia" w:hAnsi="宋体" w:cs="宋体"/>
          <w:color w:val="auto"/>
          <w:highlight w:val="none"/>
        </w:rPr>
      </w:pPr>
      <w:r>
        <w:rPr>
          <w:rFonts w:hint="eastAsia" w:hAnsi="宋体" w:cs="宋体"/>
          <w:color w:val="auto"/>
          <w:highlight w:val="none"/>
        </w:rPr>
      </w:r>
      <w:r/>
    </w:p>
    <w:p>
      <w:pPr>
        <w:pStyle w:val="974"/>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80"/>
        <w:widowControl w:val="off"/>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22" w:name="_Toc56139088"/>
      <w:r/>
      <w:bookmarkStart w:id="123" w:name="_Toc439777351"/>
      <w:r/>
      <w:bookmarkStart w:id="124" w:name="_Toc55707673"/>
      <w:r/>
      <w:bookmarkStart w:id="125" w:name="_Toc54372237"/>
      <w:r/>
      <w:bookmarkStart w:id="126" w:name="_Toc434481560"/>
      <w:r/>
      <w:bookmarkStart w:id="127" w:name="_Toc56153862"/>
      <w:r/>
      <w:bookmarkStart w:id="128" w:name="_Toc439777159"/>
      <w:r/>
      <w:bookmarkStart w:id="129" w:name="_Toc54372655"/>
      <w:r/>
      <w:bookmarkStart w:id="130" w:name="_Toc440442375"/>
      <w:r/>
      <w:bookmarkStart w:id="131" w:name="_Toc55639393"/>
      <w:r/>
      <w:bookmarkStart w:id="132" w:name="_Toc54372071"/>
      <w:r/>
      <w:bookmarkStart w:id="133" w:name="_Toc59896715"/>
      <w:r/>
      <w:bookmarkStart w:id="134" w:name="_Toc56409114"/>
      <w:r/>
      <w:bookmarkStart w:id="135" w:name="_Toc56141898"/>
      <w:r/>
      <w:bookmarkStart w:id="136" w:name="_Toc55705168"/>
      <w:r/>
      <w:bookmarkStart w:id="137" w:name="_Toc59900983"/>
      <w:r/>
      <w:bookmarkStart w:id="138" w:name="_Toc55654540"/>
      <w:r>
        <w:rPr>
          <w:rFonts w:hint="eastAsia"/>
          <w:color w:val="auto"/>
          <w:highlight w:val="none"/>
        </w:rPr>
        <w:t xml:space="preserve">附件7：</w:t>
      </w:r>
      <w:r/>
    </w:p>
    <w:p>
      <w:pPr>
        <w:pStyle w:val="980"/>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98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101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101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101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101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101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1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80"/>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971"/>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erReference w:type="default" r:id="rId11"/>
          <w:footnotePr/>
          <w:endnotePr/>
          <w:type w:val="nextPage"/>
          <w:pgSz w:w="11907" w:h="16840" w:orient="portrait"/>
          <w:pgMar w:top="1440" w:right="1406" w:bottom="1440" w:left="1406"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r/>
    </w:p>
    <w:p>
      <w:pPr>
        <w:pStyle w:val="974"/>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74"/>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999"/>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9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9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9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附件8：</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9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（采购人）</w:t>
      </w:r>
      <w:r/>
    </w:p>
    <w:p>
      <w:pPr>
        <w:pStyle w:val="999"/>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根据贵方为</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项目编号为：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号）磋商文件，正式授权下述签字人______________(姓名和职务)代表我方______________（</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的名称），全权处理本次项目</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的有关事宜。</w:t>
      </w:r>
      <w:r/>
    </w:p>
    <w:p>
      <w:pPr>
        <w:pStyle w:val="99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）按磋商文件规定的各项要求，向采购单位名称提供所需</w:t>
      </w:r>
      <w:r>
        <w:rPr>
          <w:rFonts w:hint="eastAsia" w:ascii="宋体" w:hAnsi="宋体" w:cs="宋体"/>
          <w:color w:val="auto"/>
          <w:highlight w:val="none"/>
        </w:rPr>
        <w:t xml:space="preserve">货物及相关</w:t>
      </w:r>
      <w:r>
        <w:rPr>
          <w:rFonts w:hint="eastAsia" w:ascii="宋体" w:hAnsi="宋体" w:cs="宋体"/>
          <w:color w:val="auto"/>
          <w:highlight w:val="none"/>
          <w:lang w:val="zh-CN"/>
        </w:rPr>
        <w:t xml:space="preserve">服务。</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）我们已详细审核全部磋商文件及其有效补充文件，我们知道必须放弃提出含糊不清或误解问题的权利。</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val="zh-CN"/>
        </w:rPr>
        <w:t xml:space="preserve">）我们同意从规定的</w:t>
      </w:r>
      <w:r>
        <w:rPr>
          <w:rFonts w:hint="eastAsia" w:ascii="宋体" w:hAnsi="宋体" w:cs="宋体"/>
          <w:color w:val="auto"/>
          <w:highlight w:val="none"/>
        </w:rPr>
        <w:t xml:space="preserve">响应文件开启之</w:t>
      </w:r>
      <w:r>
        <w:rPr>
          <w:rFonts w:hint="eastAsia" w:ascii="宋体" w:hAnsi="宋体" w:cs="宋体"/>
          <w:color w:val="auto"/>
          <w:highlight w:val="none"/>
          <w:lang w:val="zh-CN"/>
        </w:rPr>
        <w:t xml:space="preserve">日起遵循本</w:t>
      </w:r>
      <w:r>
        <w:rPr>
          <w:rFonts w:hint="eastAsia" w:ascii="宋体" w:hAnsi="宋体" w:cs="宋体"/>
          <w:color w:val="auto"/>
          <w:highlight w:val="none"/>
        </w:rPr>
        <w:t xml:space="preserve">响应</w:t>
      </w:r>
      <w:r>
        <w:rPr>
          <w:rFonts w:hint="eastAsia" w:ascii="宋体" w:hAnsi="宋体" w:cs="宋体"/>
          <w:color w:val="auto"/>
          <w:highlight w:val="none"/>
          <w:lang w:val="zh-CN"/>
        </w:rPr>
        <w:t xml:space="preserve">文件，并在规定的有效期期满之前均具有约束力。</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val="zh-CN"/>
        </w:rPr>
        <w:t xml:space="preserve">）如果在</w:t>
      </w:r>
      <w:r>
        <w:rPr>
          <w:rFonts w:hint="eastAsia" w:ascii="宋体" w:hAnsi="宋体" w:cs="宋体"/>
          <w:color w:val="auto"/>
          <w:highlight w:val="none"/>
        </w:rPr>
        <w:t xml:space="preserve">响应文件开启</w:t>
      </w:r>
      <w:r>
        <w:rPr>
          <w:rFonts w:hint="eastAsia" w:ascii="宋体" w:hAnsi="宋体" w:cs="宋体"/>
          <w:color w:val="auto"/>
          <w:highlight w:val="none"/>
          <w:lang w:val="zh-CN"/>
        </w:rPr>
        <w:t xml:space="preserve">后规定的有效期内撤回</w:t>
      </w:r>
      <w:r>
        <w:rPr>
          <w:rFonts w:hint="eastAsia" w:ascii="宋体" w:hAnsi="宋体" w:cs="宋体"/>
          <w:color w:val="auto"/>
          <w:highlight w:val="none"/>
        </w:rPr>
        <w:t xml:space="preserve">响应文件</w:t>
      </w:r>
      <w:r>
        <w:rPr>
          <w:rFonts w:hint="eastAsia" w:ascii="宋体" w:hAnsi="宋体" w:cs="宋体"/>
          <w:color w:val="auto"/>
          <w:highlight w:val="none"/>
          <w:lang w:val="zh-CN"/>
        </w:rPr>
        <w:t xml:space="preserve">或中标后拒绝签订合同，由此给采购人造成损失的，</w:t>
      </w:r>
      <w:r>
        <w:rPr>
          <w:rFonts w:hint="eastAsia" w:ascii="宋体" w:hAnsi="宋体" w:cs="宋体"/>
          <w:color w:val="auto"/>
          <w:highlight w:val="none"/>
        </w:rPr>
        <w:t xml:space="preserve">我方将</w:t>
      </w:r>
      <w:r>
        <w:rPr>
          <w:rFonts w:hint="eastAsia" w:ascii="宋体" w:hAnsi="宋体" w:cs="宋体"/>
          <w:color w:val="auto"/>
          <w:highlight w:val="none"/>
          <w:lang w:val="zh-CN"/>
        </w:rPr>
        <w:t xml:space="preserve">承担赔偿责任。</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lang w:val="zh-CN"/>
        </w:rPr>
        <w:t xml:space="preserve">）同意向贵方提供贵方可能另外要求的与</w:t>
      </w:r>
      <w:r>
        <w:rPr>
          <w:rFonts w:hint="eastAsia" w:ascii="宋体" w:hAnsi="宋体" w:cs="宋体"/>
          <w:color w:val="auto"/>
          <w:highlight w:val="none"/>
        </w:rPr>
        <w:t xml:space="preserve">磋商</w:t>
      </w:r>
      <w:r>
        <w:rPr>
          <w:rFonts w:hint="eastAsia" w:ascii="宋体" w:hAnsi="宋体" w:cs="宋体"/>
          <w:color w:val="auto"/>
          <w:highlight w:val="none"/>
          <w:lang w:val="zh-CN"/>
        </w:rPr>
        <w:t xml:space="preserve">有关的任何证据或资料，并保证我方已提供和将要提供的文件是真实的、准确的。</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lang w:val="zh-CN"/>
        </w:rPr>
        <w:t xml:space="preserve">）一旦我方中标，我方将根据磋商文件的规定，严格履行合同的责任和义务，并保证于规定的时间完成</w:t>
      </w:r>
      <w:r>
        <w:rPr>
          <w:rFonts w:hint="eastAsia" w:ascii="宋体" w:hAnsi="宋体" w:cs="宋体"/>
          <w:color w:val="auto"/>
          <w:highlight w:val="none"/>
        </w:rPr>
        <w:t xml:space="preserve">本</w:t>
      </w:r>
      <w:r>
        <w:rPr>
          <w:rFonts w:hint="eastAsia" w:ascii="宋体" w:hAnsi="宋体" w:cs="宋体"/>
          <w:color w:val="auto"/>
          <w:highlight w:val="none"/>
          <w:lang w:val="zh-CN"/>
        </w:rPr>
        <w:t xml:space="preserve">项目，交付买方验收。保证不将项目全部或者部分转包给第三方。</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lang w:val="zh-CN"/>
        </w:rPr>
        <w:t xml:space="preserve">）我们郑重声明：本单位未为此次项目提供过整体设计、规范编制或者项目管理、监理、检测等服务。</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rPr>
        <w:t xml:space="preserve">）遵守磋商文件中要求的收费项目和标准。</w:t>
      </w:r>
      <w:r/>
    </w:p>
    <w:p>
      <w:pPr>
        <w:ind w:firstLine="420"/>
        <w:keepLines w:val="0"/>
        <w:keepNext w:val="0"/>
        <w:pageBreakBefore w:val="0"/>
        <w:spacing w:line="360" w:lineRule="auto"/>
        <w:widowControl w:val="off"/>
        <w:rPr>
          <w:rFonts w:hint="eastAsia"/>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9</w:t>
      </w:r>
      <w:r>
        <w:rPr>
          <w:rFonts w:hint="eastAsia" w:ascii="宋体" w:hAnsi="宋体" w:cs="宋体"/>
          <w:color w:val="auto"/>
          <w:highlight w:val="none"/>
          <w:lang w:val="zh-CN"/>
        </w:rPr>
        <w:t xml:space="preserve">）与本</w:t>
      </w:r>
      <w:r>
        <w:rPr>
          <w:rFonts w:hint="eastAsia" w:ascii="宋体" w:hAnsi="宋体" w:cs="宋体"/>
          <w:color w:val="auto"/>
          <w:highlight w:val="none"/>
        </w:rPr>
        <w:t xml:space="preserve">次磋商</w:t>
      </w:r>
      <w:r>
        <w:rPr>
          <w:rFonts w:hint="eastAsia" w:ascii="宋体" w:hAnsi="宋体" w:cs="宋体"/>
          <w:color w:val="auto"/>
          <w:highlight w:val="none"/>
          <w:lang w:val="zh-CN"/>
        </w:rPr>
        <w:t xml:space="preserve">有关的正式通讯地址为：</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供应商（公章）：</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法定代表人或授权代表（签字）：</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单位地址：</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单位开户银行及</w:t>
      </w:r>
      <w:r>
        <w:rPr>
          <w:rFonts w:hint="eastAsia" w:ascii="宋体" w:hAnsi="宋体" w:cs="宋体"/>
          <w:color w:val="auto"/>
          <w:highlight w:val="none"/>
        </w:rPr>
        <w:t xml:space="preserve">账户</w:t>
      </w:r>
      <w:r>
        <w:rPr>
          <w:rFonts w:hint="eastAsia" w:ascii="宋体" w:hAnsi="宋体" w:cs="宋体"/>
          <w:color w:val="auto"/>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法定代表人或授权代表</w:t>
      </w:r>
      <w:r>
        <w:rPr>
          <w:rFonts w:hint="eastAsia" w:ascii="宋体" w:hAnsi="宋体" w:cs="宋体"/>
          <w:color w:val="auto"/>
          <w:highlight w:val="none"/>
        </w:rPr>
        <w:t xml:space="preserve">手机号码</w:t>
      </w:r>
      <w:r>
        <w:rPr>
          <w:rFonts w:hint="eastAsia" w:ascii="宋体" w:hAnsi="宋体" w:cs="宋体"/>
          <w:color w:val="auto"/>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法定代表人或授权代表</w:t>
      </w:r>
      <w:r>
        <w:rPr>
          <w:rFonts w:hint="eastAsia" w:ascii="宋体" w:hAnsi="宋体" w:cs="宋体"/>
          <w:color w:val="auto"/>
          <w:highlight w:val="none"/>
        </w:rPr>
        <w:t xml:space="preserve">邮箱</w:t>
      </w:r>
      <w:r>
        <w:rPr>
          <w:rFonts w:hint="eastAsia" w:ascii="宋体" w:hAnsi="宋体" w:cs="宋体"/>
          <w:color w:val="auto"/>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2026年  月  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cs="宋体"/>
          <w:color w:val="auto"/>
          <w:highlight w:val="none"/>
        </w:rPr>
      </w:pPr>
      <w:r/>
      <w:bookmarkStart w:id="139" w:name="_Toc7712"/>
      <w:r/>
      <w:bookmarkStart w:id="140" w:name="_Toc26371"/>
      <w:r/>
      <w:bookmarkStart w:id="141" w:name="_Toc12269"/>
      <w:r>
        <w:rPr>
          <w:rFonts w:hint="eastAsia" w:ascii="宋体" w:hAnsi="宋体" w:cs="宋体"/>
          <w:color w:val="auto"/>
          <w:highlight w:val="none"/>
        </w:rPr>
        <w:t xml:space="preserve">附件9：</w:t>
      </w:r>
      <w:bookmarkEnd w:id="139"/>
      <w:r/>
      <w:bookmarkEnd w:id="140"/>
      <w:r/>
      <w:bookmarkEnd w:id="141"/>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 xml:space="preserve">技术</w:t>
      </w:r>
      <w:r>
        <w:rPr>
          <w:rFonts w:hint="eastAsia" w:ascii="宋体" w:hAnsi="宋体" w:cs="宋体"/>
          <w:color w:val="auto"/>
          <w:sz w:val="32"/>
          <w:szCs w:val="32"/>
          <w:highlight w:val="none"/>
          <w:lang w:val="zh-CN"/>
        </w:rPr>
        <w:t xml:space="preserve">及商务响应偏离表</w:t>
      </w:r>
      <w:r/>
    </w:p>
    <w:tbl>
      <w:tblPr>
        <w:tblStyle w:val="745"/>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中提出的</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及商务需求进行比较和响应；其中</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需求主要包含</w:t>
      </w:r>
      <w:r>
        <w:rPr>
          <w:rFonts w:hint="eastAsia" w:ascii="宋体" w:hAnsi="宋体" w:cs="宋体"/>
          <w:color w:val="auto"/>
          <w:highlight w:val="none"/>
          <w:lang w:val="en-US" w:eastAsia="zh-CN"/>
        </w:rPr>
        <w:t xml:space="preserve">配置及技术参数</w:t>
      </w:r>
      <w:r>
        <w:rPr>
          <w:rFonts w:hint="eastAsia" w:ascii="宋体" w:hAnsi="宋体" w:cs="宋体"/>
          <w:color w:val="auto"/>
          <w:highlight w:val="none"/>
        </w:rPr>
        <w:t xml:space="preserve">，商务需求主要包括供应商资格、合同期限、合同报价、支付方式及评审办法中所提出的评审要求等。</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w:t>
      </w:r>
      <w:r/>
    </w:p>
    <w:p>
      <w:pPr>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项目拟派人员配置表</w:t>
      </w:r>
      <w:r/>
    </w:p>
    <w:tbl>
      <w:tblPr>
        <w:tblStyle w:val="745"/>
        <w:tblpPr w:horzAnchor="page" w:tblpX="1487" w:vertAnchor="text" w:tblpY="218" w:leftFromText="180" w:topFromText="0" w:rightFromText="180" w:bottomFromText="0"/>
        <w:tblW w:w="9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8"/>
        <w:gridCol w:w="981"/>
        <w:gridCol w:w="853"/>
        <w:gridCol w:w="1029"/>
        <w:gridCol w:w="1066"/>
        <w:gridCol w:w="1006"/>
        <w:gridCol w:w="1131"/>
        <w:gridCol w:w="1160"/>
      </w:tblGrid>
      <w:tr>
        <w:trPr>
          <w:trHeight w:val="786"/>
        </w:trPr>
        <w:tc>
          <w:tcPr>
            <w:tcW w:w="703"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序号</w:t>
            </w:r>
            <w:r/>
          </w:p>
        </w:tc>
        <w:tc>
          <w:tcPr>
            <w:tcW w:w="1278" w:type="dxa"/>
            <w:vAlign w:val="center"/>
            <w:textDirection w:val="lrTb"/>
            <w:noWrap w:val="false"/>
          </w:tcPr>
          <w:p>
            <w:pPr>
              <w:ind w:firstLine="240"/>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姓   名</w:t>
            </w:r>
            <w:r/>
          </w:p>
        </w:tc>
        <w:tc>
          <w:tcPr>
            <w:tcW w:w="981"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年龄</w:t>
            </w:r>
            <w:r/>
          </w:p>
        </w:tc>
        <w:tc>
          <w:tcPr>
            <w:tcW w:w="853"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性别</w:t>
            </w:r>
            <w:r/>
          </w:p>
        </w:tc>
        <w:tc>
          <w:tcPr>
            <w:tcW w:w="1029"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学 历</w:t>
            </w:r>
            <w:r/>
          </w:p>
        </w:tc>
        <w:tc>
          <w:tcPr>
            <w:tcW w:w="1066"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专业</w:t>
            </w:r>
            <w:r/>
          </w:p>
        </w:tc>
        <w:tc>
          <w:tcPr>
            <w:tcW w:w="1006"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职称</w:t>
            </w:r>
            <w:r/>
          </w:p>
        </w:tc>
        <w:tc>
          <w:tcPr>
            <w:tcW w:w="1131" w:type="dxa"/>
            <w:vAlign w:val="center"/>
            <w:textDirection w:val="lrTb"/>
            <w:noWrap w:val="false"/>
          </w:tcPr>
          <w:p>
            <w:pPr>
              <w:jc w:val="center"/>
              <w:spacing w:line="500" w:lineRule="exact"/>
              <w:rPr>
                <w:rFonts w:ascii="宋体"/>
                <w:color w:val="auto"/>
                <w:sz w:val="21"/>
                <w:szCs w:val="21"/>
                <w:highlight w:val="none"/>
              </w:rPr>
            </w:pPr>
            <w:r>
              <w:rPr>
                <w:rFonts w:ascii="宋体" w:eastAsia="Times New Roman"/>
                <w:color w:val="auto"/>
                <w:sz w:val="21"/>
                <w:szCs w:val="21"/>
                <w:highlight w:val="none"/>
              </w:rPr>
              <w:t xml:space="preserve">在本项目拟任职务</w:t>
            </w:r>
            <w:r/>
          </w:p>
        </w:tc>
        <w:tc>
          <w:tcPr>
            <w:tcW w:w="1160" w:type="dxa"/>
            <w:vAlign w:val="center"/>
            <w:textDirection w:val="lrTb"/>
            <w:noWrap w:val="false"/>
          </w:tcPr>
          <w:p>
            <w:pPr>
              <w:jc w:val="center"/>
              <w:spacing w:line="500" w:lineRule="exact"/>
              <w:rPr>
                <w:rFonts w:hint="default" w:ascii="宋体" w:eastAsia="宋体"/>
                <w:color w:val="auto"/>
                <w:sz w:val="21"/>
                <w:szCs w:val="21"/>
                <w:highlight w:val="none"/>
                <w:lang w:val="en-US" w:eastAsia="zh-CN"/>
              </w:rPr>
            </w:pPr>
            <w:r>
              <w:rPr>
                <w:rFonts w:hint="eastAsia" w:ascii="宋体" w:eastAsia="宋体"/>
                <w:color w:val="auto"/>
                <w:sz w:val="21"/>
                <w:szCs w:val="21"/>
                <w:highlight w:val="none"/>
                <w:lang w:val="en-US" w:eastAsia="zh-CN"/>
              </w:rPr>
              <w:t xml:space="preserve">从事本工作时间</w:t>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1</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2</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3</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4</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5</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6</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786"/>
        </w:trPr>
        <w:tc>
          <w:tcPr>
            <w:tcW w:w="703" w:type="dxa"/>
            <w:vAlign w:val="center"/>
            <w:textDirection w:val="lrTb"/>
            <w:noWrap w:val="false"/>
          </w:tcPr>
          <w:p>
            <w:pPr>
              <w:jc w:val="center"/>
              <w:spacing w:line="500" w:lineRule="exact"/>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 xml:space="preserve">7</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trHeight w:val="801"/>
        </w:trPr>
        <w:tc>
          <w:tcPr>
            <w:tcW w:w="703" w:type="dxa"/>
            <w:vAlign w:val="center"/>
            <w:textDirection w:val="lrTb"/>
            <w:noWrap w:val="false"/>
          </w:tcPr>
          <w:p>
            <w:pPr>
              <w:jc w:val="center"/>
              <w:spacing w:line="500" w:lineRule="exact"/>
              <w:rPr>
                <w:rFonts w:ascii="宋体"/>
                <w:color w:val="auto"/>
                <w:sz w:val="24"/>
                <w:szCs w:val="20"/>
                <w:highlight w:val="none"/>
              </w:rPr>
            </w:pPr>
            <w:r>
              <w:rPr>
                <w:rFonts w:ascii="宋体" w:hAnsi="宋体"/>
                <w:color w:val="auto"/>
                <w:szCs w:val="24"/>
                <w:highlight w:val="none"/>
              </w:rPr>
              <w:t xml:space="preserve">…</w:t>
            </w:r>
            <w:r/>
          </w:p>
        </w:tc>
        <w:tc>
          <w:tcPr>
            <w:tcW w:w="1278"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8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853"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29"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6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006"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31"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1160" w:type="dxa"/>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bl>
    <w:p>
      <w:pPr>
        <w:jc w:val="center"/>
        <w:rPr>
          <w:rFonts w:hint="default" w:ascii="宋体" w:hAnsi="宋体" w:cs="宋体"/>
          <w:color w:val="auto"/>
          <w:sz w:val="32"/>
          <w:szCs w:val="32"/>
          <w:highlight w:val="none"/>
          <w:lang w:val="en-US" w:eastAsia="zh-CN"/>
        </w:rPr>
      </w:pPr>
      <w:r>
        <w:rPr>
          <w:rFonts w:hint="default" w:ascii="宋体" w:hAnsi="宋体" w:cs="宋体"/>
          <w:color w:val="auto"/>
          <w:sz w:val="32"/>
          <w:szCs w:val="32"/>
          <w:highlight w:val="none"/>
          <w:lang w:val="en-US" w:eastAsia="zh-CN"/>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12"/>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490" w:leader="none"/>
        <w:tab w:val="clear" w:pos="7143" w:leader="none"/>
      </w:tabs>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77"/>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77"/>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018"/>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817"/>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818"/>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9"/>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19"/>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20"/>
    <w:uiPriority w:val="9"/>
    <w:unhideWhenUsed/>
    <w:qFormat/>
    <w:pPr>
      <w:keepLines/>
      <w:keepNext/>
      <w:spacing w:before="320" w:after="200"/>
      <w:outlineLvl w:val="4"/>
    </w:pPr>
    <w:rPr>
      <w:rFonts w:ascii="Arial" w:hAnsi="Arial" w:eastAsia="Arial" w:cs="Arial"/>
      <w:b/>
      <w:bCs/>
      <w:sz w:val="24"/>
    </w:rPr>
  </w:style>
  <w:style w:type="paragraph" w:styleId="740">
    <w:name w:val="Heading 6"/>
    <w:basedOn w:val="734"/>
    <w:next w:val="734"/>
    <w:link w:val="82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4"/>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标题二、"/>
    <w:basedOn w:val="734"/>
    <w:uiPriority w:val="99"/>
    <w:qFormat/>
    <w:pPr>
      <w:ind w:firstLine="200"/>
      <w:spacing w:line="360" w:lineRule="auto"/>
      <w:outlineLvl w:val="2"/>
    </w:pPr>
    <w:rPr>
      <w:rFonts w:ascii="宋体" w:hAnsi="宋体"/>
      <w:b/>
      <w:szCs w:val="21"/>
    </w:rPr>
  </w:style>
  <w:style w:type="paragraph" w:styleId="747">
    <w:name w:val="toc 7"/>
    <w:basedOn w:val="734"/>
    <w:next w:val="734"/>
    <w:uiPriority w:val="39"/>
    <w:unhideWhenUsed/>
    <w:qFormat/>
    <w:pPr>
      <w:ind w:left="1701"/>
      <w:spacing w:after="57"/>
    </w:pPr>
  </w:style>
  <w:style w:type="paragraph" w:styleId="748">
    <w:name w:val="Normal Indent"/>
    <w:basedOn w:val="734"/>
    <w:next w:val="734"/>
    <w:link w:val="1013"/>
    <w:uiPriority w:val="0"/>
    <w:qFormat/>
    <w:pPr>
      <w:ind w:firstLine="420"/>
      <w:spacing w:line="240" w:lineRule="auto"/>
    </w:pPr>
    <w:rPr>
      <w:szCs w:val="20"/>
    </w:rPr>
  </w:style>
  <w:style w:type="paragraph" w:styleId="749">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4"/>
    <w:uiPriority w:val="0"/>
    <w:qFormat/>
    <w:pPr>
      <w:jc w:val="left"/>
    </w:pPr>
  </w:style>
  <w:style w:type="paragraph" w:styleId="751">
    <w:name w:val="Body Text"/>
    <w:basedOn w:val="734"/>
    <w:next w:val="734"/>
    <w:uiPriority w:val="0"/>
    <w:qFormat/>
    <w:pPr>
      <w:spacing w:after="120"/>
    </w:pPr>
  </w:style>
  <w:style w:type="paragraph" w:styleId="752">
    <w:name w:val="index 4"/>
    <w:basedOn w:val="734"/>
    <w:next w:val="734"/>
    <w:uiPriority w:val="0"/>
    <w:qFormat/>
    <w:pPr>
      <w:ind w:left="600"/>
    </w:pPr>
    <w:rPr>
      <w:szCs w:val="20"/>
    </w:rPr>
  </w:style>
  <w:style w:type="paragraph" w:styleId="753">
    <w:name w:val="toc 5"/>
    <w:basedOn w:val="734"/>
    <w:next w:val="734"/>
    <w:uiPriority w:val="39"/>
    <w:unhideWhenUsed/>
    <w:qFormat/>
    <w:pPr>
      <w:ind w:left="1134"/>
      <w:spacing w:after="57"/>
    </w:pPr>
  </w:style>
  <w:style w:type="paragraph" w:styleId="754">
    <w:name w:val="toc 3"/>
    <w:basedOn w:val="734"/>
    <w:next w:val="734"/>
    <w:uiPriority w:val="39"/>
    <w:unhideWhenUsed/>
    <w:qFormat/>
    <w:pPr>
      <w:ind w:left="567"/>
      <w:spacing w:after="57"/>
    </w:pPr>
  </w:style>
  <w:style w:type="paragraph" w:styleId="755">
    <w:name w:val="toc 8"/>
    <w:basedOn w:val="734"/>
    <w:next w:val="734"/>
    <w:uiPriority w:val="39"/>
    <w:unhideWhenUsed/>
    <w:qFormat/>
    <w:pPr>
      <w:ind w:left="1984"/>
      <w:spacing w:after="57"/>
    </w:pPr>
  </w:style>
  <w:style w:type="paragraph" w:styleId="756">
    <w:name w:val="endnote text"/>
    <w:basedOn w:val="734"/>
    <w:link w:val="962"/>
    <w:uiPriority w:val="99"/>
    <w:semiHidden/>
    <w:unhideWhenUsed/>
    <w:qFormat/>
    <w:pPr>
      <w:spacing w:line="240" w:lineRule="auto"/>
    </w:pPr>
    <w:rPr>
      <w:sz w:val="20"/>
    </w:rPr>
  </w:style>
  <w:style w:type="paragraph" w:styleId="757">
    <w:name w:val="Footer"/>
    <w:basedOn w:val="734"/>
    <w:link w:val="835"/>
    <w:uiPriority w:val="99"/>
    <w:unhideWhenUsed/>
    <w:qFormat/>
    <w:pPr>
      <w:spacing w:line="240" w:lineRule="auto"/>
      <w:tabs>
        <w:tab w:val="center" w:pos="7143" w:leader="none"/>
        <w:tab w:val="right" w:pos="14287" w:leader="none"/>
      </w:tabs>
    </w:pPr>
  </w:style>
  <w:style w:type="paragraph" w:styleId="758">
    <w:name w:val="Header"/>
    <w:basedOn w:val="734"/>
    <w:link w:val="833"/>
    <w:uiPriority w:val="99"/>
    <w:unhideWhenUsed/>
    <w:qFormat/>
    <w:pPr>
      <w:spacing w:line="240" w:lineRule="auto"/>
      <w:tabs>
        <w:tab w:val="center" w:pos="7143" w:leader="none"/>
        <w:tab w:val="right" w:pos="14287" w:leader="none"/>
      </w:tabs>
    </w:pPr>
  </w:style>
  <w:style w:type="paragraph" w:styleId="759">
    <w:name w:val="toc 1"/>
    <w:basedOn w:val="734"/>
    <w:next w:val="734"/>
    <w:uiPriority w:val="39"/>
    <w:unhideWhenUsed/>
    <w:qFormat/>
    <w:pPr>
      <w:spacing w:after="57"/>
    </w:pPr>
  </w:style>
  <w:style w:type="paragraph" w:styleId="760">
    <w:name w:val="toc 4"/>
    <w:basedOn w:val="734"/>
    <w:next w:val="734"/>
    <w:uiPriority w:val="39"/>
    <w:unhideWhenUsed/>
    <w:qFormat/>
    <w:pPr>
      <w:ind w:left="850"/>
      <w:spacing w:after="57"/>
    </w:pPr>
  </w:style>
  <w:style w:type="paragraph" w:styleId="761">
    <w:name w:val="Subtitle"/>
    <w:basedOn w:val="734"/>
    <w:next w:val="734"/>
    <w:link w:val="828"/>
    <w:uiPriority w:val="11"/>
    <w:qFormat/>
    <w:pPr>
      <w:spacing w:before="200" w:after="200"/>
    </w:pPr>
    <w:rPr>
      <w:sz w:val="24"/>
    </w:rPr>
  </w:style>
  <w:style w:type="paragraph" w:styleId="762">
    <w:name w:val="footnote text"/>
    <w:basedOn w:val="734"/>
    <w:link w:val="961"/>
    <w:uiPriority w:val="99"/>
    <w:semiHidden/>
    <w:unhideWhenUsed/>
    <w:qFormat/>
    <w:pPr>
      <w:spacing w:after="40" w:line="240" w:lineRule="auto"/>
    </w:pPr>
    <w:rPr>
      <w:sz w:val="18"/>
    </w:rPr>
  </w:style>
  <w:style w:type="paragraph" w:styleId="763">
    <w:name w:val="toc 6"/>
    <w:basedOn w:val="734"/>
    <w:next w:val="734"/>
    <w:uiPriority w:val="39"/>
    <w:unhideWhenUsed/>
    <w:qFormat/>
    <w:pPr>
      <w:ind w:left="1417"/>
      <w:spacing w:after="57"/>
    </w:pPr>
  </w:style>
  <w:style w:type="paragraph" w:styleId="764">
    <w:name w:val="table of figures"/>
    <w:basedOn w:val="734"/>
    <w:next w:val="734"/>
    <w:uiPriority w:val="99"/>
    <w:unhideWhenUsed/>
    <w:qFormat/>
  </w:style>
  <w:style w:type="paragraph" w:styleId="765">
    <w:name w:val="toc 2"/>
    <w:basedOn w:val="734"/>
    <w:next w:val="734"/>
    <w:uiPriority w:val="39"/>
    <w:unhideWhenUsed/>
    <w:qFormat/>
    <w:pPr>
      <w:ind w:left="283"/>
      <w:spacing w:after="57"/>
    </w:pPr>
  </w:style>
  <w:style w:type="paragraph" w:styleId="766">
    <w:name w:val="toc 9"/>
    <w:basedOn w:val="734"/>
    <w:next w:val="734"/>
    <w:uiPriority w:val="39"/>
    <w:unhideWhenUsed/>
    <w:qFormat/>
    <w:pPr>
      <w:ind w:left="2268"/>
      <w:spacing w:after="57"/>
    </w:pPr>
  </w:style>
  <w:style w:type="paragraph" w:styleId="767">
    <w:name w:val="Body Text 2"/>
    <w:uiPriority w:val="0"/>
    <w:qFormat/>
    <w:pPr>
      <w:spacing w:after="120" w:line="480" w:lineRule="auto"/>
    </w:pPr>
    <w:rPr>
      <w:rFonts w:hint="default" w:ascii="Arial" w:hAnsi="Arial" w:eastAsia="Arial" w:cs="Arial"/>
      <w:color w:val="000000"/>
      <w:sz w:val="21"/>
      <w:szCs w:val="21"/>
      <w:lang w:val="en-US" w:eastAsia="en-US" w:bidi="ar-SA"/>
    </w:rPr>
  </w:style>
  <w:style w:type="paragraph" w:styleId="768">
    <w:name w:val="HTML Preformatted"/>
    <w:basedOn w:val="734"/>
    <w:link w:val="1014"/>
    <w:uiPriority w:val="99"/>
    <w:semiHidden/>
    <w:unhideWhenUsed/>
    <w:qFormat/>
    <w:rPr>
      <w:rFonts w:ascii="Courier New" w:hAnsi="Courier New" w:cs="Courier New"/>
      <w:sz w:val="20"/>
      <w:szCs w:val="20"/>
    </w:rPr>
  </w:style>
  <w:style w:type="paragraph" w:styleId="769">
    <w:name w:val="Title"/>
    <w:basedOn w:val="734"/>
    <w:next w:val="734"/>
    <w:link w:val="827"/>
    <w:uiPriority w:val="10"/>
    <w:qFormat/>
    <w:pPr>
      <w:contextualSpacing/>
      <w:spacing w:before="300" w:after="200"/>
    </w:pPr>
    <w:rPr>
      <w:sz w:val="48"/>
      <w:szCs w:val="48"/>
    </w:rPr>
  </w:style>
  <w:style w:type="paragraph" w:styleId="770">
    <w:name w:val="Body Text First Indent"/>
    <w:basedOn w:val="751"/>
    <w:uiPriority w:val="99"/>
    <w:unhideWhenUsed/>
    <w:qFormat/>
    <w:pPr>
      <w:ind w:firstLine="200"/>
      <w:spacing w:line="360" w:lineRule="auto"/>
    </w:pPr>
    <w:rPr>
      <w:rFonts w:ascii="仿宋_GB2312" w:hAnsi="Times New Roman" w:eastAsia="仿宋_GB2312"/>
      <w:sz w:val="30"/>
      <w:szCs w:val="30"/>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FollowedHyperlink"/>
    <w:basedOn w:val="744"/>
    <w:uiPriority w:val="99"/>
    <w:semiHidden/>
    <w:unhideWhenUsed/>
    <w:qFormat/>
    <w:rPr>
      <w:color w:val="333333"/>
      <w:u w:val="none"/>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正文文本12"/>
    <w:basedOn w:val="734"/>
    <w:next w:val="734"/>
    <w:uiPriority w:val="99"/>
    <w:qFormat/>
    <w:rPr>
      <w:rFonts w:ascii="华文中宋" w:hAnsi="Times New Roman" w:eastAsia="华文中宋"/>
      <w:bCs/>
      <w:sz w:val="28"/>
      <w:szCs w:val="20"/>
    </w:rPr>
  </w:style>
  <w:style w:type="paragraph" w:styleId="777" w:customStyle="1">
    <w:name w:val="段"/>
    <w:next w:val="734"/>
    <w:uiPriority w:val="0"/>
    <w:qFormat/>
    <w:pPr>
      <w:ind w:firstLine="200"/>
      <w:jc w:val="both"/>
    </w:pPr>
    <w:rPr>
      <w:rFonts w:hint="default" w:ascii="宋体" w:hAnsi="Times New Roman" w:eastAsia="宋体" w:cs="Times New Roman"/>
      <w:sz w:val="21"/>
      <w:lang w:val="en-US" w:eastAsia="zh-CN" w:bidi="ar-SA"/>
    </w:rPr>
  </w:style>
  <w:style w:type="paragraph" w:styleId="778" w:customStyle="1">
    <w:name w:val="正文文本11"/>
    <w:basedOn w:val="734"/>
    <w:next w:val="734"/>
    <w:uiPriority w:val="0"/>
    <w:qFormat/>
    <w:pPr>
      <w:spacing w:before="120" w:line="22" w:lineRule="atLeast"/>
      <w:tabs>
        <w:tab w:val="left" w:pos="567" w:leader="none"/>
      </w:tabs>
    </w:pPr>
    <w:rPr>
      <w:rFonts w:ascii="宋体" w:hAnsi="宋体"/>
      <w:sz w:val="24"/>
    </w:rPr>
  </w:style>
  <w:style w:type="character" w:styleId="779" w:customStyle="1">
    <w:name w:val="标题 3 字符"/>
    <w:link w:val="737"/>
    <w:uiPriority w:val="9"/>
    <w:qFormat/>
    <w:rPr>
      <w:rFonts w:ascii="Arial" w:hAnsi="Arial" w:eastAsia="Arial" w:cs="Arial"/>
      <w:sz w:val="30"/>
      <w:szCs w:val="30"/>
    </w:rPr>
  </w:style>
  <w:style w:type="character" w:styleId="780" w:customStyle="1">
    <w:name w:val="Heading 1 Char"/>
    <w:basedOn w:val="744"/>
    <w:uiPriority w:val="9"/>
    <w:qFormat/>
    <w:rPr>
      <w:rFonts w:ascii="Arial" w:hAnsi="Arial" w:eastAsia="Arial" w:cs="Arial"/>
      <w:sz w:val="40"/>
      <w:szCs w:val="40"/>
    </w:rPr>
  </w:style>
  <w:style w:type="character" w:styleId="781" w:customStyle="1">
    <w:name w:val="Heading 2 Char"/>
    <w:basedOn w:val="744"/>
    <w:uiPriority w:val="9"/>
    <w:qFormat/>
    <w:rPr>
      <w:rFonts w:ascii="Arial" w:hAnsi="Arial" w:eastAsia="Arial" w:cs="Arial"/>
      <w:sz w:val="34"/>
    </w:rPr>
  </w:style>
  <w:style w:type="character" w:styleId="782" w:customStyle="1">
    <w:name w:val="Heading 3 Char"/>
    <w:basedOn w:val="744"/>
    <w:uiPriority w:val="9"/>
    <w:qFormat/>
    <w:rPr>
      <w:rFonts w:ascii="Arial" w:hAnsi="Arial" w:eastAsia="Arial" w:cs="Arial"/>
      <w:sz w:val="30"/>
      <w:szCs w:val="30"/>
    </w:rPr>
  </w:style>
  <w:style w:type="character" w:styleId="783" w:customStyle="1">
    <w:name w:val="Heading 4 Char"/>
    <w:basedOn w:val="744"/>
    <w:uiPriority w:val="9"/>
    <w:qFormat/>
    <w:rPr>
      <w:rFonts w:ascii="Arial" w:hAnsi="Arial" w:eastAsia="Arial" w:cs="Arial"/>
      <w:b/>
      <w:bCs/>
      <w:sz w:val="26"/>
      <w:szCs w:val="26"/>
    </w:rPr>
  </w:style>
  <w:style w:type="character" w:styleId="784" w:customStyle="1">
    <w:name w:val="Heading 5 Char"/>
    <w:basedOn w:val="744"/>
    <w:uiPriority w:val="9"/>
    <w:qFormat/>
    <w:rPr>
      <w:rFonts w:ascii="Arial" w:hAnsi="Arial" w:eastAsia="Arial" w:cs="Arial"/>
      <w:b/>
      <w:bCs/>
      <w:sz w:val="24"/>
      <w:szCs w:val="24"/>
    </w:rPr>
  </w:style>
  <w:style w:type="character" w:styleId="785" w:customStyle="1">
    <w:name w:val="Heading 6 Char"/>
    <w:basedOn w:val="744"/>
    <w:uiPriority w:val="9"/>
    <w:qFormat/>
    <w:rPr>
      <w:rFonts w:ascii="Arial" w:hAnsi="Arial" w:eastAsia="Arial" w:cs="Arial"/>
      <w:b/>
      <w:bCs/>
      <w:sz w:val="22"/>
      <w:szCs w:val="22"/>
    </w:rPr>
  </w:style>
  <w:style w:type="character" w:styleId="786" w:customStyle="1">
    <w:name w:val="Heading 7 Char"/>
    <w:basedOn w:val="744"/>
    <w:uiPriority w:val="9"/>
    <w:qFormat/>
    <w:rPr>
      <w:rFonts w:ascii="Arial" w:hAnsi="Arial" w:eastAsia="Arial" w:cs="Arial"/>
      <w:b/>
      <w:bCs/>
      <w:i/>
      <w:iCs/>
      <w:sz w:val="22"/>
      <w:szCs w:val="22"/>
    </w:rPr>
  </w:style>
  <w:style w:type="character" w:styleId="787" w:customStyle="1">
    <w:name w:val="Heading 8 Char"/>
    <w:basedOn w:val="744"/>
    <w:uiPriority w:val="9"/>
    <w:qFormat/>
    <w:rPr>
      <w:rFonts w:ascii="Arial" w:hAnsi="Arial" w:eastAsia="Arial" w:cs="Arial"/>
      <w:i/>
      <w:iCs/>
      <w:sz w:val="22"/>
      <w:szCs w:val="22"/>
    </w:rPr>
  </w:style>
  <w:style w:type="character" w:styleId="788" w:customStyle="1">
    <w:name w:val="Heading 9 Char"/>
    <w:basedOn w:val="744"/>
    <w:uiPriority w:val="9"/>
    <w:qFormat/>
    <w:rPr>
      <w:rFonts w:ascii="Arial" w:hAnsi="Arial" w:eastAsia="Arial" w:cs="Arial"/>
      <w:i/>
      <w:iCs/>
      <w:sz w:val="21"/>
      <w:szCs w:val="21"/>
    </w:rPr>
  </w:style>
  <w:style w:type="character" w:styleId="789" w:customStyle="1">
    <w:name w:val="Title Char"/>
    <w:basedOn w:val="744"/>
    <w:uiPriority w:val="10"/>
    <w:qFormat/>
    <w:rPr>
      <w:sz w:val="48"/>
      <w:szCs w:val="48"/>
    </w:rPr>
  </w:style>
  <w:style w:type="character" w:styleId="790" w:customStyle="1">
    <w:name w:val="Subtitle Char"/>
    <w:basedOn w:val="744"/>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44"/>
    <w:uiPriority w:val="99"/>
    <w:qFormat/>
  </w:style>
  <w:style w:type="character" w:styleId="794" w:customStyle="1">
    <w:name w:val="Caption Char"/>
    <w:uiPriority w:val="99"/>
    <w:qFormat/>
  </w:style>
  <w:style w:type="table" w:styleId="795"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character" w:styleId="817" w:customStyle="1">
    <w:name w:val="标题 1 字符"/>
    <w:link w:val="735"/>
    <w:uiPriority w:val="9"/>
    <w:qFormat/>
    <w:rPr>
      <w:rFonts w:ascii="Arial" w:hAnsi="Arial" w:eastAsia="Arial" w:cs="Arial"/>
      <w:sz w:val="40"/>
      <w:szCs w:val="40"/>
    </w:rPr>
  </w:style>
  <w:style w:type="character" w:styleId="818" w:customStyle="1">
    <w:name w:val="标题 2 字符"/>
    <w:link w:val="736"/>
    <w:uiPriority w:val="9"/>
    <w:qFormat/>
    <w:rPr>
      <w:rFonts w:ascii="Arial" w:hAnsi="Arial" w:eastAsia="Arial" w:cs="Arial"/>
      <w:sz w:val="34"/>
    </w:rPr>
  </w:style>
  <w:style w:type="character" w:styleId="819" w:customStyle="1">
    <w:name w:val="标题 4 字符"/>
    <w:link w:val="738"/>
    <w:uiPriority w:val="9"/>
    <w:qFormat/>
    <w:rPr>
      <w:rFonts w:ascii="Arial" w:hAnsi="Arial" w:eastAsia="Arial" w:cs="Arial"/>
      <w:b/>
      <w:bCs/>
      <w:sz w:val="26"/>
      <w:szCs w:val="26"/>
    </w:rPr>
  </w:style>
  <w:style w:type="character" w:styleId="820" w:customStyle="1">
    <w:name w:val="标题 5 字符"/>
    <w:link w:val="739"/>
    <w:uiPriority w:val="9"/>
    <w:qFormat/>
    <w:rPr>
      <w:rFonts w:ascii="Arial" w:hAnsi="Arial" w:eastAsia="Arial" w:cs="Arial"/>
      <w:b/>
      <w:bCs/>
      <w:sz w:val="24"/>
      <w:szCs w:val="24"/>
    </w:rPr>
  </w:style>
  <w:style w:type="character" w:styleId="821" w:customStyle="1">
    <w:name w:val="标题 6 字符"/>
    <w:link w:val="740"/>
    <w:uiPriority w:val="9"/>
    <w:qFormat/>
    <w:rPr>
      <w:rFonts w:ascii="Arial" w:hAnsi="Arial" w:eastAsia="Arial" w:cs="Arial"/>
      <w:b/>
      <w:bCs/>
      <w:sz w:val="22"/>
      <w:szCs w:val="22"/>
    </w:rPr>
  </w:style>
  <w:style w:type="character" w:styleId="822" w:customStyle="1">
    <w:name w:val="标题 7 字符"/>
    <w:link w:val="741"/>
    <w:uiPriority w:val="9"/>
    <w:qFormat/>
    <w:rPr>
      <w:rFonts w:ascii="Arial" w:hAnsi="Arial" w:eastAsia="Arial" w:cs="Arial"/>
      <w:b/>
      <w:bCs/>
      <w:i/>
      <w:iCs/>
      <w:sz w:val="22"/>
      <w:szCs w:val="22"/>
    </w:rPr>
  </w:style>
  <w:style w:type="character" w:styleId="823" w:customStyle="1">
    <w:name w:val="标题 8 字符"/>
    <w:link w:val="742"/>
    <w:uiPriority w:val="9"/>
    <w:qFormat/>
    <w:rPr>
      <w:rFonts w:ascii="Arial" w:hAnsi="Arial" w:eastAsia="Arial" w:cs="Arial"/>
      <w:i/>
      <w:iCs/>
      <w:sz w:val="22"/>
      <w:szCs w:val="22"/>
    </w:rPr>
  </w:style>
  <w:style w:type="character" w:styleId="824" w:customStyle="1">
    <w:name w:val="标题 9 字符"/>
    <w:link w:val="743"/>
    <w:uiPriority w:val="9"/>
    <w:qFormat/>
    <w:rPr>
      <w:rFonts w:ascii="Arial" w:hAnsi="Arial" w:eastAsia="Arial" w:cs="Arial"/>
      <w:i/>
      <w:iCs/>
      <w:sz w:val="21"/>
      <w:szCs w:val="21"/>
    </w:rPr>
  </w:style>
  <w:style w:type="paragraph" w:styleId="825">
    <w:name w:val="List Paragraph"/>
    <w:basedOn w:val="734"/>
    <w:uiPriority w:val="34"/>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字符"/>
    <w:link w:val="769"/>
    <w:uiPriority w:val="10"/>
    <w:qFormat/>
    <w:rPr>
      <w:sz w:val="48"/>
      <w:szCs w:val="48"/>
    </w:rPr>
  </w:style>
  <w:style w:type="character" w:styleId="828" w:customStyle="1">
    <w:name w:val="副标题 字符"/>
    <w:link w:val="761"/>
    <w:uiPriority w:val="11"/>
    <w:qFormat/>
    <w:rPr>
      <w:sz w:val="24"/>
      <w:szCs w:val="24"/>
    </w:rPr>
  </w:style>
  <w:style w:type="paragraph" w:styleId="829">
    <w:name w:val="Quote"/>
    <w:basedOn w:val="734"/>
    <w:next w:val="734"/>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4"/>
    <w:next w:val="73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58"/>
    <w:uiPriority w:val="99"/>
    <w:qFormat/>
  </w:style>
  <w:style w:type="character" w:styleId="834" w:customStyle="1">
    <w:name w:val="Footer Char"/>
    <w:uiPriority w:val="99"/>
    <w:qFormat/>
  </w:style>
  <w:style w:type="character" w:styleId="835" w:customStyle="1">
    <w:name w:val="页脚 字符"/>
    <w:link w:val="757"/>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62"/>
    <w:uiPriority w:val="99"/>
    <w:qFormat/>
    <w:rPr>
      <w:sz w:val="18"/>
    </w:rPr>
  </w:style>
  <w:style w:type="character" w:styleId="962" w:customStyle="1">
    <w:name w:val="尾注文本 字符"/>
    <w:link w:val="756"/>
    <w:uiPriority w:val="99"/>
    <w:qFormat/>
    <w:rPr>
      <w:sz w:val="20"/>
    </w:r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paragraph" w:styleId="964" w:customStyle="1">
    <w:name w:val="标题 11"/>
    <w:basedOn w:val="734"/>
    <w:next w:val="734"/>
    <w:uiPriority w:val="0"/>
    <w:qFormat/>
    <w:pPr>
      <w:keepNext/>
      <w:outlineLvl w:val="0"/>
    </w:pPr>
    <w:rPr>
      <w:rFonts w:ascii="楷体_GB2312" w:eastAsia="楷体_GB2312"/>
      <w:sz w:val="28"/>
      <w:szCs w:val="20"/>
    </w:rPr>
  </w:style>
  <w:style w:type="paragraph" w:styleId="965" w:customStyle="1">
    <w:name w:val="标题 21"/>
    <w:basedOn w:val="734"/>
    <w:next w:val="734"/>
    <w:uiPriority w:val="0"/>
    <w:qFormat/>
    <w:pPr>
      <w:jc w:val="center"/>
      <w:keepLines/>
      <w:keepNext/>
      <w:spacing w:before="260" w:after="260" w:line="416" w:lineRule="auto"/>
      <w:outlineLvl w:val="1"/>
    </w:pPr>
    <w:rPr>
      <w:rFonts w:ascii="Arial" w:hAnsi="Arial" w:eastAsia="幼圆"/>
      <w:b/>
      <w:sz w:val="44"/>
      <w:szCs w:val="20"/>
    </w:rPr>
  </w:style>
  <w:style w:type="paragraph" w:styleId="966" w:customStyle="1">
    <w:name w:val="正文缩进1"/>
    <w:basedOn w:val="734"/>
    <w:next w:val="734"/>
    <w:uiPriority w:val="0"/>
    <w:qFormat/>
    <w:pPr>
      <w:ind w:firstLine="420"/>
    </w:pPr>
    <w:rPr>
      <w:szCs w:val="21"/>
    </w:rPr>
  </w:style>
  <w:style w:type="paragraph" w:styleId="967" w:customStyle="1">
    <w:name w:val="标题 41"/>
    <w:basedOn w:val="734"/>
    <w:next w:val="734"/>
    <w:uiPriority w:val="0"/>
    <w:qFormat/>
    <w:pPr>
      <w:keepLines/>
      <w:keepNext/>
      <w:spacing w:before="120" w:after="120"/>
      <w:outlineLvl w:val="3"/>
    </w:pPr>
    <w:rPr>
      <w:rFonts w:ascii="Arial" w:hAnsi="Arial" w:eastAsia="黑体"/>
      <w:b/>
      <w:sz w:val="28"/>
    </w:rPr>
  </w:style>
  <w:style w:type="character" w:styleId="968" w:customStyle="1">
    <w:name w:val="默认段落字体1"/>
    <w:uiPriority w:val="0"/>
    <w:semiHidden/>
    <w:qFormat/>
  </w:style>
  <w:style w:type="table" w:styleId="969" w:customStyle="1">
    <w:name w:val="普通表格1"/>
    <w:uiPriority w:val="0"/>
    <w:semiHidden/>
    <w:qFormat/>
    <w:tblPr>
      <w:tblCellMar>
        <w:left w:w="0" w:type="dxa"/>
        <w:top w:w="0" w:type="dxa"/>
        <w:right w:w="0" w:type="dxa"/>
        <w:bottom w:w="0" w:type="dxa"/>
      </w:tblCellMar>
    </w:tblPr>
  </w:style>
  <w:style w:type="paragraph" w:styleId="970" w:customStyle="1">
    <w:name w:val="批注文字1"/>
    <w:basedOn w:val="734"/>
    <w:uiPriority w:val="0"/>
    <w:qFormat/>
    <w:pPr>
      <w:jc w:val="left"/>
    </w:pPr>
  </w:style>
  <w:style w:type="paragraph" w:styleId="971" w:customStyle="1">
    <w:name w:val="正文文本1"/>
    <w:basedOn w:val="734"/>
    <w:next w:val="972"/>
    <w:uiPriority w:val="0"/>
    <w:qFormat/>
    <w:rPr>
      <w:rFonts w:ascii="楷体_GB2312" w:hAnsi="Arial" w:eastAsia="楷体_GB2312"/>
      <w:sz w:val="28"/>
      <w:szCs w:val="20"/>
    </w:rPr>
  </w:style>
  <w:style w:type="paragraph" w:styleId="972" w:customStyle="1">
    <w:name w:val="正文文本 21"/>
    <w:basedOn w:val="734"/>
    <w:uiPriority w:val="0"/>
    <w:qFormat/>
    <w:pPr>
      <w:jc w:val="center"/>
    </w:pPr>
    <w:rPr>
      <w:rFonts w:ascii="仿宋_GB2312" w:hAnsi="Times New Roman" w:eastAsia="仿宋_GB2312" w:cs="Times New Roman"/>
      <w:sz w:val="44"/>
    </w:rPr>
  </w:style>
  <w:style w:type="paragraph" w:styleId="973" w:customStyle="1">
    <w:name w:val="正文文本缩进1"/>
    <w:basedOn w:val="734"/>
    <w:uiPriority w:val="0"/>
    <w:qFormat/>
    <w:pPr>
      <w:ind w:firstLine="645"/>
    </w:pPr>
    <w:rPr>
      <w:rFonts w:ascii="楷体_GB2312" w:eastAsia="楷体_GB2312"/>
      <w:sz w:val="32"/>
      <w:szCs w:val="20"/>
    </w:rPr>
  </w:style>
  <w:style w:type="paragraph" w:styleId="974" w:customStyle="1">
    <w:name w:val="纯文本11"/>
    <w:basedOn w:val="734"/>
    <w:uiPriority w:val="0"/>
    <w:qFormat/>
    <w:rPr>
      <w:rFonts w:ascii="宋体" w:hAnsi="Courier New"/>
      <w:szCs w:val="21"/>
      <w:lang w:val="zh-CN"/>
    </w:rPr>
  </w:style>
  <w:style w:type="paragraph" w:styleId="975" w:customStyle="1">
    <w:name w:val="批注框文本1"/>
    <w:basedOn w:val="734"/>
    <w:link w:val="976"/>
    <w:uiPriority w:val="0"/>
    <w:qFormat/>
    <w:pPr>
      <w:spacing w:line="240" w:lineRule="auto"/>
    </w:pPr>
    <w:rPr>
      <w:sz w:val="18"/>
      <w:szCs w:val="18"/>
    </w:rPr>
  </w:style>
  <w:style w:type="character" w:styleId="976" w:customStyle="1">
    <w:name w:val="批注框文本 Char"/>
    <w:link w:val="975"/>
    <w:uiPriority w:val="0"/>
    <w:qFormat/>
    <w:rPr>
      <w:sz w:val="18"/>
      <w:szCs w:val="18"/>
    </w:rPr>
  </w:style>
  <w:style w:type="paragraph" w:styleId="977" w:customStyle="1">
    <w:name w:val="页脚1"/>
    <w:basedOn w:val="734"/>
    <w:uiPriority w:val="0"/>
    <w:qFormat/>
    <w:pPr>
      <w:jc w:val="left"/>
      <w:tabs>
        <w:tab w:val="center" w:pos="4153" w:leader="none"/>
        <w:tab w:val="right" w:pos="8306" w:leader="none"/>
      </w:tabs>
    </w:pPr>
    <w:rPr>
      <w:sz w:val="18"/>
      <w:szCs w:val="20"/>
    </w:rPr>
  </w:style>
  <w:style w:type="paragraph" w:styleId="978"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979" w:customStyle="1">
    <w:name w:val="副标题1"/>
    <w:basedOn w:val="734"/>
    <w:next w:val="734"/>
    <w:uiPriority w:val="0"/>
    <w:qFormat/>
    <w:pPr>
      <w:jc w:val="center"/>
      <w:spacing w:before="240" w:after="60" w:line="312" w:lineRule="auto"/>
      <w:outlineLvl w:val="1"/>
    </w:pPr>
    <w:rPr>
      <w:rFonts w:ascii="Cambria" w:hAnsi="Cambria"/>
      <w:b/>
      <w:sz w:val="32"/>
    </w:rPr>
  </w:style>
  <w:style w:type="paragraph" w:styleId="980" w:customStyle="1">
    <w:name w:val="普通(网站)1"/>
    <w:basedOn w:val="734"/>
    <w:uiPriority w:val="0"/>
    <w:qFormat/>
    <w:pPr>
      <w:jc w:val="left"/>
      <w:spacing w:before="100" w:beforeAutospacing="1" w:after="100" w:afterAutospacing="1"/>
      <w:widowControl/>
    </w:pPr>
    <w:rPr>
      <w:rFonts w:ascii="宋体" w:hAnsi="宋体" w:cs="宋体"/>
      <w:sz w:val="24"/>
    </w:rPr>
  </w:style>
  <w:style w:type="paragraph" w:styleId="981" w:customStyle="1">
    <w:name w:val="正文首行缩进1"/>
    <w:basedOn w:val="971"/>
    <w:uiPriority w:val="0"/>
    <w:qFormat/>
    <w:pPr>
      <w:ind w:firstLine="420"/>
      <w:spacing w:after="120"/>
    </w:pPr>
    <w:rPr>
      <w:szCs w:val="24"/>
    </w:rPr>
  </w:style>
  <w:style w:type="paragraph" w:styleId="982" w:customStyle="1">
    <w:name w:val="正文首行缩进 21"/>
    <w:basedOn w:val="973"/>
    <w:uiPriority w:val="0"/>
    <w:semiHidden/>
    <w:qFormat/>
    <w:pPr>
      <w:ind w:firstLine="420"/>
    </w:pPr>
  </w:style>
  <w:style w:type="table" w:styleId="983" w:customStyle="1">
    <w:name w:val="网格型1"/>
    <w:basedOn w:val="969"/>
    <w:uiPriority w:val="0"/>
    <w:qFormat/>
    <w:pPr>
      <w:jc w:val="both"/>
      <w:widowControl w:val="off"/>
    </w:pPr>
    <w:tblPr/>
  </w:style>
  <w:style w:type="character" w:styleId="984" w:customStyle="1">
    <w:name w:val="页码1"/>
    <w:uiPriority w:val="0"/>
    <w:qFormat/>
    <w:rPr>
      <w:rFonts w:ascii="Times New Roman" w:hAnsi="Times New Roman" w:eastAsia="宋体"/>
    </w:rPr>
  </w:style>
  <w:style w:type="paragraph" w:styleId="985" w:customStyle="1">
    <w:name w:val="正文11"/>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Default"/>
    <w:basedOn w:val="734"/>
    <w:uiPriority w:val="0"/>
    <w:qFormat/>
    <w:pPr>
      <w:jc w:val="left"/>
    </w:pPr>
    <w:rPr>
      <w:rFonts w:ascii="仿宋" w:hAnsi="仿宋" w:eastAsia="仿宋" w:cs="宋体"/>
      <w:color w:val="000000"/>
      <w:sz w:val="24"/>
    </w:rPr>
  </w:style>
  <w:style w:type="paragraph" w:styleId="987" w:customStyle="1">
    <w:name w:val="TOC 71"/>
    <w:basedOn w:val="734"/>
    <w:next w:val="734"/>
    <w:uiPriority w:val="0"/>
    <w:qFormat/>
    <w:pPr>
      <w:ind w:left="2550"/>
      <w:spacing w:before="100" w:beforeAutospacing="1" w:after="100" w:afterAutospacing="1"/>
      <w:widowControl/>
    </w:pPr>
    <w:rPr>
      <w:szCs w:val="21"/>
    </w:rPr>
  </w:style>
  <w:style w:type="paragraph" w:styleId="988" w:customStyle="1">
    <w:name w:val="普通正文"/>
    <w:basedOn w:val="734"/>
    <w:uiPriority w:val="0"/>
    <w:qFormat/>
    <w:pPr>
      <w:ind w:firstLine="480"/>
      <w:jc w:val="left"/>
      <w:spacing w:before="120" w:after="120"/>
    </w:pPr>
    <w:rPr>
      <w:rFonts w:ascii="Arial" w:hAnsi="Arial"/>
      <w:sz w:val="24"/>
    </w:rPr>
  </w:style>
  <w:style w:type="paragraph" w:styleId="989" w:customStyle="1">
    <w:name w:val="WPSOffice手动目录 1"/>
    <w:uiPriority w:val="0"/>
    <w:qFormat/>
    <w:rPr>
      <w:rFonts w:hint="default" w:ascii="Times New Roman" w:hAnsi="Times New Roman" w:eastAsia="宋体" w:cs="Times New Roman"/>
      <w:lang w:val="en-US" w:eastAsia="zh-CN" w:bidi="ar-SA"/>
    </w:rPr>
  </w:style>
  <w:style w:type="paragraph" w:styleId="990" w:customStyle="1">
    <w:name w:val="List Paragraph1"/>
    <w:basedOn w:val="734"/>
    <w:uiPriority w:val="0"/>
    <w:qFormat/>
    <w:pPr>
      <w:ind w:firstLine="420"/>
    </w:pPr>
    <w:rPr>
      <w:szCs w:val="22"/>
    </w:rPr>
  </w:style>
  <w:style w:type="paragraph" w:styleId="991" w:customStyle="1">
    <w:name w:val="_Style 21"/>
    <w:basedOn w:val="734"/>
    <w:next w:val="990"/>
    <w:uiPriority w:val="0"/>
    <w:qFormat/>
    <w:pPr>
      <w:ind w:left="890" w:firstLine="420"/>
      <w:jc w:val="left"/>
    </w:pPr>
    <w:rPr>
      <w:rFonts w:ascii="Calibri" w:hAnsi="Calibri"/>
      <w:szCs w:val="22"/>
    </w:rPr>
  </w:style>
  <w:style w:type="paragraph" w:styleId="992" w:customStyle="1">
    <w:name w:val="列出段落1"/>
    <w:basedOn w:val="734"/>
    <w:uiPriority w:val="0"/>
    <w:qFormat/>
    <w:pPr>
      <w:ind w:firstLine="420"/>
    </w:pPr>
    <w:rPr>
      <w:rFonts w:ascii="Calibri" w:hAnsi="Calibri"/>
      <w:szCs w:val="22"/>
    </w:rPr>
  </w:style>
  <w:style w:type="paragraph" w:styleId="993" w:customStyle="1">
    <w:name w:val="正文空2格  1."/>
    <w:basedOn w:val="734"/>
    <w:uiPriority w:val="0"/>
    <w:qFormat/>
    <w:pPr>
      <w:ind w:firstLine="480"/>
    </w:pPr>
    <w:rPr>
      <w:rFonts w:cs="宋体"/>
      <w:sz w:val="28"/>
      <w:szCs w:val="20"/>
    </w:rPr>
  </w:style>
  <w:style w:type="paragraph" w:styleId="994" w:customStyle="1">
    <w:name w:val="_Style 1"/>
    <w:uiPriority w:val="0"/>
    <w:qFormat/>
    <w:rPr>
      <w:rFonts w:hint="default" w:ascii="Tahoma" w:hAnsi="Tahoma" w:eastAsia="宋体" w:cs="Times New Roman"/>
      <w:sz w:val="22"/>
      <w:szCs w:val="22"/>
      <w:lang w:val="en-US" w:eastAsia="zh-CN" w:bidi="ar-SA"/>
    </w:rPr>
  </w:style>
  <w:style w:type="paragraph" w:styleId="995" w:customStyle="1">
    <w:name w:val="注释标题1"/>
    <w:basedOn w:val="734"/>
    <w:next w:val="734"/>
    <w:uiPriority w:val="0"/>
    <w:qFormat/>
    <w:rPr>
      <w:rFonts w:ascii="Verdana" w:hAnsi="Verdana"/>
      <w:szCs w:val="20"/>
    </w:rPr>
  </w:style>
  <w:style w:type="paragraph" w:styleId="996" w:customStyle="1">
    <w:name w:val="纯文本1"/>
    <w:basedOn w:val="734"/>
    <w:uiPriority w:val="0"/>
    <w:qFormat/>
    <w:rPr>
      <w:rFonts w:ascii="宋体" w:hAnsi="Courier New" w:eastAsia="楷体_GB2312" w:cs="宋体"/>
      <w:sz w:val="28"/>
      <w:szCs w:val="21"/>
    </w:rPr>
  </w:style>
  <w:style w:type="paragraph" w:styleId="997"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98" w:customStyle="1">
    <w:name w:val="目录 11"/>
    <w:basedOn w:val="985"/>
    <w:next w:val="98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99" w:customStyle="1">
    <w:name w:val="Char"/>
    <w:basedOn w:val="734"/>
    <w:uiPriority w:val="0"/>
    <w:qFormat/>
    <w:pPr>
      <w:tabs>
        <w:tab w:val="left" w:pos="360" w:leader="none"/>
      </w:tabs>
    </w:pPr>
    <w:rPr>
      <w:sz w:val="24"/>
    </w:rPr>
  </w:style>
  <w:style w:type="character" w:styleId="1000" w:customStyle="1">
    <w:name w:val="font21"/>
    <w:uiPriority w:val="0"/>
    <w:qFormat/>
    <w:rPr>
      <w:rFonts w:hint="eastAsia" w:ascii="宋体" w:hAnsi="宋体" w:eastAsia="宋体" w:cs="宋体"/>
      <w:color w:val="ff0000"/>
      <w:sz w:val="22"/>
      <w:szCs w:val="22"/>
      <w:u w:val="none"/>
    </w:rPr>
  </w:style>
  <w:style w:type="paragraph" w:styleId="1001" w:customStyle="1">
    <w:name w:val="列出段落"/>
    <w:basedOn w:val="734"/>
    <w:uiPriority w:val="34"/>
    <w:qFormat/>
    <w:pPr>
      <w:ind w:firstLine="420"/>
    </w:pPr>
  </w:style>
  <w:style w:type="table" w:styleId="1002" w:customStyle="1">
    <w:name w:val="Table Normal"/>
    <w:uiPriority w:val="0"/>
    <w:unhideWhenUsed/>
    <w:qFormat/>
    <w:tblPr>
      <w:tblCellMar>
        <w:left w:w="0" w:type="dxa"/>
        <w:top w:w="0" w:type="dxa"/>
        <w:right w:w="0" w:type="dxa"/>
        <w:bottom w:w="0" w:type="dxa"/>
      </w:tblCellMar>
    </w:tblPr>
  </w:style>
  <w:style w:type="paragraph" w:styleId="1003" w:customStyle="1">
    <w:name w:val="Table Text"/>
    <w:basedOn w:val="734"/>
    <w:uiPriority w:val="0"/>
    <w:semiHidden/>
    <w:qFormat/>
    <w:rPr>
      <w:rFonts w:ascii="Arial" w:hAnsi="Arial" w:eastAsia="Arial" w:cs="Arial"/>
      <w:szCs w:val="21"/>
      <w:lang w:eastAsia="en-US"/>
    </w:rPr>
  </w:style>
  <w:style w:type="paragraph" w:styleId="1004" w:customStyle="1">
    <w:name w:val="DAS正文"/>
    <w:basedOn w:val="734"/>
    <w:uiPriority w:val="0"/>
    <w:qFormat/>
    <w:pPr>
      <w:ind w:right="181" w:firstLine="480"/>
    </w:pPr>
    <w:rPr>
      <w:rFonts w:ascii="Verdana" w:hAnsi="Verdana"/>
    </w:rPr>
  </w:style>
  <w:style w:type="character" w:styleId="1005" w:customStyle="1">
    <w:name w:val="apple-style-span"/>
    <w:basedOn w:val="744"/>
    <w:uiPriority w:val="0"/>
    <w:qFormat/>
  </w:style>
  <w:style w:type="character" w:styleId="1006" w:customStyle="1">
    <w:name w:val="font41"/>
    <w:basedOn w:val="744"/>
    <w:uiPriority w:val="0"/>
    <w:qFormat/>
    <w:rPr>
      <w:rFonts w:hint="default" w:ascii="方正黑体_GBK" w:hAnsi="方正黑体_GBK" w:eastAsia="方正黑体_GBK" w:cs="方正黑体_GBK"/>
      <w:color w:val="000000"/>
      <w:sz w:val="24"/>
      <w:szCs w:val="24"/>
      <w:u w:val="none"/>
    </w:rPr>
  </w:style>
  <w:style w:type="character" w:styleId="1007" w:customStyle="1">
    <w:name w:val="font71"/>
    <w:basedOn w:val="744"/>
    <w:uiPriority w:val="0"/>
    <w:qFormat/>
    <w:rPr>
      <w:rFonts w:hint="default" w:ascii="方正黑体_GBK" w:hAnsi="方正黑体_GBK" w:eastAsia="方正黑体_GBK" w:cs="方正黑体_GBK"/>
      <w:color w:val="000000"/>
      <w:sz w:val="22"/>
      <w:szCs w:val="22"/>
      <w:u w:val="none"/>
    </w:rPr>
  </w:style>
  <w:style w:type="character" w:styleId="1008" w:customStyle="1">
    <w:name w:val="font51"/>
    <w:basedOn w:val="744"/>
    <w:uiPriority w:val="0"/>
    <w:qFormat/>
    <w:rPr>
      <w:rFonts w:hint="eastAsia" w:ascii="宋体" w:hAnsi="宋体" w:eastAsia="宋体" w:cs="宋体"/>
      <w:color w:val="000000"/>
      <w:sz w:val="24"/>
      <w:szCs w:val="24"/>
      <w:u w:val="none"/>
    </w:rPr>
  </w:style>
  <w:style w:type="character" w:styleId="1009" w:customStyle="1">
    <w:name w:val="font81"/>
    <w:basedOn w:val="744"/>
    <w:uiPriority w:val="0"/>
    <w:qFormat/>
    <w:rPr>
      <w:rFonts w:hint="eastAsia" w:ascii="宋体" w:hAnsi="宋体" w:eastAsia="宋体" w:cs="宋体"/>
      <w:color w:val="000000"/>
      <w:sz w:val="20"/>
      <w:szCs w:val="20"/>
      <w:u w:val="none"/>
    </w:rPr>
  </w:style>
  <w:style w:type="character" w:styleId="1010" w:customStyle="1">
    <w:name w:val="font61"/>
    <w:basedOn w:val="744"/>
    <w:uiPriority w:val="0"/>
    <w:qFormat/>
    <w:rPr>
      <w:rFonts w:hint="eastAsia" w:ascii="宋体" w:hAnsi="宋体" w:eastAsia="宋体" w:cs="宋体"/>
      <w:color w:val="000000"/>
      <w:sz w:val="20"/>
      <w:szCs w:val="20"/>
      <w:u w:val="none"/>
    </w:rPr>
  </w:style>
  <w:style w:type="character" w:styleId="1011" w:customStyle="1">
    <w:name w:val="font01"/>
    <w:basedOn w:val="744"/>
    <w:uiPriority w:val="0"/>
    <w:qFormat/>
    <w:rPr>
      <w:rFonts w:hint="eastAsia" w:ascii="宋体" w:hAnsi="宋体" w:eastAsia="宋体" w:cs="宋体"/>
      <w:color w:val="000000"/>
      <w:sz w:val="22"/>
      <w:szCs w:val="22"/>
      <w:u w:val="none"/>
    </w:rPr>
  </w:style>
  <w:style w:type="paragraph" w:styleId="1012" w:customStyle="1">
    <w:name w:val="文档结构图1"/>
    <w:basedOn w:val="734"/>
    <w:uiPriority w:val="0"/>
    <w:qFormat/>
    <w:pPr>
      <w:shd w:val="clear" w:color="auto" w:fill="000080"/>
    </w:pPr>
  </w:style>
  <w:style w:type="character" w:styleId="1013" w:customStyle="1">
    <w:name w:val="正文缩进 字符"/>
    <w:link w:val="748"/>
    <w:uiPriority w:val="0"/>
    <w:qFormat/>
    <w:rPr>
      <w:sz w:val="21"/>
    </w:rPr>
  </w:style>
  <w:style w:type="character" w:styleId="1014" w:customStyle="1">
    <w:name w:val="HTML 预设格式 字符"/>
    <w:basedOn w:val="744"/>
    <w:link w:val="768"/>
    <w:uiPriority w:val="99"/>
    <w:semiHidden/>
    <w:qFormat/>
    <w:rPr>
      <w:rFonts w:ascii="Courier New" w:hAnsi="Courier New" w:cs="Courier New"/>
    </w:rPr>
  </w:style>
  <w:style w:type="paragraph" w:styleId="1015" w:customStyle="1">
    <w:name w:val="p16"/>
    <w:basedOn w:val="734"/>
    <w:uiPriority w:val="0"/>
    <w:qFormat/>
    <w:pPr>
      <w:jc w:val="left"/>
      <w:widowControl/>
    </w:pPr>
    <w:rPr>
      <w:sz w:val="24"/>
      <w:szCs w:val="24"/>
    </w:rPr>
  </w:style>
  <w:style w:type="paragraph" w:styleId="1016" w:customStyle="1">
    <w:name w:val="null3"/>
    <w:uiPriority w:val="0"/>
    <w:qFormat/>
    <w:rPr>
      <w:rFonts w:hint="default" w:asciiTheme="minorHAnsi" w:hAnsiTheme="minorHAnsi" w:eastAsiaTheme="minorEastAsia" w:cstheme="minorBidi"/>
      <w:lang w:val="en-US" w:eastAsia="zh-Hans" w:bidi="ar-SA"/>
    </w:rPr>
  </w:style>
  <w:style w:type="character" w:styleId="1017" w:customStyle="1">
    <w:name w:val="强调1"/>
    <w:basedOn w:val="1018"/>
    <w:link w:val="734"/>
    <w:uiPriority w:val="20"/>
    <w:qFormat/>
    <w:rPr>
      <w:rFonts w:ascii="Times New Roman" w:hAnsi="Times New Roman" w:eastAsia="宋体" w:cs="Times New Roman"/>
      <w:sz w:val="21"/>
      <w:szCs w:val="24"/>
      <w:lang w:val="en-US" w:eastAsia="zh-CN" w:bidi="ar-SA"/>
    </w:rPr>
  </w:style>
  <w:style w:type="character" w:styleId="1018" w:customStyle="1">
    <w:name w:val="默认段落字体11"/>
    <w:link w:val="734"/>
    <w:uiPriority w:val="0"/>
    <w:semiHidden/>
    <w:qFormat/>
  </w:style>
  <w:style w:type="table" w:styleId="1019" w:customStyle="1">
    <w:name w:val="table"/>
    <w:basedOn w:val="745"/>
    <w:uiPriority w:val="0"/>
    <w:qFormat/>
    <w:tblPr/>
  </w:style>
  <w:style w:type="paragraph" w:styleId="1020" w:customStyle="1">
    <w:name w:val="页脚11"/>
    <w:basedOn w:val="1021"/>
    <w:uiPriority w:val="0"/>
    <w:qFormat/>
    <w:pPr>
      <w:jc w:val="left"/>
      <w:tabs>
        <w:tab w:val="center" w:pos="4153" w:leader="none"/>
        <w:tab w:val="center" w:pos="4986" w:leader="none"/>
        <w:tab w:val="right" w:pos="8306" w:leader="none"/>
        <w:tab w:val="right" w:pos="9972" w:leader="none"/>
      </w:tabs>
    </w:pPr>
    <w:rPr>
      <w:sz w:val="18"/>
      <w:szCs w:val="20"/>
    </w:rPr>
  </w:style>
  <w:style w:type="paragraph" w:styleId="1021" w:customStyle="1">
    <w:name w:val="Header and Footer"/>
    <w:basedOn w:val="734"/>
    <w:uiPriority w:val="0"/>
    <w:qFormat/>
    <w:pPr>
      <w:tabs>
        <w:tab w:val="center" w:pos="4986" w:leader="none"/>
        <w:tab w:val="right" w:pos="9972" w:leader="none"/>
      </w:tabs>
      <w:suppressLineNumbers/>
    </w:pPr>
  </w:style>
  <w:style w:type="paragraph" w:styleId="1022" w:customStyle="1">
    <w:name w:val="索引 41"/>
    <w:basedOn w:val="734"/>
    <w:next w:val="734"/>
    <w:uiPriority w:val="0"/>
    <w:qFormat/>
    <w:pPr>
      <w:ind w:left="600"/>
    </w:pPr>
    <w:rPr>
      <w:rFonts w:ascii="Verdana" w:hAnsi="Verdana" w:eastAsia="宋体" w:cs="Times New Roman"/>
      <w:szCs w:val="20"/>
    </w:rPr>
  </w:style>
  <w:style w:type="character" w:styleId="1023" w:customStyle="1">
    <w:name w:val="font31"/>
    <w:basedOn w:val="744"/>
    <w:uiPriority w:val="0"/>
    <w:qFormat/>
    <w:rPr>
      <w:rFonts w:hint="eastAsia" w:ascii="宋体" w:hAnsi="宋体" w:eastAsia="宋体" w:cs="宋体"/>
      <w:color w:val="000000"/>
      <w:sz w:val="24"/>
      <w:szCs w:val="24"/>
      <w:u w:val="none"/>
    </w:rPr>
  </w:style>
  <w:style w:type="character" w:styleId="1024" w:customStyle="1">
    <w:name w:val="last-child"/>
    <w:basedOn w:val="744"/>
    <w:uiPriority w:val="0"/>
    <w:qFormat/>
  </w:style>
  <w:style w:type="character" w:styleId="1025" w:customStyle="1">
    <w:name w:val="active16"/>
    <w:basedOn w:val="744"/>
    <w:uiPriority w:val="0"/>
    <w:qFormat/>
    <w:rPr>
      <w:color w:val="ffffff"/>
      <w:shd w:val="clear" w:color="auto" w:fill="0f5bb9"/>
    </w:rPr>
  </w:style>
  <w:style w:type="numbering" w:styleId="36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41A3CB3-76F8-434A-940D-98E73A7D69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吴嘉慧</cp:lastModifiedBy>
  <cp:revision>7</cp:revision>
  <dcterms:created xsi:type="dcterms:W3CDTF">2026-05-18T09:31:00Z</dcterms:created>
  <dcterms:modified xsi:type="dcterms:W3CDTF">2026-10-19T03:10:34Z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C3E8DDDFF95C4711A10B3139F5DE8248_13</vt:lpwstr>
  </property>
  <property fmtid="{D5CDD505-2E9C-101B-9397-08002B2CF9AE}" pid="4" name="KSOTemplateDocerSaveRecord">
    <vt:lpwstr>eyJoZGlkIjoiZjU3YzJiOGVhZDQ3OGQzZDdkN2QyODI4NjY2ZWE4MjUiLCJ1c2VySWQiOiIyNzY2ODQ4NjgifQ==</vt:lpwstr>
  </property>
</Properties>
</file>