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政府采购</w:t>
      </w:r>
      <w:r/>
    </w:p>
    <w:p>
      <w:pPr>
        <w:jc w:val="center"/>
        <w:spacing w:line="360" w:lineRule="auto"/>
        <w:rPr>
          <w:rFonts w:hint="eastAsia" w:ascii="宋体" w:hAnsi="宋体" w:cs="宋体"/>
          <w:b/>
          <w:color w:val="000000" w:themeColor="text1"/>
          <w:spacing w:val="20"/>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公开招标文件</w:t>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（全流程电子化）</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firstLine="420"/>
        <w:spacing w:line="480" w:lineRule="auto"/>
        <w:rPr>
          <w:rFonts w:hint="eastAsia" w:ascii="宋体" w:hAnsi="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采购项目编号：JSZC-320000-JSWD-G2026-0050</w:t>
      </w:r>
      <w:r/>
    </w:p>
    <w:p>
      <w:pPr>
        <w:ind w:firstLine="420"/>
        <w:spacing w:line="48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采购项目名称：</w:t>
      </w:r>
      <w:r>
        <w:rPr>
          <w:rFonts w:hint="eastAsia" w:ascii="宋体" w:hAnsi="宋体" w:cs="宋体"/>
          <w:b/>
          <w:color w:val="000000" w:themeColor="text1"/>
          <w:sz w:val="32"/>
          <w:szCs w:val="32"/>
          <w:highlight w:val="none"/>
          <w:lang w:eastAsia="zh-CN"/>
          <w14:textFill>
            <w14:solidFill>
              <w14:schemeClr w14:val="tx1"/>
            </w14:solidFill>
          </w14:textFill>
        </w:rPr>
        <w:t xml:space="preserve">无锡职业技术大学工业软件数智孪生技术实训室建设货物采购项目</w:t>
      </w:r>
      <w:r/>
    </w:p>
    <w:p>
      <w:pPr>
        <w:ind w:firstLine="420"/>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 购 人：无锡职业技术大学</w:t>
      </w:r>
      <w:r/>
    </w:p>
    <w:p>
      <w:pPr>
        <w:ind w:firstLine="420"/>
        <w:jc w:val="left"/>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采购代理机构：江苏万达工程造价事务所有限公司</w:t>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二○二六年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十</w:t>
      </w:r>
      <w:r>
        <w:rPr>
          <w:rFonts w:hint="eastAsia" w:ascii="宋体" w:hAnsi="宋体" w:cs="宋体"/>
          <w:b/>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目  录</w:t>
      </w:r>
      <w:r/>
    </w:p>
    <w:p>
      <w:pPr>
        <w:jc w:val="cente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1000" w:lineRule="exact"/>
        <w:tabs>
          <w:tab w:val="left" w:pos="8000" w:leader="none"/>
        </w:tabs>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第一部分    投标邀请</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第二部分    投标供应商须知</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第三部分    采购需求</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第四部分    合同书（格式文本）</w:t>
      </w:r>
      <w:r/>
    </w:p>
    <w:p>
      <w:pPr>
        <w:spacing w:line="10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第五部分    附件（投标文件格式）</w:t>
      </w:r>
      <w:r/>
    </w:p>
    <w:p>
      <w:pPr>
        <w:pStyle w:val="667"/>
        <w:jc w:val="center"/>
        <w:keepLines/>
        <w:keepNext/>
        <w:pageBreakBefore w:val="0"/>
        <w:spacing w:before="240" w:after="240"/>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第一部分. 投标邀请</w:t>
      </w:r>
      <w:r/>
    </w:p>
    <w:p>
      <w:pPr>
        <w:ind w:firstLine="482"/>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江苏万达工程造价事务所有限公司</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14:textFill>
            <w14:solidFill>
              <w14:schemeClr w14:val="tx1"/>
            </w14:solidFill>
          </w14:textFill>
        </w:rPr>
        <w:t xml:space="preserve">无锡职业技术大学</w:t>
      </w:r>
      <w:r>
        <w:rPr>
          <w:rFonts w:hint="eastAsia" w:ascii="宋体" w:hAnsi="宋体" w:cs="宋体"/>
          <w:color w:val="000000" w:themeColor="text1"/>
          <w:sz w:val="24"/>
          <w:highlight w:val="none"/>
          <w14:textFill>
            <w14:solidFill>
              <w14:schemeClr w14:val="tx1"/>
            </w14:solidFill>
          </w14:textFill>
        </w:rPr>
        <w:t xml:space="preserve">委托，就其</w:t>
      </w:r>
      <w:r>
        <w:rPr>
          <w:rFonts w:hint="eastAsia" w:ascii="宋体" w:hAnsi="宋体" w:cs="宋体"/>
          <w:b/>
          <w:bCs/>
          <w:color w:val="000000" w:themeColor="text1"/>
          <w:sz w:val="24"/>
          <w:highlight w:val="none"/>
          <w:lang w:eastAsia="zh-CN"/>
          <w14:textFill>
            <w14:solidFill>
              <w14:schemeClr w14:val="tx1"/>
            </w14:solidFill>
          </w14:textFill>
        </w:rPr>
        <w:t xml:space="preserve">无锡职业技术大学工业软件数智孪生技术实训室建设货物采购项目</w:t>
      </w:r>
      <w:r>
        <w:rPr>
          <w:rFonts w:hint="eastAsia" w:ascii="宋体" w:hAnsi="宋体" w:cs="宋体"/>
          <w:color w:val="000000" w:themeColor="text1"/>
          <w:sz w:val="24"/>
          <w:highlight w:val="none"/>
          <w14:textFill>
            <w14:solidFill>
              <w14:schemeClr w14:val="tx1"/>
            </w14:solidFill>
          </w14:textFill>
        </w:rPr>
        <w:t xml:space="preserve">进行公开招标。现欢迎符合相关条件的供应商参加投标，投标邀请如下：</w:t>
      </w:r>
      <w:r/>
    </w:p>
    <w:tbl>
      <w:tblPr>
        <w:tblStyle w:val="677"/>
        <w:tblW w:w="50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8484"/>
      </w:tblGrid>
      <w:tr>
        <w:trPr>
          <w:jc w:val="center"/>
          <w:trHeight w:val="435"/>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869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jc w:val="center"/>
          <w:trHeight w:val="90"/>
        </w:trPr>
        <w:tc>
          <w:tcPr>
            <w:tcW w:w="774"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8695" w:type="dxa"/>
            <w:vAlign w:val="center"/>
            <w:textDirection w:val="lrTb"/>
            <w:noWrap w:val="false"/>
          </w:tcPr>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采购项目名称：</w:t>
            </w:r>
            <w:r>
              <w:rPr>
                <w:rFonts w:hint="eastAsia" w:ascii="宋体" w:hAnsi="宋体" w:cs="宋体"/>
                <w:color w:val="000000" w:themeColor="text1"/>
                <w:sz w:val="24"/>
                <w:highlight w:val="none"/>
                <w:lang w:eastAsia="zh-CN"/>
                <w14:textFill>
                  <w14:solidFill>
                    <w14:schemeClr w14:val="tx1"/>
                  </w14:solidFill>
                </w14:textFill>
              </w:rPr>
              <w:t xml:space="preserve">无锡职业技术大学工业软件数智孪生技术实训室建设货物采购项目</w:t>
            </w:r>
            <w:r/>
          </w:p>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采购项目编号：JSZC-320000-JSWD-G2026-0050</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采购方式：公开招标</w:t>
            </w:r>
            <w:r/>
          </w:p>
        </w:tc>
      </w:tr>
      <w:tr>
        <w:trPr>
          <w:jc w:val="center"/>
          <w:trHeight w:val="1443"/>
        </w:trPr>
        <w:tc>
          <w:tcPr>
            <w:tcW w:w="774"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采购人地址：无锡市大学城高浪西路1600号</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采购代理机构：江苏万达工程造价事务所有限公司</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采购代理机构地址：无锡市滨湖区滴翠路100号B幢1005室</w:t>
            </w:r>
            <w:r/>
          </w:p>
        </w:tc>
      </w:tr>
      <w:tr>
        <w:trPr>
          <w:jc w:val="center"/>
          <w:trHeight w:val="442"/>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8695" w:type="dxa"/>
            <w:vAlign w:val="center"/>
            <w:textDirection w:val="lrTb"/>
            <w:noWrap w:val="false"/>
          </w:tcPr>
          <w:p>
            <w:pPr>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采购项目概况、要求：</w:t>
            </w:r>
            <w:r/>
          </w:p>
          <w:p>
            <w:pPr>
              <w:numPr>
                <w:ilvl w:val="0"/>
                <w:numId w:val="0"/>
              </w:numPr>
              <w:jc w:val="left"/>
              <w:spacing w:line="324" w:lineRule="auto"/>
              <w:widowControl/>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）项目概况：</w:t>
            </w:r>
            <w:r>
              <w:rPr>
                <w:rFonts w:hint="eastAsia" w:ascii="宋体" w:hAnsi="宋体" w:cs="宋体"/>
                <w:color w:val="000000" w:themeColor="text1"/>
                <w:sz w:val="24"/>
                <w:highlight w:val="none"/>
                <w:lang w:val="en-US" w:eastAsia="zh-CN"/>
                <w14:textFill>
                  <w14:solidFill>
                    <w14:schemeClr w14:val="tx1"/>
                  </w14:solidFill>
                </w14:textFill>
              </w:rPr>
              <w:t xml:space="preserve">本项目为</w:t>
            </w:r>
            <w:r>
              <w:rPr>
                <w:rFonts w:hint="eastAsia" w:ascii="宋体" w:hAnsi="宋体" w:cs="宋体"/>
                <w:color w:val="000000" w:themeColor="text1"/>
                <w:sz w:val="24"/>
                <w:highlight w:val="none"/>
                <w:lang w:val="zh-CN"/>
                <w14:textFill>
                  <w14:solidFill>
                    <w14:schemeClr w14:val="tx1"/>
                  </w14:solidFill>
                </w14:textFill>
              </w:rPr>
              <w:t xml:space="preserve">面向软件工程技术、物联网应用技术及相关专业建设，围绕工业软件、物联网与数字孪生融合应用，配置工业级传感器实训箱、数字孪生实训平台、数字孪生模型资源、智慧工厂场景案例和基础课程资源，构建“数据采集</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平台部署</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场景搭建</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接口集成</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模型复用</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业务展示</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项目交付”的综合实训体系。</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采购</w:t>
            </w:r>
            <w:r>
              <w:rPr>
                <w:rFonts w:hint="eastAsia" w:ascii="宋体" w:hAnsi="宋体" w:cs="宋体"/>
                <w:bCs/>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14:textFill>
                  <w14:solidFill>
                    <w14:schemeClr w14:val="tx1"/>
                  </w14:solidFill>
                </w14:textFill>
              </w:rPr>
              <w:t xml:space="preserve">本采购项目为</w:t>
            </w:r>
            <w:r>
              <w:rPr>
                <w:rFonts w:hint="eastAsia" w:ascii="宋体" w:hAnsi="宋体"/>
                <w:color w:val="000000" w:themeColor="text1"/>
                <w:sz w:val="24"/>
                <w:highlight w:val="none"/>
                <w:lang w:eastAsia="zh-CN"/>
                <w14:textFill>
                  <w14:solidFill>
                    <w14:schemeClr w14:val="tx1"/>
                  </w14:solidFill>
                </w14:textFill>
              </w:rPr>
              <w:t xml:space="preserve">无锡职业技术大学工业软件数智孪生技术实训室建设货物采购项目，</w:t>
            </w:r>
            <w:r>
              <w:rPr>
                <w:rFonts w:hint="eastAsia" w:ascii="宋体" w:hAnsi="宋体" w:cs="宋体"/>
                <w:color w:val="000000" w:themeColor="text1"/>
                <w:sz w:val="24"/>
                <w:highlight w:val="none"/>
                <w14:textFill>
                  <w14:solidFill>
                    <w14:schemeClr w14:val="tx1"/>
                  </w14:solidFill>
                </w14:textFill>
              </w:rPr>
              <w:t xml:space="preserve">具体要求详见招标文件第三部分“采购需求”。</w:t>
            </w:r>
            <w:r/>
          </w:p>
          <w:p>
            <w:pPr>
              <w:spacing w:line="324"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交货期：</w:t>
            </w:r>
            <w:r>
              <w:rPr>
                <w:rFonts w:hint="eastAsia" w:ascii="宋体" w:hAnsi="宋体"/>
                <w:color w:val="000000" w:themeColor="text1"/>
                <w:sz w:val="24"/>
                <w:highlight w:val="none"/>
                <w14:textFill>
                  <w14:solidFill>
                    <w14:schemeClr w14:val="tx1"/>
                  </w14:solidFill>
                </w14:textFill>
              </w:rPr>
              <w:t xml:space="preserve">自合同订立之日起10天</w:t>
            </w:r>
            <w:r>
              <w:rPr>
                <w:rFonts w:hint="eastAsia" w:ascii="宋体" w:hAnsi="宋体"/>
                <w:color w:val="000000" w:themeColor="text1"/>
                <w:sz w:val="24"/>
                <w:highlight w:val="none"/>
                <w:lang w:val="en-US" w:eastAsia="zh-CN"/>
                <w14:textFill>
                  <w14:solidFill>
                    <w14:schemeClr w14:val="tx1"/>
                  </w14:solidFill>
                </w14:textFill>
              </w:rPr>
              <w:t xml:space="preserve">内</w:t>
            </w:r>
            <w:r>
              <w:rPr>
                <w:rFonts w:hint="eastAsia" w:ascii="宋体" w:hAnsi="宋体" w:cs="仿宋_GB2312"/>
                <w:sz w:val="24"/>
                <w:highlight w:val="none"/>
              </w:rPr>
              <w:t xml:space="preserve">。</w:t>
            </w:r>
            <w:r/>
          </w:p>
          <w:p>
            <w:pPr>
              <w:spacing w:line="324" w:lineRule="auto"/>
              <w:rPr>
                <w:rFonts w:hint="eastAsia" w:ascii="宋体" w:hAnsi="宋体"/>
                <w:color w:val="000000" w:themeColor="text1"/>
                <w:sz w:val="24"/>
                <w:highlight w:val="none"/>
                <w14:textFill>
                  <w14:solidFill>
                    <w14:schemeClr w14:val="tx1"/>
                  </w14:solidFill>
                </w14:textFill>
              </w:rPr>
            </w:pPr>
            <w:r/>
            <w:bookmarkStart w:id="0" w:name="_Hlk42028919"/>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bookmarkEnd w:id="0"/>
            <w:r>
              <w:rPr>
                <w:rFonts w:hint="eastAsia" w:ascii="宋体" w:hAnsi="宋体" w:cs="宋体"/>
                <w:color w:val="000000" w:themeColor="text1"/>
                <w:sz w:val="24"/>
                <w:highlight w:val="none"/>
                <w14:textFill>
                  <w14:solidFill>
                    <w14:schemeClr w14:val="tx1"/>
                  </w14:solidFill>
                </w14:textFill>
              </w:rPr>
              <w:t xml:space="preserve">质保期：提供至少一年原厂免费质保，从验收合格之日起计算。</w:t>
            </w:r>
            <w:r/>
          </w:p>
          <w:p>
            <w:pPr>
              <w:spacing w:line="324"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）售后服务要求：所投设备须提供原厂电话技术支持，故障响应及恢复时间为48小时内到达现场，72小时内排除问题。</w:t>
            </w:r>
            <w:r/>
          </w:p>
          <w:p>
            <w:pPr>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）预算金额及最高限价：</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14:textFill>
                  <w14:solidFill>
                    <w14:schemeClr w14:val="tx1"/>
                  </w14:solidFill>
                </w14:textFill>
              </w:rPr>
              <w:t xml:space="preserve">；</w:t>
            </w:r>
            <w:r/>
          </w:p>
          <w:p>
            <w:pPr>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val="0"/>
                <w:bCs/>
                <w:color w:val="000000" w:themeColor="text1"/>
                <w:sz w:val="24"/>
                <w:highlight w:val="none"/>
                <w:lang w:val="zh-CN"/>
                <w14:textFill>
                  <w14:solidFill>
                    <w14:schemeClr w14:val="tx1"/>
                  </w14:solidFill>
                </w14:textFill>
              </w:rPr>
              <w:t xml:space="preserve">本项目是否专门面向中小</w:t>
            </w:r>
            <w:r>
              <w:rPr>
                <w:rFonts w:hint="eastAsia" w:ascii="宋体" w:hAnsi="宋体"/>
                <w:b w:val="0"/>
                <w:bCs/>
                <w:color w:val="000000" w:themeColor="text1"/>
                <w:sz w:val="24"/>
                <w:highlight w:val="none"/>
                <w:lang w:val="en-US" w:eastAsia="zh-CN"/>
                <w14:textFill>
                  <w14:solidFill>
                    <w14:schemeClr w14:val="tx1"/>
                  </w14:solidFill>
                </w14:textFill>
              </w:rPr>
              <w:t xml:space="preserve">微</w:t>
            </w:r>
            <w:r>
              <w:rPr>
                <w:rFonts w:hint="eastAsia" w:ascii="宋体" w:hAnsi="宋体"/>
                <w:b w:val="0"/>
                <w:bCs/>
                <w:color w:val="000000" w:themeColor="text1"/>
                <w:sz w:val="24"/>
                <w:highlight w:val="none"/>
                <w:lang w:val="zh-CN"/>
                <w14:textFill>
                  <w14:solidFill>
                    <w14:schemeClr w14:val="tx1"/>
                  </w14:solidFill>
                </w14:textFill>
              </w:rPr>
              <w:t xml:space="preserve">企业采购：</w:t>
            </w:r>
            <w:r>
              <w:rPr>
                <w:rFonts w:hint="eastAsia" w:ascii="宋体" w:hAnsi="宋体"/>
                <w:b w:val="0"/>
                <w:bCs/>
                <w:color w:val="000000" w:themeColor="text1"/>
                <w:sz w:val="24"/>
                <w:highlight w:val="none"/>
                <w14:textFill>
                  <w14:solidFill>
                    <w14:schemeClr w14:val="tx1"/>
                  </w14:solidFill>
                </w14:textFill>
              </w:rPr>
              <w:t xml:space="preserve">否；</w:t>
            </w:r>
            <w:r/>
          </w:p>
          <w:p>
            <w:pPr>
              <w:spacing w:line="324"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24"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ff"/>
                <w:sz w:val="24"/>
                <w:highlight w:val="none"/>
                <w:lang w:val="zh-CN"/>
              </w:rPr>
              <w:t xml:space="preserve">（</w:t>
            </w:r>
            <w:r>
              <w:rPr>
                <w:rFonts w:hint="eastAsia" w:ascii="宋体" w:hAnsi="宋体" w:cs="宋体"/>
                <w:bCs/>
                <w:color w:val="0000ff"/>
                <w:sz w:val="24"/>
                <w:highlight w:val="none"/>
                <w:lang w:val="en-US" w:eastAsia="zh-CN"/>
              </w:rPr>
              <w:t xml:space="preserve">9</w:t>
            </w:r>
            <w:r>
              <w:rPr>
                <w:rFonts w:hint="eastAsia" w:ascii="宋体" w:hAnsi="宋体" w:cs="宋体"/>
                <w:bCs/>
                <w:color w:val="0000ff"/>
                <w:sz w:val="24"/>
                <w:highlight w:val="none"/>
                <w:lang w:val="zh-CN"/>
              </w:rPr>
              <w:t xml:space="preserve">）本项目不接受进口产品参与投标</w:t>
            </w:r>
            <w:r>
              <w:rPr>
                <w:rFonts w:hint="eastAsia" w:ascii="宋体" w:hAnsi="宋体" w:cs="宋体"/>
                <w:bCs/>
                <w:color w:val="0000ff"/>
                <w:sz w:val="24"/>
                <w:highlight w:val="none"/>
                <w:lang w:val="zh-CN"/>
              </w:rPr>
              <w:t xml:space="preserve">。</w:t>
            </w:r>
            <w:r>
              <w:rPr>
                <w:rFonts w:hint="eastAsia" w:ascii="宋体" w:hAnsi="宋体" w:cs="宋体"/>
                <w:bCs/>
                <w:color w:val="0000ff"/>
                <w:sz w:val="24"/>
                <w:highlight w:val="none"/>
                <w:lang w:val="zh-CN"/>
              </w:rPr>
              <w:t xml:space="preserve">（</w:t>
            </w:r>
            <w:r>
              <w:rPr>
                <w:rFonts w:hint="eastAsia" w:ascii="宋体" w:hAnsi="宋体" w:cs="宋体"/>
                <w:bCs/>
                <w:color w:val="0000ff"/>
                <w:sz w:val="24"/>
                <w:highlight w:val="none"/>
                <w:lang w:val="zh-CN"/>
              </w:rPr>
              <w:t xml:space="preserve">所称进口产品是指通过中国海关报关验放进入中国境内且产自关境外的产品。）</w:t>
            </w:r>
            <w:r/>
          </w:p>
        </w:tc>
      </w:tr>
      <w:tr>
        <w:trPr>
          <w:jc w:val="center"/>
          <w:trHeight w:val="3974"/>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shd w:val="clear" w:color="auto" w:fill="auto"/>
            <w:tcW w:w="8695" w:type="dxa"/>
            <w:vAlign w:val="center"/>
            <w:textDirection w:val="lrTb"/>
            <w:noWrap w:val="false"/>
          </w:tcPr>
          <w:p>
            <w:pPr>
              <w:spacing w:line="324" w:lineRule="auto"/>
              <w:widowControl/>
              <w:rPr>
                <w:rFonts w:hint="eastAsia"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投标供应商资格要求</w:t>
            </w:r>
            <w:r>
              <w:rPr>
                <w:rFonts w:hint="eastAsia" w:ascii="宋体" w:hAnsi="宋体" w:cs="宋体"/>
                <w:color w:val="000000" w:themeColor="text1"/>
                <w:sz w:val="24"/>
                <w:highlight w:val="none"/>
                <w:lang w:val="en-US"/>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未被</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网站</w:t>
            </w:r>
            <w:r>
              <w:rPr>
                <w:rFonts w:hint="eastAsia" w:ascii="宋体" w:hAnsi="宋体" w:cs="宋体"/>
                <w:color w:val="000000" w:themeColor="text1"/>
                <w:sz w:val="24"/>
                <w:highlight w:val="none"/>
                <w14:textFill>
                  <w14:solidFill>
                    <w14:schemeClr w14:val="tx1"/>
                  </w14:solidFill>
                </w14:textFill>
              </w:rPr>
              <w:t xml:space="preserve">（www.creditchina.go</w:t>
            </w:r>
            <w:r>
              <w:rPr>
                <w:rFonts w:hint="eastAsia" w:ascii="宋体" w:hAnsi="宋体" w:cs="宋体"/>
                <w:color w:val="000000" w:themeColor="text1"/>
                <w:sz w:val="24"/>
                <w:highlight w:val="none"/>
                <w:lang w:val="en-US"/>
                <w14:textFill>
                  <w14:solidFill>
                    <w14:schemeClr w14:val="tx1"/>
                  </w14:solidFill>
                </w14:textFill>
              </w:rPr>
              <w:t xml:space="preserve">v.cn）</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中国政府采购网</w:t>
            </w:r>
            <w:r>
              <w:rPr>
                <w:rFonts w:hint="eastAsia" w:ascii="宋体" w:hAnsi="宋体" w:cs="宋体"/>
                <w:color w:val="000000" w:themeColor="text1"/>
                <w:sz w:val="24"/>
                <w:highlight w:val="none"/>
                <w:lang w:val="en-US"/>
                <w14:textFill>
                  <w14:solidFill>
                    <w14:schemeClr w14:val="tx1"/>
                  </w14:solidFill>
                </w14:textFill>
              </w:rPr>
              <w:t xml:space="preserve">”(www.ccgp.gov.cn)</w:t>
            </w:r>
            <w:r>
              <w:rPr>
                <w:rFonts w:hint="eastAsia" w:ascii="宋体" w:hAnsi="宋体" w:cs="宋体"/>
                <w:color w:val="000000" w:themeColor="text1"/>
                <w:sz w:val="24"/>
                <w:highlight w:val="none"/>
                <w:lang w:val="zh-CN"/>
                <w14:textFill>
                  <w14:solidFill>
                    <w14:schemeClr w14:val="tx1"/>
                  </w14:solidFill>
                </w14:textFill>
              </w:rPr>
              <w:t xml:space="preserve">列入失信被执行人、重大税收违法案件当事人名单、政府采购严重失信行为记录名单</w:t>
            </w:r>
            <w:r>
              <w:rPr>
                <w:rFonts w:hint="eastAsia" w:ascii="宋体" w:hAnsi="宋体" w:cs="宋体"/>
                <w:color w:val="000000" w:themeColor="text1"/>
                <w:sz w:val="24"/>
                <w:highlight w:val="none"/>
                <w:lang w:val="en-US"/>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（2）满足</w:t>
            </w:r>
            <w:r>
              <w:rPr>
                <w:rFonts w:hint="eastAsia" w:ascii="宋体" w:hAnsi="宋体" w:cs="宋体"/>
                <w:color w:val="000000" w:themeColor="text1"/>
                <w:sz w:val="24"/>
                <w:highlight w:val="none"/>
                <w:lang w:val="zh-CN"/>
                <w14:textFill>
                  <w14:solidFill>
                    <w14:schemeClr w14:val="tx1"/>
                  </w14:solidFill>
                </w14:textFill>
              </w:rPr>
              <w:t xml:space="preserve">《中华人民共和国政府采购法》第二十二条的规定；</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）授权代表</w:t>
            </w:r>
            <w:r>
              <w:rPr>
                <w:rFonts w:hint="eastAsia" w:ascii="宋体" w:hAnsi="宋体" w:cs="宋体"/>
                <w:color w:val="000000" w:themeColor="text1"/>
                <w:sz w:val="24"/>
                <w:highlight w:val="none"/>
                <w14:textFill>
                  <w14:solidFill>
                    <w14:schemeClr w14:val="tx1"/>
                  </w14:solidFill>
                </w14:textFill>
              </w:rPr>
              <w:t xml:space="preserve">须</w:t>
            </w:r>
            <w:r>
              <w:rPr>
                <w:rFonts w:hint="eastAsia" w:ascii="宋体" w:hAnsi="宋体" w:cs="宋体"/>
                <w:color w:val="000000" w:themeColor="text1"/>
                <w:sz w:val="24"/>
                <w:highlight w:val="none"/>
                <w:lang w:val="zh-CN"/>
                <w14:textFill>
                  <w14:solidFill>
                    <w14:schemeClr w14:val="tx1"/>
                  </w14:solidFill>
                </w14:textFill>
              </w:rPr>
              <w:t xml:space="preserve">为</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供应商本单位在职员工；</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本项目不接受联合体投标。</w:t>
            </w:r>
            <w:r/>
          </w:p>
          <w:p>
            <w:pPr>
              <w:spacing w:line="324" w:lineRule="auto"/>
              <w:widowControl/>
              <w:rPr>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注：采购人及采购代理机构有权对以上资格条件进行核查，如供应商有弄虚作假行为或不具备以上条件的将取消报价资格。</w:t>
            </w:r>
            <w:r/>
          </w:p>
        </w:tc>
      </w:tr>
      <w:tr>
        <w:trPr>
          <w:jc w:val="center"/>
          <w:trHeight w:val="1530"/>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shd w:val="clear" w:color="auto" w:fill="auto"/>
            <w:tcW w:w="8695" w:type="dxa"/>
            <w:vAlign w:val="center"/>
            <w:textDirection w:val="lrTb"/>
            <w:noWrap w:val="false"/>
          </w:tcPr>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w:t>
            </w:r>
            <w:r>
              <w:rPr>
                <w:rFonts w:hint="eastAsia" w:ascii="宋体" w:hAnsi="宋体" w:cs="宋体"/>
                <w:color w:val="000000" w:themeColor="text1"/>
                <w:sz w:val="24"/>
                <w:highlight w:val="none"/>
                <w14:textFill>
                  <w14:solidFill>
                    <w14:schemeClr w14:val="tx1"/>
                  </w14:solidFill>
                </w14:textFill>
              </w:rPr>
              <w:t xml:space="preserve">获取</w:t>
            </w:r>
            <w:r>
              <w:rPr>
                <w:rFonts w:hint="eastAsia" w:ascii="宋体" w:hAnsi="宋体" w:cs="宋体"/>
                <w:color w:val="000000" w:themeColor="text1"/>
                <w:sz w:val="24"/>
                <w:highlight w:val="none"/>
                <w:lang w:val="zh-CN"/>
                <w14:textFill>
                  <w14:solidFill>
                    <w14:schemeClr w14:val="tx1"/>
                  </w14:solidFill>
                </w14:textFill>
              </w:rPr>
              <w:t xml:space="preserve">期限：本项目公告发布之日起五个工作日内</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文件提供地点：</w:t>
            </w:r>
            <w:r>
              <w:rPr>
                <w:rFonts w:ascii="宋体" w:hAnsi="宋体" w:eastAsia="宋体" w:cs="宋体"/>
                <w:color w:val="000000" w:themeColor="text1"/>
                <w:sz w:val="24"/>
                <w:highlight w:val="none"/>
                <w14:textFill>
                  <w14:solidFill>
                    <w14:schemeClr w14:val="tx1"/>
                  </w14:solidFill>
                </w14:textFill>
              </w:rPr>
              <w:t xml:space="preserve">江苏政府采购（苏采云）平台</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注：投标供应商应承担其编制投标文件以及递交投标文件所涉及的一切费用。无论投标结果如何，采购人对上述费用不负任何责任。</w:t>
            </w:r>
            <w:r/>
          </w:p>
        </w:tc>
      </w:tr>
      <w:tr>
        <w:trPr>
          <w:jc w:val="center"/>
          <w:trHeight w:val="849"/>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踏勘现场：由投标供应商自行踏勘现场。</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投标供应商要求澄清采购文件的截止时间：</w:t>
            </w:r>
            <w:r>
              <w:rPr>
                <w:rFonts w:hint="eastAsia" w:ascii="宋体" w:hAnsi="宋体" w:cs="宋体"/>
                <w:color w:val="000000" w:themeColor="text1"/>
                <w:sz w:val="24"/>
                <w:highlight w:val="none"/>
                <w:lang w:eastAsia="zh-CN"/>
                <w14:textFill>
                  <w14:solidFill>
                    <w14:schemeClr w14:val="tx1"/>
                  </w14:solidFill>
                </w14:textFill>
              </w:rPr>
              <w:t xml:space="preserve">2026年10月30日</w:t>
            </w:r>
            <w:r>
              <w:rPr>
                <w:rFonts w:hint="eastAsia" w:ascii="宋体" w:hAnsi="宋体" w:cs="宋体"/>
                <w:color w:val="000000" w:themeColor="text1"/>
                <w:sz w:val="24"/>
                <w:highlight w:val="none"/>
                <w14:textFill>
                  <w14:solidFill>
                    <w14:schemeClr w14:val="tx1"/>
                  </w14:solidFill>
                </w14:textFill>
              </w:rPr>
              <w:t xml:space="preserve">11时，以书面（或电子稿）形式和电子邮件形式发送给采购代理机构。</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采购人对采购文件澄清、修改时间：投标截止时间15天前，以书面（或电子稿）形式发送给各报名投标供应商。</w:t>
            </w:r>
            <w:r/>
          </w:p>
        </w:tc>
      </w:tr>
      <w:tr>
        <w:trPr>
          <w:jc w:val="center"/>
          <w:trHeight w:val="517"/>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8695" w:type="dxa"/>
            <w:vAlign w:val="center"/>
            <w:textDirection w:val="lrTb"/>
            <w:noWrap w:val="false"/>
          </w:tcPr>
          <w:p>
            <w:pPr>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tc>
      </w:tr>
      <w:tr>
        <w:trPr>
          <w:jc w:val="center"/>
          <w:trHeight w:val="459"/>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投标有效期：投标截止时间起90天。</w:t>
            </w:r>
            <w:r/>
          </w:p>
        </w:tc>
      </w:tr>
      <w:tr>
        <w:trPr>
          <w:jc w:val="center"/>
          <w:trHeight w:val="467"/>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）网上投标截止时间：</w:t>
            </w:r>
            <w:r>
              <w:rPr>
                <w:rFonts w:hint="eastAsia" w:ascii="宋体" w:hAnsi="宋体" w:cs="宋体"/>
                <w:color w:val="000000" w:themeColor="text1"/>
                <w:sz w:val="24"/>
                <w:highlight w:val="none"/>
                <w:lang w:eastAsia="zh-CN"/>
                <w14:textFill>
                  <w14:solidFill>
                    <w14:schemeClr w14:val="tx1"/>
                  </w14:solidFill>
                </w14:textFill>
              </w:rPr>
              <w:t xml:space="preserve">2026年11月17日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，投标截止时间后的投标文件恕不接受。</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）网上投标解密时间：</w:t>
            </w:r>
            <w:r>
              <w:rPr>
                <w:rFonts w:hint="eastAsia" w:ascii="宋体" w:hAnsi="宋体" w:cs="宋体"/>
                <w:color w:val="000000" w:themeColor="text1"/>
                <w:sz w:val="24"/>
                <w:highlight w:val="none"/>
                <w:lang w:eastAsia="zh-CN"/>
                <w14:textFill>
                  <w14:solidFill>
                    <w14:schemeClr w14:val="tx1"/>
                  </w14:solidFill>
                </w14:textFill>
              </w:rPr>
              <w:t xml:space="preserve">2026年11月17日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:30；解密时限：开启解密后30分钟。</w:t>
            </w:r>
            <w:r/>
          </w:p>
          <w:p>
            <w:pPr>
              <w:jc w:val="left"/>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）投标文件提交地点：苏采云平台（http://jszfcg.jscz.gov.cn/jszc/login），线上不见面开标。</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特别提醒：</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Height w:val="772"/>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8695"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ascii="宋体" w:hAnsi="宋体" w:cs="宋体"/>
                <w:color w:val="000000" w:themeColor="text1"/>
                <w:sz w:val="24"/>
                <w:highlight w:val="none"/>
                <w:lang w:eastAsia="zh-CN"/>
                <w14:textFill>
                  <w14:solidFill>
                    <w14:schemeClr w14:val="tx1"/>
                  </w14:solidFill>
                </w14:textFill>
              </w:rPr>
              <w:t xml:space="preserve">2026年11月17日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:30</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开标地点：苏采云平台（http://jszfcg.jscz.gov.cn/jszc/login）</w:t>
            </w:r>
            <w:r/>
          </w:p>
        </w:tc>
      </w:tr>
      <w:tr>
        <w:trPr>
          <w:jc w:val="center"/>
          <w:trHeight w:val="394"/>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8695"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确定中标单位时间：评审结束后</w:t>
            </w:r>
            <w:r/>
          </w:p>
        </w:tc>
      </w:tr>
      <w:tr>
        <w:trPr>
          <w:jc w:val="center"/>
          <w:trHeight w:val="1530"/>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评标和中标结果发布全程电子化。</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jc w:val="center"/>
          <w:trHeight w:val="4179"/>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8695"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联系地址：无锡市大学城高浪西路1600号</w:t>
            </w:r>
            <w:r/>
          </w:p>
          <w:p>
            <w:pPr>
              <w:spacing w:line="324" w:lineRule="auto"/>
              <w:tabs>
                <w:tab w:val="left" w:pos="36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w:t>
            </w:r>
            <w:r>
              <w:rPr>
                <w:rFonts w:hint="eastAsia" w:ascii="宋体" w:hAnsi="宋体" w:cs="宋体"/>
                <w:color w:val="000000" w:themeColor="text1"/>
                <w:sz w:val="24"/>
                <w:highlight w:val="none"/>
                <w:lang w:val="en-US" w:eastAsia="zh-CN"/>
                <w14:textFill>
                  <w14:solidFill>
                    <w14:schemeClr w14:val="tx1"/>
                  </w14:solidFill>
                </w14:textFill>
              </w:rPr>
              <w:t xml:space="preserve">老师</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联系方式：0510-81838723     </w:t>
            </w:r>
            <w:r/>
          </w:p>
          <w:p>
            <w:pPr>
              <w:spacing w:line="324" w:lineRule="auto"/>
              <w:tabs>
                <w:tab w:val="left" w:pos="3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采购代理机构：江苏万达工程造价事务所有限公司</w:t>
            </w:r>
            <w:r/>
          </w:p>
          <w:p>
            <w:pPr>
              <w:ind w:right="-334"/>
              <w:jc w:val="left"/>
              <w:spacing w:line="324"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宗继红、王黎明</w:t>
            </w:r>
            <w:r/>
          </w:p>
          <w:p>
            <w:pPr>
              <w:ind w:right="-334"/>
              <w:jc w:val="left"/>
              <w:spacing w:line="324"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联系电话：0510-85133566、1</w:t>
            </w:r>
            <w:r>
              <w:rPr>
                <w:rFonts w:hint="eastAsia" w:ascii="宋体" w:hAnsi="宋体" w:cs="宋体"/>
                <w:color w:val="000000" w:themeColor="text1"/>
                <w:sz w:val="24"/>
                <w:highlight w:val="none"/>
                <w:lang w:val="en-US" w:eastAsia="zh-CN"/>
                <w14:textFill>
                  <w14:solidFill>
                    <w14:schemeClr w14:val="tx1"/>
                  </w14:solidFill>
                </w14:textFill>
              </w:rPr>
              <w:t xml:space="preserve">9952755816</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联系地址：无锡市滨湖区滴翠路100号B幢1005室</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邮政编码：214000</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电子邮件地址：</w:t>
            </w:r>
            <w:r>
              <w:rPr>
                <w:rFonts w:hint="eastAsia" w:ascii="宋体" w:hAnsi="宋体" w:cs="宋体"/>
                <w:color w:val="000000" w:themeColor="text1"/>
                <w:sz w:val="24"/>
                <w:highlight w:val="none"/>
                <w:lang w:val="en-US" w:eastAsia="zh-CN"/>
                <w14:textFill>
                  <w14:solidFill>
                    <w14:schemeClr w14:val="tx1"/>
                  </w14:solidFill>
                </w14:textFill>
              </w:rPr>
              <w:t xml:space="preserve">1418932336</w:t>
            </w:r>
            <w:r>
              <w:rPr>
                <w:rFonts w:hint="eastAsia" w:ascii="宋体" w:hAnsi="宋体" w:cs="宋体"/>
                <w:color w:val="000000" w:themeColor="text1"/>
                <w:sz w:val="24"/>
                <w:highlight w:val="none"/>
                <w14:textFill>
                  <w14:solidFill>
                    <w14:schemeClr w14:val="tx1"/>
                  </w14:solidFill>
                </w14:textFill>
              </w:rPr>
              <w:t xml:space="preserve">@qq.com</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有关本次采购活动程序方面的问题，可来人、来函（传真）或电话联系。</w:t>
            </w:r>
            <w:r/>
          </w:p>
        </w:tc>
      </w:tr>
      <w:tr>
        <w:trPr>
          <w:jc w:val="center"/>
          <w:trHeight w:val="4215"/>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p>
        </w:tc>
        <w:tc>
          <w:tcPr>
            <w:tcW w:w="8695" w:type="dxa"/>
            <w:vAlign w:val="center"/>
            <w:textDirection w:val="lrTb"/>
            <w:noWrap w:val="false"/>
          </w:tcPr>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1.潜在投标供应商访问江苏省政府采购（苏采云）平台的网络地址和方法：</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cs="宋体"/>
                <w:bCs/>
                <w:color w:val="000000" w:themeColor="text1"/>
                <w:sz w:val="24"/>
                <w:highlight w:val="none"/>
                <w14:textFill>
                  <w14:solidFill>
                    <w14:schemeClr w14:val="tx1"/>
                  </w14:solidFill>
                </w14:textFill>
              </w:rPr>
              <w:t xml:space="preserve">“苏采云”系统用户注册－－获取“CA数字证书”--CA绑定与登录--网上获取--下载采购文件-－将采购文件导入政府采购客户端工具－－制作</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文件－－导出加密的</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cs="宋体"/>
                <w:bCs/>
                <w:color w:val="000000" w:themeColor="text1"/>
                <w:sz w:val="24"/>
                <w:highlight w:val="none"/>
                <w14:textFill>
                  <w14:solidFill>
                    <w14:schemeClr w14:val="tx1"/>
                  </w14:solidFill>
                </w14:textFill>
              </w:rPr>
              <w:t xml:space="preserve">》。</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（2）点击“江苏省政府采购（苏采云平台）”——“用户注册”按钮，进行账号注册并填写申请信息，也可以直接通过</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"http://jszfcg.jscz.gov.cn/jszc/login"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 xml:space="preserve">苏采云 （http://jszfcg.jsczt.cn/）</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进入注册界面。</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（5）采购文件、供应商操作手册及政府采购客户端工具可通过“苏采云”系统－－已获取项目—获取详情页面内相应链接进行下载。</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（7）采购代理机构将数据电文形式的采购文件加载至“苏采云”系统，供潜在供应商下载或者查阅。</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（8）“苏采云”系统应使用谷歌浏览器参与不见面开标。</w:t>
            </w:r>
            <w:r/>
          </w:p>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pStyle w:val="667"/>
        <w:jc w:val="center"/>
        <w:keepLines/>
        <w:keepNext/>
        <w:pageBreakBefore w:val="0"/>
        <w:spacing w:before="240" w:after="240"/>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第二部分. 投标供应商须知</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（一）遵循原则：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（二）采购文件：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2.投标供应商应向江苏万达工程造价事务所有限公司购买文件及有关资料，按采购文件要求提交全部资料并对采购文件各项内容做出实质性响应，否则投标无效。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3.投标供应商一旦参加本项目投标，即表明承诺接受了本采购文件中所有条件和规定。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4.采购文件一经售出、一律不退，且仅作为本次投标使用。</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（三）采购文件的解释：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1.投标供应商如有需要对采购文件要求澄清的问题，请以书面形式提出，并按“投标邀请”第6项规定的时间将电子邮件或书面传真发送至江苏万达工程造价事务所有限公司，联系方式详见“投标邀请”第13项。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2.采购人、江苏万达工程造价事务所有限公司将按“投标邀请”第6项规定的时间对投标供应商针对采购文件书面提出的要求澄清的问题进行书面答疑。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3.本文件的最终解释权归采购人。</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（四）采购文件的补充或修正：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1.投标截止时间15日前江苏万达工程造价事务所有限公司可对采购文件进行必要的澄清或者修改，并视具体情况，延长投标截止时间。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2.如需对采购文件进行补充或修正，江苏万达工程造价事务所有限公司将在江苏政府采购网上发布更正公告。该澄清或者修改的内容为采购文件的组成部分，与采购文件具有同等约束力。</w:t>
      </w:r>
      <w:r/>
    </w:p>
    <w:p>
      <w:pPr>
        <w:ind w:firstLine="480"/>
        <w:spacing w:line="360" w:lineRule="auto"/>
        <w:tabs>
          <w:tab w:val="left" w:pos="945" w:leader="none"/>
        </w:tabs>
        <w:rPr>
          <w:rFonts w:hint="eastAsia"/>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2"/>
        <w:spacing w:line="360" w:lineRule="auto"/>
        <w:rPr>
          <w:rFonts w:hint="eastAsia" w:ascii="宋体" w:hAnsi="宋体" w:cs="宋体"/>
          <w:b/>
          <w:bCs/>
          <w:color w:val="000000" w:themeColor="text1"/>
          <w:sz w:val="30"/>
          <w:szCs w:val="30"/>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（五）投标文件的组成：</w:t>
      </w:r>
      <w:r/>
    </w:p>
    <w:p>
      <w:pPr>
        <w:ind w:firstLine="482"/>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1.投标函（格式见附件）</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证明文件：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.1资格、资信证明文件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关于资格的声明函（格式见附件）；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bCs/>
          <w:color w:val="auto"/>
          <w:sz w:val="24"/>
          <w:highlight w:val="none"/>
        </w:rPr>
      </w:pPr>
      <w:r>
        <w:rPr>
          <w:rFonts w:ascii="宋体" w:hAnsi="宋体" w:eastAsia="宋体" w:cs="宋体"/>
          <w:sz w:val="24"/>
          <w:szCs w:val="24"/>
          <w:highlight w:val="none"/>
        </w:rPr>
        <w:t xml:space="preserve">投标供应商具有独立承担民事责任的能力，提供营业执照或相关行政主管部门出具的登记证明文件扫描件</w:t>
      </w:r>
      <w:r>
        <w:rPr>
          <w:rFonts w:hint="eastAsia" w:ascii="宋体" w:hAnsi="宋体"/>
          <w:bCs/>
          <w:color w:val="000000"/>
          <w:sz w:val="24"/>
          <w:szCs w:val="24"/>
          <w:highlight w:val="none"/>
        </w:rPr>
        <w:t xml:space="preserve">并加盖公章</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bCs/>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投标供应商法定代表人授权委托书（格式见附件，法定代表人亲自参加的除外）；</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投标供应商法定代表人、法定代表人授权代表身份证扫描件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（身份证应为正面、反面）；</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投标供应商提供近一年中任意一个月份（不含投标当月）的财务状况报告（资产负债表和利润表）或由会计师事务所出具的近两年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2024年或2025年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中任意一个年度的财务审计报告扫描件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投标供应商拟派的授权代理人、项目负责人由法定的社保收缴部门出具近一年中任意一个月份（不含投标当月）的投标供应商依法为其缴纳社会保险证明扫描件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；（由相关主管部门出具，</w:t>
      </w:r>
      <w:r>
        <w:rPr>
          <w:rFonts w:hint="eastAsia" w:ascii="宋体" w:hAnsi="宋体" w:cs="宋体"/>
          <w:bCs/>
          <w:color w:val="auto"/>
          <w:sz w:val="24"/>
          <w:highlight w:val="none"/>
          <w:lang w:val="en-US" w:eastAsia="zh-CN"/>
        </w:rPr>
        <w:t xml:space="preserve">新成立的单位除外</w:t>
      </w:r>
      <w:r>
        <w:rPr>
          <w:rFonts w:hint="eastAsia" w:ascii="宋体" w:hAnsi="宋体" w:cs="宋体"/>
          <w:bCs/>
          <w:color w:val="auto"/>
          <w:sz w:val="24"/>
          <w:highlight w:val="none"/>
        </w:rPr>
        <w:t xml:space="preserve">；法定代表人亲自参加投标或担任本项目的项目负责人的除外；社保缴费证明必须提交带有社保部门</w:t>
      </w:r>
      <w:r>
        <w:rPr>
          <w:rFonts w:hint="eastAsia" w:ascii="宋体" w:hAnsi="宋体" w:cs="宋体"/>
          <w:bCs/>
          <w:color w:val="auto"/>
          <w:sz w:val="24"/>
          <w:highlight w:val="none"/>
          <w:lang w:eastAsia="zh-CN"/>
        </w:rPr>
        <w:t xml:space="preserve">公章</w:t>
      </w:r>
      <w:r>
        <w:rPr>
          <w:rFonts w:hint="eastAsia" w:ascii="宋体" w:hAnsi="宋体" w:cs="宋体"/>
          <w:bCs/>
          <w:color w:val="auto"/>
          <w:sz w:val="24"/>
          <w:highlight w:val="none"/>
        </w:rPr>
        <w:t xml:space="preserve">的或含有县</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区）级及以上社保部门电子签章或带二维码验证的扫描件）</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en-US" w:eastAsia="zh-CN"/>
        </w:rPr>
        <w:t xml:space="preserve">提供</w:t>
      </w:r>
      <w:r>
        <w:rPr>
          <w:rFonts w:hint="eastAsia" w:ascii="宋体" w:hAnsi="宋体" w:cs="宋体"/>
          <w:bCs/>
          <w:color w:val="auto"/>
          <w:sz w:val="24"/>
          <w:highlight w:val="none"/>
        </w:rPr>
        <w:t xml:space="preserve">近一年中任意一个月份（不含投标当月）的依法缴纳税收的相关材料（相关主管部门证明或银行代扣证明，或者提供依法免税的主管部门出具的相应证明材料）扫描件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en-US" w:eastAsia="zh-CN"/>
        </w:rPr>
        <w:t xml:space="preserve">提供</w:t>
      </w:r>
      <w:r>
        <w:rPr>
          <w:rFonts w:hint="eastAsia" w:ascii="宋体" w:hAnsi="宋体" w:cs="宋体"/>
          <w:bCs/>
          <w:color w:val="auto"/>
          <w:sz w:val="24"/>
          <w:highlight w:val="none"/>
        </w:rPr>
        <w:t xml:space="preserve">近一年中任意一个月份（不含投标当月）的依法缴纳社会保障资金的相关材料（相关主管部门证明或银行代扣证明，或者依法不需要缴纳社会保障资金的主管部门出具的证明材料）扫描件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承诺书(格式见附件）</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eastAsia="宋体" w:cs="宋体"/>
          <w:b/>
          <w:bCs/>
          <w:color w:val="auto"/>
          <w:sz w:val="24"/>
          <w:highlight w:val="none"/>
        </w:rPr>
        <w:t xml:space="preserve">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。如上述资格证明文件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（8）三</w:t>
      </w:r>
      <w:r>
        <w:rPr>
          <w:rFonts w:hint="eastAsia" w:ascii="宋体" w:hAnsi="宋体" w:eastAsia="宋体" w:cs="宋体"/>
          <w:b/>
          <w:bCs/>
          <w:color w:val="auto"/>
          <w:sz w:val="24"/>
          <w:highlight w:val="none"/>
        </w:rPr>
        <w:t xml:space="preserve">项遇有国家相关政策规定可不具备的，必须提供相关政策规定或相关单位出具的有效证明或情况说明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.2补充</w:t>
      </w:r>
      <w:r>
        <w:rPr>
          <w:rFonts w:hint="eastAsia" w:ascii="宋体" w:hAnsi="宋体" w:cs="宋体"/>
          <w:b/>
          <w:color w:val="000000" w:themeColor="text1"/>
          <w:sz w:val="24"/>
          <w:highlight w:val="none"/>
          <w:lang w:val="en-US" w:eastAsia="zh-CN"/>
          <w14:textFill>
            <w14:solidFill>
              <w14:schemeClr w14:val="tx1"/>
            </w14:solidFill>
          </w14:textFill>
        </w:rPr>
        <w:t xml:space="preserve">性</w:t>
      </w:r>
      <w:r>
        <w:rPr>
          <w:rFonts w:hint="eastAsia" w:ascii="宋体" w:hAnsi="宋体" w:cs="宋体"/>
          <w:b/>
          <w:color w:val="000000" w:themeColor="text1"/>
          <w:sz w:val="24"/>
          <w:highlight w:val="none"/>
          <w14:textFill>
            <w14:solidFill>
              <w14:schemeClr w14:val="tx1"/>
            </w14:solidFill>
          </w14:textFill>
        </w:rPr>
        <w:t xml:space="preserve">文件</w:t>
      </w:r>
      <w:r/>
    </w:p>
    <w:p>
      <w:pPr>
        <w:numPr>
          <w:ilvl w:val="0"/>
          <w:numId w:val="7"/>
        </w:num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供应商简介和经营情况说明（格式见附件）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项目人员配备表（格式见附件）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sz w:val="24"/>
          <w:szCs w:val="24"/>
          <w:highlight w:val="none"/>
          <w:lang w:eastAsia="zh-CN"/>
        </w:rPr>
        <w:t xml:space="preserve">投标人</w:t>
      </w:r>
      <w:r>
        <w:rPr>
          <w:rFonts w:hint="eastAsia" w:ascii="宋体" w:hAnsi="宋体" w:eastAsia="宋体" w:cs="宋体"/>
          <w:b w:val="0"/>
          <w:bCs/>
          <w:color w:val="000000"/>
          <w:sz w:val="24"/>
          <w:szCs w:val="24"/>
          <w:highlight w:val="none"/>
        </w:rPr>
        <w:t xml:space="preserve">类似业绩一览表（格式见附件）</w:t>
      </w:r>
      <w:r>
        <w:rPr>
          <w:rFonts w:hint="eastAsia" w:ascii="宋体" w:hAnsi="宋体" w:eastAsia="宋体" w:cs="宋体"/>
          <w:b w:val="0"/>
          <w:bCs w:val="0"/>
          <w:color w:val="000000"/>
          <w:sz w:val="24"/>
          <w:szCs w:val="24"/>
          <w:highlight w:val="none"/>
          <w:lang w:eastAsia="zh-CN"/>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中小企业声明函（格式见附件）或由省级以上监狱管理局、戒毒管理局(含新疆生产建设兵团)出具的属于监狱企业的证明文件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或残疾人福利单位声明函；（如是）</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关于符合本国产品标准的声明函</w:t>
      </w:r>
      <w:r>
        <w:rPr>
          <w:rFonts w:hint="eastAsia" w:ascii="宋体" w:hAnsi="宋体" w:eastAsia="宋体" w:cs="宋体"/>
          <w:b w:val="0"/>
          <w:bCs/>
          <w:color w:val="000000"/>
          <w:sz w:val="24"/>
          <w:szCs w:val="24"/>
          <w:highlight w:val="none"/>
        </w:rPr>
        <w:t xml:space="preserve">（格式见附件）</w:t>
      </w:r>
      <w:r>
        <w:rPr>
          <w:rFonts w:hint="eastAsia" w:ascii="宋体" w:hAnsi="宋体" w:eastAsia="宋体" w:cs="宋体"/>
          <w:b w:val="0"/>
          <w:bCs/>
          <w:color w:val="000000"/>
          <w:sz w:val="24"/>
          <w:szCs w:val="24"/>
          <w:highlight w:val="none"/>
          <w:lang w:eastAsia="zh-CN"/>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技术偏离表</w:t>
      </w: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评分标准中对应的其它所需证明材料（如有自拟并自行添加）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要求采购人提供的配合（如有自拟并自行添加）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供应商认为有必要提供的声明和文件，如有自拟并自行添加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3.报价文件</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）开标一览表（格式见附件）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分项报价表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格式见附件</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技术</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（按照项目需求及评分标准编制，格式自拟）</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（六）投标文件的要求：</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3.如无特别说明，</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文件格式部分，应由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供应商按给定格式提供，不得更改。</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供应商按采购文件规定的网上解密时间进行解密，如未按时解密后果自负</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应当对</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提出的要求和条件作出实质性响应，并在电子投标系统逐条应答</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bCs/>
          <w:color w:val="000000" w:themeColor="text1"/>
          <w:sz w:val="24"/>
          <w:highlight w:val="none"/>
          <w14:textFill>
            <w14:solidFill>
              <w14:schemeClr w14:val="tx1"/>
            </w14:solidFill>
          </w14:textFill>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10.投标费用自理。</w:t>
      </w:r>
      <w:r/>
    </w:p>
    <w:p>
      <w:pPr>
        <w:ind w:firstLine="480"/>
        <w:spacing w:line="360" w:lineRule="auto"/>
        <w:tabs>
          <w:tab w:val="left" w:pos="0" w:leader="none"/>
          <w:tab w:val="left" w:pos="588"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投标供应商在制作电子投标文件时，请正确关联到对应页，在评审过程中，评审专家如因在相对应页面找不到该相关联的文件，由此产生的后果由投标供应商自行承担。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（七）无效投标文件的确认：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19.同一投标供应商提交两种（含两种）以上不同的投标报价的</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20.评标委员会认为投标供应商的报价明显低于其他通过符合性审查的投标供应商的报价，有可能影响产品质量或者不能诚信履约的，未能在合理的时间内（</w:t>
      </w:r>
      <w:r>
        <w:rPr>
          <w:rFonts w:hint="eastAsia" w:ascii="宋体" w:hAnsi="宋体" w:cs="宋体"/>
          <w:color w:val="000000" w:themeColor="text1"/>
          <w:sz w:val="24"/>
          <w:highlight w:val="none"/>
          <w14:textFill>
            <w14:solidFill>
              <w14:schemeClr w14:val="tx1"/>
            </w14:solidFill>
          </w14:textFill>
        </w:rPr>
        <w:t xml:space="preserve">自江苏省政府采购“苏采云”平台通知之时起一小时内</w:t>
      </w:r>
      <w:r>
        <w:rPr>
          <w:rFonts w:hint="eastAsia" w:ascii="宋体" w:hAnsi="宋体" w:cs="宋体"/>
          <w:bCs/>
          <w:color w:val="000000" w:themeColor="text1"/>
          <w:sz w:val="24"/>
          <w:highlight w:val="none"/>
          <w14:textFill>
            <w14:solidFill>
              <w14:schemeClr w14:val="tx1"/>
            </w14:solidFill>
          </w14:textFill>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32.电子投标文件未按采购文件规定的格式编制；</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33.其他法律法规及本采购文件规定的属于无效投标的情形；</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34.同一投标供应商提交两种（含两种）以上不同的投标报价的。</w:t>
      </w:r>
      <w:r/>
    </w:p>
    <w:p>
      <w:pPr>
        <w:numPr>
          <w:ilvl w:val="0"/>
          <w:numId w:val="0"/>
        </w:numPr>
        <w:ind w:firstLine="480"/>
        <w:jc w:val="left"/>
        <w:spacing w:line="360" w:lineRule="auto"/>
        <w:widowControl/>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技术参数响应表中标注“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”的参数有负偏离或未标注“★”项负偏离超过5项。</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（八）开标、评标：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2.解密时，供应商须自行准备设备（包括但不限于笔记本电脑、</w:t>
      </w:r>
      <w:r>
        <w:rPr>
          <w:rStyle w:val="1193"/>
          <w:rFonts w:hint="eastAsia" w:ascii="宋体" w:hAnsi="宋体" w:cs="宋体"/>
          <w:color w:val="000000" w:themeColor="text1"/>
          <w:sz w:val="24"/>
          <w:highlight w:val="none"/>
          <w14:textFill>
            <w14:solidFill>
              <w14:schemeClr w14:val="tx1"/>
            </w14:solidFill>
          </w14:textFill>
        </w:rPr>
        <w:t xml:space="preserve">CA锁、</w:t>
      </w:r>
      <w:r>
        <w:rPr>
          <w:rFonts w:hint="eastAsia" w:ascii="宋体" w:hAnsi="宋体" w:cs="宋体"/>
          <w:color w:val="000000" w:themeColor="text1"/>
          <w:sz w:val="24"/>
          <w:highlight w:val="none"/>
          <w14:textFill>
            <w14:solidFill>
              <w14:schemeClr w14:val="tx1"/>
            </w14:solidFill>
          </w14:textFill>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5.投标文件的审查</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（1）投标文件报价出现前后不一致的，按照下列规定修正：</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①投标文件中开标一览表（报价表）内容与投标文件中相应内容不一致的，以开标一览表（报价表）为准；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②大写金额和小写金额不一致的，以大写金额为准；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③单价金额小数点或者百分比有明显错位的，以开标一览表的总价为准，并修改单价；</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④总价金额与按单价汇总金额不一致的，以单价金额计算结果为准。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（3）投标供应商未参加开标的，视同认可开标结果。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6.评标程序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评标工作由江苏万达工程造价事务所有限公司负责组织，具体评标事务由依法组建的评标委员会负责。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（1）投标文件初审。初审分为资格性审查和符合性审查。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所谓重大偏离或保留是指与招标文件规定的实质性要求存在负偏离，或者在实质上与招标文件不一致，而且限制了合同中买方和采购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C.如果投标文件实质上没有响应招标文件的要求，评委会将予以拒绝，其投标文件无效，投标供应商不得通过修改或撤销不符合要求的偏离或保留而使其投标成为实质性响应的投标。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（2）澄清有关问题。对投标文件中含义不明确、同类问题表述不一致或者有明显文字和计算错误的内容，评</w:t>
      </w:r>
      <w:r>
        <w:rPr>
          <w:rFonts w:hint="eastAsia" w:ascii="宋体" w:hAnsi="宋体" w:cs="宋体"/>
          <w:color w:val="000000" w:themeColor="text1"/>
          <w:sz w:val="24"/>
          <w:highlight w:val="none"/>
          <w14:textFill>
            <w14:solidFill>
              <w14:schemeClr w14:val="tx1"/>
            </w14:solidFill>
          </w14:textFill>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（3）比较与评价。评标委员会按采购文件中规定的评标方法和标准，对资格性检查和符合性检查合格的投标文件进行商务和技术评估，综合比较与评价。</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根据《关于推动解决政府采购异常低价问题的通知》（财库〔2026〕2号）中相关内容：</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zh-CN"/>
          <w14:textFill>
            <w14:solidFill>
              <w14:schemeClr w14:val="tx1"/>
            </w14:solidFill>
          </w14:textFill>
        </w:rPr>
        <w:t xml:space="preserve">）评审中出现下列情形之一的，评审委员会应当启动异常低价投标（响应）审查程序：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投标（响应）报价低于采购项目最高限价45%的，即投标（响应）报价&lt;采购项目最高限价×45%；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zh-CN"/>
          <w14:textFill>
            <w14:solidFill>
              <w14:schemeClr w14:val="tx1"/>
            </w14:solidFill>
          </w14:textFill>
        </w:rPr>
        <w:t xml:space="preserve">）评审委员会启动异常低价投标（响应）审查后，属于前述第</w:t>
      </w: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项至第</w:t>
      </w: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项情形，供应商已随投标（响应）文件一并提交相关书面说明及必要的证明材料的，在评审现场可不再重复提交。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7.评标方法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投标供应商通过初审的，方可进入比较与评价程序。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比较与评价采用综合评分法（计分均保留2位小数）。</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中标候选人并列的按技术文件优劣顺序排列。投标文件满足采购文件全部实质性要求，且按照评审因素的量化指标评审得分最高的投标供应商为排名第一的中标候选人。</w:t>
      </w:r>
      <w:r/>
    </w:p>
    <w:p>
      <w:pPr>
        <w:ind w:firstLine="482"/>
        <w:spacing w:line="360" w:lineRule="auto"/>
        <w:tabs>
          <w:tab w:val="left" w:pos="1365"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0"/>
          <w:numId w:val="8"/>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评分细则</w:t>
      </w:r>
      <w:r/>
    </w:p>
    <w:p>
      <w:pPr>
        <w:pStyle w:val="1202"/>
        <w:jc w:val="both"/>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 </w:t>
      </w:r>
      <w:r>
        <w:rPr>
          <w:rFonts w:hint="eastAsia" w:ascii="宋体" w:hAnsi="宋体" w:cs="宋体"/>
          <w:b/>
          <w:color w:val="000000" w:themeColor="text1"/>
          <w:highlight w:val="none"/>
          <w14:textFill>
            <w14:solidFill>
              <w14:schemeClr w14:val="tx1"/>
            </w14:solidFill>
          </w14:textFill>
        </w:rPr>
        <w:t xml:space="preserve">落实政府采购政策的价格调整</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价格扣除：专门面向中小/小微企业的项目除外。</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注：同一投标供应商，上述三项价格扣除优惠不得重复享受。</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宋体"/>
          <w:b/>
          <w:bCs/>
          <w:color w:val="000000" w:themeColor="text1"/>
          <w:sz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2.2注意事项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（1）提供本国产品进行投标（报价）的供应商需在其投标（响应）文件中提供《关于符合本国产品标准的声明函》（格式见第</w:t>
      </w:r>
      <w:r>
        <w:rPr>
          <w:rFonts w:hint="eastAsia" w:ascii="宋体" w:hAnsi="宋体" w:cs="宋体"/>
          <w:bCs/>
          <w:color w:val="000000" w:themeColor="text1"/>
          <w:sz w:val="24"/>
          <w:highlight w:val="none"/>
          <w:lang w:val="en-US" w:eastAsia="zh-CN"/>
          <w14:textFill>
            <w14:solidFill>
              <w14:schemeClr w14:val="tx1"/>
            </w14:solidFill>
          </w14:textFill>
        </w:rPr>
        <w:t xml:space="preserve">五部分</w:t>
      </w:r>
      <w:r>
        <w:rPr>
          <w:rFonts w:hint="eastAsia" w:ascii="宋体" w:hAnsi="宋体" w:cs="宋体"/>
          <w:bCs/>
          <w:color w:val="000000" w:themeColor="text1"/>
          <w:sz w:val="24"/>
          <w:highlight w:val="none"/>
          <w14:textFill>
            <w14:solidFill>
              <w14:schemeClr w14:val="tx1"/>
            </w14:solidFill>
          </w14:textFill>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w:t>
      </w:r>
      <w:r>
        <w:rPr>
          <w:rFonts w:hint="eastAsia" w:ascii="宋体" w:hAnsi="宋体" w:cs="宋体"/>
          <w:bCs/>
          <w:color w:val="000000" w:themeColor="text1"/>
          <w:sz w:val="24"/>
          <w:highlight w:val="none"/>
          <w:lang w:val="en-US" w:eastAsia="zh-CN"/>
          <w14:textFill>
            <w14:solidFill>
              <w14:schemeClr w14:val="tx1"/>
            </w14:solidFill>
          </w14:textFill>
        </w:rPr>
        <w:t xml:space="preserve">五部分</w:t>
      </w:r>
      <w:r>
        <w:rPr>
          <w:rFonts w:hint="eastAsia" w:ascii="宋体" w:hAnsi="宋体" w:cs="宋体"/>
          <w:bCs/>
          <w:color w:val="000000" w:themeColor="text1"/>
          <w:sz w:val="24"/>
          <w:highlight w:val="none"/>
          <w14:textFill>
            <w14:solidFill>
              <w14:schemeClr w14:val="tx1"/>
            </w14:solidFill>
          </w14:textFill>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cs="宋体"/>
          <w:b/>
          <w:bCs/>
          <w:color w:val="000000" w:themeColor="text1"/>
          <w:sz w:val="24"/>
          <w:highlight w:val="none"/>
          <w14:textFill>
            <w14:solidFill>
              <w14:schemeClr w14:val="tx1"/>
            </w14:solidFill>
          </w14:textFill>
        </w:rPr>
        <w:t xml:space="preserve">货物成本之和</w:t>
      </w:r>
      <w:r>
        <w:rPr>
          <w:rFonts w:hint="eastAsia" w:ascii="宋体" w:hAnsi="宋体" w:cs="宋体"/>
          <w:bCs/>
          <w:color w:val="000000" w:themeColor="text1"/>
          <w:sz w:val="24"/>
          <w:highlight w:val="none"/>
          <w14:textFill>
            <w14:solidFill>
              <w14:schemeClr w14:val="tx1"/>
            </w14:solidFill>
          </w14:textFill>
        </w:rPr>
        <w:t xml:space="preserve">；“全部产品成本之和”是指货物或服务项目（或者采购包）中包含的</w:t>
      </w:r>
      <w:r>
        <w:rPr>
          <w:rFonts w:hint="eastAsia" w:ascii="宋体" w:hAnsi="宋体" w:cs="宋体"/>
          <w:b/>
          <w:bCs/>
          <w:color w:val="000000" w:themeColor="text1"/>
          <w:sz w:val="24"/>
          <w:highlight w:val="none"/>
          <w14:textFill>
            <w14:solidFill>
              <w14:schemeClr w14:val="tx1"/>
            </w14:solidFill>
          </w14:textFill>
        </w:rPr>
        <w:t xml:space="preserve">全部货物、服务产品的成本之和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1000000×[1-（10%+20%）]=700000元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评分项目及总分（总分100分）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en-US" w:eastAsia="zh-CN"/>
          <w14:textFill>
            <w14:solidFill>
              <w14:schemeClr w14:val="tx1"/>
            </w14:solidFill>
          </w14:textFill>
        </w:rPr>
        <w:t xml:space="preserve">投标报价</w:t>
      </w:r>
      <w:r>
        <w:rPr>
          <w:rFonts w:hint="eastAsia" w:ascii="宋体" w:hAnsi="宋体" w:cs="宋体"/>
          <w:b/>
          <w:bCs/>
          <w:color w:val="000000" w:themeColor="text1"/>
          <w:sz w:val="24"/>
          <w:highlight w:val="none"/>
          <w14:textFill>
            <w14:solidFill>
              <w14:schemeClr w14:val="tx1"/>
            </w14:solidFill>
          </w14:textFill>
        </w:rPr>
        <w:t xml:space="preserve">                         30分</w:t>
      </w:r>
      <w:r/>
    </w:p>
    <w:p>
      <w:pPr>
        <w:ind w:firstLine="482"/>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（2）投标供应商综合实力            </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2"/>
        <w:spacing w:line="360" w:lineRule="auto"/>
        <w:widowControl/>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lang w:eastAsia="zh-CN"/>
          <w14:textFill>
            <w14:solidFill>
              <w14:schemeClr w14:val="tx1"/>
            </w14:solidFill>
          </w14:textFill>
        </w:rPr>
        <w:t xml:space="preserve">）技术参数响应</w:t>
      </w:r>
      <w:r>
        <w:rPr>
          <w:rFonts w:hint="eastAsia" w:ascii="宋体" w:hAnsi="宋体" w:cs="宋体"/>
          <w:b/>
          <w:bCs/>
          <w:color w:val="000000" w:themeColor="text1"/>
          <w:sz w:val="24"/>
          <w:highlight w:val="none"/>
          <w:lang w:val="en-US" w:eastAsia="zh-CN"/>
          <w14:textFill>
            <w14:solidFill>
              <w14:schemeClr w14:val="tx1"/>
            </w14:solidFill>
          </w14:textFill>
        </w:rPr>
        <w:t xml:space="preserve">                     30</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2"/>
        <w:spacing w:line="360" w:lineRule="auto"/>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4</w:t>
      </w:r>
      <w:r>
        <w:rPr>
          <w:rFonts w:hint="eastAsia" w:ascii="宋体" w:hAnsi="宋体" w:cs="宋体"/>
          <w:b/>
          <w:color w:val="000000" w:themeColor="text1"/>
          <w:sz w:val="24"/>
          <w:highlight w:val="none"/>
          <w:lang w:eastAsia="zh-CN"/>
          <w14:textFill>
            <w14:solidFill>
              <w14:schemeClr w14:val="tx1"/>
            </w14:solidFill>
          </w14:textFill>
        </w:rPr>
        <w:t xml:space="preserve">）功能演示</w:t>
      </w:r>
      <w:r>
        <w:rPr>
          <w:rFonts w:hint="eastAsia" w:ascii="宋体" w:hAnsi="宋体" w:cs="宋体"/>
          <w:b/>
          <w:color w:val="000000" w:themeColor="text1"/>
          <w:sz w:val="24"/>
          <w:highlight w:val="none"/>
          <w:lang w:val="en-US" w:eastAsia="zh-CN"/>
          <w14:textFill>
            <w14:solidFill>
              <w14:schemeClr w14:val="tx1"/>
            </w14:solidFill>
          </w14:textFill>
        </w:rPr>
        <w:t xml:space="preserve">                         18分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）技术方案                  </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12</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8.3各项目评分标准</w:t>
      </w:r>
      <w:r/>
    </w:p>
    <w:tbl>
      <w:tblPr>
        <w:tblStyle w:val="677"/>
        <w:tblW w:w="9935" w:type="dxa"/>
        <w:jc w:val="center"/>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28"/>
        <w:gridCol w:w="1173"/>
        <w:gridCol w:w="6756"/>
        <w:gridCol w:w="678"/>
      </w:tblGrid>
      <w:tr>
        <w:trPr>
          <w:jc w:val="center"/>
          <w:trHeight w:val="329"/>
        </w:trPr>
        <w:tc>
          <w:tcPr>
            <w:tcW w:w="1328" w:type="dxa"/>
            <w:vAlign w:val="center"/>
            <w:textDirection w:val="lrTb"/>
            <w:noWrap w:val="false"/>
          </w:tcPr>
          <w:p>
            <w:pPr>
              <w:jc w:val="center"/>
              <w:rPr>
                <w:b/>
                <w:bCs/>
                <w:color w:val="000000"/>
                <w:sz w:val="21"/>
                <w:szCs w:val="21"/>
                <w:highlight w:val="none"/>
              </w:rPr>
            </w:pPr>
            <w:r>
              <w:rPr>
                <w:b/>
                <w:bCs/>
                <w:color w:val="000000"/>
                <w:sz w:val="21"/>
                <w:szCs w:val="21"/>
                <w:highlight w:val="none"/>
              </w:rPr>
              <w:t xml:space="preserve">评分因素</w:t>
            </w:r>
            <w:r/>
          </w:p>
        </w:tc>
        <w:tc>
          <w:tcPr>
            <w:gridSpan w:val="2"/>
            <w:tcW w:w="7929" w:type="dxa"/>
            <w:vAlign w:val="center"/>
            <w:textDirection w:val="lrTb"/>
            <w:noWrap w:val="false"/>
          </w:tcPr>
          <w:p>
            <w:pPr>
              <w:jc w:val="center"/>
              <w:rPr>
                <w:b/>
                <w:bCs/>
                <w:color w:val="000000"/>
                <w:sz w:val="21"/>
                <w:szCs w:val="21"/>
                <w:highlight w:val="none"/>
              </w:rPr>
            </w:pPr>
            <w:r>
              <w:rPr>
                <w:b/>
                <w:bCs/>
                <w:color w:val="000000"/>
                <w:sz w:val="21"/>
                <w:szCs w:val="21"/>
                <w:highlight w:val="none"/>
              </w:rPr>
              <w:t xml:space="preserve">评审标准</w:t>
            </w:r>
            <w:r/>
          </w:p>
        </w:tc>
        <w:tc>
          <w:tcPr>
            <w:tcW w:w="678" w:type="dxa"/>
            <w:vAlign w:val="center"/>
            <w:textDirection w:val="lrTb"/>
            <w:noWrap w:val="false"/>
          </w:tcPr>
          <w:p>
            <w:pPr>
              <w:jc w:val="center"/>
              <w:rPr>
                <w:b/>
                <w:bCs/>
                <w:color w:val="000000"/>
                <w:sz w:val="21"/>
                <w:szCs w:val="21"/>
                <w:highlight w:val="none"/>
              </w:rPr>
            </w:pPr>
            <w:r>
              <w:rPr>
                <w:b/>
                <w:bCs/>
                <w:color w:val="000000"/>
                <w:sz w:val="21"/>
                <w:szCs w:val="21"/>
                <w:highlight w:val="none"/>
              </w:rPr>
              <w:t xml:space="preserve">分值</w:t>
            </w:r>
            <w:r/>
          </w:p>
        </w:tc>
      </w:tr>
      <w:tr>
        <w:trPr>
          <w:jc w:val="center"/>
          <w:trHeight w:val="1077"/>
        </w:trPr>
        <w:tc>
          <w:tcPr>
            <w:tcW w:w="1328" w:type="dxa"/>
            <w:vAlign w:val="center"/>
            <w:textDirection w:val="lrTb"/>
            <w:noWrap w:val="false"/>
          </w:tcPr>
          <w:p>
            <w:pPr>
              <w:jc w:val="center"/>
              <w:rPr>
                <w:color w:val="000000"/>
                <w:sz w:val="21"/>
                <w:szCs w:val="21"/>
                <w:highlight w:val="none"/>
              </w:rPr>
            </w:pPr>
            <w:r>
              <w:rPr>
                <w:color w:val="000000"/>
                <w:sz w:val="21"/>
                <w:szCs w:val="21"/>
                <w:highlight w:val="none"/>
              </w:rPr>
              <w:t xml:space="preserve">投标报价</w:t>
            </w:r>
            <w:r/>
          </w:p>
          <w:p>
            <w:pPr>
              <w:jc w:val="center"/>
              <w:rPr>
                <w:color w:val="000000"/>
                <w:sz w:val="21"/>
                <w:szCs w:val="21"/>
                <w:highlight w:val="none"/>
              </w:rPr>
            </w:pPr>
            <w:r>
              <w:rPr>
                <w:color w:val="000000"/>
                <w:sz w:val="21"/>
                <w:szCs w:val="21"/>
                <w:highlight w:val="none"/>
              </w:rPr>
              <w:t xml:space="preserve">（30分）</w:t>
            </w:r>
            <w:r/>
          </w:p>
        </w:tc>
        <w:tc>
          <w:tcPr>
            <w:gridSpan w:val="2"/>
            <w:tcW w:w="7929"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各投标供应商的有效投标报价，在满足招标文件实质性要求且经评审后的有效最低投标报价为评标基准价，其价格分为满分30分。其他投标供应商的价格分统一按照下列公式计算：投标报价得分=（评标基准价/有效投标报价) ×30，分值保留小数点后2位。</w:t>
            </w:r>
            <w:r/>
          </w:p>
          <w:p>
            <w:pPr>
              <w:tabs>
                <w:tab w:val="left" w:pos="1365"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价格扣除1：</w:t>
            </w:r>
            <w:r>
              <w:rPr>
                <w:rFonts w:hint="eastAsia" w:ascii="宋体" w:hAnsi="宋体" w:cs="宋体"/>
                <w:color w:val="000000"/>
                <w:szCs w:val="21"/>
                <w:highlight w:val="none"/>
              </w:rPr>
              <w:t xml:space="preserve">专门面向中小/小微企业的项目除外。</w:t>
            </w:r>
            <w:r/>
          </w:p>
          <w:p>
            <w:pPr>
              <w:ind w:firstLine="420"/>
              <w:tabs>
                <w:tab w:val="left" w:pos="13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20"/>
              <w:tabs>
                <w:tab w:val="left" w:pos="13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（财库〔2014〕68号）的规定提供由省级以上监狱管理局、戒毒管理局(含新疆生产建设兵团)出具的属于监狱企业的证明文件复印件。</w:t>
            </w:r>
            <w:r/>
          </w:p>
          <w:p>
            <w:pPr>
              <w:ind w:firstLine="420"/>
              <w:tabs>
                <w:tab w:val="left" w:pos="13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jc w:val="lef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注：同一投标供应商，上述三项价格扣除优惠不得重复享受。</w:t>
            </w:r>
            <w:r/>
          </w:p>
          <w:p>
            <w:pPr>
              <w:jc w:val="left"/>
              <w:rPr>
                <w:color w:val="000000"/>
                <w:sz w:val="21"/>
                <w:szCs w:val="21"/>
                <w:highlight w:val="none"/>
              </w:rPr>
            </w:pPr>
            <w:r>
              <w:rPr>
                <w:rFonts w:hint="eastAsia" w:ascii="宋体" w:hAnsi="宋体" w:cs="宋体"/>
                <w:b/>
                <w:bCs/>
                <w:color w:val="000000"/>
                <w:szCs w:val="21"/>
                <w:highlight w:val="none"/>
              </w:rPr>
              <w:t xml:space="preserve">价格扣除2：</w:t>
            </w:r>
            <w:r>
              <w:rPr>
                <w:rFonts w:hint="eastAsia" w:ascii="宋体" w:hAnsi="宋体" w:cs="宋体"/>
                <w:color w:val="000000"/>
                <w:szCs w:val="21"/>
                <w:highlight w:val="none"/>
              </w:rPr>
              <w:t xml:space="preserve">根据《国务院办公厅关于在政府采购中实施本国产品标准及相关政策的通知》（国办发〔2025〕34号）进行价格扣除优惠，当采购项目或者采购包中，所有通过资格和符合性审查的有效供应商均被认定满足本国产品价格扣除政策要求且在投标(响应)文件中对此做出承诺的，则本项目或采购包视为仅有本国产品参与竞争的政府采购项目或采购包，所有有效投标供应商均不享受价格扣除评审优惠。</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30</w:t>
            </w:r>
            <w:r/>
          </w:p>
        </w:tc>
      </w:tr>
      <w:tr>
        <w:trPr>
          <w:jc w:val="center"/>
          <w:trHeight w:val="283"/>
        </w:trPr>
        <w:tc>
          <w:tcPr>
            <w:tcW w:w="1328" w:type="dxa"/>
            <w:vAlign w:val="center"/>
            <w:vMerge w:val="restart"/>
            <w:textDirection w:val="lrTb"/>
            <w:noWrap w:val="false"/>
          </w:tcPr>
          <w:p>
            <w:pPr>
              <w:jc w:val="center"/>
              <w:rPr>
                <w:color w:val="000000"/>
                <w:sz w:val="21"/>
                <w:szCs w:val="21"/>
                <w:highlight w:val="none"/>
              </w:rPr>
            </w:pPr>
            <w:r>
              <w:rPr>
                <w:color w:val="000000"/>
                <w:sz w:val="21"/>
                <w:szCs w:val="21"/>
                <w:highlight w:val="none"/>
              </w:rPr>
              <w:t xml:space="preserve">投标供应商综合实力</w:t>
            </w:r>
            <w:r/>
          </w:p>
          <w:p>
            <w:pPr>
              <w:jc w:val="center"/>
              <w:rPr>
                <w:sz w:val="21"/>
                <w:szCs w:val="21"/>
                <w:highlight w:val="none"/>
              </w:rPr>
            </w:pPr>
            <w:r>
              <w:rPr>
                <w:sz w:val="21"/>
                <w:szCs w:val="21"/>
                <w:highlight w:val="none"/>
              </w:rPr>
              <w:t xml:space="preserve">（10分）</w:t>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体系证书</w:t>
            </w:r>
            <w:r/>
          </w:p>
        </w:tc>
        <w:tc>
          <w:tcPr>
            <w:tcW w:w="6756" w:type="dxa"/>
            <w:vAlign w:val="center"/>
            <w:textDirection w:val="lrTb"/>
            <w:noWrap w:val="false"/>
          </w:tcPr>
          <w:p>
            <w:pPr>
              <w:jc w:val="left"/>
              <w:rPr>
                <w:color w:val="000000"/>
                <w:sz w:val="21"/>
                <w:szCs w:val="21"/>
                <w:highlight w:val="none"/>
              </w:rPr>
            </w:pPr>
            <w:r>
              <w:rPr>
                <w:color w:val="000000"/>
                <w:sz w:val="21"/>
                <w:szCs w:val="21"/>
                <w:highlight w:val="none"/>
              </w:rPr>
              <w:t xml:space="preserve">投标供应商具有有效期内的</w:t>
            </w:r>
            <w:r>
              <w:rPr>
                <w:b/>
                <w:bCs/>
                <w:color w:val="000000"/>
                <w:sz w:val="22"/>
                <w:szCs w:val="28"/>
                <w:highlight w:val="none"/>
              </w:rPr>
              <w:t xml:space="preserve">质量管理系统认证证书</w:t>
            </w:r>
            <w:r>
              <w:rPr>
                <w:color w:val="000000"/>
                <w:sz w:val="22"/>
                <w:szCs w:val="28"/>
                <w:highlight w:val="none"/>
              </w:rPr>
              <w:t xml:space="preserve">、</w:t>
            </w:r>
            <w:r>
              <w:rPr>
                <w:b/>
                <w:bCs/>
                <w:color w:val="000000"/>
                <w:sz w:val="21"/>
                <w:szCs w:val="21"/>
                <w:highlight w:val="none"/>
              </w:rPr>
              <w:t xml:space="preserve">信息技术服务管理体系认证证书</w:t>
            </w:r>
            <w:r>
              <w:rPr>
                <w:color w:val="000000"/>
                <w:sz w:val="21"/>
                <w:szCs w:val="21"/>
                <w:highlight w:val="none"/>
              </w:rPr>
              <w:t xml:space="preserve">、</w:t>
            </w:r>
            <w:r>
              <w:rPr>
                <w:b/>
                <w:bCs/>
                <w:color w:val="000000"/>
                <w:sz w:val="22"/>
                <w:szCs w:val="28"/>
                <w:highlight w:val="none"/>
              </w:rPr>
              <w:t xml:space="preserve">信息安全管理体系认证证书</w:t>
            </w:r>
            <w:r>
              <w:rPr>
                <w:color w:val="000000"/>
                <w:sz w:val="21"/>
                <w:szCs w:val="21"/>
                <w:highlight w:val="none"/>
              </w:rPr>
              <w:t xml:space="preserve">，每提供一项得1分，本项最高得3分。</w:t>
            </w:r>
            <w:r/>
          </w:p>
          <w:p>
            <w:pPr>
              <w:jc w:val="left"/>
              <w:rPr>
                <w:color w:val="000000"/>
                <w:sz w:val="21"/>
                <w:szCs w:val="21"/>
                <w:highlight w:val="none"/>
              </w:rPr>
            </w:pPr>
            <w:r>
              <w:rPr>
                <w:b/>
                <w:bCs/>
                <w:color w:val="000000"/>
                <w:sz w:val="21"/>
                <w:szCs w:val="21"/>
                <w:highlight w:val="none"/>
              </w:rPr>
              <w:t xml:space="preserve">注：</w:t>
            </w:r>
            <w:r>
              <w:rPr>
                <w:color w:val="000000"/>
                <w:sz w:val="21"/>
                <w:szCs w:val="21"/>
                <w:highlight w:val="none"/>
              </w:rPr>
              <w:t xml:space="preserve">投标时提供认证证书及全国认证认可信息公共服务平台网站查询截图加盖公章。</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w:t>
            </w:r>
            <w:r/>
          </w:p>
        </w:tc>
      </w:tr>
      <w:tr>
        <w:trPr>
          <w:jc w:val="center"/>
          <w:trHeight w:val="283"/>
        </w:trPr>
        <w:tc>
          <w:tcPr>
            <w:tcW w:w="1328" w:type="dxa"/>
            <w:vAlign w:val="center"/>
            <w:vMerge w:val="continue"/>
            <w:textDirection w:val="lrTb"/>
            <w:noWrap w:val="false"/>
          </w:tcPr>
          <w:p>
            <w:pPr>
              <w:jc w:val="center"/>
              <w:rPr>
                <w:color w:val="000000"/>
                <w:sz w:val="21"/>
                <w:szCs w:val="21"/>
                <w:highlight w:val="none"/>
              </w:rPr>
            </w:pPr>
            <w:r>
              <w:rPr>
                <w:color w:val="000000"/>
                <w:sz w:val="21"/>
                <w:szCs w:val="21"/>
                <w:highlight w:val="none"/>
              </w:rPr>
            </w:r>
            <w:r/>
          </w:p>
        </w:tc>
        <w:tc>
          <w:tcPr>
            <w:tcW w:w="1173" w:type="dxa"/>
            <w:vAlign w:val="center"/>
            <w:textDirection w:val="lrTb"/>
            <w:noWrap w:val="false"/>
          </w:tcPr>
          <w:p>
            <w:pPr>
              <w:pStyle w:val="706"/>
              <w:ind w:left="0" w:firstLine="0"/>
              <w:jc w:val="center"/>
              <w:rPr>
                <w:rFonts w:ascii="Times New Roman" w:hAnsi="Times New Roman" w:eastAsia="宋体"/>
                <w:sz w:val="21"/>
                <w:szCs w:val="28"/>
                <w:highlight w:val="none"/>
              </w:rPr>
            </w:pPr>
            <w:r>
              <w:rPr>
                <w:rFonts w:hint="eastAsia"/>
                <w:color w:val="000000"/>
                <w:sz w:val="21"/>
                <w:szCs w:val="21"/>
                <w:highlight w:val="none"/>
                <w:lang w:val="en-US" w:eastAsia="zh-CN"/>
              </w:rPr>
              <w:t xml:space="preserve">类似</w:t>
            </w:r>
            <w:r>
              <w:rPr>
                <w:color w:val="000000"/>
                <w:sz w:val="21"/>
                <w:szCs w:val="21"/>
                <w:highlight w:val="none"/>
              </w:rPr>
              <w:t xml:space="preserve">业绩</w:t>
            </w:r>
            <w:r/>
          </w:p>
        </w:tc>
        <w:tc>
          <w:tcPr>
            <w:tcW w:w="6756" w:type="dxa"/>
            <w:vAlign w:val="center"/>
            <w:textDirection w:val="lrTb"/>
            <w:noWrap w:val="false"/>
          </w:tcPr>
          <w:p>
            <w:pPr>
              <w:jc w:val="left"/>
              <w:rPr>
                <w:rFonts w:hint="eastAsia"/>
                <w:color w:val="000000"/>
                <w:sz w:val="21"/>
                <w:szCs w:val="21"/>
                <w:highlight w:val="none"/>
              </w:rPr>
            </w:pPr>
            <w:r>
              <w:rPr>
                <w:color w:val="000000"/>
                <w:sz w:val="21"/>
                <w:szCs w:val="21"/>
                <w:highlight w:val="none"/>
              </w:rPr>
              <w:t xml:space="preserve">投标供应商自202</w:t>
            </w:r>
            <w:r>
              <w:rPr>
                <w:rFonts w:hint="eastAsia"/>
                <w:color w:val="000000"/>
                <w:sz w:val="21"/>
                <w:szCs w:val="21"/>
                <w:highlight w:val="none"/>
              </w:rPr>
              <w:t xml:space="preserve">3</w:t>
            </w:r>
            <w:r>
              <w:rPr>
                <w:color w:val="000000"/>
                <w:sz w:val="21"/>
                <w:szCs w:val="21"/>
                <w:highlight w:val="none"/>
              </w:rPr>
              <w:t xml:space="preserve">年1月1日以来具有同类项目业绩的，每</w:t>
            </w:r>
            <w:r>
              <w:rPr>
                <w:rFonts w:hint="eastAsia"/>
                <w:color w:val="000000"/>
                <w:sz w:val="21"/>
                <w:szCs w:val="21"/>
                <w:highlight w:val="none"/>
              </w:rPr>
              <w:t xml:space="preserve">提供</w:t>
            </w:r>
            <w:r>
              <w:rPr>
                <w:color w:val="000000"/>
                <w:sz w:val="21"/>
                <w:szCs w:val="21"/>
                <w:highlight w:val="none"/>
              </w:rPr>
              <w:t xml:space="preserve">一个</w:t>
            </w:r>
            <w:r>
              <w:rPr>
                <w:rFonts w:hint="eastAsia"/>
                <w:color w:val="000000"/>
                <w:sz w:val="21"/>
                <w:szCs w:val="21"/>
                <w:highlight w:val="none"/>
              </w:rPr>
              <w:t xml:space="preserve">业绩</w:t>
            </w:r>
            <w:r>
              <w:rPr>
                <w:color w:val="000000"/>
                <w:sz w:val="21"/>
                <w:szCs w:val="21"/>
                <w:highlight w:val="none"/>
              </w:rPr>
              <w:t xml:space="preserve">得</w:t>
            </w:r>
            <w:r>
              <w:rPr>
                <w:rFonts w:hint="eastAsia"/>
                <w:color w:val="000000"/>
                <w:sz w:val="21"/>
                <w:szCs w:val="21"/>
                <w:highlight w:val="none"/>
              </w:rPr>
              <w:t xml:space="preserve">1</w:t>
            </w:r>
            <w:r>
              <w:rPr>
                <w:color w:val="000000"/>
                <w:sz w:val="21"/>
                <w:szCs w:val="21"/>
                <w:highlight w:val="none"/>
              </w:rPr>
              <w:t xml:space="preserve">分，</w:t>
            </w:r>
            <w:r>
              <w:rPr>
                <w:rFonts w:hint="eastAsia"/>
                <w:color w:val="000000"/>
                <w:sz w:val="21"/>
                <w:szCs w:val="21"/>
                <w:highlight w:val="none"/>
              </w:rPr>
              <w:t xml:space="preserve">本项最高得3分。</w:t>
            </w:r>
            <w:r/>
          </w:p>
          <w:p>
            <w:pPr>
              <w:jc w:val="left"/>
              <w:rPr>
                <w:color w:val="000000"/>
                <w:sz w:val="21"/>
                <w:szCs w:val="21"/>
                <w:highlight w:val="none"/>
              </w:rPr>
            </w:pPr>
            <w:r>
              <w:rPr>
                <w:rFonts w:hint="eastAsia"/>
                <w:b/>
                <w:bCs/>
                <w:color w:val="000000"/>
                <w:sz w:val="21"/>
                <w:szCs w:val="21"/>
                <w:highlight w:val="none"/>
              </w:rPr>
              <w:t xml:space="preserve">注：</w:t>
            </w:r>
            <w:r>
              <w:rPr>
                <w:color w:val="000000"/>
                <w:sz w:val="21"/>
                <w:szCs w:val="21"/>
                <w:highlight w:val="none"/>
              </w:rPr>
              <w:t xml:space="preserve">业绩时间以合同签订时间为准，提供合同复印件并加盖投标供应商公章。</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w:t>
            </w:r>
            <w:r/>
          </w:p>
        </w:tc>
      </w:tr>
      <w:tr>
        <w:trPr>
          <w:jc w:val="center"/>
          <w:trHeight w:val="283"/>
        </w:trPr>
        <w:tc>
          <w:tcPr>
            <w:tcW w:w="1328" w:type="dxa"/>
            <w:vAlign w:val="center"/>
            <w:vMerge w:val="continue"/>
            <w:textDirection w:val="lrTb"/>
            <w:noWrap w:val="false"/>
          </w:tcPr>
          <w:p>
            <w:pPr>
              <w:jc w:val="left"/>
              <w:rPr>
                <w:color w:val="000000"/>
                <w:sz w:val="21"/>
                <w:szCs w:val="21"/>
                <w:highlight w:val="none"/>
              </w:rPr>
            </w:pPr>
            <w:r>
              <w:rPr>
                <w:color w:val="000000"/>
                <w:sz w:val="21"/>
                <w:szCs w:val="21"/>
                <w:highlight w:val="none"/>
              </w:rPr>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产品软著</w:t>
            </w:r>
            <w:r/>
          </w:p>
        </w:tc>
        <w:tc>
          <w:tcPr>
            <w:tcW w:w="6756"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w:t>
            </w:r>
            <w:r>
              <w:rPr>
                <w:rFonts w:hint="eastAsia" w:ascii="宋体" w:hAnsi="宋体" w:cs="宋体"/>
                <w:szCs w:val="21"/>
                <w:highlight w:val="none"/>
                <w:lang w:val="en-US" w:eastAsia="zh-CN"/>
              </w:rPr>
              <w:t xml:space="preserve">产品</w:t>
            </w:r>
            <w:r>
              <w:rPr>
                <w:rFonts w:hint="eastAsia" w:ascii="宋体" w:hAnsi="宋体" w:cs="宋体"/>
                <w:szCs w:val="21"/>
                <w:highlight w:val="none"/>
              </w:rPr>
              <w:t xml:space="preserve">具有有效期内的类似“</w:t>
            </w:r>
            <w:r>
              <w:rPr>
                <w:rFonts w:hint="eastAsia" w:ascii="Times New Roman" w:hAnsi="Times New Roman" w:eastAsia="宋体" w:cs="Times New Roman"/>
                <w:sz w:val="21"/>
                <w:szCs w:val="21"/>
                <w:highlight w:val="none"/>
              </w:rPr>
              <w:t xml:space="preserve">数字孪生实训平台、智慧工厂数字孪生应用平台</w:t>
            </w:r>
            <w:r>
              <w:rPr>
                <w:rFonts w:hint="eastAsia" w:ascii="宋体" w:hAnsi="宋体" w:cs="宋体"/>
                <w:szCs w:val="21"/>
                <w:highlight w:val="none"/>
              </w:rPr>
              <w:t xml:space="preserve">”</w:t>
            </w:r>
            <w:r>
              <w:rPr>
                <w:rFonts w:hint="eastAsia"/>
                <w:szCs w:val="21"/>
                <w:highlight w:val="none"/>
              </w:rPr>
              <w:t xml:space="preserve">等</w:t>
            </w:r>
            <w:r>
              <w:rPr>
                <w:rFonts w:hint="eastAsia" w:ascii="宋体" w:hAnsi="宋体" w:cs="宋体"/>
                <w:szCs w:val="21"/>
                <w:highlight w:val="none"/>
              </w:rPr>
              <w:t xml:space="preserve">相关的软件著作权，每提供1项有效证书得1分，本项最高得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分。(软件名称不必完全一致，但软著功能范围须与上述类别方向相匹配，由评标委员会综合认定；同一软件不同版本、同一类别多份著作权证书不重复计分。)。</w:t>
            </w:r>
            <w:r/>
          </w:p>
          <w:p>
            <w:pPr>
              <w:jc w:val="left"/>
              <w:rPr>
                <w:b/>
                <w:bCs/>
                <w:sz w:val="21"/>
                <w:szCs w:val="21"/>
                <w:highlight w:val="none"/>
              </w:rPr>
            </w:pPr>
            <w:r>
              <w:rPr>
                <w:rFonts w:hint="eastAsia" w:ascii="宋体" w:hAnsi="宋体" w:cs="宋体"/>
                <w:b/>
                <w:bCs/>
                <w:szCs w:val="21"/>
                <w:highlight w:val="none"/>
              </w:rPr>
              <w:t xml:space="preserve">注：</w:t>
            </w:r>
            <w:r>
              <w:rPr>
                <w:rFonts w:hint="eastAsia" w:ascii="宋体" w:hAnsi="宋体" w:cs="宋体"/>
                <w:szCs w:val="21"/>
                <w:highlight w:val="none"/>
              </w:rPr>
              <w:t xml:space="preserve">投标时提供产品软件著作权登记证书及中国版权保护中心平台查验截图加盖公章。</w:t>
            </w:r>
            <w:r/>
          </w:p>
        </w:tc>
        <w:tc>
          <w:tcPr>
            <w:tcW w:w="678" w:type="dxa"/>
            <w:vAlign w:val="center"/>
            <w:textDirection w:val="lrTb"/>
            <w:noWrap w:val="false"/>
          </w:tcPr>
          <w:p>
            <w:pPr>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2</w:t>
            </w:r>
            <w:r/>
          </w:p>
        </w:tc>
      </w:tr>
      <w:tr>
        <w:trPr>
          <w:jc w:val="center"/>
          <w:trHeight w:val="283"/>
        </w:trPr>
        <w:tc>
          <w:tcPr>
            <w:tcW w:w="1328" w:type="dxa"/>
            <w:vAlign w:val="center"/>
            <w:vMerge w:val="continue"/>
            <w:textDirection w:val="lrTb"/>
            <w:noWrap w:val="false"/>
          </w:tcPr>
          <w:p>
            <w:pPr>
              <w:jc w:val="left"/>
              <w:rPr>
                <w:color w:val="000000"/>
                <w:sz w:val="21"/>
                <w:szCs w:val="21"/>
                <w:highlight w:val="none"/>
              </w:rPr>
            </w:pPr>
            <w:r>
              <w:rPr>
                <w:color w:val="000000"/>
                <w:sz w:val="21"/>
                <w:szCs w:val="21"/>
                <w:highlight w:val="none"/>
              </w:rPr>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质保承诺</w:t>
            </w:r>
            <w:r/>
          </w:p>
        </w:tc>
        <w:tc>
          <w:tcPr>
            <w:tcW w:w="6756" w:type="dxa"/>
            <w:vAlign w:val="center"/>
            <w:textDirection w:val="lrTb"/>
            <w:noWrap w:val="false"/>
          </w:tcPr>
          <w:p>
            <w:pPr>
              <w:jc w:val="left"/>
              <w:rPr>
                <w:color w:val="000000"/>
                <w:sz w:val="21"/>
                <w:szCs w:val="21"/>
                <w:highlight w:val="none"/>
              </w:rPr>
            </w:pPr>
            <w:r>
              <w:rPr>
                <w:color w:val="000000"/>
                <w:sz w:val="21"/>
                <w:szCs w:val="21"/>
                <w:highlight w:val="none"/>
              </w:rPr>
              <w:t xml:space="preserve">投标供应商承诺免费质保期满足招标文件最低要求基础上，每额外延长1年免费质保得1分，延长不足1年不计分；本项最高得2分。</w:t>
            </w:r>
            <w:r/>
          </w:p>
          <w:p>
            <w:pPr>
              <w:jc w:val="left"/>
              <w:rPr>
                <w:b/>
                <w:bCs/>
                <w:sz w:val="21"/>
                <w:szCs w:val="21"/>
                <w:highlight w:val="none"/>
              </w:rPr>
            </w:pPr>
            <w:r>
              <w:rPr>
                <w:b/>
                <w:bCs/>
                <w:color w:val="000000"/>
                <w:sz w:val="21"/>
                <w:szCs w:val="21"/>
                <w:highlight w:val="none"/>
              </w:rPr>
              <w:t xml:space="preserve">注：</w:t>
            </w:r>
            <w:r>
              <w:rPr>
                <w:color w:val="000000"/>
                <w:sz w:val="21"/>
                <w:szCs w:val="21"/>
                <w:highlight w:val="none"/>
              </w:rPr>
              <w:t xml:space="preserve">质保期自项目最终验收合格之日起计算；仅满足招标文件最低质保要求不得分；须提供加盖投标人公章的书面承诺；中标后承诺的质保期限纳入合同条款严格执行。</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2</w:t>
            </w:r>
            <w:r/>
          </w:p>
        </w:tc>
      </w:tr>
      <w:tr>
        <w:trPr>
          <w:jc w:val="center"/>
          <w:trHeight w:val="2431"/>
        </w:trPr>
        <w:tc>
          <w:tcPr>
            <w:tcW w:w="1328" w:type="dxa"/>
            <w:vAlign w:val="center"/>
            <w:textDirection w:val="lrTb"/>
            <w:noWrap w:val="false"/>
          </w:tcPr>
          <w:p>
            <w:pPr>
              <w:jc w:val="center"/>
              <w:rPr>
                <w:sz w:val="21"/>
                <w:szCs w:val="21"/>
                <w:highlight w:val="none"/>
              </w:rPr>
            </w:pPr>
            <w:r>
              <w:rPr>
                <w:sz w:val="21"/>
                <w:szCs w:val="21"/>
                <w:highlight w:val="none"/>
              </w:rPr>
              <w:t xml:space="preserve">技术参数响应（30分）</w:t>
            </w:r>
            <w:r/>
          </w:p>
        </w:tc>
        <w:tc>
          <w:tcPr>
            <w:gridSpan w:val="2"/>
            <w:tcW w:w="792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投标供应商须提供所投产品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技术偏离表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，完全满足或优于招标文件技术参数要求得基准分30分。</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（1）采购需求中标注“★”项参数和功能要求不满足或者负偏离作无效投标处理；</w:t>
            </w:r>
            <w:r/>
          </w:p>
          <w:p>
            <w:pPr>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（2）采购需求中未标注“★”项参数和功能要求不满足或者负偏离，有一项扣2分，最多扣10分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负偏离超过5项作无效投标处理。</w:t>
            </w:r>
            <w:r/>
          </w:p>
          <w:p>
            <w:pPr>
              <w:jc w:val="left"/>
              <w:rPr>
                <w:rFonts w:hint="eastAsia"/>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投标供应商须在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技术</w:t>
            </w:r>
            <w:r>
              <w:rPr>
                <w:rFonts w:hint="eastAsia" w:ascii="宋体" w:hAnsi="宋体" w:eastAsia="宋体" w:cs="宋体"/>
                <w:sz w:val="21"/>
                <w:szCs w:val="21"/>
                <w:highlight w:val="none"/>
              </w:rPr>
              <w:t xml:space="preserve">偏离表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中对</w:t>
            </w:r>
            <w:r>
              <w:rPr>
                <w:rFonts w:hint="eastAsia" w:ascii="宋体" w:hAnsi="宋体" w:eastAsia="宋体" w:cs="宋体"/>
                <w:sz w:val="21"/>
                <w:szCs w:val="21"/>
                <w:highlight w:val="none"/>
                <w:lang w:val="en-US" w:eastAsia="zh-CN"/>
              </w:rPr>
              <w:t xml:space="preserve">技术参数</w:t>
            </w:r>
            <w:r>
              <w:rPr>
                <w:rFonts w:hint="eastAsia" w:ascii="宋体" w:hAnsi="宋体" w:eastAsia="宋体" w:cs="宋体"/>
                <w:sz w:val="21"/>
                <w:szCs w:val="21"/>
                <w:highlight w:val="none"/>
              </w:rPr>
              <w:t xml:space="preserve">要求作出实质性响应并填写，招标文件明确要求提供证明材料的</w:t>
            </w:r>
            <w:r>
              <w:rPr>
                <w:rFonts w:hint="eastAsia" w:ascii="宋体" w:hAnsi="宋体" w:eastAsia="宋体" w:cs="宋体"/>
                <w:sz w:val="21"/>
                <w:szCs w:val="21"/>
                <w:highlight w:val="none"/>
                <w:lang w:val="en-US" w:eastAsia="zh-CN"/>
              </w:rPr>
              <w:t xml:space="preserve">须</w:t>
            </w:r>
            <w:r>
              <w:rPr>
                <w:rFonts w:hint="eastAsia" w:ascii="宋体" w:hAnsi="宋体" w:eastAsia="宋体" w:cs="宋体"/>
                <w:sz w:val="21"/>
                <w:szCs w:val="21"/>
                <w:highlight w:val="none"/>
              </w:rPr>
              <w:t xml:space="preserve">按要求提供对应证明材料，并在投标偏离表中精准标注证明材料对应页码，否则视为</w:t>
            </w:r>
            <w:r>
              <w:rPr>
                <w:rFonts w:hint="eastAsia" w:ascii="宋体" w:hAnsi="宋体" w:eastAsia="宋体" w:cs="宋体"/>
                <w:sz w:val="21"/>
                <w:szCs w:val="21"/>
                <w:highlight w:val="none"/>
                <w:lang w:val="en-US" w:eastAsia="zh-CN"/>
              </w:rPr>
              <w:t xml:space="preserve">负偏离</w:t>
            </w:r>
            <w:r>
              <w:rPr>
                <w:rFonts w:hint="eastAsia" w:ascii="宋体" w:hAnsi="宋体" w:eastAsia="宋体" w:cs="宋体"/>
                <w:sz w:val="21"/>
                <w:szCs w:val="21"/>
                <w:highlight w:val="none"/>
              </w:rPr>
              <w:t xml:space="preserve">。</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30</w:t>
            </w:r>
            <w:r/>
          </w:p>
        </w:tc>
      </w:tr>
      <w:tr>
        <w:trPr>
          <w:jc w:val="center"/>
          <w:trHeight w:val="1563"/>
        </w:trPr>
        <w:tc>
          <w:tcPr>
            <w:tcW w:w="1328" w:type="dxa"/>
            <w:vAlign w:val="center"/>
            <w:textDirection w:val="lrTb"/>
            <w:noWrap w:val="false"/>
          </w:tcPr>
          <w:p>
            <w:pPr>
              <w:jc w:val="center"/>
              <w:rPr>
                <w:color w:val="000000"/>
                <w:sz w:val="21"/>
                <w:szCs w:val="21"/>
                <w:highlight w:val="none"/>
              </w:rPr>
            </w:pPr>
            <w:r>
              <w:rPr>
                <w:color w:val="000000"/>
                <w:sz w:val="21"/>
                <w:szCs w:val="21"/>
                <w:highlight w:val="none"/>
              </w:rPr>
              <w:t xml:space="preserve">功能演示</w:t>
            </w:r>
            <w:r/>
          </w:p>
          <w:p>
            <w:pPr>
              <w:jc w:val="center"/>
              <w:rPr>
                <w:color w:val="000000"/>
                <w:sz w:val="21"/>
                <w:szCs w:val="21"/>
                <w:highlight w:val="none"/>
              </w:rPr>
            </w:pPr>
            <w:r>
              <w:rPr>
                <w:color w:val="000000"/>
                <w:sz w:val="21"/>
                <w:szCs w:val="21"/>
                <w:highlight w:val="none"/>
              </w:rPr>
              <w:t xml:space="preserve">（18分）</w:t>
            </w:r>
            <w:r/>
          </w:p>
        </w:tc>
        <w:tc>
          <w:tcPr>
            <w:gridSpan w:val="2"/>
            <w:tcW w:w="7929" w:type="dxa"/>
            <w:vAlign w:val="center"/>
            <w:textDirection w:val="lrTb"/>
            <w:noWrap w:val="false"/>
          </w:tcPr>
          <w:p>
            <w:pPr>
              <w:jc w:val="left"/>
              <w:widowControl/>
              <w:rPr>
                <w:b/>
                <w:bCs/>
                <w:color w:val="auto"/>
                <w:sz w:val="21"/>
                <w:szCs w:val="21"/>
                <w:highlight w:val="none"/>
              </w:rPr>
            </w:pPr>
            <w:r>
              <w:rPr>
                <w:rFonts w:hint="eastAsia"/>
                <w:sz w:val="21"/>
                <w:szCs w:val="21"/>
                <w:highlight w:val="none"/>
                <w:lang w:val="en-US" w:eastAsia="zh-CN" w:bidi="ar"/>
              </w:rPr>
              <w:t xml:space="preserve">本</w:t>
            </w:r>
            <w:r>
              <w:rPr>
                <w:sz w:val="21"/>
                <w:szCs w:val="21"/>
                <w:highlight w:val="none"/>
                <w:lang w:bidi="ar"/>
              </w:rPr>
              <w:t xml:space="preserve">次演示共设置</w:t>
            </w:r>
            <w:r>
              <w:rPr>
                <w:b/>
                <w:bCs/>
                <w:sz w:val="21"/>
                <w:szCs w:val="21"/>
                <w:highlight w:val="none"/>
                <w:lang w:bidi="ar"/>
              </w:rPr>
              <w:t xml:space="preserve">6项</w:t>
            </w:r>
            <w:r>
              <w:rPr>
                <w:sz w:val="21"/>
                <w:szCs w:val="21"/>
                <w:highlight w:val="none"/>
                <w:lang w:bidi="ar"/>
              </w:rPr>
              <w:t xml:space="preserve">核心演示内</w:t>
            </w:r>
            <w:r>
              <w:rPr>
                <w:color w:val="auto"/>
                <w:sz w:val="21"/>
                <w:szCs w:val="21"/>
                <w:highlight w:val="none"/>
                <w:lang w:bidi="ar"/>
              </w:rPr>
              <w:t xml:space="preserve">容</w:t>
            </w:r>
            <w:r>
              <w:rPr>
                <w:rFonts w:hint="eastAsia"/>
                <w:color w:val="auto"/>
                <w:sz w:val="21"/>
                <w:szCs w:val="21"/>
                <w:highlight w:val="none"/>
                <w:lang w:eastAsia="zh-CN" w:bidi="ar"/>
              </w:rPr>
              <w:t xml:space="preserve">，</w:t>
            </w:r>
            <w:r>
              <w:rPr>
                <w:b/>
                <w:bCs/>
                <w:color w:val="auto"/>
                <w:sz w:val="21"/>
                <w:szCs w:val="21"/>
                <w:highlight w:val="none"/>
                <w:lang w:bidi="ar"/>
              </w:rPr>
              <w:t xml:space="preserve">每个</w:t>
            </w:r>
            <w:r>
              <w:rPr>
                <w:rStyle w:val="708"/>
                <w:color w:val="auto"/>
                <w:sz w:val="21"/>
                <w:szCs w:val="21"/>
                <w:highlight w:val="none"/>
                <w:lang w:bidi="ar"/>
              </w:rPr>
              <w:t xml:space="preserve">单项演示功能能够完整、规范、真实完成系统实操演示，得3分</w:t>
            </w:r>
            <w:r>
              <w:rPr>
                <w:rStyle w:val="708"/>
                <w:rFonts w:hint="eastAsia"/>
                <w:color w:val="auto"/>
                <w:sz w:val="21"/>
                <w:szCs w:val="21"/>
                <w:highlight w:val="none"/>
                <w:lang w:bidi="ar"/>
              </w:rPr>
              <w:t xml:space="preserve">，</w:t>
            </w:r>
            <w:r>
              <w:rPr>
                <w:rStyle w:val="708"/>
                <w:rFonts w:hint="eastAsia"/>
                <w:color w:val="auto"/>
                <w:sz w:val="21"/>
                <w:szCs w:val="21"/>
                <w:highlight w:val="none"/>
                <w:lang w:val="en-US" w:eastAsia="zh-CN" w:bidi="ar"/>
              </w:rPr>
              <w:t xml:space="preserve">共6项，总分18分，</w:t>
            </w:r>
            <w:r>
              <w:rPr>
                <w:rStyle w:val="708"/>
                <w:rFonts w:hint="eastAsia"/>
                <w:color w:val="auto"/>
                <w:sz w:val="21"/>
                <w:szCs w:val="21"/>
                <w:highlight w:val="none"/>
                <w:lang w:bidi="ar"/>
              </w:rPr>
              <w:t xml:space="preserve">视频</w:t>
            </w:r>
            <w:r>
              <w:rPr>
                <w:b/>
                <w:bCs/>
                <w:color w:val="auto"/>
                <w:sz w:val="21"/>
                <w:szCs w:val="21"/>
                <w:highlight w:val="none"/>
              </w:rPr>
              <w:t xml:space="preserve">总时</w:t>
            </w:r>
            <w:r>
              <w:rPr>
                <w:rFonts w:hint="eastAsia"/>
                <w:b/>
                <w:bCs/>
                <w:color w:val="auto"/>
                <w:sz w:val="21"/>
                <w:szCs w:val="21"/>
                <w:highlight w:val="none"/>
              </w:rPr>
              <w:t xml:space="preserve">长</w:t>
            </w:r>
            <w:r>
              <w:rPr>
                <w:b/>
                <w:bCs/>
                <w:color w:val="auto"/>
                <w:sz w:val="21"/>
                <w:szCs w:val="21"/>
                <w:highlight w:val="none"/>
              </w:rPr>
              <w:t xml:space="preserve">不超过15分钟。</w:t>
            </w:r>
            <w:r/>
          </w:p>
          <w:p>
            <w:pPr>
              <w:ind w:firstLine="12"/>
              <w:jc w:val="left"/>
              <w:spacing w:line="240" w:lineRule="auto"/>
              <w:widowControl/>
              <w:rPr>
                <w:rFonts w:hint="eastAsia" w:ascii="宋体" w:hAnsi="宋体" w:cs="宋体"/>
                <w:b/>
                <w:bCs/>
                <w:color w:val="auto"/>
                <w:spacing w:val="-6"/>
                <w:sz w:val="21"/>
                <w:szCs w:val="21"/>
                <w:highlight w:val="none"/>
                <w:lang w:val="en-US" w:eastAsia="zh-CN"/>
              </w:rPr>
            </w:pPr>
            <w:r>
              <w:rPr>
                <w:rFonts w:hint="eastAsia" w:ascii="宋体" w:hAnsi="宋体" w:cs="宋体"/>
                <w:b/>
                <w:bCs/>
                <w:color w:val="auto"/>
                <w:spacing w:val="-6"/>
                <w:sz w:val="21"/>
                <w:szCs w:val="21"/>
                <w:highlight w:val="none"/>
                <w:lang w:val="en-US" w:eastAsia="zh-CN"/>
              </w:rPr>
              <w:t xml:space="preserve">（1）视频演示的要求，对需要提供演示视频的项目，必须使用真实系统进行演示，不得使用PPT演示稿或录屏、截图等其他方式演示：</w:t>
            </w:r>
            <w:r/>
          </w:p>
          <w:p>
            <w:pPr>
              <w:rPr>
                <w:rFonts w:hint="eastAsia"/>
                <w:color w:val="auto"/>
                <w:sz w:val="21"/>
                <w:szCs w:val="21"/>
                <w:highlight w:val="none"/>
                <w:lang w:val="en-US" w:eastAsia="zh-CN"/>
              </w:rPr>
            </w:pPr>
            <w:r>
              <w:rPr>
                <w:color w:val="auto"/>
                <w:sz w:val="21"/>
                <w:szCs w:val="21"/>
                <w:highlight w:val="none"/>
              </w:rPr>
              <w:t xml:space="preserve">①</w:t>
            </w:r>
            <w:r>
              <w:rPr>
                <w:rFonts w:hint="eastAsia"/>
                <w:color w:val="auto"/>
                <w:sz w:val="21"/>
                <w:szCs w:val="21"/>
                <w:highlight w:val="none"/>
                <w:lang w:val="en-US" w:eastAsia="zh-CN"/>
              </w:rPr>
              <w:t xml:space="preserve">体现招标文件中要求必须实现的功能。</w:t>
            </w:r>
            <w:r/>
          </w:p>
          <w:p>
            <w:pPr>
              <w:rPr>
                <w:rFonts w:hint="eastAsia"/>
                <w:sz w:val="21"/>
                <w:szCs w:val="21"/>
                <w:highlight w:val="none"/>
                <w:lang w:val="en-US" w:eastAsia="zh-CN"/>
              </w:rPr>
            </w:pPr>
            <w:r>
              <w:rPr>
                <w:color w:val="auto"/>
                <w:sz w:val="21"/>
                <w:szCs w:val="21"/>
                <w:highlight w:val="none"/>
              </w:rPr>
              <w:t xml:space="preserve">②</w:t>
            </w:r>
            <w:r>
              <w:rPr>
                <w:rFonts w:hint="eastAsia"/>
                <w:color w:val="auto"/>
                <w:sz w:val="21"/>
                <w:szCs w:val="21"/>
                <w:highlight w:val="none"/>
                <w:lang w:val="en-US" w:eastAsia="zh-CN"/>
              </w:rPr>
              <w:t xml:space="preserve">每项得分点须单独制作演示视频，视频的文件格式为</w:t>
            </w:r>
            <w:r>
              <w:rPr>
                <w:rFonts w:hint="eastAsia"/>
                <w:color w:val="auto"/>
                <w:sz w:val="21"/>
                <w:szCs w:val="21"/>
                <w:highlight w:val="none"/>
              </w:rPr>
              <w:t xml:space="preserve">*.mp4或*.avi</w:t>
            </w:r>
            <w:r>
              <w:rPr>
                <w:rFonts w:hint="eastAsia"/>
                <w:color w:val="auto"/>
                <w:sz w:val="21"/>
                <w:szCs w:val="21"/>
                <w:highlight w:val="none"/>
                <w:lang w:eastAsia="zh-CN"/>
              </w:rPr>
              <w:t xml:space="preserve">，</w:t>
            </w:r>
            <w:r>
              <w:rPr>
                <w:rFonts w:hint="eastAsia"/>
                <w:color w:val="auto"/>
                <w:sz w:val="21"/>
                <w:szCs w:val="21"/>
                <w:highlight w:val="none"/>
              </w:rPr>
              <w:t xml:space="preserve">投标</w:t>
            </w:r>
            <w:r>
              <w:rPr>
                <w:rFonts w:hint="eastAsia"/>
                <w:color w:val="auto"/>
                <w:sz w:val="21"/>
                <w:szCs w:val="21"/>
                <w:highlight w:val="none"/>
                <w:lang w:val="en-US" w:eastAsia="zh-CN"/>
              </w:rPr>
              <w:t xml:space="preserve">供应商</w:t>
            </w:r>
            <w:r>
              <w:rPr>
                <w:rFonts w:hint="eastAsia"/>
                <w:color w:val="auto"/>
                <w:sz w:val="21"/>
                <w:szCs w:val="21"/>
                <w:highlight w:val="none"/>
              </w:rPr>
              <w:t xml:space="preserve">须将视频文件压缩为*.zip文件上传（单个文件不</w:t>
            </w:r>
            <w:r>
              <w:rPr>
                <w:rFonts w:hint="eastAsia"/>
                <w:sz w:val="21"/>
                <w:szCs w:val="21"/>
                <w:highlight w:val="none"/>
              </w:rPr>
              <w:t xml:space="preserve">得大于50M，所有文件总共不得大于300M）</w:t>
            </w:r>
            <w:r>
              <w:rPr>
                <w:rFonts w:hint="eastAsia"/>
                <w:sz w:val="21"/>
                <w:szCs w:val="21"/>
                <w:highlight w:val="none"/>
                <w:lang w:val="en-US" w:eastAsia="zh-CN"/>
              </w:rPr>
              <w:t xml:space="preserve">，以保证能在绝大多数Windows电脑上直接播放。</w:t>
            </w:r>
            <w:r/>
          </w:p>
          <w:p>
            <w:pPr>
              <w:rPr>
                <w:rFonts w:hint="eastAsia"/>
                <w:sz w:val="21"/>
                <w:szCs w:val="21"/>
                <w:highlight w:val="none"/>
                <w:lang w:val="en-US" w:eastAsia="zh-CN"/>
              </w:rPr>
            </w:pPr>
            <w:r>
              <w:rPr>
                <w:sz w:val="21"/>
                <w:szCs w:val="21"/>
                <w:highlight w:val="none"/>
              </w:rPr>
              <w:t xml:space="preserve">③</w:t>
            </w:r>
            <w:r>
              <w:rPr>
                <w:rFonts w:hint="eastAsia"/>
                <w:sz w:val="21"/>
                <w:szCs w:val="21"/>
                <w:highlight w:val="none"/>
                <w:lang w:val="en-US" w:eastAsia="zh-CN"/>
              </w:rPr>
              <w:t xml:space="preserve">全部视频制作完成后，投标人须制作视频目录，将每条视频的文件名和评分项一一对应，供评标委员会评审，目录为PDF格式。</w:t>
            </w:r>
            <w:r/>
          </w:p>
          <w:p>
            <w:pPr>
              <w:rPr>
                <w:rFonts w:hint="eastAsia"/>
                <w:sz w:val="21"/>
                <w:szCs w:val="21"/>
                <w:highlight w:val="none"/>
                <w:lang w:eastAsia="zh-CN"/>
              </w:rPr>
            </w:pPr>
            <w:r>
              <w:rPr>
                <w:rFonts w:hint="default"/>
                <w:sz w:val="21"/>
                <w:szCs w:val="21"/>
                <w:highlight w:val="none"/>
                <w:lang w:val="en-US" w:eastAsia="zh-CN"/>
              </w:rPr>
              <w:t xml:space="preserve">④</w:t>
            </w:r>
            <w:r>
              <w:rPr>
                <w:rFonts w:hint="eastAsia"/>
                <w:sz w:val="21"/>
                <w:szCs w:val="21"/>
                <w:highlight w:val="none"/>
              </w:rPr>
              <w:t xml:space="preserve">文件上传方式见《操作手册》规定</w:t>
            </w:r>
            <w:r>
              <w:rPr>
                <w:rFonts w:hint="eastAsia"/>
                <w:sz w:val="21"/>
                <w:szCs w:val="21"/>
                <w:highlight w:val="none"/>
                <w:lang w:eastAsia="zh-CN"/>
              </w:rPr>
              <w:t xml:space="preserve">。</w:t>
            </w:r>
            <w:r/>
          </w:p>
          <w:p>
            <w:pPr>
              <w:rPr>
                <w:sz w:val="21"/>
                <w:szCs w:val="21"/>
                <w:highlight w:val="none"/>
              </w:rPr>
            </w:pPr>
            <w:r>
              <w:rPr>
                <w:rFonts w:hint="eastAsia"/>
                <w:sz w:val="21"/>
                <w:szCs w:val="21"/>
                <w:highlight w:val="none"/>
                <w:lang w:eastAsia="zh-CN"/>
              </w:rPr>
              <w:t xml:space="preserve">⑤</w:t>
            </w:r>
            <w:r>
              <w:rPr>
                <w:rFonts w:hint="eastAsia"/>
                <w:sz w:val="21"/>
                <w:szCs w:val="21"/>
                <w:highlight w:val="none"/>
              </w:rPr>
              <w:t xml:space="preserve">根据投标</w:t>
            </w:r>
            <w:r>
              <w:rPr>
                <w:rFonts w:hint="eastAsia"/>
                <w:sz w:val="21"/>
                <w:szCs w:val="21"/>
                <w:highlight w:val="none"/>
                <w:lang w:val="en-US" w:eastAsia="zh-CN"/>
              </w:rPr>
              <w:t xml:space="preserve">供应商</w:t>
            </w:r>
            <w:r>
              <w:rPr>
                <w:rFonts w:hint="eastAsia"/>
                <w:sz w:val="21"/>
                <w:szCs w:val="21"/>
                <w:highlight w:val="none"/>
              </w:rPr>
              <w:t xml:space="preserve">视频演示情况和以下得分点进行</w:t>
            </w:r>
            <w:r>
              <w:rPr>
                <w:rFonts w:hint="eastAsia"/>
                <w:sz w:val="21"/>
                <w:szCs w:val="21"/>
                <w:highlight w:val="none"/>
                <w:lang w:val="en-US" w:eastAsia="zh-CN"/>
              </w:rPr>
              <w:t xml:space="preserve">评</w:t>
            </w:r>
            <w:r>
              <w:rPr>
                <w:rFonts w:hint="eastAsia"/>
                <w:sz w:val="21"/>
                <w:szCs w:val="21"/>
                <w:highlight w:val="none"/>
              </w:rPr>
              <w:t xml:space="preserve">分，未按要求进行演示或未提供演示视频的不得分。</w:t>
            </w:r>
            <w:r/>
          </w:p>
          <w:p>
            <w:pPr>
              <w:jc w:val="left"/>
              <w:widowControl/>
              <w:rPr>
                <w:b/>
                <w:bCs/>
                <w:color w:val="000000"/>
                <w:spacing w:val="-8"/>
                <w:sz w:val="21"/>
                <w:szCs w:val="21"/>
                <w:highlight w:val="none"/>
                <w:lang w:bidi="ar"/>
              </w:rPr>
            </w:pPr>
            <w:r>
              <w:rPr>
                <w:b/>
                <w:bCs/>
                <w:color w:val="000000"/>
                <w:spacing w:val="-8"/>
                <w:sz w:val="21"/>
                <w:szCs w:val="21"/>
                <w:highlight w:val="none"/>
                <w:lang w:bidi="ar"/>
              </w:rPr>
              <w:t xml:space="preserve">（</w:t>
            </w:r>
            <w:r>
              <w:rPr>
                <w:rFonts w:hint="eastAsia"/>
                <w:b/>
                <w:bCs/>
                <w:color w:val="000000"/>
                <w:spacing w:val="-8"/>
                <w:sz w:val="21"/>
                <w:szCs w:val="21"/>
                <w:highlight w:val="none"/>
                <w:lang w:val="en-US" w:eastAsia="zh-CN" w:bidi="ar"/>
              </w:rPr>
              <w:t xml:space="preserve">2</w:t>
            </w:r>
            <w:r>
              <w:rPr>
                <w:b/>
                <w:bCs/>
                <w:color w:val="000000"/>
                <w:spacing w:val="-8"/>
                <w:sz w:val="21"/>
                <w:szCs w:val="21"/>
                <w:highlight w:val="none"/>
                <w:lang w:bidi="ar"/>
              </w:rPr>
              <w:t xml:space="preserve">）具体评分标准：</w:t>
            </w:r>
            <w:r/>
          </w:p>
          <w:p>
            <w:pPr>
              <w:rPr>
                <w:sz w:val="21"/>
                <w:szCs w:val="21"/>
                <w:highlight w:val="none"/>
              </w:rPr>
            </w:pPr>
            <w:r>
              <w:rPr>
                <w:sz w:val="21"/>
                <w:szCs w:val="21"/>
                <w:highlight w:val="none"/>
              </w:rPr>
              <w:t xml:space="preserve">①单项演示功能在同一套真实业务系统内完整实操展示，操作流程连贯完整，覆盖该功能全部核心环节，系统运行稳定无卡顿、无报错、无功能缺失，完全响应采购需求，经评委核验无误，该项得满分3分。</w:t>
            </w:r>
            <w:r/>
          </w:p>
          <w:p>
            <w:pPr>
              <w:rPr>
                <w:sz w:val="21"/>
                <w:szCs w:val="21"/>
                <w:highlight w:val="none"/>
              </w:rPr>
            </w:pPr>
            <w:r>
              <w:rPr>
                <w:sz w:val="21"/>
                <w:szCs w:val="21"/>
                <w:highlight w:val="none"/>
              </w:rPr>
              <w:t xml:space="preserve">②单项演示功能核心功能可正常实操展示，但次要流程缺失、操作步骤不完整、展示不细致，整体基本满足采购需求，得2分；核心功能可正常运行，但演示过程存在轻微卡顿、个别辅助功能无法展示，不影响主体功能使用，基本符合需求，得1分。</w:t>
            </w:r>
            <w:r/>
          </w:p>
          <w:p>
            <w:pPr>
              <w:rPr>
                <w:sz w:val="21"/>
                <w:szCs w:val="21"/>
                <w:highlight w:val="none"/>
              </w:rPr>
            </w:pPr>
            <w:r>
              <w:rPr>
                <w:sz w:val="21"/>
                <w:szCs w:val="21"/>
                <w:highlight w:val="none"/>
              </w:rPr>
              <w:t xml:space="preserve">③单项演示功能缺失关键核心步骤、主体功能无法正常运行、系统弹窗报错、借助第三方插件临时实现功能、跳转外部第三方页面完成演示，未满足采购基本功能需求；仅通过口头阐述、PPT讲解、静态图片、文字文档展示等方式演示，无真实系统操作动作，不符合演示硬性要求；主动跳过对应演示项、未开展该项功能演示、演示超时，该项不得分。</w:t>
            </w:r>
            <w:r/>
          </w:p>
          <w:p>
            <w:pPr>
              <w:pStyle w:val="706"/>
              <w:ind w:left="0" w:firstLine="0"/>
              <w:spacing w:after="0"/>
              <w:rPr>
                <w:rFonts w:ascii="Times New Roman" w:hAnsi="Times New Roman" w:eastAsia="宋体"/>
                <w:b/>
                <w:bCs/>
                <w:color w:val="ff0000"/>
                <w:sz w:val="21"/>
                <w:szCs w:val="21"/>
                <w:highlight w:val="none"/>
                <w:lang w:bidi="ar"/>
              </w:rPr>
            </w:pPr>
            <w:r>
              <w:rPr>
                <w:rFonts w:ascii="Times New Roman" w:hAnsi="Times New Roman" w:eastAsia="宋体"/>
                <w:b/>
                <w:bCs/>
                <w:sz w:val="21"/>
                <w:szCs w:val="21"/>
                <w:highlight w:val="none"/>
                <w:lang w:bidi="ar"/>
              </w:rPr>
              <w:t xml:space="preserve">（</w:t>
            </w:r>
            <w:r>
              <w:rPr>
                <w:rFonts w:hint="eastAsia"/>
                <w:b/>
                <w:bCs/>
                <w:sz w:val="21"/>
                <w:szCs w:val="21"/>
                <w:highlight w:val="none"/>
                <w:lang w:val="en-US" w:eastAsia="zh-CN" w:bidi="ar"/>
              </w:rPr>
              <w:t xml:space="preserve">3</w:t>
            </w:r>
            <w:r>
              <w:rPr>
                <w:rFonts w:ascii="Times New Roman" w:hAnsi="Times New Roman" w:eastAsia="宋体"/>
                <w:b/>
                <w:bCs/>
                <w:sz w:val="21"/>
                <w:szCs w:val="21"/>
                <w:highlight w:val="none"/>
                <w:lang w:bidi="ar"/>
              </w:rPr>
              <w:t xml:space="preserve">）演示内容：</w:t>
            </w:r>
            <w:r/>
          </w:p>
          <w:p>
            <w:pPr>
              <w:rPr>
                <w:sz w:val="21"/>
                <w:szCs w:val="21"/>
                <w:highlight w:val="none"/>
              </w:rPr>
            </w:pPr>
            <w:r>
              <w:rPr>
                <w:sz w:val="21"/>
                <w:szCs w:val="21"/>
                <w:highlight w:val="none"/>
                <w:lang w:bidi="ar"/>
              </w:rPr>
              <w:t xml:space="preserve">①</w:t>
            </w:r>
            <w:r>
              <w:rPr>
                <w:sz w:val="21"/>
                <w:szCs w:val="21"/>
                <w:highlight w:val="none"/>
              </w:rPr>
              <w:t xml:space="preserve">平台引擎支持导航能力，导航能力包含：自动规避障碍、导航路径可动态更新、多孪生体导航拟态行走、自定义路径节点导航等；</w:t>
            </w:r>
            <w:r/>
          </w:p>
          <w:p>
            <w:pPr>
              <w:rPr>
                <w:sz w:val="21"/>
                <w:szCs w:val="21"/>
                <w:highlight w:val="none"/>
              </w:rPr>
            </w:pPr>
            <w:r>
              <w:rPr>
                <w:sz w:val="21"/>
                <w:szCs w:val="21"/>
                <w:highlight w:val="none"/>
                <w:lang w:bidi="ar"/>
              </w:rPr>
              <w:t xml:space="preserve">②</w:t>
            </w:r>
            <w:r>
              <w:rPr>
                <w:sz w:val="21"/>
                <w:szCs w:val="21"/>
                <w:highlight w:val="none"/>
              </w:rPr>
              <w:t xml:space="preserve">平台引擎支持体积云光照渲染能力，并支持实时针对体积云的unitDistanceOpacity、Longitudinal Angle、Horizontal Angle、sampleDistance、sampleSteps、maskIntensity、data volume等通用渲染参数调整，调整后需实时响应变化，且保证同屏渲染帧率不低于60FPS；</w:t>
            </w:r>
            <w:r/>
          </w:p>
          <w:p>
            <w:pPr>
              <w:rPr>
                <w:sz w:val="21"/>
                <w:szCs w:val="21"/>
                <w:highlight w:val="none"/>
              </w:rPr>
            </w:pPr>
            <w:r>
              <w:rPr>
                <w:sz w:val="21"/>
                <w:szCs w:val="21"/>
                <w:highlight w:val="none"/>
              </w:rPr>
              <w:t xml:space="preserve">③基于关键视点序列的场景漫游动画编排工具，可捕获并存储连续视点状态以生成动画轨迹；支持为动画段关联解说字幕文本与外部语音轨的上传合成。播放控制应涵盖单次播放、单片段循环及列表式多片段循环等模式；</w:t>
            </w:r>
            <w:r/>
          </w:p>
          <w:p>
            <w:pPr>
              <w:rPr>
                <w:sz w:val="21"/>
                <w:szCs w:val="21"/>
                <w:highlight w:val="none"/>
              </w:rPr>
            </w:pPr>
            <w:r>
              <w:rPr>
                <w:sz w:val="21"/>
                <w:szCs w:val="21"/>
                <w:highlight w:val="none"/>
              </w:rPr>
              <w:t xml:space="preserve">④允许对孪生体分类进行自定义属性模式定义，字段类型应涵盖字符串、整型、浮点型、枚举值、日期时间以及长文本等。可基于既定分类创建孪生体实体集合，并为其装配信息面板弹窗（InfoPanel）与可视化标记。支持在三维场景中划分逻辑图层，通过触发图层控件能够激活关联孪生体集的信息面板展示。具备孪生体资产数据全生命周期在线管理能力，包括新增录入、修改、删除；支持对孪生体实例的属性直接编辑；应提供基于Excel文件格式的批量导入与导出功能；并开放程序化API接口以实现资产数据的远程更新同步。</w:t>
            </w:r>
            <w:r/>
          </w:p>
          <w:p>
            <w:pPr>
              <w:rPr>
                <w:sz w:val="21"/>
                <w:szCs w:val="21"/>
                <w:highlight w:val="none"/>
              </w:rPr>
            </w:pPr>
            <w:r>
              <w:rPr>
                <w:sz w:val="21"/>
                <w:szCs w:val="21"/>
                <w:highlight w:val="none"/>
              </w:rPr>
              <w:t xml:space="preserve">⑤提供流程逻辑编排器，允许用户以拖拽方式连接预封装的功能子节点，构建有向无环图（DAG）形式的操作集，从而完成复合业务场景的自动化执行流。</w:t>
            </w:r>
            <w:r/>
          </w:p>
          <w:p>
            <w:pPr>
              <w:spacing w:line="240" w:lineRule="auto"/>
              <w:rPr>
                <w:sz w:val="21"/>
                <w:szCs w:val="21"/>
                <w:highlight w:val="none"/>
              </w:rPr>
            </w:pPr>
            <w:r>
              <w:rPr>
                <w:sz w:val="21"/>
                <w:szCs w:val="21"/>
                <w:highlight w:val="none"/>
              </w:rPr>
              <w:t xml:space="preserve">⑥ 实现公网通用大语言模型（LLM）服务与数字孪生场景的集成互操作，支持自然语言对话式交互，能够根据用户语义意图自动执行园区建筑基数统计、楼宇结构层级动态切换、场景着色风格实时变更及告警事件数据检索等操作。</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18</w:t>
            </w:r>
            <w:r/>
          </w:p>
        </w:tc>
      </w:tr>
      <w:tr>
        <w:trPr>
          <w:jc w:val="center"/>
          <w:trHeight w:val="397"/>
        </w:trPr>
        <w:tc>
          <w:tcPr>
            <w:tcW w:w="1328" w:type="dxa"/>
            <w:vAlign w:val="center"/>
            <w:vMerge w:val="restart"/>
            <w:textDirection w:val="lrTb"/>
            <w:noWrap w:val="false"/>
          </w:tcPr>
          <w:p>
            <w:pPr>
              <w:jc w:val="center"/>
              <w:rPr>
                <w:color w:val="000000"/>
                <w:sz w:val="21"/>
                <w:szCs w:val="21"/>
                <w:highlight w:val="none"/>
              </w:rPr>
            </w:pPr>
            <w:r>
              <w:rPr>
                <w:color w:val="000000"/>
                <w:sz w:val="21"/>
                <w:szCs w:val="21"/>
                <w:highlight w:val="none"/>
              </w:rPr>
              <w:t xml:space="preserve">技术方案</w:t>
            </w:r>
            <w:r/>
          </w:p>
          <w:p>
            <w:pPr>
              <w:jc w:val="center"/>
              <w:rPr>
                <w:color w:val="000000"/>
                <w:sz w:val="21"/>
                <w:szCs w:val="21"/>
                <w:highlight w:val="none"/>
              </w:rPr>
            </w:pPr>
            <w:r>
              <w:rPr>
                <w:color w:val="000000"/>
                <w:sz w:val="21"/>
                <w:szCs w:val="21"/>
                <w:highlight w:val="none"/>
              </w:rPr>
              <w:t xml:space="preserve">（12分）</w:t>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项目实施方案</w:t>
            </w:r>
            <w:r/>
          </w:p>
        </w:tc>
        <w:tc>
          <w:tcPr>
            <w:tcW w:w="6756" w:type="dxa"/>
            <w:vAlign w:val="center"/>
            <w:textDirection w:val="lrTb"/>
            <w:noWrap w:val="false"/>
          </w:tcPr>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投标供应商针对本项目的特点和采购需求进行项目实施方案设计，内容主要包括以下四个方面：</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（1）项目组织与工期管控：包括但不限于</w:t>
            </w:r>
            <w:r>
              <w:rPr>
                <w:rFonts w:ascii="宋体" w:hAnsi="宋体" w:cs="宋体"/>
                <w:sz w:val="21"/>
                <w:szCs w:val="21"/>
                <w:highlight w:val="none"/>
                <w:lang w:bidi="ar"/>
              </w:rPr>
              <w:t xml:space="preserve">①</w:t>
            </w:r>
            <w:r>
              <w:rPr>
                <w:rFonts w:hint="eastAsia" w:ascii="宋体" w:hAnsi="宋体" w:cs="宋体"/>
                <w:sz w:val="21"/>
                <w:szCs w:val="21"/>
                <w:highlight w:val="none"/>
                <w:lang w:bidi="ar"/>
              </w:rPr>
              <w:t xml:space="preserve">项目实施团队架构，人员岗位职责；②项目进度计划，细化到货、安装、部署、调试、试运行、验收等关键节点；③施工风险预判、故障应急响应及工期保障预案；</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（2）硬件设备安装与现场保障：包括但不限于</w:t>
            </w:r>
            <w:r>
              <w:rPr>
                <w:rFonts w:ascii="宋体" w:hAnsi="宋体" w:cs="宋体"/>
                <w:sz w:val="21"/>
                <w:szCs w:val="21"/>
                <w:highlight w:val="none"/>
                <w:lang w:bidi="ar"/>
              </w:rPr>
              <w:t xml:space="preserve">①</w:t>
            </w:r>
            <w:r>
              <w:rPr>
                <w:rFonts w:hint="eastAsia" w:ascii="宋体" w:hAnsi="宋体" w:cs="宋体"/>
                <w:sz w:val="21"/>
                <w:szCs w:val="21"/>
                <w:highlight w:val="none"/>
                <w:lang w:bidi="ar"/>
              </w:rPr>
              <w:t xml:space="preserve">硬件设备进场核验、安装布设、线路规整全流程作业，落实施工安全防护、成品保护、现场保洁复原等标准化措施；②配套施工降噪、防尘、安全管控举措，建立设备运行保障机制，保障硬件设备长期稳定、安全运行。</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（3）软件部署与软硬件联调：包括但不限于</w:t>
            </w:r>
            <w:r>
              <w:rPr>
                <w:rFonts w:ascii="宋体" w:hAnsi="宋体" w:cs="宋体"/>
                <w:sz w:val="21"/>
                <w:szCs w:val="21"/>
                <w:highlight w:val="none"/>
                <w:lang w:bidi="ar"/>
              </w:rPr>
              <w:t xml:space="preserve">①</w:t>
            </w:r>
            <w:r>
              <w:rPr>
                <w:rFonts w:hint="eastAsia" w:ascii="宋体" w:hAnsi="宋体" w:cs="宋体"/>
                <w:sz w:val="21"/>
                <w:szCs w:val="21"/>
                <w:highlight w:val="none"/>
                <w:lang w:bidi="ar"/>
              </w:rPr>
              <w:t xml:space="preserve">涵盖系统环境搭建、软件安装授权、权限配置、数据初始化等完整部署工作；②制定硬件兼容性测试、软件适配调试、软硬件联动联调及故障排查优化方案；</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（4）项目竣工交付：包括但不限于提供完整的竣工交付方案，包括软件授权书、操作手册、部署文档、联调验收报告等全套资料，明确资产移交、台账对接及项目验收规范。</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针对上述4项内容，投标供应商结合本项目的特点和技术服务要求在投标响应文件中分别进行阐述，评标委员会根据阐述内容对每项分别进行打分：</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（1）内容针对性强、详细完善，可操作性强，得1.5分；</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（2）内容针对性较差、基本完善，具有一定的可操作性，得1分；</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（3）内容简单、针对性差，可操作性差，得0.5分；</w:t>
            </w:r>
            <w:r/>
          </w:p>
          <w:p>
            <w:pPr>
              <w:jc w:val="left"/>
              <w:widowControl/>
              <w:rPr>
                <w:sz w:val="22"/>
                <w:szCs w:val="28"/>
                <w:highlight w:val="none"/>
              </w:rPr>
            </w:pPr>
            <w:r>
              <w:rPr>
                <w:rFonts w:hint="eastAsia" w:ascii="宋体" w:hAnsi="宋体" w:cs="宋体"/>
                <w:sz w:val="21"/>
                <w:szCs w:val="21"/>
                <w:highlight w:val="none"/>
                <w:lang w:bidi="ar"/>
              </w:rPr>
              <w:t xml:space="preserve">（4）内容偏差大、不满足项目需求或未进行内容阐述，得0分。</w:t>
            </w:r>
            <w:r/>
          </w:p>
        </w:tc>
        <w:tc>
          <w:tcPr>
            <w:tcW w:w="678" w:type="dxa"/>
            <w:vAlign w:val="center"/>
            <w:textDirection w:val="lrTb"/>
            <w:noWrap w:val="false"/>
          </w:tcPr>
          <w:p>
            <w:pPr>
              <w:jc w:val="center"/>
              <w:rPr>
                <w:rFonts w:hint="eastAsia"/>
                <w:color w:val="000000"/>
                <w:sz w:val="21"/>
                <w:szCs w:val="21"/>
                <w:highlight w:val="none"/>
              </w:rPr>
            </w:pPr>
            <w:r>
              <w:rPr>
                <w:rFonts w:hint="eastAsia"/>
                <w:color w:val="000000"/>
                <w:sz w:val="21"/>
                <w:szCs w:val="21"/>
                <w:highlight w:val="none"/>
              </w:rPr>
              <w:t xml:space="preserve">6</w:t>
            </w:r>
            <w:r/>
          </w:p>
        </w:tc>
      </w:tr>
      <w:tr>
        <w:trPr>
          <w:jc w:val="center"/>
          <w:trHeight w:val="278"/>
        </w:trPr>
        <w:tc>
          <w:tcPr>
            <w:tcW w:w="1328" w:type="dxa"/>
            <w:vAlign w:val="center"/>
            <w:vMerge w:val="continue"/>
            <w:textDirection w:val="lrTb"/>
            <w:noWrap w:val="false"/>
          </w:tcPr>
          <w:p>
            <w:pPr>
              <w:jc w:val="center"/>
              <w:rPr>
                <w:color w:val="000000"/>
                <w:sz w:val="21"/>
                <w:szCs w:val="21"/>
                <w:highlight w:val="none"/>
              </w:rPr>
            </w:pPr>
            <w:r>
              <w:rPr>
                <w:color w:val="000000"/>
                <w:sz w:val="21"/>
                <w:szCs w:val="21"/>
                <w:highlight w:val="none"/>
              </w:rPr>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培训方案</w:t>
            </w:r>
            <w:r/>
          </w:p>
        </w:tc>
        <w:tc>
          <w:tcPr>
            <w:tcW w:w="6756" w:type="dxa"/>
            <w:vAlign w:val="center"/>
            <w:textDirection w:val="lrTb"/>
            <w:noWrap w:val="false"/>
          </w:tcPr>
          <w:p>
            <w:pPr>
              <w:jc w:val="left"/>
              <w:rPr>
                <w:rFonts w:hint="eastAsia" w:ascii="宋体" w:hAnsi="宋体" w:cs="宋体"/>
                <w:sz w:val="21"/>
                <w:szCs w:val="21"/>
                <w:highlight w:val="none"/>
                <w:lang w:bidi="ar"/>
              </w:rPr>
            </w:pPr>
            <w:r>
              <w:rPr>
                <w:rFonts w:hint="eastAsia" w:ascii="宋体" w:hAnsi="宋体" w:cs="宋体"/>
                <w:color w:val="000000"/>
                <w:sz w:val="21"/>
                <w:szCs w:val="21"/>
                <w:highlight w:val="none"/>
              </w:rPr>
              <w:t xml:space="preserve">投标人基于对本项目需求的理解制定详细的项目培训方案，包括但不限于对使用人员、管理人员、运维人员制定分层培训，保障软硬件熟练操作、日常管理及基础运维。</w:t>
            </w:r>
            <w:r>
              <w:rPr>
                <w:rFonts w:hint="eastAsia" w:ascii="宋体" w:hAnsi="宋体" w:cs="宋体"/>
                <w:sz w:val="21"/>
                <w:szCs w:val="21"/>
                <w:highlight w:val="none"/>
                <w:lang w:bidi="ar"/>
              </w:rPr>
              <w:t xml:space="preserve">针对上述内容，投标供应商结合本项目的特点和技术服务要求在投标响应文件中进行阐述，评标委员会根据阐述内容进行打分：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（1）内容针对性强、详细完善，</w:t>
            </w:r>
            <w:r>
              <w:rPr>
                <w:rFonts w:hint="eastAsia" w:ascii="宋体" w:hAnsi="宋体" w:cs="宋体"/>
                <w:sz w:val="21"/>
                <w:szCs w:val="21"/>
                <w:highlight w:val="none"/>
                <w:lang w:bidi="ar"/>
              </w:rPr>
              <w:t xml:space="preserve">可操作性强</w:t>
            </w:r>
            <w:r>
              <w:rPr>
                <w:rFonts w:hint="eastAsia" w:ascii="宋体" w:hAnsi="宋体" w:cs="宋体"/>
                <w:bCs/>
                <w:color w:val="000000"/>
                <w:sz w:val="21"/>
                <w:szCs w:val="21"/>
                <w:highlight w:val="none"/>
              </w:rPr>
              <w:t xml:space="preserve">，得3分；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（2）内容针对性较差、基本完善，</w:t>
            </w:r>
            <w:r>
              <w:rPr>
                <w:rFonts w:hint="eastAsia" w:ascii="宋体" w:hAnsi="宋体" w:cs="宋体"/>
                <w:sz w:val="21"/>
                <w:szCs w:val="21"/>
                <w:highlight w:val="none"/>
                <w:lang w:bidi="ar"/>
              </w:rPr>
              <w:t xml:space="preserve">具有一定的可操作性，</w:t>
            </w:r>
            <w:r>
              <w:rPr>
                <w:rFonts w:hint="eastAsia" w:ascii="宋体" w:hAnsi="宋体" w:cs="宋体"/>
                <w:bCs/>
                <w:color w:val="000000"/>
                <w:sz w:val="21"/>
                <w:szCs w:val="21"/>
                <w:highlight w:val="none"/>
              </w:rPr>
              <w:t xml:space="preserve">得2分；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（3）内容简单、针对性差，</w:t>
            </w:r>
            <w:r>
              <w:rPr>
                <w:rFonts w:hint="eastAsia" w:ascii="宋体" w:hAnsi="宋体" w:cs="宋体"/>
                <w:sz w:val="21"/>
                <w:szCs w:val="21"/>
                <w:highlight w:val="none"/>
                <w:lang w:bidi="ar"/>
              </w:rPr>
              <w:t xml:space="preserve">可操作性差，</w:t>
            </w:r>
            <w:r>
              <w:rPr>
                <w:rFonts w:hint="eastAsia" w:ascii="宋体" w:hAnsi="宋体" w:cs="宋体"/>
                <w:bCs/>
                <w:color w:val="000000"/>
                <w:sz w:val="21"/>
                <w:szCs w:val="21"/>
                <w:highlight w:val="none"/>
              </w:rPr>
              <w:t xml:space="preserve">得1分；</w:t>
            </w:r>
            <w:r/>
          </w:p>
          <w:p>
            <w:pPr>
              <w:jc w:val="left"/>
              <w:rPr>
                <w:color w:val="000000"/>
                <w:sz w:val="21"/>
                <w:szCs w:val="21"/>
                <w:highlight w:val="none"/>
              </w:rPr>
            </w:pPr>
            <w:r>
              <w:rPr>
                <w:rFonts w:hint="eastAsia" w:ascii="宋体" w:hAnsi="宋体" w:cs="宋体"/>
                <w:bCs/>
                <w:color w:val="000000"/>
                <w:sz w:val="21"/>
                <w:szCs w:val="21"/>
                <w:highlight w:val="none"/>
              </w:rPr>
              <w:t xml:space="preserve">（4）内容偏差大、不满足项目需求或未进行内容阐述，得0分。</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w:t>
            </w:r>
            <w:r/>
          </w:p>
        </w:tc>
      </w:tr>
      <w:tr>
        <w:trPr>
          <w:jc w:val="center"/>
          <w:trHeight w:val="353"/>
        </w:trPr>
        <w:tc>
          <w:tcPr>
            <w:tcW w:w="1328" w:type="dxa"/>
            <w:vAlign w:val="center"/>
            <w:vMerge w:val="continue"/>
            <w:textDirection w:val="lrTb"/>
            <w:noWrap w:val="false"/>
          </w:tcPr>
          <w:p>
            <w:pPr>
              <w:jc w:val="left"/>
              <w:rPr>
                <w:color w:val="000000"/>
                <w:sz w:val="21"/>
                <w:szCs w:val="21"/>
                <w:highlight w:val="none"/>
              </w:rPr>
            </w:pPr>
            <w:r>
              <w:rPr>
                <w:color w:val="000000"/>
                <w:sz w:val="21"/>
                <w:szCs w:val="21"/>
                <w:highlight w:val="none"/>
              </w:rPr>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售后服务方案</w:t>
            </w:r>
            <w:r/>
          </w:p>
        </w:tc>
        <w:tc>
          <w:tcPr>
            <w:tcW w:w="6756" w:type="dxa"/>
            <w:vAlign w:val="center"/>
            <w:textDirection w:val="lrTb"/>
            <w:noWrap w:val="false"/>
          </w:tcPr>
          <w:p>
            <w:pPr>
              <w:jc w:val="left"/>
              <w:rPr>
                <w:rFonts w:hint="eastAsia" w:ascii="宋体" w:hAnsi="宋体" w:cs="宋体"/>
                <w:sz w:val="21"/>
                <w:szCs w:val="21"/>
                <w:highlight w:val="none"/>
                <w:lang w:bidi="ar"/>
              </w:rPr>
            </w:pPr>
            <w:r>
              <w:rPr>
                <w:rFonts w:hint="eastAsia" w:ascii="宋体" w:hAnsi="宋体" w:cs="宋体"/>
                <w:color w:val="000000"/>
                <w:sz w:val="21"/>
                <w:szCs w:val="21"/>
                <w:highlight w:val="none"/>
              </w:rPr>
              <w:t xml:space="preserve">投标人基于对本项目需求的理解制定详细的项目售后方案，包括但不限于故障响应、巡检运维、备件保障、系统升级、长效服务等软硬件全周期保障能力。</w:t>
            </w:r>
            <w:r>
              <w:rPr>
                <w:rFonts w:hint="eastAsia" w:ascii="宋体" w:hAnsi="宋体" w:cs="宋体"/>
                <w:sz w:val="21"/>
                <w:szCs w:val="21"/>
                <w:highlight w:val="none"/>
                <w:lang w:bidi="ar"/>
              </w:rPr>
              <w:t xml:space="preserve">针对上述内容，投标供应商结合本项目的特点和技术服务要求在投标响应文件中进行阐述，评标委员会根据阐述内容进行打分：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（1）内容针对性强、详细完善，</w:t>
            </w:r>
            <w:r>
              <w:rPr>
                <w:rFonts w:hint="eastAsia" w:ascii="宋体" w:hAnsi="宋体" w:cs="宋体"/>
                <w:sz w:val="21"/>
                <w:szCs w:val="21"/>
                <w:highlight w:val="none"/>
                <w:lang w:bidi="ar"/>
              </w:rPr>
              <w:t xml:space="preserve">可操作性强</w:t>
            </w:r>
            <w:r>
              <w:rPr>
                <w:rFonts w:hint="eastAsia" w:ascii="宋体" w:hAnsi="宋体" w:cs="宋体"/>
                <w:bCs/>
                <w:color w:val="000000"/>
                <w:sz w:val="21"/>
                <w:szCs w:val="21"/>
                <w:highlight w:val="none"/>
              </w:rPr>
              <w:t xml:space="preserve">，得</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（2）内容针对性较差、基本完善，</w:t>
            </w:r>
            <w:r>
              <w:rPr>
                <w:rFonts w:hint="eastAsia" w:ascii="宋体" w:hAnsi="宋体" w:cs="宋体"/>
                <w:sz w:val="21"/>
                <w:szCs w:val="21"/>
                <w:highlight w:val="none"/>
                <w:lang w:bidi="ar"/>
              </w:rPr>
              <w:t xml:space="preserve">具有一定的可操作性，</w:t>
            </w:r>
            <w:r>
              <w:rPr>
                <w:rFonts w:hint="eastAsia" w:ascii="宋体" w:hAnsi="宋体" w:cs="宋体"/>
                <w:bCs/>
                <w:color w:val="000000"/>
                <w:sz w:val="21"/>
                <w:szCs w:val="21"/>
                <w:highlight w:val="none"/>
              </w:rPr>
              <w:t xml:space="preserve">得2分；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（3）内容简单、针对性差，</w:t>
            </w:r>
            <w:r>
              <w:rPr>
                <w:rFonts w:hint="eastAsia" w:ascii="宋体" w:hAnsi="宋体" w:cs="宋体"/>
                <w:sz w:val="21"/>
                <w:szCs w:val="21"/>
                <w:highlight w:val="none"/>
                <w:lang w:bidi="ar"/>
              </w:rPr>
              <w:t xml:space="preserve">可操作性差，</w:t>
            </w:r>
            <w:r>
              <w:rPr>
                <w:rFonts w:hint="eastAsia" w:ascii="宋体" w:hAnsi="宋体" w:cs="宋体"/>
                <w:bCs/>
                <w:color w:val="000000"/>
                <w:sz w:val="21"/>
                <w:szCs w:val="21"/>
                <w:highlight w:val="none"/>
              </w:rPr>
              <w:t xml:space="preserve">得1分；</w:t>
            </w:r>
            <w:r/>
          </w:p>
          <w:p>
            <w:pPr>
              <w:jc w:val="left"/>
              <w:rPr>
                <w:color w:val="000000"/>
                <w:sz w:val="21"/>
                <w:szCs w:val="21"/>
                <w:highlight w:val="none"/>
              </w:rPr>
            </w:pPr>
            <w:r>
              <w:rPr>
                <w:rFonts w:hint="eastAsia" w:ascii="宋体" w:hAnsi="宋体" w:cs="宋体"/>
                <w:bCs/>
                <w:color w:val="000000"/>
                <w:sz w:val="21"/>
                <w:szCs w:val="21"/>
                <w:highlight w:val="none"/>
              </w:rPr>
              <w:t xml:space="preserve">（4）内容偏差大、不满足项目需求或未进行内容阐述，得0分。</w:t>
            </w:r>
            <w:r/>
          </w:p>
        </w:tc>
        <w:tc>
          <w:tcPr>
            <w:tcW w:w="678" w:type="dxa"/>
            <w:vAlign w:val="center"/>
            <w:textDirection w:val="lrTb"/>
            <w:noWrap w:val="false"/>
          </w:tcPr>
          <w:p>
            <w:pPr>
              <w:jc w:val="center"/>
              <w:rPr>
                <w:rFonts w:hint="eastAsia"/>
                <w:color w:val="000000"/>
                <w:sz w:val="21"/>
                <w:szCs w:val="21"/>
                <w:highlight w:val="none"/>
              </w:rPr>
            </w:pPr>
            <w:r>
              <w:rPr>
                <w:rFonts w:hint="eastAsia"/>
                <w:color w:val="000000"/>
                <w:sz w:val="21"/>
                <w:szCs w:val="21"/>
                <w:highlight w:val="none"/>
              </w:rPr>
              <w:t xml:space="preserve">3</w:t>
            </w:r>
            <w:r/>
          </w:p>
        </w:tc>
      </w:tr>
      <w:tr>
        <w:trPr>
          <w:jc w:val="center"/>
          <w:trHeight w:val="336"/>
        </w:trPr>
        <w:tc>
          <w:tcPr>
            <w:gridSpan w:val="3"/>
            <w:tcW w:w="9257" w:type="dxa"/>
            <w:vAlign w:val="center"/>
            <w:textDirection w:val="lrTb"/>
            <w:noWrap w:val="false"/>
          </w:tcPr>
          <w:p>
            <w:pPr>
              <w:jc w:val="center"/>
              <w:rPr>
                <w:color w:val="000000"/>
                <w:sz w:val="21"/>
                <w:szCs w:val="21"/>
                <w:highlight w:val="none"/>
              </w:rPr>
            </w:pPr>
            <w:r>
              <w:rPr>
                <w:color w:val="000000"/>
                <w:sz w:val="21"/>
                <w:szCs w:val="21"/>
                <w:highlight w:val="none"/>
              </w:rPr>
              <w:t xml:space="preserve">合计</w:t>
            </w:r>
            <w:r/>
          </w:p>
        </w:tc>
        <w:tc>
          <w:tcPr>
            <w:tcW w:w="678" w:type="dxa"/>
            <w:vAlign w:val="center"/>
            <w:textDirection w:val="lrTb"/>
            <w:noWrap/>
          </w:tcPr>
          <w:p>
            <w:pPr>
              <w:jc w:val="center"/>
              <w:rPr>
                <w:color w:val="000000"/>
                <w:sz w:val="21"/>
                <w:szCs w:val="21"/>
                <w:highlight w:val="none"/>
              </w:rPr>
            </w:pPr>
            <w:r>
              <w:rPr>
                <w:color w:val="000000"/>
                <w:sz w:val="21"/>
                <w:szCs w:val="21"/>
                <w:highlight w:val="none"/>
              </w:rPr>
              <w:t xml:space="preserve">100</w:t>
            </w:r>
            <w:r/>
          </w:p>
        </w:tc>
      </w:tr>
    </w:tbl>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为5人以上的单数（含5人）时，计算分项得分时取平均值为投标单位的得分，各分项得分合计即为投标单位的总得分。投标文件无相应评分内容时，该项目为零分，投标单位如对招标文件提出的合理要求不作出相应承诺或对招标单位提出不合理要求的不予得标。每项评分的具体内容和方法由评委集体讨论，评委独立评分。所有评委打分的平均值为各投标供应商最终得分。推荐前3名为第一、第二、第三中标候选单位。评分办法及评分细则的解释权归属采购人。未列入本评分细则的其他条件不作为评分内容。</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（九）确定中标供应商：</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w:t>
      </w:r>
      <w:r>
        <w:rPr>
          <w:rFonts w:hint="eastAsia" w:ascii="宋体" w:hAnsi="宋体" w:cs="宋体"/>
          <w:bCs/>
          <w:color w:val="000000" w:themeColor="text1"/>
          <w:sz w:val="24"/>
          <w:highlight w:val="none"/>
          <w14:textFill>
            <w14:solidFill>
              <w14:schemeClr w14:val="tx1"/>
            </w14:solidFill>
          </w14:textFill>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万达工程造价事务所有限公司自中标供应商确定之日起2个工作日内，在财政部门指定的政府采购信息发布媒体上发布中标结果公告。</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rPr>
          <w:rFonts w:ascii="宋体" w:hAnsi="宋体"/>
          <w:bCs/>
          <w:color w:val="000000" w:themeColor="text1"/>
          <w:sz w:val="24"/>
          <w:szCs w:val="24"/>
          <w:highlight w:val="none"/>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（十）废标的确认：</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在招标采购中，出现下列情况之一的，应予废标：</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1.符合专业条件的投标供应商或者对采购文件作出实质性响应的投标供应商不足三家；</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2.出现影响采购公正的违法、违规行为；</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3.投标供应商的报价均超过采购预算，采购人不能支付的；</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4.因重大变故，采购任务取消。</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5.评标委员会认定招标文件存在歧义、重大缺陷导致评审工作无法进行；</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6.因“苏采云”系统故障原因造成开标不成功的。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（十一）投标保证金：</w:t>
      </w:r>
      <w:r/>
    </w:p>
    <w:p>
      <w:pPr>
        <w:ind w:firstLine="480"/>
        <w:spacing w:line="360" w:lineRule="auto"/>
        <w:tabs>
          <w:tab w:val="left" w:pos="525" w:leader="none"/>
          <w:tab w:val="left" w:pos="1155" w:leader="none"/>
          <w:tab w:val="left" w:pos="12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（十二）签订、履行合同：</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万达工程造价事务所有限公司见证后生效。</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2.江苏万达工程造价事务所有限公司监督合同的履行。中标方非因不可抗力未履行招、投标文件和合同规定的义务，一经查实，招标代理机构将根据具体情况提请政府采购管理部门作出相应处理。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（十三）代理服务费：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w:t>
      </w:r>
      <w:r>
        <w:rPr>
          <w:rFonts w:hint="eastAsia" w:ascii="宋体" w:hAnsi="宋体"/>
          <w:color w:val="000000" w:themeColor="text1"/>
          <w:sz w:val="24"/>
          <w:highlight w:val="none"/>
          <w:lang w:val="en-US" w:eastAsia="zh-CN"/>
          <w14:textFill>
            <w14:solidFill>
              <w14:schemeClr w14:val="tx1"/>
            </w14:solidFill>
          </w14:textFill>
        </w:rPr>
        <w:t xml:space="preserve">预算</w:t>
      </w:r>
      <w:r>
        <w:rPr>
          <w:rFonts w:hint="eastAsia" w:ascii="宋体" w:hAnsi="宋体"/>
          <w:color w:val="000000" w:themeColor="text1"/>
          <w:sz w:val="24"/>
          <w:highlight w:val="none"/>
          <w14:textFill>
            <w14:solidFill>
              <w14:schemeClr w14:val="tx1"/>
            </w14:solidFill>
          </w14:textFill>
        </w:rPr>
        <w:t xml:space="preserve">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en-US" w:eastAsia="zh-CN"/>
          <w14:textFill>
            <w14:solidFill>
              <w14:schemeClr w14:val="tx1"/>
            </w14:solidFill>
          </w14:textFill>
        </w:rPr>
        <w:t xml:space="preserve">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（十四）其他政策要求（包括但不限于下列具体政策要求）：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有关中小企业政策，如</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000000" w:themeColor="text1"/>
          <w:sz w:val="24"/>
          <w:highlight w:val="none"/>
          <w14:textFill>
            <w14:solidFill>
              <w14:schemeClr w14:val="tx1"/>
            </w14:solidFill>
          </w14:textFill>
        </w:rPr>
        <w:t xml:space="preserve">采购人可在合同中约定，</w:t>
      </w:r>
      <w:r>
        <w:rPr>
          <w:rFonts w:hint="eastAsia" w:ascii="宋体" w:hAnsi="宋体" w:cs="宋体"/>
          <w:color w:val="000000" w:themeColor="text1"/>
          <w:sz w:val="24"/>
          <w:highlight w:val="none"/>
          <w14:textFill>
            <w14:solidFill>
              <w14:schemeClr w14:val="tx1"/>
            </w14:solidFill>
          </w14:textFill>
        </w:rPr>
        <w:t xml:space="preserve">在</w:t>
      </w:r>
      <w:r>
        <w:rPr>
          <w:rFonts w:hint="eastAsia" w:ascii="宋体" w:hAnsi="宋体" w:cs="宋体"/>
          <w:bCs/>
          <w:color w:val="000000" w:themeColor="text1"/>
          <w:sz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lang w:val="en"/>
          <w14:textFill>
            <w14:solidFill>
              <w14:schemeClr w14:val="tx1"/>
            </w14:solidFill>
          </w14:textFill>
        </w:rPr>
      </w:pPr>
      <w:r>
        <w:rPr>
          <w:rFonts w:hint="eastAsia" w:ascii="宋体" w:hAnsi="宋体" w:cs="宋体"/>
          <w:bCs/>
          <w:color w:val="000000" w:themeColor="text1"/>
          <w:sz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bCs/>
          <w:color w:val="000000" w:themeColor="text1"/>
          <w:sz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000000" w:themeColor="text1"/>
          <w:sz w:val="24"/>
          <w:highlight w:val="none"/>
          <w14:textFill>
            <w14:solidFill>
              <w14:schemeClr w14:val="tx1"/>
            </w14:solidFill>
          </w14:textFill>
        </w:rPr>
        <w:t xml:space="preserve">评分标准</w:t>
      </w:r>
      <w:r>
        <w:rPr>
          <w:rFonts w:hint="eastAsia" w:ascii="宋体"/>
          <w:bCs/>
          <w:color w:val="000000" w:themeColor="text1"/>
          <w:sz w:val="24"/>
          <w:highlight w:val="none"/>
          <w:lang w:val="en"/>
          <w14:textFill>
            <w14:solidFill>
              <w14:schemeClr w14:val="tx1"/>
            </w14:solidFill>
          </w14:textFill>
        </w:rPr>
        <w:t xml:space="preserve">，如采购项目或者采购包中仅有服务的，则该采购项目或者采购包将不涉及本国产品的支持政策。</w:t>
      </w:r>
      <w:r/>
    </w:p>
    <w:p>
      <w:pPr>
        <w:pStyle w:val="68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p>
    <w:p>
      <w:pPr>
        <w:pStyle w:val="667"/>
        <w:jc w:val="center"/>
        <w:keepLines/>
        <w:keepNext/>
        <w:pageBreakBefore w:val="0"/>
        <w:spacing w:before="240" w:after="240"/>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第三部分．采购需求</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bookmarkStart w:id="1" w:name="五．合同条款"/>
      <w:r/>
      <w:bookmarkEnd w:id="1"/>
      <w:r>
        <w:rPr>
          <w:rFonts w:hint="eastAsia" w:ascii="黑体" w:hAnsi="黑体" w:eastAsia="黑体" w:cs="黑体"/>
          <w:sz w:val="22"/>
          <w:szCs w:val="22"/>
          <w:highlight w:val="none"/>
          <w:shd w:val="clear" w:color="auto" w:fill="ffffff"/>
        </w:rPr>
        <w:t xml:space="preserve">采购标的需实现的功能或者目标，以及为落实政府采购政策需满足的要求</w:t>
      </w:r>
      <w:r>
        <w:rPr>
          <w:rFonts w:hint="eastAsia" w:ascii="黑体" w:hAnsi="黑体" w:eastAsia="黑体" w:cs="黑体"/>
          <w:sz w:val="22"/>
          <w:szCs w:val="22"/>
          <w:highlight w:val="none"/>
          <w:shd w:val="clear" w:color="auto" w:fill="ffffff"/>
          <w:lang w:eastAsia="zh-CN"/>
        </w:rPr>
        <w:t xml:space="preserve">。</w:t>
      </w:r>
      <w:r/>
    </w:p>
    <w:p>
      <w:pPr>
        <w:ind w:firstLine="440"/>
        <w:keepLines w:val="0"/>
        <w:keepNext w:val="0"/>
        <w:pageBreakBefore w:val="0"/>
        <w:spacing w:line="324" w:lineRule="auto"/>
        <w:rPr>
          <w:sz w:val="22"/>
          <w:szCs w:val="22"/>
          <w:highlight w:val="none"/>
        </w:rPr>
      </w:pPr>
      <w:r>
        <w:rPr>
          <w:rFonts w:hint="eastAsia"/>
          <w:sz w:val="22"/>
          <w:szCs w:val="22"/>
          <w:highlight w:val="none"/>
        </w:rPr>
        <w:t xml:space="preserve">工业软件数智孪生技术实训室面向软件工程技术、物联网应用技术及相关专业建设，围绕工业软件、物联网与数字孪生融合应用，配置工业级传感器实训箱、数字孪生实训平台、数字孪生模型资源、智慧工厂场景案例和基础课程资源，构建“数据采集</w:t>
      </w:r>
      <w:r>
        <w:rPr>
          <w:rFonts w:hint="eastAsia"/>
          <w:sz w:val="22"/>
          <w:szCs w:val="22"/>
          <w:highlight w:val="none"/>
          <w:lang w:val="en-US" w:eastAsia="zh-CN"/>
        </w:rPr>
        <w:t xml:space="preserve">-</w:t>
      </w:r>
      <w:r>
        <w:rPr>
          <w:rFonts w:hint="eastAsia"/>
          <w:sz w:val="22"/>
          <w:szCs w:val="22"/>
          <w:highlight w:val="none"/>
        </w:rPr>
        <w:t xml:space="preserve">平台部署</w:t>
      </w:r>
      <w:r>
        <w:rPr>
          <w:rFonts w:hint="eastAsia"/>
          <w:sz w:val="22"/>
          <w:szCs w:val="22"/>
          <w:highlight w:val="none"/>
          <w:lang w:val="en-US" w:eastAsia="zh-CN"/>
        </w:rPr>
        <w:t xml:space="preserve">-</w:t>
      </w:r>
      <w:r>
        <w:rPr>
          <w:rFonts w:hint="eastAsia"/>
          <w:sz w:val="22"/>
          <w:szCs w:val="22"/>
          <w:highlight w:val="none"/>
        </w:rPr>
        <w:t xml:space="preserve">场景搭建</w:t>
      </w:r>
      <w:r>
        <w:rPr>
          <w:rFonts w:hint="eastAsia"/>
          <w:sz w:val="22"/>
          <w:szCs w:val="22"/>
          <w:highlight w:val="none"/>
          <w:lang w:val="en-US" w:eastAsia="zh-CN"/>
        </w:rPr>
        <w:t xml:space="preserve">-</w:t>
      </w:r>
      <w:r>
        <w:rPr>
          <w:rFonts w:hint="eastAsia"/>
          <w:sz w:val="22"/>
          <w:szCs w:val="22"/>
          <w:highlight w:val="none"/>
        </w:rPr>
        <w:t xml:space="preserve">接口集成</w:t>
      </w:r>
      <w:r>
        <w:rPr>
          <w:rFonts w:hint="eastAsia"/>
          <w:sz w:val="22"/>
          <w:szCs w:val="22"/>
          <w:highlight w:val="none"/>
          <w:lang w:val="en-US" w:eastAsia="zh-CN"/>
        </w:rPr>
        <w:t xml:space="preserve">-</w:t>
      </w:r>
      <w:r>
        <w:rPr>
          <w:rFonts w:hint="eastAsia"/>
          <w:sz w:val="22"/>
          <w:szCs w:val="22"/>
          <w:highlight w:val="none"/>
        </w:rPr>
        <w:t xml:space="preserve">模型复用</w:t>
      </w:r>
      <w:r>
        <w:rPr>
          <w:rFonts w:hint="eastAsia"/>
          <w:sz w:val="22"/>
          <w:szCs w:val="22"/>
          <w:highlight w:val="none"/>
          <w:lang w:val="en-US" w:eastAsia="zh-CN"/>
        </w:rPr>
        <w:t xml:space="preserve">-</w:t>
      </w:r>
      <w:r>
        <w:rPr>
          <w:rFonts w:hint="eastAsia"/>
          <w:sz w:val="22"/>
          <w:szCs w:val="22"/>
          <w:highlight w:val="none"/>
        </w:rPr>
        <w:t xml:space="preserve">业务展示</w:t>
      </w:r>
      <w:r>
        <w:rPr>
          <w:rFonts w:hint="eastAsia"/>
          <w:sz w:val="22"/>
          <w:szCs w:val="22"/>
          <w:highlight w:val="none"/>
          <w:lang w:val="en-US" w:eastAsia="zh-CN"/>
        </w:rPr>
        <w:t xml:space="preserve">-</w:t>
      </w:r>
      <w:r>
        <w:rPr>
          <w:rFonts w:hint="eastAsia"/>
          <w:sz w:val="22"/>
          <w:szCs w:val="22"/>
          <w:highlight w:val="none"/>
        </w:rPr>
        <w:t xml:space="preserve">项目交付”的综合实训体系。各模块既可独立支撑专项教学，又可联动形成完整项目，服务于设备控制、三维可视化、数据接入、智慧工厂应用和综合项目管理等实践训练，提升学生面向真实产业场景的系统集成与项目交付能力。</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采购标的需执行的国家相关标准、行业标准、地方标准或者其他标准、规范</w:t>
      </w:r>
      <w:r>
        <w:rPr>
          <w:rFonts w:hint="eastAsia" w:ascii="黑体" w:hAnsi="黑体" w:eastAsia="黑体" w:cs="黑体"/>
          <w:sz w:val="22"/>
          <w:szCs w:val="22"/>
          <w:highlight w:val="none"/>
          <w:shd w:val="clear" w:color="auto" w:fill="ffffff"/>
          <w:lang w:eastAsia="zh-CN"/>
        </w:rPr>
        <w:t xml:space="preserve">。</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采购标的需满足的质量、安全、技术规格、物理特性等要求</w:t>
      </w:r>
      <w:r>
        <w:rPr>
          <w:rFonts w:hint="eastAsia" w:ascii="黑体" w:hAnsi="黑体" w:eastAsia="黑体" w:cs="黑体"/>
          <w:sz w:val="22"/>
          <w:szCs w:val="22"/>
          <w:highlight w:val="none"/>
          <w:shd w:val="clear" w:color="auto" w:fill="ffffff"/>
          <w:lang w:eastAsia="zh-CN"/>
        </w:rPr>
        <w:t xml:space="preserve">。</w:t>
      </w:r>
      <w:r/>
    </w:p>
    <w:p>
      <w:pPr>
        <w:pStyle w:val="704"/>
        <w:numPr>
          <w:ilvl w:val="0"/>
          <w:numId w:val="0"/>
        </w:numPr>
        <w:ind w:firstLine="723"/>
        <w:keepLines w:val="0"/>
        <w:keepNext w:val="0"/>
        <w:pageBreakBefore w:val="0"/>
        <w:spacing w:before="0" w:beforeAutospacing="0" w:after="0" w:afterAutospacing="0" w:line="324" w:lineRule="auto"/>
        <w:widowControl/>
        <w:rPr>
          <w:rFonts w:hint="eastAsia" w:ascii="黑体" w:hAnsi="黑体" w:eastAsia="黑体" w:cs="黑体"/>
          <w:b/>
          <w:bCs/>
          <w:sz w:val="22"/>
          <w:szCs w:val="22"/>
          <w:highlight w:val="none"/>
          <w:shd w:val="clear" w:color="auto" w:fill="ffffff"/>
        </w:rPr>
      </w:pPr>
      <w:r>
        <w:rPr>
          <w:rFonts w:hint="eastAsia" w:cs="宋体"/>
          <w:b/>
          <w:bCs/>
          <w:color w:val="000000"/>
          <w:highlight w:val="none"/>
          <w:lang w:val="en-US" w:eastAsia="zh-CN"/>
        </w:rPr>
        <w:t xml:space="preserve">本项目核心产品为：</w:t>
      </w:r>
      <w:r>
        <w:rPr>
          <w:rFonts w:hint="eastAsia" w:ascii="宋体" w:hAnsi="宋体" w:cs="宋体"/>
          <w:b/>
          <w:bCs/>
          <w:color w:val="000000"/>
          <w:highlight w:val="none"/>
        </w:rPr>
        <w:t xml:space="preserve">数字孪生实训平台</w:t>
      </w:r>
      <w:r/>
    </w:p>
    <w:tbl>
      <w:tblPr>
        <w:tblStyle w:val="677"/>
        <w:tblW w:w="8935" w:type="dxa"/>
        <w:jc w:val="center"/>
        <w:tblLayout w:type="fixed"/>
        <w:tblCellMar>
          <w:left w:w="108" w:type="dxa"/>
          <w:top w:w="0" w:type="dxa"/>
          <w:right w:w="108" w:type="dxa"/>
          <w:bottom w:w="0" w:type="dxa"/>
        </w:tblCellMar>
        <w:tblLook w:val="04A0" w:firstRow="1" w:lastRow="0" w:firstColumn="1" w:lastColumn="0" w:noHBand="0" w:noVBand="1"/>
      </w:tblPr>
      <w:tblGrid>
        <w:gridCol w:w="658"/>
        <w:gridCol w:w="1208"/>
        <w:gridCol w:w="7069"/>
      </w:tblGrid>
      <w:tr>
        <w:trPr>
          <w:jc w:val="center"/>
        </w:trPr>
        <w:tc>
          <w:tcPr>
            <w:shd w:val="clear" w:color="auto" w:fill="ffffff"/>
            <w:tcBorders>
              <w:top w:val="single" w:color="000000" w:sz="12"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b/>
                <w:color w:val="000000"/>
                <w:sz w:val="20"/>
                <w:szCs w:val="20"/>
                <w:highlight w:val="none"/>
              </w:rPr>
            </w:pPr>
            <w:r>
              <w:rPr>
                <w:rFonts w:hint="eastAsia" w:ascii="宋体;SimSun" w:hAnsi="宋体;SimSun" w:cs="宋体;SimSun"/>
                <w:b/>
                <w:color w:val="000000"/>
                <w:sz w:val="20"/>
                <w:szCs w:val="20"/>
                <w:highlight w:val="none"/>
              </w:rPr>
              <w:t xml:space="preserve">序号</w:t>
            </w:r>
            <w:r/>
          </w:p>
        </w:tc>
        <w:tc>
          <w:tcPr>
            <w:shd w:val="clear" w:color="auto" w:fill="ffffff"/>
            <w:tcBorders>
              <w:top w:val="single" w:color="000000" w:sz="12"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b/>
                <w:color w:val="000000"/>
                <w:sz w:val="20"/>
                <w:szCs w:val="20"/>
                <w:highlight w:val="none"/>
              </w:rPr>
            </w:pPr>
            <w:r>
              <w:rPr>
                <w:rFonts w:hint="eastAsia" w:ascii="宋体;SimSun" w:hAnsi="宋体;SimSun" w:cs="宋体;SimSun"/>
                <w:b/>
                <w:color w:val="000000"/>
                <w:sz w:val="20"/>
                <w:szCs w:val="20"/>
                <w:highlight w:val="none"/>
              </w:rPr>
              <w:t xml:space="preserve">产品名称</w:t>
            </w:r>
            <w:r/>
          </w:p>
        </w:tc>
        <w:tc>
          <w:tcPr>
            <w:shd w:val="clear" w:color="auto" w:fill="ffffff"/>
            <w:tcBorders>
              <w:top w:val="single" w:color="000000" w:sz="12" w:space="0"/>
              <w:left w:val="single" w:color="000000" w:sz="4" w:space="0"/>
              <w:bottom w:val="single" w:color="000000" w:sz="4" w:space="0"/>
              <w:right w:val="single" w:color="000000" w:sz="12" w:space="0"/>
            </w:tcBorders>
            <w:tcW w:w="7069" w:type="dxa"/>
            <w:vAlign w:val="top"/>
            <w:textDirection w:val="lrTb"/>
            <w:noWrap w:val="false"/>
          </w:tcPr>
          <w:p>
            <w:pPr>
              <w:jc w:val="center"/>
              <w:rPr>
                <w:rFonts w:ascii="宋体;SimSun" w:hAnsi="宋体;SimSun" w:cs="宋体;SimSun"/>
                <w:b/>
                <w:color w:val="000000"/>
                <w:sz w:val="20"/>
                <w:szCs w:val="20"/>
                <w:highlight w:val="none"/>
              </w:rPr>
            </w:pPr>
            <w:r>
              <w:rPr>
                <w:rFonts w:hint="eastAsia" w:ascii="宋体;SimSun" w:hAnsi="宋体;SimSun" w:cs="宋体;SimSun"/>
                <w:b/>
                <w:color w:val="000000"/>
                <w:sz w:val="20"/>
                <w:szCs w:val="20"/>
                <w:highlight w:val="none"/>
              </w:rPr>
              <w:t xml:space="preserve">产品参数</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工业级传感器实训箱</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【功能定位】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用于工业现场与智慧园区环境的数据采集、设备控制和数字孪生状态映射，作为感知层实训载体，与数字孪生实训平台联动运行。</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【技术要求】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1、环境监测设备能够实时监测楼宇空间环境质量、空间人数、工位占用等数据。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2、节能控制设备可通过智能的控制方式，实现人来灯亮、人走灯灭，高效控制楼宇各个区域的灯光照明。</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3、包含但不限于室内网关、门磁传感器、温湿度传感器、工位占用传感器、智能移动插座等硬件设备。</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4、传感器设备采用电池供电，通过 LoRaWAN®无线传输方式，无需布线。</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5、设备支持通过D2D（Device to Device） 协议，实现设备间无网关直接通信，秒级快速联动</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6、室内网关详细参数如下：</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（1）通信协议：需支持标准LoRaWAN，工作频段CN470-510MHz；支持上下行全双工通信</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（2）供电方式：DC9-24V （支持防浪涌保护、反极保护）或802.3 af标准PoE供电；</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（3）网口：≥1 * 千兆PoE网口；</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（4）Wi-Fi：需支持IEEE 802.11 b/g/n，2.4GHz （客户端与AP模式）；</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（5）具有多种指示灯：1 * POWER, 1 * STATUS, 1 * LoRa, 1 * Wi-Fi, 1 * LTE, 1 * ETH；</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（6）支持 PPPoE, SNMP v1/v2/v3,DHCP, Telnet, SSH 等网络协议；支持 MQTT，HTTP，HTTPS，BACnet/IP，Modbus TCP 标准数据转发协议进行数据转发；</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（7）支持ClassA/B/C类型节点接入；</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（8）支持远程设备管理：远程设备管理/配置/升级；</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（9）硬件与结构配置：≥4核处理器，1.5 GHz, 64-bit ARM Cortex-A53，≥512 MB DDR4 RAM内存，≥8 GB eMMC闪存；</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（10）支持底噪扫描，为提供可靠的信道部署提供科学依据；</w:t>
            </w:r>
            <w:r/>
          </w:p>
          <w:p>
            <w:pPr>
              <w:jc w:val="left"/>
              <w:rPr>
                <w:rFonts w:hint="eastAsia" w:ascii="宋体" w:hAnsi="宋体" w:cs="宋体"/>
                <w:color w:val="000000"/>
                <w:sz w:val="20"/>
                <w:szCs w:val="20"/>
                <w:highlight w:val="none"/>
              </w:rPr>
            </w:pPr>
            <w:r/>
            <w:bookmarkStart w:id="2" w:name="OLE_LINK73"/>
            <w:r>
              <w:rPr>
                <w:rFonts w:hint="eastAsia" w:ascii="Times New Roman" w:hAnsi="Times New Roman" w:eastAsia="宋体" w:cs="Times New Roman"/>
                <w:sz w:val="20"/>
                <w:szCs w:val="20"/>
                <w:highlight w:val="none"/>
              </w:rPr>
              <w:t xml:space="preserve">★</w:t>
            </w:r>
            <w:r>
              <w:rPr>
                <w:rFonts w:hint="eastAsia" w:ascii="宋体" w:hAnsi="宋体" w:cs="宋体"/>
                <w:color w:val="000000"/>
                <w:sz w:val="20"/>
                <w:szCs w:val="20"/>
                <w:highlight w:val="none"/>
              </w:rPr>
              <w:t xml:space="preserve">（11）支持Python二次开发和Node-RED可视化物联网编程工具；（需要提供相关功能截图说明，并加盖投标人公章）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（12）内置网络服务器且支持主从网关连接；</w:t>
            </w:r>
            <w:r/>
          </w:p>
          <w:p>
            <w:pPr>
              <w:jc w:val="left"/>
              <w:rPr>
                <w:rFonts w:hint="eastAsia" w:ascii="宋体" w:hAnsi="宋体" w:cs="宋体"/>
                <w:color w:val="000000"/>
                <w:sz w:val="20"/>
                <w:szCs w:val="20"/>
                <w:highlight w:val="none"/>
              </w:rPr>
            </w:pPr>
            <w:r>
              <w:rPr>
                <w:rFonts w:hint="eastAsia" w:ascii="宋体" w:hAnsi="宋体" w:cs="宋体"/>
                <w:sz w:val="20"/>
                <w:szCs w:val="20"/>
                <w:highlight w:val="none"/>
              </w:rPr>
              <w:t xml:space="preserve">（13）设备具有CMA、CNAS、ilac-MRA认证检测机构出具的检测报告；（需要提供相关检测报告，并加盖投标人公章）</w:t>
            </w:r>
            <w:bookmarkEnd w:id="2"/>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（14）工作温度：-40°C~70°C，存储温度：-40°C~85°C，相对湿度：25℃下 0%~95%（无凝结）；</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（15）支持双链路备份功能，蜂窝&amp;有线，蜂窝&amp;Wi-Fi；</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（16）支持蜂窝网络：支持三大运营商网络；</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（17）支持FUOTA，支持对节点设备进行远程批量升级。</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数字孪生实训平台</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【功能定位】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基于零代码的数字孪生领域可视化开发系统，通过场景管理、图层管理、业务管理、模型管理、孪生体管理等孪生场景的开发和管理功能，提供零代码三维场景体系的构建和实时交互效果的联动能力，能够快速实现地图级、园区级可视化业务数字孪生场景的呈现，帮助用户打通整个生产链，可以自主高效地完成项目的实施，建立一个持续增长的数字孪生可视化的生态。</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【技术要求】</w:t>
            </w:r>
            <w:r/>
          </w:p>
          <w:p>
            <w:pPr>
              <w:rPr>
                <w:rFonts w:hint="eastAsia" w:ascii="宋体" w:hAnsi="宋体" w:cs="宋体"/>
                <w:color w:val="000000"/>
                <w:sz w:val="20"/>
                <w:szCs w:val="20"/>
                <w:highlight w:val="none"/>
              </w:rPr>
            </w:pPr>
            <w:r>
              <w:rPr>
                <w:rFonts w:hint="eastAsia" w:ascii="Times New Roman" w:hAnsi="Times New Roman" w:eastAsia="宋体" w:cs="Times New Roman"/>
                <w:sz w:val="20"/>
                <w:szCs w:val="20"/>
                <w:highlight w:val="none"/>
              </w:rPr>
              <w:t xml:space="preserve">★</w:t>
            </w:r>
            <w:r>
              <w:rPr>
                <w:rFonts w:hint="eastAsia" w:ascii="宋体" w:hAnsi="宋体" w:cs="宋体"/>
                <w:color w:val="000000"/>
                <w:sz w:val="20"/>
                <w:szCs w:val="20"/>
                <w:highlight w:val="none"/>
              </w:rPr>
              <w:t xml:space="preserve">1、数字孪生引擎平台</w:t>
            </w:r>
            <w:r>
              <w:rPr>
                <w:rFonts w:ascii="宋体" w:hAnsi="宋体" w:cs="宋体"/>
                <w:color w:val="000000"/>
                <w:sz w:val="20"/>
                <w:szCs w:val="20"/>
                <w:highlight w:val="none"/>
              </w:rPr>
              <w:t xml:space="preserve">要求必须是国产高自研，自研率不低于8</w:t>
            </w: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t xml:space="preserve">%。（提供</w:t>
            </w:r>
            <w:r>
              <w:rPr>
                <w:rFonts w:hint="eastAsia" w:ascii="宋体" w:hAnsi="宋体" w:cs="宋体"/>
                <w:color w:val="000000"/>
                <w:sz w:val="20"/>
                <w:szCs w:val="20"/>
                <w:highlight w:val="none"/>
              </w:rPr>
              <w:t xml:space="preserve">第三方权威机构出具的</w:t>
            </w:r>
            <w:r>
              <w:rPr>
                <w:rFonts w:ascii="宋体" w:hAnsi="宋体" w:cs="宋体"/>
                <w:color w:val="000000"/>
                <w:sz w:val="20"/>
                <w:szCs w:val="20"/>
                <w:highlight w:val="none"/>
              </w:rPr>
              <w:t xml:space="preserve">证明文件</w:t>
            </w:r>
            <w:r>
              <w:rPr>
                <w:rFonts w:ascii="宋体" w:hAnsi="宋体" w:eastAsia="宋体" w:cs="宋体"/>
                <w:color w:val="000000"/>
                <w:sz w:val="20"/>
                <w:szCs w:val="20"/>
                <w:highlight w:val="none"/>
              </w:rPr>
              <w:t xml:space="preserve">或出具承诺书</w:t>
            </w:r>
            <w:r>
              <w:rPr>
                <w:rFonts w:hint="eastAsia" w:ascii="宋体" w:hAnsi="宋体" w:eastAsia="宋体" w:cs="宋体"/>
                <w:color w:val="000000"/>
                <w:sz w:val="20"/>
                <w:szCs w:val="20"/>
                <w:highlight w:val="none"/>
              </w:rPr>
              <w:t xml:space="preserve">并加</w:t>
            </w:r>
            <w:r>
              <w:rPr>
                <w:rFonts w:hint="eastAsia" w:ascii="宋体" w:hAnsi="宋体" w:cs="宋体"/>
                <w:color w:val="000000"/>
                <w:sz w:val="20"/>
                <w:szCs w:val="20"/>
                <w:highlight w:val="none"/>
              </w:rPr>
              <w:t xml:space="preserve">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★2、数字孪生平台和引擎需是B/S架构，三维场景可以在主流浏览器中直接渲染，无需安装额外软件</w:t>
            </w:r>
            <w:r>
              <w:rPr>
                <w:rFonts w:hint="eastAsia" w:ascii="宋体" w:hAnsi="宋体" w:cs="宋体"/>
                <w:color w:val="000000"/>
                <w:sz w:val="20"/>
                <w:szCs w:val="20"/>
                <w:highlight w:val="none"/>
                <w:lang w:eastAsia="zh-CN"/>
              </w:rPr>
              <w:t xml:space="preserve">（投标时须提供平台</w:t>
            </w:r>
            <w:r>
              <w:rPr>
                <w:rFonts w:hint="eastAsia" w:ascii="宋体" w:hAnsi="宋体" w:cs="宋体"/>
                <w:color w:val="000000"/>
                <w:sz w:val="20"/>
                <w:szCs w:val="20"/>
                <w:highlight w:val="none"/>
                <w:lang w:val="en-US" w:eastAsia="zh-CN"/>
              </w:rPr>
              <w:t xml:space="preserve">运行于浏览器环境</w:t>
            </w:r>
            <w:r>
              <w:rPr>
                <w:rFonts w:hint="eastAsia" w:ascii="宋体" w:hAnsi="宋体" w:cs="宋体"/>
                <w:color w:val="000000"/>
                <w:sz w:val="20"/>
                <w:szCs w:val="20"/>
                <w:highlight w:val="none"/>
                <w:lang w:eastAsia="zh-CN"/>
              </w:rPr>
              <w:t xml:space="preserve">的功能截图，并加盖投标人公章）</w:t>
            </w:r>
            <w:r>
              <w:rPr>
                <w:rFonts w:hint="eastAsia" w:ascii="宋体" w:hAnsi="宋体" w:cs="宋体"/>
                <w:color w:val="000000"/>
                <w:sz w:val="20"/>
                <w:szCs w:val="20"/>
                <w:highlight w:val="none"/>
              </w:rPr>
              <w:t xml:space="preserve">。</w:t>
            </w:r>
            <w:r/>
          </w:p>
          <w:p>
            <w:pPr>
              <w:jc w:val="left"/>
              <w:rPr>
                <w:rFonts w:hint="eastAsia" w:ascii="宋体" w:hAnsi="宋体" w:cs="宋体"/>
                <w:color w:val="000000"/>
                <w:sz w:val="20"/>
                <w:szCs w:val="20"/>
                <w:highlight w:val="none"/>
              </w:rPr>
            </w:pPr>
            <w:r>
              <w:rPr>
                <w:rFonts w:hint="eastAsia" w:ascii="Times New Roman" w:hAnsi="Times New Roman" w:eastAsia="宋体" w:cs="Times New Roman"/>
                <w:sz w:val="20"/>
                <w:szCs w:val="20"/>
                <w:highlight w:val="none"/>
              </w:rPr>
              <w:t xml:space="preserve">★</w:t>
            </w:r>
            <w:r>
              <w:rPr>
                <w:rFonts w:hint="eastAsia" w:ascii="宋体" w:hAnsi="宋体" w:cs="宋体"/>
                <w:color w:val="000000"/>
                <w:sz w:val="20"/>
                <w:szCs w:val="20"/>
                <w:highlight w:val="none"/>
              </w:rPr>
              <w:t xml:space="preserve">3、平台引擎支持自定义渲染管线，自定义通道需要包含：延迟渲染、G-buffer、SSAO、素描、SSR、景深、X射线、GPU拾取、MSAA、Unreal Bloom、TAA、深度纹理共享、镜头光晕等渲染引擎通用的渲染通道（投标时须提供基于真实平台的详细功能截图，并加盖投标人公章）。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4、平台引擎支持导航能力，导航能力包含：自动规避障碍、导航路径可动态更新、多孪生体导航拟态行走、自定义路径节点导航等。</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平台引擎支持体积云光照渲染能力，并支持实时针对体积云的单位距离不透明度、纵向角度、水平角度、采样距离、采样步数、遮罩强度等通用渲染参数调整，调整后需实时响应变化（投标时须提供基于真实平台的详细功能截图，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6、3D可视化平台须建立符合国家网络安全等级保护三级或以上标准的安全防护体系（投标时须提供“信息系统安全等级保护等级证明，3级”证明材料，并加盖投标人公章）。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7、具备在GIS地图编辑器内进行离散矢量要素（点、线、面）的交互式布设与编辑能力，支持空间数据的导入解析，并可动态注册三维园区场景，实现园区级兴趣点（POI）的展示。</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8、应支持场景资产包、glTF模型文件及地图场景数据的导入；同时需兼容地图瓦片、地形数据、倾斜摄影实景三维模型（如OSGB/I3S）的多图层叠加融合与实时渲染调度。</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9、支持基于资源库的模型通过拖拽交互在三维视口内进行动态实例化生成对象实体，且具备对选中对象集（单体或多选组）进行批量属性添加与参数化编辑的能力。</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10、需实现对建筑单体的全要素数字孪生重建，以高保真虚拟仿真技术复现其外轮廓几何形态及在场景空间坐标系中的精准位姿。</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11、应能对建筑物内部楼层结构进行语义化孪生建模，清晰表达各楼层平面边界、层高及内部空间轮廓的虚拟仿真形态。</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12、支持房间级粒度的孪生构建，以虚拟仿真手段准确刻画房间围护结构轮廓与内部功能布局关系。</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13、支持对设备与设施实体进行数字孪生可视化，完整体现其外观形态、装配结构以及在三维场景空间中的相对位姿关系。</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基于关键视点序列的场景漫游动画编排工具，可捕获并存储连续视点状态以生成动画轨迹；支持为动画段关联解说字幕文本与外部语音轨的上传合成。播放控制应涵盖单次播放、单片段循环及列表式多片段循环等模式。</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要求具备在三维场景上下文内的所见即所得（WYSIWYG）可视化配置面板，涵盖资源中心、基础场景样式配置、孪生体集合管理、图层配置、业务配置及高级加载/交互设定等模块，所有配置变更须即时反映于视口预览，实现热加载生效，无需重载场景。</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应实现场景元数据的模糊检索功能；支持基于场景类型、名称、修改时间等多维度的排序筛选；可对场景的显示名称、文本描述、缩略预览封面图进行编辑；场景实例需具备配置、置顶排序、发布认证、删除等生命周期管控；并允许以覆盖模式导入新版场景资产及其空间布局。</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17、系统需提供面向特定场景层级的背景环境定制能力，支持采用静态图片、纯色填充、立方体贴图天空盒以及动态视频纹理作为背景球幕或背景平面。</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bookmarkStart w:id="3" w:name="OLE_LINK71"/>
            <w:r>
              <w:rPr>
                <w:rFonts w:hint="eastAsia" w:ascii="宋体" w:hAnsi="宋体" w:cs="宋体"/>
                <w:color w:val="000000"/>
                <w:sz w:val="20"/>
                <w:szCs w:val="20"/>
                <w:highlight w:val="none"/>
              </w:rPr>
              <w:t xml:space="preserve">允许对孪生体分类进行自定义属性模式定义，字段类型应涵盖字符串、整型、浮点型、枚举值、日期时间以及长文本等。可基于既定分类创建孪生体实体集合，并为其装配信息面板弹窗（InfoPanel）与可视化标记。支持在三维场景中划分逻辑图层，通过触发图层控件能够激活关联孪生体集的信息面板展示。</w:t>
            </w:r>
            <w:bookmarkEnd w:id="3"/>
            <w:r>
              <w:rPr>
                <w:rFonts w:hint="eastAsia" w:ascii="宋体" w:hAnsi="宋体" w:cs="宋体"/>
                <w:color w:val="000000"/>
                <w:sz w:val="20"/>
                <w:szCs w:val="20"/>
                <w:highlight w:val="none"/>
              </w:rPr>
              <w:t xml:space="preserve">具备孪生体资产数据全生命周期在线管理能力，包括新增录入、修改、删除；支持对孪生体实例的属性直接编辑；应提供基于Excel文件格式的批量导入与导出功能；并开放程序化API接口以实现资产数据的远程更新同步。</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19、应提供基于孪生体属性字段的精确查询检索机制，用户可在搜索组件中构造筛选条件，以定位匹配特定属性值的孪生体目标。</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20、提供流程逻辑编排器，允许用户以拖拽方式连接预封装的功能子节点，构建有向无环图（DAG）形式的操作集，从而完成复合业务场景的自动化执行流。</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★21、数字孪生实训平台必须为国内自主研发，不存在任何知识产权纠纷，供应商需提供承诺函。</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22、平台原生具备无代码定制化开发能力，允许通过可视化配置和逻辑编排替代传统编码实现场景与业务定制（投标时须提供权威机构出具的无代码开发检测证书，并加盖投标人公章）。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支持公网通用大语言模型（LLM）服务与数字孪生场景的集成交互操作，支持自然语言对话式交互，能够根据用户语义意图自动执行园区建筑基数统计、楼宇结构层级动态切换、场景着色风格实时变更及告警事件数据检索等操作。24、须提供视频流媒体转换模块，支持GB/T 28181协议或RTSP实时流协议，将监控视频流转换为H5可播放的流格式（如WebRTC/FLV/HLS）。可兼容海康威视安防厂商的标准平台协议接入，并需具备单节点不少于100路并发视频流的稳定接入处理能力。</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25、平台需支持多租户开发环境架构，至少可开设50个彼此完全隔离的独立开发空间，各空间内的孪生场景资源、资产数据、用户权限体系均需物理或逻辑隔离，确保互不干扰。</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平台提供标准化数据集成协议，具备孪生体资产数据的主动推送（Push）与性能指标数据的推送及拉取（Pull）双模通道，以及告警事件数据的主动上报与抓取机制。要求内置API交互式探索界面，可一键获取接口端点URL、参数类型、请求参数清单、请求示例及返回值结构等完整契约描述信息。</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平台需内嵌数据查询服务，支持基于单属性相等性、多属性逻辑组合以及复杂条件表达式的孪生体检索；提供孪生体实例的批量删除、用户信息推送删除以及服务代理转发等能力，以便异构第三方系统进行低耦合集成调用。</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28、平台应具备登录日志功能，对全部用户的认证事件进行不可抵赖性记录，捕获登录时间、源IP地址等信息，并支持按时间窗口和用户标识等维度进行定向检索与追溯。</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平台需实现配置日志能力，须完整记录每项配置操作的时间、操作者名称、涉及的孪生体分类、业务对象主键、动作动态类型、动态详情及操作来源IP等核心字段。同时应提供高级搜索器，支持多字段复杂条件组合筛选，以实现配置历史的细粒度溯源。</w:t>
            </w:r>
            <w:r/>
          </w:p>
          <w:p>
            <w:pPr>
              <w:jc w:val="left"/>
              <w:rPr>
                <w:rFonts w:ascii="宋体;SimSun" w:hAnsi="宋体;SimSun" w:cs="宋体;SimSun"/>
                <w:color w:val="000000"/>
                <w:sz w:val="20"/>
                <w:szCs w:val="20"/>
                <w:highlight w:val="none"/>
              </w:rPr>
            </w:pPr>
            <w:r>
              <w:rPr>
                <w:rFonts w:hint="eastAsia" w:ascii="宋体" w:hAnsi="宋体" w:cs="宋体"/>
                <w:color w:val="000000"/>
                <w:sz w:val="20"/>
                <w:szCs w:val="20"/>
                <w:highlight w:val="none"/>
              </w:rPr>
              <w:t xml:space="preserve">30、平台应提供接口日志机制，对因用户交互而产生的所有内外部API请求进行全量留痕，记录要素须包含请求时间、发起用户、操作路径、日志描述、响应状态码/返回值及客户端IP等信息，以支撑问题诊断与故障根因分析。</w:t>
            </w:r>
            <w:r/>
          </w:p>
        </w:tc>
      </w:tr>
      <w:tr>
        <w:trPr>
          <w:jc w:val="center"/>
          <w:trHeight w:val="90"/>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园区搭建系统</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【功能定位】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该系统以建筑、工业、能源等垂直领域的标准化3D资产库为基础，依托组件化装配逻辑，支持用户通过“搭积木”式的拖拽与组合操作，快速完成行业场景搭建；构建完成的3D场景可直接与数字孪生平台对接，实现与物理设备的实时数据同步及远程控制，打通虚拟场景与现实管理的双向链路。</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【技术要求】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1、支持空间层级化方式搭建，降低场景搭建的复杂度；</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2、支持园区效果编辑和应用，可以调整场景颜色、光泽等效果；</w:t>
            </w:r>
            <w:r/>
          </w:p>
          <w:p>
            <w:pPr>
              <w:jc w:val="left"/>
              <w:rPr>
                <w:rFonts w:hint="eastAsia" w:ascii="宋体" w:hAnsi="宋体" w:cs="宋体"/>
                <w:color w:val="000000"/>
                <w:sz w:val="20"/>
                <w:szCs w:val="20"/>
                <w:highlight w:val="none"/>
              </w:rPr>
            </w:pPr>
            <w:r>
              <w:rPr>
                <w:rFonts w:hint="eastAsia" w:ascii="Times New Roman" w:hAnsi="Times New Roman" w:eastAsia="宋体" w:cs="Times New Roman"/>
                <w:sz w:val="20"/>
                <w:szCs w:val="20"/>
                <w:highlight w:val="none"/>
              </w:rPr>
              <w:t xml:space="preserve">★</w:t>
            </w:r>
            <w:r>
              <w:rPr>
                <w:rFonts w:hint="eastAsia" w:ascii="宋体" w:hAnsi="宋体" w:cs="宋体"/>
                <w:color w:val="000000"/>
                <w:sz w:val="20"/>
                <w:szCs w:val="20"/>
                <w:highlight w:val="none"/>
              </w:rPr>
              <w:t xml:space="preserve">3、提供不少于15套效果模板，包含但不限于：南镜磁场、天际线昼、水滴、回到未来、第七颗星、戴克等，同时系统支持一键换肤，效果实时生效，所见即所得（投标时须提供基于真实平台的详细功能截图，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4、效果模板色彩系列丰富、可适配不同明亮度的园区效果；</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5、提供内置模型库，并按预制件、IOT、室内外以及生物、生活、交通、消安、机房、抽象、卡通等进行分类罗列；</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支持分别对物体、小品、主楼、辅楼、地面、树、地板、门窗等不同类别属性的物体进行基础样式如不透明度、颜色滤镜、发射、高光强度、菲涅尔强度&amp;方向等效果的调整以及滚图颜色、滚动贴图及滚动速度等动效设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7、支持粒特效的添加及调整，包括粒子模型、粒子高度、密度、粒子贴图、透明度、速度等静态设置及随机性设置。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8、支持用户自定义光照、后期、背景、雾效等全局环境设置；</w:t>
            </w:r>
            <w:r/>
          </w:p>
          <w:p>
            <w:pPr>
              <w:jc w:val="left"/>
              <w:rPr>
                <w:rFonts w:ascii="宋体" w:hAnsi="宋体" w:cs="宋体"/>
                <w:color w:val="000000"/>
                <w:sz w:val="20"/>
                <w:szCs w:val="20"/>
                <w:highlight w:val="none"/>
              </w:rPr>
            </w:pPr>
            <w:r>
              <w:rPr>
                <w:rFonts w:hint="eastAsia" w:ascii="宋体" w:hAnsi="宋体" w:cs="宋体"/>
                <w:color w:val="000000"/>
                <w:sz w:val="20"/>
                <w:szCs w:val="20"/>
                <w:highlight w:val="none"/>
              </w:rPr>
              <w:t xml:space="preserve">9、数字孪生场景搭建系统为B/S架构(B/S架构即指在主流浏览器中运行）</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物联网接口系统</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【功能定位】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内置主流集成插件，如Openstack、VMWare、Zabbix，帮助用户零代码分钟级集成IT运维场景和IoT管理场景数据，提升效率。针对非主流系统，支持在线JS脚本编辑，提供灵活、规范的接口，满足设备接口个性化需求。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【技术要求】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★1、平台需支持用入门编程语言（JavaScript）在线接入不少于15种基础数据协议，基础数据协议包含：HTTP(s)、BACnet/IP 、Socket、SNMP、Syslog、JDBC、OPC、Kafka、RabbitMQ、RocketMQ、ModBus 、MQTT等。（投标时须提供基于真实平台的详细功能截图，并加盖投标人公章）。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2、平台需支持对数据接口的实时监控，监控状态以图表显示已接入数据量、处理中数据量、发送中数据量、已发送数据量的监控指标； </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能够对接各业务系统，快速汇聚各类管理运营数据。工具需内置主流集成插件，如VMWare、Zabbix等，帮助用户零代码分钟级集成数据，提升接入效率。针对非主流系统，支持在线JS脚本编辑，提供灵活、规范的接口，满足低代码个性化需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4、平台应该具备在线管理所有已集成的接口的能力，支持在线对接口进行启用和停止、支持查看接口的运行状态及运行日志等操作； </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5、接口日志管理：接口数据的日志提供Web端查看，可以实时浏览接口处理的数据日志，并提供日志在线下载能力；</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6、数据集成平台为B/S架构(B/S架构即指在主流浏览器中运行）。</w:t>
            </w:r>
            <w:r/>
          </w:p>
          <w:p>
            <w:pPr>
              <w:jc w:val="left"/>
              <w:rPr>
                <w:rFonts w:ascii="宋体" w:hAnsi="宋体" w:cs="宋体"/>
                <w:color w:val="000000"/>
                <w:sz w:val="20"/>
                <w:szCs w:val="20"/>
                <w:highlight w:val="none"/>
              </w:rPr>
            </w:pPr>
            <w:r>
              <w:rPr>
                <w:rFonts w:hint="eastAsia" w:ascii="宋体" w:hAnsi="宋体" w:cs="宋体"/>
                <w:color w:val="000000"/>
                <w:sz w:val="20"/>
                <w:szCs w:val="20"/>
                <w:highlight w:val="none"/>
              </w:rPr>
              <w:t xml:space="preserve">7、可以支撑提供不少于250个DIP（Data Import Process 数据采集进程）。</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数字孪生实训系统-数字孪生模型资源包</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【资源定位】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为园区、楼宇、车间、产线和设备类数字孪生项目提供可复用的三维模型资源。</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【资源要求】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1、模型资源能覆盖工业、医疗、生活等领域所需，不少于10000个3D模型：</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（1）通用类及相关模型数量：≥2000个；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（2）水电气类及相关模型数量：≥1000个；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（3）制造、仓储类及相关模型数量：≥650个；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（4）化工类及相关模型数量：≥250个；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（5）银行类及相关模型数量：≥60个；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（6）医疗类及相关模型数量：≥200个；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（7）消防安全类及相关模型数量：≥600个；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（8）交通类及相关模型数量：≥700个；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（9）小品类及相关模型数量：≥1800个；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（10）机房类及相关模型数量：≥3400个；</w:t>
            </w:r>
            <w:r/>
          </w:p>
          <w:p>
            <w:pPr>
              <w:jc w:val="left"/>
              <w:rPr>
                <w:rFonts w:ascii="宋体;SimSun" w:hAnsi="宋体;SimSun" w:cs="宋体;SimSun"/>
                <w:color w:val="000000"/>
                <w:sz w:val="20"/>
                <w:szCs w:val="20"/>
                <w:highlight w:val="none"/>
              </w:rPr>
            </w:pPr>
            <w:r>
              <w:rPr>
                <w:rFonts w:hint="eastAsia" w:ascii="宋体" w:hAnsi="宋体" w:cs="宋体"/>
                <w:color w:val="000000"/>
                <w:sz w:val="20"/>
                <w:szCs w:val="20"/>
                <w:highlight w:val="none"/>
              </w:rPr>
              <w:t xml:space="preserve">（11）建筑类及相关模型数量：≥2000个。</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智慧工厂场景案例</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ascii="宋体;SimSun" w:hAnsi="宋体;SimSun" w:cs="宋体;SimSun"/>
                <w:bCs/>
                <w:color w:val="000000"/>
                <w:sz w:val="20"/>
                <w:szCs w:val="20"/>
                <w:highlight w:val="none"/>
              </w:rPr>
            </w:pPr>
            <w:r>
              <w:rPr>
                <w:rFonts w:hint="eastAsia" w:ascii="宋体;SimSun" w:hAnsi="宋体;SimSun" w:cs="宋体;SimSun"/>
                <w:bCs/>
                <w:color w:val="000000"/>
                <w:sz w:val="20"/>
                <w:szCs w:val="20"/>
                <w:highlight w:val="none"/>
              </w:rPr>
              <w:t xml:space="preserve">【案例定位】</w:t>
            </w:r>
            <w:r/>
          </w:p>
          <w:p>
            <w:pPr>
              <w:jc w:val="left"/>
              <w:rPr>
                <w:rFonts w:hint="eastAsia"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用于数字孪生技术综合应用及数字孪生项目开发教学的产业案例场景，以智慧工厂为背景，作为平台功能验证、课程教学和综合项目实训载体。</w:t>
            </w:r>
            <w:r/>
          </w:p>
          <w:p>
            <w:pPr>
              <w:jc w:val="left"/>
              <w:rPr>
                <w:rFonts w:hint="eastAsia"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智慧工厂场景</w:t>
            </w:r>
            <w:r>
              <w:rPr>
                <w:rFonts w:hint="eastAsia" w:ascii="宋体" w:hAnsi="宋体" w:cs="宋体"/>
                <w:color w:val="000000"/>
                <w:sz w:val="20"/>
                <w:szCs w:val="20"/>
                <w:highlight w:val="none"/>
              </w:rPr>
              <w:t xml:space="preserve">必须基于真实工厂案例自主研发，不存在任何知识产权纠纷，供应商需提供承诺函。</w:t>
            </w:r>
            <w:r/>
          </w:p>
          <w:p>
            <w:pPr>
              <w:jc w:val="left"/>
              <w:rPr>
                <w:rFonts w:ascii="宋体;SimSun" w:hAnsi="宋体;SimSun" w:cs="宋体;SimSun"/>
                <w:bCs/>
                <w:color w:val="000000"/>
                <w:sz w:val="20"/>
                <w:szCs w:val="20"/>
                <w:highlight w:val="none"/>
              </w:rPr>
            </w:pPr>
            <w:r>
              <w:rPr>
                <w:rFonts w:hint="eastAsia" w:ascii="宋体;SimSun" w:hAnsi="宋体;SimSun" w:cs="宋体;SimSun"/>
                <w:bCs/>
                <w:color w:val="000000"/>
                <w:sz w:val="20"/>
                <w:szCs w:val="20"/>
                <w:highlight w:val="none"/>
              </w:rPr>
              <w:t xml:space="preserve">【案例模型】</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案例需至少内置包含人脸识别门禁、光照度传感器、压力传感器、人体红外检测器、温湿度传感器、巡逻车、运输车散货卡车、前移式堆高机、叉车、大型运载卡车、无人叉车、二拖三厢式货车、挂式摄像头、烟感四跨板材下料线、二跨升降级标准节焊接线、膜包机、超大件涂装线、万能胶囊、塔机结构涂装线、二跨整标线等配套高精度三维模型。</w:t>
            </w:r>
            <w:r/>
          </w:p>
          <w:p>
            <w:pPr>
              <w:jc w:val="left"/>
              <w:rPr>
                <w:rFonts w:ascii="宋体;SimSun" w:hAnsi="宋体;SimSun" w:cs="宋体;SimSun"/>
                <w:bCs/>
                <w:color w:val="000000"/>
                <w:sz w:val="20"/>
                <w:szCs w:val="20"/>
                <w:highlight w:val="none"/>
              </w:rPr>
            </w:pPr>
            <w:r>
              <w:rPr>
                <w:rFonts w:hint="eastAsia" w:ascii="宋体;SimSun" w:hAnsi="宋体;SimSun" w:cs="宋体;SimSun"/>
                <w:bCs/>
                <w:color w:val="000000"/>
                <w:sz w:val="20"/>
                <w:szCs w:val="20"/>
                <w:highlight w:val="none"/>
              </w:rPr>
              <w:t xml:space="preserve">【案例内容】</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1、厂区概览业务：厂区三维展示，包含三维场景、工厂简介、工厂荣誉、售卖统计等二三维详细内容叠加展示；</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2、厂区管理业务：三维形式展示厂区运转流程，同时叠加厂区用水、用电、厂区监控等多维度数据；</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3、物流管理业务：二三维结合展示产品及车辆、人员入场及出厂信息以及路线；</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4、仓储管理业务：可对各原料仓进行定向信息查看，如原材入仓时间、批号、材料、数量、存储使用率等核心数据；</w:t>
            </w:r>
            <w:r/>
          </w:p>
          <w:p>
            <w:pPr>
              <w:jc w:val="left"/>
              <w:rPr>
                <w:rFonts w:hint="eastAsia"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5、生产管理业务：支持按车间进行生产状况的分类查看，含：原材处理(含初处理、精处理、原材切割、暂存区)、生产车间(≥4类产线)、喷漆车间（大喷漆、普喷漆）、成品处理等至少4大类核心车间。</w:t>
            </w:r>
            <w:r/>
          </w:p>
        </w:tc>
      </w:tr>
      <w:tr>
        <w:trPr>
          <w:jc w:val="center"/>
        </w:trPr>
        <w:tc>
          <w:tcPr>
            <w:shd w:val="clear" w:color="auto" w:fill="ffffff"/>
            <w:tcBorders>
              <w:top w:val="single" w:color="000000" w:sz="4" w:space="0"/>
              <w:left w:val="single" w:color="000000" w:sz="12" w:space="0"/>
              <w:bottom w:val="single" w:color="000000" w:sz="12"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7</w:t>
            </w:r>
            <w:r/>
          </w:p>
        </w:tc>
        <w:tc>
          <w:tcPr>
            <w:shd w:val="clear" w:color="auto" w:fill="ffffff"/>
            <w:tcBorders>
              <w:top w:val="single" w:color="000000" w:sz="4" w:space="0"/>
              <w:left w:val="single" w:color="000000" w:sz="4" w:space="0"/>
              <w:bottom w:val="single" w:color="000000" w:sz="12"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数字孪生基础课程</w:t>
            </w:r>
            <w:r/>
          </w:p>
        </w:tc>
        <w:tc>
          <w:tcPr>
            <w:shd w:val="clear" w:color="auto" w:fill="ffffff"/>
            <w:tcBorders>
              <w:top w:val="single" w:color="000000" w:sz="4" w:space="0"/>
              <w:left w:val="single" w:color="000000" w:sz="4" w:space="0"/>
              <w:bottom w:val="single" w:color="000000" w:sz="12"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【课程定位】</w:t>
            </w:r>
            <w:r/>
          </w:p>
          <w:p>
            <w:pPr>
              <w:pStyle w:val="681"/>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课程内容包含建筑结构基础搭建课程、零代码基础课程和零代码实施技巧课。不少于30个视频，可支撑32个教学时，提供配套PPT及实训任务指导书。为方便老师备课，</w:t>
            </w:r>
            <w:r>
              <w:rPr>
                <w:rFonts w:ascii="宋体" w:hAnsi="宋体" w:cs="宋体"/>
                <w:color w:val="000000"/>
                <w:sz w:val="20"/>
                <w:szCs w:val="20"/>
                <w:highlight w:val="none"/>
              </w:rPr>
              <w:t xml:space="preserve">课程资源支持以U盘方式交付</w:t>
            </w:r>
            <w:r>
              <w:rPr>
                <w:rFonts w:hint="eastAsia" w:ascii="宋体" w:hAnsi="宋体" w:cs="宋体"/>
                <w:color w:val="000000"/>
                <w:sz w:val="20"/>
                <w:szCs w:val="20"/>
                <w:highlight w:val="none"/>
              </w:rPr>
              <w:t xml:space="preserve">。</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【课程内容】</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课程内容包含数字孪生基础理论课程、数字孪生场景搭建课程、零代码基础课程和零代码实施技巧课。不少于30个视频，可支撑32个教学时，提供配套PPT及实训任务指导书，课程大纲如下：</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1、数字孪生概论</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 什么是数字孪生</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数字孪生的发展历程</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 数字孪生的分类和组成要素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 数字孪生的底层技术栈</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 数字孪生的未来发展趋势</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2、数字孪生场景搭建</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 场景搭建基本功能介绍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室外场景搭建实操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 室内场景搭建实操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3、数字孪生敏捷交付入门</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 场景创建</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模型管理</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 孪生体管理</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 园区点位摆放</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 孪生体集合</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 标记配置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 孪生体面板配置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 场景控制</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 场景图层配置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 业务配置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 模拟数据告警推送</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 图表配置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 事件与操作集配置</w:t>
            </w:r>
            <w:r/>
          </w:p>
          <w:p>
            <w:pPr>
              <w:jc w:val="left"/>
              <w:rPr>
                <w:rFonts w:ascii="宋体;SimSun" w:hAnsi="宋体;SimSun" w:cs="宋体;SimSun"/>
                <w:color w:val="000000"/>
                <w:sz w:val="20"/>
                <w:szCs w:val="20"/>
                <w:highlight w:val="none"/>
              </w:rPr>
            </w:pPr>
            <w:r>
              <w:rPr>
                <w:rFonts w:hint="eastAsia" w:ascii="宋体" w:hAnsi="宋体" w:cs="宋体"/>
                <w:color w:val="000000"/>
                <w:sz w:val="20"/>
                <w:szCs w:val="20"/>
                <w:highlight w:val="none"/>
              </w:rPr>
              <w:t xml:space="preserve">（14） 效果/背景配置</w:t>
            </w:r>
            <w:r/>
          </w:p>
        </w:tc>
      </w:tr>
    </w:tbl>
    <w:p>
      <w:pPr>
        <w:pStyle w:val="704"/>
        <w:numPr>
          <w:ilvl w:val="0"/>
          <w:numId w:val="9"/>
        </w:numPr>
        <w:spacing w:before="0" w:beforeAutospacing="0" w:after="0" w:afterAutospacing="0" w:line="360"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采购标的的数量、采购项目交付或者实施的时间和地点；</w:t>
      </w:r>
      <w:r/>
    </w:p>
    <w:tbl>
      <w:tblPr>
        <w:tblStyle w:val="677"/>
        <w:tblW w:w="9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4254"/>
        <w:gridCol w:w="1610"/>
        <w:gridCol w:w="1555"/>
      </w:tblGrid>
      <w:tr>
        <w:trPr>
          <w:jc w:val="center"/>
          <w:trHeight w:val="190"/>
        </w:trPr>
        <w:tc>
          <w:tcPr>
            <w:shd w:val="clear" w:color="auto" w:fill="ffffff"/>
            <w:tcBorders>
              <w:top w:val="single" w:color="000000" w:sz="12" w:space="0"/>
              <w:left w:val="single" w:color="000000" w:sz="12" w:space="0"/>
            </w:tcBorders>
            <w:tcW w:w="1627" w:type="dxa"/>
            <w:vAlign w:val="center"/>
            <w:textDirection w:val="lrTb"/>
            <w:noWrap w:val="false"/>
          </w:tcPr>
          <w:p>
            <w:pPr>
              <w:jc w:val="center"/>
              <w:spacing w:after="160"/>
              <w:rPr>
                <w:rFonts w:ascii="宋体" w:hAnsi="Calibri" w:cs="宋体"/>
                <w:b/>
                <w:color w:val="000000"/>
                <w:sz w:val="22"/>
                <w:szCs w:val="21"/>
                <w:highlight w:val="none"/>
              </w:rPr>
            </w:pPr>
            <w:r>
              <w:rPr>
                <w:rFonts w:hint="eastAsia" w:ascii="宋体" w:hAnsi="宋体" w:cs="宋体"/>
                <w:b/>
                <w:color w:val="000000"/>
                <w:sz w:val="22"/>
                <w:szCs w:val="21"/>
                <w:highlight w:val="none"/>
              </w:rPr>
              <w:t xml:space="preserve">序号</w:t>
            </w:r>
            <w:r/>
          </w:p>
        </w:tc>
        <w:tc>
          <w:tcPr>
            <w:shd w:val="clear" w:color="auto" w:fill="ffffff"/>
            <w:tcBorders>
              <w:top w:val="single" w:color="000000" w:sz="12" w:space="0"/>
            </w:tcBorders>
            <w:tcW w:w="4254" w:type="dxa"/>
            <w:vAlign w:val="center"/>
            <w:textDirection w:val="lrTb"/>
            <w:noWrap w:val="false"/>
          </w:tcPr>
          <w:p>
            <w:pPr>
              <w:jc w:val="center"/>
              <w:spacing w:after="160"/>
              <w:widowControl/>
              <w:rPr>
                <w:rFonts w:ascii="宋体" w:hAnsi="Calibri" w:cs="宋体"/>
                <w:b/>
                <w:color w:val="000000"/>
                <w:sz w:val="22"/>
                <w:szCs w:val="21"/>
                <w:highlight w:val="none"/>
              </w:rPr>
            </w:pPr>
            <w:r>
              <w:rPr>
                <w:rFonts w:hint="eastAsia" w:ascii="宋体" w:hAnsi="宋体" w:cs="宋体"/>
                <w:b/>
                <w:color w:val="000000"/>
                <w:sz w:val="22"/>
                <w:szCs w:val="21"/>
                <w:highlight w:val="none"/>
                <w:lang w:bidi="ar"/>
              </w:rPr>
              <w:t xml:space="preserve">设备名称</w:t>
            </w:r>
            <w:r/>
          </w:p>
        </w:tc>
        <w:tc>
          <w:tcPr>
            <w:shd w:val="clear" w:color="auto" w:fill="ffffff"/>
            <w:tcBorders>
              <w:top w:val="single" w:color="000000" w:sz="12" w:space="0"/>
            </w:tcBorders>
            <w:tcW w:w="1610" w:type="dxa"/>
            <w:vAlign w:val="center"/>
            <w:textDirection w:val="lrTb"/>
            <w:noWrap w:val="false"/>
          </w:tcPr>
          <w:p>
            <w:pPr>
              <w:jc w:val="center"/>
              <w:spacing w:after="160"/>
              <w:widowControl/>
              <w:rPr>
                <w:rFonts w:ascii="宋体" w:hAnsi="Calibri" w:cs="宋体"/>
                <w:b/>
                <w:color w:val="000000"/>
                <w:sz w:val="22"/>
                <w:szCs w:val="21"/>
                <w:highlight w:val="none"/>
              </w:rPr>
            </w:pPr>
            <w:r>
              <w:rPr>
                <w:rFonts w:hint="eastAsia" w:ascii="宋体" w:hAnsi="宋体" w:cs="宋体"/>
                <w:b/>
                <w:color w:val="000000"/>
                <w:sz w:val="22"/>
                <w:szCs w:val="21"/>
                <w:highlight w:val="none"/>
                <w:lang w:bidi="ar"/>
              </w:rPr>
              <w:t xml:space="preserve">单位</w:t>
            </w:r>
            <w:r/>
          </w:p>
        </w:tc>
        <w:tc>
          <w:tcPr>
            <w:shd w:val="clear" w:color="auto" w:fill="ffffff"/>
            <w:tcBorders>
              <w:top w:val="single" w:color="000000" w:sz="12" w:space="0"/>
              <w:right w:val="single" w:color="000000" w:sz="12" w:space="0"/>
            </w:tcBorders>
            <w:tcW w:w="1555" w:type="dxa"/>
            <w:vAlign w:val="center"/>
            <w:textDirection w:val="lrTb"/>
            <w:noWrap w:val="false"/>
          </w:tcPr>
          <w:p>
            <w:pPr>
              <w:jc w:val="center"/>
              <w:spacing w:after="160"/>
              <w:widowControl/>
              <w:rPr>
                <w:rFonts w:ascii="宋体" w:hAnsi="Calibri" w:cs="宋体"/>
                <w:b/>
                <w:color w:val="000000"/>
                <w:sz w:val="22"/>
                <w:szCs w:val="21"/>
                <w:highlight w:val="none"/>
              </w:rPr>
            </w:pPr>
            <w:r>
              <w:rPr>
                <w:rFonts w:hint="eastAsia" w:ascii="宋体" w:hAnsi="宋体" w:cs="宋体"/>
                <w:b/>
                <w:color w:val="000000"/>
                <w:sz w:val="22"/>
                <w:szCs w:val="21"/>
                <w:highlight w:val="none"/>
                <w:lang w:bidi="ar"/>
              </w:rPr>
              <w:t xml:space="preserve">数量</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ascii="宋体" w:hAnsi="宋体" w:cs="宋体"/>
                <w:color w:val="000000"/>
                <w:sz w:val="22"/>
                <w:szCs w:val="21"/>
                <w:highlight w:val="none"/>
              </w:rPr>
              <w:t xml:space="preserve">1</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工业级传感器实训箱</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10</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2</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数字孪生实训平台</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3</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园区搭建系统</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4</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物联网接口系统</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5</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数字孪生实训系统-数字孪生模型资源包</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6</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智慧工厂场景案例</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bottom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7</w:t>
            </w:r>
            <w:r/>
          </w:p>
        </w:tc>
        <w:tc>
          <w:tcPr>
            <w:shd w:val="clear" w:color="auto" w:fill="ffffff"/>
            <w:tcBorders>
              <w:bottom w:val="single" w:color="000000" w:sz="12" w:space="0"/>
            </w:tcBorders>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数字孪生基础课程</w:t>
            </w:r>
            <w:r/>
          </w:p>
        </w:tc>
        <w:tc>
          <w:tcPr>
            <w:shd w:val="clear" w:color="auto" w:fill="ffffff"/>
            <w:tcBorders>
              <w:bottom w:val="single" w:color="000000" w:sz="12" w:space="0"/>
            </w:tcBorders>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bottom w:val="single" w:color="000000" w:sz="12" w:space="0"/>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bl>
    <w:p>
      <w:pPr>
        <w:pStyle w:val="704"/>
        <w:ind w:left="437" w:firstLine="0"/>
        <w:keepLines w:val="0"/>
        <w:keepNext w:val="0"/>
        <w:pageBreakBefore w:val="0"/>
        <w:spacing w:before="0" w:beforeAutospacing="0" w:after="0" w:afterAutospacing="0" w:line="324" w:lineRule="auto"/>
        <w:widowControl/>
        <w:rPr>
          <w:rFonts w:hint="eastAsia" w:ascii="宋体" w:hAnsi="宋体" w:eastAsia="宋体" w:cs="宋体"/>
          <w:sz w:val="22"/>
          <w:szCs w:val="22"/>
          <w:highlight w:val="none"/>
          <w:shd w:val="clear" w:color="auto" w:fill="ffffff"/>
          <w:lang w:eastAsia="zh-CN"/>
        </w:rPr>
      </w:pPr>
      <w:r>
        <w:rPr>
          <w:rFonts w:hint="eastAsia" w:ascii="宋体" w:hAnsi="宋体" w:cs="宋体"/>
          <w:sz w:val="22"/>
          <w:szCs w:val="22"/>
          <w:highlight w:val="none"/>
          <w:shd w:val="clear" w:color="auto" w:fill="ffffff"/>
        </w:rPr>
        <w:t xml:space="preserve">采购项目交付时间：</w:t>
      </w:r>
      <w:r>
        <w:rPr>
          <w:rFonts w:hint="eastAsia"/>
          <w:sz w:val="22"/>
          <w:szCs w:val="22"/>
          <w:highlight w:val="none"/>
        </w:rPr>
        <w:t xml:space="preserve">自合同订立之日起10天</w:t>
      </w:r>
      <w:r>
        <w:rPr>
          <w:rFonts w:hint="eastAsia"/>
          <w:sz w:val="22"/>
          <w:szCs w:val="22"/>
          <w:highlight w:val="none"/>
          <w:lang w:val="en-US" w:eastAsia="zh-CN"/>
        </w:rPr>
        <w:t xml:space="preserve">内。</w:t>
      </w:r>
      <w:r>
        <w:rPr>
          <w:rFonts w:hint="eastAsia" w:ascii="宋体" w:hAnsi="宋体" w:cs="宋体"/>
          <w:sz w:val="22"/>
          <w:szCs w:val="22"/>
          <w:highlight w:val="none"/>
          <w:shd w:val="clear" w:color="auto" w:fill="ffffff"/>
        </w:rPr>
        <w:br/>
      </w:r>
      <w:r>
        <w:rPr>
          <w:rFonts w:hint="eastAsia" w:ascii="宋体" w:hAnsi="宋体" w:cs="宋体"/>
          <w:sz w:val="22"/>
          <w:szCs w:val="22"/>
          <w:highlight w:val="none"/>
          <w:shd w:val="clear" w:color="auto" w:fill="ffffff"/>
        </w:rPr>
        <w:t xml:space="preserve">采购项目交付地点：用户指定地点</w:t>
      </w:r>
      <w:r>
        <w:rPr>
          <w:rFonts w:hint="eastAsia" w:cs="宋体"/>
          <w:sz w:val="22"/>
          <w:szCs w:val="22"/>
          <w:highlight w:val="none"/>
          <w:shd w:val="clear" w:color="auto" w:fill="ffffff"/>
          <w:lang w:eastAsia="zh-CN"/>
        </w:rPr>
        <w:t xml:space="preserve">。</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采购标的需满足的服务标准、期限、效率等要求</w:t>
      </w:r>
      <w:r>
        <w:rPr>
          <w:rFonts w:hint="eastAsia" w:ascii="黑体" w:hAnsi="黑体" w:eastAsia="黑体" w:cs="黑体"/>
          <w:sz w:val="22"/>
          <w:szCs w:val="22"/>
          <w:highlight w:val="none"/>
          <w:shd w:val="clear" w:color="auto" w:fill="ffffff"/>
          <w:lang w:eastAsia="zh-CN"/>
        </w:rPr>
        <w:t xml:space="preserve">。</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1、质保期限：提供原厂免费质保期的期限为一年，从验收合格之日起计算。</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2、在质保期内，供应商应负责对其提供的设备材料进行现场维修、损坏件更换，不收取额外费用。所有货物保修服务方式均为供应商上门保修，由供应商派员到货物使用现场维修，所产生的一切费用由供应商承担。</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3、供应商提供的货物未达到招标文件规定要求或供货延误，对采购人造成损失的，由供应商承担一切责任，并依据合同条款赔偿所造成的损失。</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4、售后服务：所投设备须提供原厂电话技术支持，故障响应及恢复时间为48小时内到达现场，72小时内排除问题。</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采购标的的验收标准</w:t>
      </w:r>
      <w:r>
        <w:rPr>
          <w:rFonts w:hint="eastAsia" w:ascii="黑体" w:hAnsi="黑体" w:eastAsia="黑体" w:cs="黑体"/>
          <w:sz w:val="22"/>
          <w:szCs w:val="22"/>
          <w:highlight w:val="none"/>
          <w:shd w:val="clear" w:color="auto" w:fill="ffffff"/>
          <w:lang w:eastAsia="zh-CN"/>
        </w:rPr>
        <w:t xml:space="preserve">。</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根据国家有关规定、采购人采购文件的要求、采购供应商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采购标的的其他技术、服务等要求。</w:t>
      </w:r>
      <w:r/>
    </w:p>
    <w:p>
      <w:pPr>
        <w:rPr>
          <w:rFonts w:hint="eastAsia" w:ascii="宋体" w:hAnsi="宋体" w:eastAsia="宋体" w:cs="宋体"/>
          <w:b/>
          <w:color w:val="000000" w:themeColor="text1"/>
          <w:sz w:val="44"/>
          <w:szCs w:val="44"/>
          <w:highlight w:val="none"/>
          <w:lang w:val="en-US" w:eastAsia="zh-CN"/>
          <w14:textFill>
            <w14:solidFill>
              <w14:schemeClr w14:val="tx1"/>
            </w14:solidFill>
          </w14:textFill>
        </w:rPr>
      </w:pPr>
      <w:r>
        <w:rPr>
          <w:rFonts w:hint="eastAsia"/>
          <w:sz w:val="22"/>
          <w:szCs w:val="22"/>
          <w:highlight w:val="none"/>
        </w:rPr>
        <w:t xml:space="preserve">采购人有权要求中标供应商在合同签订前提供完整产品的现场演示，所有提供的证明材料原件备查，如不能提供或伪造材料视为虚假应标，采购人会将供应商违约的情况及时书面报政府采购监管部门，由此产生的一切后果由供应商负责，赔偿采购人损失并承担相应法律责任。</w:t>
      </w:r>
      <w:r>
        <w:rPr>
          <w:rFonts w:hint="eastAsia" w:ascii="宋体" w:hAnsi="宋体" w:eastAsia="宋体" w:cs="宋体"/>
          <w:b/>
          <w:color w:val="000000" w:themeColor="text1"/>
          <w:sz w:val="44"/>
          <w:szCs w:val="44"/>
          <w:highlight w:val="none"/>
          <w:lang w:val="en-US" w:eastAsia="zh-CN"/>
          <w14:textFill>
            <w14:solidFill>
              <w14:schemeClr w14:val="tx1"/>
            </w14:solidFill>
          </w14:textFill>
        </w:rPr>
        <w:br w:type="page" w:clear="all"/>
      </w:r>
      <w:r/>
    </w:p>
    <w:p>
      <w:pPr>
        <w:pStyle w:val="667"/>
        <w:jc w:val="center"/>
        <w:keepLines/>
        <w:keepNext/>
        <w:pageBreakBefore w:val="0"/>
        <w:spacing w:before="240" w:after="240"/>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第四部分</w:t>
      </w:r>
      <w:r>
        <w:rPr>
          <w:rFonts w:hint="eastAsia" w:ascii="宋体" w:hAnsi="宋体" w:cs="宋体"/>
          <w:b/>
          <w:color w:val="000000" w:themeColor="text1"/>
          <w:sz w:val="44"/>
          <w:szCs w:val="44"/>
          <w:highlight w:val="none"/>
          <w14:textFill>
            <w14:solidFill>
              <w14:schemeClr w14:val="tx1"/>
            </w14:solidFill>
          </w14:textFill>
        </w:rPr>
        <w:t xml:space="preserve">．合同书</w:t>
      </w:r>
      <w:r/>
    </w:p>
    <w:p>
      <w:pPr>
        <w:pStyle w:val="690"/>
        <w:jc w:val="center"/>
        <w:spacing w:before="120" w:after="120"/>
        <w:rPr>
          <w:rFonts w:hint="eastAsia"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无锡职业技术大学货物</w:t>
      </w:r>
      <w:r>
        <w:rPr>
          <w:rFonts w:hAnsi="宋体"/>
          <w:b/>
          <w:color w:val="000000" w:themeColor="text1"/>
          <w:sz w:val="44"/>
          <w:szCs w:val="44"/>
          <w:highlight w:val="none"/>
          <w14:textFill>
            <w14:solidFill>
              <w14:schemeClr w14:val="tx1"/>
            </w14:solidFill>
          </w14:textFill>
        </w:rPr>
        <w:t xml:space="preserve">采购</w:t>
      </w:r>
      <w:r>
        <w:rPr>
          <w:rFonts w:hint="eastAsia" w:hAnsi="宋体"/>
          <w:b/>
          <w:color w:val="000000" w:themeColor="text1"/>
          <w:sz w:val="44"/>
          <w:szCs w:val="44"/>
          <w:highlight w:val="none"/>
          <w14:textFill>
            <w14:solidFill>
              <w14:schemeClr w14:val="tx1"/>
            </w14:solidFill>
          </w14:textFill>
        </w:rPr>
        <w:t xml:space="preserve">合同</w:t>
      </w:r>
      <w:r/>
    </w:p>
    <w:tbl>
      <w:tblPr>
        <w:tblStyle w:val="677"/>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690"/>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u w:val="single"/>
                <w14:textFill>
                  <w14:solidFill>
                    <w14:schemeClr w14:val="tx1"/>
                  </w14:solidFill>
                </w14:textFill>
              </w:rPr>
              <w:t xml:space="preserve">无锡职业技术大学</w:t>
            </w:r>
            <w:r/>
          </w:p>
        </w:tc>
        <w:tc>
          <w:tcPr>
            <w:tcW w:w="4536" w:type="dxa"/>
            <w:textDirection w:val="lrTb"/>
            <w:noWrap w:val="false"/>
          </w:tcPr>
          <w:p>
            <w:pPr>
              <w:pStyle w:val="690"/>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合同编号：</w:t>
            </w:r>
            <w:r/>
          </w:p>
        </w:tc>
      </w:tr>
      <w:tr>
        <w:trPr/>
        <w:tc>
          <w:tcPr>
            <w:tcW w:w="5240" w:type="dxa"/>
            <w:textDirection w:val="lrTb"/>
            <w:noWrap w:val="false"/>
          </w:tcPr>
          <w:p>
            <w:pPr>
              <w:pStyle w:val="690"/>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 </w:t>
            </w:r>
            <w:r/>
          </w:p>
        </w:tc>
        <w:tc>
          <w:tcPr>
            <w:tcW w:w="4536" w:type="dxa"/>
            <w:textDirection w:val="lrTb"/>
            <w:noWrap w:val="false"/>
          </w:tcPr>
          <w:p>
            <w:pPr>
              <w:pStyle w:val="690"/>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合同签约地：</w:t>
            </w:r>
            <w:r>
              <w:rPr>
                <w:rFonts w:hint="eastAsia" w:hAnsi="宋体"/>
                <w:color w:val="000000" w:themeColor="text1"/>
                <w:sz w:val="24"/>
                <w:szCs w:val="24"/>
                <w:highlight w:val="none"/>
                <w:u w:val="single"/>
                <w14:textFill>
                  <w14:solidFill>
                    <w14:schemeClr w14:val="tx1"/>
                  </w14:solidFill>
                </w14:textFill>
              </w:rPr>
              <w:t xml:space="preserve">无锡</w:t>
            </w:r>
            <w:r/>
          </w:p>
        </w:tc>
      </w:tr>
    </w:tbl>
    <w:p>
      <w:pPr>
        <w:pStyle w:val="690"/>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w:t>
      </w:r>
      <w:r>
        <w:rPr>
          <w:rFonts w:hint="eastAsia"/>
          <w:color w:val="000000" w:themeColor="text1"/>
          <w:sz w:val="24"/>
          <w:highlight w:val="none"/>
          <w14:textFill>
            <w14:solidFill>
              <w14:schemeClr w14:val="tx1"/>
            </w14:solidFill>
          </w14:textFill>
        </w:rPr>
        <w:t xml:space="preserve">《中华人民共和国政府采购法》、</w:t>
      </w:r>
      <w:r>
        <w:rPr>
          <w:color w:val="000000" w:themeColor="text1"/>
          <w:sz w:val="24"/>
          <w:highlight w:val="none"/>
          <w14:textFill>
            <w14:solidFill>
              <w14:schemeClr w14:val="tx1"/>
            </w14:solidFill>
          </w14:textFill>
        </w:rPr>
        <w:t xml:space="preserve">《中华人民共和国</w:t>
      </w:r>
      <w:r>
        <w:rPr>
          <w:rFonts w:hint="eastAsia"/>
          <w:color w:val="000000" w:themeColor="text1"/>
          <w:sz w:val="24"/>
          <w:highlight w:val="none"/>
          <w14:textFill>
            <w14:solidFill>
              <w14:schemeClr w14:val="tx1"/>
            </w14:solidFill>
          </w14:textFill>
        </w:rPr>
        <w:t xml:space="preserve">民法典</w:t>
      </w:r>
      <w:r>
        <w:rPr>
          <w:color w:val="000000" w:themeColor="text1"/>
          <w:sz w:val="24"/>
          <w:highlight w:val="none"/>
          <w14:textFill>
            <w14:solidFill>
              <w14:schemeClr w14:val="tx1"/>
            </w14:solidFill>
          </w14:textFill>
        </w:rPr>
        <w:t xml:space="preserve">》等法律、法规的规定，</w:t>
      </w:r>
      <w:bookmarkStart w:id="4" w:name="_Hlk68891350"/>
      <w:r>
        <w:rPr>
          <w:rFonts w:hint="eastAsia"/>
          <w:color w:val="000000" w:themeColor="text1"/>
          <w:sz w:val="24"/>
          <w:highlight w:val="none"/>
          <w14:textFill>
            <w14:solidFill>
              <w14:schemeClr w14:val="tx1"/>
            </w14:solidFill>
          </w14:textFill>
        </w:rPr>
        <w:t xml:space="preserve">甲、乙双方</w:t>
      </w:r>
      <w:r>
        <w:rPr>
          <w:color w:val="000000" w:themeColor="text1"/>
          <w:sz w:val="24"/>
          <w:highlight w:val="none"/>
          <w14:textFill>
            <w14:solidFill>
              <w14:schemeClr w14:val="tx1"/>
            </w14:solidFill>
          </w14:textFill>
        </w:rPr>
        <w:t xml:space="preserve">依据</w:t>
      </w:r>
      <w:bookmarkStart w:id="5" w:name="_Hlk50199808"/>
      <w:r/>
      <w:bookmarkEnd w:id="5"/>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编号）</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采购结果</w:t>
      </w:r>
      <w:bookmarkEnd w:id="4"/>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本着诚实守信</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友好协商的原则</w:t>
      </w:r>
      <w:r>
        <w:rPr>
          <w:rFonts w:hint="eastAsia"/>
          <w:color w:val="000000" w:themeColor="text1"/>
          <w:sz w:val="24"/>
          <w:highlight w:val="none"/>
          <w14:textFill>
            <w14:solidFill>
              <w14:schemeClr w14:val="tx1"/>
            </w14:solidFill>
          </w14:textFill>
        </w:rPr>
        <w:t xml:space="preserve">签署本合同。</w:t>
      </w:r>
      <w:r/>
    </w:p>
    <w:p>
      <w:pPr>
        <w:numPr>
          <w:ilvl w:val="0"/>
          <w:numId w:val="10"/>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货物清单及合同价款</w:t>
      </w:r>
      <w:r/>
    </w:p>
    <w:tbl>
      <w:tblPr>
        <w:tblStyle w:val="67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680"/>
        </w:trPr>
        <w:tc>
          <w:tcPr>
            <w:tcW w:w="675"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序号</w:t>
            </w:r>
            <w:r/>
          </w:p>
        </w:tc>
        <w:tc>
          <w:tcPr>
            <w:tcW w:w="1985"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名称</w:t>
            </w:r>
            <w:r/>
          </w:p>
        </w:tc>
        <w:tc>
          <w:tcPr>
            <w:tcW w:w="1276"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规格型号</w:t>
            </w:r>
            <w:r/>
          </w:p>
        </w:tc>
        <w:tc>
          <w:tcPr>
            <w:tcW w:w="992"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数量</w:t>
            </w:r>
            <w:r/>
          </w:p>
        </w:tc>
        <w:tc>
          <w:tcPr>
            <w:tcBorders>
              <w:right w:val="single" w:color="auto" w:sz="4" w:space="0"/>
            </w:tcBorders>
            <w:tcW w:w="1418"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93"/>
        </w:trPr>
        <w:tc>
          <w:tcPr>
            <w:gridSpan w:val="7"/>
            <w:tcW w:w="9749" w:type="dxa"/>
            <w:vAlign w:val="center"/>
            <w:textDirection w:val="lrTb"/>
            <w:noWrap w:val="false"/>
          </w:tcPr>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rPr>
                <w:rFonts w:hint="eastAsia"/>
                <w:color w:val="000000" w:themeColor="text1"/>
                <w:sz w:val="24"/>
                <w:highlight w:val="none"/>
                <w14:textFill>
                  <w14:solidFill>
                    <w14:schemeClr w14:val="tx1"/>
                  </w14:solidFill>
                </w14:textFill>
              </w:rPr>
              <w:t xml:space="preserve">总</w:t>
            </w:r>
            <w:r>
              <w:rPr>
                <w:color w:val="000000" w:themeColor="text1"/>
                <w:sz w:val="24"/>
                <w:highlight w:val="none"/>
                <w14:textFill>
                  <w14:solidFill>
                    <w14:schemeClr w14:val="tx1"/>
                  </w14:solidFill>
                </w14:textFill>
              </w:rPr>
              <w:t xml:space="preserve">金额</w:t>
            </w:r>
            <w:r>
              <w:rPr>
                <w:rFonts w:hint="eastAsia"/>
                <w:color w:val="000000" w:themeColor="text1"/>
                <w:sz w:val="24"/>
                <w:highlight w:val="none"/>
                <w14:textFill>
                  <w14:solidFill>
                    <w14:schemeClr w14:val="tx1"/>
                  </w14:solidFill>
                </w14:textFill>
              </w:rPr>
              <w:t xml:space="preserve">：大写人民币（大写）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rPr>
                <w:color w:val="000000" w:themeColor="text1"/>
                <w:sz w:val="24"/>
                <w:highlight w:val="none"/>
                <w14:textFill>
                  <w14:solidFill>
                    <w14:schemeClr w14:val="tx1"/>
                  </w14:solidFill>
                </w14:textFill>
              </w:rPr>
              <w:t xml:space="preserve">整</w:t>
            </w:r>
            <w:r/>
          </w:p>
          <w:p>
            <w:pPr>
              <w:ind w:firstLine="2880"/>
              <w:spacing w:line="360" w:lineRule="auto"/>
              <w:rPr>
                <w:rFonts w:hint="eastAsia"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tc>
      </w:tr>
    </w:tbl>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单价合同：合同有效期内单价固定不变，</w:t>
      </w:r>
      <w:r>
        <w:rPr>
          <w:rFonts w:hint="eastAsia"/>
          <w:color w:val="000000" w:themeColor="text1"/>
          <w:sz w:val="24"/>
          <w:highlight w:val="none"/>
          <w:u w:val="single"/>
          <w14:textFill>
            <w14:solidFill>
              <w14:schemeClr w14:val="tx1"/>
            </w14:solidFill>
          </w14:textFill>
        </w:rPr>
        <w:t xml:space="preserve">货物总价款为现场实际所用货物合价，即货物总价=单价*货物数量（货物数量以甲方确认的数量为准）</w:t>
      </w:r>
      <w:r>
        <w:rPr>
          <w:rFonts w:hint="eastAsia"/>
          <w:color w:val="000000" w:themeColor="text1"/>
          <w:sz w:val="24"/>
          <w:highlight w:val="none"/>
          <w14:textFill>
            <w14:solidFill>
              <w14:schemeClr w14:val="tx1"/>
            </w14:solidFill>
          </w14:textFill>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第二条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第三条  质量保证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所提供的货物的技术规格应在满足甲方采购文件的前提下、与乙方投标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000000" w:themeColor="text1"/>
          <w:sz w:val="24"/>
          <w:highlight w:val="none"/>
          <w14:textFill>
            <w14:solidFill>
              <w14:schemeClr w14:val="tx1"/>
            </w14:solidFill>
          </w14:textFill>
        </w:rPr>
        <w:t xml:space="preserve">2、乙方应保证货物是全新、未使用过的原装合格正品，并完全符合合同规定的质量、规格和性能的要</w:t>
      </w:r>
      <w:r>
        <w:rPr>
          <w:rFonts w:hint="eastAsia"/>
          <w:color w:val="auto"/>
          <w:sz w:val="24"/>
          <w:highlight w:val="none"/>
        </w:rPr>
        <w:t xml:space="preserve">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w:t>
      </w:r>
      <w:r>
        <w:rPr>
          <w:rFonts w:hint="eastAsia" w:ascii="宋体" w:hAnsi="宋体" w:cs="宋体"/>
          <w:b/>
          <w:color w:val="auto"/>
          <w:sz w:val="24"/>
          <w:highlight w:val="none"/>
        </w:rPr>
        <w:t xml:space="preserve">质量标准：</w:t>
      </w:r>
      <w:r>
        <w:rPr>
          <w:rFonts w:ascii="宋体" w:hAnsi="宋体" w:eastAsia="宋体" w:cs="宋体"/>
          <w:color w:val="auto"/>
          <w:sz w:val="24"/>
          <w:highlight w:val="none"/>
          <w:u w:val="single"/>
        </w:rPr>
        <w:t xml:space="preserve">符合国家验收标准，一次性验收通过，100%合格。</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2、每一包装单元内应附详细的装箱单、质量合格凭证以及其他必需的相关材料。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1、供货期：</w:t>
      </w:r>
      <w:r>
        <w:rPr>
          <w:rFonts w:hint="eastAsia"/>
          <w:color w:val="auto"/>
          <w:sz w:val="24"/>
          <w:highlight w:val="none"/>
          <w:u w:val="single"/>
        </w:rPr>
        <w:t xml:space="preserve">                         </w:t>
      </w:r>
      <w:r/>
    </w:p>
    <w:p>
      <w:pPr>
        <w:ind w:firstLine="72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甲方收货联系人：</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1、全部货物抵达现场后乙方应及时派人安装调试，并对甲方人员进行相关培训。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2、甲方应当在乙方安装调试完成后组织验收，特殊情况，甲乙双方协商解决。</w:t>
      </w:r>
      <w:r/>
    </w:p>
    <w:p>
      <w:pPr>
        <w:ind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3、货物和系统调试验收标准：根据国家有关规定、甲方采购文件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第七条  伴随服务／售后服务</w:t>
      </w:r>
      <w:r/>
    </w:p>
    <w:p>
      <w:pPr>
        <w:ind w:firstLine="480"/>
        <w:spacing w:line="360" w:lineRule="auto"/>
        <w:tabs>
          <w:tab w:val="left" w:pos="16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乙方应按</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w:t>
      </w:r>
      <w:r>
        <w:rPr>
          <w:rFonts w:hint="eastAsia"/>
          <w:color w:val="000000" w:themeColor="text1"/>
          <w:sz w:val="24"/>
          <w:highlight w:val="none"/>
          <w14:textFill>
            <w14:solidFill>
              <w14:schemeClr w14:val="tx1"/>
            </w14:solidFill>
          </w14:textFill>
        </w:rPr>
        <w:t xml:space="preserve">投标文件</w:t>
      </w:r>
      <w:r>
        <w:rPr>
          <w:color w:val="000000" w:themeColor="text1"/>
          <w:sz w:val="24"/>
          <w:highlight w:val="none"/>
          <w14:textFill>
            <w14:solidFill>
              <w14:schemeClr w14:val="tx1"/>
            </w14:solidFill>
          </w14:textFill>
        </w:rPr>
        <w:t xml:space="preserve">及乙方在询标、评标过程中做出的书面说明或承诺提供及时、快速、优质的</w:t>
      </w:r>
      <w:r>
        <w:rPr>
          <w:rFonts w:hint="eastAsia"/>
          <w:color w:val="000000" w:themeColor="text1"/>
          <w:sz w:val="24"/>
          <w:highlight w:val="none"/>
          <w14:textFill>
            <w14:solidFill>
              <w14:schemeClr w14:val="tx1"/>
            </w14:solidFill>
          </w14:textFill>
        </w:rPr>
        <w:t xml:space="preserve">伴随服务／售后服务</w:t>
      </w:r>
      <w:r>
        <w:rPr>
          <w:color w:val="000000" w:themeColor="text1"/>
          <w:sz w:val="24"/>
          <w:highlight w:val="none"/>
          <w14:textFill>
            <w14:solidFill>
              <w14:schemeClr w14:val="tx1"/>
            </w14:solidFill>
          </w14:textFill>
        </w:rPr>
        <w:t xml:space="preserve">。</w:t>
      </w:r>
      <w:r/>
    </w:p>
    <w:p>
      <w:pPr>
        <w:ind w:firstLine="480"/>
        <w:spacing w:line="360" w:lineRule="auto"/>
        <w:tabs>
          <w:tab w:val="left" w:pos="1620"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第八条  货款支付</w:t>
      </w:r>
      <w:r/>
    </w:p>
    <w:p>
      <w:pPr>
        <w:ind w:firstLine="480"/>
        <w:jc w:val="left"/>
        <w:spacing w:before="0" w:beforeAutospacing="0" w:after="0" w:afterAutospacing="0" w:line="360" w:lineRule="auto"/>
        <w:widowControl/>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 xml:space="preserve">合同签订后，货到安装完毕验收合格后，支付全部货款的90%，自验收合格之日起一年后，无质量问题，一次性无息付款剩余的10%货款。</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1、如乙方不能交付货物，应向甲方支付合同总价</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%的违约金。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2、乙方逾期交付货物的，每逾期1天，乙方向甲方偿付</w:t>
      </w:r>
      <w:r>
        <w:rPr>
          <w:rFonts w:hint="eastAsia" w:ascii="宋体" w:hAnsi="宋体"/>
          <w:color w:val="000000" w:themeColor="text1"/>
          <w:sz w:val="24"/>
          <w:highlight w:val="none"/>
          <w14:textFill>
            <w14:solidFill>
              <w14:schemeClr w14:val="tx1"/>
            </w14:solidFill>
          </w14:textFill>
        </w:rPr>
        <w:t xml:space="preserve">2000元/天</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滞纳金。如乙方逾期交货达10天，甲方有权解除合同，解除合同的通知自到达乙方时生效。</w:t>
      </w:r>
      <w:r>
        <w:rPr>
          <w:color w:val="000000" w:themeColor="text1"/>
          <w:sz w:val="24"/>
          <w:highlight w:val="none"/>
          <w14:textFill>
            <w14:solidFill>
              <w14:schemeClr w14:val="tx1"/>
            </w14:solidFill>
          </w14:textFill>
        </w:rPr>
        <w:t xml:space="preserve">且甲方不承担任何责任</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如甲方解除合同的</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乙方应向甲方支付合同总价款</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3、乙方所交付的数量不符合合同</w:t>
      </w:r>
      <w:r>
        <w:rPr>
          <w:color w:val="000000" w:themeColor="text1"/>
          <w:sz w:val="24"/>
          <w:highlight w:val="none"/>
          <w14:textFill>
            <w14:solidFill>
              <w14:schemeClr w14:val="tx1"/>
            </w14:solidFill>
          </w14:textFill>
        </w:rPr>
        <w:t xml:space="preserve">约定</w:t>
      </w:r>
      <w:r>
        <w:rPr>
          <w:rFonts w:hint="eastAsia"/>
          <w:color w:val="000000" w:themeColor="text1"/>
          <w:sz w:val="24"/>
          <w:highlight w:val="none"/>
          <w14:textFill>
            <w14:solidFill>
              <w14:schemeClr w14:val="tx1"/>
            </w14:solidFill>
          </w14:textFill>
        </w:rPr>
        <w:t xml:space="preserve">的，甲方有权拒收。甲方拒收的，乙方应向甲方支付货款总额5%的违约金。</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如乙方交付的货物质量不符合约定的</w:t>
      </w:r>
      <w:r>
        <w:rPr>
          <w:rFonts w:hint="eastAsia"/>
          <w:color w:val="000000" w:themeColor="text1"/>
          <w:sz w:val="24"/>
          <w:highlight w:val="none"/>
          <w14:textFill>
            <w14:solidFill>
              <w14:schemeClr w14:val="tx1"/>
            </w14:solidFill>
          </w14:textFill>
        </w:rPr>
        <w:t xml:space="preserve">，甲方有权拒收或要求</w:t>
      </w:r>
      <w:r>
        <w:rPr>
          <w:color w:val="000000" w:themeColor="text1"/>
          <w:sz w:val="24"/>
          <w:highlight w:val="none"/>
          <w14:textFill>
            <w14:solidFill>
              <w14:schemeClr w14:val="tx1"/>
            </w14:solidFill>
          </w14:textFill>
        </w:rPr>
        <w:t xml:space="preserve">乙方立即整改至验收合格的标准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同时乙方应向甲方支付货款总额</w:t>
      </w:r>
      <w:r>
        <w:rPr>
          <w:rFonts w:hint="eastAsia"/>
          <w:color w:val="000000" w:themeColor="text1"/>
          <w:sz w:val="24"/>
          <w:highlight w:val="none"/>
          <w14:textFill>
            <w14:solidFill>
              <w14:schemeClr w14:val="tx1"/>
            </w14:solidFill>
          </w14:textFill>
        </w:rPr>
        <w:t xml:space="preserve">5%的违约金。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在乙方承诺的或国家规定的质量保证期内（取两者中最长的期限），如经乙方两次维修或更换，货物仍不能达到合同约定的质量标准，甲方有权退货，乙方应退回全部货款，并按第1款处理，同时，乙方还须赔偿甲方因此遭受的损失。 </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5、乙方未按本合同的规定提供伴随服务/售后服务的，应按合同总价款的1%向甲方承担违约责任。 </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除不可抗力外，如果甲方没有按照本合同约定的付款方式付款，乙方可要求甲方支付违约金，违约金按每迟延付款一日的应付而未付款的0.1%计算，最高限额为本合同总价的10%；迟延付款的违约金计算数额达到前述最高限额之日起，乙方有权在要求甲方支付违约金的同时，书面通知甲方乙方单方解除本合同；（若因乙方未及时开具发票等问题导致逾期付款，则不承担违约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w:t>
      </w:r>
      <w:r>
        <w:rPr>
          <w:rFonts w:hint="eastAsia"/>
          <w:b/>
          <w:color w:val="000000" w:themeColor="text1"/>
          <w:sz w:val="24"/>
          <w:highlight w:val="none"/>
          <w:lang w:val="en-US" w:eastAsia="zh-CN"/>
          <w14:textFill>
            <w14:solidFill>
              <w14:schemeClr w14:val="tx1"/>
            </w14:solidFill>
          </w14:textFill>
        </w:rPr>
        <w:t xml:space="preserve">十</w:t>
      </w:r>
      <w:r>
        <w:rPr>
          <w:rFonts w:hint="eastAsia"/>
          <w:b/>
          <w:color w:val="000000" w:themeColor="text1"/>
          <w:sz w:val="24"/>
          <w:highlight w:val="none"/>
          <w14:textFill>
            <w14:solidFill>
              <w14:schemeClr w14:val="tx1"/>
            </w14:solidFill>
          </w14:textFill>
        </w:rPr>
        <w:t xml:space="preserve">条　</w:t>
      </w:r>
      <w:r>
        <w:rPr>
          <w:rFonts w:hint="eastAsia"/>
          <w:b/>
          <w:color w:val="000000" w:themeColor="text1"/>
          <w:sz w:val="24"/>
          <w:highlight w:val="none"/>
          <w:lang w:val="en-US" w:eastAsia="zh-CN"/>
          <w14:textFill>
            <w14:solidFill>
              <w14:schemeClr w14:val="tx1"/>
            </w14:solidFill>
          </w14:textFill>
        </w:rPr>
        <w:t xml:space="preserve">知识产权</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知识产权瑕疵担保</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zh-CN" w:eastAsia="zh-CN"/>
        </w:rPr>
        <w:t xml:space="preserve">应当保证，</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val="zh-CN" w:eastAsia="zh-CN"/>
        </w:rPr>
        <w:t xml:space="preserve">在使用、接受本合同服务（包含与服务相关的货物）或其任何一部分、其依本合同为</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val="zh-CN" w:eastAsia="zh-CN"/>
        </w:rPr>
        <w:t xml:space="preserve">提供服务过程中和/或其为</w:t>
      </w:r>
      <w:r>
        <w:rPr>
          <w:rFonts w:hint="eastAsia" w:ascii="宋体" w:hAnsi="宋体" w:eastAsia="宋体" w:cs="宋体"/>
          <w:sz w:val="24"/>
          <w:szCs w:val="24"/>
          <w:highlight w:val="none"/>
          <w:lang w:val="en-US" w:eastAsia="zh-CN"/>
        </w:rPr>
        <w:t xml:space="preserve">招标单位</w:t>
      </w:r>
      <w:r>
        <w:rPr>
          <w:rFonts w:hint="eastAsia" w:ascii="宋体" w:hAnsi="宋体" w:eastAsia="宋体" w:cs="宋体"/>
          <w:sz w:val="24"/>
          <w:szCs w:val="24"/>
          <w:highlight w:val="none"/>
          <w:lang w:val="zh-CN" w:eastAsia="zh-CN"/>
        </w:rPr>
        <w:t xml:space="preserve">提供的服务成果不侵犯任何第三人的合法权益。如果有人提出法律或行政程序(合称“侵权指控”)，声称</w:t>
      </w:r>
      <w:r>
        <w:rPr>
          <w:rFonts w:hint="eastAsia" w:ascii="宋体" w:hAnsi="宋体" w:eastAsia="宋体" w:cs="宋体"/>
          <w:sz w:val="24"/>
          <w:szCs w:val="24"/>
          <w:highlight w:val="none"/>
          <w:lang w:val="en-US" w:eastAsia="zh-CN"/>
        </w:rPr>
        <w:t xml:space="preserve">甲方/招标单位</w:t>
      </w:r>
      <w:r>
        <w:rPr>
          <w:rFonts w:hint="eastAsia" w:ascii="宋体" w:hAnsi="宋体" w:eastAsia="宋体" w:cs="宋体"/>
          <w:sz w:val="24"/>
          <w:szCs w:val="24"/>
          <w:highlight w:val="none"/>
          <w:lang w:val="zh-CN" w:eastAsia="zh-CN"/>
        </w:rPr>
        <w:t xml:space="preserve">侵犯了其专利权、版权、商标权和工业设计权等合法权益的，</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zh-CN" w:eastAsia="zh-CN"/>
        </w:rPr>
        <w:t xml:space="preserve">应当负责解决，并赔偿</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val="zh-CN" w:eastAsia="zh-CN"/>
        </w:rPr>
        <w:t xml:space="preserve">就此所承担的一切损失和费用，包括但不限于上述侵权指控中所产生的诉讼费用、合理的律师费用、调查费用、和解金额或生效法律文书中规定的赔偿金额。</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（2）如果在侵权指控的审理过程中有关机关禁止</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val="zh-CN" w:eastAsia="zh-CN"/>
        </w:rPr>
        <w:t xml:space="preserve">继续使用服务成果的部分或全部，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zh-CN" w:eastAsia="zh-CN"/>
        </w:rPr>
        <w:t xml:space="preserve">应当采取以下措施之一：</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1）使甲方重新免费获得使用上述服务成果的权利。</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2）免费更换或改造上述服务成果，使甲方不受上述禁令限制继续使用服务成果。</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3）其它使甲方对服务成果拥有合法使用权，或其它弥补甲方受损利益、实现合同目的的合理方式，且不得向甲方收取任何费用。</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乙方采取上述措施不能免除乙方就甲方因此遭受的损失进行赔偿的义务。</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知识产权归属</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乙方因履行本合同而产生的新的技术成果的知识产权归属甲方所有。本合同履行前已经存在的知识产权(包括但不限于专利、商标、著作权、商业秘密、集成电路布图设计)仍归乙方或原权利人所有，除为履行本合同及招标文件约定义务外，任何一方不得进行任何形式的复制、使用、分发、许可等损害对方权益的行为。</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（2）由甲方提供给乙方使用的源代码只允许在本项目内使用。</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乙方承诺，就本合同项下建设、运行及后续运营运维过程中，直接或间接产生、获取、整理、加工形成的软件代码、数据资产等，其所有权归属于甲方所有。未经甲方书面同意，乙方不得向第三方透露任何与本项目相关的资料和报告。</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（4）本项目所形成的数据成果归甲方所有。未经甲方同意，乙方不得以商业目的使用该资料或者开发和生产其他产品。</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（5）因提供的服务满足系统功能需要，乙方自行提供给甲方非专门针对上述(3)条所涉及成果内容的知识产权，仍归乙方所有，甲方具有使用权。</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一</w:t>
      </w:r>
      <w:r>
        <w:rPr>
          <w:rFonts w:hint="eastAsia"/>
          <w:b/>
          <w:color w:val="000000" w:themeColor="text1"/>
          <w:sz w:val="24"/>
          <w:highlight w:val="none"/>
          <w14:textFill>
            <w14:solidFill>
              <w14:schemeClr w14:val="tx1"/>
            </w14:solidFill>
          </w14:textFill>
        </w:rPr>
        <w:t xml:space="preserve">条  不可抗力</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 xml:space="preserve">、因不可抗力致使完全不能履行合同的，本协议终止，双方无须承担任何责任，但本协议另有规定的除外。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 xml:space="preserve">、因发生不可抗力致使部分不能履行本合同的（包括导致延期履行），根据不可抗力的影响，免除相应的责任，但本合同另有规定的除外。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、因合同一方延迟履行合同后发生不可抗力的，不能免除延迟履行方的相应责任。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二</w:t>
      </w:r>
      <w:r>
        <w:rPr>
          <w:rFonts w:hint="eastAsia"/>
          <w:b/>
          <w:color w:val="000000" w:themeColor="text1"/>
          <w:sz w:val="24"/>
          <w:highlight w:val="none"/>
          <w14:textFill>
            <w14:solidFill>
              <w14:schemeClr w14:val="tx1"/>
            </w14:solidFill>
          </w14:textFill>
        </w:rPr>
        <w:t xml:space="preserve">条 合同组成</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双方有关本项目的洽商、变更等书面协议或文件；采购文件（含招标文件、竞争性谈判文件、竞争性磋商文件、询价文件、单一来源谈判文件等）、投标文件、中标通知书；标准、规范及有关技术文件、技术要求；以及产品使用说明书、保修卡、合格证(随机送达)，以上均视为本合同的组成部分。</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三</w:t>
      </w:r>
      <w:r>
        <w:rPr>
          <w:rFonts w:hint="eastAsia"/>
          <w:b/>
          <w:color w:val="000000" w:themeColor="text1"/>
          <w:sz w:val="24"/>
          <w:highlight w:val="none"/>
          <w14:textFill>
            <w14:solidFill>
              <w14:schemeClr w14:val="tx1"/>
            </w14:solidFill>
          </w14:textFill>
        </w:rPr>
        <w:t xml:space="preserve">条　合同的变更和终止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本合同一经签订，甲乙双方不得擅自变更、中止或终止合同。</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四</w:t>
      </w:r>
      <w:r>
        <w:rPr>
          <w:rFonts w:hint="eastAsia"/>
          <w:b/>
          <w:color w:val="000000" w:themeColor="text1"/>
          <w:sz w:val="24"/>
          <w:highlight w:val="none"/>
          <w14:textFill>
            <w14:solidFill>
              <w14:schemeClr w14:val="tx1"/>
            </w14:solidFill>
          </w14:textFill>
        </w:rPr>
        <w:t xml:space="preserve">条　合同的转让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未经甲方书面同意，乙方不得擅自部分或全部转让其应履行的合同义务。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五</w:t>
      </w:r>
      <w:r>
        <w:rPr>
          <w:rFonts w:hint="eastAsia"/>
          <w:b/>
          <w:color w:val="000000" w:themeColor="text1"/>
          <w:sz w:val="24"/>
          <w:highlight w:val="none"/>
          <w14:textFill>
            <w14:solidFill>
              <w14:schemeClr w14:val="tx1"/>
            </w14:solidFill>
          </w14:textFill>
        </w:rPr>
        <w:t xml:space="preserve">条  争议的解决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六</w:t>
      </w:r>
      <w:r>
        <w:rPr>
          <w:rFonts w:hint="eastAsia"/>
          <w:b/>
          <w:color w:val="000000" w:themeColor="text1"/>
          <w:sz w:val="24"/>
          <w:highlight w:val="none"/>
          <w14:textFill>
            <w14:solidFill>
              <w14:schemeClr w14:val="tx1"/>
            </w14:solidFill>
          </w14:textFill>
        </w:rPr>
        <w:t xml:space="preserve">条  合同生效及其他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1、本合同自合同双方签字、盖章之日起生效。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2、本合同一式</w:t>
      </w:r>
      <w:r>
        <w:rPr>
          <w:color w:val="000000" w:themeColor="text1"/>
          <w:sz w:val="24"/>
          <w:highlight w:val="none"/>
          <w:u w:val="single"/>
          <w14:textFill>
            <w14:solidFill>
              <w14:schemeClr w14:val="tx1"/>
            </w14:solidFill>
          </w14:textFill>
        </w:rPr>
        <w:t xml:space="preserve"> 6</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份，乙方执</w:t>
      </w:r>
      <w:r>
        <w:rPr>
          <w:color w:val="000000" w:themeColor="text1"/>
          <w:sz w:val="24"/>
          <w:highlight w:val="none"/>
          <w:u w:val="single"/>
          <w14:textFill>
            <w14:solidFill>
              <w14:schemeClr w14:val="tx1"/>
            </w14:solidFill>
          </w14:textFill>
        </w:rPr>
        <w:t xml:space="preserve"> 2</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份，具同等法律效力。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r/>
    </w:p>
    <w:p>
      <w:pPr>
        <w:ind w:firstLine="5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r/>
    </w:p>
    <w:p>
      <w:pPr>
        <w:ind w:firstLine="720"/>
        <w:rPr>
          <w:rFonts w:hint="eastAsia" w:ascii="宋体" w:hAnsi="宋体" w:cs="宋体"/>
          <w:b/>
          <w:color w:val="000000" w:themeColor="text1"/>
          <w:sz w:val="44"/>
          <w:szCs w:val="4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w:t>
      </w:r>
      <w:r>
        <w:rPr>
          <w:rFonts w:hint="eastAsia" w:ascii="宋体" w:hAnsi="宋体" w:cs="宋体"/>
          <w:b/>
          <w:color w:val="000000" w:themeColor="text1"/>
          <w:sz w:val="44"/>
          <w:szCs w:val="44"/>
          <w:highlight w:val="none"/>
          <w14:textFill>
            <w14:solidFill>
              <w14:schemeClr w14:val="tx1"/>
            </w14:solidFill>
          </w14:textFill>
        </w:rPr>
        <w:br w:type="page" w:clear="all"/>
      </w:r>
      <w:r/>
    </w:p>
    <w:p>
      <w:pPr>
        <w:pStyle w:val="667"/>
        <w:jc w:val="center"/>
        <w:keepLines/>
        <w:keepNext/>
        <w:pageBreakBefore w:val="0"/>
        <w:spacing w:before="240" w:after="240"/>
        <w:widowControl w:val="off"/>
        <w:rPr>
          <w:rFonts w:hint="eastAsia" w:ascii="宋体" w:hAnsi="宋体" w:eastAsia="宋体" w:cs="宋体"/>
          <w:b/>
          <w:color w:val="000000" w:themeColor="text1"/>
          <w:sz w:val="44"/>
          <w:szCs w:val="44"/>
          <w:highlight w:val="none"/>
          <w:lang w:val="en-US" w:eastAsia="zh-CN"/>
          <w14:textFill>
            <w14:solidFill>
              <w14:schemeClr w14:val="tx1"/>
            </w14:solidFill>
          </w14:textFill>
        </w:rPr>
      </w:pP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第五部分．附件（投标文件格式）</w:t>
      </w:r>
      <w:r/>
    </w:p>
    <w:p>
      <w:pP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t xml:space="preserve">                </w:t>
      </w:r>
      <w:r>
        <w:rPr>
          <w:rFonts w:hint="eastAsia" w:ascii="宋体" w:hAnsi="宋体" w:cs="宋体"/>
          <w:b/>
          <w:color w:val="000000" w:themeColor="text1"/>
          <w:sz w:val="48"/>
          <w:szCs w:val="20"/>
          <w:highlight w:val="none"/>
          <w14:textFill>
            <w14:solidFill>
              <w14:schemeClr w14:val="tx1"/>
            </w14:solidFill>
          </w14:textFill>
        </w:rPr>
        <w:t xml:space="preserve">公开招标</w:t>
      </w:r>
      <w:r/>
    </w:p>
    <w:p>
      <w:pPr>
        <w:jc w:val="center"/>
        <w:spacing w:line="360" w:lineRule="auto"/>
        <w:rPr>
          <w:rFonts w:hint="eastAsia" w:ascii="宋体" w:hAnsi="宋体" w:cs="宋体"/>
          <w:b/>
          <w:color w:val="000000" w:themeColor="text1"/>
          <w:sz w:val="72"/>
          <w:szCs w:val="20"/>
          <w:highlight w:val="none"/>
          <w14:textFill>
            <w14:solidFill>
              <w14:schemeClr w14:val="tx1"/>
            </w14:solidFill>
          </w14:textFill>
        </w:rPr>
      </w:pPr>
      <w:r>
        <w:rPr>
          <w:rFonts w:hint="eastAsia" w:ascii="宋体" w:hAnsi="宋体" w:cs="宋体"/>
          <w:b/>
          <w:color w:val="000000" w:themeColor="text1"/>
          <w:sz w:val="72"/>
          <w:szCs w:val="20"/>
          <w:highlight w:val="none"/>
          <w14:textFill>
            <w14:solidFill>
              <w14:schemeClr w14:val="tx1"/>
            </w14:solidFill>
          </w14:textFill>
        </w:rPr>
        <w:t xml:space="preserve">投标文件</w:t>
      </w:r>
      <w:r/>
    </w:p>
    <w:p>
      <w:pP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spacing w:line="360" w:lineRule="auto"/>
        <w:rPr>
          <w:rFonts w:hint="eastAsia" w:ascii="宋体" w:hAnsi="宋体" w:cs="宋体"/>
          <w:b/>
          <w:color w:val="000000" w:themeColor="text1"/>
          <w:sz w:val="28"/>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采购编号：</w:t>
      </w:r>
      <w:r>
        <w:rPr>
          <w:rFonts w:hint="eastAsia" w:ascii="宋体" w:hAnsi="宋体" w:cs="宋体"/>
          <w:b/>
          <w:color w:val="000000" w:themeColor="text1"/>
          <w:sz w:val="28"/>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项目</w:t>
      </w:r>
      <w:r>
        <w:rPr>
          <w:rFonts w:hint="eastAsia" w:ascii="宋体" w:hAnsi="宋体" w:cs="宋体"/>
          <w:b/>
          <w:color w:val="000000" w:themeColor="text1"/>
          <w:sz w:val="30"/>
          <w:szCs w:val="20"/>
          <w:highlight w:val="none"/>
          <w14:textFill>
            <w14:solidFill>
              <w14:schemeClr w14:val="tx1"/>
            </w14:solidFill>
          </w14:textFill>
        </w:rPr>
        <w:t xml:space="preserve">名称：</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投标供应商：</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（盖公章）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法定代表人或</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其委托代理人：</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（签字或盖章）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日  期：</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年</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月</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日</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outlineLvl w:val="0"/>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（一）投标函（格式）</w:t>
      </w:r>
      <w:r/>
    </w:p>
    <w:p>
      <w:pPr>
        <w:jc w:val="center"/>
        <w:spacing w:before="4" w:line="360" w:lineRule="auto"/>
        <w:widowControl/>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投标函</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致：江苏万达工程造价事务所有限公司</w:t>
      </w:r>
      <w:r/>
    </w:p>
    <w:p>
      <w:pPr>
        <w:ind w:firstLine="480"/>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一、根据已收到的采购编号为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（采购项目名称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的公开招标文件，遵照国家法律、法规和规章的有关规定，我方经过踏勘现场和对招标文件等所有文件的研究后，我方愿按招标文件中的要求、技术规范、采购清单的条件承包本采购项目的完工。</w:t>
      </w:r>
      <w:r/>
    </w:p>
    <w:p>
      <w:pPr>
        <w:ind w:firstLine="480"/>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二、我方愿意提供江苏万达工程造价事务所有限公司在招标文件中要求的文件、资料。</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我方同意按招标文件中的规定，本投标文件投标的有效期限为投标截止日期之日起90天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四、如果我方的投标文件被接受，我方将履行招标文件中规定的每一项要求，按期、按质、按量，完成服务。</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五、我方认为你们有权决定中标供应商。</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我方愿意遵守《中华人民共和国政府采购法》，并按《中华人民共和国民法典》和合同条款履行自己的全部责任。在合同履行过程中，双方如有争议，由江苏万达工程造价事务所有限公司协调解决。如协商不能解决，双方可向无锡仲裁委员会按其仲裁规则申请仲裁，</w:t>
      </w:r>
      <w:r/>
    </w:p>
    <w:p>
      <w:pPr>
        <w:ind w:firstLine="48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七、我方认可并保证遵守招标文件的所有规定，放弃对招标文件提出质疑的权利。</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w:t>
      </w:r>
      <w:r>
        <w:rPr>
          <w:rFonts w:hint="eastAsia" w:ascii="宋体" w:hAnsi="宋体" w:cs="宋体"/>
          <w:color w:val="000000" w:themeColor="text1"/>
          <w:sz w:val="24"/>
          <w:highlight w:val="none"/>
          <w14:textFill>
            <w14:solidFill>
              <w14:schemeClr w14:val="tx1"/>
            </w14:solidFill>
          </w14:textFill>
        </w:rPr>
        <w:t xml:space="preserve">：（签字或盖章）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传真：</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邮编：</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开户账号：</w:t>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（二）关于资格的声明函(格式)</w:t>
      </w:r>
      <w:r/>
    </w:p>
    <w:p>
      <w:pPr>
        <w:rPr>
          <w:rFonts w:hint="eastAsia" w:ascii="宋体" w:hAnsi="宋体" w:cs="宋体"/>
          <w:bCs/>
          <w:color w:val="000000" w:themeColor="text1"/>
          <w:sz w:val="36"/>
          <w:highlight w:val="none"/>
          <w14:textFill>
            <w14:solidFill>
              <w14:schemeClr w14:val="tx1"/>
            </w14:solidFill>
          </w14:textFill>
        </w:rPr>
      </w:pPr>
      <w:r>
        <w:rPr>
          <w:rFonts w:hint="eastAsia" w:ascii="宋体" w:hAnsi="宋体" w:cs="宋体"/>
          <w:bCs/>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关于资格的声明函</w:t>
      </w:r>
      <w:r/>
    </w:p>
    <w:p>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江苏万达工程造价事务所有限公司：</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我公司(单位)愿针对本次项目</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进行投标。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若有违背，我公司(单位)愿意承担由此而产生的一切后果。</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法定代表人或其授权代表(签字或盖章)：</w:t>
      </w:r>
      <w:r/>
    </w:p>
    <w:p>
      <w:pPr>
        <w:rPr>
          <w:rFonts w:hint="eastAsia" w:ascii="宋体" w:hAnsi="宋体" w:cs="宋体"/>
          <w:bCs/>
          <w:color w:val="000000" w:themeColor="text1"/>
          <w:sz w:val="32"/>
          <w:szCs w:val="32"/>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（三）法定代表人授权委托书(格式)：</w:t>
      </w:r>
      <w:r/>
    </w:p>
    <w:p>
      <w:p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法定代表人授权委托书</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政府采购编号：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致：                              </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系中华人民共和国合法企业，特授权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身份证件号码：                电话：</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被授权人(签字或盖章)：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法定代表人(签字或盖章)：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1、若投标供应商为事业单位或其他组织或分支机构(仅限招标文件注明允许分支机构投标的情形),则法定代表人处的签字人可为单位负责人。</w:t>
      </w:r>
      <w:r/>
    </w:p>
    <w:p>
      <w:pPr>
        <w:ind w:firstLine="42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被授权人为法定代表人(或上述情况的单位负责人)时，被授权人相关内容填报为法定代表人(或上述情况的单位负责人)信息，“被授权人签字或盖章”处可不用再重复签字或盖章。如被授权人为法定代表人(或以下说明所述的单位负责人)时，则提供法定代表人(或以下说明所述的单位负责人)有效身份证。</w:t>
      </w:r>
      <w:r>
        <w:rPr>
          <w:rFonts w:hint="eastAsia" w:ascii="宋体" w:hAnsi="宋体" w:cs="宋体"/>
          <w:color w:val="000000" w:themeColor="text1"/>
          <w:szCs w:val="21"/>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投标供应商法定代表人身份证复印件：</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vert="horz" anchor="t" anchorCtr="0" upright="1"/>
                    </wps:wsp>
                  </a:graphicData>
                </a:graphic>
              </wp:inline>
            </w:drawing>
          </mc:Choice>
          <mc:Fallback>
            <w:pict>
              <v:shape id="shape 1" o:spid="_x0000_s1" o:spt="202" type="#_x0000_t202" style="width:221.0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vert="horz" anchor="t" anchorCtr="0" upright="1"/>
                    </wps:wsp>
                  </a:graphicData>
                </a:graphic>
              </wp:inline>
            </w:drawing>
          </mc:Choice>
          <mc:Fallback>
            <w:pict>
              <v:shape id="shape 2" o:spid="_x0000_s2" o:spt="202" type="#_x0000_t202" style="width:221.1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法定代表人授权代表身份证复印件：（</w:t>
      </w:r>
      <w:r>
        <w:rPr>
          <w:rFonts w:hint="eastAsia" w:ascii="宋体" w:hAnsi="宋体" w:cs="宋体"/>
          <w:b/>
          <w:bCs/>
          <w:color w:val="000000" w:themeColor="text1"/>
          <w:sz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3" o:spid="_x0000_s3" o:spt="202" type="#_x0000_t202" style="width:221.0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5"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4" o:spid="_x0000_s4" o:spt="202" type="#_x0000_t202" style="width:221.1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p>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（四）承诺书(格式)</w:t>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承诺书</w:t>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spacing w:line="48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（投标供应商名称）在此承诺：</w:t>
      </w:r>
      <w:r/>
    </w:p>
    <w:p>
      <w:pPr>
        <w:pStyle w:val="704"/>
        <w:ind w:firstLine="480"/>
        <w:jc w:val="both"/>
        <w:spacing w:before="0" w:beforeAutospacing="0" w:after="0" w:afterAutospacing="0"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我公司自愿参加贵单位（公司）</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法定代表人或其授权代表签字或盖章：</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（五）开标一览表（格式）</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开标一览表</w:t>
      </w:r>
      <w:r/>
    </w:p>
    <w:p>
      <w:pPr>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投标供应商（公章）：                                 政府采购编号：</w:t>
      </w:r>
      <w:r/>
    </w:p>
    <w:tbl>
      <w:tblPr>
        <w:tblStyle w:val="67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jc w:val="center"/>
          <w:trHeight w:val="850"/>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           元</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人民币(小写)：           元</w:t>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交货期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质量标准</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tabs>
                <w:tab w:val="left" w:pos="2255" w:leader="none"/>
              </w:tabs>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bl>
    <w:p>
      <w:pPr>
        <w:spacing w:before="24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法定代表人或授权委托人（签字或盖章）：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日期：   年   月   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填写说明：</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一览表中的内容应与</w:t>
      </w:r>
      <w:r>
        <w:rPr>
          <w:rFonts w:hint="eastAsia" w:ascii="宋体" w:hAnsi="宋体"/>
          <w:color w:val="000000" w:themeColor="text1"/>
          <w:highlight w:val="none"/>
          <w14:textFill>
            <w14:solidFill>
              <w14:schemeClr w14:val="tx1"/>
            </w14:solidFill>
          </w14:textFill>
        </w:rPr>
        <w:t xml:space="preserve">投标</w:t>
      </w:r>
      <w:r>
        <w:rPr>
          <w:rFonts w:ascii="宋体" w:hAnsi="宋体"/>
          <w:color w:val="000000" w:themeColor="text1"/>
          <w:highlight w:val="none"/>
          <w14:textFill>
            <w14:solidFill>
              <w14:schemeClr w14:val="tx1"/>
            </w14:solidFill>
          </w14:textFill>
        </w:rPr>
        <w:t xml:space="preserve">函内容一致，否则评标时一律按</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一览表中内容为准，</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一览表中必须盖章或签字</w:t>
      </w:r>
      <w:r>
        <w:rPr>
          <w:rFonts w:hint="eastAsia" w:ascii="宋体" w:hAnsi="宋体"/>
          <w:color w:val="000000" w:themeColor="text1"/>
          <w:highlight w:val="none"/>
          <w14:textFill>
            <w14:solidFill>
              <w14:schemeClr w14:val="tx1"/>
            </w14:solidFill>
          </w14:textFill>
        </w:rPr>
        <w:t xml:space="preserve">。</w:t>
      </w:r>
      <w:r/>
    </w:p>
    <w:p>
      <w:pPr>
        <w:ind w:firstLine="612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eastAsia="zh-CN"/>
          <w14:textFill>
            <w14:solidFill>
              <w14:schemeClr w14:val="tx1"/>
            </w14:solidFill>
          </w14:textFill>
        </w:rPr>
        <w:t xml:space="preserve">分项报价表</w:t>
      </w:r>
      <w:r>
        <w:rPr>
          <w:rFonts w:hint="eastAsia" w:ascii="宋体" w:hAnsi="宋体" w:cs="宋体"/>
          <w:b/>
          <w:bCs/>
          <w:color w:val="000000" w:themeColor="text1"/>
          <w:sz w:val="24"/>
          <w:highlight w:val="none"/>
          <w14:textFill>
            <w14:solidFill>
              <w14:schemeClr w14:val="tx1"/>
            </w14:solidFill>
          </w14:textFill>
        </w:rPr>
        <w:t xml:space="preserve">（格式）</w:t>
      </w:r>
      <w:r/>
    </w:p>
    <w:p>
      <w:pPr>
        <w:jc w:val="center"/>
        <w:spacing w:line="400" w:lineRule="exact"/>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分项报价表</w:t>
      </w:r>
      <w:r/>
    </w:p>
    <w:p>
      <w:pPr>
        <w:spacing w:line="360" w:lineRule="auto"/>
        <w:rPr>
          <w:rFonts w:hint="eastAsia" w:ascii="黑体" w:eastAsia="黑体"/>
          <w:color w:val="000000" w:themeColor="text1"/>
          <w:sz w:val="24"/>
          <w:szCs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投标供应商名称（盖章）                                 采购项目编号：</w:t>
      </w:r>
      <w:r/>
    </w:p>
    <w:tbl>
      <w:tblPr>
        <w:tblStyle w:val="677"/>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0"/>
        <w:gridCol w:w="880"/>
        <w:gridCol w:w="1084"/>
        <w:gridCol w:w="2018"/>
        <w:gridCol w:w="927"/>
        <w:gridCol w:w="1323"/>
        <w:gridCol w:w="1050"/>
        <w:gridCol w:w="900"/>
        <w:gridCol w:w="1203"/>
      </w:tblGrid>
      <w:tr>
        <w:trPr>
          <w:cantSplit/>
          <w:jc w:val="center"/>
          <w:trHeight w:val="680"/>
        </w:trPr>
        <w:tc>
          <w:tcPr>
            <w:tcMar>
              <w:left w:w="15" w:type="dxa"/>
              <w:top w:w="15" w:type="dxa"/>
              <w:right w:w="15" w:type="dxa"/>
              <w:bottom w:w="0" w:type="dxa"/>
            </w:tcMar>
            <w:tcW w:w="590" w:type="dxa"/>
            <w:vAlign w:val="center"/>
            <w:textDirection w:val="lrTb"/>
            <w:noWrap/>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序号</w:t>
            </w:r>
            <w:r/>
          </w:p>
        </w:tc>
        <w:tc>
          <w:tcPr>
            <w:tcMar>
              <w:left w:w="15" w:type="dxa"/>
              <w:top w:w="15" w:type="dxa"/>
              <w:right w:w="15" w:type="dxa"/>
              <w:bottom w:w="0" w:type="dxa"/>
            </w:tcMar>
            <w:tcW w:w="880" w:type="dxa"/>
            <w:vAlign w:val="center"/>
            <w:textDirection w:val="lrTb"/>
            <w:noWrap/>
          </w:tcPr>
          <w:p>
            <w:pPr>
              <w:jc w:val="center"/>
              <w:spacing w:before="5"/>
              <w:rPr>
                <w:rFonts w:hint="eastAsia" w:ascii="宋体" w:hAnsi="宋体" w:eastAsia="宋体" w:cs="宋体"/>
                <w:color w:val="0000ff"/>
                <w:sz w:val="21"/>
                <w:szCs w:val="21"/>
                <w:u w:val="none"/>
              </w:rPr>
            </w:pPr>
            <w:r>
              <w:rPr>
                <w:rFonts w:hint="eastAsia" w:ascii="宋体" w:hAnsi="宋体" w:eastAsia="宋体" w:cs="宋体"/>
                <w:color w:val="0000ff"/>
                <w:sz w:val="21"/>
                <w:szCs w:val="21"/>
              </w:rPr>
              <w:t xml:space="preserve">名称</w:t>
            </w:r>
            <w:r/>
          </w:p>
        </w:tc>
        <w:tc>
          <w:tcPr>
            <w:tcMar>
              <w:left w:w="15" w:type="dxa"/>
              <w:top w:w="15" w:type="dxa"/>
              <w:right w:w="15" w:type="dxa"/>
              <w:bottom w:w="0" w:type="dxa"/>
            </w:tcMar>
            <w:tcW w:w="1084" w:type="dxa"/>
            <w:vAlign w:val="center"/>
            <w:textDirection w:val="lrTb"/>
            <w:noWrap/>
          </w:tcPr>
          <w:p>
            <w:pPr>
              <w:jc w:val="center"/>
              <w:spacing w:before="5"/>
              <w:rPr>
                <w:rFonts w:hint="eastAsia" w:ascii="宋体" w:hAnsi="宋体" w:eastAsia="宋体" w:cs="宋体"/>
                <w:color w:val="0000ff"/>
                <w:sz w:val="21"/>
                <w:szCs w:val="21"/>
                <w:u w:val="none"/>
              </w:rPr>
            </w:pPr>
            <w:r>
              <w:rPr>
                <w:rFonts w:hint="eastAsia" w:ascii="宋体" w:hAnsi="宋体" w:eastAsia="宋体" w:cs="宋体"/>
                <w:color w:val="0000ff"/>
                <w:sz w:val="21"/>
                <w:szCs w:val="21"/>
                <w:u w:val="none"/>
              </w:rPr>
              <w:t xml:space="preserve">品牌型号</w:t>
            </w:r>
            <w:r/>
          </w:p>
        </w:tc>
        <w:tc>
          <w:tcPr>
            <w:tcMar>
              <w:left w:w="15" w:type="dxa"/>
              <w:top w:w="15" w:type="dxa"/>
              <w:right w:w="15" w:type="dxa"/>
              <w:bottom w:w="0" w:type="dxa"/>
            </w:tcMar>
            <w:tcW w:w="2018" w:type="dxa"/>
            <w:vAlign w:val="center"/>
            <w:textDirection w:val="lrTb"/>
            <w:noWrap/>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u w:val="none"/>
              </w:rPr>
              <w:t xml:space="preserve">性能指标</w:t>
            </w:r>
            <w:r/>
          </w:p>
        </w:tc>
        <w:tc>
          <w:tcPr>
            <w:tcMar>
              <w:left w:w="15" w:type="dxa"/>
              <w:top w:w="15" w:type="dxa"/>
              <w:right w:w="15" w:type="dxa"/>
              <w:bottom w:w="0" w:type="dxa"/>
            </w:tcMar>
            <w:tcW w:w="927" w:type="dxa"/>
            <w:vAlign w:val="center"/>
            <w:textDirection w:val="lrTb"/>
            <w:noWrap w:val="false"/>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数量</w:t>
            </w:r>
            <w:r/>
          </w:p>
        </w:tc>
        <w:tc>
          <w:tcPr>
            <w:tcW w:w="1323" w:type="dxa"/>
            <w:vAlign w:val="center"/>
            <w:textDirection w:val="lrTb"/>
            <w:noWrap w:val="false"/>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产地</w:t>
            </w:r>
            <w:r/>
          </w:p>
        </w:tc>
        <w:tc>
          <w:tcPr>
            <w:tcMar>
              <w:left w:w="15" w:type="dxa"/>
              <w:top w:w="15" w:type="dxa"/>
              <w:right w:w="15" w:type="dxa"/>
              <w:bottom w:w="0" w:type="dxa"/>
            </w:tcMar>
            <w:tcW w:w="1050" w:type="dxa"/>
            <w:vAlign w:val="center"/>
            <w:textDirection w:val="lrTb"/>
            <w:noWrap/>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质保期</w:t>
            </w:r>
            <w:r/>
          </w:p>
        </w:tc>
        <w:tc>
          <w:tcPr>
            <w:tcW w:w="900" w:type="dxa"/>
            <w:vAlign w:val="center"/>
            <w:textDirection w:val="lrTb"/>
            <w:noWrap w:val="false"/>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单报价</w:t>
            </w:r>
            <w:r/>
          </w:p>
        </w:tc>
        <w:tc>
          <w:tcPr>
            <w:tcW w:w="1203" w:type="dxa"/>
            <w:vAlign w:val="center"/>
            <w:textDirection w:val="lrTb"/>
            <w:noWrap w:val="false"/>
          </w:tcPr>
          <w:p>
            <w:pPr>
              <w:jc w:val="center"/>
              <w:spacing w:before="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分项总报价</w:t>
            </w:r>
            <w:r/>
          </w:p>
        </w:tc>
      </w:tr>
      <w:tr>
        <w:trPr>
          <w:cantSplit/>
          <w:jc w:val="center"/>
          <w:trHeight w:val="680"/>
        </w:trPr>
        <w:tc>
          <w:tcPr>
            <w:tcMar>
              <w:left w:w="15" w:type="dxa"/>
              <w:top w:w="15" w:type="dxa"/>
              <w:right w:w="15" w:type="dxa"/>
              <w:bottom w:w="0" w:type="dxa"/>
            </w:tcMar>
            <w:tcW w:w="590" w:type="dxa"/>
            <w:vAlign w:val="center"/>
            <w:textDirection w:val="lrTb"/>
            <w:noWrap/>
          </w:tcPr>
          <w:p>
            <w:pPr>
              <w:pStyle w:val="695"/>
              <w:jc w:val="center"/>
              <w:spacing w:before="5"/>
              <w:tabs>
                <w:tab w:val="clear" w:pos="7143" w:leader="none"/>
                <w:tab w:val="clear" w:pos="14287" w:leader="none"/>
              </w:tabs>
              <w:rPr>
                <w:rFonts w:hint="eastAsia" w:ascii="宋体" w:hAnsi="宋体" w:eastAsia="宋体" w:cs="宋体"/>
                <w:color w:val="0000ff"/>
                <w:sz w:val="21"/>
                <w:szCs w:val="21"/>
                <w:lang w:val="en-US" w:eastAsia="zh-CN"/>
              </w:rPr>
              <w:pBdr>
                <w:bottom w:val="none" w:color="auto" w:sz="0" w:space="0"/>
              </w:pBdr>
            </w:pPr>
            <w:r>
              <w:rPr>
                <w:rFonts w:hint="eastAsia" w:ascii="宋体" w:hAnsi="宋体" w:eastAsia="宋体" w:cs="宋体"/>
                <w:color w:val="0000ff"/>
                <w:sz w:val="21"/>
                <w:szCs w:val="21"/>
                <w:lang w:val="en-US" w:eastAsia="zh-CN"/>
              </w:rPr>
              <w:t xml:space="preserve">1</w:t>
            </w:r>
            <w:r/>
          </w:p>
        </w:tc>
        <w:tc>
          <w:tcPr>
            <w:tcMar>
              <w:left w:w="15" w:type="dxa"/>
              <w:top w:w="15" w:type="dxa"/>
              <w:right w:w="15" w:type="dxa"/>
              <w:bottom w:w="0" w:type="dxa"/>
            </w:tcMar>
            <w:tcW w:w="880" w:type="dxa"/>
            <w:vAlign w:val="center"/>
            <w:textDirection w:val="lrTb"/>
            <w:noWrap/>
          </w:tcPr>
          <w:p>
            <w:pPr>
              <w:pStyle w:val="695"/>
              <w:tabs>
                <w:tab w:val="clear" w:pos="7143" w:leader="none"/>
                <w:tab w:val="clear" w:pos="14287" w:leader="none"/>
              </w:tabs>
              <w:rPr>
                <w:rFonts w:hint="eastAsia" w:ascii="宋体" w:hAnsi="宋体" w:eastAsia="宋体" w:cs="宋体"/>
                <w:bCs/>
                <w:color w:val="0000ff"/>
                <w:sz w:val="21"/>
                <w:szCs w:val="21"/>
                <w:lang w:val="en-US" w:eastAsia="zh-CN"/>
              </w:rPr>
              <w:pBdr>
                <w:bottom w:val="none" w:color="auto" w:sz="0" w:space="0"/>
              </w:pBdr>
            </w:pPr>
            <w:r>
              <w:rPr>
                <w:rFonts w:hint="eastAsia" w:ascii="宋体" w:hAnsi="宋体" w:eastAsia="宋体" w:cs="宋体"/>
                <w:bCs/>
                <w:color w:val="0000ff"/>
                <w:sz w:val="21"/>
                <w:szCs w:val="21"/>
                <w:lang w:val="en-US" w:eastAsia="zh-CN"/>
              </w:rPr>
            </w:r>
            <w:r/>
          </w:p>
        </w:tc>
        <w:tc>
          <w:tcPr>
            <w:tcMar>
              <w:left w:w="15" w:type="dxa"/>
              <w:top w:w="15" w:type="dxa"/>
              <w:right w:w="15" w:type="dxa"/>
              <w:bottom w:w="0" w:type="dxa"/>
            </w:tcMar>
            <w:tcW w:w="1084" w:type="dxa"/>
            <w:vAlign w:val="center"/>
            <w:textDirection w:val="lrTb"/>
            <w:noWrap w:val="false"/>
          </w:tcPr>
          <w:p>
            <w:pPr>
              <w:pStyle w:val="695"/>
              <w:tabs>
                <w:tab w:val="clear" w:pos="7143" w:leader="none"/>
                <w:tab w:val="clear" w:pos="14287" w:leader="none"/>
              </w:tabs>
              <w:rPr>
                <w:rFonts w:hint="eastAsia" w:ascii="宋体" w:hAnsi="宋体" w:eastAsia="宋体" w:cs="宋体"/>
                <w:bCs/>
                <w:color w:val="0000ff"/>
                <w:sz w:val="21"/>
                <w:szCs w:val="21"/>
                <w:lang w:val="en-US" w:eastAsia="zh-CN"/>
              </w:rPr>
              <w:pBdr>
                <w:bottom w:val="none" w:color="auto" w:sz="0" w:space="0"/>
              </w:pBdr>
            </w:pPr>
            <w:r>
              <w:rPr>
                <w:rFonts w:hint="eastAsia" w:ascii="宋体" w:hAnsi="宋体" w:eastAsia="宋体" w:cs="宋体"/>
                <w:bCs/>
                <w:color w:val="0000ff"/>
                <w:sz w:val="21"/>
                <w:szCs w:val="21"/>
                <w:lang w:val="en-US" w:eastAsia="zh-CN"/>
              </w:rPr>
            </w:r>
            <w:r/>
          </w:p>
        </w:tc>
        <w:tc>
          <w:tcPr>
            <w:tcMar>
              <w:left w:w="15" w:type="dxa"/>
              <w:top w:w="15" w:type="dxa"/>
              <w:right w:w="15" w:type="dxa"/>
              <w:bottom w:w="0" w:type="dxa"/>
            </w:tcMar>
            <w:tcW w:w="2018" w:type="dxa"/>
            <w:vAlign w:val="top"/>
            <w:textDirection w:val="lrTb"/>
            <w:noWrap w:val="false"/>
          </w:tcPr>
          <w:p>
            <w:pPr>
              <w:jc w:val="center"/>
              <w:rPr>
                <w:rFonts w:hint="eastAsia" w:ascii="宋体" w:hAnsi="宋体" w:eastAsia="宋体" w:cs="宋体"/>
                <w:bCs/>
                <w:color w:val="0000ff"/>
                <w:sz w:val="21"/>
                <w:szCs w:val="21"/>
              </w:rPr>
            </w:pPr>
            <w:r>
              <w:rPr>
                <w:rFonts w:hint="eastAsia" w:ascii="宋体" w:hAnsi="宋体" w:eastAsia="宋体" w:cs="宋体"/>
                <w:bCs/>
                <w:color w:val="0000ff"/>
                <w:sz w:val="21"/>
                <w:szCs w:val="21"/>
              </w:rPr>
            </w:r>
            <w:r/>
          </w:p>
        </w:tc>
        <w:tc>
          <w:tcPr>
            <w:tcMar>
              <w:left w:w="15" w:type="dxa"/>
              <w:top w:w="15" w:type="dxa"/>
              <w:right w:w="15" w:type="dxa"/>
              <w:bottom w:w="0" w:type="dxa"/>
            </w:tcMar>
            <w:tcW w:w="927"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　</w:t>
            </w:r>
            <w:r/>
          </w:p>
        </w:tc>
        <w:tc>
          <w:tcPr>
            <w:tcW w:w="132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　</w:t>
            </w:r>
            <w:r/>
          </w:p>
        </w:tc>
        <w:tc>
          <w:tcPr>
            <w:tcW w:w="900"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120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r>
      <w:tr>
        <w:trPr>
          <w:cantSplit/>
          <w:jc w:val="center"/>
          <w:trHeight w:val="680"/>
        </w:trPr>
        <w:tc>
          <w:tcPr>
            <w:tcMar>
              <w:left w:w="15" w:type="dxa"/>
              <w:top w:w="15" w:type="dxa"/>
              <w:right w:w="15" w:type="dxa"/>
              <w:bottom w:w="0" w:type="dxa"/>
            </w:tcMar>
            <w:tcW w:w="590" w:type="dxa"/>
            <w:vAlign w:val="center"/>
            <w:textDirection w:val="lrTb"/>
            <w:noWrap/>
          </w:tcPr>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w:t>
            </w:r>
            <w:r/>
          </w:p>
        </w:tc>
        <w:tc>
          <w:tcPr>
            <w:tcMar>
              <w:left w:w="15" w:type="dxa"/>
              <w:top w:w="15" w:type="dxa"/>
              <w:right w:w="15" w:type="dxa"/>
              <w:bottom w:w="0" w:type="dxa"/>
            </w:tcMar>
            <w:tcW w:w="880" w:type="dxa"/>
            <w:vAlign w:val="center"/>
            <w:textDirection w:val="lrTb"/>
            <w:noWrap/>
          </w:tcPr>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Mar>
              <w:left w:w="15" w:type="dxa"/>
              <w:top w:w="15" w:type="dxa"/>
              <w:right w:w="15" w:type="dxa"/>
              <w:bottom w:w="0" w:type="dxa"/>
            </w:tcMar>
            <w:tcW w:w="1084" w:type="dxa"/>
            <w:vAlign w:val="center"/>
            <w:textDirection w:val="lrTb"/>
            <w:noWrap w:val="false"/>
          </w:tcPr>
          <w:p>
            <w:pPr>
              <w:pStyle w:val="695"/>
              <w:tabs>
                <w:tab w:val="clear" w:pos="7143" w:leader="none"/>
                <w:tab w:val="clear" w:pos="14287" w:leader="none"/>
              </w:tabs>
              <w:rPr>
                <w:rFonts w:hint="eastAsia" w:ascii="宋体" w:hAnsi="宋体" w:eastAsia="宋体" w:cs="宋体"/>
                <w:bCs/>
                <w:color w:val="0000ff"/>
                <w:sz w:val="21"/>
                <w:szCs w:val="21"/>
                <w:lang w:val="en-US" w:eastAsia="zh-CN"/>
              </w:rPr>
              <w:pBdr>
                <w:bottom w:val="none" w:color="auto" w:sz="0" w:space="0"/>
              </w:pBdr>
            </w:pPr>
            <w:r>
              <w:rPr>
                <w:rFonts w:hint="eastAsia" w:ascii="宋体" w:hAnsi="宋体" w:eastAsia="宋体" w:cs="宋体"/>
                <w:bCs/>
                <w:color w:val="0000ff"/>
                <w:sz w:val="21"/>
                <w:szCs w:val="21"/>
                <w:lang w:val="en-US" w:eastAsia="zh-CN"/>
              </w:rPr>
            </w:r>
            <w:r/>
          </w:p>
        </w:tc>
        <w:tc>
          <w:tcPr>
            <w:tcMar>
              <w:left w:w="15" w:type="dxa"/>
              <w:top w:w="15" w:type="dxa"/>
              <w:right w:w="15" w:type="dxa"/>
              <w:bottom w:w="0" w:type="dxa"/>
            </w:tcMar>
            <w:tcW w:w="2018" w:type="dxa"/>
            <w:vAlign w:val="center"/>
            <w:textDirection w:val="lrTb"/>
            <w:noWrap w:val="false"/>
          </w:tcPr>
          <w:p>
            <w:pPr>
              <w:jc w:val="center"/>
              <w:rPr>
                <w:rFonts w:hint="eastAsia" w:ascii="宋体" w:hAnsi="宋体" w:eastAsia="宋体" w:cs="宋体"/>
                <w:bCs/>
                <w:color w:val="0000ff"/>
                <w:sz w:val="21"/>
                <w:szCs w:val="21"/>
              </w:rPr>
            </w:pPr>
            <w:r>
              <w:rPr>
                <w:rFonts w:hint="eastAsia" w:ascii="宋体" w:hAnsi="宋体" w:eastAsia="宋体" w:cs="宋体"/>
                <w:bCs/>
                <w:color w:val="0000ff"/>
                <w:sz w:val="21"/>
                <w:szCs w:val="21"/>
              </w:rPr>
            </w:r>
            <w:r/>
          </w:p>
        </w:tc>
        <w:tc>
          <w:tcPr>
            <w:tcMar>
              <w:left w:w="15" w:type="dxa"/>
              <w:top w:w="15" w:type="dxa"/>
              <w:right w:w="15" w:type="dxa"/>
              <w:bottom w:w="0" w:type="dxa"/>
            </w:tcMar>
            <w:tcW w:w="927"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　</w:t>
            </w:r>
            <w:r/>
          </w:p>
        </w:tc>
        <w:tc>
          <w:tcPr>
            <w:tcW w:w="132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　</w:t>
            </w:r>
            <w:r/>
          </w:p>
        </w:tc>
        <w:tc>
          <w:tcPr>
            <w:tcW w:w="900"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120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r>
      <w:tr>
        <w:trPr>
          <w:cantSplit/>
          <w:jc w:val="center"/>
          <w:trHeight w:val="680"/>
        </w:trPr>
        <w:tc>
          <w:tcPr>
            <w:tcMar>
              <w:left w:w="15" w:type="dxa"/>
              <w:top w:w="15" w:type="dxa"/>
              <w:right w:w="15" w:type="dxa"/>
              <w:bottom w:w="0" w:type="dxa"/>
            </w:tcMar>
            <w:tcW w:w="590" w:type="dxa"/>
            <w:vAlign w:val="center"/>
            <w:textDirection w:val="lrTb"/>
            <w:noWrap/>
          </w:tcPr>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Mar>
              <w:left w:w="15" w:type="dxa"/>
              <w:top w:w="15" w:type="dxa"/>
              <w:right w:w="15" w:type="dxa"/>
              <w:bottom w:w="0" w:type="dxa"/>
            </w:tcMar>
            <w:tcW w:w="880" w:type="dxa"/>
            <w:vAlign w:val="center"/>
            <w:textDirection w:val="lrTb"/>
            <w:noWrap/>
          </w:tcPr>
          <w:p>
            <w:pPr>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w:t>
            </w:r>
            <w:r/>
          </w:p>
        </w:tc>
        <w:tc>
          <w:tcPr>
            <w:tcMar>
              <w:left w:w="15" w:type="dxa"/>
              <w:top w:w="15" w:type="dxa"/>
              <w:right w:w="15" w:type="dxa"/>
              <w:bottom w:w="0" w:type="dxa"/>
            </w:tcMar>
            <w:tcW w:w="1084" w:type="dxa"/>
            <w:vAlign w:val="center"/>
            <w:textDirection w:val="lrTb"/>
            <w:noWrap w:val="false"/>
          </w:tcPr>
          <w:p>
            <w:pPr>
              <w:pStyle w:val="695"/>
              <w:tabs>
                <w:tab w:val="clear" w:pos="7143" w:leader="none"/>
                <w:tab w:val="clear" w:pos="14287" w:leader="none"/>
              </w:tabs>
              <w:rPr>
                <w:rFonts w:hint="eastAsia" w:ascii="宋体" w:hAnsi="宋体" w:eastAsia="宋体" w:cs="宋体"/>
                <w:bCs/>
                <w:color w:val="0000ff"/>
                <w:sz w:val="21"/>
                <w:szCs w:val="21"/>
                <w:lang w:val="en-US" w:eastAsia="zh-CN"/>
              </w:rPr>
              <w:pBdr>
                <w:bottom w:val="none" w:color="auto" w:sz="0" w:space="0"/>
              </w:pBdr>
            </w:pPr>
            <w:r>
              <w:rPr>
                <w:rFonts w:hint="eastAsia" w:ascii="宋体" w:hAnsi="宋体" w:eastAsia="宋体" w:cs="宋体"/>
                <w:bCs/>
                <w:color w:val="0000ff"/>
                <w:sz w:val="21"/>
                <w:szCs w:val="21"/>
                <w:lang w:val="en-US" w:eastAsia="zh-CN"/>
              </w:rPr>
            </w:r>
            <w:r/>
          </w:p>
        </w:tc>
        <w:tc>
          <w:tcPr>
            <w:tcMar>
              <w:left w:w="15" w:type="dxa"/>
              <w:top w:w="15" w:type="dxa"/>
              <w:right w:w="15" w:type="dxa"/>
              <w:bottom w:w="0" w:type="dxa"/>
            </w:tcMar>
            <w:tcW w:w="2018" w:type="dxa"/>
            <w:vAlign w:val="center"/>
            <w:textDirection w:val="lrTb"/>
            <w:noWrap w:val="false"/>
          </w:tcPr>
          <w:p>
            <w:pPr>
              <w:jc w:val="center"/>
              <w:rPr>
                <w:rFonts w:hint="eastAsia" w:ascii="宋体" w:hAnsi="宋体" w:eastAsia="宋体" w:cs="宋体"/>
                <w:bCs/>
                <w:color w:val="0000ff"/>
                <w:sz w:val="21"/>
                <w:szCs w:val="21"/>
              </w:rPr>
            </w:pPr>
            <w:r>
              <w:rPr>
                <w:rFonts w:hint="eastAsia" w:ascii="宋体" w:hAnsi="宋体" w:eastAsia="宋体" w:cs="宋体"/>
                <w:bCs/>
                <w:color w:val="0000ff"/>
                <w:sz w:val="21"/>
                <w:szCs w:val="21"/>
              </w:rPr>
            </w:r>
            <w:r/>
          </w:p>
        </w:tc>
        <w:tc>
          <w:tcPr>
            <w:tcMar>
              <w:left w:w="15" w:type="dxa"/>
              <w:top w:w="15" w:type="dxa"/>
              <w:right w:w="15" w:type="dxa"/>
              <w:bottom w:w="0" w:type="dxa"/>
            </w:tcMar>
            <w:tcW w:w="927"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132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900"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c>
          <w:tcPr>
            <w:tcW w:w="1203" w:type="dxa"/>
            <w:vAlign w:val="center"/>
            <w:textDirection w:val="lrTb"/>
            <w:noWrap w:val="false"/>
          </w:tcPr>
          <w:p>
            <w:pPr>
              <w:jc w:val="center"/>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tc>
      </w:tr>
      <w:tr>
        <w:trPr>
          <w:cantSplit/>
          <w:jc w:val="center"/>
          <w:trHeight w:val="170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仿宋" w:hAnsi="仿宋" w:eastAsia="仿宋" w:cs="仿宋"/>
                <w:bCs/>
                <w:color w:val="0000ff"/>
                <w:sz w:val="28"/>
                <w:szCs w:val="28"/>
              </w:rPr>
            </w:pPr>
            <w:r>
              <w:rPr>
                <w:rFonts w:hint="eastAsia" w:ascii="仿宋" w:hAnsi="仿宋" w:eastAsia="仿宋" w:cs="仿宋"/>
                <w:bCs/>
                <w:color w:val="0000ff"/>
                <w:sz w:val="28"/>
                <w:szCs w:val="28"/>
              </w:rPr>
              <w:t xml:space="preserve">投标人承诺：</w:t>
            </w:r>
            <w:r/>
          </w:p>
          <w:p>
            <w:pPr>
              <w:ind w:firstLine="560"/>
              <w:jc w:val="left"/>
              <w:spacing w:line="288" w:lineRule="auto"/>
              <w:rPr>
                <w:rFonts w:hint="eastAsia" w:ascii="宋体" w:hAnsi="宋体" w:eastAsia="宋体" w:cs="宋体"/>
                <w:b/>
                <w:bCs/>
                <w:color w:val="0000ff"/>
                <w:sz w:val="21"/>
                <w:szCs w:val="21"/>
              </w:rPr>
            </w:pPr>
            <w:r/>
            <w:bookmarkStart w:id="6" w:name="_GoBack"/>
            <w:r/>
            <w:bookmarkEnd w:id="6"/>
            <w:r>
              <w:rPr>
                <w:rFonts w:hint="eastAsia" w:ascii="仿宋" w:hAnsi="仿宋" w:eastAsia="仿宋" w:cs="仿宋"/>
                <w:bCs/>
                <w:color w:val="0000ff"/>
                <w:sz w:val="28"/>
                <w:szCs w:val="28"/>
              </w:rPr>
              <w:t xml:space="preserve">本采购项目或采购包中提供的符合本国产品标准的产品</w:t>
            </w:r>
            <w:r>
              <w:rPr>
                <w:rFonts w:hint="eastAsia" w:ascii="仿宋" w:hAnsi="仿宋" w:eastAsia="仿宋" w:cs="仿宋"/>
                <w:b/>
                <w:bCs/>
                <w:color w:val="0000ff"/>
                <w:sz w:val="28"/>
                <w:szCs w:val="28"/>
              </w:rPr>
              <w:t xml:space="preserve">成本之和</w:t>
            </w:r>
            <w:r>
              <w:rPr>
                <w:rFonts w:hint="eastAsia" w:ascii="仿宋" w:hAnsi="仿宋" w:eastAsia="仿宋" w:cs="仿宋"/>
                <w:bCs/>
                <w:color w:val="0000ff"/>
                <w:sz w:val="28"/>
                <w:szCs w:val="28"/>
              </w:rPr>
              <w:t xml:space="preserve">占提供的全部产品</w:t>
            </w:r>
            <w:r>
              <w:rPr>
                <w:rFonts w:hint="eastAsia" w:ascii="仿宋" w:hAnsi="仿宋" w:eastAsia="仿宋" w:cs="仿宋"/>
                <w:b/>
                <w:bCs/>
                <w:color w:val="0000ff"/>
                <w:sz w:val="28"/>
                <w:szCs w:val="28"/>
              </w:rPr>
              <w:t xml:space="preserve">成本之和</w:t>
            </w:r>
            <w:r>
              <w:rPr>
                <w:rFonts w:hint="eastAsia" w:ascii="仿宋" w:hAnsi="仿宋" w:eastAsia="仿宋" w:cs="仿宋"/>
                <w:bCs/>
                <w:color w:val="0000ff"/>
                <w:sz w:val="28"/>
                <w:szCs w:val="28"/>
              </w:rPr>
              <w:t xml:space="preserve">的比例：</w:t>
            </w:r>
            <w:r>
              <w:rPr>
                <w:rFonts w:hint="eastAsia" w:ascii="仿宋" w:hAnsi="仿宋" w:eastAsia="仿宋" w:cs="仿宋"/>
                <w:bCs/>
                <w:color w:val="0000ff"/>
                <w:sz w:val="28"/>
                <w:szCs w:val="28"/>
                <w:u w:val="single"/>
              </w:rPr>
              <w:t xml:space="preserve">      </w:t>
            </w:r>
            <w:r>
              <w:rPr>
                <w:rFonts w:hint="eastAsia" w:ascii="仿宋" w:hAnsi="仿宋" w:eastAsia="仿宋" w:cs="仿宋"/>
                <w:bCs/>
                <w:color w:val="0000ff"/>
                <w:sz w:val="28"/>
                <w:szCs w:val="28"/>
              </w:rPr>
              <w:t xml:space="preserve">%</w:t>
            </w:r>
            <w:r/>
          </w:p>
        </w:tc>
      </w:tr>
    </w:tbl>
    <w:p>
      <w:pPr>
        <w:spacing w:before="5" w:line="560" w:lineRule="atLeas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法定代表人或法定代表人授权代表签字或盖章：</w:t>
      </w:r>
      <w:r/>
    </w:p>
    <w:p>
      <w:pPr>
        <w:ind w:firstLine="420"/>
        <w:spacing w:line="360" w:lineRule="exact"/>
        <w:rPr>
          <w:rFonts w:hint="eastAsia"/>
          <w:color w:val="auto"/>
          <w:highlight w:val="none"/>
        </w:rPr>
      </w:pPr>
      <w:r>
        <w:rPr>
          <w:rFonts w:hint="eastAsia"/>
          <w:b/>
          <w:bCs/>
          <w:color w:val="000000" w:themeColor="text1"/>
          <w:highlight w:val="none"/>
          <w14:textFill>
            <w14:solidFill>
              <w14:schemeClr w14:val="tx1"/>
            </w14:solidFill>
          </w14:textFill>
        </w:rPr>
        <w:t xml:space="preserve">注：</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属于监狱企业的证明文件复印件；或提供</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《残疾人福利性单位声明函》。如未按要求填写和提供有效证明或相关内容表述不清的，不得享受价格扣除。</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对所报相关数据的真实性负责</w:t>
      </w:r>
      <w:r>
        <w:rPr>
          <w:rFonts w:hint="eastAsia"/>
          <w:color w:val="auto"/>
          <w:highlight w:val="none"/>
        </w:rPr>
        <w:t xml:space="preserve">，</w:t>
      </w:r>
      <w:r>
        <w:rPr>
          <w:rFonts w:hint="eastAsia"/>
          <w:color w:val="auto"/>
          <w:highlight w:val="none"/>
          <w:lang w:val="en-US" w:eastAsia="zh-CN"/>
        </w:rPr>
        <w:t xml:space="preserve">江苏万达工程造价事务所有限公司</w:t>
      </w:r>
      <w:r>
        <w:rPr>
          <w:rFonts w:hint="eastAsia"/>
          <w:color w:val="auto"/>
          <w:highlight w:val="none"/>
        </w:rPr>
        <w:t xml:space="preserve">有权将相关内容进行公示；</w:t>
      </w:r>
      <w:r/>
    </w:p>
    <w:p>
      <w:pPr>
        <w:ind w:firstLine="420"/>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应当根据“</w:t>
      </w:r>
      <w:r>
        <w:rPr>
          <w:rFonts w:hint="eastAsia"/>
          <w:color w:val="000000" w:themeColor="text1"/>
          <w:highlight w:val="none"/>
          <w:lang w:eastAsia="zh-CN"/>
          <w14:textFill>
            <w14:solidFill>
              <w14:schemeClr w14:val="tx1"/>
            </w14:solidFill>
          </w14:textFill>
        </w:rPr>
        <w:t xml:space="preserve">采购需求</w:t>
      </w:r>
      <w:r>
        <w:rPr>
          <w:rFonts w:hint="eastAsia"/>
          <w:color w:val="000000" w:themeColor="text1"/>
          <w:highlight w:val="none"/>
          <w14:textFill>
            <w14:solidFill>
              <w14:schemeClr w14:val="tx1"/>
            </w14:solidFill>
          </w14:textFill>
        </w:rPr>
        <w:t xml:space="preserve">”的内容在上表中详细填写；</w:t>
      </w:r>
      <w:r/>
    </w:p>
    <w:p>
      <w:pPr>
        <w:ind w:firstLine="420"/>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（3）表格不够可自行延长。</w:t>
      </w:r>
      <w:r/>
    </w:p>
    <w:p>
      <w:pPr>
        <w:ind w:firstLine="420"/>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（4）当采购项目或者采购包的采购标的中含有多种产品，</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除按本文件要求提供《关于符合本国产品标准的声明函》外，还应在本表中进行承诺，</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可不用填报。（相关具体要求可详见第二部分“对本国产品的支持政策”）</w:t>
      </w:r>
      <w:r/>
    </w:p>
    <w:p>
      <w:pPr>
        <w:ind w:firstLine="420"/>
        <w:spacing w:line="360" w:lineRule="exact"/>
        <w:rPr>
          <w:rFonts w:hint="eastAsia"/>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rPr>
          <w:rFonts w:hint="eastAsia" w:ascii="宋体" w:hAnsi="宋体" w:cs="宋体"/>
          <w:b/>
          <w:bCs w:val="0"/>
          <w:color w:val="000000" w:themeColor="text1"/>
          <w:sz w:val="24"/>
          <w:highlight w:val="none"/>
          <w14:textFill>
            <w14:solidFill>
              <w14:schemeClr w14:val="tx1"/>
            </w14:solidFill>
          </w14:textFill>
        </w:rPr>
        <w:outlineLvl w:val="0"/>
      </w:pPr>
      <w:r>
        <w:rPr>
          <w:rFonts w:hint="eastAsia" w:ascii="宋体" w:hAnsi="宋体" w:cs="宋体"/>
          <w:b/>
          <w:bCs w:val="0"/>
          <w:color w:val="000000" w:themeColor="text1"/>
          <w:sz w:val="24"/>
          <w:highlight w:val="none"/>
          <w14:textFill>
            <w14:solidFill>
              <w14:schemeClr w14:val="tx1"/>
            </w14:solidFill>
          </w14:textFill>
        </w:rPr>
        <w:t xml:space="preserve">（七）声明函（格式）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中小企业声明函（货物）</w:t>
      </w:r>
      <w:r/>
    </w:p>
    <w:p>
      <w:pPr>
        <w:rPr>
          <w:rFonts w:ascii="Calibri"/>
          <w:color w:val="000000" w:themeColor="text1"/>
          <w:highlight w:val="none"/>
          <w14:textFill>
            <w14:solidFill>
              <w14:schemeClr w14:val="tx1"/>
            </w14:solidFill>
          </w14:textFill>
        </w:rPr>
      </w:pPr>
      <w:r>
        <w:rPr>
          <w:rFonts w:ascii="Calibri"/>
          <w:color w:val="000000" w:themeColor="text1"/>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  期：</w:t>
      </w:r>
      <w:r/>
    </w:p>
    <w:p>
      <w:pPr>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须根据项目技术要求中所列明的标的及其所属行业逐一进行填报。根据本《中小企业声明函》类型，项目属性为货物类的，只</w:t>
      </w:r>
      <w:r>
        <w:rPr>
          <w:rFonts w:hint="eastAsia"/>
          <w:color w:val="000000" w:themeColor="text1"/>
          <w:highlight w:val="none"/>
          <w:lang w:eastAsia="zh-CN"/>
          <w14:textFill>
            <w14:solidFill>
              <w14:schemeClr w14:val="tx1"/>
            </w14:solidFill>
          </w14:textFill>
        </w:rPr>
        <w:t xml:space="preserve">需</w:t>
      </w:r>
      <w:r>
        <w:rPr>
          <w:rFonts w:hint="eastAsia"/>
          <w:color w:val="000000" w:themeColor="text1"/>
          <w:highlight w:val="none"/>
          <w14:textFill>
            <w14:solidFill>
              <w14:schemeClr w14:val="tx1"/>
            </w14:solidFill>
          </w14:textFill>
        </w:rPr>
        <w:t xml:space="preserve">按项目技术要求中的货物部分标的及其所属行业逐一进行填报，“企业名称”应填报为该项货物的制造商。专门面向中小企业的项目</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未按上述要求逐一进行填报的将被视为无效投标文件；非专门面向中小企业的项目</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未按上述要求逐一进行填报的将不进行中、小、微型企业认定。</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rPr>
          <w:rFonts w:ascii="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1.（产品名称1）</w:t>
      </w:r>
      <w:r>
        <w:rPr>
          <w:rFonts w:hint="eastAsia" w:ascii="宋体" w:hAnsi="宋体"/>
          <w:bCs/>
          <w:color w:val="000000" w:themeColor="text1"/>
          <w:sz w:val="24"/>
          <w:highlight w:val="none"/>
          <w:vertAlign w:val="superscript"/>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，生产厂为（厂名）</w:t>
      </w:r>
      <w:r>
        <w:rPr>
          <w:rFonts w:hint="eastAsia" w:ascii="宋体" w:hAnsi="宋体"/>
          <w:bCs/>
          <w:color w:val="000000" w:themeColor="text1"/>
          <w:sz w:val="24"/>
          <w:highlight w:val="none"/>
          <w:vertAlign w:val="superscript"/>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，厂址为（生产厂址）。（</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6.划删除线的地方无需填写。</w:t>
      </w:r>
      <w:r/>
    </w:p>
    <w:p>
      <w:pPr>
        <w:rPr>
          <w:highlight w:val="none"/>
        </w:rPr>
      </w:pPr>
      <w:r>
        <w:rPr>
          <w:highlight w:val="none"/>
        </w:rPr>
      </w:r>
      <w:r/>
    </w:p>
    <w:p>
      <w:pPr>
        <w:ind w:left="425" w:hanging="425"/>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 xml:space="preserve">（八）残疾人福利性单位声明函（格式）</w:t>
      </w:r>
      <w:r/>
    </w:p>
    <w:p>
      <w:pPr>
        <w:pStyle w:val="704"/>
        <w:ind w:firstLine="0"/>
        <w:jc w:val="center"/>
        <w:spacing w:before="0" w:beforeAutospacing="0" w:after="0" w:afterAutospacing="0" w:line="480" w:lineRule="atLeast"/>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r>
      <w:r/>
    </w:p>
    <w:p>
      <w:pPr>
        <w:pStyle w:val="704"/>
        <w:ind w:firstLine="0"/>
        <w:jc w:val="center"/>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残疾人福利性单位声明函</w:t>
      </w:r>
      <w:r/>
    </w:p>
    <w:p>
      <w:pPr>
        <w:pStyle w:val="704"/>
        <w:ind w:firstLine="48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04"/>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本单位对上述声明的真实性负责。如有虚假，将依法承担相应责任。</w:t>
      </w:r>
      <w:r/>
    </w:p>
    <w:p>
      <w:pPr>
        <w:pStyle w:val="70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pStyle w:val="70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ind w:firstLine="422"/>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ind w:left="425" w:hanging="425"/>
        <w:rPr>
          <w:rFonts w:ascii="黑体" w:eastAsia="黑体" w:cs="宋体"/>
          <w:b/>
          <w:color w:val="000000" w:themeColor="text1"/>
          <w:sz w:val="32"/>
          <w:szCs w:val="32"/>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 xml:space="preserve">（九）项目人员配备表（格式）</w:t>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项目人员配备表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77"/>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923"/>
        <w:gridCol w:w="1533"/>
        <w:gridCol w:w="1533"/>
        <w:gridCol w:w="1351"/>
        <w:gridCol w:w="1715"/>
        <w:gridCol w:w="1021"/>
      </w:tblGrid>
      <w:tr>
        <w:trPr>
          <w:jc w:val="center"/>
          <w:trHeight w:val="974"/>
        </w:trPr>
        <w:tc>
          <w:tcPr>
            <w:tcW w:w="94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序</w:t>
            </w:r>
            <w:r>
              <w:rPr>
                <w:rFonts w:hint="eastAsia" w:ascii="宋体" w:hAnsi="宋体"/>
                <w:b/>
                <w:bCs/>
                <w:color w:val="000000" w:themeColor="text1"/>
                <w:szCs w:val="21"/>
                <w:highlight w:val="none"/>
                <w14:textFill>
                  <w14:solidFill>
                    <w14:schemeClr w14:val="tx1"/>
                  </w14:solidFill>
                </w14:textFill>
              </w:rPr>
              <w:t xml:space="preserve">号</w:t>
            </w:r>
            <w:r/>
          </w:p>
        </w:tc>
        <w:tc>
          <w:tcPr>
            <w:tcW w:w="92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姓名</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证书类型</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社保缴纳时间</w:t>
            </w:r>
            <w:r/>
          </w:p>
        </w:tc>
        <w:tc>
          <w:tcPr>
            <w:tcW w:w="135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联系方式</w:t>
            </w:r>
            <w:r/>
          </w:p>
        </w:tc>
        <w:tc>
          <w:tcPr>
            <w:tcW w:w="1715"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劳动合同期限</w:t>
            </w:r>
            <w:r/>
          </w:p>
        </w:tc>
        <w:tc>
          <w:tcPr>
            <w:tcW w:w="1021" w:type="dxa"/>
            <w:vAlign w:val="center"/>
            <w:textDirection w:val="lrTb"/>
            <w:noWrap w:val="false"/>
          </w:tcPr>
          <w:p>
            <w:pPr>
              <w:jc w:val="center"/>
              <w:spacing w:after="120"/>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备注</w:t>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60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left="420" w:hanging="420"/>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注：按招标文件要求附人员相关证书，表格不够可自行延长。</w:t>
      </w:r>
      <w:r/>
    </w:p>
    <w:p>
      <w:pPr>
        <w:jc w:val="center"/>
        <w:spacing w:line="4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投标供应商公章：</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授权代表签字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left="425" w:hanging="425"/>
        <w:rPr>
          <w:rFonts w:hint="eastAsia" w:ascii="宋体" w:hAnsi="宋体"/>
          <w:b/>
          <w:bCs/>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（十）类似业绩一览表（格式）</w:t>
      </w:r>
      <w:r/>
    </w:p>
    <w:p>
      <w:pPr>
        <w:jc w:val="center"/>
        <w:spacing w:line="360" w:lineRule="auto"/>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类似业绩一览表</w:t>
      </w:r>
      <w:r/>
    </w:p>
    <w:tbl>
      <w:tblPr>
        <w:tblStyle w:val="677"/>
        <w:tblW w:w="5056"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9"/>
        <w:gridCol w:w="1755"/>
        <w:gridCol w:w="1417"/>
        <w:gridCol w:w="1788"/>
        <w:gridCol w:w="2150"/>
        <w:gridCol w:w="1045"/>
      </w:tblGrid>
      <w:tr>
        <w:trPr>
          <w:trHeight w:val="935"/>
        </w:trPr>
        <w:tc>
          <w:tcPr>
            <w:tcW w:w="550" w:type="pct"/>
            <w:vAlign w:val="center"/>
            <w:textDirection w:val="lrTb"/>
            <w:noWrap w:val="false"/>
          </w:tcPr>
          <w:p>
            <w:pPr>
              <w:ind w:left="287" w:right="160"/>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序号</w:t>
            </w:r>
            <w:r/>
          </w:p>
        </w:tc>
        <w:tc>
          <w:tcPr>
            <w:tcW w:w="957" w:type="pct"/>
            <w:vAlign w:val="center"/>
            <w:textDirection w:val="lrTb"/>
            <w:noWrap w:val="false"/>
          </w:tcPr>
          <w:p>
            <w:pPr>
              <w:ind w:left="340" w:right="210"/>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项目名称</w:t>
            </w:r>
            <w:r/>
          </w:p>
        </w:tc>
        <w:tc>
          <w:tcPr>
            <w:tcW w:w="773" w:type="pct"/>
            <w:vAlign w:val="center"/>
            <w:textDirection w:val="lrTb"/>
            <w:noWrap w:val="false"/>
          </w:tcPr>
          <w:p>
            <w:pPr>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合同签订时间</w:t>
            </w:r>
            <w:r/>
          </w:p>
        </w:tc>
        <w:tc>
          <w:tcPr>
            <w:tcW w:w="975" w:type="pct"/>
            <w:vAlign w:val="center"/>
            <w:textDirection w:val="lrTb"/>
            <w:noWrap w:val="false"/>
          </w:tcPr>
          <w:p>
            <w:pPr>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合同金额</w:t>
            </w:r>
            <w:r/>
          </w:p>
          <w:p>
            <w:pPr>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（人民币）</w:t>
            </w:r>
            <w:r/>
          </w:p>
        </w:tc>
        <w:tc>
          <w:tcPr>
            <w:tcW w:w="1173" w:type="pct"/>
            <w:vAlign w:val="center"/>
            <w:textDirection w:val="lrTb"/>
            <w:noWrap w:val="false"/>
          </w:tcPr>
          <w:p>
            <w:pPr>
              <w:ind w:left="340" w:right="210"/>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项目业主</w:t>
            </w:r>
            <w:r/>
          </w:p>
        </w:tc>
        <w:tc>
          <w:tcPr>
            <w:tcW w:w="570" w:type="pct"/>
            <w:vAlign w:val="center"/>
            <w:textDirection w:val="lrTb"/>
            <w:noWrap w:val="false"/>
          </w:tcPr>
          <w:p>
            <w:pPr>
              <w:ind w:left="340" w:right="210"/>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备注</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1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2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3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4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5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bl>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注：1、表格可自行延长。</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 标 人：</w:t>
      </w:r>
      <w:r>
        <w:rPr>
          <w:rFonts w:hint="eastAsia" w:ascii="宋体" w:hAnsi="宋体" w:cs="宋体"/>
          <w:color w:val="000000" w:themeColor="text1"/>
          <w:sz w:val="24"/>
          <w:highlight w:val="none"/>
          <w:u w:val="single"/>
          <w14:textFill>
            <w14:solidFill>
              <w14:schemeClr w14:val="tx1"/>
            </w14:solidFill>
          </w14:textFill>
        </w:rPr>
        <w:t xml:space="preserve">                              （盖章）</w:t>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法定代表人或其授权代理人：</w:t>
      </w:r>
      <w:r>
        <w:rPr>
          <w:rFonts w:hint="eastAsia" w:ascii="宋体" w:hAnsi="宋体" w:cs="宋体"/>
          <w:color w:val="000000" w:themeColor="text1"/>
          <w:sz w:val="24"/>
          <w:highlight w:val="none"/>
          <w:u w:val="single"/>
          <w14:textFill>
            <w14:solidFill>
              <w14:schemeClr w14:val="tx1"/>
            </w14:solidFill>
          </w14:textFill>
        </w:rPr>
        <w:t xml:space="preserve">          （签字或盖章</w:t>
      </w:r>
      <w:r>
        <w:rPr>
          <w:rFonts w:hint="eastAsia" w:ascii="宋体" w:hAnsi="宋体" w:cs="宋体"/>
          <w:color w:val="000000" w:themeColor="text1"/>
          <w:spacing w:val="-20"/>
          <w:sz w:val="24"/>
          <w:highlight w:val="none"/>
          <w:u w:val="single"/>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7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r>
      <w:r/>
    </w:p>
    <w:p>
      <w:pPr>
        <w:ind w:left="425" w:hanging="425"/>
        <w:rPr>
          <w:rFonts w:hint="eastAsia" w:ascii="宋体" w:hAnsi="宋体" w:cs="宋体"/>
          <w:bCs/>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outlineLvl w:val="0"/>
      </w:pPr>
      <w:r>
        <w:rPr>
          <w:rFonts w:hint="eastAsia" w:ascii="宋体" w:hAnsi="宋体" w:cs="宋体"/>
          <w:bCs/>
          <w:color w:val="000000" w:themeColor="text1"/>
          <w:sz w:val="24"/>
          <w:highlight w:val="none"/>
          <w14:textFill>
            <w14:solidFill>
              <w14:schemeClr w14:val="tx1"/>
            </w14:solidFill>
          </w14:textFill>
        </w:rPr>
        <w:br w:type="page" w:clear="all"/>
      </w:r>
      <w:r/>
    </w:p>
    <w:p>
      <w:pPr>
        <w:ind w:left="425" w:hanging="425"/>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（十一）</w:t>
      </w:r>
      <w:r>
        <w:rPr>
          <w:rFonts w:hint="eastAsia" w:ascii="宋体" w:hAnsi="宋体"/>
          <w:b/>
          <w:bCs/>
          <w:color w:val="000000" w:themeColor="text1"/>
          <w:sz w:val="24"/>
          <w:highlight w:val="none"/>
          <w:lang w:eastAsia="zh-CN"/>
          <w14:textFill>
            <w14:solidFill>
              <w14:schemeClr w14:val="tx1"/>
            </w14:solidFill>
          </w14:textFill>
        </w:rPr>
        <w:t xml:space="preserve">技术偏离表</w:t>
      </w:r>
      <w:r>
        <w:rPr>
          <w:rFonts w:hint="eastAsia" w:ascii="宋体" w:hAnsi="宋体"/>
          <w:b/>
          <w:bCs/>
          <w:color w:val="000000" w:themeColor="text1"/>
          <w:sz w:val="24"/>
          <w:highlight w:val="none"/>
          <w14:textFill>
            <w14:solidFill>
              <w14:schemeClr w14:val="tx1"/>
            </w14:solidFill>
          </w14:textFill>
        </w:rPr>
        <w:t xml:space="preserve">（格式）</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lang w:eastAsia="zh-CN"/>
        </w:rPr>
        <w:t xml:space="preserve">技术偏离表</w:t>
      </w:r>
      <w:r/>
    </w:p>
    <w:p>
      <w:pPr>
        <w:ind w:firstLine="241"/>
        <w:spacing w:line="360" w:lineRule="auto"/>
        <w:rPr>
          <w:rFonts w:ascii="宋体" w:hAnsi="宋体"/>
          <w:color w:val="000000"/>
          <w:sz w:val="24"/>
          <w:highlight w:val="none"/>
        </w:rPr>
      </w:pP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名称（盖章）                                                          </w:t>
      </w:r>
      <w:r>
        <w:rPr>
          <w:rFonts w:hint="eastAsia" w:ascii="宋体" w:hAnsi="宋体"/>
          <w:b/>
          <w:color w:val="000000"/>
          <w:sz w:val="24"/>
          <w:highlight w:val="none"/>
          <w:lang w:eastAsia="zh-CN"/>
        </w:rPr>
        <w:t xml:space="preserve">项目编号</w:t>
      </w:r>
      <w:r>
        <w:rPr>
          <w:rFonts w:hint="eastAsia" w:ascii="宋体" w:hAnsi="宋体"/>
          <w:b/>
          <w:color w:val="000000"/>
          <w:sz w:val="24"/>
          <w:highlight w:val="none"/>
        </w:rPr>
        <w:t xml:space="preserve">：</w:t>
      </w:r>
      <w:r/>
    </w:p>
    <w:tbl>
      <w:tblPr>
        <w:tblStyle w:val="677"/>
        <w:tblW w:w="13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114"/>
        <w:gridCol w:w="4850"/>
        <w:gridCol w:w="1869"/>
        <w:gridCol w:w="2463"/>
        <w:gridCol w:w="1475"/>
      </w:tblGrid>
      <w:tr>
        <w:trPr>
          <w:jc w:val="center"/>
          <w:trHeight w:val="493"/>
        </w:trPr>
        <w:tc>
          <w:tcPr>
            <w:tcW w:w="805"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tcW w:w="2114"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名称</w:t>
            </w:r>
            <w:r/>
          </w:p>
        </w:tc>
        <w:tc>
          <w:tcPr>
            <w:tcW w:w="4850"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技术参数</w:t>
            </w:r>
            <w:r/>
          </w:p>
        </w:tc>
        <w:tc>
          <w:tcPr>
            <w:tcW w:w="1869"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实报技术参数</w:t>
            </w:r>
            <w:r/>
          </w:p>
        </w:tc>
        <w:tc>
          <w:tcPr>
            <w:tcW w:w="2463"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偏离说明(无偏离/正偏离/负偏离，偏离内容)</w:t>
            </w:r>
            <w:r/>
          </w:p>
        </w:tc>
        <w:tc>
          <w:tcPr>
            <w:tcW w:w="1475"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技术支持资料对应页码</w:t>
            </w:r>
            <w:r/>
          </w:p>
        </w:tc>
      </w:tr>
      <w:tr>
        <w:trPr>
          <w:jc w:val="center"/>
          <w:trHeight w:val="302"/>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09"/>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ind w:firstLine="210"/>
              <w:jc w:val="left"/>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ind w:firstLine="210"/>
              <w:jc w:val="left"/>
              <w:spacing w:line="276"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ind w:firstLine="210"/>
              <w:jc w:val="left"/>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ind w:firstLine="210"/>
              <w:jc w:val="left"/>
              <w:spacing w:line="276"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94"/>
        <w:tabs>
          <w:tab w:val="center" w:pos="4153" w:leader="none"/>
          <w:tab w:val="clear" w:pos="7143" w:leader="none"/>
          <w:tab w:val="right" w:pos="8306" w:leader="none"/>
          <w:tab w:val="clear" w:pos="14287" w:leader="none"/>
        </w:tabs>
        <w:rPr>
          <w:rFonts w:hint="eastAsia"/>
          <w:color w:val="000000"/>
          <w:highlight w:val="none"/>
        </w:rPr>
      </w:pPr>
      <w:r>
        <w:rPr>
          <w:rFonts w:hint="eastAsia"/>
          <w:color w:val="000000"/>
          <w:highlight w:val="none"/>
        </w:rPr>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w:t>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注：</w:t>
      </w:r>
      <w:r>
        <w:rPr>
          <w:rFonts w:hint="eastAsia" w:ascii="宋体" w:hAnsi="宋体"/>
          <w:bCs/>
          <w:color w:val="000000"/>
          <w:sz w:val="24"/>
          <w:highlight w:val="none"/>
          <w:lang w:eastAsia="zh-CN"/>
        </w:rPr>
        <w:t xml:space="preserve">(1)</w:t>
      </w:r>
      <w:r>
        <w:rPr>
          <w:rFonts w:hint="eastAsia" w:ascii="宋体" w:hAnsi="宋体"/>
          <w:bCs/>
          <w:color w:val="000000"/>
          <w:sz w:val="24"/>
          <w:highlight w:val="none"/>
        </w:rPr>
        <w:t xml:space="preserve">本表不得删除；</w:t>
      </w:r>
      <w:r/>
    </w:p>
    <w:p>
      <w:pPr>
        <w:ind w:firstLine="480"/>
        <w:rPr>
          <w:rFonts w:hint="eastAsia" w:ascii="宋体" w:hAnsi="宋体"/>
          <w:bCs/>
          <w:color w:val="000000"/>
          <w:sz w:val="24"/>
          <w:highlight w:val="none"/>
        </w:rPr>
      </w:pPr>
      <w:r>
        <w:rPr>
          <w:rFonts w:hint="eastAsia" w:ascii="宋体" w:hAnsi="宋体"/>
          <w:bCs/>
          <w:color w:val="000000"/>
          <w:sz w:val="24"/>
          <w:highlight w:val="none"/>
          <w:lang w:eastAsia="zh-CN"/>
        </w:rPr>
        <w:t xml:space="preserve">(2)</w:t>
      </w:r>
      <w:r>
        <w:rPr>
          <w:rFonts w:hint="eastAsia" w:ascii="宋体" w:hAnsi="宋体"/>
          <w:bCs/>
          <w:color w:val="000000"/>
          <w:sz w:val="24"/>
          <w:highlight w:val="none"/>
        </w:rPr>
        <w:t xml:space="preserve">如无任何技术偏离，请于本表 “偏离说明”中注明“无偏离”；</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bCs/>
          <w:color w:val="000000"/>
          <w:sz w:val="24"/>
          <w:highlight w:val="none"/>
          <w:lang w:eastAsia="zh-CN"/>
        </w:rPr>
        <w:t xml:space="preserve">(3)</w:t>
      </w:r>
      <w:r>
        <w:rPr>
          <w:rFonts w:hint="eastAsia" w:ascii="宋体" w:hAnsi="宋体"/>
          <w:bCs/>
          <w:color w:val="000000"/>
          <w:sz w:val="24"/>
          <w:highlight w:val="none"/>
        </w:rPr>
        <w:t xml:space="preserve">如有技术偏离项，</w:t>
      </w:r>
      <w:r>
        <w:rPr>
          <w:rFonts w:hint="eastAsia" w:ascii="宋体" w:hAnsi="宋体"/>
          <w:b/>
          <w:color w:val="000000"/>
          <w:sz w:val="24"/>
          <w:highlight w:val="none"/>
        </w:rPr>
        <w:t xml:space="preserve">请于本表中列明正偏离或者负偏离并说明偏离内容</w:t>
      </w:r>
      <w:r>
        <w:rPr>
          <w:rFonts w:hint="eastAsia" w:ascii="宋体" w:hAnsi="宋体"/>
          <w:bCs/>
          <w:color w:val="000000"/>
          <w:sz w:val="24"/>
          <w:highlight w:val="none"/>
        </w:rPr>
        <w:t xml:space="preserve">，如需要可自行延长，其余无偏离内容不须赘述。</w:t>
      </w:r>
      <w:r/>
    </w:p>
    <w:p>
      <w:pPr>
        <w:ind w:firstLine="480"/>
        <w:rPr>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6838" w:h="11906" w:orient="landscape"/>
          <w:pgMar w:top="1417" w:right="1417" w:bottom="1417" w:left="1417" w:header="851" w:footer="992" w:gutter="0"/>
          <w:cols w:num="1" w:sep="0" w:space="1701" w:equalWidth="1"/>
          <w:docGrid w:linePitch="360"/>
        </w:sectPr>
      </w:pPr>
      <w:r>
        <w:rPr>
          <w:rFonts w:hint="eastAsia" w:ascii="宋体" w:hAnsi="宋体"/>
          <w:b/>
          <w:bCs/>
          <w:color w:val="000000"/>
          <w:sz w:val="24"/>
          <w:highlight w:val="none"/>
          <w:lang w:eastAsia="zh-CN"/>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负偏离项须逐项列明偏离内容，未全部列明视为未实质性响应采购文件要求，按无效标处理。</w:t>
      </w:r>
      <w:r>
        <w:rPr>
          <w:rFonts w:hint="eastAsia" w:ascii="宋体" w:hAnsi="宋体" w:eastAsia="宋体" w:cs="宋体"/>
          <w:color w:val="000000" w:themeColor="text1"/>
          <w:sz w:val="24"/>
          <w:highlight w:val="none"/>
          <w14:textFill>
            <w14:solidFill>
              <w14:schemeClr w14:val="tx1"/>
            </w14:solidFill>
          </w14:textFill>
        </w:rPr>
        <w:br w:type="page" w:clear="all"/>
      </w:r>
      <w:r/>
    </w:p>
    <w:p>
      <w:pPr>
        <w:ind w:left="425" w:hanging="425"/>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（十二）投标供应商简介和经营情况说明（格式）</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投标供应商情况表</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（内容写不完的栏目可相应扩展）</w:t>
      </w:r>
      <w:r/>
    </w:p>
    <w:tbl>
      <w:tblPr>
        <w:tblStyle w:val="67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中级职称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高级职称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办公面积</w:t>
            </w:r>
            <w:r/>
          </w:p>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自有面积    平方米</w:t>
            </w:r>
            <w:r/>
          </w:p>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14:textFill>
                  <w14:solidFill>
                    <w14:schemeClr w14:val="tx1"/>
                  </w14:solidFill>
                </w14:textFill>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pStyle w:val="679"/>
        <w:ind w:left="294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679"/>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法定代表人或其授权代表签字：</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（十三）评分标准中对应的其它所需证明材料（如有自行添加）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（十四）要求采购人提供的配合（如有自拟并自行添加）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（十五）其它（供应商认为有必要提供的声明和文件，如有自拟并自行添加）</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8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宋体;SimSun">
    <w:panose1 w:val="02010600030101010101"/>
  </w:font>
  <w:font w:name="Wingdings">
    <w:panose1 w:val="05000000000000000000"/>
  </w:font>
  <w:font w:name="方正仿宋_GBK">
    <w:panose1 w:val="020B0503020202020204"/>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微软雅黑">
    <w:panose1 w:val="020B0503020204020204"/>
  </w:font>
  <w:font w:name="Calibri">
    <w:panose1 w:val="020F0502020204030204"/>
  </w:font>
  <w:font w:name="inherit">
    <w:panose1 w:val="020B0503020202020204"/>
  </w:font>
  <w:font w:name="Arial">
    <w:panose1 w:val="020B0604020202020204"/>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tabs>
          <w:tab w:val="left" w:pos="0" w:leader="none"/>
        </w:tabs>
      </w:pPr>
      <w:rPr>
        <w:rFonts w:ascii="Times New Roman" w:hAnsi="Times New Roman" w:eastAsia="宋体" w:cs="Times New Roman"/>
        <w:b/>
        <w:i w:val="0"/>
        <w:sz w:val="44"/>
        <w:szCs w:val="44"/>
      </w:rPr>
    </w:lvl>
    <w:lvl w:ilvl="1">
      <w:start w:val="1"/>
      <w:numFmt w:val="decimal"/>
      <w:isLgl w:val="false"/>
      <w:suff w:val="space"/>
      <w:lvlText w:val="%1.%2"/>
      <w:lvlJc w:val="left"/>
      <w:pPr>
        <w:ind w:left="0" w:firstLine="0"/>
      </w:pPr>
      <w:rPr>
        <w:rFonts w:ascii="Times New Roman" w:hAnsi="Times New Roman" w:eastAsia="宋体" w:cs="Times New Roman"/>
      </w:rPr>
    </w:lvl>
    <w:lvl w:ilvl="2">
      <w:start w:val="1"/>
      <w:numFmt w:val="decimal"/>
      <w:isLgl w:val="false"/>
      <w:suff w:val="space"/>
      <w:lvlText w:val="%1.%2.%3"/>
      <w:lvlJc w:val="left"/>
      <w:pPr>
        <w:ind w:left="1440" w:hanging="1440"/>
      </w:pPr>
      <w:rPr>
        <w:rFonts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2">
    <w:multiLevelType w:val="hybridMultilevel"/>
    <w:lvl w:ilvl="0">
      <w:start w:val="1"/>
      <w:numFmt w:val="lowerLetter"/>
      <w:pStyle w:val="1174"/>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3">
    <w:multiLevelType w:val="hybridMultilevel"/>
    <w:lvl w:ilvl="0">
      <w:start w:val="1"/>
      <w:numFmt w:val="chineseCountingThousand"/>
      <w:pStyle w:val="900"/>
      <w:isLgl w:val="false"/>
      <w:suff w:val="tab"/>
      <w:lvlText w:val="第%1部分"/>
      <w:lvlJc w:val="left"/>
      <w:pPr>
        <w:ind w:left="425" w:hanging="425"/>
        <w:tabs>
          <w:tab w:val="left" w:pos="1800" w:leader="none"/>
        </w:tabs>
      </w:pPr>
      <w:rPr>
        <w:rFonts w:hint="eastAsia"/>
      </w:rPr>
    </w:lvl>
    <w:lvl w:ilvl="1">
      <w:start w:val="1"/>
      <w:numFmt w:val="decimal"/>
      <w:pStyle w:val="901"/>
      <w:isLgl w:val="false"/>
      <w:suff w:val="tab"/>
      <w:lvlText w:val="%1.%2"/>
      <w:lvlJc w:val="left"/>
      <w:pPr>
        <w:ind w:left="567" w:hanging="567"/>
        <w:tabs>
          <w:tab w:val="left" w:pos="567" w:leader="none"/>
        </w:tabs>
      </w:pPr>
      <w:rPr>
        <w:rFonts w:hint="eastAsia"/>
      </w:rPr>
    </w:lvl>
    <w:lvl w:ilvl="2">
      <w:start w:val="1"/>
      <w:numFmt w:val="decimal"/>
      <w:pStyle w:val="100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3"/>
      <w:isLgl w:val="false"/>
      <w:suff w:val="tab"/>
      <w:lvlText w:val="%1.%2.%3.%4.%5"/>
      <w:lvlJc w:val="left"/>
      <w:pPr>
        <w:ind w:left="992" w:hanging="992"/>
        <w:tabs>
          <w:tab w:val="left" w:pos="1080" w:leader="none"/>
        </w:tabs>
      </w:pPr>
      <w:rPr>
        <w:rFonts w:hint="eastAsia"/>
      </w:rPr>
    </w:lvl>
    <w:lvl w:ilvl="5">
      <w:start w:val="1"/>
      <w:numFmt w:val="decimal"/>
      <w:pStyle w:val="90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bullet"/>
      <w:pStyle w:val="69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decimal"/>
      <w:isLgl w:val="false"/>
      <w:suff w:val="tab"/>
      <w:lvlText w:val="（%2）"/>
      <w:lvlJc w:val="left"/>
      <w:pPr>
        <w:ind w:left="1125" w:hanging="420"/>
        <w:tabs>
          <w:tab w:val="left" w:pos="1129" w:leader="none"/>
        </w:tabs>
      </w:pPr>
      <w:rPr>
        <w:rFonts w:hint="eastAsia"/>
        <w:lang w:val="en-US"/>
      </w:rPr>
    </w:lvl>
    <w:lvl w:ilvl="2">
      <w:start w:val="1"/>
      <w:numFmt w:val="japaneseCounting"/>
      <w:isLgl w:val="false"/>
      <w:suff w:val="tab"/>
      <w:lvlText w:val="%3、"/>
      <w:lvlJc w:val="left"/>
      <w:pPr>
        <w:ind w:left="1350" w:hanging="510"/>
      </w:pPr>
      <w:rPr>
        <w:rFonts w:hint="default"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japaneseCounting"/>
      <w:isLgl w:val="false"/>
      <w:suff w:val="tab"/>
      <w:lvlText w:val="第%1条"/>
      <w:lvlJc w:val="left"/>
      <w:pPr>
        <w:ind w:left="1325" w:hanging="765"/>
      </w:pPr>
      <w:rPr>
        <w:rFonts w:hint="default"/>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8">
    <w:multiLevelType w:val="hybridMultilevel"/>
    <w:lvl w:ilvl="0">
      <w:start w:val="0"/>
      <w:numFmt w:val="decimal"/>
      <w:pStyle w:val="1144"/>
      <w:isLgl w:val="false"/>
      <w:suff w:val="tab"/>
      <w:lvlText w:val=""/>
      <w:lvlJc w:val="left"/>
      <w:pPr>
        <w:tabs>
          <w:tab w:val="left" w:pos="360" w:leader="none"/>
        </w:tabs>
      </w:pPr>
    </w:lvl>
    <w:lvl w:ilvl="1">
      <w:start w:val="1"/>
      <w:numFmt w:val="bullet"/>
      <w:pStyle w:val="118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lvlOverride w:ilvl="0">
      <w:lvl w:ilvl="0">
        <w:start w:val="1"/>
        <w:numFmt w:val="decimal"/>
        <w:pStyle w:val="1197"/>
        <w:isLgl w:val="false"/>
        <w:suff w:val="tab"/>
        <w:lvlText w:val="%1."/>
        <w:lvlJc w:val="left"/>
        <w:pPr>
          <w:ind w:left="5806" w:hanging="420"/>
          <w:tabs>
            <w:tab w:val="left" w:pos="0" w:leader="none"/>
          </w:tabs>
        </w:pPr>
        <w:rPr>
          <w:rFonts w:ascii="Times New Roman" w:hAnsi="Times New Roman" w:eastAsia="宋体" w:cs="Times New Roman"/>
          <w:b/>
          <w:i w:val="0"/>
          <w:sz w:val="44"/>
          <w:szCs w:val="44"/>
        </w:rPr>
      </w:lvl>
    </w:lvlOverride>
  </w:num>
  <w:num w:numId="6">
    <w:abstractNumId w:val="6"/>
  </w:num>
  <w:num w:numId="7">
    <w:abstractNumId w:val="9"/>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7">
    <w:name w:val="Heading 1"/>
    <w:basedOn w:val="666"/>
    <w:next w:val="666"/>
    <w:link w:val="753"/>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54"/>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55"/>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5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57"/>
    <w:uiPriority w:val="9"/>
    <w:unhideWhenUsed/>
    <w:qFormat/>
    <w:pPr>
      <w:keepLines/>
      <w:keepNext/>
      <w:spacing w:before="320" w:after="200"/>
      <w:outlineLvl w:val="4"/>
    </w:pPr>
    <w:rPr>
      <w:rFonts w:ascii="Arial" w:hAnsi="Arial" w:eastAsia="Arial" w:cs="Arial"/>
      <w:b/>
      <w:bCs/>
      <w:sz w:val="24"/>
    </w:rPr>
  </w:style>
  <w:style w:type="paragraph" w:styleId="672">
    <w:name w:val="Heading 6"/>
    <w:basedOn w:val="666"/>
    <w:next w:val="666"/>
    <w:link w:val="758"/>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60"/>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61"/>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spacing w:after="57"/>
    </w:pPr>
  </w:style>
  <w:style w:type="paragraph" w:styleId="679">
    <w:name w:val="Normal Indent"/>
    <w:basedOn w:val="666"/>
    <w:uiPriority w:val="0"/>
    <w:qFormat/>
    <w:pPr>
      <w:ind w:firstLine="420"/>
    </w:pPr>
    <w:rPr>
      <w:rFonts w:ascii="Calibri" w:hAnsi="Calibri"/>
    </w:r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annotation text"/>
    <w:basedOn w:val="666"/>
    <w:uiPriority w:val="99"/>
    <w:semiHidden/>
    <w:unhideWhenUsed/>
    <w:qFormat/>
    <w:pPr>
      <w:jc w:val="left"/>
    </w:pPr>
  </w:style>
  <w:style w:type="paragraph" w:styleId="682">
    <w:name w:val="Body Text"/>
    <w:basedOn w:val="666"/>
    <w:next w:val="683"/>
    <w:uiPriority w:val="0"/>
    <w:qFormat/>
    <w:rPr>
      <w:rFonts w:ascii="华文中宋" w:hAnsi="Calibri" w:eastAsia="华文中宋"/>
      <w:bCs/>
      <w:sz w:val="28"/>
    </w:rPr>
  </w:style>
  <w:style w:type="paragraph" w:styleId="683">
    <w:name w:val="Date"/>
    <w:basedOn w:val="666"/>
    <w:next w:val="666"/>
    <w:uiPriority w:val="0"/>
    <w:qFormat/>
    <w:pPr>
      <w:ind w:left="100"/>
    </w:pPr>
    <w:rPr>
      <w:rFonts w:ascii="隶书" w:eastAsia="隶书"/>
      <w:b/>
      <w:sz w:val="28"/>
    </w:rPr>
  </w:style>
  <w:style w:type="paragraph" w:styleId="684">
    <w:name w:val="Body Text Indent"/>
    <w:basedOn w:val="666"/>
    <w:uiPriority w:val="0"/>
    <w:qFormat/>
    <w:pPr>
      <w:ind w:left="420"/>
      <w:spacing w:after="120"/>
    </w:pPr>
  </w:style>
  <w:style w:type="paragraph" w:styleId="685">
    <w:name w:val="List 2"/>
    <w:basedOn w:val="666"/>
    <w:uiPriority w:val="0"/>
    <w:qFormat/>
    <w:pPr>
      <w:ind w:left="840" w:hanging="420"/>
    </w:pPr>
    <w:rPr>
      <w:rFonts w:hAnsi="新宋体"/>
      <w:color w:val="000000"/>
      <w:spacing w:val="-8"/>
      <w:szCs w:val="20"/>
    </w:rPr>
  </w:style>
  <w:style w:type="paragraph" w:styleId="686">
    <w:name w:val="Block Text"/>
    <w:basedOn w:val="666"/>
    <w:uiPriority w:val="0"/>
    <w:qFormat/>
    <w:pPr>
      <w:ind w:left="420" w:right="33"/>
      <w:jc w:val="left"/>
    </w:pPr>
    <w:rPr>
      <w:sz w:val="24"/>
      <w:szCs w:val="20"/>
    </w:rPr>
  </w:style>
  <w:style w:type="paragraph" w:styleId="687">
    <w:name w:val="index 4"/>
    <w:basedOn w:val="666"/>
    <w:next w:val="666"/>
    <w:uiPriority w:val="0"/>
    <w:qFormat/>
    <w:pPr>
      <w:ind w:left="600"/>
    </w:pPr>
  </w:style>
  <w:style w:type="paragraph" w:styleId="688">
    <w:name w:val="toc 5"/>
    <w:basedOn w:val="666"/>
    <w:next w:val="666"/>
    <w:uiPriority w:val="39"/>
    <w:unhideWhenUsed/>
    <w:qFormat/>
    <w:pPr>
      <w:ind w:left="1134"/>
      <w:spacing w:after="57"/>
    </w:pPr>
  </w:style>
  <w:style w:type="paragraph" w:styleId="689">
    <w:name w:val="toc 3"/>
    <w:basedOn w:val="666"/>
    <w:next w:val="666"/>
    <w:uiPriority w:val="39"/>
    <w:unhideWhenUsed/>
    <w:qFormat/>
    <w:pPr>
      <w:ind w:left="567"/>
      <w:spacing w:after="57"/>
    </w:pPr>
  </w:style>
  <w:style w:type="paragraph" w:styleId="690">
    <w:name w:val="Plain Text"/>
    <w:basedOn w:val="666"/>
    <w:uiPriority w:val="0"/>
    <w:qFormat/>
    <w:rPr>
      <w:rFonts w:ascii="宋体" w:hAnsi="Courier New"/>
      <w:sz w:val="20"/>
      <w:szCs w:val="21"/>
    </w:rPr>
  </w:style>
  <w:style w:type="paragraph" w:styleId="691">
    <w:name w:val="List Bullet 5"/>
    <w:basedOn w:val="666"/>
    <w:uiPriority w:val="99"/>
    <w:semiHidden/>
    <w:unhideWhenUsed/>
    <w:qFormat/>
    <w:pPr>
      <w:numPr>
        <w:ilvl w:val="0"/>
        <w:numId w:val="1"/>
      </w:numPr>
    </w:pPr>
  </w:style>
  <w:style w:type="paragraph" w:styleId="692">
    <w:name w:val="toc 8"/>
    <w:basedOn w:val="666"/>
    <w:next w:val="666"/>
    <w:uiPriority w:val="39"/>
    <w:unhideWhenUsed/>
    <w:qFormat/>
    <w:pPr>
      <w:ind w:left="1984"/>
      <w:spacing w:after="57"/>
    </w:pPr>
  </w:style>
  <w:style w:type="paragraph" w:styleId="693">
    <w:name w:val="endnote text"/>
    <w:basedOn w:val="666"/>
    <w:link w:val="898"/>
    <w:uiPriority w:val="99"/>
    <w:semiHidden/>
    <w:unhideWhenUsed/>
    <w:qFormat/>
    <w:rPr>
      <w:sz w:val="20"/>
    </w:rPr>
  </w:style>
  <w:style w:type="paragraph" w:styleId="694">
    <w:name w:val="Footer"/>
    <w:basedOn w:val="666"/>
    <w:link w:val="771"/>
    <w:uiPriority w:val="99"/>
    <w:unhideWhenUsed/>
    <w:qFormat/>
    <w:pPr>
      <w:tabs>
        <w:tab w:val="center" w:pos="7143" w:leader="none"/>
        <w:tab w:val="right" w:pos="14287" w:leader="none"/>
      </w:tabs>
    </w:pPr>
  </w:style>
  <w:style w:type="paragraph" w:styleId="695">
    <w:name w:val="Header"/>
    <w:basedOn w:val="666"/>
    <w:link w:val="769"/>
    <w:uiPriority w:val="99"/>
    <w:unhideWhenUsed/>
    <w:qFormat/>
    <w:pPr>
      <w:tabs>
        <w:tab w:val="center" w:pos="7143" w:leader="none"/>
        <w:tab w:val="right" w:pos="14287" w:leader="none"/>
      </w:tabs>
    </w:pPr>
  </w:style>
  <w:style w:type="paragraph" w:styleId="696">
    <w:name w:val="toc 1"/>
    <w:basedOn w:val="666"/>
    <w:next w:val="666"/>
    <w:uiPriority w:val="39"/>
    <w:unhideWhenUsed/>
    <w:qFormat/>
    <w:pPr>
      <w:spacing w:after="57"/>
    </w:pPr>
  </w:style>
  <w:style w:type="paragraph" w:styleId="697">
    <w:name w:val="toc 4"/>
    <w:basedOn w:val="666"/>
    <w:next w:val="666"/>
    <w:uiPriority w:val="39"/>
    <w:unhideWhenUsed/>
    <w:qFormat/>
    <w:pPr>
      <w:ind w:left="850"/>
      <w:spacing w:after="57"/>
    </w:pPr>
  </w:style>
  <w:style w:type="paragraph" w:styleId="698">
    <w:name w:val="Subtitle"/>
    <w:basedOn w:val="666"/>
    <w:next w:val="666"/>
    <w:link w:val="764"/>
    <w:uiPriority w:val="11"/>
    <w:qFormat/>
    <w:pPr>
      <w:spacing w:before="200" w:after="200"/>
    </w:pPr>
    <w:rPr>
      <w:sz w:val="24"/>
    </w:rPr>
  </w:style>
  <w:style w:type="paragraph" w:styleId="699">
    <w:name w:val="footnote text"/>
    <w:basedOn w:val="666"/>
    <w:link w:val="897"/>
    <w:uiPriority w:val="99"/>
    <w:semiHidden/>
    <w:unhideWhenUsed/>
    <w:qFormat/>
    <w:pPr>
      <w:spacing w:after="40"/>
    </w:pPr>
    <w:rPr>
      <w:sz w:val="18"/>
    </w:rPr>
  </w:style>
  <w:style w:type="paragraph" w:styleId="700">
    <w:name w:val="toc 6"/>
    <w:basedOn w:val="666"/>
    <w:next w:val="666"/>
    <w:uiPriority w:val="39"/>
    <w:unhideWhenUsed/>
    <w:qFormat/>
    <w:pPr>
      <w:ind w:left="1417"/>
      <w:spacing w:after="57"/>
    </w:pPr>
  </w:style>
  <w:style w:type="paragraph" w:styleId="701">
    <w:name w:val="table of figures"/>
    <w:basedOn w:val="666"/>
    <w:next w:val="666"/>
    <w:uiPriority w:val="99"/>
    <w:unhideWhenUsed/>
    <w:qFormat/>
  </w:style>
  <w:style w:type="paragraph" w:styleId="702">
    <w:name w:val="toc 2"/>
    <w:basedOn w:val="666"/>
    <w:next w:val="666"/>
    <w:uiPriority w:val="39"/>
    <w:unhideWhenUsed/>
    <w:qFormat/>
    <w:pPr>
      <w:ind w:left="283"/>
      <w:spacing w:after="57"/>
    </w:pPr>
  </w:style>
  <w:style w:type="paragraph" w:styleId="703">
    <w:name w:val="toc 9"/>
    <w:basedOn w:val="666"/>
    <w:next w:val="666"/>
    <w:uiPriority w:val="39"/>
    <w:unhideWhenUsed/>
    <w:qFormat/>
    <w:pPr>
      <w:ind w:left="2268"/>
      <w:spacing w:after="57"/>
    </w:pPr>
  </w:style>
  <w:style w:type="paragraph" w:styleId="704">
    <w:name w:val="Normal (Web)"/>
    <w:basedOn w:val="666"/>
    <w:uiPriority w:val="0"/>
    <w:qFormat/>
    <w:pPr>
      <w:ind w:firstLine="420"/>
      <w:jc w:val="left"/>
      <w:spacing w:before="100" w:beforeAutospacing="1" w:after="100" w:afterAutospacing="1" w:line="288" w:lineRule="auto"/>
      <w:widowControl/>
    </w:pPr>
    <w:rPr>
      <w:rFonts w:ascii="宋体" w:hAnsi="宋体"/>
      <w:sz w:val="24"/>
    </w:rPr>
  </w:style>
  <w:style w:type="paragraph" w:styleId="705">
    <w:name w:val="Title"/>
    <w:basedOn w:val="666"/>
    <w:next w:val="666"/>
    <w:link w:val="763"/>
    <w:uiPriority w:val="10"/>
    <w:qFormat/>
    <w:pPr>
      <w:contextualSpacing/>
      <w:spacing w:before="300" w:after="200"/>
    </w:pPr>
    <w:rPr>
      <w:sz w:val="48"/>
      <w:szCs w:val="48"/>
    </w:rPr>
  </w:style>
  <w:style w:type="paragraph" w:styleId="706">
    <w:name w:val="Body Text First Indent 2"/>
    <w:basedOn w:val="684"/>
    <w:next w:val="666"/>
    <w:uiPriority w:val="0"/>
    <w:qFormat/>
    <w:pPr>
      <w:ind w:firstLine="420"/>
    </w:pPr>
  </w:style>
  <w:style w:type="table" w:styleId="7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76"/>
    <w:uiPriority w:val="22"/>
    <w:qFormat/>
    <w:rPr>
      <w:b/>
      <w:bCs/>
    </w:r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annotation reference"/>
    <w:basedOn w:val="676"/>
    <w:uiPriority w:val="99"/>
    <w:semiHidden/>
    <w:unhideWhenUsed/>
    <w:qFormat/>
    <w:rPr>
      <w:sz w:val="21"/>
      <w:szCs w:val="21"/>
    </w:rPr>
  </w:style>
  <w:style w:type="character" w:styleId="712">
    <w:name w:val="footnote reference"/>
    <w:uiPriority w:val="99"/>
    <w:unhideWhenUsed/>
    <w:qFormat/>
    <w:rPr>
      <w:vertAlign w:val="superscript"/>
    </w:rPr>
  </w:style>
  <w:style w:type="character" w:styleId="713" w:customStyle="1">
    <w:name w:val="Heading 1 Char"/>
    <w:basedOn w:val="676"/>
    <w:uiPriority w:val="9"/>
    <w:qFormat/>
    <w:rPr>
      <w:rFonts w:ascii="Arial" w:hAnsi="Arial" w:eastAsia="Arial" w:cs="Arial"/>
      <w:sz w:val="40"/>
      <w:szCs w:val="40"/>
    </w:rPr>
  </w:style>
  <w:style w:type="character" w:styleId="714" w:customStyle="1">
    <w:name w:val="Heading 2 Char"/>
    <w:basedOn w:val="676"/>
    <w:uiPriority w:val="9"/>
    <w:qFormat/>
    <w:rPr>
      <w:rFonts w:ascii="Arial" w:hAnsi="Arial" w:eastAsia="Arial" w:cs="Arial"/>
      <w:sz w:val="34"/>
    </w:rPr>
  </w:style>
  <w:style w:type="character" w:styleId="715" w:customStyle="1">
    <w:name w:val="Heading 3 Char"/>
    <w:basedOn w:val="676"/>
    <w:uiPriority w:val="9"/>
    <w:qFormat/>
    <w:rPr>
      <w:rFonts w:ascii="Arial" w:hAnsi="Arial" w:eastAsia="Arial" w:cs="Arial"/>
      <w:sz w:val="30"/>
      <w:szCs w:val="30"/>
    </w:rPr>
  </w:style>
  <w:style w:type="character" w:styleId="716" w:customStyle="1">
    <w:name w:val="Heading 4 Char"/>
    <w:basedOn w:val="676"/>
    <w:uiPriority w:val="9"/>
    <w:qFormat/>
    <w:rPr>
      <w:rFonts w:ascii="Arial" w:hAnsi="Arial" w:eastAsia="Arial" w:cs="Arial"/>
      <w:b/>
      <w:bCs/>
      <w:sz w:val="26"/>
      <w:szCs w:val="26"/>
    </w:rPr>
  </w:style>
  <w:style w:type="character" w:styleId="717" w:customStyle="1">
    <w:name w:val="Heading 5 Char"/>
    <w:basedOn w:val="676"/>
    <w:uiPriority w:val="9"/>
    <w:qFormat/>
    <w:rPr>
      <w:rFonts w:ascii="Arial" w:hAnsi="Arial" w:eastAsia="Arial" w:cs="Arial"/>
      <w:b/>
      <w:bCs/>
      <w:sz w:val="24"/>
      <w:szCs w:val="24"/>
    </w:rPr>
  </w:style>
  <w:style w:type="character" w:styleId="718" w:customStyle="1">
    <w:name w:val="Heading 6 Char"/>
    <w:basedOn w:val="676"/>
    <w:uiPriority w:val="9"/>
    <w:qFormat/>
    <w:rPr>
      <w:rFonts w:ascii="Arial" w:hAnsi="Arial" w:eastAsia="Arial" w:cs="Arial"/>
      <w:b/>
      <w:bCs/>
      <w:sz w:val="22"/>
      <w:szCs w:val="22"/>
    </w:rPr>
  </w:style>
  <w:style w:type="character" w:styleId="719" w:customStyle="1">
    <w:name w:val="Heading 7 Char"/>
    <w:basedOn w:val="676"/>
    <w:uiPriority w:val="9"/>
    <w:qFormat/>
    <w:rPr>
      <w:rFonts w:ascii="Arial" w:hAnsi="Arial" w:eastAsia="Arial" w:cs="Arial"/>
      <w:b/>
      <w:bCs/>
      <w:i/>
      <w:iCs/>
      <w:sz w:val="22"/>
      <w:szCs w:val="22"/>
    </w:rPr>
  </w:style>
  <w:style w:type="character" w:styleId="720" w:customStyle="1">
    <w:name w:val="Heading 8 Char"/>
    <w:basedOn w:val="676"/>
    <w:uiPriority w:val="9"/>
    <w:qFormat/>
    <w:rPr>
      <w:rFonts w:ascii="Arial" w:hAnsi="Arial" w:eastAsia="Arial" w:cs="Arial"/>
      <w:i/>
      <w:iCs/>
      <w:sz w:val="22"/>
      <w:szCs w:val="22"/>
    </w:rPr>
  </w:style>
  <w:style w:type="character" w:styleId="721" w:customStyle="1">
    <w:name w:val="Heading 9 Char"/>
    <w:basedOn w:val="676"/>
    <w:uiPriority w:val="9"/>
    <w:qFormat/>
    <w:rPr>
      <w:rFonts w:ascii="Arial" w:hAnsi="Arial" w:eastAsia="Arial" w:cs="Arial"/>
      <w:i/>
      <w:iCs/>
      <w:sz w:val="21"/>
      <w:szCs w:val="21"/>
    </w:rPr>
  </w:style>
  <w:style w:type="character" w:styleId="722" w:customStyle="1">
    <w:name w:val="Title Char"/>
    <w:basedOn w:val="676"/>
    <w:uiPriority w:val="10"/>
    <w:qFormat/>
    <w:rPr>
      <w:sz w:val="48"/>
      <w:szCs w:val="48"/>
    </w:rPr>
  </w:style>
  <w:style w:type="character" w:styleId="723" w:customStyle="1">
    <w:name w:val="Subtitle Char"/>
    <w:basedOn w:val="676"/>
    <w:uiPriority w:val="11"/>
    <w:qFormat/>
    <w:rPr>
      <w:sz w:val="24"/>
      <w:szCs w:val="24"/>
    </w:rPr>
  </w:style>
  <w:style w:type="character" w:styleId="724" w:customStyle="1">
    <w:name w:val="Quote Char"/>
    <w:uiPriority w:val="29"/>
    <w:qFormat/>
    <w:rPr>
      <w:i/>
    </w:rPr>
  </w:style>
  <w:style w:type="character" w:styleId="725" w:customStyle="1">
    <w:name w:val="Intense Quote Char"/>
    <w:uiPriority w:val="30"/>
    <w:qFormat/>
    <w:rPr>
      <w:i/>
    </w:rPr>
  </w:style>
  <w:style w:type="character" w:styleId="726" w:customStyle="1">
    <w:name w:val="Header Char"/>
    <w:basedOn w:val="676"/>
    <w:uiPriority w:val="99"/>
    <w:qFormat/>
  </w:style>
  <w:style w:type="character" w:styleId="727" w:customStyle="1">
    <w:name w:val="Caption Char"/>
    <w:uiPriority w:val="99"/>
    <w:qFormat/>
  </w:style>
  <w:style w:type="table" w:styleId="728"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章节题目"/>
    <w:basedOn w:val="751"/>
    <w:next w:val="666"/>
    <w:uiPriority w:val="0"/>
    <w:qFormat/>
    <w:pPr>
      <w:ind w:right="2160"/>
      <w:spacing w:before="720" w:after="400" w:line="540" w:lineRule="atLeast"/>
    </w:pPr>
    <w:rPr>
      <w:rFonts w:ascii="Times New Roman" w:hAnsi="Times New Roman"/>
      <w:spacing w:val="-40"/>
      <w:sz w:val="60"/>
    </w:rPr>
  </w:style>
  <w:style w:type="paragraph" w:styleId="751" w:customStyle="1">
    <w:name w:val="基准标题"/>
    <w:basedOn w:val="666"/>
    <w:next w:val="682"/>
    <w:uiPriority w:val="0"/>
    <w:qFormat/>
    <w:pPr>
      <w:keepLines/>
      <w:keepNext/>
      <w:spacing w:before="140" w:line="220" w:lineRule="atLeast"/>
    </w:pPr>
    <w:rPr>
      <w:rFonts w:ascii="Arial" w:hAnsi="Arial"/>
      <w:spacing w:val="-4"/>
    </w:rPr>
  </w:style>
  <w:style w:type="paragraph" w:styleId="752" w:customStyle="1">
    <w:name w:val="TOC Heading1"/>
    <w:next w:val="666"/>
    <w:uiPriority w:val="0"/>
    <w:qFormat/>
    <w:rPr>
      <w:rFonts w:hint="default" w:ascii="Times New Roman" w:hAnsi="Times New Roman" w:eastAsia="宋体" w:cs="Times New Roman"/>
      <w:sz w:val="32"/>
      <w:lang w:val="en-US" w:eastAsia="zh-CN" w:bidi="ar-SA"/>
    </w:rPr>
  </w:style>
  <w:style w:type="character" w:styleId="753" w:customStyle="1">
    <w:name w:val="标题 1 字符1"/>
    <w:link w:val="667"/>
    <w:uiPriority w:val="9"/>
    <w:qFormat/>
    <w:rPr>
      <w:rFonts w:ascii="Arial" w:hAnsi="Arial" w:eastAsia="Arial" w:cs="Arial"/>
      <w:sz w:val="40"/>
      <w:szCs w:val="40"/>
    </w:rPr>
  </w:style>
  <w:style w:type="character" w:styleId="754" w:customStyle="1">
    <w:name w:val="标题 2 字符1"/>
    <w:link w:val="668"/>
    <w:uiPriority w:val="9"/>
    <w:qFormat/>
    <w:rPr>
      <w:rFonts w:ascii="Arial" w:hAnsi="Arial" w:eastAsia="Arial" w:cs="Arial"/>
      <w:sz w:val="34"/>
    </w:rPr>
  </w:style>
  <w:style w:type="character" w:styleId="755" w:customStyle="1">
    <w:name w:val="标题 3 字符1"/>
    <w:link w:val="669"/>
    <w:uiPriority w:val="9"/>
    <w:qFormat/>
    <w:rPr>
      <w:rFonts w:ascii="Arial" w:hAnsi="Arial" w:eastAsia="Arial" w:cs="Arial"/>
      <w:sz w:val="30"/>
      <w:szCs w:val="30"/>
    </w:rPr>
  </w:style>
  <w:style w:type="character" w:styleId="756" w:customStyle="1">
    <w:name w:val="标题 4 字符1"/>
    <w:link w:val="670"/>
    <w:uiPriority w:val="9"/>
    <w:qFormat/>
    <w:rPr>
      <w:rFonts w:ascii="Arial" w:hAnsi="Arial" w:eastAsia="Arial" w:cs="Arial"/>
      <w:b/>
      <w:bCs/>
      <w:sz w:val="26"/>
      <w:szCs w:val="26"/>
    </w:rPr>
  </w:style>
  <w:style w:type="character" w:styleId="757" w:customStyle="1">
    <w:name w:val="标题 5 字符1"/>
    <w:link w:val="671"/>
    <w:uiPriority w:val="9"/>
    <w:qFormat/>
    <w:rPr>
      <w:rFonts w:ascii="Arial" w:hAnsi="Arial" w:eastAsia="Arial" w:cs="Arial"/>
      <w:b/>
      <w:bCs/>
      <w:sz w:val="24"/>
      <w:szCs w:val="24"/>
    </w:rPr>
  </w:style>
  <w:style w:type="character" w:styleId="758" w:customStyle="1">
    <w:name w:val="标题 6 字符1"/>
    <w:link w:val="672"/>
    <w:uiPriority w:val="9"/>
    <w:qFormat/>
    <w:rPr>
      <w:rFonts w:ascii="Arial" w:hAnsi="Arial" w:eastAsia="Arial" w:cs="Arial"/>
      <w:b/>
      <w:bCs/>
      <w:sz w:val="22"/>
      <w:szCs w:val="22"/>
    </w:rPr>
  </w:style>
  <w:style w:type="character" w:styleId="759" w:customStyle="1">
    <w:name w:val="标题 7 字符1"/>
    <w:link w:val="673"/>
    <w:uiPriority w:val="9"/>
    <w:qFormat/>
    <w:rPr>
      <w:rFonts w:ascii="Arial" w:hAnsi="Arial" w:eastAsia="Arial" w:cs="Arial"/>
      <w:b/>
      <w:bCs/>
      <w:i/>
      <w:iCs/>
      <w:sz w:val="22"/>
      <w:szCs w:val="22"/>
    </w:rPr>
  </w:style>
  <w:style w:type="character" w:styleId="760" w:customStyle="1">
    <w:name w:val="标题 8 字符1"/>
    <w:link w:val="674"/>
    <w:uiPriority w:val="9"/>
    <w:qFormat/>
    <w:rPr>
      <w:rFonts w:ascii="Arial" w:hAnsi="Arial" w:eastAsia="Arial" w:cs="Arial"/>
      <w:i/>
      <w:iCs/>
      <w:sz w:val="22"/>
      <w:szCs w:val="22"/>
    </w:rPr>
  </w:style>
  <w:style w:type="character" w:styleId="761" w:customStyle="1">
    <w:name w:val="标题 9 字符1"/>
    <w:link w:val="675"/>
    <w:uiPriority w:val="9"/>
    <w:qFormat/>
    <w:rPr>
      <w:rFonts w:ascii="Arial" w:hAnsi="Arial" w:eastAsia="Arial" w:cs="Arial"/>
      <w:i/>
      <w:iCs/>
      <w:sz w:val="21"/>
      <w:szCs w:val="21"/>
    </w:rPr>
  </w:style>
  <w:style w:type="paragraph" w:styleId="762">
    <w:name w:val="No Spacing"/>
    <w:uiPriority w:val="1"/>
    <w:qFormat/>
    <w:rPr>
      <w:rFonts w:hint="default" w:ascii="Times New Roman" w:hAnsi="Times New Roman" w:eastAsia="宋体" w:cs="Times New Roman"/>
      <w:lang w:val="en-US" w:eastAsia="zh-CN" w:bidi="ar-SA"/>
    </w:rPr>
  </w:style>
  <w:style w:type="character" w:styleId="763" w:customStyle="1">
    <w:name w:val="标题 字符1"/>
    <w:link w:val="705"/>
    <w:uiPriority w:val="10"/>
    <w:qFormat/>
    <w:rPr>
      <w:sz w:val="48"/>
      <w:szCs w:val="48"/>
    </w:rPr>
  </w:style>
  <w:style w:type="character" w:styleId="764" w:customStyle="1">
    <w:name w:val="副标题 字符1"/>
    <w:link w:val="698"/>
    <w:uiPriority w:val="11"/>
    <w:qFormat/>
    <w:rPr>
      <w:sz w:val="24"/>
      <w:szCs w:val="24"/>
    </w:rPr>
  </w:style>
  <w:style w:type="paragraph" w:styleId="765">
    <w:name w:val="Quote"/>
    <w:basedOn w:val="666"/>
    <w:next w:val="666"/>
    <w:link w:val="766"/>
    <w:uiPriority w:val="29"/>
    <w:qFormat/>
    <w:pPr>
      <w:ind w:left="720" w:right="720"/>
    </w:pPr>
    <w:rPr>
      <w:i/>
    </w:rPr>
  </w:style>
  <w:style w:type="character" w:styleId="766" w:customStyle="1">
    <w:name w:val="引用 字符1"/>
    <w:link w:val="765"/>
    <w:uiPriority w:val="29"/>
    <w:qFormat/>
    <w:rPr>
      <w:i/>
    </w:rPr>
  </w:style>
  <w:style w:type="paragraph" w:styleId="767">
    <w:name w:val="Intense Quote"/>
    <w:basedOn w:val="666"/>
    <w:next w:val="666"/>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1"/>
    <w:link w:val="767"/>
    <w:uiPriority w:val="30"/>
    <w:qFormat/>
    <w:rPr>
      <w:i/>
    </w:rPr>
  </w:style>
  <w:style w:type="character" w:styleId="769" w:customStyle="1">
    <w:name w:val="页眉 字符1"/>
    <w:link w:val="695"/>
    <w:uiPriority w:val="99"/>
    <w:qFormat/>
  </w:style>
  <w:style w:type="character" w:styleId="770" w:customStyle="1">
    <w:name w:val="Footer Char"/>
    <w:uiPriority w:val="99"/>
    <w:qFormat/>
  </w:style>
  <w:style w:type="character" w:styleId="771" w:customStyle="1">
    <w:name w:val="页脚 字符1"/>
    <w:link w:val="694"/>
    <w:uiPriority w:val="99"/>
    <w:qFormat/>
  </w:style>
  <w:style w:type="table" w:styleId="7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字符1"/>
    <w:link w:val="699"/>
    <w:uiPriority w:val="99"/>
    <w:qFormat/>
    <w:rPr>
      <w:sz w:val="18"/>
    </w:rPr>
  </w:style>
  <w:style w:type="character" w:styleId="898" w:customStyle="1">
    <w:name w:val="尾注文本 字符"/>
    <w:link w:val="693"/>
    <w:uiPriority w:val="99"/>
    <w:qFormat/>
    <w:rPr>
      <w:sz w:val="20"/>
    </w:rPr>
  </w:style>
  <w:style w:type="paragraph" w:styleId="899" w:customStyle="1">
    <w:name w:val="TOC 标题1"/>
    <w:uiPriority w:val="39"/>
    <w:unhideWhenUsed/>
    <w:qFormat/>
    <w:rPr>
      <w:rFonts w:hint="default" w:ascii="Times New Roman" w:hAnsi="Times New Roman" w:eastAsia="宋体" w:cs="Times New Roman"/>
      <w:lang w:val="en-US" w:eastAsia="zh-CN" w:bidi="ar-SA"/>
    </w:rPr>
  </w:style>
  <w:style w:type="paragraph" w:styleId="900" w:customStyle="1">
    <w:name w:val="标题 11"/>
    <w:basedOn w:val="666"/>
    <w:next w:val="666"/>
    <w:link w:val="911"/>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1" w:customStyle="1">
    <w:name w:val="标题 21"/>
    <w:basedOn w:val="666"/>
    <w:next w:val="666"/>
    <w:link w:val="912"/>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02" w:customStyle="1">
    <w:name w:val="标题 31"/>
    <w:basedOn w:val="666"/>
    <w:next w:val="666"/>
    <w:link w:val="913"/>
    <w:uiPriority w:val="0"/>
    <w:qFormat/>
    <w:pPr>
      <w:keepLines/>
      <w:keepNext/>
      <w:spacing w:before="260" w:after="260" w:line="416" w:lineRule="auto"/>
      <w:outlineLvl w:val="2"/>
    </w:pPr>
    <w:rPr>
      <w:rFonts w:ascii="黑体" w:eastAsia="黑体"/>
      <w:b/>
      <w:bCs/>
      <w:sz w:val="32"/>
      <w:szCs w:val="32"/>
    </w:rPr>
  </w:style>
  <w:style w:type="paragraph" w:styleId="903" w:customStyle="1">
    <w:name w:val="标题 41"/>
    <w:basedOn w:val="666"/>
    <w:next w:val="666"/>
    <w:link w:val="914"/>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04" w:customStyle="1">
    <w:name w:val="标题 51"/>
    <w:basedOn w:val="666"/>
    <w:next w:val="666"/>
    <w:link w:val="915"/>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05" w:customStyle="1">
    <w:name w:val="标题 61"/>
    <w:basedOn w:val="666"/>
    <w:next w:val="666"/>
    <w:link w:val="916"/>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06" w:customStyle="1">
    <w:name w:val="标题 71"/>
    <w:basedOn w:val="666"/>
    <w:next w:val="666"/>
    <w:link w:val="917"/>
    <w:uiPriority w:val="0"/>
    <w:qFormat/>
    <w:pPr>
      <w:ind w:left="1296" w:hanging="1296"/>
      <w:keepLines/>
      <w:keepNext/>
      <w:spacing w:before="240" w:after="64" w:line="320" w:lineRule="atLeast"/>
      <w:tabs>
        <w:tab w:val="left" w:pos="1296" w:leader="none"/>
      </w:tabs>
      <w:outlineLvl w:val="6"/>
    </w:pPr>
    <w:rPr>
      <w:b/>
      <w:sz w:val="24"/>
    </w:rPr>
  </w:style>
  <w:style w:type="paragraph" w:styleId="907" w:customStyle="1">
    <w:name w:val="标题 81"/>
    <w:basedOn w:val="666"/>
    <w:next w:val="666"/>
    <w:link w:val="918"/>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08" w:customStyle="1">
    <w:name w:val="标题 91"/>
    <w:basedOn w:val="666"/>
    <w:next w:val="666"/>
    <w:link w:val="919"/>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09" w:customStyle="1">
    <w:name w:val="默认段落字体1"/>
    <w:uiPriority w:val="1"/>
    <w:unhideWhenUsed/>
    <w:qFormat/>
  </w:style>
  <w:style w:type="table" w:styleId="910" w:customStyle="1">
    <w:name w:val="普通表格1"/>
    <w:uiPriority w:val="0"/>
    <w:semiHidden/>
    <w:qFormat/>
    <w:tblPr>
      <w:tblCellMar>
        <w:left w:w="0" w:type="dxa"/>
        <w:top w:w="0" w:type="dxa"/>
        <w:right w:w="0" w:type="dxa"/>
        <w:bottom w:w="0" w:type="dxa"/>
      </w:tblCellMar>
    </w:tblPr>
  </w:style>
  <w:style w:type="character" w:styleId="911" w:customStyle="1">
    <w:name w:val="标题 1 字符"/>
    <w:link w:val="900"/>
    <w:uiPriority w:val="0"/>
    <w:qFormat/>
    <w:rPr>
      <w:rFonts w:ascii="黑体" w:eastAsia="黑体"/>
      <w:b/>
      <w:bCs/>
      <w:sz w:val="44"/>
      <w:szCs w:val="44"/>
    </w:rPr>
  </w:style>
  <w:style w:type="character" w:styleId="912" w:customStyle="1">
    <w:name w:val="标题 2 字符"/>
    <w:link w:val="901"/>
    <w:uiPriority w:val="0"/>
    <w:qFormat/>
    <w:rPr>
      <w:rFonts w:ascii="Arial" w:hAnsi="Arial" w:eastAsia="黑体"/>
      <w:b/>
      <w:bCs/>
      <w:sz w:val="32"/>
      <w:szCs w:val="32"/>
    </w:rPr>
  </w:style>
  <w:style w:type="character" w:styleId="913" w:customStyle="1">
    <w:name w:val="标题 3 字符"/>
    <w:link w:val="902"/>
    <w:uiPriority w:val="0"/>
    <w:qFormat/>
    <w:rPr>
      <w:rFonts w:ascii="黑体" w:eastAsia="黑体"/>
      <w:b/>
      <w:bCs/>
      <w:sz w:val="32"/>
      <w:szCs w:val="32"/>
    </w:rPr>
  </w:style>
  <w:style w:type="character" w:styleId="914" w:customStyle="1">
    <w:name w:val="标题 4 字符"/>
    <w:link w:val="903"/>
    <w:uiPriority w:val="0"/>
    <w:qFormat/>
    <w:rPr>
      <w:rFonts w:ascii="Arial" w:hAnsi="Arial" w:eastAsia="黑体"/>
      <w:b/>
      <w:bCs/>
      <w:sz w:val="28"/>
      <w:szCs w:val="28"/>
    </w:rPr>
  </w:style>
  <w:style w:type="character" w:styleId="915" w:customStyle="1">
    <w:name w:val="标题 5 字符"/>
    <w:link w:val="904"/>
    <w:uiPriority w:val="0"/>
    <w:qFormat/>
    <w:rPr>
      <w:rFonts w:ascii="黑体" w:eastAsia="黑体"/>
      <w:b/>
      <w:bCs/>
      <w:sz w:val="28"/>
      <w:szCs w:val="28"/>
    </w:rPr>
  </w:style>
  <w:style w:type="character" w:styleId="916" w:customStyle="1">
    <w:name w:val="标题 6 字符"/>
    <w:link w:val="905"/>
    <w:uiPriority w:val="0"/>
    <w:qFormat/>
    <w:rPr>
      <w:rFonts w:ascii="Arial" w:hAnsi="Arial" w:eastAsia="黑体"/>
      <w:b/>
      <w:sz w:val="24"/>
      <w:szCs w:val="24"/>
    </w:rPr>
  </w:style>
  <w:style w:type="character" w:styleId="917" w:customStyle="1">
    <w:name w:val="标题 7 字符"/>
    <w:link w:val="906"/>
    <w:uiPriority w:val="0"/>
    <w:qFormat/>
    <w:rPr>
      <w:b/>
      <w:sz w:val="24"/>
      <w:szCs w:val="24"/>
    </w:rPr>
  </w:style>
  <w:style w:type="character" w:styleId="918" w:customStyle="1">
    <w:name w:val="标题 8 字符"/>
    <w:link w:val="907"/>
    <w:uiPriority w:val="0"/>
    <w:qFormat/>
    <w:rPr>
      <w:rFonts w:ascii="Arial" w:hAnsi="Arial" w:eastAsia="黑体"/>
      <w:sz w:val="24"/>
      <w:szCs w:val="24"/>
    </w:rPr>
  </w:style>
  <w:style w:type="character" w:styleId="919" w:customStyle="1">
    <w:name w:val="标题 9 字符"/>
    <w:link w:val="908"/>
    <w:uiPriority w:val="0"/>
    <w:qFormat/>
    <w:rPr>
      <w:rFonts w:ascii="Arial" w:hAnsi="Arial" w:eastAsia="黑体"/>
      <w:sz w:val="21"/>
      <w:szCs w:val="24"/>
    </w:rPr>
  </w:style>
  <w:style w:type="paragraph" w:styleId="920" w:customStyle="1">
    <w:name w:val="目录 71"/>
    <w:basedOn w:val="666"/>
    <w:next w:val="666"/>
    <w:uiPriority w:val="39"/>
    <w:qFormat/>
    <w:pPr>
      <w:ind w:left="1260" w:firstLine="420"/>
      <w:jc w:val="left"/>
      <w:spacing w:line="288" w:lineRule="auto"/>
    </w:pPr>
    <w:rPr>
      <w:sz w:val="18"/>
      <w:szCs w:val="18"/>
    </w:rPr>
  </w:style>
  <w:style w:type="paragraph" w:styleId="921" w:customStyle="1">
    <w:name w:val="索引 81"/>
    <w:basedOn w:val="666"/>
    <w:next w:val="666"/>
    <w:uiPriority w:val="0"/>
    <w:qFormat/>
    <w:pPr>
      <w:ind w:left="1400"/>
    </w:pPr>
    <w:rPr>
      <w:szCs w:val="20"/>
    </w:rPr>
  </w:style>
  <w:style w:type="paragraph" w:styleId="922" w:customStyle="1">
    <w:name w:val="正文缩进1"/>
    <w:basedOn w:val="666"/>
    <w:link w:val="923"/>
    <w:uiPriority w:val="0"/>
    <w:qFormat/>
    <w:pPr>
      <w:ind w:firstLine="420"/>
      <w:jc w:val="left"/>
      <w:widowControl/>
    </w:pPr>
    <w:rPr>
      <w:sz w:val="20"/>
      <w:szCs w:val="20"/>
    </w:rPr>
  </w:style>
  <w:style w:type="character" w:styleId="923" w:customStyle="1">
    <w:name w:val="正文缩进 字符"/>
    <w:link w:val="922"/>
    <w:uiPriority w:val="0"/>
    <w:qFormat/>
  </w:style>
  <w:style w:type="paragraph" w:styleId="924" w:customStyle="1">
    <w:name w:val="题注1"/>
    <w:basedOn w:val="666"/>
    <w:next w:val="666"/>
    <w:uiPriority w:val="0"/>
    <w:qFormat/>
    <w:rPr>
      <w:rFonts w:ascii="Arial" w:hAnsi="Arial" w:eastAsia="黑体" w:cs="Arial"/>
      <w:sz w:val="20"/>
      <w:szCs w:val="20"/>
    </w:rPr>
  </w:style>
  <w:style w:type="paragraph" w:styleId="925" w:customStyle="1">
    <w:name w:val="索引 51"/>
    <w:basedOn w:val="666"/>
    <w:next w:val="666"/>
    <w:uiPriority w:val="0"/>
    <w:qFormat/>
    <w:pPr>
      <w:ind w:left="800"/>
    </w:pPr>
    <w:rPr>
      <w:szCs w:val="20"/>
    </w:rPr>
  </w:style>
  <w:style w:type="paragraph" w:styleId="926" w:customStyle="1">
    <w:name w:val="文档结构图1"/>
    <w:basedOn w:val="666"/>
    <w:link w:val="927"/>
    <w:uiPriority w:val="0"/>
    <w:qFormat/>
    <w:pPr>
      <w:shd w:val="clear" w:color="auto" w:fill="000080"/>
    </w:pPr>
  </w:style>
  <w:style w:type="character" w:styleId="927" w:customStyle="1">
    <w:name w:val="文档结构图 字符"/>
    <w:link w:val="926"/>
    <w:uiPriority w:val="0"/>
    <w:qFormat/>
    <w:rPr>
      <w:sz w:val="21"/>
      <w:szCs w:val="24"/>
      <w:shd w:val="clear" w:color="auto" w:fill="000080"/>
    </w:rPr>
  </w:style>
  <w:style w:type="paragraph" w:styleId="928" w:customStyle="1">
    <w:name w:val="批注文字1"/>
    <w:basedOn w:val="666"/>
    <w:link w:val="929"/>
    <w:uiPriority w:val="0"/>
    <w:qFormat/>
    <w:pPr>
      <w:jc w:val="left"/>
    </w:pPr>
  </w:style>
  <w:style w:type="character" w:styleId="929" w:customStyle="1">
    <w:name w:val="批注文字 字符"/>
    <w:link w:val="928"/>
    <w:uiPriority w:val="0"/>
    <w:qFormat/>
    <w:rPr>
      <w:sz w:val="21"/>
      <w:szCs w:val="24"/>
    </w:rPr>
  </w:style>
  <w:style w:type="paragraph" w:styleId="930" w:customStyle="1">
    <w:name w:val="索引 61"/>
    <w:basedOn w:val="666"/>
    <w:next w:val="666"/>
    <w:uiPriority w:val="0"/>
    <w:qFormat/>
    <w:pPr>
      <w:ind w:left="1000"/>
    </w:pPr>
    <w:rPr>
      <w:szCs w:val="20"/>
    </w:rPr>
  </w:style>
  <w:style w:type="paragraph" w:styleId="931" w:customStyle="1">
    <w:name w:val="称呼1"/>
    <w:basedOn w:val="666"/>
    <w:next w:val="666"/>
    <w:link w:val="932"/>
    <w:uiPriority w:val="0"/>
    <w:qFormat/>
    <w:pPr>
      <w:ind w:firstLine="420"/>
      <w:spacing w:after="20" w:line="288" w:lineRule="auto"/>
    </w:pPr>
    <w:rPr>
      <w:sz w:val="28"/>
    </w:rPr>
  </w:style>
  <w:style w:type="character" w:styleId="932" w:customStyle="1">
    <w:name w:val="称呼 字符"/>
    <w:link w:val="931"/>
    <w:uiPriority w:val="0"/>
    <w:qFormat/>
    <w:rPr>
      <w:sz w:val="28"/>
      <w:szCs w:val="24"/>
    </w:rPr>
  </w:style>
  <w:style w:type="paragraph" w:styleId="933" w:customStyle="1">
    <w:name w:val="正文文本 31"/>
    <w:basedOn w:val="666"/>
    <w:link w:val="934"/>
    <w:uiPriority w:val="0"/>
    <w:qFormat/>
    <w:pPr>
      <w:jc w:val="center"/>
      <w:spacing w:after="20" w:line="288" w:lineRule="auto"/>
    </w:pPr>
    <w:rPr>
      <w:b/>
      <w:bCs/>
      <w:sz w:val="24"/>
    </w:rPr>
  </w:style>
  <w:style w:type="character" w:styleId="934" w:customStyle="1">
    <w:name w:val="正文文本 3 字符"/>
    <w:link w:val="933"/>
    <w:uiPriority w:val="0"/>
    <w:qFormat/>
    <w:rPr>
      <w:b/>
      <w:bCs/>
      <w:sz w:val="24"/>
      <w:szCs w:val="24"/>
    </w:rPr>
  </w:style>
  <w:style w:type="paragraph" w:styleId="935" w:customStyle="1">
    <w:name w:val="结束语1"/>
    <w:basedOn w:val="666"/>
    <w:link w:val="936"/>
    <w:uiPriority w:val="0"/>
    <w:qFormat/>
    <w:pPr>
      <w:ind w:left="100" w:firstLine="420"/>
      <w:spacing w:after="20" w:line="288" w:lineRule="auto"/>
    </w:pPr>
    <w:rPr>
      <w:sz w:val="28"/>
    </w:rPr>
  </w:style>
  <w:style w:type="character" w:styleId="936" w:customStyle="1">
    <w:name w:val="结束语 字符"/>
    <w:link w:val="935"/>
    <w:uiPriority w:val="0"/>
    <w:qFormat/>
    <w:rPr>
      <w:sz w:val="28"/>
      <w:szCs w:val="24"/>
    </w:rPr>
  </w:style>
  <w:style w:type="paragraph" w:styleId="937" w:customStyle="1">
    <w:name w:val="列表项目符号 31"/>
    <w:basedOn w:val="666"/>
    <w:uiPriority w:val="0"/>
    <w:qFormat/>
    <w:pPr>
      <w:ind w:left="1620" w:hanging="420"/>
      <w:tabs>
        <w:tab w:val="left" w:pos="1620" w:leader="none"/>
      </w:tabs>
    </w:pPr>
  </w:style>
  <w:style w:type="paragraph" w:styleId="938" w:customStyle="1">
    <w:name w:val="正文文本111"/>
    <w:basedOn w:val="666"/>
    <w:next w:val="666"/>
    <w:link w:val="939"/>
    <w:uiPriority w:val="0"/>
    <w:qFormat/>
    <w:rPr>
      <w:rFonts w:ascii="仿宋_GB2312" w:eastAsia="仿宋_GB2312"/>
      <w:sz w:val="28"/>
      <w:szCs w:val="20"/>
    </w:rPr>
  </w:style>
  <w:style w:type="character" w:styleId="939" w:customStyle="1">
    <w:name w:val="正文文本 字符"/>
    <w:link w:val="938"/>
    <w:uiPriority w:val="0"/>
    <w:qFormat/>
    <w:rPr>
      <w:rFonts w:ascii="仿宋_GB2312" w:eastAsia="仿宋_GB2312"/>
      <w:sz w:val="28"/>
    </w:rPr>
  </w:style>
  <w:style w:type="paragraph" w:styleId="940" w:customStyle="1">
    <w:name w:val="正文文本缩进1"/>
    <w:basedOn w:val="666"/>
    <w:link w:val="941"/>
    <w:uiPriority w:val="0"/>
    <w:qFormat/>
    <w:pPr>
      <w:ind w:left="156"/>
      <w:spacing w:line="300" w:lineRule="auto"/>
      <w:widowControl/>
    </w:pPr>
    <w:rPr>
      <w:rFonts w:ascii="仿宋_GB2312" w:eastAsia="仿宋_GB2312"/>
      <w:sz w:val="28"/>
      <w:szCs w:val="20"/>
    </w:rPr>
  </w:style>
  <w:style w:type="character" w:styleId="941" w:customStyle="1">
    <w:name w:val="正文文本缩进 字符"/>
    <w:link w:val="940"/>
    <w:uiPriority w:val="0"/>
    <w:qFormat/>
    <w:rPr>
      <w:rFonts w:ascii="仿宋_GB2312" w:eastAsia="仿宋_GB2312"/>
      <w:sz w:val="28"/>
    </w:rPr>
  </w:style>
  <w:style w:type="paragraph" w:styleId="942" w:customStyle="1">
    <w:name w:val="文本块1"/>
    <w:basedOn w:val="666"/>
    <w:uiPriority w:val="0"/>
    <w:qFormat/>
    <w:pPr>
      <w:ind w:left="420" w:right="33"/>
      <w:jc w:val="left"/>
    </w:pPr>
    <w:rPr>
      <w:sz w:val="24"/>
      <w:szCs w:val="20"/>
    </w:rPr>
  </w:style>
  <w:style w:type="paragraph" w:styleId="943" w:customStyle="1">
    <w:name w:val="列表项目符号 21"/>
    <w:basedOn w:val="666"/>
    <w:uiPriority w:val="0"/>
    <w:qFormat/>
    <w:pPr>
      <w:ind w:left="780"/>
      <w:tabs>
        <w:tab w:val="left" w:pos="360" w:leader="none"/>
        <w:tab w:val="left" w:pos="780" w:leader="none"/>
      </w:tabs>
    </w:pPr>
  </w:style>
  <w:style w:type="paragraph" w:styleId="944" w:customStyle="1">
    <w:name w:val="索引 411"/>
    <w:basedOn w:val="666"/>
    <w:next w:val="666"/>
    <w:uiPriority w:val="0"/>
    <w:qFormat/>
    <w:pPr>
      <w:ind w:left="600"/>
    </w:pPr>
    <w:rPr>
      <w:szCs w:val="20"/>
    </w:rPr>
  </w:style>
  <w:style w:type="paragraph" w:styleId="945" w:customStyle="1">
    <w:name w:val="目录 51"/>
    <w:basedOn w:val="666"/>
    <w:next w:val="666"/>
    <w:uiPriority w:val="39"/>
    <w:qFormat/>
    <w:pPr>
      <w:ind w:left="840" w:firstLine="420"/>
      <w:jc w:val="left"/>
      <w:spacing w:line="288" w:lineRule="auto"/>
    </w:pPr>
    <w:rPr>
      <w:sz w:val="18"/>
      <w:szCs w:val="18"/>
    </w:rPr>
  </w:style>
  <w:style w:type="paragraph" w:styleId="946" w:customStyle="1">
    <w:name w:val="目录 31"/>
    <w:basedOn w:val="666"/>
    <w:next w:val="666"/>
    <w:uiPriority w:val="39"/>
    <w:qFormat/>
    <w:pPr>
      <w:ind w:left="420" w:firstLine="420"/>
      <w:jc w:val="left"/>
      <w:spacing w:line="288" w:lineRule="auto"/>
    </w:pPr>
    <w:rPr>
      <w:iCs/>
      <w:sz w:val="20"/>
      <w:szCs w:val="20"/>
    </w:rPr>
  </w:style>
  <w:style w:type="paragraph" w:styleId="947" w:customStyle="1">
    <w:name w:val="纯文本1"/>
    <w:basedOn w:val="666"/>
    <w:link w:val="948"/>
    <w:uiPriority w:val="0"/>
    <w:qFormat/>
    <w:rPr>
      <w:rFonts w:ascii="宋体" w:hAnsi="Courier New"/>
      <w:szCs w:val="21"/>
    </w:rPr>
  </w:style>
  <w:style w:type="character" w:styleId="948" w:customStyle="1">
    <w:name w:val="纯文本 字符"/>
    <w:link w:val="947"/>
    <w:uiPriority w:val="0"/>
    <w:qFormat/>
    <w:rPr>
      <w:rFonts w:ascii="宋体" w:hAnsi="Courier New"/>
      <w:sz w:val="21"/>
      <w:szCs w:val="21"/>
    </w:rPr>
  </w:style>
  <w:style w:type="paragraph" w:styleId="949" w:customStyle="1">
    <w:name w:val="列表项目符号 51"/>
    <w:basedOn w:val="666"/>
    <w:uiPriority w:val="0"/>
    <w:qFormat/>
    <w:pPr>
      <w:spacing w:line="360" w:lineRule="exact"/>
      <w:widowControl/>
      <w:tabs>
        <w:tab w:val="left" w:pos="360" w:leader="none"/>
        <w:tab w:val="left" w:pos="2040" w:leader="none"/>
      </w:tabs>
    </w:pPr>
    <w:rPr>
      <w:rFonts w:eastAsia="楷体_GB2312"/>
      <w:sz w:val="24"/>
      <w:szCs w:val="20"/>
    </w:rPr>
  </w:style>
  <w:style w:type="paragraph" w:styleId="950" w:customStyle="1">
    <w:name w:val="目录 81"/>
    <w:basedOn w:val="666"/>
    <w:next w:val="666"/>
    <w:uiPriority w:val="39"/>
    <w:qFormat/>
    <w:pPr>
      <w:ind w:left="1470" w:firstLine="420"/>
      <w:jc w:val="left"/>
      <w:spacing w:line="288" w:lineRule="auto"/>
    </w:pPr>
    <w:rPr>
      <w:sz w:val="18"/>
      <w:szCs w:val="18"/>
    </w:rPr>
  </w:style>
  <w:style w:type="paragraph" w:styleId="951" w:customStyle="1">
    <w:name w:val="索引 31"/>
    <w:basedOn w:val="666"/>
    <w:next w:val="666"/>
    <w:uiPriority w:val="0"/>
    <w:qFormat/>
    <w:pPr>
      <w:ind w:left="400"/>
    </w:pPr>
    <w:rPr>
      <w:szCs w:val="20"/>
    </w:rPr>
  </w:style>
  <w:style w:type="paragraph" w:styleId="952" w:customStyle="1">
    <w:name w:val="日期1"/>
    <w:basedOn w:val="666"/>
    <w:next w:val="666"/>
    <w:link w:val="953"/>
    <w:uiPriority w:val="0"/>
    <w:qFormat/>
    <w:pPr>
      <w:ind w:left="100"/>
    </w:pPr>
    <w:rPr>
      <w:rFonts w:ascii="楷体_GB2312" w:eastAsia="楷体_GB2312"/>
      <w:b/>
      <w:sz w:val="28"/>
    </w:rPr>
  </w:style>
  <w:style w:type="character" w:styleId="953" w:customStyle="1">
    <w:name w:val="日期 字符"/>
    <w:link w:val="952"/>
    <w:uiPriority w:val="0"/>
    <w:qFormat/>
    <w:rPr>
      <w:rFonts w:ascii="楷体_GB2312" w:eastAsia="楷体_GB2312"/>
      <w:b/>
      <w:sz w:val="28"/>
      <w:szCs w:val="24"/>
    </w:rPr>
  </w:style>
  <w:style w:type="paragraph" w:styleId="954" w:customStyle="1">
    <w:name w:val="正文文本缩进 21"/>
    <w:basedOn w:val="666"/>
    <w:link w:val="955"/>
    <w:uiPriority w:val="0"/>
    <w:qFormat/>
    <w:pPr>
      <w:ind w:firstLine="559"/>
      <w:spacing w:line="400" w:lineRule="exact"/>
      <w:tabs>
        <w:tab w:val="left" w:pos="0" w:leader="none"/>
        <w:tab w:val="left" w:pos="1134" w:leader="none"/>
      </w:tabs>
    </w:pPr>
    <w:rPr>
      <w:rFonts w:ascii="楷体_GB2312" w:eastAsia="楷体_GB2312"/>
      <w:sz w:val="24"/>
    </w:rPr>
  </w:style>
  <w:style w:type="character" w:styleId="955" w:customStyle="1">
    <w:name w:val="正文文本缩进 2 字符"/>
    <w:link w:val="954"/>
    <w:uiPriority w:val="0"/>
    <w:qFormat/>
    <w:rPr>
      <w:rFonts w:ascii="楷体_GB2312" w:eastAsia="楷体_GB2312"/>
      <w:sz w:val="24"/>
      <w:szCs w:val="24"/>
    </w:rPr>
  </w:style>
  <w:style w:type="paragraph" w:styleId="956" w:customStyle="1">
    <w:name w:val="批注框文本1"/>
    <w:basedOn w:val="666"/>
    <w:link w:val="957"/>
    <w:uiPriority w:val="0"/>
    <w:qFormat/>
    <w:rPr>
      <w:sz w:val="18"/>
      <w:szCs w:val="18"/>
    </w:rPr>
  </w:style>
  <w:style w:type="character" w:styleId="957" w:customStyle="1">
    <w:name w:val="批注框文本 字符"/>
    <w:link w:val="956"/>
    <w:uiPriority w:val="0"/>
    <w:qFormat/>
    <w:rPr>
      <w:sz w:val="18"/>
      <w:szCs w:val="18"/>
    </w:rPr>
  </w:style>
  <w:style w:type="paragraph" w:styleId="958" w:customStyle="1">
    <w:name w:val="页脚1"/>
    <w:basedOn w:val="666"/>
    <w:next w:val="959"/>
    <w:link w:val="960"/>
    <w:uiPriority w:val="99"/>
    <w:qFormat/>
    <w:pPr>
      <w:jc w:val="left"/>
      <w:tabs>
        <w:tab w:val="center" w:pos="4153" w:leader="none"/>
        <w:tab w:val="right" w:pos="8306" w:leader="none"/>
      </w:tabs>
    </w:pPr>
    <w:rPr>
      <w:sz w:val="18"/>
      <w:szCs w:val="18"/>
    </w:rPr>
  </w:style>
  <w:style w:type="paragraph" w:styleId="959" w:customStyle="1">
    <w:name w:val="明显引用1"/>
    <w:basedOn w:val="666"/>
    <w:next w:val="666"/>
    <w:link w:val="961"/>
    <w:uiPriority w:val="0"/>
    <w:qFormat/>
    <w:pPr>
      <w:ind w:left="936" w:right="936"/>
      <w:spacing w:before="200" w:after="280"/>
      <w:pBdr>
        <w:bottom w:val="single" w:color="4F81BD" w:sz="4" w:space="4"/>
      </w:pBdr>
    </w:pPr>
    <w:rPr>
      <w:b/>
      <w:bCs/>
      <w:i/>
      <w:iCs/>
      <w:color w:val="4f81bd"/>
      <w:szCs w:val="22"/>
    </w:rPr>
  </w:style>
  <w:style w:type="character" w:styleId="960" w:customStyle="1">
    <w:name w:val="页脚 字符"/>
    <w:link w:val="958"/>
    <w:uiPriority w:val="99"/>
    <w:qFormat/>
    <w:rPr>
      <w:sz w:val="18"/>
      <w:szCs w:val="18"/>
    </w:rPr>
  </w:style>
  <w:style w:type="character" w:styleId="961" w:customStyle="1">
    <w:name w:val="明显引用 字符"/>
    <w:link w:val="959"/>
    <w:uiPriority w:val="0"/>
    <w:qFormat/>
    <w:rPr>
      <w:b/>
      <w:bCs/>
      <w:i/>
      <w:iCs/>
      <w:color w:val="4f81bd"/>
      <w:sz w:val="21"/>
      <w:szCs w:val="22"/>
    </w:rPr>
  </w:style>
  <w:style w:type="paragraph" w:styleId="962" w:customStyle="1">
    <w:name w:val="寄信人地址1"/>
    <w:basedOn w:val="666"/>
    <w:uiPriority w:val="99"/>
    <w:unhideWhenUsed/>
    <w:qFormat/>
    <w:rPr>
      <w:rFonts w:hint="eastAsia" w:ascii="Arial" w:hAnsi="Arial"/>
      <w:sz w:val="24"/>
    </w:rPr>
  </w:style>
  <w:style w:type="paragraph" w:styleId="963" w:customStyle="1">
    <w:name w:val="页眉11"/>
    <w:basedOn w:val="666"/>
    <w:link w:val="964"/>
    <w:uiPriority w:val="99"/>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字符"/>
    <w:link w:val="963"/>
    <w:uiPriority w:val="99"/>
    <w:qFormat/>
    <w:rPr>
      <w:sz w:val="18"/>
      <w:szCs w:val="18"/>
    </w:rPr>
  </w:style>
  <w:style w:type="paragraph" w:styleId="965" w:customStyle="1">
    <w:name w:val="目录 11"/>
    <w:basedOn w:val="666"/>
    <w:next w:val="666"/>
    <w:uiPriority w:val="39"/>
    <w:qFormat/>
    <w:pPr>
      <w:spacing w:before="120" w:after="120" w:line="288" w:lineRule="auto"/>
      <w:tabs>
        <w:tab w:val="right" w:pos="8296" w:leader="dot"/>
      </w:tabs>
    </w:pPr>
    <w:rPr>
      <w:rFonts w:ascii="黑体" w:hAnsi="宋体" w:eastAsia="黑体"/>
      <w:caps/>
      <w:sz w:val="30"/>
      <w:szCs w:val="30"/>
    </w:rPr>
  </w:style>
  <w:style w:type="paragraph" w:styleId="966" w:customStyle="1">
    <w:name w:val="目录 41"/>
    <w:basedOn w:val="666"/>
    <w:next w:val="666"/>
    <w:uiPriority w:val="39"/>
    <w:qFormat/>
    <w:pPr>
      <w:ind w:left="630" w:firstLine="420"/>
      <w:jc w:val="left"/>
      <w:spacing w:line="288" w:lineRule="auto"/>
    </w:pPr>
    <w:rPr>
      <w:sz w:val="18"/>
      <w:szCs w:val="18"/>
    </w:rPr>
  </w:style>
  <w:style w:type="paragraph" w:styleId="967" w:customStyle="1">
    <w:name w:val="副标题1"/>
    <w:basedOn w:val="666"/>
    <w:next w:val="666"/>
    <w:link w:val="968"/>
    <w:uiPriority w:val="0"/>
    <w:qFormat/>
    <w:pPr>
      <w:jc w:val="center"/>
      <w:spacing w:before="240" w:after="60" w:line="312" w:lineRule="auto"/>
      <w:outlineLvl w:val="1"/>
    </w:pPr>
    <w:rPr>
      <w:rFonts w:ascii="幼圆" w:hAnsi="幼圆"/>
      <w:b/>
      <w:bCs/>
      <w:sz w:val="32"/>
      <w:szCs w:val="32"/>
    </w:rPr>
  </w:style>
  <w:style w:type="character" w:styleId="968" w:customStyle="1">
    <w:name w:val="副标题 字符"/>
    <w:link w:val="967"/>
    <w:uiPriority w:val="0"/>
    <w:qFormat/>
    <w:rPr>
      <w:rFonts w:ascii="幼圆" w:hAnsi="幼圆"/>
      <w:b/>
      <w:bCs/>
      <w:sz w:val="32"/>
      <w:szCs w:val="32"/>
    </w:rPr>
  </w:style>
  <w:style w:type="paragraph" w:styleId="969" w:customStyle="1">
    <w:name w:val="列表1"/>
    <w:basedOn w:val="666"/>
    <w:uiPriority w:val="0"/>
    <w:qFormat/>
    <w:pPr>
      <w:spacing w:after="20" w:line="288" w:lineRule="auto"/>
      <w:tabs>
        <w:tab w:val="left" w:pos="360" w:leader="none"/>
        <w:tab w:val="left" w:pos="420" w:leader="none"/>
      </w:tabs>
    </w:pPr>
    <w:rPr>
      <w:szCs w:val="20"/>
      <w:lang w:val="en-GB"/>
    </w:rPr>
  </w:style>
  <w:style w:type="paragraph" w:styleId="970" w:customStyle="1">
    <w:name w:val="脚注文本1"/>
    <w:basedOn w:val="666"/>
    <w:link w:val="971"/>
    <w:uiPriority w:val="0"/>
    <w:qFormat/>
    <w:pPr>
      <w:ind w:firstLine="425"/>
      <w:jc w:val="left"/>
      <w:spacing w:after="60" w:line="360" w:lineRule="exact"/>
    </w:pPr>
    <w:rPr>
      <w:sz w:val="18"/>
      <w:szCs w:val="18"/>
    </w:rPr>
  </w:style>
  <w:style w:type="character" w:styleId="971" w:customStyle="1">
    <w:name w:val="脚注文本 字符"/>
    <w:link w:val="970"/>
    <w:uiPriority w:val="0"/>
    <w:qFormat/>
    <w:rPr>
      <w:sz w:val="18"/>
      <w:szCs w:val="18"/>
    </w:rPr>
  </w:style>
  <w:style w:type="paragraph" w:styleId="972" w:customStyle="1">
    <w:name w:val="目录 61"/>
    <w:basedOn w:val="666"/>
    <w:next w:val="666"/>
    <w:uiPriority w:val="39"/>
    <w:qFormat/>
    <w:pPr>
      <w:ind w:left="1050" w:firstLine="420"/>
      <w:jc w:val="left"/>
      <w:spacing w:line="288" w:lineRule="auto"/>
    </w:pPr>
    <w:rPr>
      <w:sz w:val="18"/>
      <w:szCs w:val="18"/>
    </w:rPr>
  </w:style>
  <w:style w:type="paragraph" w:styleId="973" w:customStyle="1">
    <w:name w:val="正文文本缩进 31"/>
    <w:basedOn w:val="666"/>
    <w:link w:val="974"/>
    <w:uiPriority w:val="0"/>
    <w:qFormat/>
    <w:pPr>
      <w:ind w:firstLine="698"/>
      <w:jc w:val="left"/>
      <w:spacing w:line="360" w:lineRule="auto"/>
    </w:pPr>
    <w:rPr>
      <w:rFonts w:ascii="仿宋_GB2312" w:eastAsia="仿宋_GB2312"/>
      <w:sz w:val="32"/>
      <w:szCs w:val="20"/>
    </w:rPr>
  </w:style>
  <w:style w:type="character" w:styleId="974" w:customStyle="1">
    <w:name w:val="正文文本缩进 3 字符"/>
    <w:link w:val="973"/>
    <w:uiPriority w:val="0"/>
    <w:qFormat/>
    <w:rPr>
      <w:rFonts w:ascii="仿宋_GB2312" w:eastAsia="仿宋_GB2312"/>
      <w:sz w:val="32"/>
    </w:rPr>
  </w:style>
  <w:style w:type="paragraph" w:styleId="975" w:customStyle="1">
    <w:name w:val="索引 71"/>
    <w:basedOn w:val="666"/>
    <w:next w:val="666"/>
    <w:uiPriority w:val="0"/>
    <w:qFormat/>
    <w:pPr>
      <w:ind w:left="1200"/>
    </w:pPr>
    <w:rPr>
      <w:szCs w:val="20"/>
    </w:rPr>
  </w:style>
  <w:style w:type="paragraph" w:styleId="976" w:customStyle="1">
    <w:name w:val="索引 91"/>
    <w:basedOn w:val="666"/>
    <w:next w:val="666"/>
    <w:uiPriority w:val="0"/>
    <w:qFormat/>
    <w:pPr>
      <w:ind w:left="1600"/>
    </w:pPr>
    <w:rPr>
      <w:szCs w:val="20"/>
    </w:rPr>
  </w:style>
  <w:style w:type="paragraph" w:styleId="977" w:customStyle="1">
    <w:name w:val="目录 21"/>
    <w:basedOn w:val="666"/>
    <w:next w:val="666"/>
    <w:uiPriority w:val="39"/>
    <w:qFormat/>
    <w:pPr>
      <w:ind w:left="210" w:firstLine="420"/>
      <w:jc w:val="left"/>
      <w:spacing w:line="288" w:lineRule="auto"/>
    </w:pPr>
    <w:rPr>
      <w:smallCaps/>
      <w:sz w:val="20"/>
      <w:szCs w:val="20"/>
    </w:rPr>
  </w:style>
  <w:style w:type="paragraph" w:styleId="978" w:customStyle="1">
    <w:name w:val="目录 91"/>
    <w:basedOn w:val="666"/>
    <w:next w:val="666"/>
    <w:uiPriority w:val="39"/>
    <w:qFormat/>
    <w:pPr>
      <w:ind w:left="1680" w:firstLine="420"/>
      <w:jc w:val="left"/>
      <w:spacing w:line="288" w:lineRule="auto"/>
    </w:pPr>
    <w:rPr>
      <w:sz w:val="18"/>
      <w:szCs w:val="18"/>
    </w:rPr>
  </w:style>
  <w:style w:type="paragraph" w:styleId="979" w:customStyle="1">
    <w:name w:val="正文文本 21"/>
    <w:basedOn w:val="666"/>
    <w:link w:val="980"/>
    <w:uiPriority w:val="0"/>
    <w:qFormat/>
    <w:pPr>
      <w:ind w:firstLine="420"/>
      <w:spacing w:after="20" w:line="720" w:lineRule="auto"/>
    </w:pPr>
    <w:rPr>
      <w:sz w:val="30"/>
    </w:rPr>
  </w:style>
  <w:style w:type="character" w:styleId="980" w:customStyle="1">
    <w:name w:val="正文文本 2 字符"/>
    <w:link w:val="979"/>
    <w:uiPriority w:val="0"/>
    <w:qFormat/>
    <w:rPr>
      <w:sz w:val="30"/>
      <w:szCs w:val="24"/>
    </w:rPr>
  </w:style>
  <w:style w:type="paragraph" w:styleId="981" w:customStyle="1">
    <w:name w:val="HTML 预设格式1"/>
    <w:basedOn w:val="666"/>
    <w:link w:val="98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82" w:customStyle="1">
    <w:name w:val="HTML 预设格式 字符"/>
    <w:link w:val="981"/>
    <w:uiPriority w:val="0"/>
    <w:qFormat/>
    <w:rPr>
      <w:rFonts w:ascii="黑体" w:hAnsi="Courier New" w:eastAsia="黑体"/>
    </w:rPr>
  </w:style>
  <w:style w:type="paragraph" w:styleId="983" w:customStyle="1">
    <w:name w:val="普通(网站)1"/>
    <w:basedOn w:val="666"/>
    <w:link w:val="984"/>
    <w:uiPriority w:val="0"/>
    <w:qFormat/>
    <w:pPr>
      <w:ind w:firstLine="420"/>
      <w:jc w:val="left"/>
      <w:spacing w:before="100" w:beforeAutospacing="1" w:after="100" w:afterAutospacing="1" w:line="288" w:lineRule="auto"/>
      <w:widowControl/>
    </w:pPr>
    <w:rPr>
      <w:rFonts w:ascii="宋体" w:hAnsi="宋体"/>
      <w:sz w:val="24"/>
    </w:rPr>
  </w:style>
  <w:style w:type="character" w:styleId="984" w:customStyle="1">
    <w:name w:val="普通(网站) 字符"/>
    <w:link w:val="983"/>
    <w:uiPriority w:val="0"/>
    <w:qFormat/>
    <w:rPr>
      <w:rFonts w:ascii="宋体" w:hAnsi="宋体"/>
      <w:sz w:val="24"/>
      <w:szCs w:val="24"/>
    </w:rPr>
  </w:style>
  <w:style w:type="paragraph" w:styleId="985" w:customStyle="1">
    <w:name w:val="索引 11"/>
    <w:basedOn w:val="666"/>
    <w:next w:val="666"/>
    <w:uiPriority w:val="0"/>
    <w:qFormat/>
    <w:rPr>
      <w:szCs w:val="20"/>
    </w:rPr>
  </w:style>
  <w:style w:type="paragraph" w:styleId="986" w:customStyle="1">
    <w:name w:val="索引 21"/>
    <w:basedOn w:val="666"/>
    <w:next w:val="666"/>
    <w:uiPriority w:val="0"/>
    <w:qFormat/>
    <w:pPr>
      <w:ind w:left="200"/>
    </w:pPr>
    <w:rPr>
      <w:szCs w:val="20"/>
    </w:rPr>
  </w:style>
  <w:style w:type="paragraph" w:styleId="987" w:customStyle="1">
    <w:name w:val="标题1"/>
    <w:basedOn w:val="666"/>
    <w:link w:val="988"/>
    <w:uiPriority w:val="0"/>
    <w:qFormat/>
    <w:pPr>
      <w:ind w:firstLine="420"/>
      <w:jc w:val="center"/>
      <w:spacing w:before="240" w:after="60" w:line="288" w:lineRule="auto"/>
      <w:outlineLvl w:val="0"/>
    </w:pPr>
    <w:rPr>
      <w:rFonts w:ascii="Arial" w:hAnsi="Arial"/>
      <w:b/>
      <w:bCs/>
      <w:sz w:val="32"/>
      <w:szCs w:val="32"/>
    </w:rPr>
  </w:style>
  <w:style w:type="character" w:styleId="988" w:customStyle="1">
    <w:name w:val="标题 字符"/>
    <w:link w:val="987"/>
    <w:uiPriority w:val="0"/>
    <w:qFormat/>
    <w:rPr>
      <w:rFonts w:ascii="Arial" w:hAnsi="Arial" w:cs="Arial"/>
      <w:b/>
      <w:bCs/>
      <w:sz w:val="32"/>
      <w:szCs w:val="32"/>
    </w:rPr>
  </w:style>
  <w:style w:type="paragraph" w:styleId="989" w:customStyle="1">
    <w:name w:val="批注主题1"/>
    <w:basedOn w:val="928"/>
    <w:next w:val="928"/>
    <w:link w:val="990"/>
    <w:uiPriority w:val="0"/>
    <w:qFormat/>
    <w:rPr>
      <w:b/>
      <w:bCs/>
    </w:rPr>
  </w:style>
  <w:style w:type="character" w:styleId="990" w:customStyle="1">
    <w:name w:val="批注主题 字符"/>
    <w:link w:val="989"/>
    <w:uiPriority w:val="0"/>
    <w:qFormat/>
    <w:rPr>
      <w:b/>
      <w:bCs/>
      <w:sz w:val="21"/>
      <w:szCs w:val="24"/>
    </w:rPr>
  </w:style>
  <w:style w:type="paragraph" w:styleId="991" w:customStyle="1">
    <w:name w:val="正文首行缩进11"/>
    <w:basedOn w:val="938"/>
    <w:uiPriority w:val="0"/>
    <w:qFormat/>
    <w:pPr>
      <w:ind w:firstLine="420"/>
      <w:spacing w:after="120"/>
    </w:pPr>
    <w:rPr>
      <w:rFonts w:ascii="Times New Roman" w:eastAsia="宋体"/>
      <w:sz w:val="20"/>
      <w:lang w:bidi="mn-Mong-CN"/>
    </w:rPr>
  </w:style>
  <w:style w:type="paragraph" w:styleId="992" w:customStyle="1">
    <w:name w:val="正文首行缩进 21"/>
    <w:basedOn w:val="940"/>
    <w:next w:val="666"/>
    <w:link w:val="993"/>
    <w:uiPriority w:val="0"/>
    <w:qFormat/>
    <w:pPr>
      <w:ind w:left="420" w:firstLine="420"/>
      <w:spacing w:after="120" w:line="240" w:lineRule="auto"/>
      <w:widowControl w:val="off"/>
    </w:pPr>
    <w:rPr>
      <w:rFonts w:ascii="Cambria" w:hAnsi="Cambria" w:eastAsia="华文细黑"/>
      <w:sz w:val="21"/>
    </w:rPr>
  </w:style>
  <w:style w:type="character" w:styleId="993" w:customStyle="1">
    <w:name w:val="正文文本首行缩进 2 字符"/>
    <w:link w:val="992"/>
    <w:uiPriority w:val="0"/>
    <w:qFormat/>
    <w:rPr>
      <w:rFonts w:ascii="Cambria" w:hAnsi="Cambria" w:eastAsia="华文细黑" w:cs="Cambria"/>
      <w:sz w:val="21"/>
    </w:rPr>
  </w:style>
  <w:style w:type="table" w:styleId="994" w:customStyle="1">
    <w:name w:val="网格型1"/>
    <w:basedOn w:val="910"/>
    <w:uiPriority w:val="0"/>
    <w:qFormat/>
    <w:pPr>
      <w:jc w:val="both"/>
      <w:widowControl w:val="off"/>
    </w:pPr>
    <w:tblPr>
      <w:tblCellMar>
        <w:left w:w="0" w:type="dxa"/>
        <w:top w:w="0" w:type="dxa"/>
        <w:right w:w="0" w:type="dxa"/>
        <w:bottom w:w="0" w:type="dxa"/>
      </w:tblCellMar>
    </w:tblPr>
  </w:style>
  <w:style w:type="character" w:styleId="995" w:customStyle="1">
    <w:name w:val="要点1"/>
    <w:uiPriority w:val="22"/>
    <w:qFormat/>
    <w:rPr>
      <w:b/>
      <w:bCs/>
    </w:rPr>
  </w:style>
  <w:style w:type="character" w:styleId="996" w:customStyle="1">
    <w:name w:val="页码1"/>
    <w:uiPriority w:val="0"/>
    <w:qFormat/>
  </w:style>
  <w:style w:type="character" w:styleId="997" w:customStyle="1">
    <w:name w:val="已访问的超链接1"/>
    <w:uiPriority w:val="0"/>
    <w:qFormat/>
    <w:rPr>
      <w:color w:val="800080"/>
      <w:u w:val="single"/>
    </w:rPr>
  </w:style>
  <w:style w:type="character" w:styleId="998" w:customStyle="1">
    <w:name w:val="强调1"/>
    <w:uiPriority w:val="0"/>
    <w:qFormat/>
    <w:rPr>
      <w:i/>
    </w:rPr>
  </w:style>
  <w:style w:type="character" w:styleId="999" w:customStyle="1">
    <w:name w:val="HTML 打字机1"/>
    <w:uiPriority w:val="0"/>
    <w:unhideWhenUsed/>
    <w:qFormat/>
    <w:rPr>
      <w:rFonts w:ascii="宋体" w:hAnsi="宋体" w:eastAsia="宋体" w:cs="宋体"/>
      <w:sz w:val="24"/>
      <w:szCs w:val="24"/>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脚注引用1"/>
    <w:uiPriority w:val="0"/>
    <w:qFormat/>
    <w:rPr>
      <w:rFonts w:ascii="宋体" w:hAnsi="宋体" w:eastAsia="宋体"/>
      <w:vertAlign w:val="superscript"/>
    </w:rPr>
  </w:style>
  <w:style w:type="paragraph" w:styleId="1003" w:customStyle="1">
    <w:name w:val="索引 41"/>
    <w:basedOn w:val="666"/>
    <w:next w:val="666"/>
    <w:uiPriority w:val="99"/>
    <w:qFormat/>
    <w:pPr>
      <w:ind w:left="600"/>
    </w:pPr>
  </w:style>
  <w:style w:type="paragraph" w:styleId="1004" w:customStyle="1">
    <w:name w:val="_Style 1"/>
    <w:basedOn w:val="666"/>
    <w:uiPriority w:val="34"/>
    <w:qFormat/>
    <w:pPr>
      <w:ind w:firstLine="420"/>
    </w:pPr>
    <w:rPr>
      <w:rFonts w:ascii="Calibri" w:hAnsi="Calibri"/>
      <w:szCs w:val="22"/>
    </w:rPr>
  </w:style>
  <w:style w:type="paragraph" w:styleId="1005" w:customStyle="1">
    <w:name w:val="引文目录1"/>
    <w:basedOn w:val="666"/>
    <w:next w:val="666"/>
    <w:uiPriority w:val="0"/>
    <w:qFormat/>
    <w:pPr>
      <w:ind w:left="420"/>
    </w:pPr>
  </w:style>
  <w:style w:type="paragraph" w:styleId="1006" w:customStyle="1">
    <w:name w:val="样式一"/>
    <w:basedOn w:val="666"/>
    <w:uiPriority w:val="0"/>
    <w:qFormat/>
    <w:pPr>
      <w:numPr>
        <w:ilvl w:val="2"/>
        <w:numId w:val="2"/>
      </w:numPr>
      <w:spacing w:before="100" w:after="100" w:line="360" w:lineRule="exact"/>
    </w:pPr>
    <w:rPr>
      <w:rFonts w:ascii="宋体" w:hAnsi="宋体" w:eastAsia="黑体"/>
      <w:sz w:val="24"/>
      <w:szCs w:val="20"/>
      <w:lang w:val="en-GB"/>
    </w:rPr>
  </w:style>
  <w:style w:type="paragraph" w:styleId="1007" w:customStyle="1">
    <w:name w:val="正文文本首行缩进 21"/>
    <w:basedOn w:val="940"/>
    <w:uiPriority w:val="0"/>
    <w:qFormat/>
    <w:pPr>
      <w:ind w:firstLine="420"/>
    </w:pPr>
  </w:style>
  <w:style w:type="paragraph" w:styleId="1008">
    <w:name w:val="List Paragraph"/>
    <w:basedOn w:val="666"/>
    <w:uiPriority w:val="34"/>
    <w:qFormat/>
    <w:pPr>
      <w:ind w:firstLine="420"/>
    </w:pPr>
    <w:rPr>
      <w:rFonts w:ascii="Calibri" w:hAnsi="Calibri"/>
      <w:szCs w:val="22"/>
    </w:rPr>
  </w:style>
  <w:style w:type="character" w:styleId="1009" w:customStyle="1">
    <w:name w:val="Char Char Char"/>
    <w:uiPriority w:val="0"/>
    <w:qFormat/>
    <w:rPr>
      <w:rFonts w:ascii="宋体" w:hAnsi="宋体" w:eastAsia="宋体"/>
      <w:b/>
      <w:sz w:val="24"/>
      <w:lang w:val="en-US" w:eastAsia="zh-CN" w:bidi="ar-SA"/>
    </w:rPr>
  </w:style>
  <w:style w:type="character" w:styleId="1010" w:customStyle="1">
    <w:name w:val="itm1"/>
    <w:uiPriority w:val="0"/>
    <w:qFormat/>
    <w:rPr>
      <w:rFonts w:hint="eastAsia" w:ascii="宋体" w:hAnsi="宋体" w:eastAsia="宋体"/>
      <w:sz w:val="21"/>
      <w:szCs w:val="21"/>
    </w:rPr>
  </w:style>
  <w:style w:type="character" w:styleId="1011" w:customStyle="1">
    <w:name w:val="明显参考1"/>
    <w:uiPriority w:val="0"/>
    <w:qFormat/>
    <w:rPr>
      <w:b/>
      <w:bCs/>
      <w:smallCaps/>
      <w:color w:val="c0504d"/>
      <w:spacing w:val="5"/>
      <w:u w:val="single"/>
    </w:rPr>
  </w:style>
  <w:style w:type="character" w:styleId="1012" w:customStyle="1">
    <w:name w:val="副标题 Char1"/>
    <w:uiPriority w:val="0"/>
    <w:qFormat/>
    <w:rPr>
      <w:rFonts w:ascii="Cambria" w:hAnsi="Cambria" w:cs="Times New Roman"/>
      <w:b/>
      <w:bCs/>
      <w:sz w:val="32"/>
      <w:szCs w:val="32"/>
    </w:rPr>
  </w:style>
  <w:style w:type="character" w:styleId="1013" w:customStyle="1">
    <w:name w:val="Typewriter"/>
    <w:uiPriority w:val="0"/>
    <w:qFormat/>
    <w:rPr>
      <w:rFonts w:ascii="华文细黑" w:hAnsi="华文细黑"/>
      <w:sz w:val="20"/>
    </w:rPr>
  </w:style>
  <w:style w:type="character" w:styleId="1014"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15" w:customStyle="1">
    <w:name w:val="书籍标题1"/>
    <w:uiPriority w:val="0"/>
    <w:qFormat/>
    <w:rPr>
      <w:b/>
      <w:bCs/>
      <w:smallCaps/>
      <w:spacing w:val="5"/>
    </w:rPr>
  </w:style>
  <w:style w:type="character" w:styleId="1016" w:customStyle="1">
    <w:name w:val="日期 Char1"/>
    <w:uiPriority w:val="0"/>
    <w:qFormat/>
    <w:rPr>
      <w:sz w:val="21"/>
      <w:szCs w:val="22"/>
    </w:rPr>
  </w:style>
  <w:style w:type="character" w:styleId="1017" w:customStyle="1">
    <w:name w:val="正文文本 Char1"/>
    <w:uiPriority w:val="0"/>
    <w:qFormat/>
    <w:rPr>
      <w:sz w:val="21"/>
      <w:szCs w:val="22"/>
    </w:rPr>
  </w:style>
  <w:style w:type="character" w:styleId="1018" w:customStyle="1">
    <w:name w:val="批注文字 Char Char"/>
    <w:uiPriority w:val="0"/>
    <w:qFormat/>
    <w:rPr>
      <w:rFonts w:ascii="华文细黑" w:hAnsi="Cambria" w:eastAsia="华文细黑" w:cs="Cambria"/>
      <w:sz w:val="28"/>
      <w:szCs w:val="20"/>
    </w:rPr>
  </w:style>
  <w:style w:type="character" w:styleId="1019" w:customStyle="1">
    <w:name w:val="称呼 Char1"/>
    <w:uiPriority w:val="0"/>
    <w:qFormat/>
    <w:rPr>
      <w:sz w:val="21"/>
      <w:szCs w:val="24"/>
    </w:rPr>
  </w:style>
  <w:style w:type="character" w:styleId="1020" w:customStyle="1">
    <w:name w:val="正文文本缩进 Char"/>
    <w:uiPriority w:val="0"/>
    <w:qFormat/>
    <w:rPr>
      <w:rFonts w:ascii="Cambria" w:hAnsi="Cambria" w:eastAsia="华文细黑" w:cs="Cambria"/>
      <w:sz w:val="21"/>
      <w:szCs w:val="24"/>
    </w:rPr>
  </w:style>
  <w:style w:type="character" w:styleId="1021" w:customStyle="1">
    <w:name w:val="明显引用 Char1"/>
    <w:uiPriority w:val="30"/>
    <w:qFormat/>
    <w:rPr>
      <w:b/>
      <w:bCs/>
      <w:i/>
      <w:iCs/>
      <w:color w:val="4f81bd"/>
      <w:sz w:val="21"/>
      <w:szCs w:val="24"/>
    </w:rPr>
  </w:style>
  <w:style w:type="character" w:styleId="1022" w:customStyle="1">
    <w:name w:val="正文缩进 Char1"/>
    <w:uiPriority w:val="0"/>
    <w:qFormat/>
    <w:rPr>
      <w:rFonts w:eastAsia="宋体"/>
      <w:lang w:val="en-US" w:eastAsia="zh-CN" w:bidi="ar-SA"/>
    </w:rPr>
  </w:style>
  <w:style w:type="character" w:styleId="1023" w:customStyle="1">
    <w:name w:val="Definition"/>
    <w:uiPriority w:val="0"/>
    <w:qFormat/>
    <w:rPr>
      <w:i/>
    </w:rPr>
  </w:style>
  <w:style w:type="character" w:styleId="1024" w:customStyle="1">
    <w:name w:val="标题 311"/>
    <w:uiPriority w:val="0"/>
    <w:qFormat/>
    <w:rPr>
      <w:rFonts w:hint="eastAsia" w:ascii="黑体" w:hAnsi="ˎ̥" w:eastAsia="黑体"/>
      <w:sz w:val="28"/>
    </w:rPr>
  </w:style>
  <w:style w:type="character" w:styleId="1025" w:customStyle="1">
    <w:name w:val="脚注文本 Char1"/>
    <w:uiPriority w:val="0"/>
    <w:qFormat/>
    <w:rPr>
      <w:sz w:val="18"/>
      <w:szCs w:val="18"/>
    </w:rPr>
  </w:style>
  <w:style w:type="character" w:styleId="1026" w:customStyle="1">
    <w:name w:val="明显强调1"/>
    <w:uiPriority w:val="0"/>
    <w:qFormat/>
    <w:rPr>
      <w:b/>
      <w:bCs/>
      <w:i/>
      <w:iCs/>
      <w:color w:val="4f81bd"/>
    </w:rPr>
  </w:style>
  <w:style w:type="character" w:styleId="1027" w:customStyle="1">
    <w:name w:val="HTML Markup"/>
    <w:uiPriority w:val="0"/>
    <w:qFormat/>
    <w:rPr>
      <w:vanish/>
      <w:color w:val="ff0000"/>
    </w:rPr>
  </w:style>
  <w:style w:type="character" w:styleId="1028" w:customStyle="1">
    <w:name w:val="text_list1"/>
    <w:uiPriority w:val="0"/>
    <w:qFormat/>
    <w:rPr>
      <w:rFonts w:ascii="Arial" w:hAnsi="Arial" w:cs="Arial"/>
      <w:color w:val="000000"/>
      <w:spacing w:val="272"/>
      <w:sz w:val="16"/>
      <w:szCs w:val="16"/>
    </w:rPr>
  </w:style>
  <w:style w:type="character" w:styleId="1029" w:customStyle="1">
    <w:name w:val="标题5 Char Char"/>
    <w:link w:val="1030"/>
    <w:uiPriority w:val="0"/>
    <w:qFormat/>
    <w:rPr>
      <w:rFonts w:ascii="Tahoma" w:hAnsi="Tahoma"/>
      <w:b/>
      <w:bCs/>
      <w:sz w:val="24"/>
      <w:szCs w:val="32"/>
    </w:rPr>
  </w:style>
  <w:style w:type="paragraph" w:styleId="1030" w:customStyle="1">
    <w:name w:val="标题5"/>
    <w:basedOn w:val="902"/>
    <w:link w:val="1029"/>
    <w:uiPriority w:val="0"/>
    <w:qFormat/>
    <w:pPr>
      <w:spacing w:line="413" w:lineRule="auto"/>
    </w:pPr>
    <w:rPr>
      <w:rFonts w:ascii="Tahoma" w:hAnsi="Tahoma" w:eastAsia="宋体"/>
      <w:sz w:val="24"/>
    </w:rPr>
  </w:style>
  <w:style w:type="character" w:styleId="1031" w:customStyle="1">
    <w:name w:val="批注主题 Char1"/>
    <w:uiPriority w:val="0"/>
    <w:qFormat/>
    <w:rPr>
      <w:b/>
      <w:bCs/>
      <w:sz w:val="21"/>
      <w:szCs w:val="22"/>
    </w:rPr>
  </w:style>
  <w:style w:type="character" w:styleId="1032" w:customStyle="1">
    <w:name w:val="CODE"/>
    <w:uiPriority w:val="0"/>
    <w:qFormat/>
    <w:rPr>
      <w:rFonts w:ascii="华文细黑" w:hAnsi="华文细黑"/>
      <w:sz w:val="20"/>
    </w:rPr>
  </w:style>
  <w:style w:type="character" w:styleId="1033" w:customStyle="1">
    <w:name w:val="不明显强调1"/>
    <w:uiPriority w:val="0"/>
    <w:qFormat/>
    <w:rPr>
      <w:i/>
      <w:iCs/>
      <w:color w:val="808080"/>
    </w:rPr>
  </w:style>
  <w:style w:type="character" w:styleId="1034" w:customStyle="1">
    <w:name w:val="不明显参考1"/>
    <w:uiPriority w:val="0"/>
    <w:qFormat/>
    <w:rPr>
      <w:smallCaps/>
      <w:color w:val="c0504d"/>
      <w:u w:val="single"/>
    </w:rPr>
  </w:style>
  <w:style w:type="character" w:styleId="1035" w:customStyle="1">
    <w:name w:val="Char Char4"/>
    <w:uiPriority w:val="0"/>
    <w:qFormat/>
    <w:rPr>
      <w:rFonts w:ascii="华文细黑" w:hAnsi="华文细黑" w:eastAsia="幼圆" w:cs="Tahoma"/>
      <w:b/>
      <w:sz w:val="28"/>
      <w:szCs w:val="32"/>
      <w:lang w:val="en-US" w:eastAsia="zh-CN" w:bidi="ar-SA"/>
    </w:rPr>
  </w:style>
  <w:style w:type="character" w:styleId="1036" w:customStyle="1">
    <w:name w:val="Char Char2"/>
    <w:uiPriority w:val="0"/>
    <w:semiHidden/>
    <w:qFormat/>
    <w:rPr>
      <w:rFonts w:eastAsia="华文细黑"/>
      <w:sz w:val="21"/>
      <w:szCs w:val="24"/>
      <w:lang w:val="en-US" w:eastAsia="zh-CN" w:bidi="ar-SA"/>
    </w:rPr>
  </w:style>
  <w:style w:type="character" w:styleId="1037" w:customStyle="1">
    <w:name w:val="文档结构图 Char1"/>
    <w:uiPriority w:val="0"/>
    <w:qFormat/>
    <w:rPr>
      <w:rFonts w:ascii="华文细黑"/>
      <w:sz w:val="18"/>
      <w:szCs w:val="18"/>
    </w:rPr>
  </w:style>
  <w:style w:type="character" w:styleId="1038" w:customStyle="1">
    <w:name w:val="Char Char1"/>
    <w:uiPriority w:val="0"/>
    <w:qFormat/>
    <w:rPr>
      <w:rFonts w:ascii="幼圆" w:hAnsi="Tahoma" w:eastAsia="幼圆" w:cs="Tahoma"/>
      <w:b/>
      <w:bCs/>
      <w:sz w:val="32"/>
      <w:szCs w:val="32"/>
      <w:lang w:val="en-US" w:eastAsia="zh-CN" w:bidi="ar-SA"/>
    </w:rPr>
  </w:style>
  <w:style w:type="character" w:styleId="1039" w:customStyle="1">
    <w:name w:val="Char Char"/>
    <w:uiPriority w:val="0"/>
    <w:qFormat/>
    <w:rPr>
      <w:rFonts w:eastAsia="华文细黑"/>
      <w:b/>
      <w:bCs/>
      <w:sz w:val="21"/>
      <w:szCs w:val="24"/>
      <w:lang w:val="en-US" w:eastAsia="zh-CN" w:bidi="ar-SA"/>
    </w:rPr>
  </w:style>
  <w:style w:type="character" w:styleId="1040" w:customStyle="1">
    <w:name w:val="页眉 Char1"/>
    <w:uiPriority w:val="0"/>
    <w:qFormat/>
    <w:rPr>
      <w:rFonts w:eastAsia="宋体"/>
      <w:sz w:val="18"/>
      <w:szCs w:val="18"/>
      <w:lang w:val="en-US" w:eastAsia="zh-CN" w:bidi="ar-SA"/>
    </w:rPr>
  </w:style>
  <w:style w:type="character" w:styleId="1041" w:customStyle="1">
    <w:name w:val="Variable"/>
    <w:uiPriority w:val="0"/>
    <w:qFormat/>
    <w:rPr>
      <w:i/>
    </w:rPr>
  </w:style>
  <w:style w:type="character" w:styleId="1042" w:customStyle="1">
    <w:name w:val="结束语 Char1"/>
    <w:uiPriority w:val="0"/>
    <w:qFormat/>
    <w:rPr>
      <w:sz w:val="21"/>
      <w:szCs w:val="24"/>
    </w:rPr>
  </w:style>
  <w:style w:type="character" w:styleId="1043" w:customStyle="1">
    <w:name w:val="表格正文 Char"/>
    <w:link w:val="1044"/>
    <w:uiPriority w:val="0"/>
    <w:qFormat/>
    <w:rPr>
      <w:sz w:val="21"/>
      <w:szCs w:val="24"/>
    </w:rPr>
  </w:style>
  <w:style w:type="paragraph" w:styleId="1044" w:customStyle="1">
    <w:name w:val="表格正文"/>
    <w:basedOn w:val="666"/>
    <w:link w:val="1043"/>
    <w:uiPriority w:val="0"/>
    <w:qFormat/>
  </w:style>
  <w:style w:type="character" w:styleId="1045" w:customStyle="1">
    <w:name w:val="Char Char31"/>
    <w:uiPriority w:val="0"/>
    <w:qFormat/>
    <w:rPr>
      <w:rFonts w:eastAsia="宋体"/>
      <w:b/>
      <w:bCs/>
      <w:sz w:val="32"/>
      <w:szCs w:val="44"/>
      <w:lang w:val="en-US" w:eastAsia="zh-CN" w:bidi="ar-SA"/>
    </w:rPr>
  </w:style>
  <w:style w:type="character" w:styleId="1046" w:customStyle="1">
    <w:name w:val="Comment"/>
    <w:uiPriority w:val="0"/>
    <w:qFormat/>
    <w:rPr>
      <w:vanish/>
    </w:rPr>
  </w:style>
  <w:style w:type="character" w:styleId="1047" w:customStyle="1">
    <w:name w:val="引用 Char1"/>
    <w:uiPriority w:val="29"/>
    <w:qFormat/>
    <w:rPr>
      <w:i/>
      <w:iCs/>
      <w:color w:val="000000"/>
      <w:sz w:val="21"/>
      <w:szCs w:val="24"/>
    </w:rPr>
  </w:style>
  <w:style w:type="character" w:styleId="1048" w:customStyle="1">
    <w:name w:val="Sample"/>
    <w:uiPriority w:val="0"/>
    <w:qFormat/>
    <w:rPr>
      <w:rFonts w:ascii="华文细黑" w:hAnsi="华文细黑"/>
    </w:rPr>
  </w:style>
  <w:style w:type="character" w:styleId="1049" w:customStyle="1">
    <w:name w:val="Para head"/>
    <w:uiPriority w:val="0"/>
    <w:qFormat/>
    <w:rPr>
      <w:rFonts w:ascii="Arial" w:hAnsi="Arial" w:eastAsia="Times New Roman"/>
      <w:sz w:val="20"/>
    </w:rPr>
  </w:style>
  <w:style w:type="character" w:styleId="1050" w:customStyle="1">
    <w:name w:val="批注框文本 Char1"/>
    <w:uiPriority w:val="0"/>
    <w:qFormat/>
    <w:rPr>
      <w:sz w:val="18"/>
      <w:szCs w:val="18"/>
    </w:rPr>
  </w:style>
  <w:style w:type="character" w:styleId="1051" w:customStyle="1">
    <w:name w:val="textcontents"/>
    <w:uiPriority w:val="0"/>
    <w:qFormat/>
    <w:rPr>
      <w:rFonts w:cs="Cambria"/>
    </w:rPr>
  </w:style>
  <w:style w:type="character" w:styleId="1052" w:customStyle="1">
    <w:name w:val="Keyboard"/>
    <w:uiPriority w:val="0"/>
    <w:qFormat/>
    <w:rPr>
      <w:rFonts w:ascii="华文细黑" w:hAnsi="华文细黑"/>
      <w:b/>
      <w:sz w:val="20"/>
    </w:rPr>
  </w:style>
  <w:style w:type="character" w:styleId="1053" w:customStyle="1">
    <w:name w:val="HTML 预设格式 Char1"/>
    <w:uiPriority w:val="0"/>
    <w:qFormat/>
    <w:rPr>
      <w:rFonts w:ascii="Courier New" w:hAnsi="Courier New" w:cs="Courier New"/>
    </w:rPr>
  </w:style>
  <w:style w:type="character" w:styleId="1054" w:customStyle="1">
    <w:name w:val="引用 字符"/>
    <w:link w:val="1055"/>
    <w:uiPriority w:val="0"/>
    <w:qFormat/>
    <w:rPr>
      <w:i/>
      <w:iCs/>
      <w:color w:val="000000"/>
      <w:sz w:val="21"/>
      <w:szCs w:val="22"/>
    </w:rPr>
  </w:style>
  <w:style w:type="paragraph" w:styleId="1055" w:customStyle="1">
    <w:name w:val="引用1"/>
    <w:basedOn w:val="666"/>
    <w:next w:val="666"/>
    <w:link w:val="1054"/>
    <w:uiPriority w:val="0"/>
    <w:qFormat/>
    <w:rPr>
      <w:i/>
      <w:iCs/>
      <w:color w:val="000000"/>
      <w:szCs w:val="22"/>
    </w:rPr>
  </w:style>
  <w:style w:type="character" w:styleId="1056" w:customStyle="1">
    <w:name w:val="Char Char3"/>
    <w:uiPriority w:val="0"/>
    <w:qFormat/>
    <w:rPr>
      <w:rFonts w:ascii="幼圆" w:hAnsi="华文细黑" w:eastAsia="幼圆" w:cs="Tahoma"/>
      <w:b/>
      <w:bCs/>
      <w:sz w:val="24"/>
      <w:szCs w:val="24"/>
      <w:lang w:val="en-US" w:eastAsia="zh-CN" w:bidi="ar-SA"/>
    </w:rPr>
  </w:style>
  <w:style w:type="character" w:styleId="1057" w:customStyle="1">
    <w:name w:val="chword"/>
    <w:uiPriority w:val="0"/>
    <w:qFormat/>
  </w:style>
  <w:style w:type="character" w:styleId="1058" w:customStyle="1">
    <w:name w:val="CITE"/>
    <w:uiPriority w:val="0"/>
    <w:qFormat/>
    <w:rPr>
      <w:i/>
    </w:rPr>
  </w:style>
  <w:style w:type="paragraph" w:styleId="1059" w:customStyle="1">
    <w:name w:val="页眉1"/>
    <w:basedOn w:val="66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60" w:customStyle="1">
    <w:name w:val="xl27"/>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1" w:customStyle="1">
    <w:name w:val="xl42"/>
    <w:basedOn w:val="66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62" w:customStyle="1">
    <w:name w:val="程序代码"/>
    <w:basedOn w:val="666"/>
    <w:uiPriority w:val="0"/>
    <w:qFormat/>
    <w:pPr>
      <w:ind w:left="839" w:firstLine="420"/>
      <w:spacing w:after="20" w:line="288" w:lineRule="auto"/>
    </w:pPr>
    <w:rPr>
      <w:rFonts w:eastAsia="仿宋_GB2312"/>
    </w:rPr>
  </w:style>
  <w:style w:type="paragraph" w:styleId="1063"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064" w:customStyle="1">
    <w:name w:val="列表段落1"/>
    <w:basedOn w:val="666"/>
    <w:uiPriority w:val="0"/>
    <w:qFormat/>
    <w:pPr>
      <w:ind w:firstLine="420"/>
    </w:pPr>
    <w:rPr>
      <w:rFonts w:ascii="Calibri" w:hAnsi="Calibri"/>
      <w:szCs w:val="22"/>
    </w:rPr>
  </w:style>
  <w:style w:type="paragraph" w:styleId="1065" w:customStyle="1">
    <w:name w:val="标准文字"/>
    <w:basedOn w:val="666"/>
    <w:uiPriority w:val="0"/>
    <w:qFormat/>
    <w:pPr>
      <w:ind w:firstLine="420"/>
      <w:spacing w:after="20" w:line="360" w:lineRule="auto"/>
    </w:pPr>
  </w:style>
  <w:style w:type="paragraph" w:styleId="1066" w:customStyle="1">
    <w:name w:val="z-Top of Form"/>
    <w:next w:val="666"/>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067" w:customStyle="1">
    <w:name w:val="TOC 标题11"/>
    <w:basedOn w:val="900"/>
    <w:next w:val="666"/>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68" w:customStyle="1">
    <w:name w:val="简介正文"/>
    <w:basedOn w:val="666"/>
    <w:uiPriority w:val="0"/>
    <w:qFormat/>
    <w:pPr>
      <w:ind w:left="1701" w:hanging="1701"/>
      <w:spacing w:after="20" w:line="520" w:lineRule="exact"/>
      <w:tabs>
        <w:tab w:val="left" w:pos="360" w:leader="none"/>
      </w:tabs>
    </w:pPr>
    <w:rPr>
      <w:sz w:val="24"/>
      <w:szCs w:val="20"/>
    </w:rPr>
  </w:style>
  <w:style w:type="paragraph" w:styleId="1069" w:customStyle="1">
    <w:name w:val="xl43"/>
    <w:basedOn w:val="66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70" w:customStyle="1">
    <w:name w:val="函数注释2"/>
    <w:basedOn w:val="666"/>
    <w:uiPriority w:val="0"/>
    <w:qFormat/>
    <w:pPr>
      <w:ind w:left="1680" w:firstLine="420"/>
      <w:spacing w:after="20" w:line="288" w:lineRule="auto"/>
    </w:pPr>
  </w:style>
  <w:style w:type="paragraph" w:styleId="1071" w:customStyle="1">
    <w:name w:val="Definition Term"/>
    <w:basedOn w:val="666"/>
    <w:next w:val="1072"/>
    <w:uiPriority w:val="0"/>
    <w:qFormat/>
    <w:pPr>
      <w:jc w:val="left"/>
    </w:pPr>
    <w:rPr>
      <w:rFonts w:ascii="Cambria" w:hAnsi="Cambria" w:eastAsia="华文细黑" w:cs="Cambria"/>
      <w:sz w:val="24"/>
      <w:szCs w:val="20"/>
    </w:rPr>
  </w:style>
  <w:style w:type="paragraph" w:styleId="1072" w:customStyle="1">
    <w:name w:val="Definition List"/>
    <w:basedOn w:val="666"/>
    <w:next w:val="1071"/>
    <w:uiPriority w:val="0"/>
    <w:qFormat/>
    <w:pPr>
      <w:ind w:left="360"/>
      <w:jc w:val="left"/>
    </w:pPr>
    <w:rPr>
      <w:rFonts w:ascii="Cambria" w:hAnsi="Cambria" w:eastAsia="华文细黑" w:cs="Cambria"/>
      <w:sz w:val="24"/>
      <w:szCs w:val="20"/>
    </w:rPr>
  </w:style>
  <w:style w:type="paragraph" w:styleId="1073" w:customStyle="1">
    <w:name w:val="默认段落字体 Para Char"/>
    <w:basedOn w:val="666"/>
    <w:uiPriority w:val="0"/>
    <w:qFormat/>
    <w:pPr>
      <w:ind w:firstLine="200"/>
      <w:spacing w:line="360" w:lineRule="auto"/>
    </w:pPr>
    <w:rPr>
      <w:rFonts w:ascii="华文细黑" w:hAnsi="华文细黑" w:eastAsia="华文细黑" w:cs="华文细黑"/>
      <w:sz w:val="24"/>
    </w:rPr>
  </w:style>
  <w:style w:type="paragraph" w:styleId="1074" w:customStyle="1">
    <w:name w:val="样式 标题 1 + 黑体 三号 非加粗 居中 段前: 6 磅 段后: 6 磅 行距: 固定值 20 磅"/>
    <w:basedOn w:val="900"/>
    <w:uiPriority w:val="0"/>
    <w:qFormat/>
    <w:pPr>
      <w:numPr>
        <w:numId w:val="0"/>
      </w:numPr>
      <w:spacing w:before="120" w:after="120" w:line="400" w:lineRule="exact"/>
    </w:pPr>
    <w:rPr>
      <w:rFonts w:ascii="幼圆" w:hAnsi="幼圆" w:eastAsia="幼圆" w:cs="华文细黑"/>
      <w:b w:val="0"/>
      <w:bCs w:val="0"/>
      <w:sz w:val="32"/>
      <w:szCs w:val="20"/>
    </w:rPr>
  </w:style>
  <w:style w:type="paragraph" w:styleId="1075" w:customStyle="1">
    <w:name w:val="yyn"/>
    <w:basedOn w:val="666"/>
    <w:uiPriority w:val="0"/>
    <w:qFormat/>
    <w:pPr>
      <w:ind w:right="562" w:firstLine="576"/>
      <w:keepNext/>
      <w:spacing w:line="360" w:lineRule="auto"/>
      <w:widowControl/>
    </w:pPr>
    <w:rPr>
      <w:rFonts w:ascii="宋体"/>
      <w:sz w:val="28"/>
      <w:szCs w:val="20"/>
    </w:rPr>
  </w:style>
  <w:style w:type="paragraph" w:styleId="1076" w:customStyle="1">
    <w:name w:val="font5"/>
    <w:basedOn w:val="666"/>
    <w:uiPriority w:val="0"/>
    <w:qFormat/>
    <w:pPr>
      <w:jc w:val="left"/>
      <w:spacing w:before="100" w:beforeAutospacing="1" w:after="100" w:afterAutospacing="1"/>
      <w:widowControl/>
    </w:pPr>
    <w:rPr>
      <w:rFonts w:hint="eastAsia" w:ascii="宋体" w:hAnsi="宋体"/>
      <w:sz w:val="18"/>
      <w:szCs w:val="18"/>
    </w:rPr>
  </w:style>
  <w:style w:type="paragraph" w:styleId="1077" w:customStyle="1">
    <w:name w:val="xl33"/>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8" w:customStyle="1">
    <w:name w:val="菲页(卷)"/>
    <w:basedOn w:val="900"/>
    <w:next w:val="1079"/>
    <w:uiPriority w:val="0"/>
    <w:qFormat/>
    <w:pPr>
      <w:ind w:left="780" w:hanging="360"/>
      <w:keepLines w:val="0"/>
      <w:spacing w:before="0" w:after="0" w:line="240" w:lineRule="auto"/>
      <w:widowControl/>
      <w:outlineLvl w:val="1"/>
    </w:pPr>
    <w:rPr>
      <w:b w:val="0"/>
      <w:bCs w:val="0"/>
      <w:sz w:val="52"/>
      <w:szCs w:val="20"/>
    </w:rPr>
  </w:style>
  <w:style w:type="paragraph" w:styleId="107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80" w:customStyle="1">
    <w:name w:val="列表_名词"/>
    <w:basedOn w:val="1081"/>
    <w:uiPriority w:val="0"/>
    <w:qFormat/>
    <w:pPr>
      <w:ind w:left="2745" w:hanging="420"/>
      <w:tabs>
        <w:tab w:val="left" w:pos="2745" w:leader="none"/>
      </w:tabs>
    </w:pPr>
  </w:style>
  <w:style w:type="paragraph" w:styleId="1081" w:customStyle="1">
    <w:name w:val="名词解释11"/>
    <w:basedOn w:val="1082"/>
    <w:uiPriority w:val="0"/>
    <w:qFormat/>
    <w:pPr>
      <w:ind w:firstLine="0"/>
      <w:spacing w:after="0"/>
    </w:pPr>
  </w:style>
  <w:style w:type="paragraph" w:styleId="1082" w:customStyle="1">
    <w:name w:val="名词解释"/>
    <w:basedOn w:val="666"/>
    <w:uiPriority w:val="0"/>
    <w:qFormat/>
    <w:pPr>
      <w:ind w:left="2325" w:hanging="2325"/>
      <w:spacing w:after="20" w:line="288" w:lineRule="auto"/>
    </w:pPr>
    <w:rPr>
      <w:szCs w:val="20"/>
    </w:rPr>
  </w:style>
  <w:style w:type="paragraph" w:styleId="1083" w:customStyle="1">
    <w:name w:val="空半行"/>
    <w:basedOn w:val="666"/>
    <w:uiPriority w:val="0"/>
    <w:qFormat/>
    <w:pPr>
      <w:spacing w:line="120" w:lineRule="exact"/>
    </w:pPr>
    <w:rPr>
      <w:rFonts w:ascii="Cambria" w:hAnsi="Cambria" w:eastAsia="Tahoma" w:cs="Cambria"/>
      <w:color w:val="ffffff"/>
      <w:sz w:val="30"/>
      <w:szCs w:val="20"/>
    </w:rPr>
  </w:style>
  <w:style w:type="paragraph" w:styleId="1084" w:customStyle="1">
    <w:name w:val="xl47"/>
    <w:basedOn w:val="6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5" w:customStyle="1">
    <w:name w:val="xl34"/>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6" w:customStyle="1">
    <w:name w:val="样式1"/>
    <w:basedOn w:val="666"/>
    <w:uiPriority w:val="0"/>
    <w:qFormat/>
    <w:pPr>
      <w:spacing w:before="120" w:after="120" w:line="300" w:lineRule="auto"/>
    </w:pPr>
    <w:rPr>
      <w:rFonts w:ascii="宋体" w:hAnsi="宋体"/>
      <w:b/>
      <w:sz w:val="24"/>
      <w:szCs w:val="20"/>
    </w:rPr>
  </w:style>
  <w:style w:type="paragraph" w:styleId="1087" w:customStyle="1">
    <w:name w:val="正文(缩进)"/>
    <w:basedOn w:val="666"/>
    <w:uiPriority w:val="0"/>
    <w:qFormat/>
    <w:pPr>
      <w:ind w:firstLine="200"/>
      <w:spacing w:line="360" w:lineRule="auto"/>
      <w:widowControl/>
    </w:pPr>
    <w:rPr>
      <w:rFonts w:eastAsia="仿宋_GB2312"/>
      <w:sz w:val="24"/>
      <w:szCs w:val="20"/>
    </w:rPr>
  </w:style>
  <w:style w:type="paragraph" w:styleId="1088" w:customStyle="1">
    <w:name w:val="产品型号"/>
    <w:basedOn w:val="666"/>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9" w:customStyle="1">
    <w:name w:val="xl37"/>
    <w:basedOn w:val="6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90" w:customStyle="1">
    <w:name w:val="列表2"/>
    <w:basedOn w:val="666"/>
    <w:uiPriority w:val="0"/>
    <w:qFormat/>
    <w:pPr>
      <w:ind w:left="1469" w:hanging="420"/>
      <w:spacing w:after="20" w:line="288" w:lineRule="auto"/>
      <w:tabs>
        <w:tab w:val="left" w:pos="1470" w:leader="none"/>
      </w:tabs>
    </w:pPr>
  </w:style>
  <w:style w:type="paragraph" w:styleId="1091" w:customStyle="1">
    <w:name w:val="xl29"/>
    <w:basedOn w:val="66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2" w:customStyle="1">
    <w:name w:val="xl32"/>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3" w:customStyle="1">
    <w:name w:val="Default Paragraph Font Para Char"/>
    <w:basedOn w:val="666"/>
    <w:uiPriority w:val="0"/>
    <w:qFormat/>
    <w:pPr>
      <w:jc w:val="left"/>
      <w:spacing w:after="160" w:line="240" w:lineRule="exact"/>
      <w:widowControl/>
    </w:pPr>
  </w:style>
  <w:style w:type="paragraph" w:styleId="1094" w:customStyle="1">
    <w:name w:val="1"/>
    <w:basedOn w:val="666"/>
    <w:uiPriority w:val="0"/>
    <w:qFormat/>
    <w:pPr>
      <w:ind w:firstLine="200"/>
      <w:spacing w:line="360" w:lineRule="auto"/>
    </w:pPr>
    <w:rPr>
      <w:rFonts w:ascii="华文细黑" w:hAnsi="华文细黑" w:eastAsia="华文细黑" w:cs="华文细黑"/>
      <w:sz w:val="24"/>
    </w:rPr>
  </w:style>
  <w:style w:type="paragraph" w:styleId="1095" w:customStyle="1">
    <w:name w:val="表格"/>
    <w:basedOn w:val="666"/>
    <w:uiPriority w:val="0"/>
    <w:qFormat/>
    <w:pPr>
      <w:jc w:val="center"/>
    </w:pPr>
    <w:rPr>
      <w:szCs w:val="21"/>
    </w:rPr>
  </w:style>
  <w:style w:type="paragraph" w:styleId="1096" w:customStyle="1">
    <w:name w:val="回信地址"/>
    <w:basedOn w:val="66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97" w:customStyle="1">
    <w:name w:val="xl45"/>
    <w:basedOn w:val="6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8" w:customStyle="1">
    <w:name w:val="Preformatted"/>
    <w:basedOn w:val="66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99" w:customStyle="1">
    <w:name w:val="并列项-点"/>
    <w:basedOn w:val="666"/>
    <w:uiPriority w:val="0"/>
    <w:qFormat/>
    <w:pPr>
      <w:ind w:left="851" w:hanging="284"/>
      <w:spacing w:before="120" w:line="360" w:lineRule="auto"/>
      <w:widowControl/>
      <w:tabs>
        <w:tab w:val="left" w:pos="851" w:leader="none"/>
        <w:tab w:val="left" w:pos="927" w:leader="none"/>
      </w:tabs>
    </w:pPr>
    <w:rPr>
      <w:sz w:val="24"/>
      <w:szCs w:val="20"/>
    </w:rPr>
  </w:style>
  <w:style w:type="paragraph" w:styleId="1100" w:customStyle="1">
    <w:name w:val="标题0"/>
    <w:basedOn w:val="987"/>
    <w:next w:val="987"/>
    <w:uiPriority w:val="0"/>
    <w:qFormat/>
    <w:rPr>
      <w:sz w:val="52"/>
    </w:rPr>
  </w:style>
  <w:style w:type="paragraph" w:styleId="1101" w:customStyle="1">
    <w:name w:val="重点"/>
    <w:basedOn w:val="666"/>
    <w:uiPriority w:val="0"/>
    <w:qFormat/>
    <w:pPr>
      <w:ind w:firstLine="420"/>
      <w:spacing w:after="20" w:line="288" w:lineRule="auto"/>
      <w:shd w:val="pct10" w:color="auto" w:fill="auto"/>
    </w:pPr>
    <w:rPr>
      <w:rFonts w:eastAsia="黑体"/>
      <w:b/>
    </w:rPr>
  </w:style>
  <w:style w:type="paragraph" w:styleId="1102" w:customStyle="1">
    <w:name w:val="xl48"/>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3" w:customStyle="1">
    <w:name w:val="a2"/>
    <w:basedOn w:val="666"/>
    <w:uiPriority w:val="0"/>
    <w:qFormat/>
    <w:pPr>
      <w:jc w:val="left"/>
      <w:spacing w:before="100" w:beforeAutospacing="1" w:after="100" w:afterAutospacing="1"/>
      <w:widowControl/>
    </w:pPr>
    <w:rPr>
      <w:rFonts w:ascii="宋体" w:hAnsi="宋体" w:cs="宋体"/>
      <w:sz w:val="24"/>
    </w:rPr>
  </w:style>
  <w:style w:type="paragraph" w:styleId="1104" w:customStyle="1">
    <w:name w:val="图形"/>
    <w:basedOn w:val="666"/>
    <w:uiPriority w:val="0"/>
    <w:qFormat/>
    <w:pPr>
      <w:ind w:firstLine="420"/>
      <w:jc w:val="center"/>
      <w:spacing w:after="20" w:line="288" w:lineRule="auto"/>
    </w:pPr>
  </w:style>
  <w:style w:type="paragraph" w:styleId="1105" w:customStyle="1">
    <w:name w:val="函数注释1"/>
    <w:basedOn w:val="666"/>
    <w:uiPriority w:val="0"/>
    <w:qFormat/>
    <w:pPr>
      <w:ind w:left="1678" w:right="210" w:hanging="1049"/>
      <w:jc w:val="left"/>
      <w:spacing w:after="20" w:line="320" w:lineRule="exact"/>
    </w:pPr>
    <w:rPr>
      <w:szCs w:val="20"/>
    </w:rPr>
  </w:style>
  <w:style w:type="paragraph" w:styleId="1106" w:customStyle="1">
    <w:name w:val="Blockquote"/>
    <w:basedOn w:val="666"/>
    <w:uiPriority w:val="0"/>
    <w:qFormat/>
    <w:pPr>
      <w:ind w:left="360" w:right="360"/>
      <w:jc w:val="left"/>
      <w:spacing w:before="100" w:after="100"/>
    </w:pPr>
    <w:rPr>
      <w:rFonts w:ascii="Cambria" w:hAnsi="Cambria" w:eastAsia="华文细黑" w:cs="Cambria"/>
      <w:sz w:val="24"/>
      <w:szCs w:val="20"/>
    </w:rPr>
  </w:style>
  <w:style w:type="paragraph" w:styleId="1107" w:customStyle="1">
    <w:name w:val="菲页1"/>
    <w:basedOn w:val="901"/>
    <w:uiPriority w:val="0"/>
    <w:qFormat/>
    <w:pPr>
      <w:numPr>
        <w:numId w:val="0"/>
      </w:numPr>
      <w:jc w:val="center"/>
      <w:widowControl/>
    </w:pPr>
    <w:rPr>
      <w:rFonts w:ascii="黑体" w:hAnsi="宋体"/>
      <w:b w:val="0"/>
      <w:bCs w:val="0"/>
      <w:sz w:val="52"/>
      <w:szCs w:val="20"/>
    </w:rPr>
  </w:style>
  <w:style w:type="paragraph" w:styleId="1108" w:customStyle="1">
    <w:name w:val="xl35"/>
    <w:basedOn w:val="6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9" w:customStyle="1">
    <w:name w:val="样式 标题 3 + (中文) 黑体 小四 非加粗 段前: 7.8 磅 段后: 0 磅 行距: 固定值 20 磅"/>
    <w:basedOn w:val="902"/>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10" w:customStyle="1">
    <w:name w:val="表蕊"/>
    <w:basedOn w:val="666"/>
    <w:uiPriority w:val="0"/>
    <w:qFormat/>
    <w:pPr>
      <w:jc w:val="left"/>
      <w:spacing w:line="320" w:lineRule="atLeast"/>
    </w:pPr>
    <w:rPr>
      <w:rFonts w:eastAsia="楷体_GB2312"/>
      <w:spacing w:val="-10"/>
      <w:szCs w:val="20"/>
    </w:rPr>
  </w:style>
  <w:style w:type="paragraph" w:styleId="1111" w:customStyle="1">
    <w:name w:val="目录文字"/>
    <w:basedOn w:val="666"/>
    <w:uiPriority w:val="0"/>
    <w:qFormat/>
    <w:pPr>
      <w:jc w:val="left"/>
      <w:spacing w:line="480" w:lineRule="auto"/>
      <w:widowControl/>
    </w:pPr>
    <w:rPr>
      <w:rFonts w:ascii="宋体" w:hAnsi="宋体"/>
      <w:sz w:val="24"/>
      <w:szCs w:val="20"/>
    </w:rPr>
  </w:style>
  <w:style w:type="paragraph" w:styleId="1112" w:customStyle="1">
    <w:name w:val="默认段落字体 Para Char Char Char1 Char"/>
    <w:basedOn w:val="666"/>
    <w:uiPriority w:val="0"/>
    <w:qFormat/>
    <w:pPr>
      <w:ind w:left="420" w:firstLine="420"/>
      <w:spacing w:line="360" w:lineRule="auto"/>
    </w:pPr>
    <w:rPr>
      <w:sz w:val="24"/>
      <w:szCs w:val="21"/>
    </w:rPr>
  </w:style>
  <w:style w:type="paragraph" w:styleId="1113" w:customStyle="1">
    <w:name w:val="TOC 标题2"/>
    <w:basedOn w:val="900"/>
    <w:next w:val="666"/>
    <w:uiPriority w:val="0"/>
    <w:qFormat/>
    <w:pPr>
      <w:numPr>
        <w:numId w:val="0"/>
      </w:numPr>
      <w:jc w:val="both"/>
      <w:outlineLvl w:val="9"/>
    </w:pPr>
    <w:rPr>
      <w:rFonts w:ascii="Cambria" w:hAnsi="Cambria" w:eastAsia="华文细黑" w:cs="Cambria"/>
    </w:rPr>
  </w:style>
  <w:style w:type="paragraph" w:styleId="1114" w:customStyle="1">
    <w:name w:val="font6"/>
    <w:basedOn w:val="666"/>
    <w:uiPriority w:val="0"/>
    <w:qFormat/>
    <w:pPr>
      <w:ind w:firstLine="420"/>
      <w:jc w:val="left"/>
      <w:spacing w:before="100" w:beforeAutospacing="1" w:after="100" w:afterAutospacing="1" w:line="288" w:lineRule="auto"/>
      <w:widowControl/>
    </w:pPr>
    <w:rPr>
      <w:sz w:val="24"/>
    </w:rPr>
  </w:style>
  <w:style w:type="paragraph" w:styleId="1115" w:customStyle="1">
    <w:name w:val="p0"/>
    <w:basedOn w:val="666"/>
    <w:uiPriority w:val="0"/>
    <w:qFormat/>
    <w:pPr>
      <w:widowControl/>
    </w:pPr>
    <w:rPr>
      <w:szCs w:val="21"/>
    </w:rPr>
  </w:style>
  <w:style w:type="paragraph" w:styleId="1116" w:customStyle="1">
    <w:name w:val="Char"/>
    <w:basedOn w:val="666"/>
    <w:uiPriority w:val="0"/>
    <w:qFormat/>
    <w:pPr>
      <w:ind w:left="420" w:firstLine="420"/>
      <w:spacing w:line="240" w:lineRule="atLeast"/>
    </w:pPr>
    <w:rPr>
      <w:szCs w:val="21"/>
    </w:rPr>
  </w:style>
  <w:style w:type="paragraph" w:styleId="1117" w:customStyle="1">
    <w:name w:val="菲页2"/>
    <w:basedOn w:val="902"/>
    <w:uiPriority w:val="0"/>
    <w:qFormat/>
    <w:pPr>
      <w:ind w:left="6233" w:hanging="420"/>
      <w:jc w:val="center"/>
      <w:spacing w:before="120" w:after="120" w:line="360" w:lineRule="auto"/>
      <w:widowControl/>
    </w:pPr>
    <w:rPr>
      <w:rFonts w:hAnsi="宋体"/>
      <w:b w:val="0"/>
      <w:bCs w:val="0"/>
      <w:sz w:val="44"/>
      <w:szCs w:val="20"/>
    </w:rPr>
  </w:style>
  <w:style w:type="paragraph" w:styleId="1118" w:customStyle="1">
    <w:name w:val="Char Char Char Char Char Char Char Char Char Char1"/>
    <w:basedOn w:val="666"/>
    <w:uiPriority w:val="0"/>
    <w:qFormat/>
    <w:pPr>
      <w:ind w:left="425" w:hanging="425"/>
      <w:tabs>
        <w:tab w:val="left" w:pos="425" w:leader="none"/>
      </w:tabs>
    </w:pPr>
    <w:rPr>
      <w:sz w:val="28"/>
      <w:szCs w:val="20"/>
    </w:rPr>
  </w:style>
  <w:style w:type="paragraph" w:styleId="1119" w:customStyle="1">
    <w:name w:val="z-Bottom of Form"/>
    <w:next w:val="666"/>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20" w:customStyle="1">
    <w:name w:val="样式 (西文) 仿宋_GB2312 居中 行距: 1.5 倍行距"/>
    <w:basedOn w:val="666"/>
    <w:uiPriority w:val="0"/>
    <w:qFormat/>
    <w:pPr>
      <w:jc w:val="center"/>
      <w:spacing w:line="360" w:lineRule="auto"/>
    </w:pPr>
    <w:rPr>
      <w:rFonts w:ascii="华文细黑" w:hAnsi="华文细黑" w:eastAsia="华文细黑" w:cs="华文细黑"/>
      <w:szCs w:val="20"/>
    </w:rPr>
  </w:style>
  <w:style w:type="paragraph" w:styleId="1121" w:customStyle="1">
    <w:name w:val="font7"/>
    <w:basedOn w:val="666"/>
    <w:uiPriority w:val="0"/>
    <w:qFormat/>
    <w:pPr>
      <w:ind w:firstLine="420"/>
      <w:jc w:val="left"/>
      <w:spacing w:before="100" w:beforeAutospacing="1" w:after="100" w:afterAutospacing="1" w:line="288" w:lineRule="auto"/>
      <w:widowControl/>
    </w:pPr>
    <w:rPr>
      <w:b/>
      <w:bCs/>
      <w:sz w:val="24"/>
    </w:rPr>
  </w:style>
  <w:style w:type="paragraph" w:styleId="1122" w:customStyle="1">
    <w:name w:val="xl24"/>
    <w:basedOn w:val="66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3" w:customStyle="1">
    <w:name w:val="xl41"/>
    <w:basedOn w:val="66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24" w:customStyle="1">
    <w:name w:val="正文1)"/>
    <w:basedOn w:val="66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25" w:customStyle="1">
    <w:name w:val="H6"/>
    <w:basedOn w:val="666"/>
    <w:next w:val="666"/>
    <w:uiPriority w:val="0"/>
    <w:qFormat/>
    <w:pPr>
      <w:jc w:val="left"/>
      <w:keepNext/>
      <w:spacing w:before="100" w:after="100"/>
      <w:outlineLvl w:val="6"/>
    </w:pPr>
    <w:rPr>
      <w:b/>
      <w:sz w:val="16"/>
      <w:szCs w:val="20"/>
    </w:rPr>
  </w:style>
  <w:style w:type="paragraph" w:styleId="1126" w:customStyle="1">
    <w:name w:val="Char Char Char Char Char Char"/>
    <w:basedOn w:val="666"/>
    <w:uiPriority w:val="0"/>
    <w:qFormat/>
    <w:pPr>
      <w:jc w:val="left"/>
      <w:spacing w:after="160" w:line="240" w:lineRule="exact"/>
      <w:widowControl/>
    </w:pPr>
    <w:rPr>
      <w:rFonts w:ascii="黑体" w:hAnsi="Verdana" w:eastAsia="黑体"/>
      <w:sz w:val="32"/>
      <w:szCs w:val="32"/>
    </w:rPr>
  </w:style>
  <w:style w:type="paragraph" w:styleId="1127" w:customStyle="1">
    <w:name w:val="列出段落1"/>
    <w:basedOn w:val="666"/>
    <w:uiPriority w:val="34"/>
    <w:qFormat/>
    <w:pPr>
      <w:ind w:firstLine="420"/>
      <w:spacing w:before="120" w:after="120" w:line="360" w:lineRule="auto"/>
    </w:pPr>
    <w:rPr>
      <w:rFonts w:ascii="Calibri" w:hAnsi="Calibri"/>
      <w:sz w:val="24"/>
      <w:szCs w:val="22"/>
    </w:rPr>
  </w:style>
  <w:style w:type="paragraph" w:styleId="1128" w:customStyle="1">
    <w:name w:val="xl2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9" w:customStyle="1">
    <w:name w:val="标准式样"/>
    <w:basedOn w:val="977"/>
    <w:uiPriority w:val="0"/>
    <w:qFormat/>
  </w:style>
  <w:style w:type="paragraph" w:styleId="1130" w:customStyle="1">
    <w:name w:val="CM41"/>
    <w:basedOn w:val="1131"/>
    <w:next w:val="1131"/>
    <w:uiPriority w:val="99"/>
    <w:qFormat/>
    <w:pPr>
      <w:spacing w:after="478"/>
    </w:pPr>
    <w:rPr>
      <w:rFonts w:ascii="Times New Roman PSMT" w:hAnsi="Times New Roman" w:eastAsia="Times New Roman PSMT" w:cs="Times New Roman PSMT"/>
    </w:rPr>
  </w:style>
  <w:style w:type="paragraph" w:styleId="1131"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132" w:customStyle="1">
    <w:name w:val="Char Char Char Char"/>
    <w:basedOn w:val="666"/>
    <w:uiPriority w:val="0"/>
    <w:qFormat/>
    <w:rPr>
      <w:rFonts w:ascii="Tahoma" w:hAnsi="Tahoma"/>
      <w:sz w:val="24"/>
      <w:szCs w:val="20"/>
    </w:rPr>
  </w:style>
  <w:style w:type="paragraph" w:styleId="1133" w:customStyle="1">
    <w:name w:val="表格文字"/>
    <w:basedOn w:val="666"/>
    <w:uiPriority w:val="0"/>
    <w:qFormat/>
    <w:pPr>
      <w:jc w:val="left"/>
      <w:spacing w:line="288" w:lineRule="auto"/>
    </w:pPr>
    <w:rPr>
      <w:szCs w:val="20"/>
    </w:rPr>
  </w:style>
  <w:style w:type="paragraph" w:styleId="113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35" w:customStyle="1">
    <w:name w:val="flNote"/>
    <w:basedOn w:val="666"/>
    <w:uiPriority w:val="0"/>
    <w:qFormat/>
    <w:pPr>
      <w:jc w:val="center"/>
      <w:spacing w:before="320" w:after="160" w:line="360" w:lineRule="atLeast"/>
    </w:pPr>
    <w:rPr>
      <w:rFonts w:ascii="Tahoma" w:hAnsi="Cambria" w:eastAsia="幼圆" w:cs="Cambria"/>
      <w:sz w:val="30"/>
      <w:szCs w:val="20"/>
    </w:rPr>
  </w:style>
  <w:style w:type="paragraph" w:styleId="1136" w:customStyle="1">
    <w:name w:val="Char11"/>
    <w:basedOn w:val="666"/>
    <w:uiPriority w:val="0"/>
    <w:qFormat/>
    <w:rPr>
      <w:rFonts w:ascii="仿宋_GB2312" w:eastAsia="仿宋_GB2312"/>
      <w:b/>
      <w:sz w:val="32"/>
      <w:szCs w:val="32"/>
    </w:rPr>
  </w:style>
  <w:style w:type="paragraph" w:styleId="1137" w:customStyle="1">
    <w:name w:val="Char1"/>
    <w:basedOn w:val="666"/>
    <w:uiPriority w:val="0"/>
    <w:qFormat/>
    <w:rPr>
      <w:rFonts w:ascii="仿宋_GB2312" w:eastAsia="仿宋_GB2312"/>
      <w:b/>
      <w:sz w:val="32"/>
      <w:szCs w:val="32"/>
    </w:rPr>
  </w:style>
  <w:style w:type="paragraph" w:styleId="1138" w:customStyle="1">
    <w:name w:val="xl39"/>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39" w:customStyle="1">
    <w:name w:val="xl40"/>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0" w:customStyle="1">
    <w:name w:val="xl51"/>
    <w:basedOn w:val="66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1" w:customStyle="1">
    <w:name w:val="Char2"/>
    <w:basedOn w:val="666"/>
    <w:uiPriority w:val="0"/>
    <w:qFormat/>
    <w:pPr>
      <w:ind w:firstLine="200"/>
      <w:spacing w:line="360" w:lineRule="auto"/>
    </w:pPr>
    <w:rPr>
      <w:rFonts w:ascii="宋体" w:hAnsi="宋体" w:cs="宋体"/>
      <w:sz w:val="24"/>
    </w:rPr>
  </w:style>
  <w:style w:type="paragraph" w:styleId="1142" w:customStyle="1">
    <w:name w:val="Char Char Char1 Char Char Char"/>
    <w:basedOn w:val="666"/>
    <w:uiPriority w:val="0"/>
    <w:qFormat/>
    <w:pPr>
      <w:ind w:firstLine="200"/>
    </w:pPr>
    <w:rPr>
      <w:rFonts w:ascii="Tahoma" w:hAnsi="Tahoma"/>
      <w:sz w:val="24"/>
      <w:szCs w:val="20"/>
    </w:rPr>
  </w:style>
  <w:style w:type="paragraph" w:styleId="1143" w:customStyle="1">
    <w:name w:val="Char Char Char Char Char Char Char Char Char Char"/>
    <w:basedOn w:val="666"/>
    <w:uiPriority w:val="0"/>
    <w:qFormat/>
    <w:pPr>
      <w:tabs>
        <w:tab w:val="left" w:pos="360" w:leader="none"/>
      </w:tabs>
    </w:pPr>
  </w:style>
  <w:style w:type="paragraph" w:styleId="1144" w:customStyle="1">
    <w:name w:val="Char Char Char Char1"/>
    <w:basedOn w:val="666"/>
    <w:uiPriority w:val="0"/>
    <w:qFormat/>
    <w:pPr>
      <w:numPr>
        <w:ilvl w:val="0"/>
        <w:numId w:val="3"/>
      </w:numPr>
      <w:ind w:left="560" w:firstLine="480"/>
      <w:jc w:val="left"/>
      <w:spacing w:after="120" w:line="360" w:lineRule="auto"/>
      <w:widowControl/>
    </w:pPr>
    <w:rPr>
      <w:rFonts w:ascii="Verdana" w:hAnsi="Verdana"/>
      <w:sz w:val="24"/>
    </w:rPr>
  </w:style>
  <w:style w:type="paragraph" w:styleId="1145" w:customStyle="1">
    <w:name w:val="样式 标题 2 + Times New Roman 四号 非加粗 段前: 5 磅 段后: 0 磅 行距: 固定值 20..."/>
    <w:basedOn w:val="901"/>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46" w:customStyle="1">
    <w:name w:val="xl23"/>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7" w:customStyle="1">
    <w:name w:val="Char Char Char Char Char Char Char Char Char Char Char Char Char Char Char Char"/>
    <w:basedOn w:val="666"/>
    <w:uiPriority w:val="0"/>
    <w:qFormat/>
    <w:pPr>
      <w:tabs>
        <w:tab w:val="left" w:pos="360" w:leader="none"/>
      </w:tabs>
    </w:pPr>
    <w:rPr>
      <w:sz w:val="24"/>
    </w:rPr>
  </w:style>
  <w:style w:type="paragraph" w:styleId="1148" w:customStyle="1">
    <w:name w:val="xl44"/>
    <w:basedOn w:val="66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49" w:customStyle="1">
    <w:name w:val="Char Char Char Char Char Char Char"/>
    <w:basedOn w:val="666"/>
    <w:uiPriority w:val="0"/>
    <w:qFormat/>
    <w:pPr>
      <w:jc w:val="left"/>
      <w:spacing w:after="160" w:line="240" w:lineRule="exact"/>
      <w:widowControl/>
    </w:pPr>
    <w:rPr>
      <w:rFonts w:ascii="Arial" w:hAnsi="Arial" w:eastAsia="Times New Roman" w:cs="Verdana"/>
      <w:b/>
      <w:sz w:val="24"/>
      <w:lang w:eastAsia="en-US"/>
    </w:rPr>
  </w:style>
  <w:style w:type="paragraph" w:styleId="1150" w:customStyle="1">
    <w:name w:val="表格标题"/>
    <w:basedOn w:val="666"/>
    <w:uiPriority w:val="0"/>
    <w:qFormat/>
    <w:pPr>
      <w:jc w:val="center"/>
      <w:spacing w:before="120" w:line="400" w:lineRule="exact"/>
    </w:pPr>
    <w:rPr>
      <w:rFonts w:eastAsia="文鼎CS中宋"/>
      <w:spacing w:val="8"/>
      <w:sz w:val="24"/>
      <w:szCs w:val="20"/>
    </w:rPr>
  </w:style>
  <w:style w:type="paragraph" w:styleId="1151" w:customStyle="1">
    <w:name w:val="xl22"/>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52" w:customStyle="1">
    <w:name w:val="表头"/>
    <w:basedOn w:val="666"/>
    <w:uiPriority w:val="0"/>
    <w:qFormat/>
    <w:pPr>
      <w:jc w:val="center"/>
      <w:spacing w:line="320" w:lineRule="atLeast"/>
    </w:pPr>
    <w:rPr>
      <w:rFonts w:eastAsia="黑体"/>
      <w:spacing w:val="-10"/>
      <w:szCs w:val="20"/>
    </w:rPr>
  </w:style>
  <w:style w:type="paragraph" w:styleId="1153" w:customStyle="1">
    <w:name w:val="Javis"/>
    <w:basedOn w:val="666"/>
    <w:uiPriority w:val="0"/>
    <w:qFormat/>
    <w:pPr>
      <w:ind w:right="210"/>
    </w:pPr>
    <w:rPr>
      <w:rFonts w:cs="宋体"/>
      <w:sz w:val="24"/>
      <w:szCs w:val="20"/>
    </w:rPr>
  </w:style>
  <w:style w:type="paragraph" w:styleId="1154" w:customStyle="1">
    <w:name w:val="xl30"/>
    <w:basedOn w:val="66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5" w:customStyle="1">
    <w:name w:val="正文2"/>
    <w:basedOn w:val="666"/>
    <w:uiPriority w:val="0"/>
    <w:qFormat/>
    <w:pPr>
      <w:ind w:firstLine="200"/>
      <w:jc w:val="left"/>
      <w:spacing w:after="160" w:line="360" w:lineRule="auto"/>
      <w:widowControl/>
    </w:pPr>
    <w:rPr>
      <w:rFonts w:ascii="Verdana" w:hAnsi="Verdana" w:eastAsia="黑体"/>
      <w:szCs w:val="20"/>
      <w:lang w:eastAsia="en-US"/>
    </w:rPr>
  </w:style>
  <w:style w:type="paragraph" w:styleId="1156" w:customStyle="1">
    <w:name w:val="H2"/>
    <w:basedOn w:val="666"/>
    <w:next w:val="666"/>
    <w:uiPriority w:val="0"/>
    <w:qFormat/>
    <w:pPr>
      <w:jc w:val="left"/>
      <w:keepNext/>
      <w:spacing w:before="100" w:after="100"/>
      <w:outlineLvl w:val="2"/>
    </w:pPr>
    <w:rPr>
      <w:b/>
      <w:sz w:val="36"/>
      <w:szCs w:val="20"/>
    </w:rPr>
  </w:style>
  <w:style w:type="paragraph" w:styleId="1157" w:customStyle="1">
    <w:name w:val="xl49"/>
    <w:basedOn w:val="666"/>
    <w:uiPriority w:val="0"/>
    <w:qFormat/>
    <w:pPr>
      <w:jc w:val="center"/>
      <w:spacing w:before="100" w:beforeAutospacing="1" w:after="100" w:afterAutospacing="1"/>
      <w:widowControl/>
    </w:pPr>
    <w:rPr>
      <w:rFonts w:ascii="宋体" w:hAnsi="宋体"/>
      <w:b/>
      <w:bCs/>
      <w:color w:val="000000"/>
      <w:sz w:val="40"/>
      <w:szCs w:val="40"/>
    </w:rPr>
  </w:style>
  <w:style w:type="paragraph" w:styleId="1158" w:customStyle="1">
    <w:name w:val="xl50"/>
    <w:basedOn w:val="666"/>
    <w:uiPriority w:val="0"/>
    <w:qFormat/>
    <w:pPr>
      <w:jc w:val="center"/>
      <w:spacing w:before="100" w:beforeAutospacing="1" w:after="100" w:afterAutospacing="1"/>
      <w:widowControl/>
    </w:pPr>
    <w:rPr>
      <w:rFonts w:ascii="宋体" w:hAnsi="宋体"/>
      <w:b/>
      <w:bCs/>
      <w:sz w:val="40"/>
      <w:szCs w:val="40"/>
    </w:rPr>
  </w:style>
  <w:style w:type="paragraph" w:styleId="1159" w:customStyle="1">
    <w:name w:val="xl26"/>
    <w:basedOn w:val="66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0" w:customStyle="1">
    <w:name w:val="xl31"/>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1" w:customStyle="1">
    <w:name w:val="默认段落字体 Para Char Char Char Char Char Char Char"/>
    <w:basedOn w:val="666"/>
    <w:uiPriority w:val="0"/>
    <w:qFormat/>
    <w:rPr>
      <w:rFonts w:eastAsia="华文细黑" w:cs="Cambria"/>
      <w:sz w:val="24"/>
      <w:szCs w:val="20"/>
    </w:rPr>
  </w:style>
  <w:style w:type="paragraph" w:styleId="1162" w:customStyle="1">
    <w:name w:val="CM4"/>
    <w:basedOn w:val="1131"/>
    <w:next w:val="1131"/>
    <w:uiPriority w:val="99"/>
    <w:qFormat/>
    <w:pPr>
      <w:spacing w:line="468" w:lineRule="atLeast"/>
    </w:pPr>
    <w:rPr>
      <w:rFonts w:ascii="Times New Roman PSMT" w:hAnsi="Times New Roman" w:eastAsia="Times New Roman PSMT" w:cs="Times New Roman PSMT"/>
    </w:rPr>
  </w:style>
  <w:style w:type="paragraph" w:styleId="1163" w:customStyle="1">
    <w:name w:val="H5"/>
    <w:basedOn w:val="666"/>
    <w:next w:val="666"/>
    <w:uiPriority w:val="0"/>
    <w:qFormat/>
    <w:pPr>
      <w:jc w:val="left"/>
      <w:keepNext/>
      <w:spacing w:before="100" w:after="100"/>
      <w:outlineLvl w:val="5"/>
    </w:pPr>
    <w:rPr>
      <w:b/>
      <w:sz w:val="20"/>
      <w:szCs w:val="20"/>
    </w:rPr>
  </w:style>
  <w:style w:type="paragraph" w:styleId="1164" w:customStyle="1">
    <w:name w:val="xl38"/>
    <w:basedOn w:val="66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65" w:customStyle="1">
    <w:name w:val="font0"/>
    <w:basedOn w:val="666"/>
    <w:uiPriority w:val="0"/>
    <w:qFormat/>
    <w:pPr>
      <w:jc w:val="left"/>
      <w:spacing w:before="100" w:beforeAutospacing="1" w:after="100" w:afterAutospacing="1"/>
      <w:widowControl/>
    </w:pPr>
    <w:rPr>
      <w:rFonts w:hint="eastAsia" w:ascii="宋体" w:hAnsi="宋体"/>
      <w:sz w:val="18"/>
      <w:szCs w:val="18"/>
    </w:rPr>
  </w:style>
  <w:style w:type="paragraph" w:styleId="1166" w:customStyle="1">
    <w:name w:val="H3"/>
    <w:basedOn w:val="666"/>
    <w:next w:val="666"/>
    <w:uiPriority w:val="0"/>
    <w:qFormat/>
    <w:pPr>
      <w:jc w:val="left"/>
      <w:keepNext/>
      <w:spacing w:before="100" w:after="100"/>
      <w:outlineLvl w:val="3"/>
    </w:pPr>
    <w:rPr>
      <w:b/>
      <w:sz w:val="28"/>
      <w:szCs w:val="20"/>
    </w:rPr>
  </w:style>
  <w:style w:type="paragraph" w:styleId="1167" w:customStyle="1">
    <w:name w:val="目录"/>
    <w:basedOn w:val="666"/>
    <w:next w:val="666"/>
    <w:uiPriority w:val="0"/>
    <w:qFormat/>
    <w:pPr>
      <w:ind w:firstLine="420"/>
      <w:jc w:val="center"/>
      <w:spacing w:before="360" w:after="360" w:line="360" w:lineRule="auto"/>
    </w:pPr>
    <w:rPr>
      <w:b/>
      <w:spacing w:val="200"/>
      <w:sz w:val="36"/>
      <w:szCs w:val="20"/>
    </w:rPr>
  </w:style>
  <w:style w:type="paragraph" w:styleId="1168" w:customStyle="1">
    <w:name w:val="默认段落字体 Para Char Char Char"/>
    <w:basedOn w:val="666"/>
    <w:uiPriority w:val="0"/>
    <w:qFormat/>
  </w:style>
  <w:style w:type="paragraph" w:styleId="1169" w:customStyle="1">
    <w:name w:val="xl52"/>
    <w:basedOn w:val="66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0" w:customStyle="1">
    <w:name w:val="xl28"/>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1" w:customStyle="1">
    <w:name w:val="xl4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72" w:customStyle="1">
    <w:name w:val="修订1"/>
    <w:uiPriority w:val="0"/>
    <w:qFormat/>
    <w:rPr>
      <w:rFonts w:hint="default" w:ascii="Cambria" w:hAnsi="Cambria" w:eastAsia="华文细黑" w:cs="Cambria"/>
      <w:sz w:val="21"/>
      <w:szCs w:val="24"/>
      <w:lang w:val="en-US" w:eastAsia="zh-CN" w:bidi="ar-SA"/>
    </w:rPr>
  </w:style>
  <w:style w:type="paragraph" w:styleId="1173" w:customStyle="1">
    <w:name w:val="项目符号1"/>
    <w:basedOn w:val="666"/>
    <w:uiPriority w:val="0"/>
    <w:qFormat/>
    <w:pPr>
      <w:ind w:left="1440" w:hanging="360"/>
      <w:tabs>
        <w:tab w:val="left" w:pos="360" w:leader="none"/>
      </w:tabs>
    </w:pPr>
    <w:rPr>
      <w:szCs w:val="20"/>
    </w:rPr>
  </w:style>
  <w:style w:type="paragraph" w:styleId="1174" w:customStyle="1">
    <w:name w:val="Char Char Char Char Char Char Char Char Char Char2"/>
    <w:basedOn w:val="666"/>
    <w:uiPriority w:val="0"/>
    <w:qFormat/>
    <w:pPr>
      <w:numPr>
        <w:ilvl w:val="0"/>
        <w:numId w:val="4"/>
      </w:numPr>
    </w:pPr>
    <w:rPr>
      <w:sz w:val="24"/>
    </w:rPr>
  </w:style>
  <w:style w:type="paragraph" w:styleId="1175" w:customStyle="1">
    <w:name w:val="无间隔2"/>
    <w:uiPriority w:val="0"/>
    <w:qFormat/>
    <w:pPr>
      <w:jc w:val="both"/>
      <w:widowControl w:val="off"/>
    </w:pPr>
    <w:rPr>
      <w:rFonts w:hint="default" w:ascii="仿宋_GB2312" w:hAnsi="仿宋_GB2312" w:eastAsia="华文细黑" w:cs="Cambria"/>
      <w:sz w:val="21"/>
      <w:szCs w:val="22"/>
      <w:lang w:val="en-US" w:eastAsia="zh-CN" w:bidi="ar-SA"/>
    </w:rPr>
  </w:style>
  <w:style w:type="paragraph" w:styleId="1176" w:customStyle="1">
    <w:name w:val="H4"/>
    <w:basedOn w:val="666"/>
    <w:next w:val="666"/>
    <w:uiPriority w:val="0"/>
    <w:qFormat/>
    <w:pPr>
      <w:jc w:val="left"/>
      <w:keepNext/>
      <w:spacing w:before="100" w:after="100"/>
      <w:outlineLvl w:val="4"/>
    </w:pPr>
    <w:rPr>
      <w:b/>
      <w:sz w:val="24"/>
      <w:szCs w:val="20"/>
    </w:rPr>
  </w:style>
  <w:style w:type="paragraph" w:styleId="1177" w:customStyle="1">
    <w:name w:val="Address"/>
    <w:basedOn w:val="666"/>
    <w:next w:val="666"/>
    <w:uiPriority w:val="0"/>
    <w:qFormat/>
    <w:pPr>
      <w:jc w:val="left"/>
    </w:pPr>
    <w:rPr>
      <w:rFonts w:ascii="Cambria" w:hAnsi="Cambria" w:eastAsia="华文细黑" w:cs="Cambria"/>
      <w:i/>
      <w:sz w:val="24"/>
      <w:szCs w:val="20"/>
    </w:rPr>
  </w:style>
  <w:style w:type="paragraph" w:styleId="1178" w:customStyle="1">
    <w:name w:val="xl3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79" w:customStyle="1">
    <w:name w:val="样式 纯文本 + 楷体_GB2312 小四 行距: 固定值 20 磅1"/>
    <w:basedOn w:val="947"/>
    <w:uiPriority w:val="0"/>
    <w:qFormat/>
    <w:pPr>
      <w:ind w:firstLine="200"/>
      <w:spacing w:line="400" w:lineRule="exact"/>
    </w:pPr>
    <w:rPr>
      <w:rFonts w:ascii="楷体_GB2312" w:eastAsia="楷体_GB2312"/>
      <w:sz w:val="24"/>
      <w:szCs w:val="20"/>
    </w:rPr>
  </w:style>
  <w:style w:type="paragraph" w:styleId="1180" w:customStyle="1">
    <w:name w:val="ZDY正文"/>
    <w:basedOn w:val="666"/>
    <w:uiPriority w:val="0"/>
    <w:qFormat/>
    <w:pPr>
      <w:ind w:firstLine="200"/>
      <w:jc w:val="left"/>
      <w:spacing w:before="156" w:line="360" w:lineRule="auto"/>
    </w:pPr>
    <w:rPr>
      <w:rFonts w:ascii="宋体" w:hAnsi="宋体"/>
      <w:sz w:val="24"/>
    </w:rPr>
  </w:style>
  <w:style w:type="paragraph" w:styleId="1181" w:customStyle="1">
    <w:name w:val="H1"/>
    <w:basedOn w:val="666"/>
    <w:next w:val="666"/>
    <w:uiPriority w:val="0"/>
    <w:qFormat/>
    <w:pPr>
      <w:jc w:val="left"/>
      <w:keepNext/>
      <w:spacing w:before="100" w:after="100"/>
      <w:outlineLvl w:val="1"/>
    </w:pPr>
    <w:rPr>
      <w:b/>
      <w:sz w:val="48"/>
      <w:szCs w:val="20"/>
    </w:rPr>
  </w:style>
  <w:style w:type="paragraph" w:styleId="1182" w:customStyle="1">
    <w:name w:val="章标题"/>
    <w:next w:val="666"/>
    <w:uiPriority w:val="0"/>
    <w:qFormat/>
    <w:pPr>
      <w:numPr>
        <w:ilvl w:val="1"/>
        <w:numId w:val="3"/>
      </w:numPr>
      <w:jc w:val="both"/>
      <w:spacing w:before="156" w:after="156"/>
      <w:tabs>
        <w:tab w:val="left" w:pos="360" w:leader="none"/>
      </w:tabs>
      <w:outlineLvl w:val="1"/>
    </w:pPr>
    <w:rPr>
      <w:rFonts w:hint="default" w:ascii="黑体" w:hAnsi="Times New Roman" w:eastAsia="黑体" w:cs="Times New Roman"/>
      <w:sz w:val="21"/>
      <w:lang w:val="en-US" w:eastAsia="zh-CN" w:bidi="ar-SA"/>
    </w:rPr>
  </w:style>
  <w:style w:type="paragraph" w:styleId="1183" w:customStyle="1">
    <w:name w:val="段"/>
    <w:next w:val="666"/>
    <w:link w:val="1184"/>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1184" w:customStyle="1">
    <w:name w:val="段 Char"/>
    <w:link w:val="1183"/>
    <w:uiPriority w:val="0"/>
    <w:qFormat/>
    <w:rPr>
      <w:rFonts w:ascii="宋体"/>
      <w:sz w:val="21"/>
    </w:rPr>
  </w:style>
  <w:style w:type="character" w:styleId="1185" w:customStyle="1">
    <w:name w:val="font31"/>
    <w:uiPriority w:val="0"/>
    <w:qFormat/>
    <w:rPr>
      <w:rFonts w:ascii="方正仿宋_GBK" w:hAnsi="方正仿宋_GBK" w:eastAsia="方正仿宋_GBK" w:cs="方正仿宋_GBK"/>
      <w:color w:val="000000"/>
      <w:sz w:val="18"/>
      <w:szCs w:val="18"/>
      <w:u w:val="none"/>
    </w:rPr>
  </w:style>
  <w:style w:type="character" w:styleId="1186" w:customStyle="1">
    <w:name w:val="font41"/>
    <w:uiPriority w:val="0"/>
    <w:qFormat/>
    <w:rPr>
      <w:rFonts w:hint="eastAsia" w:ascii="宋体" w:hAnsi="宋体" w:eastAsia="宋体" w:cs="宋体"/>
      <w:color w:val="000000"/>
      <w:sz w:val="18"/>
      <w:szCs w:val="18"/>
      <w:u w:val="none"/>
    </w:rPr>
  </w:style>
  <w:style w:type="character" w:styleId="1187" w:customStyle="1">
    <w:name w:val="bumpedfont15"/>
    <w:uiPriority w:val="0"/>
    <w:qFormat/>
  </w:style>
  <w:style w:type="character" w:styleId="1188" w:customStyle="1">
    <w:name w:val="font51"/>
    <w:uiPriority w:val="0"/>
    <w:qFormat/>
    <w:rPr>
      <w:rFonts w:ascii="方正仿宋_GBK" w:hAnsi="方正仿宋_GBK" w:eastAsia="方正仿宋_GBK" w:cs="方正仿宋_GBK"/>
      <w:color w:val="000000"/>
      <w:sz w:val="18"/>
      <w:szCs w:val="18"/>
      <w:u w:val="none"/>
    </w:rPr>
  </w:style>
  <w:style w:type="character" w:styleId="1189" w:customStyle="1">
    <w:name w:val="font61"/>
    <w:uiPriority w:val="0"/>
    <w:qFormat/>
    <w:rPr>
      <w:rFonts w:hint="eastAsia" w:ascii="宋体" w:hAnsi="宋体" w:eastAsia="宋体" w:cs="宋体"/>
      <w:color w:val="000000"/>
      <w:sz w:val="18"/>
      <w:szCs w:val="18"/>
      <w:u w:val="none"/>
    </w:rPr>
  </w:style>
  <w:style w:type="paragraph" w:styleId="1190" w:customStyle="1">
    <w:name w:val="_Style 9"/>
    <w:basedOn w:val="666"/>
    <w:next w:val="1127"/>
    <w:uiPriority w:val="34"/>
    <w:qFormat/>
    <w:pPr>
      <w:ind w:firstLine="420"/>
    </w:pPr>
    <w:rPr>
      <w:rFonts w:ascii="Calibri" w:hAnsi="Calibri"/>
    </w:rPr>
  </w:style>
  <w:style w:type="character" w:styleId="1191" w:customStyle="1">
    <w:name w:val="NormalCharacter1"/>
    <w:uiPriority w:val="0"/>
    <w:qFormat/>
  </w:style>
  <w:style w:type="paragraph" w:styleId="1192" w:customStyle="1">
    <w:name w:val="UserStyle_4"/>
    <w:basedOn w:val="666"/>
    <w:link w:val="1193"/>
    <w:uiPriority w:val="99"/>
    <w:qFormat/>
  </w:style>
  <w:style w:type="character" w:styleId="1193" w:customStyle="1">
    <w:name w:val="NormalCharacter11"/>
    <w:link w:val="1192"/>
    <w:uiPriority w:val="99"/>
    <w:qFormat/>
  </w:style>
  <w:style w:type="character" w:styleId="1194" w:customStyle="1">
    <w:name w:val="font81"/>
    <w:uiPriority w:val="0"/>
    <w:qFormat/>
    <w:rPr>
      <w:rFonts w:hint="eastAsia" w:ascii="宋体" w:hAnsi="宋体" w:eastAsia="宋体" w:cs="宋体"/>
      <w:b/>
      <w:bCs/>
      <w:color w:val="000000"/>
      <w:sz w:val="20"/>
      <w:szCs w:val="20"/>
      <w:u w:val="none"/>
    </w:rPr>
  </w:style>
  <w:style w:type="character" w:styleId="1195" w:customStyle="1">
    <w:name w:val="font91"/>
    <w:uiPriority w:val="0"/>
    <w:qFormat/>
    <w:rPr>
      <w:rFonts w:hint="eastAsia" w:ascii="宋体" w:hAnsi="宋体" w:eastAsia="宋体" w:cs="宋体"/>
      <w:color w:val="000000"/>
      <w:sz w:val="20"/>
      <w:szCs w:val="20"/>
      <w:u w:val="none"/>
    </w:rPr>
  </w:style>
  <w:style w:type="character" w:styleId="1196" w:customStyle="1">
    <w:name w:val="font01"/>
    <w:uiPriority w:val="0"/>
    <w:qFormat/>
    <w:rPr>
      <w:rFonts w:ascii="Arial" w:hAnsi="Arial" w:cs="Arial"/>
      <w:color w:val="000000"/>
      <w:sz w:val="20"/>
      <w:szCs w:val="20"/>
      <w:u w:val="none"/>
    </w:rPr>
  </w:style>
  <w:style w:type="paragraph" w:styleId="1197" w:customStyle="1">
    <w:name w:val="样式 标题 2 + 宋体 段前: 1 行"/>
    <w:basedOn w:val="901"/>
    <w:uiPriority w:val="0"/>
    <w:qFormat/>
    <w:pPr>
      <w:numPr>
        <w:ilvl w:val="0"/>
        <w:numId w:val="5"/>
      </w:numPr>
      <w:jc w:val="center"/>
      <w:keepLines w:val="0"/>
      <w:keepNext w:val="0"/>
      <w:spacing w:before="0" w:after="0" w:line="560" w:lineRule="exact"/>
      <w:tabs>
        <w:tab w:val="left" w:pos="5386" w:leader="none"/>
      </w:tabs>
      <w:outlineLvl w:val="0"/>
    </w:pPr>
    <w:rPr>
      <w:rFonts w:ascii="黑体" w:hAnsi="黑体" w:cs="微软雅黑"/>
      <w:b w:val="0"/>
      <w:spacing w:val="20"/>
      <w:sz w:val="44"/>
      <w:szCs w:val="44"/>
    </w:rPr>
  </w:style>
  <w:style w:type="paragraph" w:styleId="1198" w:customStyle="1">
    <w:name w:val="正文文本1"/>
    <w:basedOn w:val="666"/>
    <w:next w:val="1199"/>
    <w:uiPriority w:val="0"/>
    <w:qFormat/>
    <w:rPr>
      <w:rFonts w:ascii="仿宋_GB2312" w:eastAsia="仿宋_GB2312"/>
      <w:sz w:val="28"/>
      <w:szCs w:val="20"/>
    </w:rPr>
  </w:style>
  <w:style w:type="paragraph" w:styleId="1199" w:customStyle="1">
    <w:name w:val="正文首行缩进1"/>
    <w:basedOn w:val="1198"/>
    <w:uiPriority w:val="0"/>
    <w:qFormat/>
    <w:pPr>
      <w:ind w:firstLine="420"/>
      <w:spacing w:after="120"/>
    </w:pPr>
    <w:rPr>
      <w:color w:val="000000"/>
      <w:spacing w:val="-8"/>
      <w:sz w:val="21"/>
    </w:rPr>
  </w:style>
  <w:style w:type="paragraph" w:styleId="1200" w:customStyle="1">
    <w:name w:val="正文文本11"/>
    <w:basedOn w:val="666"/>
    <w:uiPriority w:val="0"/>
    <w:qFormat/>
    <w:rPr>
      <w:rFonts w:ascii="仿宋_GB2312" w:eastAsia="仿宋_GB2312"/>
      <w:sz w:val="28"/>
      <w:szCs w:val="20"/>
      <w:lang w:eastAsia="en-US"/>
    </w:rPr>
  </w:style>
  <w:style w:type="paragraph" w:styleId="1201" w:customStyle="1">
    <w:name w:val="Style1"/>
    <w:basedOn w:val="666"/>
    <w:uiPriority w:val="0"/>
    <w:qFormat/>
    <w:pPr>
      <w:widowControl/>
      <w:tabs>
        <w:tab w:val="left" w:pos="-720" w:leader="none"/>
      </w:tabs>
    </w:pPr>
    <w:rPr>
      <w:spacing w:val="-3"/>
      <w:sz w:val="24"/>
      <w:szCs w:val="22"/>
      <w:lang w:val="en-AU" w:eastAsia="en-US"/>
    </w:rPr>
  </w:style>
  <w:style w:type="paragraph" w:styleId="1202" w:customStyle="1">
    <w:name w:val="普通正文"/>
    <w:basedOn w:val="666"/>
    <w:uiPriority w:val="0"/>
    <w:qFormat/>
    <w:pPr>
      <w:ind w:firstLine="480"/>
      <w:jc w:val="left"/>
      <w:spacing w:before="120" w:after="120" w:line="360" w:lineRule="auto"/>
    </w:pPr>
    <w:rPr>
      <w:rFonts w:ascii="Arial" w:hAnsi="Arial"/>
      <w:sz w:val="24"/>
    </w:rPr>
  </w:style>
  <w:style w:type="paragraph" w:styleId="1203"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9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84251eb8-c6ba-48a3-a53b-db35783741d3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4A58CB4</paraID>
      <start>0</start>
      <end>4</end>
      <status>unmodified</status>
      <modifiedWord/>
      <trackRevisions>false</trackRevisions>
    </reviewItem>
    <reviewItem>
      <errorID>e2e4e8b0-0b8d-406b-95e1-7aaf708a3d3f</errorID>
      <errorWord>.</errorWord>
      <group>L1_Format</group>
      <groupName>格式问题</groupName>
      <ability>L2_HalfPunc_CN</ability>
      <abilityName>全半角问题</abilityName>
      <candidateList>
        <item>。</item>
      </candidateList>
      <explain>文本全半角错误。</explain>
      <paraID>21D532E2</paraID>
      <start>5</start>
      <end>6</end>
      <status>unmodified</status>
      <modifiedWord/>
      <trackRevisions>false</trackRevisions>
    </reviewItem>
    <reviewItem>
      <errorID>df5c4258-303c-4420-9202-c1a9c8da6f98</errorID>
      <errorWord>[2011]300号</errorWord>
      <group>L1_Knowledge</group>
      <groupName>知识性问题</groupName>
      <ability>L2_Knowledge</ability>
      <abilityName>其他知识</abilityName>
      <candidateList>
        <item>〔2011〕300号</item>
      </candidateList>
      <explain>发文字号格式错误。</explain>
      <paraID>4B2B5ECF</paraID>
      <start>36</start>
      <end>46</end>
      <status>unmodified</status>
      <modifiedWord/>
      <trackRevisions>false</trackRevisions>
    </reviewItem>
    <reviewItem>
      <errorID>25785d48-eb20-4e32-babb-6a67544aaaf6</errorID>
      <errorWord>)</errorWord>
      <group>L1_Format</group>
      <groupName>格式问题</groupName>
      <ability>L2_HalfPunc_CN</ability>
      <abilityName>全半角问题</abilityName>
      <candidateList>
        <item>）</item>
      </candidateList>
      <explain>文本全半角错误。</explain>
      <paraID>4CBC4722</paraID>
      <start>63</start>
      <end>64</end>
      <status>unmodified</status>
      <modifiedWord/>
      <trackRevisions>false</trackRevisions>
    </reviewItem>
    <reviewItem>
      <errorID>fcf63036-a5e6-420e-a419-6c7e6467ed9c</errorID>
      <errorWord>00时</errorWord>
      <group>L1_Word</group>
      <groupName>字词问题</groupName>
      <ability>L2_Typo</ability>
      <abilityName>字词错误</abilityName>
      <candidateList>
        <item>00</item>
      </candidateList>
      <explain/>
      <paraID> 15CBF3C</paraID>
      <start>56</start>
      <end>59</end>
      <status>unmodified</status>
      <modifiedWord/>
      <trackRevisions>false</trackRevisions>
    </reviewItem>
    <reviewItem>
      <errorID>6d52bfdc-3d1a-4851-a124-6698749e6632</errorID>
      <errorWord>.</errorWord>
      <group>L1_Format</group>
      <groupName>格式问题</groupName>
      <ability>L2_HalfPunc_CN</ability>
      <abilityName>全半角问题</abilityName>
      <candidateList>
        <item>。</item>
      </candidateList>
      <explain>文本全半角错误。</explain>
      <paraID>606BF134</paraID>
      <start>5</start>
      <end>6</end>
      <status>unmodified</status>
      <modifiedWord/>
      <trackRevisions>false</trackRevisions>
    </reviewItem>
    <reviewItem>
      <errorID>cfcd9d72-1f7c-492d-92e1-74b5d47ba792</errorID>
      <errorWord>)</errorWord>
      <group>L1_Format</group>
      <groupName>格式问题</groupName>
      <ability>L2_HalfPunc_CN</ability>
      <abilityName>全半角问题</abilityName>
      <candidateList>
        <item>）</item>
      </candidateList>
      <explain>文本全半角错误。</explain>
      <paraID> EC5D80C</paraID>
      <start>22</start>
      <end>23</end>
      <status>unmodified</status>
      <modifiedWord/>
      <trackRevisions>false</trackRevisions>
    </reviewItem>
    <reviewItem>
      <errorID>1fdf4d5f-1d57-4b1c-a658-639e51f43fe3</errorID>
      <errorWord>)</errorWord>
      <group>L1_Format</group>
      <groupName>格式问题</groupName>
      <ability>L2_HalfPunc_CN</ability>
      <abilityName>全半角问题</abilityName>
      <candidateList>
        <item>）</item>
      </candidateList>
      <explain>文本全半角错误。</explain>
      <paraID>383AE861</paraID>
      <start>20</start>
      <end>21</end>
      <status>unmodified</status>
      <modifiedWord/>
      <trackRevisions>false</trackRevisions>
    </reviewItem>
    <reviewItem>
      <errorID>8fca9d25-0bd0-4273-b868-6a62fd585661</errorID>
      <errorWord>)</errorWord>
      <group>L1_Format</group>
      <groupName>格式问题</groupName>
      <ability>L2_HalfPunc_CN</ability>
      <abilityName>全半角问题</abilityName>
      <candidateList>
        <item>）</item>
      </candidateList>
      <explain>文本全半角错误。</explain>
      <paraID>148460BD</paraID>
      <start>44</start>
      <end>45</end>
      <status>unmodified</status>
      <modifiedWord/>
      <trackRevisions>false</trackRevisions>
    </reviewItem>
    <reviewItem>
      <errorID>a156730c-a3c1-4d8e-a185-a3f5f0197a25</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7FE67362</paraID>
      <start>11</start>
      <end>15</end>
      <status>unmodified</status>
      <modifiedWord/>
      <trackRevisions>false</trackRevisions>
    </reviewItem>
    <reviewItem>
      <errorID>90dd4779-3c26-4848-ae2a-0e49403808a3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527C4E5E</paraID>
      <start>3</start>
      <end>5</end>
      <status>unmodified</status>
      <modifiedWord/>
      <trackRevisions>false</trackRevisions>
    </reviewItem>
    <reviewItem>
      <errorID>98d86e28-c2b9-4c8c-b27b-234232ea1854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5D938743</paraID>
      <start>0</start>
      <end>2</end>
      <status>unmodified</status>
      <modifiedWord/>
      <trackRevisions>false</trackRevisions>
    </reviewItem>
    <reviewItem>
      <errorID>2eec5797-5e15-422c-a89b-3bb89e18ec2e</errorID>
      <errorWord>页</errorWord>
      <group>L1_Word</group>
      <groupName>字词问题</groupName>
      <ability>L2_Typo</ability>
      <abilityName>字词错误</abilityName>
      <candidateList>
        <item>页面</item>
      </candidateList>
      <explain/>
      <paraID> 33C4367</paraID>
      <start>27</start>
      <end>28</end>
      <status>unmodified</status>
      <modifiedWord/>
      <trackRevisions>false</trackRevisions>
    </reviewItem>
    <reviewItem>
      <errorID>1ec57545-bd5d-470e-be8e-188ccfca91df</errorID>
      <errorWord>&lt;</errorWord>
      <group>L1_Format</group>
      <groupName>格式问题</groupName>
      <ability>L2_HalfPunc_CN</ability>
      <abilityName>全半角问题</abilityName>
      <candidateList>
        <item>〈</item>
      </candidateList>
      <explain>文本全半角错误。</explain>
      <paraID>6BEECB75</paraID>
      <start>48</start>
      <end>49</end>
      <status>unmodified</status>
      <modifiedWord/>
      <trackRevisions>false</trackRevisions>
    </reviewItem>
    <reviewItem>
      <errorID>34464290-ac05-448c-ba55-e09bd470a753</errorID>
      <errorWord>&lt;</errorWord>
      <group>L1_Format</group>
      <groupName>格式问题</groupName>
      <ability>L2_HalfPunc_CN</ability>
      <abilityName>全半角问题</abilityName>
      <candidateList>
        <item>〈</item>
      </candidateList>
      <explain>文本全半角错误。</explain>
      <paraID> 4DB1853</paraID>
      <start>48</start>
      <end>49</end>
      <status>unmodified</status>
      <modifiedWord/>
      <trackRevisions>false</trackRevisions>
    </reviewItem>
    <reviewItem>
      <errorID>059935d8-3038-45c3-9d08-af7f3b61651b</errorID>
      <errorWord>&lt;</errorWord>
      <group>L1_Format</group>
      <groupName>格式问题</groupName>
      <ability>L2_HalfPunc_CN</ability>
      <abilityName>全半角问题</abilityName>
      <candidateList>
        <item>〈</item>
      </candidateList>
      <explain>文本全半角错误。</explain>
      <paraID>28254660</paraID>
      <start>33</start>
      <end>34</end>
      <status>unmodified</status>
      <modifiedWord/>
      <trackRevisions>false</trackRevisions>
    </reviewItem>
    <reviewItem>
      <errorID>5d2d35e3-39d3-43ff-b268-4235df0cd72b</errorID>
      <errorWord>，</errorWord>
      <group>L1_Word</group>
      <groupName>字词问题</groupName>
      <ability>L2_Typo</ability>
      <abilityName>字词错误</abilityName>
      <candidateList>
        <item>，并</item>
      </candidateList>
      <explain/>
      <paraID>1E88D276</paraID>
      <start>72</start>
      <end>73</end>
      <status>unmodified</status>
      <modifiedWord/>
      <trackRevisions>false</trackRevisions>
    </reviewItem>
    <reviewItem>
      <errorID>03faf5dc-14d8-473c-8cce-5a5057f817d1</errorID>
      <errorWord>[2014]68号</errorWord>
      <group>L1_Knowledge</group>
      <groupName>知识性问题</groupName>
      <ability>L2_Knowledge</ability>
      <abilityName>其他知识</abilityName>
      <candidateList>
        <item>〔2014〕68号</item>
      </candidateList>
      <explain>发文字号格式错误。</explain>
      <paraID>1B89E8D3</paraID>
      <start>83</start>
      <end>92</end>
      <status>unmodified</status>
      <modifiedWord/>
      <trackRevisions>false</trackRevisions>
    </reviewItem>
    <reviewItem>
      <errorID>4467b6b7-6b7d-469e-8a59-c2b08d7d0844</errorID>
      <errorWord>)</errorWord>
      <group>L1_Format</group>
      <groupName>格式问题</groupName>
      <ability>L2_HalfPunc_CN</ability>
      <abilityName>全半角问题</abilityName>
      <candidateList>
        <item>）</item>
      </candidateList>
      <explain>文本全半角错误。</explain>
      <paraID>1B89E8D3</paraID>
      <start>124</start>
      <end>125</end>
      <status>unmodified</status>
      <modifiedWord/>
      <trackRevisions>false</trackRevisions>
    </reviewItem>
    <reviewItem>
      <errorID>c4229466-6d86-4492-9a48-506f6f1e29c0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118</start>
      <end>121</end>
      <status>unmodified</status>
      <modifiedWord/>
      <trackRevisions>false</trackRevisions>
    </reviewItem>
    <reviewItem>
      <errorID>a7ad8011-b6e5-4ca0-996d-55ac744918fe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123</start>
      <end>126</end>
      <status>unmodified</status>
      <modifiedWord/>
      <trackRevisions>false</trackRevisions>
    </reviewItem>
    <reviewItem>
      <errorID>f95261c9-e6b6-4d97-9eca-91507fe02be2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36C871C9</paraID>
      <start>129</start>
      <end>132</end>
      <status>unmodified</status>
      <modifiedWord/>
      <trackRevisions>false</trackRevisions>
    </reviewItem>
    <reviewItem>
      <errorID>87000aae-cfa7-412a-b737-2e3a0923f026</errorID>
      <errorWord>》</errorWord>
      <group>L1_Word</group>
      <groupName>字词问题</groupName>
      <ability>L2_Typo</ability>
      <abilityName>字词错误</abilityName>
      <candidateList>
        <item>》等</item>
      </candidateList>
      <explain/>
      <paraID>36C871C9</paraID>
      <start>157</start>
      <end>158</end>
      <status>unmodified</status>
      <modifiedWord/>
      <trackRevisions>false</trackRevisions>
    </reviewItem>
    <reviewItem>
      <errorID>37b5366b-29bd-4a70-9265-1590c3550b8b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3E305FE9</paraID>
      <start>66</start>
      <end>67</end>
      <status>unmodified</status>
      <modifiedWord/>
      <trackRevisions>false</trackRevisions>
    </reviewItem>
    <reviewItem>
      <errorID>710ea233-824a-42eb-b498-cbf1abb4a77e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332504B</paraID>
      <start>0</start>
      <end>2</end>
      <status>unmodified</status>
      <modifiedWord/>
      <trackRevisions>false</trackRevisions>
    </reviewItem>
    <reviewItem>
      <errorID>78bbacc7-ced3-43c4-a0d7-c1c9d01714b2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6BD1BF0A</paraID>
      <start>0</start>
      <end>2</end>
      <status>unmodified</status>
      <modifiedWord/>
      <trackRevisions>false</trackRevisions>
    </reviewItem>
    <reviewItem>
      <errorID>49b4994e-a57d-4050-b7cb-bd6a8dd86067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52C98CA7</paraID>
      <start>0</start>
      <end>2</end>
      <status>unmodified</status>
      <modifiedWord/>
      <trackRevisions>false</trackRevisions>
    </reviewItem>
    <reviewItem>
      <errorID>58b38899-baaf-4269-8415-6267559db3e1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36A72AB</paraID>
      <start>0</start>
      <end>2</end>
      <status>unmodified</status>
      <modifiedWord/>
      <trackRevisions>false</trackRevisions>
    </reviewItem>
    <reviewItem>
      <errorID>074f95b6-fd49-4131-99a1-6dbc0494eafc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1EA0C399</paraID>
      <start>0</start>
      <end>2</end>
      <status>unmodified</status>
      <modifiedWord/>
      <trackRevisions>false</trackRevisions>
    </reviewItem>
    <reviewItem>
      <errorID>174d68f7-87fb-4e2c-a366-f01dd54b4f45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2C5C068F</paraID>
      <start>0</start>
      <end>2</end>
      <status>unmodified</status>
      <modifiedWord/>
      <trackRevisions>false</trackRevisions>
    </reviewItem>
    <reviewItem>
      <errorID>7c60f802-7e90-4f1d-b0c7-388465388c6c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451A475F</paraID>
      <start>0</start>
      <end>2</end>
      <status>unmodified</status>
      <modifiedWord/>
      <trackRevisions>false</trackRevisions>
    </reviewItem>
    <reviewItem>
      <errorID>f061c256-c11e-470a-9bdc-7f552d187138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1E6F6983</paraID>
      <start>0</start>
      <end>2</end>
      <status>unmodified</status>
      <modifiedWord/>
      <trackRevisions>false</trackRevisions>
    </reviewItem>
    <reviewItem>
      <errorID>814d9374-a809-4a2b-93b2-d6d8e6be71c3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166939B1</paraID>
      <start>0</start>
      <end>2</end>
      <status>unmodified</status>
      <modifiedWord/>
      <trackRevisions>false</trackRevisions>
    </reviewItem>
    <reviewItem>
      <errorID>72b17157-237b-46d2-8146-ab84bfc68dbd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166939B1</paraID>
      <start>47</start>
      <end>49</end>
      <status>unmodified</status>
      <modifiedWord/>
      <trackRevisions>false</trackRevisions>
    </reviewItem>
    <reviewItem>
      <errorID>7375dddc-a028-432c-b36d-fa6926b8bc76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49D8014A</paraID>
      <start>0</start>
      <end>2</end>
      <status>unmodified</status>
      <modifiedWord/>
      <trackRevisions>false</trackRevisions>
    </reviewItem>
    <reviewItem>
      <errorID>c59130d8-26d9-4443-95ad-fc4492ea7de3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5F4C63D0</paraID>
      <start>0</start>
      <end>2</end>
      <status>unmodified</status>
      <modifiedWord/>
      <trackRevisions>false</trackRevisions>
    </reviewItem>
    <reviewItem>
      <errorID>262d3e29-e817-48de-9c0f-0b9dd9a69b4e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65434465</paraID>
      <start>0</start>
      <end>2</end>
      <status>unmodified</status>
      <modifiedWord/>
      <trackRevisions>false</trackRevisions>
    </reviewItem>
    <reviewItem>
      <errorID>14835472-903f-4375-9c6b-8cf4e7c68fb8</errorID>
      <errorWord>100万以下</errorWord>
      <group>L1_Word</group>
      <groupName>字词问题</groupName>
      <ability>L2_Typo</ability>
      <abilityName>字词错误</abilityName>
      <candidateList>
        <item>100万元以下</item>
      </candidateList>
      <explain/>
      <paraID>13B019D2</paraID>
      <start>34</start>
      <end>40</end>
      <status>unmodified</status>
      <modifiedWord/>
      <trackRevisions>false</trackRevisions>
    </reviewItem>
    <reviewItem>
      <errorID>4144d4e9-0f92-4717-89da-6c41c8a1b5c7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13B019D2</paraID>
      <start>49</start>
      <end>58</end>
      <status>unmodified</status>
      <modifiedWord/>
      <trackRevisions>false</trackRevisions>
    </reviewItem>
    <reviewItem>
      <errorID>9925a81c-6dff-40d5-b4fb-1999cd86f7db</errorID>
      <errorWord>．</errorWord>
      <group>L1_Format</group>
      <groupName>格式问题</groupName>
      <ability>L2_HalfPunc_CN</ability>
      <abilityName>全半角问题</abilityName>
      <candidateList>
        <item>。</item>
      </candidateList>
      <explain>文本全半角错误。</explain>
      <paraID>2D2BAEEE</paraID>
      <start>4</start>
      <end>5</end>
      <status>unmodified</status>
      <modifiedWord/>
      <trackRevisions>false</trackRevisions>
    </reviewItem>
    <reviewItem>
      <errorID>ec52c3ed-7a4f-4a79-a921-b54a6f663051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73D3827C</paraID>
      <start>189</start>
      <end>191</end>
      <status>unmodified</status>
      <modifiedWord/>
      <trackRevisions>false</trackRevisions>
    </reviewItem>
    <reviewItem>
      <errorID>1def956b-91c2-48aa-aa62-ff378faba6bb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22CE0598</paraID>
      <start>192</start>
      <end>194</end>
      <status>unmodified</status>
      <modifiedWord/>
      <trackRevisions>false</trackRevisions>
    </reviewItem>
    <reviewItem>
      <errorID>9d8918da-edf9-4cb7-bcf6-7659a44f2279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71F63662</paraID>
      <start>172</start>
      <end>174</end>
      <status>unmodified</status>
      <modifiedWord/>
      <trackRevisions>false</trackRevisions>
    </reviewItem>
    <reviewItem>
      <errorID>61dea2da-dd77-422d-a6cc-9291f8d55af5</errorID>
      <errorWord>,</errorWord>
      <group>L1_Format</group>
      <groupName>格式问题</groupName>
      <ability>L2_HalfPunc_CN</ability>
      <abilityName>全半角问题</abilityName>
      <candidateList>
        <item>，</item>
      </candidateList>
      <explain>文本全半角错误。</explain>
      <paraID>4BF8F5CD</paraID>
      <start>30</start>
      <end>31</end>
      <status>unmodified</status>
      <modifiedWord/>
      <trackRevisions>false</trackRevisions>
    </reviewItem>
    <reviewItem>
      <errorID>9963ad94-946c-4a19-a0ce-40d7b76d3789</errorID>
      <errorWord>~</errorWord>
      <group>L1_Format</group>
      <groupName>格式问题</groupName>
      <ability>L2_HalfPunc_CN</ability>
      <abilityName>全半角问题</abilityName>
      <candidateList>
        <item>～</item>
      </candidateList>
      <explain>文本全半角错误。</explain>
      <paraID> 67EF508</paraID>
      <start>18</start>
      <end>19</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5B398756</paraID>
      <start>27</start>
      <end>30</end>
      <status>unmodified</status>
      <modifiedWord/>
      <trackRevisions>false</trackRevisions>
    </reviewItem>
    <reviewItem>
      <errorID>905485b9-53d7-4e1f-b5ed-9a1e069b3c94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243B0E62</paraID>
      <start>60</start>
      <end>61</end>
      <status>unmodified</status>
      <modifiedWord/>
      <trackRevisions>false</trackRevisions>
    </reviewItem>
    <reviewItem>
      <errorID>c95766a7-ec5e-4423-b86f-c738f0d60691</errorID>
      <errorWord>)</errorWord>
      <group>L1_Format</group>
      <groupName>格式问题</groupName>
      <ability>L2_HalfPunc_CN</ability>
      <abilityName>全半角问题</abilityName>
      <candidateList>
        <item>）</item>
      </candidateList>
      <explain>文本全半角错误。</explain>
      <paraID>32304740</paraID>
      <start>15</start>
      <end>16</end>
      <status>unmodified</status>
      <modifiedWord/>
      <trackRevisions>false</trackRevisions>
    </reviewItem>
    <reviewItem>
      <errorID>ae7fedbe-3a2e-48c9-abb2-7cb9af981f96</errorID>
      <errorWord>结</errorWord>
      <group>L1_Word</group>
      <groupName>字词问题</groupName>
      <ability>L2_Typo</ability>
      <abilityName>字词错误</abilityName>
      <candidateList>
        <item>结合</item>
      </candidateList>
      <explain/>
      <paraID>33B5A1BF</paraID>
      <start>23</start>
      <end>24</end>
      <status>unmodified</status>
      <modifiedWord/>
      <trackRevisions>false</trackRevisions>
    </reviewItem>
    <reviewItem>
      <errorID>f3883a5b-0e6f-4b4a-b977-608abf345d66</errorID>
      <errorWord>以及</errorWord>
      <group>L1_Word</group>
      <groupName>字词问题</groupName>
      <ability>L2_Typo</ability>
      <abilityName>字词错误</abilityName>
      <candidateList>
        <item>已经</item>
      </candidateList>
      <explain>〈副〉表示动作、变化完成或达到某种程度：任务～完成｜他～来了｜天～黑了，他们还没有收工｜我今年～七十了。</explain>
      <paraID>25B1479C</paraID>
      <start>27</start>
      <end>29</end>
      <status>unmodified</status>
      <modifiedWord/>
      <trackRevisions>false</trackRevisions>
    </reviewItem>
    <reviewItem>
      <errorID>f155c134-f4c9-49ca-acad-f68301a7d0cd</errorID>
      <errorWord>机械机械</errorWord>
      <group>L1_Word</group>
      <groupName>字词问题</groupName>
      <ability>L2_Typo</ability>
      <abilityName>字词错误</abilityName>
      <candidateList>
        <item>机械</item>
      </candidateList>
      <explain/>
      <paraID> 748B2E5</paraID>
      <start>28</start>
      <end>32</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1C0B3FCE</paraID>
      <start>27</start>
      <end>30</end>
      <status>unmodified</status>
      <modifiedWord/>
      <trackRevisions>false</trackRevisions>
    </reviewItem>
    <reviewItem>
      <errorID>4076b5dd-bc11-416f-a8be-5b8784010458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79127A7D</paraID>
      <start>58</start>
      <end>59</end>
      <status>unmodified</status>
      <modifiedWord/>
      <trackRevisions>false</trackRevisions>
    </reviewItem>
    <reviewItem>
      <errorID>8e2afc43-babc-41dd-b829-d8b1ee3bf48a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11C119D9</paraID>
      <start>6</start>
      <end>7</end>
      <status>unmodified</status>
      <modifiedWord/>
      <trackRevisions>false</trackRevisions>
    </reviewItem>
    <reviewItem>
      <errorID>6d788d03-fad6-4847-82bf-189ab80a7650</errorID>
      <errorWord>：Quad core</errorWord>
      <group>L1_Punc</group>
      <groupName>标点问题</groupName>
      <ability>L2_Punc_EN</ability>
      <abilityName>标点符号问题</abilityName>
      <candidateList>
        <item>: Quad-core</item>
      </candidateList>
      <explain>此处疑似有标点符号缺失，建议将：Quad core修改为: Quad-core</explain>
      <paraID>604174AC</paraID>
      <start>3</start>
      <end>13</end>
      <status>unmodified</status>
      <modifiedWord/>
      <trackRevisions>false</trackRevisions>
    </reviewItem>
    <reviewItem>
      <errorID>15327b1b-741d-4f6b-bc26-17de722fed0c</errorID>
      <errorWord>A53，1.6</errorWord>
      <group>L1_English</group>
      <groupName>英文问题</groupName>
      <ability>L2_Space</ability>
      <abilityName>空格不规范问题</abilityName>
      <candidateList>
        <item>A53, 1.6</item>
      </candidateList>
      <explain>疑似单词空格书写不规范，建议将A53，1.6修改为A53, 1.6</explain>
      <paraID>604174AC</paraID>
      <start>21</start>
      <end>28</end>
      <status>unmodified</status>
      <modifiedWord/>
      <trackRevisions>false</trackRevisions>
    </reviewItem>
    <reviewItem>
      <errorID>2768e8aa-15fd-4d92-8026-db41ca8a71e5</errorID>
      <errorWord>NPU：2.3</errorWord>
      <group>L1_English</group>
      <groupName>英文问题</groupName>
      <ability>L2_Space</ability>
      <abilityName>空格不规范问题</abilityName>
      <candidateList>
        <item>NPU: 2.3</item>
      </candidateList>
      <explain>疑似单词空格书写不规范，建议将NPU：2.3修改为NPU: 2.3</explain>
      <paraID>1DF3C5E1</paraID>
      <start>0</start>
      <end>7</end>
      <status>unmodified</status>
      <modifiedWord/>
      <trackRevisions>false</trackRevisions>
    </reviewItem>
    <reviewItem>
      <errorID>4feafd83-3743-438b-93d8-1014752c5d32</errorID>
      <errorWord>RAM：≥</errorWord>
      <group>L1_English</group>
      <groupName>英文问题</groupName>
      <ability>L2_Space</ability>
      <abilityName>空格不规范问题</abilityName>
      <candidateList>
        <item>RAM: ≥</item>
      </candidateList>
      <explain>疑似单词空格书写不规范，建议将RAM：≥修改为RAM: ≥</explain>
      <paraID>470DA164</paraID>
      <start>0</start>
      <end>5</end>
      <status>unmodified</status>
      <modifiedWord/>
      <trackRevisions>false</trackRevisions>
    </reviewItem>
    <reviewItem>
      <errorID>03c18730-ea8b-4d28-9000-7da5f35c937d</errorID>
      <errorWord>Flash：≥</errorWord>
      <group>L1_English</group>
      <groupName>英文问题</groupName>
      <ability>L2_Space</ability>
      <abilityName>空格不规范问题</abilityName>
      <candidateList>
        <item>Flash: ≥</item>
      </candidateList>
      <explain>疑似单词空格书写不规范，建议将Flash：≥修改为Flash: ≥</explain>
      <paraID>3A9561C8</paraID>
      <start>0</start>
      <end>7</end>
      <status>unmodified</status>
      <modifiedWord/>
      <trackRevisions>false</trackRevisions>
    </reviewItem>
    <reviewItem>
      <errorID>7491e93e-4669-48a6-906f-db11f42551a6</errorID>
      <errorWord>-</errorWord>
      <group>L1_Format</group>
      <groupName>格式问题</groupName>
      <ability>L2_HalfPunc_CN</ability>
      <abilityName>全半角问题</abilityName>
      <candidateList>
        <item>－</item>
      </candidateList>
      <explain>文本全半角错误。</explain>
      <paraID>3A465B99</paraID>
      <start>71</start>
      <end>72</end>
      <status>unmodified</status>
      <modifiedWord/>
      <trackRevisions>false</trackRevisions>
    </reviewItem>
    <reviewItem>
      <errorID>1acce298-b0d4-48dc-be31-a7fea3790941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2B8CD58A</paraID>
      <start>0</start>
      <end>2</end>
      <status>unmodified</status>
      <modifiedWord/>
      <trackRevisions>false</trackRevisions>
    </reviewItem>
    <reviewItem>
      <errorID>0667c470-c544-4687-955d-924e98debbac</errorID>
      <errorWord>WiFi</errorWord>
      <group>L1_Punc</group>
      <groupName>标点问题</groupName>
      <ability>L2_Punc_CN</ability>
      <abilityName>标点符号问题</abilityName>
      <candidateList>
        <item>Wi-Fi</item>
      </candidateList>
      <explain/>
      <paraID>4BD99A66</paraID>
      <start>3</start>
      <end>7</end>
      <status>unmodified</status>
      <modifiedWord/>
      <trackRevisions>false</trackRevisions>
    </reviewItem>
    <reviewItem>
      <errorID>9ccfa411-17f0-440f-ac7f-96b0ed6de354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6D52E8B6</paraID>
      <start>24</start>
      <end>25</end>
      <status>unmodified</status>
      <modifiedWord/>
      <trackRevisions>false</trackRevisions>
    </reviewItem>
    <reviewItem>
      <errorID>9e0117c2-1d1d-4037-a92a-aef59e29e796</errorID>
      <errorWord>低于300万</errorWord>
      <group>L1_Word</group>
      <groupName>字词问题</groupName>
      <ability>L2_Typo</ability>
      <abilityName>字词错误</abilityName>
      <candidateList>
        <item>低于300万元</item>
      </candidateList>
      <explain/>
      <paraID> 735442C</paraID>
      <start>7</start>
      <end>13</end>
      <status>unmodified</status>
      <modifiedWord/>
      <trackRevisions>false</trackRevisions>
    </reviewItem>
    <reviewItem>
      <errorID>8f1cf0f7-b41f-4bd1-8c7b-505a3d0a4813</errorID>
      <errorWord>,</errorWord>
      <group>L1_Format</group>
      <groupName>格式问题</groupName>
      <ability>L2_HalfPunc_CN</ability>
      <abilityName>全半角问题</abilityName>
      <candidateList>
        <item>，</item>
      </candidateList>
      <explain>文本全半角错误。</explain>
      <paraID> 6305791</paraID>
      <start>31</start>
      <end>32</end>
      <status>unmodified</status>
      <modifiedWord/>
      <trackRevisions>false</trackRevisions>
    </reviewItem>
    <reviewItem>
      <errorID>1f1a60e9-812f-4c95-8efe-c26db262bb89</errorID>
      <errorWord>)</errorWord>
      <group>L1_Format</group>
      <groupName>格式问题</groupName>
      <ability>L2_HalfPunc_CN</ability>
      <abilityName>全半角问题</abilityName>
      <candidateList>
        <item>）</item>
      </candidateList>
      <explain>文本全半角错误。</explain>
      <paraID>720475AE</paraID>
      <start>14</start>
      <end>15</end>
      <status>unmodified</status>
      <modifiedWord/>
      <trackRevisions>false</trackRevisions>
    </reviewItem>
    <reviewItem>
      <errorID>f50828de-8a16-456e-9eb4-ad39bd740a0e</errorID>
      <errorWord>Uweb</errorWord>
      <group>L1_English</group>
      <groupName>英文问题</groupName>
      <ability>L2_Case</ability>
      <abilityName>大小写问题</abilityName>
      <candidateList>
        <item>UWEB</item>
      </candidateList>
      <explain>疑似单词大小写错误，建议将Uweb修改为UWEB</explain>
      <paraID>1DAA8CF4</paraID>
      <start>21</start>
      <end>25</end>
      <status>unmodified</status>
      <modifiedWord/>
      <trackRevisions>false</trackRevisions>
    </reviewItem>
    <reviewItem>
      <errorID>2d8e5204-a048-4331-9612-cafd924001f3</errorID>
      <errorWord>集成有</errorWord>
      <group>L1_Word</group>
      <groupName>字词问题</groupName>
      <ability>L2_Typo</ability>
      <abilityName>字词错误</abilityName>
      <candidateList>
        <item>集成</item>
      </candidateList>
      <explain/>
      <paraID>258055F8</paraID>
      <start>37</start>
      <end>40</end>
      <status>unmodified</status>
      <modifiedWord/>
      <trackRevisions>false</trackRevisions>
    </reviewItem>
    <reviewItem>
      <errorID>89b4d380-fe99-4a03-834c-be3da61c7646</errorID>
      <errorWord>,</errorWord>
      <group>L1_Format</group>
      <groupName>格式问题</groupName>
      <ability>L2_HalfPunc_CN</ability>
      <abilityName>全半角问题</abilityName>
      <candidateList>
        <item>，</item>
      </candidateList>
      <explain>文本全半角错误。</explain>
      <paraID>5D1D6F90</paraID>
      <start>12</start>
      <end>13</end>
      <status>unmodified</status>
      <modifiedWord/>
      <trackRevisions>false</trackRevisions>
    </reviewItem>
    <reviewItem>
      <errorID>086845fc-13be-4ccd-84e3-48410c7c1289</errorID>
      <errorWord>,</errorWord>
      <group>L1_Format</group>
      <groupName>格式问题</groupName>
      <ability>L2_HalfPunc_CN</ability>
      <abilityName>全半角问题</abilityName>
      <candidateList>
        <item>，</item>
      </candidateList>
      <explain>文本全半角错误。</explain>
      <paraID>77076062</paraID>
      <start>6</start>
      <end>7</end>
      <status>unmodified</status>
      <modifiedWord/>
      <trackRevisions>false</trackRevisions>
    </reviewItem>
    <reviewItem>
      <errorID>133f6255-7ecb-4280-ab9b-5badacc4f462</errorID>
      <errorWord>需具备</errorWord>
      <group>L1_Word</group>
      <groupName>字词问题</groupName>
      <ability>L2_Typo</ability>
      <abilityName>字词错误</abilityName>
      <candidateList>
        <item>须具备</item>
      </candidateList>
      <explain/>
      <paraID>320EA3C8</paraID>
      <start>0</start>
      <end>3</end>
      <status>unmodified</status>
      <modifiedWord/>
      <trackRevisions>false</trackRevisions>
    </reviewItem>
    <reviewItem>
      <errorID>242ae627-a72f-48f4-87d9-18e3e57117d7</errorID>
      <errorWord>)</errorWord>
      <group>L1_Format</group>
      <groupName>格式问题</groupName>
      <ability>L2_HalfPunc_CN</ability>
      <abilityName>全半角问题</abilityName>
      <candidateList>
        <item>）</item>
      </candidateList>
      <explain>文本全半角错误。</explain>
      <paraID>76DC517F</paraID>
      <start>2</start>
      <end>3</end>
      <status>unmodified</status>
      <modifiedWord/>
      <trackRevisions>false</trackRevisions>
    </reviewItem>
    <reviewItem>
      <errorID>a9791d1d-beea-4141-aa78-35ca403efdee</errorID>
      <errorWord>,</errorWord>
      <group>L1_Format</group>
      <groupName>格式问题</groupName>
      <ability>L2_HalfPunc_CN</ability>
      <abilityName>全半角问题</abilityName>
      <candidateList>
        <item>，</item>
      </candidateList>
      <explain>文本全半角错误。</explain>
      <paraID>4987FF0E</paraID>
      <start>22</start>
      <end>23</end>
      <status>unmodified</status>
      <modifiedWord/>
      <trackRevisions>false</trackRevisions>
    </reviewItem>
    <reviewItem>
      <errorID>dba0a59d-bd02-47e8-8bbd-c2bac9a0967d</errorID>
      <errorWord>WiFi</errorWord>
      <group>L1_Punc</group>
      <groupName>标点问题</groupName>
      <ability>L2_Punc_CN</ability>
      <abilityName>标点符号问题</abilityName>
      <candidateList>
        <item>Wi-Fi</item>
      </candidateList>
      <explain/>
      <paraID>  A5F1E6</paraID>
      <start>0</start>
      <end>4</end>
      <status>unmodified</status>
      <modifiedWord/>
      <trackRevisions>false</trackRevisions>
    </reviewItem>
    <reviewItem>
      <errorID>5163d0d5-d6fd-4b56-8d09-c1da7704cb6e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F977E98</paraID>
      <start>36</start>
      <end>38</end>
      <status>unmodified</status>
      <modifiedWord/>
      <trackRevisions>false</trackRevisions>
    </reviewItem>
    <reviewItem>
      <errorID>5c983b3a-9fa2-490b-a001-22be6b5d3dab</errorID>
      <errorWord>最后一公里</errorWord>
      <group>L1_Political</group>
      <groupName>政治性问题</groupName>
      <ability>L2_Keyword</ability>
      <abilityName>固定表述</abilityName>
      <candidateList>
        <item>“最后一公里”</item>
      </candidateList>
      <explain>注意检查当前固定表述标点是否使用规范。</explain>
      <paraID> 4BF0ED8</paraID>
      <start>198</start>
      <end>203</end>
      <status>unmodified</status>
      <modifiedWord/>
      <trackRevisions>false</trackRevisions>
    </reviewItem>
    <reviewItem>
      <errorID>ca1924ac-7022-432a-804f-a5788fbba1b8</errorID>
      <errorWord>数据在</errorWord>
      <group>L1_Word</group>
      <groupName>字词问题</groupName>
      <ability>L2_Typo</ability>
      <abilityName>字词错误</abilityName>
      <candidateList>
        <item>数据</item>
      </candidateList>
      <explain/>
      <paraID>456A2789</paraID>
      <start>215</start>
      <end>218</end>
      <status>unmodified</status>
      <modifiedWord/>
      <trackRevisions>false</trackRevisions>
    </reviewItem>
    <reviewItem>
      <errorID>0aa79e91-ed62-4545-b120-335884d32d04</errorID>
      <errorWord>、以及</errorWord>
      <group>L1_Punc</group>
      <groupName>标点问题</groupName>
      <ability>L2_Punc_CN</ability>
      <abilityName>标点符号问题</abilityName>
      <candidateList>
        <item>，以及</item>
      </candidateList>
      <explain>连接词前后不宜使用顿号，建议使用逗号。</explain>
      <paraID>797E4533</paraID>
      <start>44</start>
      <end>47</end>
      <status>unmodified</status>
      <modifiedWord/>
      <trackRevisions>false</trackRevisions>
    </reviewItem>
    <reviewItem>
      <errorID>67592219-42dd-4151-b524-adc6e70c5a7c</errorID>
      <errorWord>、以及</errorWord>
      <group>L1_Punc</group>
      <groupName>标点问题</groupName>
      <ability>L2_Punc_CN</ability>
      <abilityName>标点符号问题</abilityName>
      <candidateList>
        <item>，以及</item>
      </candidateList>
      <explain>连接词前后不宜使用顿号，建议使用逗号。</explain>
      <paraID>27335596</paraID>
      <start>27</start>
      <end>30</end>
      <status>unmodified</status>
      <modifiedWord/>
      <trackRevisions>false</trackRevisions>
    </reviewItem>
    <reviewItem>
      <errorID>b1ebe4d5-5cf2-41ae-91d2-13e1ae6f9b97</errorID>
      <errorWord>,</errorWord>
      <group>L1_Format</group>
      <groupName>格式问题</groupName>
      <ability>L2_HalfPunc_CN</ability>
      <abilityName>全半角问题</abilityName>
      <candidateList>
        <item>，</item>
      </candidateList>
      <explain>文本全半角错误。</explain>
      <paraID>15F81264</paraID>
      <start>27</start>
      <end>28</end>
      <status>unmodified</status>
      <modifiedWord/>
      <trackRevisions>false</trackRevisions>
    </reviewItem>
    <reviewItem>
      <errorID>e089ee8f-9bc3-4bba-b14b-7c5ea6fb33e7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1A0ADA99</paraID>
      <start>15</start>
      <end>18</end>
      <status>unmodified</status>
      <modifiedWord/>
      <trackRevisions>false</trackRevisions>
    </reviewItem>
    <reviewItem>
      <errorID>75f31b36-e581-4a91-90cb-c9167b304a50</errorID>
      <errorWord>法律、法规</errorWord>
      <group>L1_Word</group>
      <groupName>字词问题</groupName>
      <ability>L2_Typo</ability>
      <abilityName>字词错误</abilityName>
      <candidateList>
        <item>法律法规</item>
      </candidateList>
      <explain/>
      <paraID>1A0ADA99</paraID>
      <start>30</start>
      <end>35</end>
      <status>unmodified</status>
      <modifiedWord/>
      <trackRevisions>false</trackRevisions>
    </reviewItem>
    <reviewItem>
      <errorID>b0e9a6d3-d6fe-422b-928d-da19f99e1bbb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7AE098A1</paraID>
      <start>147</start>
      <end>148</end>
      <status>unmodified</status>
      <modifiedWord/>
      <trackRevisions>false</trackRevisions>
    </reviewItem>
    <reviewItem>
      <errorID>8894b7a1-3d85-4e5b-bacc-6ec2c83954fd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1F3795A7</paraID>
      <start>0</start>
      <end>2</end>
      <status>unmodified</status>
      <modifiedWord/>
      <trackRevisions>false</trackRevisions>
    </reviewItem>
    <reviewItem>
      <errorID>59465f2c-208c-4684-8a53-9ab1a62d9251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43434ECB</paraID>
      <start>0</start>
      <end>2</end>
      <status>unmodified</status>
      <modifiedWord/>
      <trackRevisions>false</trackRevisions>
    </reviewItem>
    <reviewItem>
      <errorID>a7832f33-dcf0-4e11-94ed-7bc7ba008fac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3FDCDBB8</paraID>
      <start>0</start>
      <end>2</end>
      <status>unmodified</status>
      <modifiedWord/>
      <trackRevisions>false</trackRevisions>
    </reviewItem>
    <reviewItem>
      <errorID>d8c73621-5b94-4b5b-96b8-0036c699c58a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75C2CEBC</paraID>
      <start>0</start>
      <end>2</end>
      <status>unmodified</status>
      <modifiedWord/>
      <trackRevisions>false</trackRevisions>
    </reviewItem>
    <reviewItem>
      <errorID>42d3c480-f4f7-445a-b727-759b7c811d02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1F8CE882</paraID>
      <start>0</start>
      <end>2</end>
      <status>unmodified</status>
      <modifiedWord/>
      <trackRevisions>false</trackRevisions>
    </reviewItem>
    <reviewItem>
      <errorID>31556a66-2bd3-494e-898f-00ee60c1ebe8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27FB7A52</paraID>
      <start>0</start>
      <end>2</end>
      <status>unmodified</status>
      <modifiedWord/>
      <trackRevisions>false</trackRevisions>
    </reviewItem>
    <reviewItem>
      <errorID>7ed1d100-15a1-47ee-9f73-1dbf475cc390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451F9325</paraID>
      <start>0</start>
      <end>2</end>
      <status>unmodified</status>
      <modifiedWord/>
      <trackRevisions>false</trackRevisions>
    </reviewItem>
    <reviewItem>
      <errorID>cebfd07e-f612-486a-a629-b6b486f1a95f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71340CC1</paraID>
      <start>0</start>
      <end>2</end>
      <status>unmodified</status>
      <modifiedWord/>
      <trackRevisions>false</trackRevisions>
    </reviewItem>
    <reviewItem>
      <errorID>3279269e-52a2-4128-a0fe-cc85171d5729</errorID>
      <errorWord>、</errorWord>
      <group>L1_Word</group>
      <groupName>字词问题</groupName>
      <ability>L2_Typo</ability>
      <abilityName>字词错误</abilityName>
      <candidateList>
        <item>、以</item>
      </candidateList>
      <explain/>
      <paraID>71340CC1</paraID>
      <start>25</start>
      <end>26</end>
      <status>unmodified</status>
      <modifiedWord/>
      <trackRevisions>false</trackRevisions>
    </reviewItem>
    <reviewItem>
      <errorID>fb754e78-f4f3-4a39-b35d-2afcd2a48e71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5251BE1F</paraID>
      <start>0</start>
      <end>2</end>
      <status>unmodified</status>
      <modifiedWord/>
      <trackRevisions>false</trackRevisions>
    </reviewItem>
    <reviewItem>
      <errorID>5b67fba7-3044-43b9-a6b1-2af73c8e07f6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4DEE9EB1</paraID>
      <start>0</start>
      <end>2</end>
      <status>unmodified</status>
      <modifiedWord/>
      <trackRevisions>false</trackRevisions>
    </reviewItem>
    <reviewItem>
      <errorID>0a517693-6b05-4614-8908-d546f902b960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39016CD8</paraID>
      <start>0</start>
      <end>2</end>
      <status>unmodified</status>
      <modifiedWord/>
      <trackRevisions>false</trackRevisions>
    </reviewItem>
    <reviewItem>
      <errorID>26e5735d-96d3-4bf4-8114-4fe78ec7ec78</errorID>
      <errorWord>，,</errorWord>
      <group>L1_Punc</group>
      <groupName>标点问题</groupName>
      <ability>L2_Punc_CN</ability>
      <abilityName>标点符号问题</abilityName>
      <candidateList>
        <item>，</item>
      </candidateList>
      <explain/>
      <paraID>3AD272B6</paraID>
      <start>5</start>
      <end>7</end>
      <status>unmodified</status>
      <modifiedWord/>
      <trackRevisions>false</trackRevisions>
    </reviewItem>
    <reviewItem>
      <errorID>e7a9abc6-919a-4096-aeba-e468dbc1934f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6831816</paraID>
      <start>0</start>
      <end>2</end>
      <status>unmodified</status>
      <modifiedWord/>
      <trackRevisions>false</trackRevisions>
    </reviewItem>
    <reviewItem>
      <errorID>902738ec-6aee-4c2e-9121-6a7c126b2995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166437BD</paraID>
      <start>0</start>
      <end>2</end>
      <status>unmodified</status>
      <modifiedWord/>
      <trackRevisions>false</trackRevisions>
    </reviewItem>
    <reviewItem>
      <errorID>9ec6ca7f-a15e-4831-8434-019d74d3fb38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20464573</paraID>
      <start>0</start>
      <end>2</end>
      <status>unmodified</status>
      <modifiedWord/>
      <trackRevisions>false</trackRevisions>
    </reviewItem>
    <reviewItem>
      <errorID>46d061f3-06ff-4cfa-86f6-54a9e0b9eb60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30576537</paraID>
      <start>0</start>
      <end>2</end>
      <status>unmodified</status>
      <modifiedWord/>
      <trackRevisions>false</trackRevisions>
    </reviewItem>
    <reviewItem>
      <errorID>fbc27131-e866-480e-a2ee-26dc4277bfaf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78723EFD</paraID>
      <start>0</start>
      <end>2</end>
      <status>unmodified</status>
      <modifiedWord/>
      <trackRevisions>false</trackRevisions>
    </reviewItem>
    <reviewItem>
      <errorID>664dc89b-fd12-4893-adbf-9af60334682c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5991CCA8</paraID>
      <start>0</start>
      <end>2</end>
      <status>unmodified</status>
      <modifiedWord/>
      <trackRevisions>false</trackRevisions>
    </reviewItem>
    <reviewItem>
      <errorID>f0d3117a-0e63-4e64-bd8b-1096aa6e2f83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77259807</paraID>
      <start>4</start>
      <end>6</end>
      <status>unmodified</status>
      <modifiedWord/>
      <trackRevisions>false</trackRevisions>
    </reviewItem>
    <reviewItem>
      <errorID>c55377d8-003b-4c44-8207-f5023fe732ef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5D26686A</paraID>
      <start>4</start>
      <end>6</end>
      <status>unmodified</status>
      <modifiedWord/>
      <trackRevisions>false</trackRevisions>
    </reviewItem>
    <reviewItem>
      <errorID>f7941cd4-07dc-4455-90a3-6708325ad331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17584388</paraID>
      <start>4</start>
      <end>6</end>
      <status>unmodified</status>
      <modifiedWord/>
      <trackRevisions>false</trackRevisions>
    </reviewItem>
    <reviewItem>
      <errorID>b7ab496a-41a9-49d9-a141-d4e09125b7ba</errorID>
      <errorWord>，</errorWord>
      <group>L1_Word</group>
      <groupName>字词问题</groupName>
      <ability>L2_Typo</ability>
      <abilityName>字词错误</abilityName>
      <candidateList>
        <item>，在</item>
      </candidateList>
      <explain/>
      <paraID>17584388</paraID>
      <start>50</start>
      <end>51</end>
      <status>unmodified</status>
      <modifiedWord/>
      <trackRevisions>false</trackRevisions>
    </reviewItem>
    <reviewItem>
      <errorID>0b1170d7-e6e7-4566-83d0-3c81f94f9b14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495194AF</paraID>
      <start>0</start>
      <end>2</end>
      <status>unmodified</status>
      <modifiedWord/>
      <trackRevisions>false</trackRevisions>
    </reviewItem>
    <reviewItem>
      <errorID>027da11a-2ddd-4852-8517-d558e72878bb</errorID>
      <errorWord>)</errorWord>
      <group>L1_Format</group>
      <groupName>格式问题</groupName>
      <ability>L2_HalfPunc_CN</ability>
      <abilityName>全半角问题</abilityName>
      <candidateList>
        <item>）</item>
      </candidateList>
      <explain>文本全半角错误。</explain>
      <paraID>5D52A8C1</paraID>
      <start>116</start>
      <end>117</end>
      <status>unmodified</status>
      <modifiedWord/>
      <trackRevisions>false</trackRevisions>
    </reviewItem>
    <reviewItem>
      <errorID>26b70d3e-b000-4534-ad21-96a4ec4aa871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7A28DAEA</paraID>
      <start>0</start>
      <end>2</end>
      <status>unmodified</status>
      <modifiedWord/>
      <trackRevisions>false</trackRevisions>
    </reviewItem>
    <reviewItem>
      <errorID>0e4cab99-0da3-4348-a02a-1a8919c74586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73ED6EA5</paraID>
      <start>0</start>
      <end>2</end>
      <status>unmodified</status>
      <modifiedWord/>
      <trackRevisions>false</trackRevisions>
    </reviewItem>
    <reviewItem>
      <errorID>402c43a9-d5c8-45c0-bfad-e9e15206c133</errorID>
      <errorWord>具</errorWord>
      <group>L1_Word</group>
      <groupName>字词问题</groupName>
      <ability>L2_Typo</ability>
      <abilityName>字词错误</abilityName>
      <candidateList>
        <item>具有</item>
      </candidateList>
      <explain>〈动〉有（多用于抽象事物）：～信心｜～伟大的意义。</explain>
      <paraID>73ED6EA5</paraID>
      <start>28</start>
      <end>29</end>
      <status>unmodified</status>
      <modifiedWord/>
      <trackRevisions>false</trackRevisions>
    </reviewItem>
    <reviewItem>
      <errorID>3a53db1a-dbc6-4476-b342-972f4e1e2953</errorID>
      <errorWord>．</errorWord>
      <group>L1_Format</group>
      <groupName>格式问题</groupName>
      <ability>L2_HalfPunc_CN</ability>
      <abilityName>全半角问题</abilityName>
      <candidateList>
        <item>。</item>
      </candidateList>
      <explain>文本全半角错误。</explain>
      <paraID>5718CB4A</paraID>
      <start>4</start>
      <end>5</end>
      <status>unmodified</status>
      <modifiedWord/>
      <trackRevisions>false</trackRevisions>
    </reviewItem>
    <reviewItem>
      <errorID>d5497065-be8e-46ff-8159-010cf18c8bd7</errorID>
      <errorWord>法律、法规</errorWord>
      <group>L1_Word</group>
      <groupName>字词问题</groupName>
      <ability>L2_Typo</ability>
      <abilityName>字词错误</abilityName>
      <candidateList>
        <item>法律法规</item>
      </candidateList>
      <explain/>
      <paraID>5B64EAD1</paraID>
      <start>54</start>
      <end>59</end>
      <status>unmodified</status>
      <modifiedWord/>
      <trackRevisions>false</trackRevisions>
    </reviewItem>
    <reviewItem>
      <errorID>dc9b4f0a-774a-4372-89ed-1bc8032d2abe</errorID>
      <errorWord>按《中华人民共和国</errorWord>
      <group>L1_Political</group>
      <groupName>政治性问题</groupName>
      <ability>L2_Unpolitical</ability>
      <abilityName>政治敏感错误</abilityName>
      <candidateList>
        <item>按照《中华人民共和国</item>
      </candidateList>
      <explain/>
      <paraID>6C715BDD</paraID>
      <start>24</start>
      <end>33</end>
      <status>unmodified</status>
      <modifiedWord/>
      <trackRevisions>false</trackRevisions>
    </reviewItem>
    <reviewItem>
      <errorID>a24feee1-c6b8-453c-976f-448de7ed57f1</errorID>
      <errorWord>)</errorWord>
      <group>L1_Format</group>
      <groupName>格式问题</groupName>
      <ability>L2_HalfPunc_CN</ability>
      <abilityName>全半角问题</abilityName>
      <candidateList>
        <item>）</item>
      </candidateList>
      <explain>文本全半角错误。</explain>
      <paraID>531E5519</paraID>
      <start>15</start>
      <end>16</end>
      <status>unmodified</status>
      <modifiedWord/>
      <trackRevisions>false</trackRevisions>
    </reviewItem>
    <reviewItem>
      <errorID>e75dd788-8138-43ce-9e6a-c944daba676f</errorID>
      <errorWord>)</errorWord>
      <group>L1_Format</group>
      <groupName>格式问题</groupName>
      <ability>L2_HalfPunc_CN</ability>
      <abilityName>全半角问题</abilityName>
      <candidateList>
        <item>）</item>
      </candidateList>
      <explain>文本全半角错误。</explain>
      <paraID>6B451A39</paraID>
      <start>6</start>
      <end>7</end>
      <status>unmodified</status>
      <modifiedWord/>
      <trackRevisions>false</trackRevisions>
    </reviewItem>
    <reviewItem>
      <errorID>f39a0735-aabf-4377-8331-b435c94aa7d0</errorID>
      <errorWord>)</errorWord>
      <group>L1_Format</group>
      <groupName>格式问题</groupName>
      <ability>L2_HalfPunc_CN</ability>
      <abilityName>全半角问题</abilityName>
      <candidateList>
        <item>）</item>
      </candidateList>
      <explain>文本全半角错误。</explain>
      <paraID>33A3C1F2</paraID>
      <start>2</start>
      <end>3</end>
      <status>unmodified</status>
      <modifiedWord/>
      <trackRevisions>false</trackRevisions>
    </reviewItem>
    <reviewItem>
      <errorID>9cd925ec-55bc-4055-93b8-7e134c76a2e2</errorID>
      <errorWord>)</errorWord>
      <group>L1_Format</group>
      <groupName>格式问题</groupName>
      <ability>L2_HalfPunc_CN</ability>
      <abilityName>全半角问题</abilityName>
      <candidateList>
        <item>）</item>
      </candidateList>
      <explain>文本全半角错误。</explain>
      <paraID>1E58B0DA</paraID>
      <start>2</start>
      <end>3</end>
      <status>unmodified</status>
      <modifiedWord/>
      <trackRevisions>false</trackRevisions>
    </reviewItem>
    <reviewItem>
      <errorID>d9dc87aa-6934-4f2f-982b-bee1d162318f</errorID>
      <errorWord>)</errorWord>
      <group>L1_Format</group>
      <groupName>格式问题</groupName>
      <ability>L2_HalfPunc_CN</ability>
      <abilityName>全半角问题</abilityName>
      <candidateList>
        <item>）</item>
      </candidateList>
      <explain>文本全半角错误。</explain>
      <paraID>4B336CDD</paraID>
      <start>2</start>
      <end>3</end>
      <status>unmodified</status>
      <modifiedWord/>
      <trackRevisions>false</trackRevisions>
    </reviewItem>
    <reviewItem>
      <errorID>2db38f3d-c42d-4923-9e90-499b98357d8e</errorID>
      <errorWord>)</errorWord>
      <group>L1_Format</group>
      <groupName>格式问题</groupName>
      <ability>L2_HalfPunc_CN</ability>
      <abilityName>全半角问题</abilityName>
      <candidateList>
        <item>）</item>
      </candidateList>
      <explain>文本全半角错误。</explain>
      <paraID> D24AB86</paraID>
      <start>2</start>
      <end>3</end>
      <status>unmodified</status>
      <modifiedWord/>
      <trackRevisions>false</trackRevisions>
    </reviewItem>
    <reviewItem>
      <errorID>cd5dc35e-2279-4e5c-92b2-b001e4615d79</errorID>
      <errorWord>)</errorWord>
      <group>L1_Format</group>
      <groupName>格式问题</groupName>
      <ability>L2_HalfPunc_CN</ability>
      <abilityName>全半角问题</abilityName>
      <candidateList>
        <item>）</item>
      </candidateList>
      <explain>文本全半角错误。</explain>
      <paraID>55FBB7A7</paraID>
      <start>2</start>
      <end>3</end>
      <status>unmodified</status>
      <modifiedWord/>
      <trackRevisions>false</trackRevisions>
    </reviewItem>
    <reviewItem>
      <errorID>b65a5c5b-6560-499d-adb7-68d17f0a5e97</errorID>
      <errorWord>)</errorWord>
      <group>L1_Format</group>
      <groupName>格式问题</groupName>
      <ability>L2_HalfPunc_CN</ability>
      <abilityName>全半角问题</abilityName>
      <candidateList>
        <item>）</item>
      </candidateList>
      <explain>文本全半角错误。</explain>
      <paraID>290C9545</paraID>
      <start>2</start>
      <end>3</end>
      <status>unmodified</status>
      <modifiedWord/>
      <trackRevisions>false</trackRevisions>
    </reviewItem>
    <reviewItem>
      <errorID>2a291632-d630-4e76-bf24-0a2bd3a59c3c</errorID>
      <errorWord>)</errorWord>
      <group>L1_Format</group>
      <groupName>格式问题</groupName>
      <ability>L2_HalfPunc_CN</ability>
      <abilityName>全半角问题</abilityName>
      <candidateList>
        <item>）</item>
      </candidateList>
      <explain>文本全半角错误。</explain>
      <paraID> D9949EA</paraID>
      <start>11</start>
      <end>12</end>
      <status>unmodified</status>
      <modifiedWord/>
      <trackRevisions>false</trackRevisions>
    </reviewItem>
    <reviewItem>
      <errorID>dc2d6455-ceb3-4b7a-9d0b-24968a1e6713</errorID>
      <errorWord>)</errorWord>
      <group>L1_Format</group>
      <groupName>格式问题</groupName>
      <ability>L2_HalfPunc_CN</ability>
      <abilityName>全半角问题</abilityName>
      <candidateList>
        <item>）</item>
      </candidateList>
      <explain>文本全半角错误。</explain>
      <paraID>69551B85</paraID>
      <start>42</start>
      <end>43</end>
      <status>unmodified</status>
      <modifiedWord/>
      <trackRevisions>false</trackRevisions>
    </reviewItem>
    <reviewItem>
      <errorID>f65a5e09-2767-4afd-a893-7c05569b1c6c</errorID>
      <errorWord>)</errorWord>
      <group>L1_Format</group>
      <groupName>格式问题</groupName>
      <ability>L2_HalfPunc_CN</ability>
      <abilityName>全半角问题</abilityName>
      <candidateList>
        <item>）</item>
      </candidateList>
      <explain>文本全半角错误。</explain>
      <paraID>24E054F1</paraID>
      <start>41</start>
      <end>42</end>
      <status>unmodified</status>
      <modifiedWord/>
      <trackRevisions>false</trackRevisions>
    </reviewItem>
    <reviewItem>
      <errorID>d953a40c-6b06-4517-88ec-d6750aedb9c4</errorID>
      <errorWord>)</errorWord>
      <group>L1_Format</group>
      <groupName>格式问题</groupName>
      <ability>L2_HalfPunc_CN</ability>
      <abilityName>全半角问题</abilityName>
      <candidateList>
        <item>）</item>
      </candidateList>
      <explain>文本全半角错误。</explain>
      <paraID> 63BDC3C</paraID>
      <start>17</start>
      <end>18</end>
      <status>unmodified</status>
      <modifiedWord/>
      <trackRevisions>false</trackRevisions>
    </reviewItem>
    <reviewItem>
      <errorID>21b0da3d-48e8-4ea2-bd21-4657d77ecd46</errorID>
      <errorWord>)</errorWord>
      <group>L1_Format</group>
      <groupName>格式问题</groupName>
      <ability>L2_HalfPunc_CN</ability>
      <abilityName>全半角问题</abilityName>
      <candidateList>
        <item>）</item>
      </candidateList>
      <explain>文本全半角错误。</explain>
      <paraID>6C49A98D</paraID>
      <start>57</start>
      <end>58</end>
      <status>unmodified</status>
      <modifiedWord/>
      <trackRevisions>false</trackRevisions>
    </reviewItem>
    <reviewItem>
      <errorID>6b9563ae-a95f-4f81-9abf-6988e32db2e1</errorID>
      <errorWord>)</errorWord>
      <group>L1_Format</group>
      <groupName>格式问题</groupName>
      <ability>L2_HalfPunc_CN</ability>
      <abilityName>全半角问题</abilityName>
      <candidateList>
        <item>）</item>
      </candidateList>
      <explain>文本全半角错误。</explain>
      <paraID>6544FC87</paraID>
      <start>6</start>
      <end>7</end>
      <status>unmodified</status>
      <modifiedWord/>
      <trackRevisions>false</trackRevisions>
    </reviewItem>
    <reviewItem>
      <errorID>700349dd-71f2-42f5-b158-81d769d03889</errorID>
      <errorWord>)</errorWord>
      <group>L1_Format</group>
      <groupName>格式问题</groupName>
      <ability>L2_HalfPunc_CN</ability>
      <abilityName>全半角问题</abilityName>
      <candidateList>
        <item>）</item>
      </candidateList>
      <explain>文本全半角错误。</explain>
      <paraID>16B4CF1A</paraID>
      <start>49</start>
      <end>50</end>
      <status>unmodified</status>
      <modifiedWord/>
      <trackRevisions>false</trackRevisions>
    </reviewItem>
    <reviewItem>
      <errorID>e5c9cd34-4889-4250-90e7-f2933acb6514</errorID>
      <errorWord>)</errorWord>
      <group>L1_Format</group>
      <groupName>格式问题</groupName>
      <ability>L2_HalfPunc_CN</ability>
      <abilityName>全半角问题</abilityName>
      <candidateList>
        <item>）</item>
      </candidateList>
      <explain>文本全半角错误。</explain>
      <paraID>70C63ECC</paraID>
      <start>10</start>
      <end>11</end>
      <status>unmodified</status>
      <modifiedWord/>
      <trackRevisions>false</trackRevisions>
    </reviewItem>
    <reviewItem>
      <errorID>1f1700be-a7fe-4a6f-b9b8-a51a12d0d146</errorID>
      <errorWord>)</errorWord>
      <group>L1_Format</group>
      <groupName>格式问题</groupName>
      <ability>L2_HalfPunc_CN</ability>
      <abilityName>全半角问题</abilityName>
      <candidateList>
        <item>）</item>
      </candidateList>
      <explain>文本全半角错误。</explain>
      <paraID>5B70B486</paraID>
      <start>8</start>
      <end>9</end>
      <status>unmodified</status>
      <modifiedWord/>
      <trackRevisions>false</trackRevisions>
    </reviewItem>
    <reviewItem>
      <errorID>9273ac10-703b-47bd-bede-7da3b3d0099f</errorID>
      <errorWord>)</errorWord>
      <group>L1_Format</group>
      <groupName>格式问题</groupName>
      <ability>L2_HalfPunc_CN</ability>
      <abilityName>全半角问题</abilityName>
      <candidateList>
        <item>）</item>
      </candidateList>
      <explain>文本全半角错误。</explain>
      <paraID>698C567B</paraID>
      <start>11</start>
      <end>12</end>
      <status>unmodified</status>
      <modifiedWord/>
      <trackRevisions>false</trackRevisions>
    </reviewItem>
    <reviewItem>
      <errorID>c5421951-4822-463e-8032-df2a62bf5557</errorID>
      <errorWord>),</errorWord>
      <group>L1_Format</group>
      <groupName>格式问题</groupName>
      <ability>L2_HalfPunc_CN</ability>
      <abilityName>全半角问题</abilityName>
      <candidateList>
        <item>），</item>
      </candidateList>
      <explain>文本全半角错误。</explain>
      <paraID>2B34E031</paraID>
      <start>46</start>
      <end>48</end>
      <status>unmodified</status>
      <modifiedWord/>
      <trackRevisions>false</trackRevisions>
    </reviewItem>
    <reviewItem>
      <errorID>c0954fc0-f52f-4f6b-bf17-792dbaf984a6</errorID>
      <errorWord>)</errorWord>
      <group>L1_Format</group>
      <groupName>格式问题</groupName>
      <ability>L2_HalfPunc_CN</ability>
      <abilityName>全半角问题</abilityName>
      <candidateList>
        <item>）</item>
      </candidateList>
      <explain>文本全半角错误。</explain>
      <paraID>2B34E031</paraID>
      <start>92</start>
      <end>93</end>
      <status>unmodified</status>
      <modifiedWord/>
      <trackRevisions>false</trackRevisions>
    </reviewItem>
    <reviewItem>
      <errorID>d6e827c1-61a8-473e-8208-727239d5baa4</errorID>
      <errorWord>)</errorWord>
      <group>L1_Format</group>
      <groupName>格式问题</groupName>
      <ability>L2_HalfPunc_CN</ability>
      <abilityName>全半角问题</abilityName>
      <candidateList>
        <item>）</item>
      </candidateList>
      <explain>文本全半角错误。</explain>
      <paraID>2B34E031</paraID>
      <start>123</start>
      <end>124</end>
      <status>unmodified</status>
      <modifiedWord/>
      <trackRevisions>false</trackRevisions>
    </reviewItem>
    <reviewItem>
      <errorID>a2ffe158-2495-4b2f-9b54-5121284ad74c</errorID>
      <errorWord>)</errorWord>
      <group>L1_Format</group>
      <groupName>格式问题</groupName>
      <ability>L2_HalfPunc_CN</ability>
      <abilityName>全半角问题</abilityName>
      <candidateList>
        <item>）</item>
      </candidateList>
      <explain>文本全半角错误。</explain>
      <paraID>2B34E031</paraID>
      <start>176</start>
      <end>177</end>
      <status>unmodified</status>
      <modifiedWord/>
      <trackRevisions>false</trackRevisions>
    </reviewItem>
    <reviewItem>
      <errorID>33f0e6a5-414c-4cc1-9827-91b3a8038683</errorID>
      <errorWord>)</errorWord>
      <group>L1_Format</group>
      <groupName>格式问题</groupName>
      <ability>L2_HalfPunc_CN</ability>
      <abilityName>全半角问题</abilityName>
      <candidateList>
        <item>）</item>
      </candidateList>
      <explain>文本全半角错误。</explain>
      <paraID>2B34E031</paraID>
      <start>201</start>
      <end>202</end>
      <status>unmodified</status>
      <modifiedWord/>
      <trackRevisions>false</trackRevisions>
    </reviewItem>
    <reviewItem>
      <errorID>524b57f1-e15f-4644-b2b8-6841b9d59f86</errorID>
      <errorWord>)</errorWord>
      <group>L1_Format</group>
      <groupName>格式问题</groupName>
      <ability>L2_HalfPunc_CN</ability>
      <abilityName>全半角问题</abilityName>
      <candidateList>
        <item>）</item>
      </candidateList>
      <explain>文本全半角错误。</explain>
      <paraID>480B8244</paraID>
      <start>10</start>
      <end>11</end>
      <status>unmodified</status>
      <modifiedWord/>
      <trackRevisions>false</trackRevisions>
    </reviewItem>
    <reviewItem>
      <errorID>3ed431cd-6cee-488c-9e5a-6c1caaa91d64</errorID>
      <errorWord>)</errorWord>
      <group>L1_Format</group>
      <groupName>格式问题</groupName>
      <ability>L2_HalfPunc_CN</ability>
      <abilityName>全半角问题</abilityName>
      <candidateList>
        <item>）</item>
      </candidateList>
      <explain>文本全半角错误。</explain>
      <paraID>1210D49E</paraID>
      <start>6</start>
      <end>7</end>
      <status>unmodified</status>
      <modifiedWord/>
      <trackRevisions>false</trackRevisions>
    </reviewItem>
    <reviewItem>
      <errorID>f6cba815-9e2e-4921-a84e-699fca9a744a</errorID>
      <errorWord>)</errorWord>
      <group>L1_Format</group>
      <groupName>格式问题</groupName>
      <ability>L2_HalfPunc_CN</ability>
      <abilityName>全半角问题</abilityName>
      <candidateList>
        <item>）</item>
      </candidateList>
      <explain>文本全半角错误。</explain>
      <paraID>5B1CC399</paraID>
      <start>6</start>
      <end>7</end>
      <status>unmodified</status>
      <modifiedWord/>
      <trackRevisions>false</trackRevisions>
    </reviewItem>
    <reviewItem>
      <errorID>4bbfd64a-bc38-40c2-abcb-f2a78d949a7c</errorID>
      <errorWord>（</errorWord>
      <group>L1_Punc</group>
      <groupName>标点问题</groupName>
      <ability>L2_Punc_CN</ability>
      <abilityName>标点符号问题</abilityName>
      <candidateList/>
      <explain>同一形式括号套用。</explain>
      <paraID>64C86D77</paraID>
      <start>68</start>
      <end>69</end>
      <status>unmodified</status>
      <modifiedWord/>
      <trackRevisions>false</trackRevisions>
    </reviewItem>
    <reviewItem>
      <errorID>3217040e-4705-43ff-aab6-13c20f359311</errorID>
      <errorWord>）</errorWord>
      <group>L1_Punc</group>
      <groupName>标点问题</groupName>
      <ability>L2_Punc_CN</ability>
      <abilityName>标点符号问题</abilityName>
      <candidateList/>
      <explain>同一形式括号套用。</explain>
      <paraID>64C86D77</paraID>
      <start>71</start>
      <end>72</end>
      <status>unmodified</status>
      <modifiedWord/>
      <trackRevisions>false</trackRevisions>
    </reviewItem>
    <reviewItem>
      <errorID>4b8b5e7b-f158-48e9-917b-1c42c1967287</errorID>
      <errorWord>)</errorWord>
      <group>L1_Format</group>
      <groupName>格式问题</groupName>
      <ability>L2_HalfPunc_CN</ability>
      <abilityName>全半角问题</abilityName>
      <candidateList>
        <item>）</item>
      </candidateList>
      <explain>文本全半角错误。</explain>
      <paraID>64C86D77</paraID>
      <start>119</start>
      <end>120</end>
      <status>unmodified</status>
      <modifiedWord/>
      <trackRevisions>false</trackRevisions>
    </reviewItem>
    <reviewItem>
      <errorID>03b1e22b-9cbf-494d-b55d-dd6a2dc01370</errorID>
      <errorWord>须</errorWord>
      <group>L1_Word</group>
      <groupName>字词问题</groupName>
      <ability>L2_Typo</ability>
      <abilityName>字词错误</abilityName>
      <candidateList>
        <item>需</item>
      </candidateList>
      <explain>存在发音相同字词的误用。</explain>
      <paraID>78FE5F9E</paraID>
      <start>93</start>
      <end>94</end>
      <status>unmodified</status>
      <modifiedWord/>
      <trackRevisions>false</trackRevisions>
    </reviewItem>
    <reviewItem>
      <errorID>db70241b-1d7c-4037-a062-962a5f714bdb</errorID>
      <errorWord>:</errorWord>
      <group>L1_Format</group>
      <groupName>格式问题</groupName>
      <ability>L2_HalfPunc_CN</ability>
      <abilityName>全半角问题</abilityName>
      <candidateList>
        <item>：</item>
      </candidateList>
      <explain>文本全半角错误。</explain>
      <paraID>1B247EEC</paraID>
      <start>33</start>
      <end>34</end>
      <status>unmodified</status>
      <modifiedWord/>
      <trackRevisions>false</trackRevisions>
    </reviewItem>
    <reviewItem>
      <errorID>2d5fdc2d-5853-4397-b42c-216e02c0a249</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35E0EC4E</paraID>
      <start>12</start>
      <end>16</end>
      <status>unmodified</status>
      <modifiedWord/>
      <trackRevisions>false</trackRevisions>
    </reviewItem>
    <reviewItem>
      <errorID>ee2cc545-c03b-4c76-9462-dd94310b5719</errorID>
      <errorWord>其它</errorWord>
      <group>L1_Word</group>
      <groupName>字词问题</groupName>
      <ability>L2_Alias</ability>
      <abilityName>也作/曾用词</abilityName>
      <candidateList>
        <item>其他</item>
      </candidateList>
      <explain>词汇[其它]为不规范表述或旧称，其规范书面表述为[其他]。</explain>
      <paraID>6B93B263</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2C3ED7C-6837-4286-8E56-7F6F1C4417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Abu</Company>
  <DocSecurity>0</DocSecurity>
  <LinksUpToDate>false</LinksUpToDate>
  <Manager>Abu</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信纸-A</dc:title>
  <dc:subject>信</dc:subject>
  <dc:creator>Abu</dc:creator>
  <cp:keywords>信纸 信</cp:keywords>
  <dc:description>更多Abu设计的信纸请访问
http://chn.docer.</dc:description>
  <cp:lastModifiedBy>向绍家</cp:lastModifiedBy>
  <cp:revision>9</cp:revision>
  <dcterms:created xsi:type="dcterms:W3CDTF">2024-05-24T01:33:00Z</dcterms:created>
  <dcterms:modified xsi:type="dcterms:W3CDTF">2026-10-30T02:18:48Z</dcterms:modified>
  <cp:category>信</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eyJoZGlkIjoiZGRmOTdiZDBhYTU5NjgwMDE3MzRkNDZiMzNiMTdmY2EiLCJ1c2VySWQiOiIzNjQ3MDA3OTgifQ==</vt:lpwstr>
  </property>
  <property fmtid="{D5CDD505-2E9C-101B-9397-08002B2CF9AE}" pid="3" name="KSOProductBuildVer">
    <vt:lpwstr>2052-12.1.0.29161</vt:lpwstr>
  </property>
  <property fmtid="{D5CDD505-2E9C-101B-9397-08002B2CF9AE}" pid="4" name="ICV">
    <vt:lpwstr>DE6D73B529534B91946F0AE5B84BB1A3_13</vt:lpwstr>
  </property>
</Properties>
</file>