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7"/>
        <w:ind w:firstLine="0"/>
        <w:jc w:val="center"/>
        <w:spacing w:line="480" w:lineRule="exact"/>
        <w:rPr>
          <w:sz w:val="28"/>
          <w:highlight w:val="none"/>
        </w:rPr>
      </w:pPr>
      <w:r>
        <w:rPr>
          <w:sz w:val="28"/>
          <w:highlight w:val="none"/>
        </w:rPr>
      </w:r>
      <w:r/>
    </w:p>
    <w:p>
      <w:pPr>
        <w:pStyle w:val="747"/>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47"/>
        <w:ind w:firstLine="0"/>
        <w:jc w:val="center"/>
        <w:spacing w:line="480" w:lineRule="exact"/>
        <w:rPr>
          <w:sz w:val="28"/>
          <w:highlight w:val="none"/>
        </w:rPr>
      </w:pPr>
      <w:r>
        <w:rPr>
          <w:sz w:val="28"/>
          <w:highlight w:val="none"/>
        </w:rPr>
      </w:r>
      <w:r/>
    </w:p>
    <w:p>
      <w:pPr>
        <w:pStyle w:val="747"/>
        <w:ind w:firstLine="0"/>
        <w:jc w:val="center"/>
        <w:spacing w:line="480" w:lineRule="exact"/>
        <w:rPr>
          <w:rFonts w:hint="eastAsia"/>
          <w:sz w:val="28"/>
          <w:highlight w:val="none"/>
        </w:rPr>
      </w:pPr>
      <w:r>
        <w:rPr>
          <w:rFonts w:hint="eastAsia"/>
          <w:sz w:val="28"/>
          <w:highlight w:val="none"/>
        </w:rPr>
      </w:r>
      <w:r/>
    </w:p>
    <w:p>
      <w:pPr>
        <w:pStyle w:val="747"/>
        <w:ind w:firstLine="0"/>
        <w:jc w:val="center"/>
        <w:spacing w:line="480" w:lineRule="exact"/>
        <w:rPr>
          <w:rFonts w:hint="eastAsia" w:ascii="宋体" w:hAnsi="宋体" w:eastAsia="宋体"/>
          <w:b/>
          <w:bCs/>
          <w:color w:val="000000"/>
          <w:sz w:val="32"/>
          <w:highlight w:val="none"/>
          <w:lang w:eastAsia="zh-CN"/>
        </w:rPr>
      </w:pPr>
      <w:r>
        <w:rPr>
          <w:rFonts w:hint="eastAsia" w:ascii="宋体" w:hAnsi="宋体"/>
          <w:b/>
          <w:bCs/>
          <w:color w:val="000000"/>
          <w:sz w:val="32"/>
          <w:highlight w:val="none"/>
        </w:rPr>
        <w:t xml:space="preserve">项目名称：南通市紫琅第一小学东校区、紫琅湖校区音乐器材增补采购</w:t>
      </w:r>
      <w:r>
        <w:rPr>
          <w:rFonts w:hint="eastAsia"/>
          <w:b/>
          <w:bCs/>
          <w:color w:val="000000"/>
          <w:sz w:val="32"/>
          <w:highlight w:val="none"/>
          <w:lang w:eastAsia="zh-CN"/>
        </w:rPr>
        <w:t xml:space="preserve">（</w:t>
      </w:r>
      <w:r>
        <w:rPr>
          <w:rFonts w:hint="eastAsia"/>
          <w:b/>
          <w:bCs/>
          <w:color w:val="000000"/>
          <w:sz w:val="32"/>
          <w:highlight w:val="none"/>
          <w:lang w:val="en-US" w:eastAsia="zh-CN"/>
        </w:rPr>
        <w:t xml:space="preserve">三次</w:t>
      </w:r>
      <w:r>
        <w:rPr>
          <w:rFonts w:hint="eastAsia"/>
          <w:b/>
          <w:bCs/>
          <w:color w:val="000000"/>
          <w:sz w:val="32"/>
          <w:highlight w:val="none"/>
          <w:lang w:eastAsia="zh-CN"/>
        </w:rPr>
        <w:t xml:space="preserve">）</w:t>
      </w:r>
      <w:r/>
    </w:p>
    <w:p>
      <w:pPr>
        <w:pStyle w:val="747"/>
        <w:ind w:firstLine="0"/>
        <w:jc w:val="center"/>
        <w:spacing w:line="480" w:lineRule="exact"/>
        <w:rPr>
          <w:rFonts w:hint="default"/>
          <w:color w:val="000000"/>
          <w:sz w:val="32"/>
          <w:highlight w:val="none"/>
          <w:lang w:val="en-US"/>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w:t>
      </w:r>
      <w:r>
        <w:rPr>
          <w:rFonts w:hint="eastAsia" w:ascii="Times New Roman" w:hAnsi="Times New Roman" w:cs="Times New Roman"/>
          <w:b w:val="0"/>
          <w:bCs w:val="0"/>
          <w:color w:val="000000" w:themeColor="text1"/>
          <w:sz w:val="32"/>
          <w:szCs w:val="24"/>
          <w:highlight w:val="none"/>
          <w:lang w:val="en-US" w:eastAsia="zh-CN"/>
          <w14:textFill>
            <w14:solidFill>
              <w14:schemeClr w14:val="tx1"/>
            </w14:solidFill>
          </w14:textFill>
        </w:rPr>
        <w:t xml:space="preserve">152</w:t>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10</w:t>
      </w:r>
      <w:r>
        <w:rPr>
          <w:rFonts w:hint="eastAsia" w:ascii="宋体" w:hAnsi="宋体"/>
          <w:color w:val="000000"/>
          <w:sz w:val="32"/>
          <w:highlight w:val="none"/>
        </w:rPr>
        <w:t xml:space="preserve">月</w:t>
      </w:r>
      <w:r/>
    </w:p>
    <w:p>
      <w:pPr>
        <w:pStyle w:val="747"/>
        <w:ind w:firstLine="0"/>
        <w:jc w:val="center"/>
        <w:spacing w:line="480" w:lineRule="exact"/>
        <w:rPr>
          <w:sz w:val="28"/>
          <w:highlight w:val="none"/>
        </w:rPr>
      </w:pPr>
      <w:r>
        <w:rPr>
          <w:highlight w:val="none"/>
          <w:lang w:eastAsia="zh-CN"/>
        </w:rPr>
        <w:br w:type="page" w:clear="all"/>
      </w:r>
      <w:r/>
    </w:p>
    <w:p>
      <w:pPr>
        <w:pStyle w:val="747"/>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31"/>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20</w:t>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36</w:t>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51</w:t>
          </w:r>
          <w:r>
            <w:rPr>
              <w:sz w:val="36"/>
              <w:szCs w:val="32"/>
              <w:highlight w:val="none"/>
            </w:rPr>
            <w:fldChar w:fldCharType="end"/>
          </w:r>
          <w:r>
            <w:rPr>
              <w:sz w:val="36"/>
              <w:szCs w:val="32"/>
              <w:highlight w:val="none"/>
              <w:lang w:eastAsia="zh-CN"/>
            </w:rPr>
            <w:fldChar w:fldCharType="end"/>
          </w:r>
          <w:r/>
        </w:p>
        <w:p>
          <w:pPr>
            <w:pStyle w:val="747"/>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47"/>
        <w:ind w:firstLine="0"/>
        <w:jc w:val="center"/>
        <w:rPr>
          <w:highlight w:val="none"/>
        </w:rPr>
        <w:outlineLvl w:val="0"/>
      </w:pPr>
      <w:r/>
      <w:bookmarkStart w:id="0" w:name="_Toc30211"/>
      <w:r/>
      <w:bookmarkStart w:id="1" w:name="_Toc8717"/>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lang w:eastAsia="zh-CN"/>
        </w:rPr>
        <w:t xml:space="preserve">南通市紫琅第一小学东校区、紫琅湖校区音乐器材增补采购（</w:t>
      </w:r>
      <w:r>
        <w:rPr>
          <w:rFonts w:hint="eastAsia" w:ascii="仿宋" w:hAnsi="仿宋" w:eastAsia="仿宋" w:cs="仿宋"/>
          <w:sz w:val="28"/>
          <w:szCs w:val="28"/>
          <w:highlight w:val="none"/>
          <w:lang w:val="en-US" w:eastAsia="zh-CN"/>
        </w:rPr>
        <w:t xml:space="preserve">三次</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的潜在供应商应在江苏政府采购网获取采购文件，并于2026年</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rPr>
        <w:t xml:space="preserve">16日</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00（北京时间）前提交响应文件。</w:t>
      </w:r>
      <w:r/>
    </w:p>
    <w:p>
      <w:pPr>
        <w:pStyle w:val="747"/>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47"/>
        <w:ind w:firstLine="560"/>
        <w:keepLines w:val="0"/>
        <w:keepNext w:val="0"/>
        <w:pageBreakBefore w:val="0"/>
        <w:spacing w:line="460" w:lineRule="exact"/>
        <w:widowControl w:val="off"/>
        <w:rPr>
          <w:rFonts w:hint="eastAsia" w:ascii="仿宋" w:hAnsi="仿宋" w:eastAsia="仿宋" w:cs="仿宋"/>
          <w:sz w:val="28"/>
          <w:highlight w:val="none"/>
          <w:lang w:val="en-US" w:eastAsia="zh-CN"/>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152</w:t>
      </w:r>
      <w:r/>
    </w:p>
    <w:p>
      <w:pPr>
        <w:pStyle w:val="747"/>
        <w:ind w:firstLine="560"/>
        <w:keepLines w:val="0"/>
        <w:keepNext w:val="0"/>
        <w:pageBreakBefore w:val="0"/>
        <w:spacing w:line="46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2.项目名称：南通市紫琅第一小学东校区、紫琅湖校区音乐器材增补采购（</w:t>
      </w:r>
      <w:r>
        <w:rPr>
          <w:rFonts w:hint="eastAsia" w:ascii="仿宋" w:hAnsi="仿宋" w:eastAsia="仿宋" w:cs="仿宋"/>
          <w:sz w:val="28"/>
          <w:highlight w:val="none"/>
          <w:lang w:val="en-US" w:eastAsia="zh-CN"/>
        </w:rPr>
        <w:t xml:space="preserve">三次</w:t>
      </w:r>
      <w:r>
        <w:rPr>
          <w:rFonts w:hint="eastAsia" w:ascii="仿宋" w:hAnsi="仿宋" w:eastAsia="仿宋" w:cs="仿宋"/>
          <w:sz w:val="28"/>
          <w:highlight w:val="none"/>
          <w:lang w:eastAsia="zh-CN"/>
        </w:rPr>
        <w:t xml:space="preserve">）</w:t>
      </w:r>
      <w:r/>
    </w:p>
    <w:p>
      <w:pPr>
        <w:pStyle w:val="747"/>
        <w:ind w:firstLine="560"/>
        <w:keepLines w:val="0"/>
        <w:keepNext w:val="0"/>
        <w:pageBreakBefore w:val="0"/>
        <w:spacing w:line="46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19.4</w:t>
      </w:r>
      <w:r>
        <w:rPr>
          <w:rFonts w:hint="eastAsia" w:ascii="仿宋" w:hAnsi="仿宋" w:eastAsia="仿宋" w:cs="仿宋"/>
          <w:sz w:val="28"/>
          <w:highlight w:val="none"/>
          <w:lang w:eastAsia="zh-CN"/>
        </w:rPr>
        <w:t xml:space="preserve"> 万元。</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val="en-US" w:eastAsia="zh-CN"/>
        </w:rPr>
        <w:t xml:space="preserve">19.4</w:t>
      </w:r>
      <w:r>
        <w:rPr>
          <w:rFonts w:hint="eastAsia" w:ascii="仿宋" w:hAnsi="仿宋" w:eastAsia="仿宋" w:cs="仿宋"/>
          <w:sz w:val="28"/>
          <w:highlight w:val="none"/>
          <w:lang w:eastAsia="zh-CN"/>
        </w:rPr>
        <w:t xml:space="preserve">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5.采购需求：三角钢琴</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立式钢琴</w:t>
      </w:r>
      <w:r>
        <w:rPr>
          <w:rFonts w:hint="eastAsia" w:ascii="仿宋" w:hAnsi="仿宋" w:eastAsia="仿宋" w:cs="仿宋"/>
          <w:sz w:val="28"/>
          <w:szCs w:val="28"/>
          <w:highlight w:val="none"/>
          <w:lang w:val="en-US" w:eastAsia="zh-CN"/>
        </w:rPr>
        <w:t xml:space="preserve">等</w:t>
      </w:r>
      <w:r>
        <w:rPr>
          <w:rFonts w:hint="eastAsia" w:ascii="仿宋" w:hAnsi="仿宋" w:eastAsia="仿宋" w:cs="仿宋"/>
          <w:sz w:val="28"/>
          <w:szCs w:val="28"/>
          <w:highlight w:val="none"/>
        </w:rPr>
        <w:t xml:space="preserve">。</w:t>
      </w:r>
      <w:r/>
    </w:p>
    <w:p>
      <w:pPr>
        <w:ind w:firstLine="560"/>
        <w:keepLines w:val="0"/>
        <w:keepNext w:val="0"/>
        <w:pageBreakBefore w:val="0"/>
        <w:spacing w:line="460" w:lineRule="exact"/>
        <w:widowControl w:val="off"/>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6.合同履行期限：</w:t>
      </w:r>
      <w:r>
        <w:rPr>
          <w:rFonts w:hint="eastAsia" w:ascii="仿宋" w:hAnsi="仿宋" w:eastAsia="仿宋" w:cs="仿宋"/>
          <w:bCs/>
          <w:color w:val="000000" w:themeColor="text1"/>
          <w:sz w:val="28"/>
          <w:szCs w:val="28"/>
          <w:highlight w:val="none"/>
          <w14:textFill>
            <w14:solidFill>
              <w14:schemeClr w14:val="tx1"/>
            </w14:solidFill>
          </w14:textFill>
        </w:rPr>
        <w:t xml:space="preserve">合同签订后15个日历天内完成交付，并通过初步验收。</w:t>
      </w:r>
      <w:r/>
    </w:p>
    <w:p>
      <w:pPr>
        <w:pStyle w:val="747"/>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922"/>
        <w:ind w:firstLine="560"/>
        <w:keepLines w:val="0"/>
        <w:keepNext w:val="0"/>
        <w:pageBreakBefore w:val="0"/>
        <w:spacing w:after="0" w:line="46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922"/>
        <w:ind w:firstLine="560"/>
        <w:keepLines w:val="0"/>
        <w:keepNext w:val="0"/>
        <w:pageBreakBefore w:val="0"/>
        <w:spacing w:after="0" w:line="46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47"/>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13</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16</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9:00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47"/>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6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16</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47"/>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47"/>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922"/>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p>
    <w:p>
      <w:pPr>
        <w:pStyle w:val="922"/>
        <w:ind w:firstLine="56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p>
    <w:p>
      <w:pPr>
        <w:ind w:firstLine="560"/>
        <w:keepLines w:val="0"/>
        <w:keepNext w:val="0"/>
        <w:pageBreakBefore w:val="0"/>
        <w:spacing w:line="46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922"/>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47"/>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名    称：南通市紫琅第一小学</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    址：南通市崇川区</w:t>
      </w:r>
      <w:r>
        <w:rPr>
          <w:rFonts w:hint="eastAsia" w:ascii="仿宋" w:hAnsi="仿宋" w:eastAsia="仿宋" w:cs="仿宋"/>
          <w:sz w:val="28"/>
          <w:szCs w:val="28"/>
          <w:highlight w:val="none"/>
          <w:lang w:val="en-US" w:eastAsia="zh-CN"/>
        </w:rPr>
        <w:t xml:space="preserve">胜利路306</w:t>
      </w:r>
      <w:r>
        <w:rPr>
          <w:rFonts w:hint="eastAsia" w:ascii="仿宋" w:hAnsi="仿宋" w:eastAsia="仿宋" w:cs="仿宋"/>
          <w:sz w:val="28"/>
          <w:szCs w:val="28"/>
          <w:highlight w:val="none"/>
        </w:rPr>
        <w:t xml:space="preserve">号</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鲍老师</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联系方式：13862472568</w:t>
      </w:r>
      <w:r/>
    </w:p>
    <w:p>
      <w:pPr>
        <w:pStyle w:val="922"/>
        <w:ind w:left="0" w:firstLine="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922"/>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922"/>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922"/>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922"/>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922"/>
        <w:ind w:left="0" w:firstLine="0"/>
        <w:jc w:val="left"/>
        <w:keepLines w:val="0"/>
        <w:keepNext w:val="0"/>
        <w:pageBreakBefore w:val="0"/>
        <w:spacing w:after="0" w:line="46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47"/>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pStyle w:val="747"/>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p>
    <w:p>
      <w:pPr>
        <w:pStyle w:val="747"/>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47"/>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p>
    <w:p>
      <w:pPr>
        <w:pStyle w:val="747"/>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p>
    <w:p>
      <w:pPr>
        <w:pStyle w:val="747"/>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4.2</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4.3</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4.4</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b w:val="0"/>
          <w:bCs w:val="0"/>
          <w:color w:val="000000"/>
          <w:sz w:val="28"/>
          <w:szCs w:val="28"/>
          <w:highlight w:val="none"/>
        </w:rPr>
      </w:pPr>
      <w:r>
        <w:rPr>
          <w:rFonts w:ascii="仿宋" w:hAnsi="仿宋" w:eastAsia="仿宋" w:cs="仿宋"/>
          <w:color w:val="000000"/>
          <w:sz w:val="28"/>
          <w:highlight w:val="none"/>
        </w:rPr>
        <w:t xml:space="preserve">4.5供应商的报价超过了采购预算或最高限价的。（涉及多校联合采购的项目，各校均设有独立限价的，供应商对各校的分项报价不得超过对应学校的限价）</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4.6未通过符合性审查的。</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4.7 不符合询价文件中规定的实质性要求的（详见本询价文件第四章采购需求中“四、采购需求中必须满足的实质性要求”部分）。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在规定的部位查找不到相关佐证材料，或材料内容不完整、不清晰，</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根据实际情况确定。</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4.8</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4.11询价小组认为</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的报价明显低于其他通过符合性审查</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4.12本项目投标产品如属于政府强制采购节能产品品目清单范围内，</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4.14其他</w:t>
      </w:r>
      <w:r>
        <w:rPr>
          <w:rFonts w:hint="eastAsia" w:ascii="仿宋" w:hAnsi="仿宋" w:eastAsia="仿宋" w:cs="仿宋"/>
          <w:b w:val="0"/>
          <w:bCs w:val="0"/>
          <w:color w:val="000000"/>
          <w:sz w:val="28"/>
          <w:szCs w:val="28"/>
          <w:highlight w:val="none"/>
          <w:lang w:eastAsia="zh-CN"/>
        </w:rPr>
        <w:t xml:space="preserve">法律法规</w:t>
      </w:r>
      <w:r>
        <w:rPr>
          <w:rFonts w:hint="eastAsia" w:ascii="仿宋" w:hAnsi="仿宋" w:eastAsia="仿宋" w:cs="仿宋"/>
          <w:b w:val="0"/>
          <w:bCs w:val="0"/>
          <w:color w:val="000000"/>
          <w:sz w:val="28"/>
          <w:szCs w:val="28"/>
          <w:highlight w:val="none"/>
        </w:rPr>
        <w:t xml:space="preserve">及本询价文件</w:t>
      </w:r>
      <w:r>
        <w:rPr>
          <w:rFonts w:hint="eastAsia" w:ascii="仿宋" w:hAnsi="仿宋" w:eastAsia="仿宋" w:cs="仿宋"/>
          <w:b w:val="0"/>
          <w:bCs w:val="0"/>
          <w:color w:val="000000"/>
          <w:sz w:val="28"/>
          <w:szCs w:val="28"/>
          <w:highlight w:val="none"/>
          <w:lang w:eastAsia="zh-CN"/>
        </w:rPr>
        <w:t xml:space="preserve">规定的属于无效</w:t>
      </w:r>
      <w:r>
        <w:rPr>
          <w:rFonts w:hint="eastAsia" w:ascii="仿宋" w:hAnsi="仿宋" w:eastAsia="仿宋" w:cs="仿宋"/>
          <w:b w:val="0"/>
          <w:bCs w:val="0"/>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747"/>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747"/>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一、个体工商户</w:t>
      </w:r>
      <w:r/>
    </w:p>
    <w:p>
      <w:pPr>
        <w:pStyle w:val="747"/>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747"/>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747"/>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747"/>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747"/>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747"/>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747"/>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47"/>
        <w:ind w:firstLine="562"/>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10. 评审过程的保密与公正</w:t>
      </w:r>
      <w:r/>
    </w:p>
    <w:p>
      <w:pPr>
        <w:pStyle w:val="747"/>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p>
    <w:p>
      <w:pPr>
        <w:pStyle w:val="747"/>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p>
    <w:p>
      <w:pPr>
        <w:pStyle w:val="747"/>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10.3 在评审期间，由专门工作人员负责与供应商联系。</w:t>
      </w:r>
      <w:r/>
    </w:p>
    <w:p>
      <w:pPr>
        <w:pStyle w:val="747"/>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47"/>
        <w:ind w:left="0"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47"/>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922"/>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47"/>
        <w:ind w:firstLine="0"/>
        <w:jc w:val="center"/>
        <w:rPr>
          <w:color w:val="000000"/>
          <w:sz w:val="28"/>
          <w:szCs w:val="28"/>
          <w:highlight w:val="none"/>
        </w:rPr>
      </w:pPr>
      <w:r>
        <w:rPr>
          <w:color w:val="000000"/>
          <w:sz w:val="28"/>
          <w:szCs w:val="28"/>
          <w:highlight w:val="none"/>
        </w:rPr>
      </w:r>
      <w:r/>
    </w:p>
    <w:p>
      <w:pPr>
        <w:pStyle w:val="747"/>
        <w:ind w:firstLine="0"/>
        <w:jc w:val="center"/>
        <w:rPr>
          <w:color w:val="000000"/>
          <w:sz w:val="28"/>
          <w:szCs w:val="28"/>
          <w:highlight w:val="none"/>
        </w:rPr>
      </w:pPr>
      <w:r>
        <w:rPr>
          <w:color w:val="000000"/>
          <w:sz w:val="28"/>
          <w:szCs w:val="28"/>
          <w:highlight w:val="none"/>
        </w:rPr>
      </w:r>
      <w:r/>
    </w:p>
    <w:p>
      <w:pPr>
        <w:pStyle w:val="747"/>
        <w:ind w:firstLine="0"/>
        <w:jc w:val="center"/>
        <w:rPr>
          <w:color w:val="000000"/>
          <w:sz w:val="28"/>
          <w:szCs w:val="28"/>
          <w:highlight w:val="none"/>
        </w:rPr>
      </w:pPr>
      <w:r>
        <w:rPr>
          <w:color w:val="000000"/>
          <w:sz w:val="28"/>
          <w:szCs w:val="28"/>
          <w:highlight w:val="none"/>
        </w:rPr>
      </w:r>
      <w:r/>
    </w:p>
    <w:p>
      <w:pPr>
        <w:pStyle w:val="747"/>
        <w:ind w:firstLine="0"/>
        <w:jc w:val="center"/>
        <w:rPr>
          <w:rFonts w:hint="eastAsia"/>
          <w:highlight w:val="none"/>
        </w:rPr>
      </w:pPr>
      <w:r>
        <w:rPr>
          <w:rFonts w:hint="eastAsia"/>
          <w:highlight w:val="none"/>
        </w:rPr>
      </w:r>
      <w:r/>
    </w:p>
    <w:p>
      <w:pPr>
        <w:pStyle w:val="906"/>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906"/>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47"/>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907"/>
        <w:ind w:left="0" w:firstLine="420"/>
        <w:spacing w:after="0" w:line="400" w:lineRule="exact"/>
        <w:rPr>
          <w:rFonts w:ascii="宋体" w:hAnsi="宋体"/>
          <w:szCs w:val="21"/>
          <w:highlight w:val="none"/>
        </w:rPr>
      </w:pPr>
      <w:r>
        <w:rPr>
          <w:rFonts w:ascii="宋体" w:hAnsi="宋体"/>
          <w:szCs w:val="21"/>
          <w:highlight w:val="none"/>
        </w:rPr>
      </w:r>
      <w:r/>
    </w:p>
    <w:p>
      <w:pPr>
        <w:pStyle w:val="907"/>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907"/>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907"/>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907"/>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42"/>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4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4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4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4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42"/>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42"/>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42"/>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42"/>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42"/>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42"/>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42"/>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42"/>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42"/>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43"/>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42"/>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42"/>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42"/>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90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42"/>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90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90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42"/>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42"/>
        <w:rPr>
          <w:rFonts w:ascii="宋体" w:hAnsi="宋体" w:eastAsia="宋体" w:cs="宋体"/>
          <w:color w:val="000000"/>
          <w:sz w:val="21"/>
          <w:highlight w:val="none"/>
        </w:rPr>
      </w:pPr>
      <w:r>
        <w:rPr>
          <w:highlight w:val="none"/>
        </w:rPr>
        <w:br w:type="page" w:clear="all"/>
      </w:r>
      <w:r/>
    </w:p>
    <w:p>
      <w:pPr>
        <w:pStyle w:val="942"/>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719"/>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907"/>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42"/>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42"/>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47"/>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06"/>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906"/>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90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42"/>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911"/>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1"/>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42"/>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2"/>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42"/>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42"/>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90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4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4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4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0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4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4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42"/>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42"/>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71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42"/>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47"/>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47"/>
        <w:ind w:firstLine="0"/>
        <w:spacing w:line="440" w:lineRule="exact"/>
        <w:rPr>
          <w:rFonts w:ascii="Times New Roman" w:hAnsi="Times New Roman"/>
          <w:b/>
          <w:bCs/>
          <w:sz w:val="32"/>
          <w:szCs w:val="32"/>
          <w:highlight w:val="none"/>
        </w:rPr>
        <w:outlineLvl w:val="1"/>
      </w:pPr>
      <w:r>
        <w:rPr>
          <w:rFonts w:hint="eastAsia"/>
          <w:b/>
          <w:sz w:val="28"/>
          <w:highlight w:val="none"/>
          <w:lang w:eastAsia="zh-CN"/>
        </w:rPr>
        <w:t xml:space="preserve">项目属性：货物类</w:t>
      </w:r>
      <w:r/>
    </w:p>
    <w:p>
      <w:pPr>
        <w:pStyle w:val="747"/>
        <w:ind w:firstLine="0"/>
        <w:spacing w:line="440" w:lineRule="exact"/>
        <w:rPr>
          <w:rFonts w:ascii="Times New Roman" w:hAnsi="Times New Roman"/>
          <w:b/>
          <w:bCs/>
          <w:sz w:val="32"/>
          <w:szCs w:val="32"/>
          <w:highlight w:val="none"/>
        </w:rPr>
        <w:outlineLvl w:val="1"/>
      </w:pPr>
      <w:r>
        <w:rPr>
          <w:rFonts w:hint="eastAsia" w:ascii="Times New Roman" w:hAnsi="Times New Roman"/>
          <w:b/>
          <w:bCs/>
          <w:sz w:val="32"/>
          <w:szCs w:val="32"/>
          <w:highlight w:val="none"/>
          <w:lang w:eastAsia="zh-CN"/>
        </w:rPr>
        <w:t xml:space="preserve">一、采购标的清单</w:t>
      </w:r>
      <w:r/>
    </w:p>
    <w:tbl>
      <w:tblPr>
        <w:tblStyle w:val="719"/>
        <w:tblW w:w="8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2688"/>
        <w:gridCol w:w="1080"/>
        <w:gridCol w:w="1050"/>
        <w:gridCol w:w="2470"/>
      </w:tblGrid>
      <w:tr>
        <w:trPr>
          <w:jc w:val="center"/>
          <w:trHeight w:val="0"/>
          <w:tblHeader/>
        </w:trPr>
        <w:tc>
          <w:tcPr>
            <w:gridSpan w:val="5"/>
            <w:tcW w:w="8256" w:type="dxa"/>
            <w:vAlign w:val="center"/>
            <w:textDirection w:val="lrTb"/>
            <w:noWrap w:val="false"/>
          </w:tcPr>
          <w:p>
            <w:pPr>
              <w:ind w:left="0" w:right="0" w:firstLine="0"/>
              <w:jc w:val="center"/>
              <w:rPr>
                <w:rFonts w:hint="eastAsia" w:ascii="仿宋" w:hAnsi="仿宋" w:eastAsia="仿宋" w:cs="仿宋"/>
                <w:b/>
                <w:bCs/>
                <w:color w:val="000000"/>
                <w:sz w:val="24"/>
                <w:szCs w:val="24"/>
                <w:lang w:bidi="ar"/>
              </w:rPr>
            </w:pPr>
            <w:r>
              <w:rPr>
                <w:rFonts w:hint="eastAsia" w:ascii="仿宋" w:hAnsi="仿宋" w:eastAsia="仿宋" w:cs="仿宋"/>
                <w:b/>
                <w:bCs/>
                <w:sz w:val="24"/>
                <w:szCs w:val="24"/>
              </w:rPr>
              <w:t xml:space="preserve">1.南通市紫琅第一小学东校区</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限价：17.4万元</w:t>
            </w:r>
            <w:r/>
          </w:p>
        </w:tc>
      </w:tr>
      <w:tr>
        <w:trPr>
          <w:jc w:val="center"/>
          <w:trHeight w:val="0"/>
          <w:tblHeader/>
        </w:trPr>
        <w:tc>
          <w:tcPr>
            <w:tcW w:w="968" w:type="dxa"/>
            <w:vAlign w:val="center"/>
            <w:textDirection w:val="lrTb"/>
            <w:noWrap w:val="false"/>
          </w:tcPr>
          <w:p>
            <w:pPr>
              <w:ind w:left="0" w:right="0" w:firstLine="0"/>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序号</w:t>
            </w:r>
            <w:r/>
          </w:p>
        </w:tc>
        <w:tc>
          <w:tcPr>
            <w:tcW w:w="2688" w:type="dxa"/>
            <w:vAlign w:val="center"/>
            <w:textDirection w:val="lrTb"/>
            <w:noWrap w:val="false"/>
          </w:tcPr>
          <w:p>
            <w:pPr>
              <w:ind w:left="0" w:right="0" w:firstLine="0"/>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产品名称</w:t>
            </w:r>
            <w:r/>
          </w:p>
        </w:tc>
        <w:tc>
          <w:tcPr>
            <w:tcW w:w="1080" w:type="dxa"/>
            <w:vAlign w:val="center"/>
            <w:textDirection w:val="lrTb"/>
            <w:noWrap/>
          </w:tcPr>
          <w:p>
            <w:pPr>
              <w:ind w:left="0" w:right="0" w:firstLine="0"/>
              <w:jc w:val="center"/>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数量</w:t>
            </w:r>
            <w:r/>
          </w:p>
        </w:tc>
        <w:tc>
          <w:tcPr>
            <w:tcW w:w="1050" w:type="dxa"/>
            <w:vAlign w:val="center"/>
            <w:textDirection w:val="lrTb"/>
            <w:noWrap/>
          </w:tcPr>
          <w:p>
            <w:pPr>
              <w:ind w:left="0" w:right="0" w:firstLine="0"/>
              <w:jc w:val="center"/>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单位</w:t>
            </w:r>
            <w:r/>
          </w:p>
        </w:tc>
        <w:tc>
          <w:tcPr>
            <w:shd w:val="clear" w:color="auto" w:fill="auto"/>
            <w:tcW w:w="2470" w:type="dxa"/>
            <w:vAlign w:val="center"/>
            <w:textDirection w:val="lrTb"/>
            <w:noWrap/>
          </w:tcPr>
          <w:p>
            <w:pPr>
              <w:ind w:left="0" w:right="0" w:firstLine="0"/>
              <w:jc w:val="center"/>
              <w:spacing w:line="240" w:lineRule="auto"/>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rPr>
              <w:t xml:space="preserve">对应中小企业划分标准所属行业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32"/>
              </w:rPr>
            </w:pPr>
            <w:r>
              <w:rPr>
                <w:rFonts w:hint="eastAsia" w:ascii="仿宋" w:hAnsi="仿宋" w:eastAsia="仿宋" w:cs="仿宋"/>
                <w:sz w:val="24"/>
                <w:szCs w:val="24"/>
              </w:rPr>
              <w:t xml:space="preserve">1</w:t>
            </w:r>
            <w:r/>
          </w:p>
        </w:tc>
        <w:tc>
          <w:tcPr>
            <w:tcW w:w="2688" w:type="dxa"/>
            <w:vAlign w:val="center"/>
            <w:textDirection w:val="lrTb"/>
            <w:noWrap/>
          </w:tcPr>
          <w:p>
            <w:pPr>
              <w:ind w:left="0" w:right="0" w:firstLine="0"/>
              <w:jc w:val="left"/>
              <w:rPr>
                <w:rFonts w:hint="eastAsia" w:ascii="仿宋" w:hAnsi="仿宋" w:eastAsia="仿宋" w:cs="仿宋"/>
                <w:color w:val="000000"/>
                <w:sz w:val="24"/>
                <w:szCs w:val="32"/>
              </w:rPr>
            </w:pPr>
            <w:r>
              <w:rPr>
                <w:rFonts w:hint="eastAsia" w:ascii="仿宋" w:hAnsi="仿宋" w:eastAsia="仿宋" w:cs="仿宋"/>
                <w:sz w:val="24"/>
                <w:szCs w:val="24"/>
              </w:rPr>
              <w:t xml:space="preserve">指挥台</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1</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个</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32"/>
                <w:highlight w:val="none"/>
                <w:lang w:val="en-US" w:eastAsia="zh-CN" w:bidi="ar-SA"/>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32"/>
              </w:rPr>
            </w:pPr>
            <w:r>
              <w:rPr>
                <w:rFonts w:hint="eastAsia" w:ascii="仿宋" w:hAnsi="仿宋" w:eastAsia="仿宋" w:cs="仿宋"/>
                <w:sz w:val="24"/>
                <w:szCs w:val="24"/>
              </w:rPr>
              <w:t xml:space="preserve">2</w:t>
            </w:r>
            <w:r/>
          </w:p>
        </w:tc>
        <w:tc>
          <w:tcPr>
            <w:tcW w:w="2688" w:type="dxa"/>
            <w:vAlign w:val="center"/>
            <w:textDirection w:val="lrTb"/>
            <w:noWrap/>
          </w:tcPr>
          <w:p>
            <w:pPr>
              <w:ind w:left="0" w:right="0" w:firstLine="0"/>
              <w:jc w:val="left"/>
              <w:rPr>
                <w:rFonts w:hint="eastAsia" w:ascii="仿宋" w:hAnsi="仿宋" w:eastAsia="仿宋" w:cs="仿宋"/>
                <w:color w:val="000000"/>
                <w:sz w:val="24"/>
                <w:szCs w:val="32"/>
                <w:lang w:eastAsia="zh-CN"/>
              </w:rPr>
            </w:pPr>
            <w:r>
              <w:rPr>
                <w:rFonts w:hint="eastAsia" w:ascii="仿宋" w:hAnsi="仿宋" w:eastAsia="仿宋" w:cs="仿宋"/>
                <w:b/>
                <w:bCs/>
                <w:sz w:val="24"/>
                <w:szCs w:val="24"/>
              </w:rPr>
              <w:t xml:space="preserve">三角钢琴</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核心产品</w:t>
            </w:r>
            <w:r>
              <w:rPr>
                <w:rFonts w:hint="eastAsia" w:ascii="仿宋" w:hAnsi="仿宋" w:eastAsia="仿宋" w:cs="仿宋"/>
                <w:b/>
                <w:bCs/>
                <w:sz w:val="24"/>
                <w:szCs w:val="24"/>
                <w:lang w:eastAsia="zh-CN"/>
              </w:rPr>
              <w:t xml:space="preserve">）</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1</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台</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32"/>
              </w:rPr>
            </w:pPr>
            <w:r>
              <w:rPr>
                <w:rFonts w:hint="eastAsia" w:ascii="仿宋" w:hAnsi="仿宋" w:eastAsia="仿宋" w:cs="仿宋"/>
                <w:sz w:val="24"/>
                <w:szCs w:val="24"/>
              </w:rPr>
              <w:t xml:space="preserve">3</w:t>
            </w:r>
            <w:r/>
          </w:p>
        </w:tc>
        <w:tc>
          <w:tcPr>
            <w:tcW w:w="2688" w:type="dxa"/>
            <w:vAlign w:val="center"/>
            <w:textDirection w:val="lrTb"/>
            <w:noWrap w:val="false"/>
          </w:tcPr>
          <w:p>
            <w:pPr>
              <w:ind w:left="0" w:right="0" w:firstLine="0"/>
              <w:jc w:val="left"/>
              <w:rPr>
                <w:rFonts w:hint="eastAsia" w:ascii="仿宋" w:hAnsi="仿宋" w:eastAsia="仿宋" w:cs="仿宋"/>
                <w:color w:val="000000"/>
                <w:sz w:val="24"/>
                <w:szCs w:val="32"/>
              </w:rPr>
            </w:pPr>
            <w:r>
              <w:rPr>
                <w:rFonts w:hint="eastAsia" w:ascii="仿宋" w:hAnsi="仿宋" w:eastAsia="仿宋" w:cs="仿宋"/>
                <w:sz w:val="24"/>
                <w:szCs w:val="24"/>
              </w:rPr>
              <w:t xml:space="preserve">立式钢琴</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台</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4</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古筝</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1</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台</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5</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架子鼓</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1</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套</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6</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电子琴</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台</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7</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排笛</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20</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8</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锣</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9</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钹</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10</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镲</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11</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奥尔夫乐器</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1</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套</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12</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三角铁</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60</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13</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双响筒</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60</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14</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舞板</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60</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15</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沙锤</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60</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16</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碰铃</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60</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17</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手串铃</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60</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副</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18</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铃鼓</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20</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个</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19</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蛙鸣器</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20</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个</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20</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钢片琴</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架</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21</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中音红木木琴</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架</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22</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大堂鼓</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面</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23</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小堂鼓</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2</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面</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24</w:t>
            </w:r>
            <w:r/>
          </w:p>
        </w:tc>
        <w:tc>
          <w:tcPr>
            <w:tcW w:w="2688" w:type="dxa"/>
            <w:vAlign w:val="center"/>
            <w:textDirection w:val="lrTb"/>
            <w:noWrap w:val="false"/>
          </w:tcPr>
          <w:p>
            <w:pPr>
              <w:ind w:left="0" w:right="0" w:firstLine="0"/>
              <w:jc w:val="left"/>
              <w:rPr>
                <w:rFonts w:hint="eastAsia" w:ascii="仿宋" w:hAnsi="仿宋" w:eastAsia="仿宋" w:cs="仿宋"/>
                <w:sz w:val="24"/>
                <w:szCs w:val="24"/>
              </w:rPr>
            </w:pPr>
            <w:r>
              <w:rPr>
                <w:rFonts w:hint="eastAsia" w:ascii="仿宋" w:hAnsi="仿宋" w:eastAsia="仿宋" w:cs="仿宋"/>
                <w:sz w:val="24"/>
                <w:szCs w:val="24"/>
              </w:rPr>
              <w:t xml:space="preserve">大红鼓</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1</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面</w:t>
            </w:r>
            <w:r/>
          </w:p>
        </w:tc>
        <w:tc>
          <w:tcPr>
            <w:tcW w:w="2470"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r>
        <w:trPr>
          <w:jc w:val="center"/>
          <w:trHeight w:val="0"/>
        </w:trPr>
        <w:tc>
          <w:tcPr>
            <w:gridSpan w:val="5"/>
            <w:tcW w:w="8256" w:type="dxa"/>
            <w:vAlign w:val="center"/>
            <w:textDirection w:val="lrTb"/>
            <w:noWrap w:val="false"/>
          </w:tcPr>
          <w:p>
            <w:pPr>
              <w:ind w:left="0" w:right="0" w:firstLine="0"/>
              <w:jc w:val="center"/>
              <w:rPr>
                <w:rFonts w:hint="eastAsia" w:ascii="仿宋" w:hAnsi="仿宋" w:eastAsia="仿宋" w:cs="仿宋"/>
                <w:szCs w:val="21"/>
              </w:rPr>
            </w:pPr>
            <w:r>
              <w:rPr>
                <w:rFonts w:hint="eastAsia" w:ascii="仿宋" w:hAnsi="仿宋" w:eastAsia="仿宋" w:cs="仿宋"/>
                <w:b/>
                <w:bCs/>
                <w:sz w:val="24"/>
                <w:szCs w:val="24"/>
              </w:rPr>
              <w:t xml:space="preserve">2.南通市紫琅湖实验小学  限价：2万元</w:t>
            </w:r>
            <w:r/>
          </w:p>
        </w:tc>
      </w:tr>
      <w:tr>
        <w:trPr>
          <w:jc w:val="center"/>
          <w:trHeight w:val="0"/>
        </w:trPr>
        <w:tc>
          <w:tcPr>
            <w:shd w:val="clear" w:color="auto" w:fill="auto"/>
            <w:tcW w:w="968" w:type="dxa"/>
            <w:vAlign w:val="center"/>
            <w:textDirection w:val="lrTb"/>
            <w:noWrap w:val="false"/>
          </w:tcPr>
          <w:p>
            <w:pPr>
              <w:ind w:left="0" w:right="0" w:firstLine="0"/>
              <w:jc w:val="center"/>
              <w:widowControl/>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1</w:t>
            </w:r>
            <w:r/>
          </w:p>
        </w:tc>
        <w:tc>
          <w:tcPr>
            <w:shd w:val="clear" w:color="auto" w:fill="auto"/>
            <w:tcW w:w="2688" w:type="dxa"/>
            <w:vAlign w:val="center"/>
            <w:textDirection w:val="lrTb"/>
            <w:noWrap w:val="false"/>
          </w:tcPr>
          <w:p>
            <w:pPr>
              <w:ind w:left="0" w:right="0" w:firstLine="0"/>
              <w:jc w:val="left"/>
              <w:rPr>
                <w:rFonts w:hint="eastAsia" w:ascii="仿宋" w:hAnsi="仿宋" w:eastAsia="仿宋" w:cs="仿宋"/>
                <w:color w:val="000000"/>
                <w:sz w:val="24"/>
                <w:szCs w:val="32"/>
              </w:rPr>
            </w:pPr>
            <w:r>
              <w:rPr>
                <w:rFonts w:hint="eastAsia" w:ascii="仿宋" w:hAnsi="仿宋" w:eastAsia="仿宋" w:cs="仿宋"/>
                <w:sz w:val="24"/>
                <w:szCs w:val="24"/>
              </w:rPr>
              <w:t xml:space="preserve">立式钢琴</w:t>
            </w:r>
            <w:r/>
          </w:p>
        </w:tc>
        <w:tc>
          <w:tcPr>
            <w:shd w:val="clear" w:color="auto" w:fill="auto"/>
            <w:tcW w:w="108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1</w:t>
            </w:r>
            <w:r/>
          </w:p>
        </w:tc>
        <w:tc>
          <w:tcPr>
            <w:shd w:val="clear" w:color="auto" w:fill="auto"/>
            <w:tcW w:w="1050" w:type="dxa"/>
            <w:vAlign w:val="center"/>
            <w:textDirection w:val="lrTb"/>
            <w:noWrap w:val="false"/>
          </w:tcPr>
          <w:p>
            <w:pPr>
              <w:ind w:left="0" w:right="0" w:firstLine="0"/>
              <w:jc w:val="center"/>
              <w:rPr>
                <w:rFonts w:hint="eastAsia" w:ascii="仿宋" w:hAnsi="仿宋" w:eastAsia="仿宋" w:cs="仿宋"/>
                <w:color w:val="000000"/>
                <w:sz w:val="24"/>
                <w:szCs w:val="32"/>
                <w:lang w:bidi="ar"/>
              </w:rPr>
            </w:pPr>
            <w:r>
              <w:rPr>
                <w:rFonts w:hint="eastAsia" w:ascii="仿宋" w:hAnsi="仿宋" w:eastAsia="仿宋" w:cs="仿宋"/>
                <w:sz w:val="24"/>
                <w:szCs w:val="24"/>
              </w:rPr>
              <w:t xml:space="preserve">台</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rPr>
            </w:pPr>
            <w:r>
              <w:rPr>
                <w:rFonts w:hint="eastAsia" w:ascii="仿宋" w:hAnsi="仿宋" w:eastAsia="仿宋" w:cs="仿宋"/>
                <w:sz w:val="24"/>
                <w:szCs w:val="32"/>
                <w:highlight w:val="none"/>
                <w:lang w:val="en-US" w:eastAsia="zh-CN"/>
              </w:rPr>
              <w:t xml:space="preserve">工业</w:t>
            </w:r>
            <w:r/>
          </w:p>
        </w:tc>
      </w:tr>
    </w:tbl>
    <w:p>
      <w:pPr>
        <w:spacing w:line="440" w:lineRule="exact"/>
        <w:widowControl/>
        <w:rPr>
          <w:rFonts w:ascii="仿宋" w:hAnsi="仿宋" w:eastAsia="仿宋" w:cs="仿宋"/>
          <w:sz w:val="24"/>
          <w:szCs w:val="24"/>
          <w:highlight w:val="none"/>
        </w:rPr>
      </w:pPr>
      <w:r>
        <w:rPr>
          <w:rFonts w:hint="eastAsia" w:ascii="仿宋" w:hAnsi="仿宋" w:eastAsia="仿宋" w:cs="仿宋"/>
          <w:b/>
          <w:bCs/>
          <w:sz w:val="24"/>
          <w:szCs w:val="24"/>
          <w:highlight w:val="none"/>
          <w:lang w:bidi="ar"/>
        </w:rPr>
        <w:t xml:space="preserve">本项目核心产品：</w:t>
      </w:r>
      <w:r>
        <w:rPr>
          <w:rFonts w:hint="eastAsia" w:ascii="仿宋" w:hAnsi="仿宋" w:eastAsia="仿宋" w:cs="仿宋"/>
          <w:b/>
          <w:bCs/>
          <w:sz w:val="24"/>
          <w:szCs w:val="24"/>
          <w:highlight w:val="none"/>
          <w:lang w:val="en-US" w:eastAsia="zh-CN" w:bidi="ar"/>
        </w:rPr>
        <w:t xml:space="preserve">三角</w:t>
      </w:r>
      <w:r>
        <w:rPr>
          <w:rFonts w:hint="eastAsia" w:ascii="仿宋" w:hAnsi="仿宋" w:eastAsia="仿宋" w:cs="仿宋"/>
          <w:b/>
          <w:bCs/>
          <w:sz w:val="24"/>
          <w:szCs w:val="24"/>
          <w:highlight w:val="none"/>
          <w:lang w:bidi="ar"/>
        </w:rPr>
        <w:t xml:space="preserve">钢琴</w:t>
      </w:r>
      <w:r/>
    </w:p>
    <w:p>
      <w:pPr>
        <w:pStyle w:val="747"/>
        <w:ind w:firstLine="0"/>
        <w:spacing w:line="480" w:lineRule="exact"/>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spacing w:after="62" w:line="440" w:lineRule="exact"/>
        <w:rPr>
          <w:rFonts w:eastAsia="仿宋"/>
          <w:bCs/>
          <w:sz w:val="24"/>
          <w:szCs w:val="24"/>
        </w:rPr>
      </w:pPr>
      <w:r>
        <w:rPr>
          <w:rFonts w:hint="eastAsia" w:ascii="仿宋" w:hAnsi="仿宋" w:eastAsia="仿宋" w:cs="仿宋"/>
          <w:sz w:val="24"/>
          <w:szCs w:val="24"/>
          <w:highlight w:val="none"/>
          <w:lang w:val="en-US" w:eastAsia="zh-CN"/>
        </w:rPr>
        <w:t xml:space="preserve">为学校配置音乐器材。</w:t>
      </w:r>
      <w:r>
        <w:rPr>
          <w:rFonts w:eastAsia="仿宋"/>
          <w:bCs/>
          <w:sz w:val="24"/>
          <w:szCs w:val="24"/>
        </w:rPr>
        <w:t xml:space="preserve">项目</w:t>
      </w:r>
      <w:r>
        <w:rPr>
          <w:rFonts w:hint="eastAsia" w:eastAsia="仿宋"/>
          <w:bCs/>
          <w:sz w:val="24"/>
          <w:szCs w:val="24"/>
        </w:rPr>
        <w:t xml:space="preserve">包括</w:t>
      </w:r>
      <w:r>
        <w:rPr>
          <w:rFonts w:eastAsia="仿宋"/>
          <w:bCs/>
          <w:sz w:val="24"/>
          <w:szCs w:val="24"/>
        </w:rPr>
        <w:t xml:space="preserve">所需</w:t>
      </w:r>
      <w:r>
        <w:rPr>
          <w:rFonts w:hint="eastAsia" w:eastAsia="仿宋"/>
          <w:bCs/>
          <w:sz w:val="24"/>
          <w:szCs w:val="24"/>
        </w:rPr>
        <w:t xml:space="preserve">设备</w:t>
      </w:r>
      <w:r>
        <w:rPr>
          <w:rFonts w:eastAsia="仿宋"/>
          <w:bCs/>
          <w:sz w:val="24"/>
          <w:szCs w:val="24"/>
        </w:rPr>
        <w:t xml:space="preserve">的包装、运输（运到采购人指定地点）</w:t>
      </w:r>
      <w:r>
        <w:rPr>
          <w:rFonts w:hint="eastAsia" w:eastAsia="仿宋"/>
          <w:bCs/>
          <w:sz w:val="24"/>
          <w:szCs w:val="24"/>
        </w:rPr>
        <w:t xml:space="preserve">、</w:t>
      </w:r>
      <w:r>
        <w:rPr>
          <w:rFonts w:eastAsia="仿宋"/>
          <w:bCs/>
          <w:sz w:val="24"/>
          <w:szCs w:val="24"/>
        </w:rPr>
        <w:t xml:space="preserve">安装调试、试运行、验收、技术培训、成品保护、售后服务、质保等。以上所涉及并产生的费用均包含在响应总价中，成交人不得再要求追加任何费用。</w:t>
      </w:r>
      <w:r/>
    </w:p>
    <w:p>
      <w:pPr>
        <w:spacing w:after="62" w:line="44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keepLines w:val="0"/>
        <w:keepNext w:val="0"/>
        <w:pageBreakBefore w:val="0"/>
        <w:spacing w:line="480" w:lineRule="exact"/>
        <w:widowControl w:val="off"/>
        <w:rPr>
          <w:rFonts w:hint="eastAsia" w:ascii="宋体" w:hAnsi="宋体" w:eastAsia="宋体" w:cs="宋体"/>
          <w:b/>
          <w:bCs/>
          <w:caps w:val="0"/>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jc w:val="left"/>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1.指挥台</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材质：橡胶木实木，板材厚≥18mm</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颜色：整体黑色烤漆</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底座尺寸（长宽</w:t>
      </w:r>
      <w:r>
        <w:rPr>
          <w:rFonts w:hint="eastAsia" w:ascii="仿宋" w:hAnsi="仿宋" w:eastAsia="仿宋" w:cs="仿宋"/>
          <w:sz w:val="24"/>
          <w:szCs w:val="24"/>
          <w:highlight w:val="none"/>
        </w:rPr>
        <w:t xml:space="preserve">高）：≥120*100*2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cm</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谱架尺寸：≥60*40cm，板材厚实不易变形，下沿带挡条，防止乐谱滑落。</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谱架可升降调节范围：85—125cm</w:t>
      </w:r>
      <w:r/>
    </w:p>
    <w:p>
      <w:pPr>
        <w:jc w:val="left"/>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2.三角钢琴</w:t>
      </w:r>
      <w:r/>
    </w:p>
    <w:p>
      <w:pPr>
        <w:jc w:val="left"/>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1</w:t>
      </w:r>
      <w:r>
        <w:rPr>
          <w:rFonts w:hint="eastAsia" w:ascii="仿宋" w:hAnsi="仿宋" w:eastAsia="仿宋" w:cs="仿宋"/>
          <w:b w:val="0"/>
          <w:bCs w:val="0"/>
          <w:sz w:val="24"/>
          <w:szCs w:val="24"/>
          <w:highlight w:val="none"/>
          <w:lang w:eastAsia="zh-CN"/>
        </w:rPr>
        <w:t xml:space="preserve">）规格尺寸：长≥188cm，宽≥148cm，高≥99cm。</w:t>
      </w:r>
      <w:r/>
    </w:p>
    <w:p>
      <w:pPr>
        <w:jc w:val="left"/>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2</w:t>
      </w:r>
      <w:r>
        <w:rPr>
          <w:rFonts w:hint="eastAsia" w:ascii="仿宋" w:hAnsi="仿宋" w:eastAsia="仿宋" w:cs="仿宋"/>
          <w:b w:val="0"/>
          <w:bCs w:val="0"/>
          <w:sz w:val="24"/>
          <w:szCs w:val="24"/>
          <w:highlight w:val="none"/>
          <w:lang w:eastAsia="zh-CN"/>
        </w:rPr>
        <w:t xml:space="preserve">）声学品质：</w:t>
      </w:r>
      <w:r>
        <w:rPr>
          <w:rFonts w:hint="eastAsia" w:ascii="仿宋" w:hAnsi="仿宋" w:eastAsia="仿宋" w:cs="仿宋"/>
          <w:b w:val="0"/>
          <w:bCs w:val="0"/>
          <w:sz w:val="24"/>
          <w:szCs w:val="24"/>
          <w:highlight w:val="none"/>
          <w:lang w:val="en-US" w:eastAsia="zh-CN"/>
        </w:rPr>
        <w:t xml:space="preserve">钢琴须符合</w:t>
      </w:r>
      <w:r>
        <w:rPr>
          <w:rFonts w:hint="eastAsia" w:ascii="仿宋" w:hAnsi="仿宋" w:eastAsia="仿宋" w:cs="仿宋"/>
          <w:b w:val="0"/>
          <w:bCs w:val="0"/>
          <w:sz w:val="24"/>
          <w:szCs w:val="24"/>
          <w:highlight w:val="none"/>
          <w:lang w:eastAsia="zh-CN"/>
        </w:rPr>
        <w:t xml:space="preserve">GB/T 10159《钢琴》</w:t>
      </w:r>
      <w:r>
        <w:rPr>
          <w:rFonts w:hint="eastAsia" w:ascii="仿宋" w:hAnsi="仿宋" w:eastAsia="仿宋" w:cs="仿宋"/>
          <w:b w:val="0"/>
          <w:bCs w:val="0"/>
          <w:sz w:val="24"/>
          <w:szCs w:val="24"/>
          <w:highlight w:val="none"/>
          <w:lang w:val="en-US" w:eastAsia="zh-CN"/>
        </w:rPr>
        <w:t xml:space="preserve">国家</w:t>
      </w:r>
      <w:r>
        <w:rPr>
          <w:rFonts w:hint="eastAsia" w:ascii="仿宋" w:hAnsi="仿宋" w:eastAsia="仿宋" w:cs="仿宋"/>
          <w:b w:val="0"/>
          <w:bCs w:val="0"/>
          <w:sz w:val="24"/>
          <w:szCs w:val="24"/>
          <w:highlight w:val="none"/>
          <w:lang w:eastAsia="zh-CN"/>
        </w:rPr>
        <w:t xml:space="preserve">标准</w:t>
      </w:r>
      <w:r>
        <w:rPr>
          <w:rFonts w:hint="eastAsia" w:ascii="仿宋" w:hAnsi="仿宋" w:eastAsia="仿宋" w:cs="仿宋"/>
          <w:b w:val="0"/>
          <w:bCs w:val="0"/>
          <w:sz w:val="24"/>
          <w:szCs w:val="24"/>
          <w:highlight w:val="none"/>
          <w:lang w:val="en-US" w:eastAsia="zh-CN"/>
        </w:rPr>
        <w:t xml:space="preserve">做检测</w:t>
      </w:r>
      <w:r>
        <w:rPr>
          <w:rFonts w:hint="eastAsia" w:ascii="仿宋" w:hAnsi="仿宋" w:eastAsia="仿宋" w:cs="仿宋"/>
          <w:b w:val="0"/>
          <w:bCs w:val="0"/>
          <w:sz w:val="24"/>
          <w:szCs w:val="24"/>
          <w:highlight w:val="none"/>
          <w:lang w:eastAsia="zh-CN"/>
        </w:rPr>
        <w:t xml:space="preserve">：标准音a1为444Hz±</w:t>
      </w: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仿宋"/>
          <w:b w:val="0"/>
          <w:bCs w:val="0"/>
          <w:sz w:val="24"/>
          <w:szCs w:val="24"/>
          <w:highlight w:val="none"/>
          <w:lang w:eastAsia="zh-CN"/>
        </w:rPr>
        <w:t xml:space="preserve">Hz；音准稳定性（c1-b1）≤3音分。</w:t>
      </w:r>
      <w:r>
        <w:rPr>
          <w:rFonts w:hint="eastAsia" w:ascii="仿宋" w:hAnsi="仿宋" w:eastAsia="仿宋" w:cs="仿宋"/>
          <w:b/>
          <w:bCs/>
          <w:sz w:val="24"/>
          <w:szCs w:val="24"/>
          <w:highlight w:val="none"/>
          <w:lang w:eastAsia="zh-CN"/>
        </w:rPr>
        <w:t xml:space="preserve">（提供投标产品同型号的具有CMA标识的检测报告佐证）</w:t>
      </w:r>
      <w:r/>
    </w:p>
    <w:p>
      <w:pPr>
        <w:jc w:val="left"/>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仿宋"/>
          <w:b w:val="0"/>
          <w:bCs w:val="0"/>
          <w:sz w:val="24"/>
          <w:szCs w:val="24"/>
          <w:highlight w:val="none"/>
          <w:lang w:eastAsia="zh-CN"/>
        </w:rPr>
        <w:t xml:space="preserve">）铁板：亚光红金色铁板，采用传统沙铸铁板工艺，音色纯正。</w:t>
      </w:r>
      <w:r/>
    </w:p>
    <w:p>
      <w:pPr>
        <w:jc w:val="left"/>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4</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铁板长度</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钢琴须符合</w:t>
      </w:r>
      <w:r>
        <w:rPr>
          <w:rFonts w:hint="eastAsia" w:ascii="仿宋" w:hAnsi="仿宋" w:eastAsia="仿宋" w:cs="仿宋"/>
          <w:b w:val="0"/>
          <w:bCs w:val="0"/>
          <w:sz w:val="24"/>
          <w:szCs w:val="24"/>
          <w:highlight w:val="none"/>
          <w:lang w:eastAsia="zh-CN"/>
        </w:rPr>
        <w:t xml:space="preserve">GB/T 10159《钢琴》</w:t>
      </w:r>
      <w:r>
        <w:rPr>
          <w:rFonts w:hint="eastAsia" w:ascii="仿宋" w:hAnsi="仿宋" w:eastAsia="仿宋" w:cs="仿宋"/>
          <w:b w:val="0"/>
          <w:bCs w:val="0"/>
          <w:sz w:val="24"/>
          <w:szCs w:val="24"/>
          <w:highlight w:val="none"/>
          <w:lang w:val="en-US" w:eastAsia="zh-CN"/>
        </w:rPr>
        <w:t xml:space="preserve">国家</w:t>
      </w:r>
      <w:r>
        <w:rPr>
          <w:rFonts w:hint="eastAsia" w:ascii="仿宋" w:hAnsi="仿宋" w:eastAsia="仿宋" w:cs="仿宋"/>
          <w:b w:val="0"/>
          <w:bCs w:val="0"/>
          <w:sz w:val="24"/>
          <w:szCs w:val="24"/>
          <w:highlight w:val="none"/>
          <w:lang w:eastAsia="zh-CN"/>
        </w:rPr>
        <w:t xml:space="preserve">标准</w:t>
      </w:r>
      <w:r>
        <w:rPr>
          <w:rFonts w:hint="eastAsia" w:ascii="仿宋" w:hAnsi="仿宋" w:eastAsia="仿宋" w:cs="仿宋"/>
          <w:b w:val="0"/>
          <w:bCs w:val="0"/>
          <w:sz w:val="24"/>
          <w:szCs w:val="24"/>
          <w:highlight w:val="none"/>
          <w:lang w:val="en-US" w:eastAsia="zh-CN"/>
        </w:rPr>
        <w:t xml:space="preserve">做检测</w:t>
      </w:r>
      <w:r>
        <w:rPr>
          <w:rFonts w:hint="eastAsia" w:ascii="仿宋" w:hAnsi="仿宋" w:eastAsia="仿宋" w:cs="仿宋"/>
          <w:b w:val="0"/>
          <w:bCs w:val="0"/>
          <w:sz w:val="24"/>
          <w:szCs w:val="24"/>
          <w:highlight w:val="none"/>
          <w:lang w:eastAsia="zh-CN"/>
        </w:rPr>
        <w:t xml:space="preserve">：≥159cm</w:t>
      </w:r>
      <w:r>
        <w:rPr>
          <w:rFonts w:hint="eastAsia" w:ascii="仿宋" w:hAnsi="仿宋" w:eastAsia="仿宋" w:cs="仿宋"/>
          <w:b/>
          <w:bCs/>
          <w:sz w:val="24"/>
          <w:szCs w:val="24"/>
          <w:highlight w:val="none"/>
          <w:lang w:eastAsia="zh-CN"/>
        </w:rPr>
        <w:t xml:space="preserve">（提供投标产品同型号的具有CMA标识的检测报告佐证）</w:t>
      </w:r>
      <w:r/>
    </w:p>
    <w:p>
      <w:pPr>
        <w:jc w:val="left"/>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5</w:t>
      </w:r>
      <w:r>
        <w:rPr>
          <w:rFonts w:hint="eastAsia" w:ascii="仿宋" w:hAnsi="仿宋" w:eastAsia="仿宋" w:cs="仿宋"/>
          <w:b w:val="0"/>
          <w:bCs w:val="0"/>
          <w:sz w:val="24"/>
          <w:szCs w:val="24"/>
          <w:highlight w:val="none"/>
          <w:lang w:eastAsia="zh-CN"/>
        </w:rPr>
        <w:t xml:space="preserve">）琴弦：使用德国Roslau的防锈钢线，音色纯净，音准稳定。</w:t>
      </w:r>
      <w:r/>
    </w:p>
    <w:p>
      <w:pPr>
        <w:jc w:val="left"/>
        <w:keepLines w:val="0"/>
        <w:keepNext w:val="0"/>
        <w:pageBreakBefore w:val="0"/>
        <w:spacing w:line="480" w:lineRule="exact"/>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音板</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采用</w:t>
      </w:r>
      <w:r>
        <w:rPr>
          <w:rFonts w:hint="eastAsia" w:ascii="仿宋" w:hAnsi="仿宋" w:eastAsia="仿宋" w:cs="仿宋"/>
          <w:b w:val="0"/>
          <w:bCs w:val="0"/>
          <w:sz w:val="24"/>
          <w:szCs w:val="24"/>
          <w:highlight w:val="none"/>
          <w:lang w:val="en-US" w:eastAsia="zh-CN"/>
        </w:rPr>
        <w:t xml:space="preserve">优质</w:t>
      </w:r>
      <w:r>
        <w:rPr>
          <w:rFonts w:hint="eastAsia" w:ascii="仿宋" w:hAnsi="仿宋" w:eastAsia="仿宋" w:cs="仿宋"/>
          <w:b w:val="0"/>
          <w:bCs w:val="0"/>
          <w:sz w:val="24"/>
          <w:szCs w:val="24"/>
          <w:highlight w:val="none"/>
        </w:rPr>
        <w:t xml:space="preserve">白松制作的不等厚加强型实木音板，设计非常符合钢琴共鸣系统的发声规律，在各种不同的气候条件下均能保持优良的音色，产生更加优美的琴声和纯正的音质效果。</w:t>
      </w:r>
      <w:r/>
    </w:p>
    <w:p>
      <w:pPr>
        <w:jc w:val="left"/>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7</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制音器：采用优质毛毡制造，制音效果好。 </w:t>
      </w:r>
      <w:r/>
    </w:p>
    <w:p>
      <w:pPr>
        <w:jc w:val="left"/>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8</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弦轴板</w:t>
      </w:r>
      <w:r>
        <w:rPr>
          <w:rFonts w:hint="eastAsia" w:ascii="仿宋" w:hAnsi="仿宋" w:eastAsia="仿宋" w:cs="仿宋"/>
          <w:b w:val="0"/>
          <w:bCs w:val="0"/>
          <w:sz w:val="24"/>
          <w:szCs w:val="24"/>
          <w:highlight w:val="none"/>
          <w:lang w:eastAsia="zh-CN"/>
        </w:rPr>
        <w:t xml:space="preserve">：由多层坚硬的色木交错拼接而成，为弦轴钉提供稳固的握钉力，保证了音准稳定性。</w:t>
      </w:r>
      <w:r/>
    </w:p>
    <w:p>
      <w:pPr>
        <w:jc w:val="left"/>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9</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弦码</w:t>
      </w:r>
      <w:r>
        <w:rPr>
          <w:rFonts w:hint="eastAsia" w:ascii="仿宋" w:hAnsi="仿宋" w:eastAsia="仿宋" w:cs="仿宋"/>
          <w:b w:val="0"/>
          <w:bCs w:val="0"/>
          <w:sz w:val="24"/>
          <w:szCs w:val="24"/>
          <w:highlight w:val="none"/>
          <w:lang w:eastAsia="zh-CN"/>
        </w:rPr>
        <w:t xml:space="preserve">：采用弯压结构设计，音频振动响应精确、迅速。</w:t>
      </w:r>
      <w:r/>
    </w:p>
    <w:p>
      <w:pPr>
        <w:jc w:val="left"/>
        <w:keepLines w:val="0"/>
        <w:keepNext w:val="0"/>
        <w:pageBreakBefore w:val="0"/>
        <w:spacing w:line="480" w:lineRule="exact"/>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10</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顶杆：采用优质枫木制作的木顶杆，经特殊工艺处理，不易变形，零件之间配合精准灵敏。</w:t>
      </w:r>
      <w:r/>
    </w:p>
    <w:p>
      <w:pPr>
        <w:jc w:val="left"/>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11</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琴键：采用乌木黑键，手感舒适，观感高雅。</w:t>
      </w:r>
      <w:r/>
    </w:p>
    <w:p>
      <w:pPr>
        <w:numPr>
          <w:ilvl w:val="0"/>
          <w:numId w:val="1"/>
        </w:numPr>
        <w:jc w:val="left"/>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rPr>
        <w:t xml:space="preserve">弦槌</w:t>
      </w:r>
      <w:r>
        <w:rPr>
          <w:rFonts w:hint="eastAsia" w:ascii="仿宋" w:hAnsi="仿宋" w:eastAsia="仿宋" w:cs="仿宋"/>
          <w:b w:val="0"/>
          <w:bCs w:val="0"/>
          <w:sz w:val="24"/>
          <w:szCs w:val="24"/>
          <w:highlight w:val="none"/>
          <w:lang w:eastAsia="zh-CN"/>
        </w:rPr>
        <w:t xml:space="preserve">：采用德国原装Renner（雷诺）弦槌，具有优良的弹性和适当的硬度，使音色丰满圆润富于变化。</w:t>
      </w:r>
      <w:r/>
    </w:p>
    <w:p>
      <w:pPr>
        <w:numPr>
          <w:ilvl w:val="0"/>
          <w:numId w:val="0"/>
        </w:numPr>
        <w:jc w:val="left"/>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13</w:t>
      </w:r>
      <w:r>
        <w:rPr>
          <w:rFonts w:hint="eastAsia" w:ascii="仿宋" w:hAnsi="仿宋" w:eastAsia="仿宋" w:cs="仿宋"/>
          <w:b w:val="0"/>
          <w:bCs w:val="0"/>
          <w:sz w:val="24"/>
          <w:szCs w:val="24"/>
          <w:highlight w:val="none"/>
          <w:lang w:eastAsia="zh-CN"/>
        </w:rPr>
        <w:t xml:space="preserve">）键板：采用</w:t>
      </w:r>
      <w:r>
        <w:rPr>
          <w:rFonts w:hint="eastAsia" w:ascii="仿宋" w:hAnsi="仿宋" w:eastAsia="仿宋" w:cs="仿宋"/>
          <w:b w:val="0"/>
          <w:bCs w:val="0"/>
          <w:sz w:val="24"/>
          <w:szCs w:val="24"/>
          <w:highlight w:val="none"/>
          <w:lang w:val="en-US" w:eastAsia="zh-CN"/>
        </w:rPr>
        <w:t xml:space="preserve">优质</w:t>
      </w:r>
      <w:r>
        <w:rPr>
          <w:rFonts w:hint="eastAsia" w:ascii="仿宋" w:hAnsi="仿宋" w:eastAsia="仿宋" w:cs="仿宋"/>
          <w:b w:val="0"/>
          <w:bCs w:val="0"/>
          <w:sz w:val="24"/>
          <w:szCs w:val="24"/>
          <w:highlight w:val="none"/>
          <w:lang w:eastAsia="zh-CN"/>
        </w:rPr>
        <w:t xml:space="preserve">白松制作的实木键板，性能稳定。</w:t>
      </w:r>
      <w:r/>
    </w:p>
    <w:p>
      <w:pPr>
        <w:jc w:val="left"/>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14</w:t>
      </w:r>
      <w:r>
        <w:rPr>
          <w:rFonts w:hint="eastAsia" w:ascii="仿宋" w:hAnsi="仿宋" w:eastAsia="仿宋" w:cs="仿宋"/>
          <w:b w:val="0"/>
          <w:bCs w:val="0"/>
          <w:sz w:val="24"/>
          <w:szCs w:val="24"/>
          <w:highlight w:val="none"/>
          <w:lang w:eastAsia="zh-CN"/>
        </w:rPr>
        <w:t xml:space="preserve">）键盖：安装液压缓冲装置，安全耐用。</w:t>
      </w:r>
      <w:r/>
    </w:p>
    <w:p>
      <w:pPr>
        <w:jc w:val="left"/>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15</w:t>
      </w:r>
      <w:r>
        <w:rPr>
          <w:rFonts w:hint="eastAsia" w:ascii="仿宋" w:hAnsi="仿宋" w:eastAsia="仿宋" w:cs="仿宋"/>
          <w:b w:val="0"/>
          <w:bCs w:val="0"/>
          <w:sz w:val="24"/>
          <w:szCs w:val="24"/>
          <w:highlight w:val="none"/>
          <w:lang w:eastAsia="zh-CN"/>
        </w:rPr>
        <w:t xml:space="preserve">）外壳涂饰：采用国内名牌的不饱和树脂环保漆，并应用静电喷涂、自动淋油等先进涂饰工艺，令漆面光亮平整。</w:t>
      </w:r>
      <w:r/>
    </w:p>
    <w:p>
      <w:pPr>
        <w:jc w:val="left"/>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16</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键盘精度</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钢琴须符合</w:t>
      </w:r>
      <w:r>
        <w:rPr>
          <w:rFonts w:hint="eastAsia" w:ascii="仿宋" w:hAnsi="仿宋" w:eastAsia="仿宋" w:cs="仿宋"/>
          <w:b w:val="0"/>
          <w:bCs w:val="0"/>
          <w:sz w:val="24"/>
          <w:szCs w:val="24"/>
          <w:highlight w:val="none"/>
          <w:lang w:eastAsia="zh-CN"/>
        </w:rPr>
        <w:t xml:space="preserve">GB/T 10159《钢琴》</w:t>
      </w:r>
      <w:r>
        <w:rPr>
          <w:rFonts w:hint="eastAsia" w:ascii="仿宋" w:hAnsi="仿宋" w:eastAsia="仿宋" w:cs="仿宋"/>
          <w:b w:val="0"/>
          <w:bCs w:val="0"/>
          <w:sz w:val="24"/>
          <w:szCs w:val="24"/>
          <w:highlight w:val="none"/>
          <w:lang w:val="en-US" w:eastAsia="zh-CN"/>
        </w:rPr>
        <w:t xml:space="preserve">国家</w:t>
      </w:r>
      <w:r>
        <w:rPr>
          <w:rFonts w:hint="eastAsia" w:ascii="仿宋" w:hAnsi="仿宋" w:eastAsia="仿宋" w:cs="仿宋"/>
          <w:b w:val="0"/>
          <w:bCs w:val="0"/>
          <w:sz w:val="24"/>
          <w:szCs w:val="24"/>
          <w:highlight w:val="none"/>
          <w:lang w:eastAsia="zh-CN"/>
        </w:rPr>
        <w:t xml:space="preserve">标准</w:t>
      </w:r>
      <w:r>
        <w:rPr>
          <w:rFonts w:hint="eastAsia" w:ascii="仿宋" w:hAnsi="仿宋" w:eastAsia="仿宋" w:cs="仿宋"/>
          <w:b w:val="0"/>
          <w:bCs w:val="0"/>
          <w:sz w:val="24"/>
          <w:szCs w:val="24"/>
          <w:highlight w:val="none"/>
          <w:lang w:val="en-US" w:eastAsia="zh-CN"/>
        </w:rPr>
        <w:t xml:space="preserve">做检测</w:t>
      </w:r>
      <w:r>
        <w:rPr>
          <w:rFonts w:hint="eastAsia" w:ascii="仿宋" w:hAnsi="仿宋" w:eastAsia="仿宋" w:cs="仿宋"/>
          <w:b w:val="0"/>
          <w:bCs w:val="0"/>
          <w:sz w:val="24"/>
          <w:szCs w:val="24"/>
          <w:highlight w:val="none"/>
          <w:lang w:eastAsia="zh-CN"/>
        </w:rPr>
        <w:t xml:space="preserve">：白键前端长度51.0mm±0.5mm范围内；黑键上表面宽度9.5±0.5mm范围内；黑键底宽度11.5mm±0.5mm范围内；黑键有效长度95.0mm±0.5mm范围内；黑键高出白键面12.0mm±</w:t>
      </w:r>
      <w:r>
        <w:rPr>
          <w:rFonts w:hint="eastAsia" w:ascii="仿宋" w:hAnsi="仿宋" w:eastAsia="仿宋" w:cs="仿宋"/>
          <w:b w:val="0"/>
          <w:bCs w:val="0"/>
          <w:sz w:val="24"/>
          <w:szCs w:val="24"/>
          <w:highlight w:val="none"/>
          <w:lang w:val="en-US" w:eastAsia="zh-CN"/>
        </w:rPr>
        <w:t xml:space="preserve">1</w:t>
      </w:r>
      <w:r>
        <w:rPr>
          <w:rFonts w:hint="eastAsia" w:ascii="仿宋" w:hAnsi="仿宋" w:eastAsia="仿宋" w:cs="仿宋"/>
          <w:b w:val="0"/>
          <w:bCs w:val="0"/>
          <w:sz w:val="24"/>
          <w:szCs w:val="24"/>
          <w:highlight w:val="none"/>
          <w:lang w:eastAsia="zh-CN"/>
        </w:rPr>
        <w:t xml:space="preserve">mm范围内；白键间隙1mm±0.3mm范围内。</w:t>
      </w:r>
      <w:r>
        <w:rPr>
          <w:rFonts w:hint="eastAsia" w:ascii="仿宋" w:hAnsi="仿宋" w:eastAsia="仿宋" w:cs="仿宋"/>
          <w:b/>
          <w:bCs/>
          <w:sz w:val="24"/>
          <w:szCs w:val="24"/>
          <w:highlight w:val="none"/>
          <w:lang w:eastAsia="zh-CN"/>
        </w:rPr>
        <w:t xml:space="preserve">（提供投标产品同型号的具有CMA标识的检测报告佐证）</w:t>
      </w:r>
      <w:r/>
    </w:p>
    <w:p>
      <w:pPr>
        <w:jc w:val="left"/>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17</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演奏性能</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钢琴须符合</w:t>
      </w:r>
      <w:r>
        <w:rPr>
          <w:rFonts w:hint="eastAsia" w:ascii="仿宋" w:hAnsi="仿宋" w:eastAsia="仿宋" w:cs="仿宋"/>
          <w:b w:val="0"/>
          <w:bCs w:val="0"/>
          <w:sz w:val="24"/>
          <w:szCs w:val="24"/>
          <w:highlight w:val="none"/>
          <w:lang w:eastAsia="zh-CN"/>
        </w:rPr>
        <w:t xml:space="preserve">GB/T 10159《钢琴》</w:t>
      </w:r>
      <w:r>
        <w:rPr>
          <w:rFonts w:hint="eastAsia" w:ascii="仿宋" w:hAnsi="仿宋" w:eastAsia="仿宋" w:cs="仿宋"/>
          <w:b w:val="0"/>
          <w:bCs w:val="0"/>
          <w:sz w:val="24"/>
          <w:szCs w:val="24"/>
          <w:highlight w:val="none"/>
          <w:lang w:val="en-US" w:eastAsia="zh-CN"/>
        </w:rPr>
        <w:t xml:space="preserve">国家</w:t>
      </w:r>
      <w:r>
        <w:rPr>
          <w:rFonts w:hint="eastAsia" w:ascii="仿宋" w:hAnsi="仿宋" w:eastAsia="仿宋" w:cs="仿宋"/>
          <w:b w:val="0"/>
          <w:bCs w:val="0"/>
          <w:sz w:val="24"/>
          <w:szCs w:val="24"/>
          <w:highlight w:val="none"/>
          <w:lang w:eastAsia="zh-CN"/>
        </w:rPr>
        <w:t xml:space="preserve">标准</w:t>
      </w:r>
      <w:r>
        <w:rPr>
          <w:rFonts w:hint="eastAsia" w:ascii="仿宋" w:hAnsi="仿宋" w:eastAsia="仿宋" w:cs="仿宋"/>
          <w:b w:val="0"/>
          <w:bCs w:val="0"/>
          <w:sz w:val="24"/>
          <w:szCs w:val="24"/>
          <w:highlight w:val="none"/>
          <w:lang w:val="en-US" w:eastAsia="zh-CN"/>
        </w:rPr>
        <w:t xml:space="preserve">做检测</w:t>
      </w:r>
      <w:r>
        <w:rPr>
          <w:rFonts w:hint="eastAsia" w:ascii="仿宋" w:hAnsi="仿宋" w:eastAsia="仿宋" w:cs="仿宋"/>
          <w:b w:val="0"/>
          <w:bCs w:val="0"/>
          <w:sz w:val="24"/>
          <w:szCs w:val="24"/>
          <w:highlight w:val="none"/>
          <w:lang w:eastAsia="zh-CN"/>
        </w:rPr>
        <w:t xml:space="preserve">：白键下沉深度9.5mm-11.0mm范围内；琴键下降负荷0.6</w:t>
      </w:r>
      <w:r>
        <w:rPr>
          <w:rFonts w:hint="eastAsia" w:ascii="仿宋" w:hAnsi="仿宋" w:eastAsia="仿宋" w:cs="仿宋"/>
          <w:b w:val="0"/>
          <w:bCs w:val="0"/>
          <w:sz w:val="24"/>
          <w:szCs w:val="24"/>
          <w:highlight w:val="none"/>
          <w:lang w:val="en-US" w:eastAsia="zh-CN"/>
        </w:rPr>
        <w:t xml:space="preserve">0</w:t>
      </w:r>
      <w:r>
        <w:rPr>
          <w:rFonts w:hint="eastAsia" w:ascii="仿宋" w:hAnsi="仿宋" w:eastAsia="仿宋" w:cs="仿宋"/>
          <w:b w:val="0"/>
          <w:bCs w:val="0"/>
          <w:sz w:val="24"/>
          <w:szCs w:val="24"/>
          <w:highlight w:val="none"/>
          <w:lang w:eastAsia="zh-CN"/>
        </w:rPr>
        <w:t xml:space="preserve">-0.85N范围内；回升负荷0.15-0.35N范围内。</w:t>
      </w:r>
      <w:r>
        <w:rPr>
          <w:rFonts w:hint="eastAsia" w:ascii="仿宋" w:hAnsi="仿宋" w:eastAsia="仿宋" w:cs="仿宋"/>
          <w:b/>
          <w:bCs/>
          <w:sz w:val="24"/>
          <w:szCs w:val="24"/>
          <w:highlight w:val="none"/>
          <w:lang w:eastAsia="zh-CN"/>
        </w:rPr>
        <w:t xml:space="preserve">（提供投标产品同型号的具有CMA标识的检测报告佐证）</w:t>
      </w:r>
      <w:r/>
    </w:p>
    <w:p>
      <w:pPr>
        <w:jc w:val="left"/>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18</w:t>
      </w:r>
      <w:r>
        <w:rPr>
          <w:rFonts w:hint="eastAsia" w:ascii="仿宋" w:hAnsi="仿宋" w:eastAsia="仿宋" w:cs="仿宋"/>
          <w:b w:val="0"/>
          <w:bCs w:val="0"/>
          <w:sz w:val="24"/>
          <w:szCs w:val="24"/>
          <w:highlight w:val="none"/>
          <w:lang w:eastAsia="zh-CN"/>
        </w:rPr>
        <w:t xml:space="preserve">）配套乐理教具：</w:t>
      </w:r>
      <w:r/>
    </w:p>
    <w:p>
      <w:pPr>
        <w:jc w:val="left"/>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一、音乐理论：</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音乐理论：乐理电教板、智能电教板、教材、音基课堂、素养训练等五个模块</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1、具有一组大谱表、支持 88 键/61键/实体键三种虚拟键备组的显示，包含大字组、小字组、小字一组、小字二组等。分别有不同颜色区分键盘组</w:t>
      </w:r>
      <w:r>
        <w:rPr>
          <w:rFonts w:hint="eastAsia" w:ascii="仿宋" w:hAnsi="仿宋" w:eastAsia="仿宋" w:cs="仿宋"/>
          <w:b/>
          <w:bCs/>
          <w:sz w:val="24"/>
          <w:szCs w:val="24"/>
          <w:highlight w:val="none"/>
          <w:lang w:eastAsia="zh-CN"/>
        </w:rPr>
        <w:t xml:space="preserve">（提供国家认可的第三方检测机构出具的软件测试报告，报告须符合GB/T25000.51-2016《系统与软件工程系统与软件质量要求和评价（SQuaRE) 第51部分就绪可用软件产品（RUSP）的质量要求和测试细则》标准要求）</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2、弹奏外接设备的同时，虚拟键盘高亮显示，在谱表中展示对应五线谱及简谱音符。弹奏过程音色可行调节选择。</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3、支持简谱、五线谱、高低音谱表、大谱表四种模式教学。4、具备键盘、谱表和简谱窗口三位一体同步功能，支持不低于15 种调式讲解，13 组音程尺，30组和弦同时对照讲解。</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4、支持钢琴自动演奏：点击谱表或虚拟键/可通过钢琴自动演奏进行发声。</w:t>
      </w:r>
      <w:r>
        <w:rPr>
          <w:rFonts w:hint="eastAsia" w:ascii="仿宋" w:hAnsi="仿宋" w:eastAsia="仿宋" w:cs="仿宋"/>
          <w:b/>
          <w:bCs/>
          <w:sz w:val="24"/>
          <w:szCs w:val="24"/>
          <w:highlight w:val="none"/>
          <w:lang w:eastAsia="zh-CN"/>
        </w:rPr>
        <w:t xml:space="preserve">（提供国家认可的第三方检测机构出具的软件测试报告，报告须符合GB/T25000.51-2016《系统与软件工程系统与软件质量要求和评价（SQuaRE) 第51部分就绪可用软件产品（RUSP）的质量要求和测试细则》标准要求）</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5、支持页面无限延伸漫游功能，可保留音符在谱表上的位置，可左右拖动进行标注笔迹与谱表同步移动。</w:t>
      </w:r>
      <w:r>
        <w:rPr>
          <w:rFonts w:hint="eastAsia" w:ascii="仿宋" w:hAnsi="仿宋" w:eastAsia="仿宋" w:cs="仿宋"/>
          <w:b/>
          <w:bCs/>
          <w:sz w:val="24"/>
          <w:szCs w:val="24"/>
          <w:highlight w:val="none"/>
          <w:lang w:eastAsia="zh-CN"/>
        </w:rPr>
        <w:t xml:space="preserve">（提供国家认可的第三方检测机构出具的软件测试报告，报告须符合GB/T25000.51-2016《系统与软件工程系统与软件质量要求和评价（SQuaRE) 第51部分就绪可用软件产品（RUSP）的质量要求和测试细则》标准要求）</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6、乐理书籍包括：基础知识、乐音体系、谱号五线谱音律、自然半音、自然全音、三连音、为旋律配和声、音乐主题等。</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7、五度调式循环图：外圈调号、中圈大调、内圈小调，点击调号可直接更改谱表调式</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8、乐理小视频包括：音的产生与特性、基本音级的名称、音的分组、等音、自然变化、音域、五线谱、音符、休止符、附点等常用乐理知识的讲解。</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9、不低于八个单元110条以上课题的视唱练耳课程和12单元的乐理音基课堂教学内容资源。</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10、包括不限于识音找音名、识键盘找音、识音找键盘等三款素养训练小程序。</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11、在智能电教板中,具有一键清除音符功能,曲谱中存在的音符可进行一键清除</w:t>
      </w:r>
      <w:r>
        <w:rPr>
          <w:rFonts w:hint="eastAsia" w:ascii="仿宋" w:hAnsi="仿宋" w:eastAsia="仿宋" w:cs="仿宋"/>
          <w:b/>
          <w:bCs/>
          <w:sz w:val="24"/>
          <w:szCs w:val="24"/>
          <w:highlight w:val="none"/>
          <w:lang w:eastAsia="zh-CN"/>
        </w:rPr>
        <w:t xml:space="preserve">（提供国家认可的第三方检测机构出具的软件测试报告，报告须符合GB/T25000.51-2016《系统与软件工程系统与软件质量要求和评价（SQuaRE) 第51部分就绪可用软件产品（RUSP）的质量要求和测试细则》标准要求）</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二、音基闯关：</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包括：识谱跳一跳、听音比比看、节奏达人等。</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点击识谱跳一跳：两种模式可选：练习模式、挑战模式，点击任意模式可选择关卡、序列、曲目名称、查看完成状态。点击开始游戏出现溪流样式，溪流划过对应键盘字母，学生可对应进行练习同时屏幕左上角显示完成时间。</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听音比比看：可进行一度至八度不同度数的练习。通过一次性听音的数量提高听力和记忆力。通过播放不同乐器音色（24种），选择对应乐器，提高对乐器和音色的认识。一定程度提高该乐器的演奏特点的熟悉。</w:t>
      </w:r>
      <w:r>
        <w:rPr>
          <w:rFonts w:hint="eastAsia" w:ascii="仿宋" w:hAnsi="仿宋" w:eastAsia="仿宋" w:cs="仿宋"/>
          <w:b/>
          <w:bCs/>
          <w:sz w:val="24"/>
          <w:szCs w:val="24"/>
          <w:highlight w:val="none"/>
          <w:lang w:eastAsia="zh-CN"/>
        </w:rPr>
        <w:t xml:space="preserve">（需在软件测试报告上体现此条参数）</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3.节奏达人分为练习模式和挑战模式，点击练习模式，可选择任意关卡进行练习，音符从右往左进行滑动，到达一定位置会显示是否正确，同时还会显示连击，得分情况。</w:t>
      </w:r>
      <w:r/>
    </w:p>
    <w:p>
      <w:pPr>
        <w:jc w:val="left"/>
        <w:keepLines w:val="0"/>
        <w:keepNext w:val="0"/>
        <w:pageBreakBefore w:val="0"/>
        <w:spacing w:line="48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 xml:space="preserve">3.立式钢琴</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南通市紫琅第一小学东校区</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南通市紫琅湖实验小学</w:t>
      </w:r>
      <w:r>
        <w:rPr>
          <w:rFonts w:hint="eastAsia" w:ascii="仿宋" w:hAnsi="仿宋" w:eastAsia="仿宋" w:cs="仿宋"/>
          <w:b/>
          <w:bCs/>
          <w:sz w:val="24"/>
          <w:szCs w:val="24"/>
          <w:highlight w:val="none"/>
          <w:lang w:eastAsia="zh-CN"/>
        </w:rPr>
        <w:t xml:space="preserve">）</w:t>
      </w:r>
      <w:r/>
    </w:p>
    <w:p>
      <w:pPr>
        <w:jc w:val="left"/>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规格：长≥1</w:t>
      </w:r>
      <w:r>
        <w:rPr>
          <w:rFonts w:hint="eastAsia" w:ascii="仿宋" w:hAnsi="仿宋" w:eastAsia="仿宋" w:cs="仿宋"/>
          <w:sz w:val="24"/>
          <w:szCs w:val="24"/>
          <w:highlight w:val="none"/>
          <w:lang w:val="en-US" w:eastAsia="zh-CN"/>
        </w:rPr>
        <w:t xml:space="preserve">49</w:t>
      </w:r>
      <w:r>
        <w:rPr>
          <w:rFonts w:hint="eastAsia" w:ascii="仿宋" w:hAnsi="仿宋" w:eastAsia="仿宋" w:cs="仿宋"/>
          <w:sz w:val="24"/>
          <w:szCs w:val="24"/>
          <w:highlight w:val="none"/>
        </w:rPr>
        <w:t xml:space="preserve">cm，宽≥</w:t>
      </w:r>
      <w:r>
        <w:rPr>
          <w:rFonts w:hint="eastAsia" w:ascii="仿宋" w:hAnsi="仿宋" w:eastAsia="仿宋" w:cs="仿宋"/>
          <w:sz w:val="24"/>
          <w:szCs w:val="24"/>
          <w:highlight w:val="none"/>
          <w:lang w:val="en-US" w:eastAsia="zh-CN"/>
        </w:rPr>
        <w:t xml:space="preserve">59</w:t>
      </w:r>
      <w:r>
        <w:rPr>
          <w:rFonts w:hint="eastAsia" w:ascii="仿宋" w:hAnsi="仿宋" w:eastAsia="仿宋" w:cs="仿宋"/>
          <w:sz w:val="24"/>
          <w:szCs w:val="24"/>
          <w:highlight w:val="none"/>
        </w:rPr>
        <w:t xml:space="preserve">cm，高≥121cm，不含脚轮顶盖面至底板面高度≥117cm。</w:t>
      </w:r>
      <w:r/>
    </w:p>
    <w:p>
      <w:pPr>
        <w:jc w:val="left"/>
        <w:keepLines w:val="0"/>
        <w:keepNext w:val="0"/>
        <w:pageBreakBefore w:val="0"/>
        <w:spacing w:line="48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声学品质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钢琴须符合</w:t>
      </w:r>
      <w:r>
        <w:rPr>
          <w:rFonts w:hint="eastAsia" w:ascii="仿宋" w:hAnsi="仿宋" w:eastAsia="仿宋" w:cs="仿宋"/>
          <w:sz w:val="24"/>
          <w:szCs w:val="24"/>
          <w:highlight w:val="none"/>
          <w:lang w:eastAsia="zh-CN"/>
        </w:rPr>
        <w:t xml:space="preserve">GB/T 10159《钢琴》</w:t>
      </w:r>
      <w:r>
        <w:rPr>
          <w:rFonts w:hint="eastAsia" w:ascii="仿宋" w:hAnsi="仿宋" w:eastAsia="仿宋" w:cs="仿宋"/>
          <w:sz w:val="24"/>
          <w:szCs w:val="24"/>
          <w:highlight w:val="none"/>
          <w:lang w:val="en-US" w:eastAsia="zh-CN"/>
        </w:rPr>
        <w:t xml:space="preserve">国家</w:t>
      </w:r>
      <w:r>
        <w:rPr>
          <w:rFonts w:hint="eastAsia" w:ascii="仿宋" w:hAnsi="仿宋" w:eastAsia="仿宋" w:cs="仿宋"/>
          <w:sz w:val="24"/>
          <w:szCs w:val="24"/>
          <w:highlight w:val="none"/>
          <w:lang w:eastAsia="zh-CN"/>
        </w:rPr>
        <w:t xml:space="preserve">标准</w:t>
      </w:r>
      <w:r>
        <w:rPr>
          <w:rFonts w:hint="eastAsia" w:ascii="仿宋" w:hAnsi="仿宋" w:eastAsia="仿宋" w:cs="仿宋"/>
          <w:sz w:val="24"/>
          <w:szCs w:val="24"/>
          <w:highlight w:val="none"/>
          <w:lang w:val="en-US" w:eastAsia="zh-CN"/>
        </w:rPr>
        <w:t xml:space="preserve">做检测</w:t>
      </w:r>
      <w:r>
        <w:rPr>
          <w:rFonts w:hint="eastAsia" w:ascii="仿宋" w:hAnsi="仿宋" w:eastAsia="仿宋" w:cs="仿宋"/>
          <w:sz w:val="24"/>
          <w:szCs w:val="24"/>
          <w:highlight w:val="none"/>
          <w:lang w:eastAsia="zh-CN"/>
        </w:rPr>
        <w:t xml:space="preserve">：标准音a1为446Hz±</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.5Hz范围内；</w:t>
      </w:r>
      <w:r>
        <w:rPr>
          <w:rFonts w:hint="eastAsia" w:ascii="仿宋" w:hAnsi="仿宋" w:eastAsia="仿宋" w:cs="仿宋"/>
          <w:b/>
          <w:bCs/>
          <w:sz w:val="24"/>
          <w:szCs w:val="24"/>
          <w:highlight w:val="none"/>
          <w:lang w:eastAsia="zh-CN"/>
        </w:rPr>
        <w:t xml:space="preserve">（提供投标产品同型号的具有CMA标识的检测报告佐证）</w:t>
      </w:r>
      <w:r/>
    </w:p>
    <w:p>
      <w:pPr>
        <w:jc w:val="left"/>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仿宋"/>
          <w:b w:val="0"/>
          <w:bCs w:val="0"/>
          <w:sz w:val="24"/>
          <w:szCs w:val="24"/>
          <w:highlight w:val="none"/>
          <w:lang w:eastAsia="zh-CN"/>
        </w:rPr>
        <w:t xml:space="preserve">）铁板：黄金葱色铁板，采用传统沙铸铁板工艺，音色纯正。</w:t>
      </w:r>
      <w:r/>
    </w:p>
    <w:p>
      <w:pPr>
        <w:jc w:val="left"/>
        <w:keepLines w:val="0"/>
        <w:keepNext w:val="0"/>
        <w:pageBreakBefore w:val="0"/>
        <w:spacing w:line="480" w:lineRule="exact"/>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4</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铁板</w:t>
      </w:r>
      <w:r>
        <w:rPr>
          <w:rFonts w:hint="eastAsia" w:ascii="仿宋" w:hAnsi="仿宋" w:eastAsia="仿宋" w:cs="仿宋"/>
          <w:b w:val="0"/>
          <w:bCs w:val="0"/>
          <w:sz w:val="24"/>
          <w:szCs w:val="24"/>
          <w:highlight w:val="none"/>
          <w:lang w:val="en-US" w:eastAsia="zh-CN"/>
        </w:rPr>
        <w:t xml:space="preserve">高</w:t>
      </w:r>
      <w:r>
        <w:rPr>
          <w:rFonts w:hint="eastAsia" w:ascii="仿宋" w:hAnsi="仿宋" w:eastAsia="仿宋" w:cs="仿宋"/>
          <w:b w:val="0"/>
          <w:bCs w:val="0"/>
          <w:sz w:val="24"/>
          <w:szCs w:val="24"/>
          <w:highlight w:val="none"/>
        </w:rPr>
        <w:t xml:space="preserve">度</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钢琴须符合</w:t>
      </w:r>
      <w:r>
        <w:rPr>
          <w:rFonts w:hint="eastAsia" w:ascii="仿宋" w:hAnsi="仿宋" w:eastAsia="仿宋" w:cs="仿宋"/>
          <w:b w:val="0"/>
          <w:bCs w:val="0"/>
          <w:sz w:val="24"/>
          <w:szCs w:val="24"/>
          <w:highlight w:val="none"/>
          <w:lang w:eastAsia="zh-CN"/>
        </w:rPr>
        <w:t xml:space="preserve">GB/T 10159《钢琴》</w:t>
      </w:r>
      <w:r>
        <w:rPr>
          <w:rFonts w:hint="eastAsia" w:ascii="仿宋" w:hAnsi="仿宋" w:eastAsia="仿宋" w:cs="仿宋"/>
          <w:b w:val="0"/>
          <w:bCs w:val="0"/>
          <w:sz w:val="24"/>
          <w:szCs w:val="24"/>
          <w:highlight w:val="none"/>
          <w:lang w:val="en-US" w:eastAsia="zh-CN"/>
        </w:rPr>
        <w:t xml:space="preserve">国家</w:t>
      </w:r>
      <w:r>
        <w:rPr>
          <w:rFonts w:hint="eastAsia" w:ascii="仿宋" w:hAnsi="仿宋" w:eastAsia="仿宋" w:cs="仿宋"/>
          <w:b w:val="0"/>
          <w:bCs w:val="0"/>
          <w:sz w:val="24"/>
          <w:szCs w:val="24"/>
          <w:highlight w:val="none"/>
          <w:lang w:eastAsia="zh-CN"/>
        </w:rPr>
        <w:t xml:space="preserve">标准</w:t>
      </w:r>
      <w:r>
        <w:rPr>
          <w:rFonts w:hint="eastAsia" w:ascii="仿宋" w:hAnsi="仿宋" w:eastAsia="仿宋" w:cs="仿宋"/>
          <w:b w:val="0"/>
          <w:bCs w:val="0"/>
          <w:sz w:val="24"/>
          <w:szCs w:val="24"/>
          <w:highlight w:val="none"/>
          <w:lang w:val="en-US" w:eastAsia="zh-CN"/>
        </w:rPr>
        <w:t xml:space="preserve">做检测</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111</w:t>
      </w:r>
      <w:r>
        <w:rPr>
          <w:rFonts w:hint="eastAsia" w:ascii="仿宋" w:hAnsi="仿宋" w:eastAsia="仿宋" w:cs="仿宋"/>
          <w:b w:val="0"/>
          <w:bCs w:val="0"/>
          <w:sz w:val="24"/>
          <w:szCs w:val="24"/>
          <w:highlight w:val="none"/>
          <w:lang w:eastAsia="zh-CN"/>
        </w:rPr>
        <w:t xml:space="preserve">cm</w:t>
      </w:r>
      <w:r>
        <w:rPr>
          <w:rFonts w:hint="eastAsia" w:ascii="仿宋" w:hAnsi="仿宋" w:eastAsia="仿宋" w:cs="仿宋"/>
          <w:b/>
          <w:bCs/>
          <w:sz w:val="24"/>
          <w:szCs w:val="24"/>
          <w:highlight w:val="none"/>
          <w:lang w:eastAsia="zh-CN"/>
        </w:rPr>
        <w:t xml:space="preserve">（提供投标产品同型号的具有CMA标识的检测报告佐证）</w:t>
      </w:r>
      <w:r/>
    </w:p>
    <w:p>
      <w:pPr>
        <w:jc w:val="left"/>
        <w:keepLines w:val="0"/>
        <w:keepNext w:val="0"/>
        <w:pageBreakBefore w:val="0"/>
        <w:spacing w:line="48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）踏瓣负荷：</w:t>
      </w:r>
      <w:r>
        <w:rPr>
          <w:rFonts w:hint="eastAsia" w:ascii="仿宋" w:hAnsi="仿宋" w:eastAsia="仿宋" w:cs="仿宋"/>
          <w:b w:val="0"/>
          <w:bCs w:val="0"/>
          <w:sz w:val="24"/>
          <w:szCs w:val="24"/>
          <w:highlight w:val="none"/>
          <w:lang w:val="en-US" w:eastAsia="zh-CN"/>
        </w:rPr>
        <w:t xml:space="preserve">钢琴须符合</w:t>
      </w:r>
      <w:r>
        <w:rPr>
          <w:rFonts w:hint="eastAsia" w:ascii="仿宋" w:hAnsi="仿宋" w:eastAsia="仿宋" w:cs="仿宋"/>
          <w:b w:val="0"/>
          <w:bCs w:val="0"/>
          <w:sz w:val="24"/>
          <w:szCs w:val="24"/>
          <w:highlight w:val="none"/>
          <w:lang w:eastAsia="zh-CN"/>
        </w:rPr>
        <w:t xml:space="preserve">GB/T 10159《钢琴》</w:t>
      </w:r>
      <w:r>
        <w:rPr>
          <w:rFonts w:hint="eastAsia" w:ascii="仿宋" w:hAnsi="仿宋" w:eastAsia="仿宋" w:cs="仿宋"/>
          <w:b w:val="0"/>
          <w:bCs w:val="0"/>
          <w:sz w:val="24"/>
          <w:szCs w:val="24"/>
          <w:highlight w:val="none"/>
          <w:lang w:val="en-US" w:eastAsia="zh-CN"/>
        </w:rPr>
        <w:t xml:space="preserve">国家</w:t>
      </w:r>
      <w:r>
        <w:rPr>
          <w:rFonts w:hint="eastAsia" w:ascii="仿宋" w:hAnsi="仿宋" w:eastAsia="仿宋" w:cs="仿宋"/>
          <w:b w:val="0"/>
          <w:bCs w:val="0"/>
          <w:sz w:val="24"/>
          <w:szCs w:val="24"/>
          <w:highlight w:val="none"/>
          <w:lang w:eastAsia="zh-CN"/>
        </w:rPr>
        <w:t xml:space="preserve">标准</w:t>
      </w:r>
      <w:r>
        <w:rPr>
          <w:rFonts w:hint="eastAsia" w:ascii="仿宋" w:hAnsi="仿宋" w:eastAsia="仿宋" w:cs="仿宋"/>
          <w:b w:val="0"/>
          <w:bCs w:val="0"/>
          <w:sz w:val="24"/>
          <w:szCs w:val="24"/>
          <w:highlight w:val="none"/>
          <w:lang w:val="en-US" w:eastAsia="zh-CN"/>
        </w:rPr>
        <w:t xml:space="preserve">做检测</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sz w:val="24"/>
          <w:szCs w:val="24"/>
          <w:highlight w:val="none"/>
          <w:lang w:eastAsia="zh-CN"/>
        </w:rPr>
        <w:t xml:space="preserve">立式钢琴弱音踏瓣与延音踏瓣之间的负荷差值≤</w:t>
      </w:r>
      <w:r>
        <w:rPr>
          <w:rFonts w:hint="eastAsia" w:ascii="仿宋" w:hAnsi="仿宋" w:eastAsia="仿宋" w:cs="仿宋"/>
          <w:sz w:val="24"/>
          <w:szCs w:val="24"/>
          <w:highlight w:val="none"/>
          <w:lang w:val="en-US" w:eastAsia="zh-CN"/>
        </w:rPr>
        <w:t xml:space="preserve">4.5N。</w:t>
      </w:r>
      <w:r>
        <w:rPr>
          <w:rFonts w:hint="eastAsia" w:ascii="仿宋" w:hAnsi="仿宋" w:eastAsia="仿宋" w:cs="仿宋"/>
          <w:b/>
          <w:bCs/>
          <w:sz w:val="24"/>
          <w:szCs w:val="24"/>
          <w:highlight w:val="none"/>
          <w:lang w:eastAsia="zh-CN"/>
        </w:rPr>
        <w:t xml:space="preserve">（提供投标产品同型号的具有CMA标识的检测报告佐证）</w:t>
      </w:r>
      <w:r/>
    </w:p>
    <w:p>
      <w:pPr>
        <w:jc w:val="left"/>
        <w:keepLines w:val="0"/>
        <w:keepNext w:val="0"/>
        <w:pageBreakBefore w:val="0"/>
        <w:spacing w:line="48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（6）音板：采用优质白松制作的不等厚加强型实木音板，在各种不同的气候条件下均能保持优良的音色，产生更加优美的琴声和纯正的音质效果。</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）琴弦：采用德国Roslau的防锈钢线，音色纯净，音准稳定。</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lang w:eastAsia="zh-CN"/>
        </w:rPr>
        <w:t xml:space="preserve">）弦码：采用弯压结构设计，音频振动响应精确、迅速。</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lang w:eastAsia="zh-CN"/>
        </w:rPr>
        <w:t xml:space="preserve">）弦轴板：由多层坚硬的色木交错拼接而成，为弦轴钉提供稳固的握钉力，保证了音准稳定性。</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lang w:eastAsia="zh-CN"/>
        </w:rPr>
        <w:t xml:space="preserve">）弦槌：采用</w:t>
      </w:r>
      <w:r>
        <w:rPr>
          <w:rFonts w:hint="eastAsia" w:ascii="仿宋" w:hAnsi="仿宋" w:eastAsia="仿宋" w:cs="仿宋"/>
          <w:sz w:val="24"/>
          <w:szCs w:val="24"/>
          <w:highlight w:val="none"/>
          <w:lang w:val="en-US" w:eastAsia="zh-CN"/>
        </w:rPr>
        <w:t xml:space="preserve">优质</w:t>
      </w:r>
      <w:r>
        <w:rPr>
          <w:rFonts w:hint="eastAsia" w:ascii="仿宋" w:hAnsi="仿宋" w:eastAsia="仿宋" w:cs="仿宋"/>
          <w:sz w:val="24"/>
          <w:szCs w:val="24"/>
          <w:highlight w:val="none"/>
          <w:lang w:eastAsia="zh-CN"/>
        </w:rPr>
        <w:t xml:space="preserve">纯羊毛毡并应用欧洲传统工艺制作的弦槌，音色圆润通透。</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lang w:eastAsia="zh-CN"/>
        </w:rPr>
        <w:t xml:space="preserve">）制音器：采用优质羊毛毡制造，制音效果好。 </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lang w:eastAsia="zh-CN"/>
        </w:rPr>
        <w:t xml:space="preserve">）顶杆：采用高强度ABS材质，不易磨损，自润性能佳，保证了产品的使用寿命。</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13</w:t>
      </w:r>
      <w:r>
        <w:rPr>
          <w:rFonts w:hint="eastAsia" w:ascii="仿宋" w:hAnsi="仿宋" w:eastAsia="仿宋" w:cs="仿宋"/>
          <w:sz w:val="24"/>
          <w:szCs w:val="24"/>
          <w:highlight w:val="none"/>
          <w:lang w:eastAsia="zh-CN"/>
        </w:rPr>
        <w:t xml:space="preserve">）琴键：采用亚光黑键，色泽和质感如同乌木，触感舒适自然。</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14</w:t>
      </w:r>
      <w:r>
        <w:rPr>
          <w:rFonts w:hint="eastAsia" w:ascii="仿宋" w:hAnsi="仿宋" w:eastAsia="仿宋" w:cs="仿宋"/>
          <w:sz w:val="24"/>
          <w:szCs w:val="24"/>
          <w:highlight w:val="none"/>
          <w:lang w:eastAsia="zh-CN"/>
        </w:rPr>
        <w:t xml:space="preserve">）键板：采用</w:t>
      </w:r>
      <w:r>
        <w:rPr>
          <w:rFonts w:hint="eastAsia" w:ascii="仿宋" w:hAnsi="仿宋" w:eastAsia="仿宋" w:cs="仿宋"/>
          <w:sz w:val="24"/>
          <w:szCs w:val="24"/>
          <w:highlight w:val="none"/>
          <w:lang w:val="en-US" w:eastAsia="zh-CN"/>
        </w:rPr>
        <w:t xml:space="preserve">优质</w:t>
      </w:r>
      <w:r>
        <w:rPr>
          <w:rFonts w:hint="eastAsia" w:ascii="仿宋" w:hAnsi="仿宋" w:eastAsia="仿宋" w:cs="仿宋"/>
          <w:sz w:val="24"/>
          <w:szCs w:val="24"/>
          <w:highlight w:val="none"/>
          <w:lang w:eastAsia="zh-CN"/>
        </w:rPr>
        <w:t xml:space="preserve">白松制作的键板，性能稳定。</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eastAsia="zh-CN"/>
        </w:rPr>
        <w:t xml:space="preserve">）缓冲器：采用键盖缓冲器，安全耐用。</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16</w:t>
      </w:r>
      <w:r>
        <w:rPr>
          <w:rFonts w:hint="eastAsia" w:ascii="仿宋" w:hAnsi="仿宋" w:eastAsia="仿宋" w:cs="仿宋"/>
          <w:sz w:val="24"/>
          <w:szCs w:val="24"/>
          <w:highlight w:val="none"/>
          <w:lang w:eastAsia="zh-CN"/>
        </w:rPr>
        <w:t xml:space="preserve">）脚轮：采用双轮脚轮，具有转动灵活、推行顺畅、噪声低的特点。</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17</w:t>
      </w:r>
      <w:r>
        <w:rPr>
          <w:rFonts w:hint="eastAsia" w:ascii="仿宋" w:hAnsi="仿宋" w:eastAsia="仿宋" w:cs="仿宋"/>
          <w:sz w:val="24"/>
          <w:szCs w:val="24"/>
          <w:highlight w:val="none"/>
          <w:lang w:eastAsia="zh-CN"/>
        </w:rPr>
        <w:t xml:space="preserve">）外壳涂饰：采用名牌的不饱和树脂环保漆，并应用静电喷涂、自动淋油等先进涂饰工艺，令漆面光亮平整。</w:t>
      </w:r>
      <w:r/>
    </w:p>
    <w:p>
      <w:pPr>
        <w:jc w:val="left"/>
        <w:keepLines w:val="0"/>
        <w:keepNext w:val="0"/>
        <w:pageBreakBefore w:val="0"/>
        <w:spacing w:line="48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18</w:t>
      </w:r>
      <w:r>
        <w:rPr>
          <w:rFonts w:hint="eastAsia" w:ascii="仿宋" w:hAnsi="仿宋" w:eastAsia="仿宋" w:cs="仿宋"/>
          <w:sz w:val="24"/>
          <w:szCs w:val="24"/>
          <w:highlight w:val="none"/>
          <w:lang w:eastAsia="zh-CN"/>
        </w:rPr>
        <w:t xml:space="preserve">）演奏性能：钢琴须符合GB/T 10159《钢琴》国家标准做检测：白键下沉深度9.5-11.5mm范围内；琴键下降负荷0.45-0.70N范围内；回升负荷0.10-0.40N范围内；琴键运动灵敏、不相互摩擦；</w:t>
      </w:r>
      <w:r>
        <w:rPr>
          <w:rFonts w:hint="eastAsia" w:ascii="仿宋" w:hAnsi="仿宋" w:eastAsia="仿宋" w:cs="仿宋"/>
          <w:b/>
          <w:bCs/>
          <w:sz w:val="24"/>
          <w:szCs w:val="24"/>
          <w:highlight w:val="none"/>
          <w:lang w:eastAsia="zh-CN"/>
        </w:rPr>
        <w:t xml:space="preserve">（提供投标产品同型号的具有CMA标识的检测报告佐证）</w:t>
      </w:r>
      <w:r/>
    </w:p>
    <w:p>
      <w:pPr>
        <w:jc w:val="left"/>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4.古筝</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规格</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≥1630*330*56mm</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面板底板</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桐木</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琴头琴尾以及侧板</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红木贴面</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琴头琴尾工艺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刻字工艺</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琴弦</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尼龙钢丝材质</w:t>
      </w:r>
      <w:r/>
    </w:p>
    <w:p>
      <w:pPr>
        <w:jc w:val="left"/>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琴码</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普通</w:t>
      </w:r>
      <w:r>
        <w:rPr>
          <w:rFonts w:hint="eastAsia" w:ascii="仿宋" w:hAnsi="仿宋" w:eastAsia="仿宋" w:cs="仿宋"/>
          <w:sz w:val="24"/>
          <w:szCs w:val="24"/>
          <w:highlight w:val="none"/>
          <w:lang w:val="en-US" w:eastAsia="zh-CN"/>
        </w:rPr>
        <w:t xml:space="preserve">红</w:t>
      </w:r>
      <w:r>
        <w:rPr>
          <w:rFonts w:hint="eastAsia" w:ascii="仿宋" w:hAnsi="仿宋" w:eastAsia="仿宋" w:cs="仿宋"/>
          <w:sz w:val="24"/>
          <w:szCs w:val="24"/>
          <w:highlight w:val="none"/>
        </w:rPr>
        <w:t xml:space="preserve">木琴码</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配件包含：古筝包，塑料支架，指甲，胶布，琴码，扳手，琴码示意图</w:t>
      </w:r>
      <w:r/>
    </w:p>
    <w:p>
      <w:pPr>
        <w:jc w:val="left"/>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5.架子鼓</w:t>
      </w:r>
      <w:r/>
    </w:p>
    <w:p>
      <w:pPr>
        <w:jc w:val="left"/>
        <w:keepLines w:val="0"/>
        <w:keepNext w:val="0"/>
        <w:pageBreakBefore w:val="0"/>
        <w:spacing w:line="48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外观开放哑光烤漆</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暗黑色</w:t>
      </w:r>
      <w:r/>
    </w:p>
    <w:p>
      <w:pPr>
        <w:jc w:val="left"/>
        <w:keepLines w:val="0"/>
        <w:keepNext w:val="0"/>
        <w:pageBreakBefore w:val="0"/>
        <w:spacing w:line="48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鼓皮基材采用高韧性聚酯 (PET) 薄膜，鼓皮薄膜与金属压圈采用高温高压热压复合工艺，粘接牢固，无脱胶翘边；涂层附着力良好，高频敲击不易掉粉剥</w:t>
      </w:r>
      <w:r>
        <w:rPr>
          <w:rFonts w:hint="eastAsia" w:ascii="仿宋" w:hAnsi="仿宋" w:eastAsia="仿宋" w:cs="仿宋"/>
          <w:sz w:val="24"/>
          <w:szCs w:val="24"/>
          <w:highlight w:val="none"/>
        </w:rPr>
        <w:t xml:space="preserve">落；禁止使用 PVC 材质鼓皮。鼓桶材质：</w:t>
      </w:r>
      <w:r>
        <w:rPr>
          <w:rFonts w:hint="eastAsia" w:ascii="仿宋" w:hAnsi="仿宋" w:eastAsia="仿宋" w:cs="仿宋"/>
          <w:sz w:val="24"/>
          <w:szCs w:val="24"/>
          <w:highlight w:val="none"/>
          <w:lang w:val="en-US" w:eastAsia="zh-CN"/>
        </w:rPr>
        <w:t xml:space="preserve">岑木+</w:t>
      </w:r>
      <w:r>
        <w:rPr>
          <w:rFonts w:hint="eastAsia" w:ascii="仿宋" w:hAnsi="仿宋" w:eastAsia="仿宋" w:cs="仿宋"/>
          <w:sz w:val="24"/>
          <w:szCs w:val="24"/>
          <w:highlight w:val="none"/>
        </w:rPr>
        <w:t xml:space="preserve">北美枫木或</w:t>
      </w:r>
      <w:r>
        <w:rPr>
          <w:rFonts w:hint="eastAsia" w:ascii="仿宋" w:hAnsi="仿宋" w:eastAsia="仿宋" w:cs="仿宋"/>
          <w:sz w:val="24"/>
          <w:szCs w:val="24"/>
          <w:highlight w:val="none"/>
          <w:lang w:val="en-US" w:eastAsia="zh-CN"/>
        </w:rPr>
        <w:t xml:space="preserve">北美枫木或糖枫或加拿大枫木</w:t>
      </w:r>
      <w:r>
        <w:rPr>
          <w:rFonts w:hint="eastAsia" w:ascii="仿宋" w:hAnsi="仿宋" w:eastAsia="仿宋" w:cs="仿宋"/>
          <w:sz w:val="24"/>
          <w:szCs w:val="24"/>
          <w:highlight w:val="none"/>
        </w:rPr>
        <w:t xml:space="preserve">。</w:t>
      </w:r>
      <w:r>
        <w:rPr>
          <w:rFonts w:hint="eastAsia" w:ascii="仿宋" w:hAnsi="仿宋" w:eastAsia="仿宋" w:cs="仿宋"/>
          <w:b/>
          <w:bCs/>
          <w:sz w:val="24"/>
          <w:szCs w:val="24"/>
          <w:highlight w:val="none"/>
          <w:lang w:eastAsia="zh-CN"/>
        </w:rPr>
        <w:t xml:space="preserve">（就本项鼓桶材质，须提供官方图册对应页复印件、官网介绍页截图或第三方材质检测报告之一作为佐证；与本项要求不符的，按无效响应处理。）</w:t>
      </w:r>
      <w:r/>
    </w:p>
    <w:p>
      <w:pPr>
        <w:jc w:val="left"/>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）架子鼓直纹螺丝、抽芯铆钉的镉（Cd）、汞(Hg)含量未检出（检出限≤10mg/kg）。</w:t>
      </w:r>
      <w:r>
        <w:rPr>
          <w:rFonts w:hint="eastAsia" w:ascii="仿宋" w:hAnsi="仿宋" w:eastAsia="仿宋" w:cs="仿宋"/>
          <w:b/>
          <w:bCs/>
          <w:sz w:val="24"/>
          <w:szCs w:val="24"/>
          <w:highlight w:val="none"/>
        </w:rPr>
        <w:t xml:space="preserve">（提供第三方检测机构出具的检测报告复印件）</w:t>
      </w:r>
      <w:r/>
    </w:p>
    <w:p>
      <w:pPr>
        <w:jc w:val="left"/>
        <w:keepLines w:val="0"/>
        <w:keepNext w:val="0"/>
        <w:pageBreakBefore w:val="0"/>
        <w:spacing w:line="480" w:lineRule="exact"/>
        <w:widowControl w:val="off"/>
        <w:rPr>
          <w:rFonts w:hint="default" w:ascii="仿宋" w:hAnsi="仿宋" w:eastAsia="仿宋" w:cs="仿宋"/>
          <w:b/>
          <w:bCs/>
          <w:sz w:val="24"/>
          <w:szCs w:val="24"/>
          <w:highlight w:val="none"/>
          <w:lang w:val="en-US"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4</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套鼓硬件：专业踩镲架1套、带配重斜吊架2套、专业踩锤1套、通鼓支架1 套、单球夹2套、专业鼓凳1套、小军鼓架1套</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黄铜擦片4片，鼓棒2付</w:t>
      </w:r>
      <w:r>
        <w:rPr>
          <w:rFonts w:hint="eastAsia" w:ascii="仿宋" w:hAnsi="仿宋" w:eastAsia="仿宋" w:cs="仿宋"/>
          <w:b w:val="0"/>
          <w:bCs w:val="0"/>
          <w:sz w:val="24"/>
          <w:szCs w:val="24"/>
          <w:highlight w:val="none"/>
        </w:rPr>
        <w:t xml:space="preserve">全套硬件承重、稳定性不低于本需求对应配置标准。</w:t>
      </w:r>
      <w:r>
        <w:rPr>
          <w:rFonts w:hint="eastAsia" w:ascii="仿宋" w:hAnsi="仿宋" w:eastAsia="仿宋" w:cs="仿宋"/>
          <w:b/>
          <w:bCs/>
          <w:sz w:val="24"/>
          <w:szCs w:val="24"/>
          <w:highlight w:val="none"/>
          <w:lang w:val="en-US" w:eastAsia="zh-CN"/>
        </w:rPr>
        <w:t xml:space="preserve">(就本项套鼓硬件配置提供承诺函，承诺按上述清单全部配齐、不缺项、不替换、不降级，法定代表人签字并加盖供应商公章)</w:t>
      </w:r>
      <w:r/>
    </w:p>
    <w:p>
      <w:pPr>
        <w:jc w:val="left"/>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6.</w:t>
      </w:r>
      <w:bookmarkStart w:id="13" w:name="OLE_LINK16"/>
      <w:r/>
      <w:bookmarkStart w:id="14" w:name="OLE_LINK15"/>
      <w:r>
        <w:rPr>
          <w:rFonts w:hint="eastAsia" w:ascii="仿宋" w:hAnsi="仿宋" w:eastAsia="仿宋" w:cs="仿宋"/>
          <w:b/>
          <w:bCs/>
          <w:sz w:val="24"/>
          <w:szCs w:val="24"/>
        </w:rPr>
        <w:t xml:space="preserve">电子琴</w:t>
      </w:r>
      <w:bookmarkEnd w:id="13"/>
      <w:r/>
      <w:bookmarkEnd w:id="14"/>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键盘配置：标准61键带力度感应键盘，支持多档位力度调节，适配师生教学弹奏，按键回弹稳定、无卡顿、无杂键； </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音源系统：立体声波形采样音源，音色还原精准，具备多层动态采样，可实现力度响应变化，符合中小学音乐课标听音标准； </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复音性能：最大复音数≥128，弹奏和弦、合奏无丢音、断音现象；</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音色节奏：内置≥500种标准乐器音色、≥200种伴奏节奏，包含钢琴、弦乐、管乐、民乐、打击乐等教学常用音色； </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教学功能：支持键盘分割、双人教学、声部拆分、录音回放、节奏调速、旋律消音，适配一对一、小组集体教学； </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音效系统：内置混响、合唱、均衡音效，自带立体扬声器，无需外接设备即可满足教室听音需求； </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适配性：支持外接麦克风、耳机、音响、U盘，可导入教学伴奏、乐谱音频； </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稳定性：工业级耐用配置，支持长时间高频开机使用，故障率低，适配校园常态化教学。</w:t>
      </w:r>
      <w:r/>
    </w:p>
    <w:p>
      <w:pPr>
        <w:jc w:val="left"/>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7.排笛</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16管排笛</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材质：笛体由16根不同长短粗细的ABS管组成，或同等声学性能管材、管数≥16 管</w:t>
      </w:r>
      <w:r/>
    </w:p>
    <w:p>
      <w:pPr>
        <w:jc w:val="left"/>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配件：说明书、保护套、音标贴</w:t>
      </w:r>
      <w:r/>
    </w:p>
    <w:p>
      <w:pPr>
        <w:jc w:val="left"/>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颜色：象牙白</w:t>
      </w:r>
      <w:r/>
    </w:p>
    <w:p>
      <w:pPr>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）产品塑料管材材料安全性能应符合《食品安全国家标准食品接触用塑料材料及制品》要求。</w:t>
      </w:r>
      <w:r>
        <w:rPr>
          <w:rFonts w:hint="eastAsia" w:ascii="仿宋" w:hAnsi="仿宋" w:eastAsia="仿宋" w:cs="仿宋"/>
          <w:b/>
          <w:bCs/>
          <w:sz w:val="24"/>
          <w:szCs w:val="24"/>
          <w:highlight w:val="none"/>
          <w:lang w:eastAsia="zh-CN"/>
        </w:rPr>
        <w:t xml:space="preserve">（提供第三方检测机构出具的检测报告复印件，检测项目须包含高锰酸钾消耗量、重金属（以Pb计）、丙烯腈特定迁移量、1,3-丁二烯特定迁移量，报告复印件加盖投标人公章）</w:t>
      </w:r>
      <w:r/>
    </w:p>
    <w:p>
      <w:pPr>
        <w:jc w:val="left"/>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8.锣</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材质：优质响铜   </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规格：锣直径≧29.7cm</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敲槌长度≧24cm 。所有尺寸允许±5% 公差区间。</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结构：大锣身为一</w:t>
      </w:r>
      <w:r>
        <w:rPr>
          <w:rFonts w:hint="eastAsia" w:ascii="仿宋" w:hAnsi="仿宋" w:eastAsia="仿宋" w:cs="仿宋"/>
          <w:sz w:val="24"/>
          <w:szCs w:val="24"/>
          <w:lang w:eastAsia="zh-CN"/>
        </w:rPr>
        <w:t xml:space="preserve">圆形</w:t>
      </w:r>
      <w:r>
        <w:rPr>
          <w:rFonts w:hint="eastAsia" w:ascii="仿宋" w:hAnsi="仿宋" w:eastAsia="仿宋" w:cs="仿宋"/>
          <w:sz w:val="24"/>
          <w:szCs w:val="24"/>
        </w:rPr>
        <w:t xml:space="preserve">弧面，响铜制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中心部稍凸起，大锣的内部中心位置印有商标，锣边缘开有两个小孔穿绳，方便使用</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使用方法：演奏时用左手拿着穿有绳子的锣，右手持一敲槌敲击发声 </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品质：音准符合中小学课堂教学标准、无杂音、音色均匀。</w:t>
      </w:r>
      <w:r/>
    </w:p>
    <w:p>
      <w:pPr>
        <w:jc w:val="left"/>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9.钹</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材质：</w:t>
      </w:r>
      <w:r>
        <w:rPr>
          <w:rFonts w:hint="eastAsia" w:ascii="仿宋" w:hAnsi="仿宋" w:eastAsia="仿宋" w:cs="仿宋"/>
          <w:sz w:val="24"/>
          <w:szCs w:val="24"/>
          <w:lang w:val="en-US" w:eastAsia="zh-CN"/>
        </w:rPr>
        <w:t xml:space="preserve">优质</w:t>
      </w:r>
      <w:r>
        <w:rPr>
          <w:rFonts w:hint="eastAsia" w:ascii="仿宋" w:hAnsi="仿宋" w:eastAsia="仿宋" w:cs="仿宋"/>
          <w:sz w:val="24"/>
          <w:szCs w:val="24"/>
        </w:rPr>
        <w:t xml:space="preserve">响铜</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规格：直径≧26.8cm，尺寸允许±5%公差区间。</w:t>
      </w:r>
      <w:r/>
    </w:p>
    <w:p>
      <w:pPr>
        <w:jc w:val="left"/>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结构：饶体为一圆形金属板，用“响铜”制成，中部隆起的半球形部分称“帽”，顶部钻有小孔，用粗绳</w:t>
      </w:r>
      <w:r>
        <w:rPr>
          <w:rFonts w:hint="eastAsia" w:ascii="仿宋" w:hAnsi="仿宋" w:eastAsia="仿宋" w:cs="仿宋"/>
          <w:sz w:val="24"/>
          <w:szCs w:val="24"/>
          <w:lang w:eastAsia="zh-CN"/>
        </w:rPr>
        <w:t xml:space="preserve">拴</w:t>
      </w:r>
      <w:r>
        <w:rPr>
          <w:rFonts w:hint="eastAsia" w:ascii="仿宋" w:hAnsi="仿宋" w:eastAsia="仿宋" w:cs="仿宋"/>
          <w:sz w:val="24"/>
          <w:szCs w:val="24"/>
        </w:rPr>
        <w:t xml:space="preserve">系，两个为一付</w:t>
      </w:r>
      <w:r>
        <w:rPr>
          <w:rFonts w:hint="eastAsia" w:ascii="仿宋" w:hAnsi="仿宋" w:eastAsia="仿宋" w:cs="仿宋"/>
          <w:sz w:val="24"/>
          <w:szCs w:val="24"/>
          <w:lang w:eastAsia="zh-CN"/>
        </w:rPr>
        <w:t xml:space="preserve">。</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使用方法：演奏时，两手各执一面，互击发音，音色高亢脆亮。 </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品质：音准符合中小学课堂教学标准、无杂音、音色均匀。</w:t>
      </w:r>
      <w:r/>
    </w:p>
    <w:p>
      <w:pPr>
        <w:jc w:val="left"/>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10.镲</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材质：优质响铜</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规格：小钹直径≧14.8cm，所有尺寸允许±5%公差区间。</w:t>
      </w:r>
      <w:r/>
    </w:p>
    <w:p>
      <w:pPr>
        <w:jc w:val="left"/>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结构：钹体为一圆形金属板，用“响铜”制成，中部隆起的半球形部分称“帽”，顶部钻有小孔，用粗绳</w:t>
      </w:r>
      <w:r>
        <w:rPr>
          <w:rFonts w:hint="eastAsia" w:ascii="仿宋" w:hAnsi="仿宋" w:eastAsia="仿宋" w:cs="仿宋"/>
          <w:sz w:val="24"/>
          <w:szCs w:val="24"/>
          <w:lang w:eastAsia="zh-CN"/>
        </w:rPr>
        <w:t xml:space="preserve">拴</w:t>
      </w:r>
      <w:r>
        <w:rPr>
          <w:rFonts w:hint="eastAsia" w:ascii="仿宋" w:hAnsi="仿宋" w:eastAsia="仿宋" w:cs="仿宋"/>
          <w:sz w:val="24"/>
          <w:szCs w:val="24"/>
        </w:rPr>
        <w:t xml:space="preserve">系，两个为一付</w:t>
      </w:r>
      <w:r>
        <w:rPr>
          <w:rFonts w:hint="eastAsia" w:ascii="仿宋" w:hAnsi="仿宋" w:eastAsia="仿宋" w:cs="仿宋"/>
          <w:sz w:val="24"/>
          <w:szCs w:val="24"/>
          <w:lang w:eastAsia="zh-CN"/>
        </w:rPr>
        <w:t xml:space="preserve">。</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使用方法：演奏时，两手各执一面，互击发音，音色高亢脆亮。 </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品质：音准符合中小学课堂教学标准、无杂音、音色均匀。</w:t>
      </w:r>
      <w:r/>
    </w:p>
    <w:p>
      <w:pPr>
        <w:jc w:val="left"/>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11.奥尔夫乐器</w:t>
      </w:r>
      <w:r/>
    </w:p>
    <w:p>
      <w:pPr>
        <w:jc w:val="left"/>
        <w:keepLines w:val="0"/>
        <w:keepNext w:val="0"/>
        <w:pageBreakBefore w:val="0"/>
        <w:spacing w:line="480" w:lineRule="exact"/>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1</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响板（4个）：实木材质，全长200</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240mm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2</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手摇铃（4个）：木制.牛皮.金属，手柄长105</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130mm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3</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海鼓（2个）：材质：</w:t>
      </w:r>
      <w:r>
        <w:rPr>
          <w:rFonts w:hint="eastAsia" w:ascii="仿宋" w:hAnsi="仿宋" w:eastAsia="仿宋" w:cs="仿宋"/>
          <w:sz w:val="24"/>
          <w:szCs w:val="24"/>
        </w:rPr>
        <w:t xml:space="preserve">实木材质</w:t>
      </w:r>
      <w:r>
        <w:rPr>
          <w:rFonts w:hint="eastAsia" w:ascii="仿宋" w:hAnsi="仿宋" w:eastAsia="仿宋" w:cs="仿宋"/>
          <w:color w:val="000000"/>
          <w:sz w:val="24"/>
          <w:szCs w:val="24"/>
          <w:lang w:bidi="ar"/>
        </w:rPr>
        <w:t xml:space="preserve">原木色鼓圈，羊皮/PVC鼓面，内置钢砂，尺寸：直径250mm</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300mm</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高度50</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80mm；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4</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五音木鼓（2个）：产品整体呈长方体中空造型。上方开设功能音孔以实现五音发声，音孔形状不限</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鼓体尺寸≥200*200*90mm；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5</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雨声（1个）：材质：</w:t>
      </w:r>
      <w:r>
        <w:rPr>
          <w:rFonts w:hint="eastAsia" w:ascii="仿宋" w:hAnsi="仿宋" w:eastAsia="仿宋" w:cs="仿宋"/>
          <w:sz w:val="24"/>
          <w:szCs w:val="24"/>
        </w:rPr>
        <w:t xml:space="preserve">实木，</w:t>
      </w:r>
      <w:r>
        <w:rPr>
          <w:rFonts w:hint="eastAsia" w:ascii="仿宋" w:hAnsi="仿宋" w:eastAsia="仿宋" w:cs="仿宋"/>
          <w:color w:val="000000"/>
          <w:sz w:val="24"/>
          <w:szCs w:val="24"/>
          <w:lang w:bidi="ar"/>
        </w:rPr>
        <w:t xml:space="preserve"> 规格：高 350–400mm，直径 50–60mm</w:t>
      </w:r>
      <w:r/>
    </w:p>
    <w:p>
      <w:pPr>
        <w:jc w:val="left"/>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6</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邦戈鼓（2个）：材质：实木、羊皮鼓面，规格：组合全长≧390mm；7寸鼓鼓面直径≧170mm；6寸鼓鼓面直径≧150mm；鼓高均为≧170mm；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7</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鱼蛙筒（4付）：</w:t>
      </w:r>
      <w:r>
        <w:rPr>
          <w:rFonts w:hint="eastAsia" w:ascii="仿宋" w:hAnsi="仿宋" w:eastAsia="仿宋" w:cs="仿宋"/>
          <w:sz w:val="24"/>
          <w:szCs w:val="24"/>
        </w:rPr>
        <w:t xml:space="preserve">实木材质</w:t>
      </w:r>
      <w:r>
        <w:rPr>
          <w:rFonts w:hint="eastAsia" w:ascii="仿宋" w:hAnsi="仿宋" w:eastAsia="仿宋" w:cs="仿宋"/>
          <w:color w:val="000000"/>
          <w:sz w:val="24"/>
          <w:szCs w:val="24"/>
          <w:lang w:bidi="ar"/>
        </w:rPr>
        <w:t xml:space="preserve"> 表面保留天然木纹，全长≧200mm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8</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沙筒（4付）：木质，全长≥60mm；直径≥34mm；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9</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刮棒（4付）：</w:t>
      </w:r>
      <w:r>
        <w:rPr>
          <w:rFonts w:hint="eastAsia" w:ascii="仿宋" w:hAnsi="仿宋" w:eastAsia="仿宋" w:cs="仿宋"/>
          <w:sz w:val="24"/>
          <w:szCs w:val="24"/>
        </w:rPr>
        <w:t xml:space="preserve">实木材质</w:t>
      </w:r>
      <w:r>
        <w:rPr>
          <w:rFonts w:hint="eastAsia" w:ascii="仿宋" w:hAnsi="仿宋" w:eastAsia="仿宋" w:cs="仿宋"/>
          <w:color w:val="000000"/>
          <w:sz w:val="24"/>
          <w:szCs w:val="24"/>
          <w:lang w:bidi="ar"/>
        </w:rPr>
        <w:t xml:space="preserve">，全长≧245mm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10</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节奏棒（5付）：</w:t>
      </w:r>
      <w:r>
        <w:rPr>
          <w:rFonts w:hint="eastAsia" w:ascii="仿宋" w:hAnsi="仿宋" w:eastAsia="仿宋" w:cs="仿宋"/>
          <w:sz w:val="24"/>
          <w:szCs w:val="24"/>
        </w:rPr>
        <w:t xml:space="preserve">实木材质</w:t>
      </w:r>
      <w:r>
        <w:rPr>
          <w:rFonts w:hint="eastAsia" w:ascii="仿宋" w:hAnsi="仿宋" w:eastAsia="仿宋" w:cs="仿宋"/>
          <w:color w:val="000000"/>
          <w:sz w:val="24"/>
          <w:szCs w:val="24"/>
          <w:lang w:bidi="ar"/>
        </w:rPr>
        <w:t xml:space="preserve">，长≧245mm，直径≧2.4cm；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11</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棒铃（4个）：木质棒体与6个金属铃铛组成，规格：产品整体长度≥180mm、宽度≥80mm，木质棒体直径≤30mm，铃铛直径为≤10mm；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12</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木鱼（3组）：8音；材质：</w:t>
      </w:r>
      <w:r>
        <w:rPr>
          <w:rFonts w:hint="eastAsia" w:ascii="仿宋" w:hAnsi="仿宋" w:eastAsia="仿宋" w:cs="仿宋"/>
          <w:sz w:val="24"/>
          <w:szCs w:val="24"/>
        </w:rPr>
        <w:t xml:space="preserve">实木材质</w:t>
      </w:r>
      <w:r>
        <w:rPr>
          <w:rFonts w:hint="eastAsia" w:ascii="仿宋" w:hAnsi="仿宋" w:eastAsia="仿宋" w:cs="仿宋"/>
          <w:color w:val="000000"/>
          <w:sz w:val="24"/>
          <w:szCs w:val="24"/>
          <w:lang w:bidi="ar"/>
        </w:rPr>
        <w:t xml:space="preserve">；</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13</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8音按铃（2组）：金属钟体+ABS塑料外壳，全长≥80mm，钟口直径≥73mm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14</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风铃（2套）：实木音板、铝制音条；音板长≥582mm，宽≥208mm，36音</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15</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大号卡巴萨（4个）：材质：</w:t>
      </w:r>
      <w:r>
        <w:rPr>
          <w:rFonts w:hint="eastAsia" w:ascii="仿宋" w:hAnsi="仿宋" w:eastAsia="仿宋" w:cs="仿宋"/>
          <w:sz w:val="24"/>
          <w:szCs w:val="24"/>
        </w:rPr>
        <w:t xml:space="preserve">实木材质</w:t>
      </w:r>
      <w:r>
        <w:rPr>
          <w:rFonts w:hint="eastAsia" w:ascii="仿宋" w:hAnsi="仿宋" w:eastAsia="仿宋" w:cs="仿宋"/>
          <w:color w:val="000000"/>
          <w:sz w:val="24"/>
          <w:szCs w:val="24"/>
          <w:lang w:bidi="ar"/>
        </w:rPr>
        <w:t xml:space="preserve">原木色手柄，电镀银色金属珠链</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卡巴萨</w:t>
      </w:r>
      <w:r>
        <w:rPr>
          <w:rFonts w:hint="eastAsia" w:ascii="仿宋" w:hAnsi="仿宋" w:eastAsia="仿宋" w:cs="仿宋"/>
          <w:color w:val="000000"/>
          <w:sz w:val="24"/>
          <w:szCs w:val="24"/>
          <w:lang w:bidi="ar"/>
        </w:rPr>
        <w:t xml:space="preserve">尺寸：长</w:t>
      </w:r>
      <w:r>
        <w:rPr>
          <w:rFonts w:hint="eastAsia" w:ascii="仿宋" w:hAnsi="仿宋" w:eastAsia="仿宋" w:cs="仿宋"/>
          <w:color w:val="000000"/>
          <w:sz w:val="24"/>
          <w:szCs w:val="24"/>
          <w:lang w:val="en-US" w:eastAsia="zh-CN" w:bidi="ar"/>
        </w:rPr>
        <w:t xml:space="preserve">度</w:t>
      </w:r>
      <w:r>
        <w:rPr>
          <w:rFonts w:hint="eastAsia" w:ascii="仿宋" w:hAnsi="仿宋" w:eastAsia="仿宋" w:cs="仿宋"/>
          <w:color w:val="000000"/>
          <w:sz w:val="24"/>
          <w:szCs w:val="24"/>
          <w:lang w:bidi="ar"/>
        </w:rPr>
        <w:t xml:space="preserve">≥18</w:t>
      </w:r>
      <w:r>
        <w:rPr>
          <w:rFonts w:hint="eastAsia" w:ascii="仿宋" w:hAnsi="仿宋" w:eastAsia="仿宋" w:cs="仿宋"/>
          <w:color w:val="000000"/>
          <w:sz w:val="24"/>
          <w:szCs w:val="24"/>
          <w:lang w:val="en-US" w:eastAsia="zh-CN" w:bidi="ar"/>
        </w:rPr>
        <w:t xml:space="preserve">0</w:t>
      </w:r>
      <w:r>
        <w:rPr>
          <w:rFonts w:hint="eastAsia" w:ascii="仿宋" w:hAnsi="仿宋" w:eastAsia="仿宋" w:cs="仿宋"/>
          <w:color w:val="000000"/>
          <w:sz w:val="24"/>
          <w:szCs w:val="24"/>
          <w:lang w:bidi="ar"/>
        </w:rPr>
        <w:t xml:space="preserve">mm，直径≥108mm</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不圆度≤5</w:t>
      </w:r>
      <w:r>
        <w:rPr>
          <w:rFonts w:hint="eastAsia" w:ascii="仿宋" w:hAnsi="仿宋" w:eastAsia="仿宋" w:cs="仿宋"/>
          <w:color w:val="000000"/>
          <w:sz w:val="24"/>
          <w:szCs w:val="24"/>
          <w:lang w:bidi="ar"/>
        </w:rPr>
        <w:t xml:space="preserve">m</w:t>
      </w:r>
      <w:r>
        <w:rPr>
          <w:rFonts w:hint="eastAsia" w:ascii="仿宋" w:hAnsi="仿宋" w:eastAsia="仿宋" w:cs="仿宋"/>
          <w:color w:val="000000"/>
          <w:sz w:val="24"/>
          <w:szCs w:val="24"/>
          <w:lang w:val="en-US" w:eastAsia="zh-CN" w:bidi="ar"/>
        </w:rPr>
        <w:t xml:space="preserve">m</w:t>
      </w:r>
      <w:r>
        <w:rPr>
          <w:rFonts w:hint="eastAsia" w:ascii="仿宋" w:hAnsi="仿宋" w:eastAsia="仿宋" w:cs="仿宋"/>
          <w:b/>
          <w:bCs/>
          <w:color w:val="000000"/>
          <w:sz w:val="24"/>
          <w:szCs w:val="24"/>
          <w:lang w:eastAsia="zh-CN" w:bidi="ar"/>
        </w:rPr>
        <w:t xml:space="preserve">（</w:t>
      </w:r>
      <w:r>
        <w:rPr>
          <w:rFonts w:hint="eastAsia" w:ascii="仿宋" w:hAnsi="仿宋" w:eastAsia="仿宋" w:cs="仿宋"/>
          <w:b/>
          <w:bCs/>
          <w:sz w:val="24"/>
          <w:szCs w:val="24"/>
          <w:lang w:val="en-US" w:eastAsia="zh-CN"/>
        </w:rPr>
        <w:t xml:space="preserve">提供第三方检测机构出具的卡巴萨长度、直径、不圆度测试报告复印件）</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16</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非洲鼓（4个）：材质：鼓身为实木整木掏空声学性能不低于桃花芯木，鼓皮为纯山羊皮</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规格：8寸（直径≧180mm 高≧380mm）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17</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非洲鼓（2个）：材质：鼓身为实木整木掏空声学性能不低于桃花芯木，鼓皮为纯山羊皮</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规格：10寸（直径≧230mm 高≧490mm）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18</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卡洪鼓（4个）：尺寸：≥300*300*480mm，材质：箱体实木、面板实木贴皮，吉他响弦装置</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19</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康佳鼓（1套）：包含 10 寸、11 寸鼓各 1 只；材质：木质鼓腔、牛皮鼓皮，配套双鼓共用优质金属支架；10 寸鼓面直径≥250mm，11 寸鼓面直径≥280mm。</w:t>
      </w:r>
      <w:r/>
    </w:p>
    <w:p>
      <w:pPr>
        <w:jc w:val="left"/>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12.三角铁</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材质：锰钢或同等硬度金属材质</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规格</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长度≧15CM；金属敲棒长≧13CM，所有尺寸允许±5%公差区间</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结构：金属敲棒顶端带橡胶软垫，音质明亮穿透力强，使用安全</w:t>
      </w:r>
      <w:r/>
    </w:p>
    <w:p>
      <w:pPr>
        <w:jc w:val="left"/>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13.双响筒</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材质：桦木，或原木色、竹制、同等声学实木均可</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规格：筒长度：≥1</w:t>
      </w:r>
      <w:r>
        <w:rPr>
          <w:rFonts w:hint="eastAsia" w:ascii="仿宋" w:hAnsi="仿宋" w:eastAsia="仿宋" w:cs="仿宋"/>
          <w:sz w:val="24"/>
          <w:szCs w:val="24"/>
          <w:lang w:val="en-US" w:eastAsia="zh-CN"/>
        </w:rPr>
        <w:t xml:space="preserve">85</w:t>
      </w:r>
      <w:r>
        <w:rPr>
          <w:rFonts w:hint="eastAsia" w:ascii="仿宋" w:hAnsi="仿宋" w:eastAsia="仿宋" w:cs="仿宋"/>
          <w:sz w:val="24"/>
          <w:szCs w:val="24"/>
        </w:rPr>
        <w:t xml:space="preserve">mm，筒</w:t>
      </w:r>
      <w:r>
        <w:rPr>
          <w:rFonts w:hint="eastAsia" w:ascii="仿宋" w:hAnsi="仿宋" w:eastAsia="仿宋" w:cs="仿宋"/>
          <w:sz w:val="24"/>
          <w:szCs w:val="24"/>
          <w:lang w:val="en-US" w:eastAsia="zh-CN"/>
        </w:rPr>
        <w:t xml:space="preserve">体直径</w:t>
      </w:r>
      <w:r>
        <w:rPr>
          <w:rFonts w:hint="eastAsia" w:ascii="仿宋" w:hAnsi="仿宋" w:eastAsia="仿宋" w:cs="仿宋"/>
          <w:sz w:val="24"/>
          <w:szCs w:val="24"/>
        </w:rPr>
        <w:t xml:space="preserve">：≥41mm，所有尺寸允许±5%公差区间</w:t>
      </w:r>
      <w:r/>
    </w:p>
    <w:p>
      <w:pPr>
        <w:jc w:val="left"/>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结构：由筒体、手柄构成，双响筒两端有粗细均匀</w:t>
      </w:r>
      <w:r>
        <w:rPr>
          <w:rFonts w:hint="eastAsia" w:ascii="仿宋" w:hAnsi="仿宋" w:eastAsia="仿宋" w:cs="仿宋"/>
          <w:sz w:val="24"/>
          <w:szCs w:val="24"/>
          <w:lang w:eastAsia="zh-CN"/>
        </w:rPr>
        <w:t xml:space="preserve">的</w:t>
      </w:r>
      <w:r>
        <w:rPr>
          <w:rFonts w:hint="eastAsia" w:ascii="仿宋" w:hAnsi="仿宋" w:eastAsia="仿宋" w:cs="仿宋"/>
          <w:sz w:val="24"/>
          <w:szCs w:val="24"/>
        </w:rPr>
        <w:t xml:space="preserve">螺纹状更加能体现音型，40-208拍/分；加沟凹槽都是经过紧密处理，使得发声标准清晰； 配敲棒一根</w:t>
      </w:r>
      <w:r>
        <w:rPr>
          <w:rFonts w:hint="eastAsia" w:ascii="仿宋" w:hAnsi="仿宋" w:eastAsia="仿宋" w:cs="仿宋"/>
          <w:sz w:val="24"/>
          <w:szCs w:val="24"/>
          <w:lang w:eastAsia="zh-CN"/>
        </w:rPr>
        <w:t xml:space="preserve">。</w:t>
      </w:r>
      <w:r/>
    </w:p>
    <w:p>
      <w:pPr>
        <w:jc w:val="left"/>
        <w:keepLines w:val="0"/>
        <w:keepNext w:val="0"/>
        <w:pageBreakBefore w:val="0"/>
        <w:spacing w:line="48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音色：</w:t>
      </w:r>
      <w:r>
        <w:rPr>
          <w:rFonts w:hint="eastAsia" w:ascii="仿宋" w:hAnsi="仿宋" w:eastAsia="仿宋" w:cs="仿宋"/>
          <w:sz w:val="24"/>
          <w:szCs w:val="24"/>
          <w:lang w:val="en-US" w:eastAsia="zh-CN"/>
        </w:rPr>
        <w:t xml:space="preserve">声音明亮、清脆、结实活泼；音质：纯净、无杂音；音响效果：可发出高、低两种明显区别的音响效果。</w:t>
      </w:r>
      <w:r>
        <w:rPr>
          <w:rFonts w:hint="eastAsia" w:ascii="仿宋" w:hAnsi="仿宋" w:eastAsia="仿宋" w:cs="仿宋"/>
          <w:b/>
          <w:bCs/>
          <w:sz w:val="24"/>
          <w:szCs w:val="24"/>
          <w:lang w:val="en-US" w:eastAsia="zh-CN"/>
        </w:rPr>
        <w:t xml:space="preserve">（提供第三方检测机构出具的音色、音质测试报告复印件）</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使用方法：用敲棒，敲击双响筒上面部分，会发出清脆的咚咚声</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品质：音准符合中小学课堂教学标准、无杂音、音色均匀。</w:t>
      </w:r>
      <w:r/>
    </w:p>
    <w:p>
      <w:pPr>
        <w:jc w:val="left"/>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14.舞板</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材质：原木或环保复合木材质</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规格：直径≧5.5cm，尺寸允许±5%公差区间</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结构：木制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两个圆片为一个，用橡皮筋系在一起</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使用方法：左右手各持一个边舞边击，碰击发音，声音清脆响亮</w:t>
      </w:r>
      <w:r/>
    </w:p>
    <w:p>
      <w:pPr>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品质：音准符合中小学课堂教学标准、无杂音、音色均匀。</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15.沙锤</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材质</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桦木或同等实木材质</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规格：锤球直径≥70mm，锤头长≥130mm，手柄长度≥130mm，所有尺寸允许±5% 公差区间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结构：由2个椭圆带把彩色刻画沙锤组成，内装铁沙粒，两个为一付</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16.碰铃</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材质：木制手把+金属，手柄可采用同等环保硬质材料</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规格：铃体直径≥3.7cm，整体长度≥13cm ，所有尺寸允许 ±5% 公差区间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结构：木制手柄和响筒碰铃组成</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使用方法：演奏时，左右手各握一把碰撞发声</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17.手串铃</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材质</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木制.牛皮.金属，皮材、木材均可采用同等性能替代材料</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规格：手柄长≧10.5cm，铃铛规格≧23*22mm，所有尺寸允许 ±5% 公差区间；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结构：手摇铃由木制手柄、优质牛皮铃圈和不少于10颗金属铃铛构成；2个为一付。</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18.铃鼓</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材质：优质4层木制板材，优质金属铃片，厚羊皮，织带，金属泡钉，鼓皮、木材可选用同等耐磨环保替代材质。</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结构：羊皮鼓面，鼓皮表面边缘有红色织带包裹；鼓圈周围镶嵌不少于6对优质金属铃片，并配有5个毛球，毛球上有彩色丝带；鼓身周围有不少于20颗优质泡钉固定鼓皮，鼓皮内部印有字母。</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规格：鼓面直径≥200mm；鼓圈厚度≥6mm，所有尺寸允许±5%公差区间。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品质：音准符合中小学课堂教学标准、无杂音、音色均匀。</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19.蛙鸣器</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材质</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 木质， 表面带木纹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规格：全长≧20cm，敲棒长≧15cm，所有尺寸允许 ±5% 公差区间；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结构：蛙鸣筒，附敲棒一根；</w:t>
      </w:r>
      <w:r/>
    </w:p>
    <w:p>
      <w:pPr>
        <w:keepLines w:val="0"/>
        <w:keepNext w:val="0"/>
        <w:pageBreakBefore w:val="0"/>
        <w:spacing w:line="48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音色：音质清晰，悦耳，音色饱满，无杂音。</w:t>
      </w:r>
      <w:r>
        <w:rPr>
          <w:rFonts w:hint="eastAsia" w:ascii="仿宋" w:hAnsi="仿宋" w:eastAsia="仿宋" w:cs="仿宋"/>
          <w:b/>
          <w:bCs/>
          <w:sz w:val="24"/>
          <w:szCs w:val="24"/>
          <w:lang w:val="en-US" w:eastAsia="zh-CN"/>
        </w:rPr>
        <w:t xml:space="preserve">（提供第三方检测机构出具的音色测试报告复印件）</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品质：音准符合中小学课堂教学标准。</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20.钢片琴</w:t>
      </w:r>
      <w:r/>
    </w:p>
    <w:p>
      <w:pPr>
        <w:keepLines w:val="0"/>
        <w:keepNext w:val="0"/>
        <w:pageBreakBefore w:val="0"/>
        <w:spacing w:line="48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材质：</w:t>
      </w:r>
      <w:r>
        <w:rPr>
          <w:rFonts w:hint="eastAsia" w:ascii="仿宋" w:hAnsi="仿宋" w:eastAsia="仿宋" w:cs="仿宋"/>
          <w:sz w:val="24"/>
          <w:szCs w:val="24"/>
          <w:lang w:val="en-US" w:eastAsia="zh-CN"/>
        </w:rPr>
        <w:t xml:space="preserve">音条用优质金属制作，以铝和钢质材料居多；琴架可采用木箱体，塑料支架或者金属支架；共鸣筒采用长短不同的圆形薄铝管，装在每个音条的下方，作用相当于弦乐器的共鸣箱，使音条发出的声音增强和延长，或者采用木质音箱。</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规格：裸琴直径≧60CM，裸琴右边宽度≧15CM，左边宽度≧34CM，高度≧4.5CM，琴片音准符合教学标准，敲棒长度均为≧27CM，所有尺寸允许±5%公差区间，整体宽度、高度满足常规课堂教学使用，琴片音准符合教学标准。</w:t>
      </w:r>
      <w:r/>
    </w:p>
    <w:p>
      <w:pPr>
        <w:keepLines w:val="0"/>
        <w:keepNext w:val="0"/>
        <w:pageBreakBefore w:val="0"/>
        <w:spacing w:line="480" w:lineRule="exact"/>
        <w:widowControl w:val="off"/>
        <w:rPr>
          <w:rFonts w:hint="eastAsia" w:ascii="仿宋" w:hAnsi="仿宋" w:eastAsia="仿宋" w:cs="仿宋"/>
          <w:b/>
          <w:bCs/>
          <w:sz w:val="24"/>
          <w:szCs w:val="24"/>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各音音准误差：-10～+5音分；音响效果：音色清晰音质纯净，音准误差以标准音频率为基准，发音性能良好，不应出现哑音。</w:t>
      </w:r>
      <w:r>
        <w:rPr>
          <w:rFonts w:hint="eastAsia" w:ascii="仿宋" w:hAnsi="仿宋" w:eastAsia="仿宋" w:cs="仿宋"/>
          <w:b/>
          <w:bCs/>
          <w:sz w:val="24"/>
          <w:szCs w:val="24"/>
          <w:lang w:val="en-US" w:eastAsia="zh-CN"/>
        </w:rPr>
        <w:t xml:space="preserve">（提供第三方检测机构出具的各音音准误差、音响效果测试报告复印件）</w:t>
      </w:r>
      <w:r/>
    </w:p>
    <w:p>
      <w:pPr>
        <w:keepLines w:val="0"/>
        <w:keepNext w:val="0"/>
        <w:pageBreakBefore w:val="0"/>
        <w:spacing w:line="480" w:lineRule="exact"/>
        <w:widowControl w:val="off"/>
        <w:rPr>
          <w:rFonts w:hint="default" w:ascii="仿宋" w:hAnsi="仿宋" w:eastAsia="仿宋" w:cs="仿宋"/>
          <w:b/>
          <w:bCs/>
          <w:sz w:val="24"/>
          <w:szCs w:val="24"/>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结构：音域≥28音或同等教学音域裸琴搭配不锈钢制支架组合而成，琴片上刻有音阶，不锈钢制支架的3个分支架底部均有黑色橡胶垫保护，起到稳定、固定的作用。</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21.中音红木木琴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材质：箱体为环保实木；琴片为高档红木；琴槌为毛线/塑胶材质，琴片可采用音准、共振性能不低于红木的硬质木材</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规格：标准 13 音教学规格，配套备用半音琴片、专用琴槌</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结构：中音13音变调红木木琴带箱带琴槌（另送三片半音备片调音用）</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品质：音准符合中小学课堂教学标准、无杂音、音色均匀</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22.大堂鼓</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材质：木制、黄牛皮鼓面，鼓皮、木材可选用同等耐用替代材料；</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规格</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鼓面直径≧40CM，高度≧22CM，鼓棒长度≧29.5CM，尺寸允许±5%公差区间；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结构：锚钉固定鼓皮，红色环保烤漆，两侧挂钩可配套鼓架；配套鼓槌、支架；</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使用方法：左右手手持鼓棒敲击鼓面即可，带专用支架、鼓槌。</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23.小堂鼓</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材质：木制、水牛皮鼓面，或等效耐磨皮材、实木替代；</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规格</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鼓面直径≧32CM，高度≧22CM ，鼓棒长度≧29.5CM，尺寸允许±5%公差区间；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结构：烤漆鼓身，锚钉加固，配套专用鼓架、鼓槌。</w:t>
      </w:r>
      <w:r/>
    </w:p>
    <w:p>
      <w:pPr>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24.大红鼓</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材质：木制、水牛皮鼓面，或等效耐磨皮材、实木替代；</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规格</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鼓面直径≧80CM，高度≧60CM，尺寸允许±5%公差区间；</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结构：红色环保烤漆，锚钉固定，配套鼓架。</w:t>
      </w:r>
      <w:r/>
    </w:p>
    <w:p>
      <w:pPr>
        <w:keepLines w:val="0"/>
        <w:keepNext w:val="0"/>
        <w:pageBreakBefore w:val="0"/>
        <w:spacing w:line="480" w:lineRule="exact"/>
        <w:widowControl w:val="off"/>
        <w:rPr>
          <w:rFonts w:eastAsia="仿宋"/>
          <w:b/>
          <w:bCs/>
          <w:sz w:val="28"/>
          <w:szCs w:val="28"/>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带专用鼓架、鼓槌。</w:t>
      </w:r>
      <w:r/>
    </w:p>
    <w:p>
      <w:pPr>
        <w:numPr>
          <w:ilvl w:val="0"/>
          <w:numId w:val="0"/>
        </w:numPr>
        <w:keepLines w:val="0"/>
        <w:keepNext w:val="0"/>
        <w:pageBreakBefore w:val="0"/>
        <w:spacing w:line="480" w:lineRule="exact"/>
        <w:widowControl w:val="off"/>
        <w:rPr>
          <w:rFonts w:hint="eastAsia" w:ascii="宋体" w:hAnsi="宋体" w:eastAsia="宋体" w:cs="宋体"/>
          <w:b/>
          <w:bCs/>
          <w:caps w:val="0"/>
          <w:color w:val="auto"/>
          <w:sz w:val="28"/>
          <w:szCs w:val="28"/>
          <w:highlight w:val="none"/>
          <w:lang w:val="en-US" w:eastAsia="zh-CN" w:bidi="ar-SA"/>
        </w:rPr>
      </w:pPr>
      <w:r>
        <w:rPr>
          <w:rFonts w:hint="eastAsia" w:ascii="宋体" w:hAnsi="宋体" w:eastAsia="宋体" w:cs="宋体"/>
          <w:b/>
          <w:bCs/>
          <w:caps w:val="0"/>
          <w:color w:val="auto"/>
          <w:sz w:val="28"/>
          <w:szCs w:val="28"/>
          <w:highlight w:val="none"/>
          <w:lang w:val="en-US" w:eastAsia="zh-CN" w:bidi="ar-SA"/>
        </w:rPr>
        <w:t xml:space="preserve">（四）采购标的需满足的服务标准、期限、效率等要求</w:t>
      </w:r>
      <w:r/>
    </w:p>
    <w:p>
      <w:pPr>
        <w:keepLines w:val="0"/>
        <w:keepNext w:val="0"/>
        <w:pageBreakBefore w:val="0"/>
        <w:spacing w:after="62" w:line="480" w:lineRule="exact"/>
        <w:widowControl w:val="off"/>
        <w:rPr>
          <w:rFonts w:eastAsia="仿宋"/>
          <w:sz w:val="24"/>
          <w:szCs w:val="24"/>
        </w:rPr>
      </w:pPr>
      <w:r>
        <w:rPr>
          <w:rFonts w:hint="eastAsia" w:eastAsia="仿宋"/>
          <w:sz w:val="24"/>
          <w:szCs w:val="24"/>
        </w:rPr>
        <w:t xml:space="preserve">1.供应商</w:t>
      </w:r>
      <w:r>
        <w:rPr>
          <w:rFonts w:eastAsia="仿宋"/>
          <w:sz w:val="24"/>
          <w:szCs w:val="24"/>
        </w:rPr>
        <w:t xml:space="preserve">应保证货物是全新、未使用过的原厂合格产品，并完全符合投标文件的质量、规格和参数的要求</w:t>
      </w:r>
      <w:r>
        <w:rPr>
          <w:rFonts w:hint="eastAsia" w:eastAsia="仿宋"/>
          <w:sz w:val="24"/>
          <w:szCs w:val="24"/>
        </w:rPr>
        <w:t xml:space="preserve">，全部乐器均应满足GB28489-2022《乐器有害物质限量》</w:t>
      </w:r>
      <w:r>
        <w:rPr>
          <w:rFonts w:ascii="仿宋" w:hAnsi="仿宋" w:eastAsia="仿宋" w:cs="仿宋"/>
          <w:color w:val="000000"/>
          <w:sz w:val="24"/>
          <w:highlight w:val="none"/>
        </w:rPr>
        <w:t xml:space="preserve">强制性国家标准</w:t>
      </w:r>
      <w:r>
        <w:rPr>
          <w:rFonts w:hint="eastAsia" w:eastAsia="仿宋"/>
          <w:sz w:val="24"/>
          <w:szCs w:val="24"/>
          <w:highlight w:val="none"/>
        </w:rPr>
        <w:t xml:space="preserve">。</w:t>
      </w:r>
      <w:r/>
    </w:p>
    <w:p>
      <w:pPr>
        <w:keepLines w:val="0"/>
        <w:keepNext w:val="0"/>
        <w:pageBreakBefore w:val="0"/>
        <w:spacing w:after="62" w:line="480" w:lineRule="exact"/>
        <w:widowControl w:val="off"/>
        <w:rPr>
          <w:rFonts w:eastAsia="仿宋"/>
          <w:color w:val="auto"/>
          <w:sz w:val="24"/>
          <w:szCs w:val="24"/>
        </w:rPr>
      </w:pPr>
      <w:r>
        <w:rPr>
          <w:rFonts w:hint="eastAsia" w:eastAsia="仿宋"/>
          <w:sz w:val="24"/>
          <w:szCs w:val="24"/>
        </w:rPr>
        <w:t xml:space="preserve">2.供应商</w:t>
      </w:r>
      <w:r>
        <w:rPr>
          <w:rFonts w:eastAsia="仿宋"/>
          <w:sz w:val="24"/>
          <w:szCs w:val="24"/>
        </w:rPr>
        <w:t xml:space="preserve">应保证其货物在正确安装、正常使用下，在其使用寿命期内应具有满意</w:t>
      </w:r>
      <w:r>
        <w:rPr>
          <w:rFonts w:eastAsia="仿宋"/>
          <w:color w:val="auto"/>
          <w:sz w:val="24"/>
          <w:szCs w:val="24"/>
        </w:rPr>
        <w:t xml:space="preserve">的性能。</w:t>
      </w:r>
      <w:r/>
    </w:p>
    <w:p>
      <w:pPr>
        <w:spacing w:line="360" w:lineRule="auto"/>
        <w:rPr>
          <w:rFonts w:eastAsia="仿宋"/>
          <w:color w:val="auto"/>
          <w:sz w:val="24"/>
          <w:szCs w:val="24"/>
        </w:rPr>
      </w:pPr>
      <w:r>
        <w:rPr>
          <w:rFonts w:hint="eastAsia" w:eastAsia="仿宋"/>
          <w:color w:val="auto"/>
          <w:sz w:val="24"/>
          <w:szCs w:val="24"/>
        </w:rPr>
        <w:t xml:space="preserve">3.供应商所提供的全部证书、检测报告、测试报告均须真实、合法、有效。投标人应承诺授权采购人有权在国家认监委、认证机构官方平台核验核查其真实性和有效性。在投标、供货及验收全过程，如查实存在伪造、变造、虚假材料谋取中标（成交）的，采购人有权取消其中标（成交）资格，解除合同（如已签订），供应商须全额赔偿采购人由此产生的一切损失，并承担《政府采购法》等法律法规规定的相应法律责任。</w:t>
      </w:r>
      <w:r/>
    </w:p>
    <w:p>
      <w:pPr>
        <w:numPr>
          <w:ilvl w:val="0"/>
          <w:numId w:val="2"/>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w:t>
      </w:r>
      <w:r>
        <w:rPr>
          <w:rFonts w:hint="eastAsia" w:eastAsia="仿宋" w:cs="Times New Roman"/>
          <w:b/>
          <w:sz w:val="28"/>
          <w:szCs w:val="28"/>
          <w:highlight w:val="none"/>
          <w:lang w:val="en-US" w:eastAsia="zh-CN"/>
        </w:rPr>
        <w:t xml:space="preserve">数量、</w:t>
      </w:r>
      <w:r>
        <w:rPr>
          <w:rFonts w:ascii="Times New Roman" w:hAnsi="Times New Roman" w:eastAsia="仿宋" w:cs="Times New Roman"/>
          <w:b/>
          <w:sz w:val="28"/>
          <w:szCs w:val="28"/>
          <w:highlight w:val="none"/>
        </w:rPr>
        <w:t xml:space="preserve">时间和地点</w:t>
      </w:r>
      <w:r/>
    </w:p>
    <w:p>
      <w:pPr>
        <w:keepLines w:val="0"/>
        <w:keepNext w:val="0"/>
        <w:pageBreakBefore w:val="0"/>
        <w:spacing w:line="480" w:lineRule="exact"/>
        <w:widowControl w:val="off"/>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（1）实施时间：签订合同后15天内完成供货安装调试，各相关学校组织验收。</w:t>
      </w:r>
      <w:r/>
    </w:p>
    <w:p>
      <w:pPr>
        <w:keepLines w:val="0"/>
        <w:keepNext w:val="0"/>
        <w:pageBreakBefore w:val="0"/>
        <w:spacing w:line="480" w:lineRule="exact"/>
        <w:widowControl w:val="off"/>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（2）交付地点：各相关学校指定位置。</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售后服务要求</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color w:val="000000"/>
          <w:sz w:val="24"/>
          <w:szCs w:val="24"/>
        </w:rPr>
        <w:t xml:space="preserve">（</w:t>
      </w:r>
      <w:r>
        <w:rPr>
          <w:rFonts w:hint="eastAsia" w:ascii="仿宋_GB2312" w:eastAsia="仿宋_GB2312"/>
          <w:color w:val="000000" w:themeColor="text1"/>
          <w:sz w:val="24"/>
          <w:szCs w:val="24"/>
          <w14:textFill>
            <w14:solidFill>
              <w14:schemeClr w14:val="tx1"/>
            </w14:solidFill>
          </w14:textFill>
        </w:rPr>
        <w:t xml:space="preserve">1）原声钢琴（三角 / 立式）：整机质保≥5 年，质保期内非人为质量问题免费上门维修更换配件；质保期前两年提供每年1次专业调律服务。</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（2）打击乐器：整机质保≥2 年。</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（3）电子乐器：整机质保≥2 年。</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（4）指挥台等家具器材：质保≥2 年。</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（5）售后响应：接到报修24 小时响应，48 小时上门处理。</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（6）质保期从项目整体验收合格之日起计算。</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.验收</w:t>
      </w:r>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要求</w:t>
      </w:r>
      <w:r/>
    </w:p>
    <w:p>
      <w:pPr>
        <w:keepLines w:val="0"/>
        <w:keepNext w:val="0"/>
        <w:pageBreakBefore w:val="0"/>
        <w:spacing w:line="440" w:lineRule="exact"/>
        <w:widowControl w:val="off"/>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1）招标文件技术规格书中明确的标准和技术要求；与合同货物有关的最新版本的中华人民共和国国家/国际标准和部颁标准；货物合格证书技术资料中的精度、质量要求；供应商在澄清响应文件时作出的承诺，经采购单位确认后，将作为对货物的验收依据之一；双方签订的合同技术附件所规定的条款。</w:t>
      </w:r>
      <w:r/>
    </w:p>
    <w:p>
      <w:pPr>
        <w:spacing w:after="62" w:line="46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本项目采购需求各条款中要求提供的第三方检测报告、认证证书及产品佐证材料，成交供应商须在验收前整理完毕，将加盖成交供应商公章的复印件交采购人核验。上述材料须由具备相应资质的机构出具，与所供产品型号一致，且检测结论符合采购文件要求。材料不齐或不符合要求的，成交供应商应在采购人书面通知期限内补正；逾期未补正或补正后仍不符合要求的，采购人有权暂缓支付、拒收对应货物，并按合同约定追究违约责任。</w:t>
      </w:r>
      <w:r/>
    </w:p>
    <w:p>
      <w:pPr>
        <w:spacing w:after="62" w:line="460" w:lineRule="exact"/>
        <w:rPr>
          <w:rFonts w:hint="default" w:ascii="仿宋" w:hAnsi="仿宋" w:eastAsia="仿宋" w:cs="仿宋"/>
          <w:caps/>
          <w:color w:val="auto"/>
          <w:sz w:val="24"/>
          <w:szCs w:val="24"/>
          <w:highlight w:val="none"/>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）乐器验收时须提供产品合格证、三包卡，独立包装</w:t>
      </w:r>
      <w:r>
        <w:rPr>
          <w:rFonts w:hint="eastAsia" w:ascii="仿宋" w:hAnsi="仿宋" w:eastAsia="仿宋" w:cs="仿宋"/>
          <w:color w:val="000000" w:themeColor="text1"/>
          <w:sz w:val="24"/>
          <w:szCs w:val="24"/>
          <w14:textFill>
            <w14:solidFill>
              <w14:schemeClr w14:val="tx1"/>
            </w14:solidFill>
          </w14:textFill>
        </w:rPr>
        <w:t xml:space="preserve">。</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（1）本项目涉及2所学校，由各校分别验收、分别结算。各校应在合同签订后与成交供应商对接确认验收流程、结算资料清单及开票信息等具体事宜。因学校原因导致沟通延迟的，相应履约期限顺延。</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在各校支付合同价款前，成交供应商应当先向对应学校开具等额合法有效的发票；学校收到发票后应在合同约定的付款期限内支付相应款项。因发票问题导致付款延迟的，成交供应商应积极配合更正，因此造成的付款延迟，双方互不承担违约责任。</w:t>
      </w:r>
      <w:r/>
    </w:p>
    <w:p>
      <w:pPr>
        <w:keepLines w:val="0"/>
        <w:keepNext w:val="0"/>
        <w:pageBreakBefore w:val="0"/>
        <w:spacing w:after="62"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keepLines w:val="0"/>
        <w:keepNext w:val="0"/>
        <w:pageBreakBefore w:val="0"/>
        <w:spacing w:after="62" w:line="480" w:lineRule="exact"/>
        <w:widowControl w:val="off"/>
        <w:rPr>
          <w:highlight w:val="none"/>
        </w:rPr>
      </w:pPr>
      <w:r>
        <w:rPr>
          <w:rFonts w:ascii="仿宋" w:hAnsi="仿宋" w:eastAsia="仿宋" w:cs="仿宋"/>
          <w:color w:val="000000"/>
          <w:sz w:val="24"/>
          <w:highlight w:val="none"/>
        </w:rPr>
        <w:t xml:space="preserve">1.</w:t>
      </w:r>
      <w:r>
        <w:rPr>
          <w:rFonts w:ascii="仿宋" w:hAnsi="仿宋" w:eastAsia="仿宋" w:cs="仿宋"/>
          <w:b/>
          <w:color w:val="000000"/>
          <w:sz w:val="24"/>
          <w:highlight w:val="none"/>
        </w:rPr>
        <w:t xml:space="preserve">本项目履约保证金为项目成交价的10%</w:t>
      </w:r>
      <w:r>
        <w:rPr>
          <w:rFonts w:ascii="仿宋" w:hAnsi="仿宋" w:eastAsia="仿宋" w:cs="仿宋"/>
          <w:color w:val="000000"/>
          <w:sz w:val="24"/>
          <w:highlight w:val="none"/>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keepLines w:val="0"/>
        <w:keepNext w:val="0"/>
        <w:pageBreakBefore w:val="0"/>
        <w:spacing w:line="480" w:lineRule="exact"/>
        <w:widowControl w:val="off"/>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u w:val="single"/>
        </w:rPr>
      </w:pPr>
      <w:r>
        <w:rPr>
          <w:rFonts w:hint="eastAsia" w:ascii="仿宋" w:hAnsi="仿宋" w:eastAsia="仿宋"/>
          <w:color w:val="000000"/>
          <w:sz w:val="24"/>
          <w:szCs w:val="24"/>
          <w:highlight w:val="none"/>
          <w:u w:val="singl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white"/>
          <w:u w:val="single"/>
        </w:rPr>
        <w:outlineLvl w:val="1"/>
      </w:pPr>
      <w:r>
        <w:rPr>
          <w:rFonts w:hint="eastAsia" w:ascii="仿宋" w:hAnsi="仿宋" w:eastAsia="仿宋" w:cs="仿宋"/>
          <w:b/>
          <w:bCs/>
          <w:i w:val="0"/>
          <w:iCs/>
          <w:color w:val="auto"/>
          <w:sz w:val="24"/>
          <w:szCs w:val="24"/>
          <w:highlight w:val="none"/>
          <w:u w:val="single"/>
          <w:lang w:val="en-US" w:eastAsia="zh-CN"/>
        </w:rPr>
        <w:t xml:space="preserve">1.</w:t>
      </w: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val="0"/>
          <w:bCs w:val="0"/>
          <w:i w:val="0"/>
          <w:iCs/>
          <w:color w:val="auto"/>
          <w:sz w:val="24"/>
          <w:szCs w:val="24"/>
          <w:highlight w:val="white"/>
          <w:u w:val="single"/>
          <w:lang w:val="en-US" w:eastAsia="zh-CN"/>
        </w:rPr>
        <w:t xml:space="preserve">1.1本项目所列全部技术参数供应商须完全响应，不接受任何负偏离。</w:t>
      </w:r>
      <w:r>
        <w:rPr>
          <w:highlight w:val="white"/>
        </w:rP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yellow"/>
          <w:u w:val="single"/>
          <w:lang w:val="en-US" w:eastAsia="zh-CN"/>
        </w:rPr>
        <w:outlineLvl w:val="1"/>
      </w:pPr>
      <w:r>
        <w:rPr>
          <w:rFonts w:hint="eastAsia" w:ascii="仿宋" w:hAnsi="仿宋" w:eastAsia="仿宋" w:cs="仿宋"/>
          <w:b w:val="0"/>
          <w:bCs w:val="0"/>
          <w:i w:val="0"/>
          <w:iCs/>
          <w:color w:val="auto"/>
          <w:sz w:val="24"/>
          <w:szCs w:val="24"/>
          <w:highlight w:val="none"/>
          <w:u w:val="single"/>
          <w:lang w:val="en-US" w:eastAsia="zh-CN"/>
        </w:rPr>
        <w:t xml:space="preserve">1.2本文件第四章 "二、技术要求" 第（三）节 "采购标的需满足的质量、安全、技术规格、物理特性等要求" 项下，</w:t>
      </w:r>
      <w:r>
        <w:rPr>
          <w:rFonts w:hint="eastAsia" w:ascii="仿宋" w:hAnsi="仿宋" w:eastAsia="仿宋" w:cs="仿宋"/>
          <w:b/>
          <w:bCs/>
          <w:i w:val="0"/>
          <w:iCs/>
          <w:color w:val="auto"/>
          <w:sz w:val="24"/>
          <w:szCs w:val="24"/>
          <w:highlight w:val="none"/>
          <w:u w:val="single"/>
          <w:lang w:val="en-US" w:eastAsia="zh-CN"/>
        </w:rPr>
        <w:t xml:space="preserve">各采购标的技术参数描述中，</w:t>
      </w:r>
      <w:r>
        <w:rPr>
          <w:rFonts w:hint="eastAsia" w:ascii="仿宋" w:hAnsi="仿宋" w:eastAsia="仿宋" w:cs="仿宋"/>
          <w:b/>
          <w:bCs/>
          <w:i w:val="0"/>
          <w:iCs/>
          <w:color w:val="auto"/>
          <w:sz w:val="24"/>
          <w:szCs w:val="24"/>
          <w:highlight w:val="none"/>
          <w:u w:val="single"/>
          <w:lang w:val="en-US" w:eastAsia="zh-CN"/>
        </w:rPr>
        <w:t xml:space="preserve">凡注明须提供第三方检测报告、认证证书、产品彩色特写照片、承诺函等佐证材料的条款，均为实质性要求。</w:t>
      </w:r>
      <w:r>
        <w:rPr>
          <w:rFonts w:hint="eastAsia" w:ascii="仿宋" w:hAnsi="仿宋" w:eastAsia="仿宋" w:cs="仿宋"/>
          <w:b w:val="0"/>
          <w:bCs w:val="0"/>
          <w:i w:val="0"/>
          <w:iCs/>
          <w:color w:val="auto"/>
          <w:sz w:val="24"/>
          <w:szCs w:val="24"/>
          <w:highlight w:val="none"/>
          <w:u w:val="single"/>
          <w:lang w:val="en-US" w:eastAsia="zh-CN"/>
        </w:rPr>
        <w:t xml:space="preserve">供应商须将对应佐证材料完整整理后，统一附在《技术要求响应及偏离表》下方；未按要求提供、材料内容不完整或不清晰，或所提供材料不能证明所投产品满足该条款要求的，</w:t>
      </w:r>
      <w:bookmarkStart w:id="16" w:name="_GoBack"/>
      <w:r/>
      <w:bookmarkEnd w:id="16"/>
      <w:r>
        <w:rPr>
          <w:rFonts w:hint="eastAsia" w:ascii="仿宋" w:hAnsi="仿宋" w:eastAsia="仿宋" w:cs="仿宋"/>
          <w:b w:val="0"/>
          <w:bCs w:val="0"/>
          <w:i w:val="0"/>
          <w:iCs/>
          <w:color w:val="auto"/>
          <w:sz w:val="24"/>
          <w:szCs w:val="24"/>
          <w:highlight w:val="none"/>
          <w:u w:val="single"/>
          <w:lang w:val="en-US" w:eastAsia="zh-CN"/>
        </w:rPr>
        <w:t xml:space="preserve">其响应文件按无效投标处理。</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2.1本项目须在合同签订后15个日历天内完成全部货物的供货、安装、调试并通过验收。供应商须在响应文件中提供书面承诺函，内容应包括详细的供货方案（须列明各学校的供货安排、人员配置、应急措施等），并加盖供应商单位公章，承诺函格式自拟。</w:t>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747"/>
        <w:ind w:firstLine="0"/>
        <w:jc w:val="center"/>
        <w:rPr>
          <w:rFonts w:hint="eastAsia" w:ascii="黑体" w:hAnsi="黑体" w:eastAsia="黑体" w:cs="黑体"/>
          <w:color w:val="000000"/>
          <w:sz w:val="44"/>
          <w:highlight w:val="none"/>
        </w:rPr>
        <w:outlineLvl w:val="0"/>
      </w:pPr>
      <w:r/>
      <w:bookmarkStart w:id="15"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5"/>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Style w:val="742"/>
          <w:rFonts w:hint="eastAsia" w:ascii="仿宋" w:hAnsi="仿宋" w:eastAsia="仿宋" w:cs="仿宋"/>
          <w:b/>
          <w:bCs w:val="0"/>
          <w:color w:val="ff0000"/>
          <w:sz w:val="28"/>
          <w:szCs w:val="28"/>
          <w:highlight w:val="none"/>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Fonts w:hint="eastAsia" w:ascii="仿宋" w:hAnsi="仿宋" w:eastAsia="仿宋" w:cs="仿宋"/>
          <w:b/>
          <w:bCs w:val="0"/>
          <w:color w:val="ff0000"/>
          <w:sz w:val="28"/>
          <w:szCs w:val="28"/>
          <w:highlight w:val="none"/>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47"/>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7"/>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7"/>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907"/>
        <w:ind w:left="0"/>
        <w:jc w:val="center"/>
        <w:spacing w:after="0" w:line="400" w:lineRule="exact"/>
        <w:rPr>
          <w:rFonts w:ascii="宋体" w:hAnsi="宋体"/>
          <w:szCs w:val="21"/>
          <w:highlight w:val="none"/>
        </w:rPr>
      </w:pPr>
      <w:r>
        <w:rPr>
          <w:rFonts w:ascii="宋体" w:hAnsi="宋体"/>
          <w:szCs w:val="21"/>
          <w:highlight w:val="none"/>
        </w:rPr>
      </w:r>
      <w:r/>
    </w:p>
    <w:p>
      <w:pPr>
        <w:pStyle w:val="907"/>
        <w:ind w:left="0"/>
        <w:jc w:val="center"/>
        <w:spacing w:after="0" w:line="400" w:lineRule="exact"/>
        <w:rPr>
          <w:rFonts w:ascii="宋体" w:hAnsi="宋体"/>
          <w:szCs w:val="21"/>
          <w:highlight w:val="none"/>
        </w:rPr>
      </w:pPr>
      <w:r>
        <w:rPr>
          <w:rFonts w:ascii="宋体" w:hAnsi="宋体"/>
          <w:szCs w:val="21"/>
          <w:highlight w:val="none"/>
        </w:rPr>
      </w:r>
      <w:r/>
    </w:p>
    <w:p>
      <w:pPr>
        <w:pStyle w:val="908"/>
        <w:rPr>
          <w:highlight w:val="none"/>
        </w:rPr>
      </w:pPr>
      <w:r>
        <w:rPr>
          <w:highlight w:val="none"/>
        </w:rPr>
      </w:r>
      <w:r/>
    </w:p>
    <w:p>
      <w:pPr>
        <w:pStyle w:val="907"/>
        <w:ind w:left="0"/>
        <w:jc w:val="center"/>
        <w:spacing w:after="0" w:line="400" w:lineRule="exact"/>
        <w:rPr>
          <w:rFonts w:ascii="宋体" w:hAnsi="宋体"/>
          <w:szCs w:val="21"/>
          <w:highlight w:val="none"/>
        </w:rPr>
      </w:pPr>
      <w:r>
        <w:rPr>
          <w:rFonts w:ascii="宋体" w:hAnsi="宋体"/>
          <w:szCs w:val="21"/>
          <w:highlight w:val="none"/>
        </w:rPr>
      </w:r>
      <w:r/>
    </w:p>
    <w:p>
      <w:pPr>
        <w:pStyle w:val="907"/>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907"/>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47"/>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90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908"/>
        <w:rPr>
          <w:rFonts w:hint="eastAsia"/>
          <w:highlight w:val="none"/>
        </w:rPr>
      </w:pPr>
      <w:r>
        <w:rPr>
          <w:rFonts w:hint="eastAsia"/>
          <w:highlight w:val="none"/>
        </w:rPr>
      </w:r>
      <w:r/>
    </w:p>
    <w:p>
      <w:pPr>
        <w:pStyle w:val="907"/>
        <w:ind w:left="0"/>
        <w:jc w:val="left"/>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货币单位：人民币元</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2700"/>
        <w:gridCol w:w="2494"/>
        <w:gridCol w:w="1745"/>
      </w:tblGrid>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序号</w:t>
            </w: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（小写）</w:t>
            </w: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1</w:t>
            </w: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详见</w:t>
            </w:r>
            <w:r>
              <w:rPr>
                <w:rFonts w:hint="eastAsia" w:ascii="仿宋" w:hAnsi="仿宋" w:eastAsia="仿宋" w:cs="仿宋"/>
                <w:b w:val="0"/>
                <w:bCs w:val="0"/>
                <w:sz w:val="24"/>
                <w:szCs w:val="24"/>
                <w:highlight w:val="none"/>
                <w:lang w:val="en-US" w:eastAsia="zh-CN"/>
              </w:rPr>
              <w:t xml:space="preserve">分项</w:t>
            </w:r>
            <w:r>
              <w:rPr>
                <w:rFonts w:hint="eastAsia" w:ascii="仿宋" w:hAnsi="仿宋" w:eastAsia="仿宋" w:cs="仿宋"/>
                <w:b w:val="0"/>
                <w:bCs w:val="0"/>
                <w:sz w:val="24"/>
                <w:szCs w:val="24"/>
                <w:highlight w:val="none"/>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（大写）</w:t>
            </w:r>
            <w:r/>
          </w:p>
        </w:tc>
        <w:tc>
          <w:tcPr>
            <w:gridSpan w:val="3"/>
            <w:tcW w:w="6939"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人民币（大写）：__________________________元整</w:t>
            </w:r>
            <w:r/>
          </w:p>
        </w:tc>
      </w:tr>
    </w:tbl>
    <w:p>
      <w:pPr>
        <w:pStyle w:val="907"/>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备注：</w:t>
      </w:r>
      <w:r/>
    </w:p>
    <w:p>
      <w:pPr>
        <w:pStyle w:val="907"/>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907"/>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907"/>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907"/>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907"/>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907"/>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hint="eastAsia" w:ascii="宋体" w:hAnsi="宋体"/>
          <w:b/>
          <w:bCs/>
          <w:sz w:val="32"/>
          <w:szCs w:val="32"/>
          <w:highlight w:val="none"/>
        </w:rPr>
      </w:pPr>
      <w:r>
        <w:rPr>
          <w:rFonts w:hint="eastAsia" w:ascii="宋体" w:hAnsi="宋体"/>
          <w:b/>
          <w:bCs/>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719"/>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907"/>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907"/>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907"/>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80" w:lineRule="exact"/>
        <w:widowControl w:val="off"/>
        <w:rPr>
          <w:rFonts w:hint="eastAsia" w:ascii="宋体" w:hAnsi="宋体"/>
          <w:sz w:val="24"/>
          <w:szCs w:val="24"/>
          <w:highlight w:val="none"/>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keepLines w:val="0"/>
        <w:keepNext w:val="0"/>
        <w:pageBreakBefore w:val="0"/>
        <w:spacing w:line="480" w:lineRule="exact"/>
        <w:widowControl w:val="off"/>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7"/>
        <w:ind w:left="0" w:firstLine="0"/>
        <w:jc w:val="left"/>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47"/>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注：提供法定代表人有效期内的身份证复印件（加盖CA电子公章）</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47"/>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7"/>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47"/>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47"/>
        <w:jc w:val="both"/>
        <w:rPr>
          <w:rFonts w:hint="default"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947"/>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907"/>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90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747"/>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pStyle w:val="907"/>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90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719"/>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rPr>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90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u w:val="singl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u w:val="single"/>
        </w:rPr>
      </w:pPr>
      <w:r>
        <w:rPr>
          <w:rFonts w:hint="eastAsia" w:ascii="仿宋" w:hAnsi="仿宋" w:eastAsia="仿宋" w:cs="仿宋"/>
          <w:b/>
          <w:bCs/>
          <w:color w:val="000000"/>
          <w:sz w:val="24"/>
          <w:szCs w:val="24"/>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left="0" w:right="0"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center"/>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1</w:t>
      </w:r>
      <w:r>
        <w:rPr>
          <w:rFonts w:hint="eastAsia" w:ascii="仿宋" w:hAnsi="仿宋" w:eastAsia="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b/>
          <w:bCs/>
          <w:color w:val="000000" w:themeColor="text1"/>
          <w:sz w:val="24"/>
          <w:szCs w:val="24"/>
          <w:highlight w:val="none"/>
          <w14:textFill>
            <w14:solidFill>
              <w14:schemeClr w14:val="tx1"/>
            </w14:solidFill>
          </w14:textFill>
        </w:rPr>
        <w:t xml:space="preserve">专门面向中小微型企业采购的</w:t>
      </w:r>
      <w:r>
        <w:rPr>
          <w:rFonts w:ascii="仿宋" w:hAnsi="仿宋" w:eastAsia="仿宋"/>
          <w:b/>
          <w:bCs/>
          <w:color w:val="000000" w:themeColor="text1"/>
          <w:sz w:val="24"/>
          <w:szCs w:val="24"/>
          <w:highlight w:val="none"/>
          <w14:textFill>
            <w14:solidFill>
              <w14:schemeClr w14:val="tx1"/>
            </w14:solidFill>
          </w14:textFill>
        </w:rPr>
        <w:t xml:space="preserve">项目</w:t>
      </w:r>
      <w:r>
        <w:rPr>
          <w:rFonts w:hint="eastAsia" w:ascii="仿宋" w:hAnsi="仿宋" w:eastAsia="仿宋"/>
          <w:b/>
          <w:bCs/>
          <w:color w:val="000000" w:themeColor="text1"/>
          <w:sz w:val="24"/>
          <w:szCs w:val="24"/>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4"/>
          <w:szCs w:val="24"/>
          <w:highlight w:val="none"/>
          <w14:textFill>
            <w14:solidFill>
              <w14:schemeClr w14:val="tx1"/>
            </w14:solidFill>
          </w14:textFill>
        </w:rPr>
        <w:t xml:space="preserve">声明函</w:t>
      </w:r>
      <w:r>
        <w:rPr>
          <w:rFonts w:hint="eastAsia" w:ascii="仿宋" w:hAnsi="仿宋" w:eastAsia="仿宋"/>
          <w:b/>
          <w:bCs/>
          <w:color w:val="000000" w:themeColor="text1"/>
          <w:sz w:val="24"/>
          <w:szCs w:val="24"/>
          <w:highlight w:val="none"/>
          <w14:textFill>
            <w14:solidFill>
              <w14:schemeClr w14:val="tx1"/>
            </w14:solidFill>
          </w14:textFill>
        </w:rPr>
        <w:t xml:space="preserve">，</w:t>
      </w:r>
      <w:r>
        <w:rPr>
          <w:rFonts w:ascii="仿宋" w:hAnsi="仿宋" w:eastAsia="仿宋"/>
          <w:b/>
          <w:bCs/>
          <w:color w:val="000000" w:themeColor="text1"/>
          <w:sz w:val="24"/>
          <w:szCs w:val="24"/>
          <w:highlight w:val="none"/>
          <w14:textFill>
            <w14:solidFill>
              <w14:schemeClr w14:val="tx1"/>
            </w14:solidFill>
          </w14:textFill>
        </w:rPr>
        <w:t xml:space="preserve">否则将</w:t>
      </w:r>
      <w:r>
        <w:rPr>
          <w:rFonts w:hint="eastAsia" w:ascii="仿宋" w:hAnsi="仿宋" w:eastAsia="仿宋"/>
          <w:b/>
          <w:bCs/>
          <w:color w:val="000000" w:themeColor="text1"/>
          <w:sz w:val="24"/>
          <w:szCs w:val="24"/>
          <w:highlight w:val="none"/>
          <w14:textFill>
            <w14:solidFill>
              <w14:schemeClr w14:val="tx1"/>
            </w14:solidFill>
          </w14:textFill>
        </w:rPr>
        <w:t xml:space="preserve">不能</w:t>
      </w:r>
      <w:r>
        <w:rPr>
          <w:rFonts w:ascii="仿宋" w:hAnsi="仿宋" w:eastAsia="仿宋"/>
          <w:b/>
          <w:bCs/>
          <w:color w:val="000000" w:themeColor="text1"/>
          <w:sz w:val="24"/>
          <w:szCs w:val="24"/>
          <w:highlight w:val="none"/>
          <w14:textFill>
            <w14:solidFill>
              <w14:schemeClr w14:val="tx1"/>
            </w14:solidFill>
          </w14:textFill>
        </w:rPr>
        <w:t xml:space="preserve">通过资格审查</w:t>
      </w:r>
      <w:r>
        <w:rPr>
          <w:rFonts w:hint="eastAsia" w:ascii="仿宋" w:hAnsi="仿宋" w:eastAsia="仿宋"/>
          <w:b/>
          <w:bCs/>
          <w:color w:val="000000" w:themeColor="text1"/>
          <w:sz w:val="24"/>
          <w:szCs w:val="24"/>
          <w:highlight w:val="none"/>
          <w14:textFill>
            <w14:solidFill>
              <w14:schemeClr w14:val="tx1"/>
            </w14:solidFill>
          </w14:textFill>
        </w:rPr>
        <w:t xml:space="preserve">。</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2.非专门面向中小微型企业采购的</w:t>
      </w:r>
      <w:r>
        <w:rPr>
          <w:rFonts w:ascii="仿宋" w:hAnsi="仿宋" w:eastAsia="仿宋"/>
          <w:b w:val="0"/>
          <w:bCs w:val="0"/>
          <w:color w:val="000000" w:themeColor="text1"/>
          <w:sz w:val="24"/>
          <w:szCs w:val="24"/>
          <w:highlight w:val="none"/>
          <w14:textFill>
            <w14:solidFill>
              <w14:schemeClr w14:val="tx1"/>
            </w14:solidFill>
          </w14:textFill>
        </w:rPr>
        <w:t xml:space="preserve">项目</w:t>
      </w:r>
      <w:r>
        <w:rPr>
          <w:rFonts w:hint="eastAsia" w:ascii="仿宋" w:hAnsi="仿宋" w:eastAsia="仿宋"/>
          <w:b w:val="0"/>
          <w:bCs w:val="0"/>
          <w:color w:val="000000" w:themeColor="text1"/>
          <w:sz w:val="24"/>
          <w:szCs w:val="24"/>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39"/>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3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3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919"/>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link w:val="941"/>
    <w:uiPriority w:val="0"/>
    <w:qFormat/>
    <w:pPr>
      <w:jc w:val="both"/>
      <w:widowControl w:val="off"/>
    </w:pPr>
    <w:rPr>
      <w:rFonts w:hint="default" w:ascii="Times New Roman" w:hAnsi="Times New Roman" w:eastAsia="宋体" w:cs="Times New Roman"/>
      <w:sz w:val="21"/>
      <w:lang w:val="en-US" w:eastAsia="zh-CN" w:bidi="ar-SA"/>
    </w:rPr>
  </w:style>
  <w:style w:type="paragraph" w:styleId="709">
    <w:name w:val="Heading 1"/>
    <w:basedOn w:val="708"/>
    <w:next w:val="708"/>
    <w:link w:val="749"/>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50"/>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51"/>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52"/>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53"/>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54"/>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6"/>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7"/>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right="0" w:firstLine="0"/>
      <w:spacing w:after="57"/>
    </w:pPr>
  </w:style>
  <w:style w:type="paragraph" w:styleId="721">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Body Text"/>
    <w:basedOn w:val="708"/>
    <w:next w:val="723"/>
    <w:uiPriority w:val="99"/>
    <w:qFormat/>
    <w:rPr>
      <w:rFonts w:ascii="楷体_GB2312" w:hAnsi="Arial" w:eastAsia="楷体_GB2312"/>
      <w:sz w:val="28"/>
      <w:szCs w:val="28"/>
    </w:rPr>
  </w:style>
  <w:style w:type="paragraph" w:styleId="723" w:customStyle="1">
    <w:name w:val="Default"/>
    <w:next w:val="708"/>
    <w:uiPriority w:val="0"/>
    <w:qFormat/>
    <w:pPr>
      <w:widowControl w:val="off"/>
    </w:pPr>
    <w:rPr>
      <w:rFonts w:hint="default" w:ascii="宋体" w:hAnsi="宋体" w:eastAsia="宋体" w:cs="宋体"/>
      <w:color w:val="000000"/>
      <w:sz w:val="24"/>
      <w:szCs w:val="24"/>
      <w:lang w:val="en-US" w:eastAsia="zh-CN" w:bidi="ar-SA"/>
    </w:rPr>
  </w:style>
  <w:style w:type="paragraph" w:styleId="724">
    <w:name w:val="Body Text Indent"/>
    <w:basedOn w:val="708"/>
    <w:next w:val="708"/>
    <w:uiPriority w:val="0"/>
    <w:qFormat/>
    <w:pPr>
      <w:ind w:firstLine="403"/>
      <w:spacing w:line="440" w:lineRule="exact"/>
    </w:pPr>
    <w:rPr>
      <w:rFonts w:ascii="宋体" w:hAnsi="宋体"/>
      <w:sz w:val="20"/>
      <w:szCs w:val="21"/>
    </w:rPr>
  </w:style>
  <w:style w:type="paragraph" w:styleId="725">
    <w:name w:val="toc 5"/>
    <w:basedOn w:val="708"/>
    <w:next w:val="708"/>
    <w:uiPriority w:val="39"/>
    <w:unhideWhenUsed/>
    <w:qFormat/>
    <w:pPr>
      <w:ind w:left="1134" w:right="0" w:firstLine="0"/>
      <w:spacing w:after="57"/>
    </w:pPr>
  </w:style>
  <w:style w:type="paragraph" w:styleId="726">
    <w:name w:val="toc 3"/>
    <w:basedOn w:val="708"/>
    <w:next w:val="708"/>
    <w:uiPriority w:val="39"/>
    <w:unhideWhenUsed/>
    <w:qFormat/>
    <w:pPr>
      <w:ind w:left="567" w:right="0" w:firstLine="0"/>
      <w:spacing w:after="57"/>
    </w:pPr>
  </w:style>
  <w:style w:type="paragraph" w:styleId="727">
    <w:name w:val="toc 8"/>
    <w:basedOn w:val="708"/>
    <w:next w:val="708"/>
    <w:uiPriority w:val="39"/>
    <w:unhideWhenUsed/>
    <w:qFormat/>
    <w:pPr>
      <w:ind w:left="1984" w:right="0" w:firstLine="0"/>
      <w:spacing w:after="57"/>
    </w:pPr>
  </w:style>
  <w:style w:type="paragraph" w:styleId="728">
    <w:name w:val="endnote text"/>
    <w:basedOn w:val="708"/>
    <w:link w:val="895"/>
    <w:uiPriority w:val="99"/>
    <w:semiHidden/>
    <w:unhideWhenUsed/>
    <w:qFormat/>
    <w:pPr>
      <w:spacing w:after="0" w:line="240" w:lineRule="auto"/>
    </w:pPr>
    <w:rPr>
      <w:sz w:val="20"/>
    </w:rPr>
  </w:style>
  <w:style w:type="paragraph" w:styleId="729">
    <w:name w:val="Footer"/>
    <w:basedOn w:val="708"/>
    <w:link w:val="768"/>
    <w:uiPriority w:val="99"/>
    <w:unhideWhenUsed/>
    <w:qFormat/>
    <w:pPr>
      <w:spacing w:after="0" w:line="240" w:lineRule="auto"/>
      <w:tabs>
        <w:tab w:val="center" w:pos="7143" w:leader="none"/>
        <w:tab w:val="right" w:pos="14287" w:leader="none"/>
      </w:tabs>
    </w:pPr>
  </w:style>
  <w:style w:type="paragraph" w:styleId="730">
    <w:name w:val="Header"/>
    <w:basedOn w:val="708"/>
    <w:link w:val="766"/>
    <w:uiPriority w:val="99"/>
    <w:unhideWhenUsed/>
    <w:qFormat/>
    <w:pPr>
      <w:spacing w:after="0" w:line="240" w:lineRule="auto"/>
      <w:tabs>
        <w:tab w:val="center" w:pos="7143" w:leader="none"/>
        <w:tab w:val="right" w:pos="14287" w:leader="none"/>
      </w:tabs>
    </w:pPr>
  </w:style>
  <w:style w:type="paragraph" w:styleId="731">
    <w:name w:val="toc 1"/>
    <w:basedOn w:val="708"/>
    <w:next w:val="708"/>
    <w:uiPriority w:val="39"/>
    <w:unhideWhenUsed/>
    <w:qFormat/>
    <w:pPr>
      <w:ind w:left="0" w:right="0" w:firstLine="0"/>
      <w:spacing w:after="57"/>
    </w:pPr>
  </w:style>
  <w:style w:type="paragraph" w:styleId="732">
    <w:name w:val="toc 4"/>
    <w:basedOn w:val="708"/>
    <w:next w:val="708"/>
    <w:uiPriority w:val="39"/>
    <w:unhideWhenUsed/>
    <w:qFormat/>
    <w:pPr>
      <w:ind w:left="850" w:right="0" w:firstLine="0"/>
      <w:spacing w:after="57"/>
    </w:pPr>
  </w:style>
  <w:style w:type="paragraph" w:styleId="733">
    <w:name w:val="Subtitle"/>
    <w:basedOn w:val="708"/>
    <w:next w:val="708"/>
    <w:link w:val="761"/>
    <w:uiPriority w:val="11"/>
    <w:qFormat/>
    <w:pPr>
      <w:spacing w:before="200" w:after="200"/>
    </w:pPr>
    <w:rPr>
      <w:sz w:val="24"/>
      <w:szCs w:val="24"/>
    </w:rPr>
  </w:style>
  <w:style w:type="paragraph" w:styleId="734">
    <w:name w:val="footnote text"/>
    <w:basedOn w:val="708"/>
    <w:link w:val="894"/>
    <w:uiPriority w:val="99"/>
    <w:semiHidden/>
    <w:unhideWhenUsed/>
    <w:qFormat/>
    <w:pPr>
      <w:spacing w:after="40" w:line="240" w:lineRule="auto"/>
    </w:pPr>
    <w:rPr>
      <w:sz w:val="18"/>
    </w:rPr>
  </w:style>
  <w:style w:type="paragraph" w:styleId="735">
    <w:name w:val="toc 6"/>
    <w:basedOn w:val="708"/>
    <w:next w:val="708"/>
    <w:uiPriority w:val="39"/>
    <w:unhideWhenUsed/>
    <w:qFormat/>
    <w:pPr>
      <w:ind w:left="1417" w:right="0" w:firstLine="0"/>
      <w:spacing w:after="57"/>
    </w:pPr>
  </w:style>
  <w:style w:type="paragraph" w:styleId="736">
    <w:name w:val="table of figures"/>
    <w:basedOn w:val="708"/>
    <w:next w:val="708"/>
    <w:uiPriority w:val="99"/>
    <w:unhideWhenUsed/>
    <w:qFormat/>
    <w:pPr>
      <w:spacing w:after="0" w:afterAutospacing="0"/>
    </w:pPr>
  </w:style>
  <w:style w:type="paragraph" w:styleId="737">
    <w:name w:val="toc 2"/>
    <w:basedOn w:val="708"/>
    <w:next w:val="708"/>
    <w:uiPriority w:val="39"/>
    <w:unhideWhenUsed/>
    <w:qFormat/>
    <w:pPr>
      <w:ind w:left="283" w:right="0" w:firstLine="0"/>
      <w:spacing w:after="57"/>
    </w:pPr>
  </w:style>
  <w:style w:type="paragraph" w:styleId="738">
    <w:name w:val="toc 9"/>
    <w:basedOn w:val="708"/>
    <w:next w:val="708"/>
    <w:uiPriority w:val="39"/>
    <w:unhideWhenUsed/>
    <w:qFormat/>
    <w:pPr>
      <w:ind w:left="2268" w:right="0" w:firstLine="0"/>
      <w:spacing w:after="57"/>
    </w:pPr>
  </w:style>
  <w:style w:type="paragraph" w:styleId="739">
    <w:name w:val="Normal (Web)"/>
    <w:basedOn w:val="708"/>
    <w:uiPriority w:val="0"/>
    <w:qFormat/>
    <w:pPr>
      <w:jc w:val="left"/>
      <w:spacing w:beforeAutospacing="1" w:afterAutospacing="1"/>
    </w:pPr>
    <w:rPr>
      <w:sz w:val="24"/>
    </w:rPr>
  </w:style>
  <w:style w:type="paragraph" w:styleId="740">
    <w:name w:val="Title"/>
    <w:basedOn w:val="708"/>
    <w:next w:val="708"/>
    <w:link w:val="760"/>
    <w:uiPriority w:val="10"/>
    <w:qFormat/>
    <w:pPr>
      <w:contextualSpacing/>
      <w:spacing w:before="300" w:after="200"/>
    </w:pPr>
    <w:rPr>
      <w:sz w:val="48"/>
      <w:szCs w:val="48"/>
    </w:rPr>
  </w:style>
  <w:style w:type="table" w:styleId="7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8"/>
    <w:uiPriority w:val="22"/>
    <w:qFormat/>
    <w:rPr>
      <w:b/>
    </w:rPr>
  </w:style>
  <w:style w:type="character" w:styleId="743">
    <w:name w:val="endnote reference"/>
    <w:uiPriority w:val="99"/>
    <w:semiHidden/>
    <w:unhideWhenUsed/>
    <w:qFormat/>
    <w:rPr>
      <w:vertAlign w:val="superscript"/>
    </w:rPr>
  </w:style>
  <w:style w:type="character" w:styleId="744">
    <w:name w:val="Emphasis"/>
    <w:uiPriority w:val="0"/>
    <w:qFormat/>
    <w:rPr>
      <w:i/>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paragraph" w:styleId="747" w:customStyle="1">
    <w:name w:val="正文首行缩进 21"/>
    <w:basedOn w:val="748"/>
    <w:uiPriority w:val="0"/>
    <w:qFormat/>
    <w:pPr>
      <w:ind w:left="0" w:firstLine="420"/>
      <w:spacing w:after="0" w:line="360" w:lineRule="auto"/>
    </w:pPr>
    <w:rPr>
      <w:rFonts w:ascii="宋体" w:hAnsi="宋体"/>
      <w:sz w:val="20"/>
      <w:szCs w:val="20"/>
      <w:lang w:val="en-US" w:eastAsia="en-US"/>
    </w:rPr>
  </w:style>
  <w:style w:type="paragraph" w:styleId="748" w:customStyle="1">
    <w:name w:val="正文文本缩进1"/>
    <w:basedOn w:val="708"/>
    <w:next w:val="747"/>
    <w:uiPriority w:val="0"/>
    <w:unhideWhenUsed/>
    <w:qFormat/>
    <w:pPr>
      <w:ind w:left="420"/>
      <w:spacing w:after="120"/>
    </w:pPr>
  </w:style>
  <w:style w:type="character" w:styleId="749" w:customStyle="1">
    <w:name w:val="Heading 1 Char"/>
    <w:link w:val="709"/>
    <w:uiPriority w:val="9"/>
    <w:qFormat/>
    <w:rPr>
      <w:rFonts w:ascii="Arial" w:hAnsi="Arial" w:eastAsia="Arial" w:cs="Arial"/>
      <w:sz w:val="40"/>
      <w:szCs w:val="40"/>
    </w:rPr>
  </w:style>
  <w:style w:type="character" w:styleId="750" w:customStyle="1">
    <w:name w:val="Heading 2 Char"/>
    <w:link w:val="710"/>
    <w:uiPriority w:val="9"/>
    <w:qFormat/>
    <w:rPr>
      <w:rFonts w:ascii="Arial" w:hAnsi="Arial" w:eastAsia="Arial" w:cs="Arial"/>
      <w:sz w:val="34"/>
    </w:rPr>
  </w:style>
  <w:style w:type="character" w:styleId="751" w:customStyle="1">
    <w:name w:val="Heading 3 Char"/>
    <w:link w:val="711"/>
    <w:uiPriority w:val="9"/>
    <w:qFormat/>
    <w:rPr>
      <w:rFonts w:ascii="Arial" w:hAnsi="Arial" w:eastAsia="Arial" w:cs="Arial"/>
      <w:sz w:val="30"/>
      <w:szCs w:val="30"/>
    </w:rPr>
  </w:style>
  <w:style w:type="character" w:styleId="752" w:customStyle="1">
    <w:name w:val="Heading 4 Char"/>
    <w:link w:val="712"/>
    <w:uiPriority w:val="9"/>
    <w:qFormat/>
    <w:rPr>
      <w:rFonts w:ascii="Arial" w:hAnsi="Arial" w:eastAsia="Arial" w:cs="Arial"/>
      <w:b/>
      <w:bCs/>
      <w:sz w:val="26"/>
      <w:szCs w:val="26"/>
    </w:rPr>
  </w:style>
  <w:style w:type="character" w:styleId="753" w:customStyle="1">
    <w:name w:val="Heading 5 Char"/>
    <w:link w:val="713"/>
    <w:uiPriority w:val="9"/>
    <w:qFormat/>
    <w:rPr>
      <w:rFonts w:ascii="Arial" w:hAnsi="Arial" w:eastAsia="Arial" w:cs="Arial"/>
      <w:b/>
      <w:bCs/>
      <w:sz w:val="24"/>
      <w:szCs w:val="24"/>
    </w:rPr>
  </w:style>
  <w:style w:type="character" w:styleId="754" w:customStyle="1">
    <w:name w:val="Heading 6 Char"/>
    <w:link w:val="714"/>
    <w:uiPriority w:val="9"/>
    <w:qFormat/>
    <w:rPr>
      <w:rFonts w:ascii="Arial" w:hAnsi="Arial" w:eastAsia="Arial" w:cs="Arial"/>
      <w:b/>
      <w:bCs/>
      <w:sz w:val="22"/>
      <w:szCs w:val="22"/>
    </w:rPr>
  </w:style>
  <w:style w:type="character" w:styleId="755" w:customStyle="1">
    <w:name w:val="Heading 7 Char"/>
    <w:link w:val="715"/>
    <w:uiPriority w:val="9"/>
    <w:qFormat/>
    <w:rPr>
      <w:rFonts w:ascii="Arial" w:hAnsi="Arial" w:eastAsia="Arial" w:cs="Arial"/>
      <w:b/>
      <w:bCs/>
      <w:i/>
      <w:iCs/>
      <w:sz w:val="22"/>
      <w:szCs w:val="22"/>
    </w:rPr>
  </w:style>
  <w:style w:type="character" w:styleId="756" w:customStyle="1">
    <w:name w:val="Heading 8 Char"/>
    <w:link w:val="716"/>
    <w:uiPriority w:val="9"/>
    <w:qFormat/>
    <w:rPr>
      <w:rFonts w:ascii="Arial" w:hAnsi="Arial" w:eastAsia="Arial" w:cs="Arial"/>
      <w:i/>
      <w:iCs/>
      <w:sz w:val="22"/>
      <w:szCs w:val="22"/>
    </w:rPr>
  </w:style>
  <w:style w:type="character" w:styleId="757" w:customStyle="1">
    <w:name w:val="Heading 9 Char"/>
    <w:link w:val="717"/>
    <w:uiPriority w:val="9"/>
    <w:qFormat/>
    <w:rPr>
      <w:rFonts w:ascii="Arial" w:hAnsi="Arial" w:eastAsia="Arial" w:cs="Arial"/>
      <w:i/>
      <w:iCs/>
      <w:sz w:val="21"/>
      <w:szCs w:val="21"/>
    </w:rPr>
  </w:style>
  <w:style w:type="paragraph" w:styleId="758">
    <w:name w:val="List Paragraph"/>
    <w:basedOn w:val="708"/>
    <w:uiPriority w:val="34"/>
    <w:qFormat/>
    <w:pPr>
      <w:contextualSpacing/>
      <w:ind w:left="720"/>
    </w:pPr>
  </w:style>
  <w:style w:type="paragraph" w:styleId="759">
    <w:name w:val="No Spacing"/>
    <w:uiPriority w:val="1"/>
    <w:qFormat/>
    <w:pPr>
      <w:spacing w:before="0" w:after="0" w:line="240" w:lineRule="auto"/>
    </w:pPr>
    <w:rPr>
      <w:rFonts w:hint="default" w:ascii="Times New Roman" w:hAnsi="Times New Roman" w:eastAsia="宋体" w:cs="Times New Roman"/>
    </w:rPr>
  </w:style>
  <w:style w:type="character" w:styleId="760" w:customStyle="1">
    <w:name w:val="Title Char"/>
    <w:link w:val="740"/>
    <w:uiPriority w:val="10"/>
    <w:qFormat/>
    <w:rPr>
      <w:sz w:val="48"/>
      <w:szCs w:val="48"/>
    </w:rPr>
  </w:style>
  <w:style w:type="character" w:styleId="761" w:customStyle="1">
    <w:name w:val="Subtitle Char"/>
    <w:link w:val="733"/>
    <w:uiPriority w:val="11"/>
    <w:qFormat/>
    <w:rPr>
      <w:sz w:val="24"/>
      <w:szCs w:val="24"/>
    </w:rPr>
  </w:style>
  <w:style w:type="paragraph" w:styleId="762">
    <w:name w:val="Quote"/>
    <w:basedOn w:val="708"/>
    <w:next w:val="708"/>
    <w:link w:val="763"/>
    <w:uiPriority w:val="29"/>
    <w:qFormat/>
    <w:pPr>
      <w:ind w:left="720" w:right="720"/>
    </w:pPr>
    <w:rPr>
      <w:i/>
    </w:rPr>
  </w:style>
  <w:style w:type="character" w:styleId="763" w:customStyle="1">
    <w:name w:val="Quote Char"/>
    <w:link w:val="762"/>
    <w:uiPriority w:val="29"/>
    <w:qFormat/>
    <w:rPr>
      <w:i/>
    </w:rPr>
  </w:style>
  <w:style w:type="paragraph" w:styleId="764">
    <w:name w:val="Intense Quote"/>
    <w:basedOn w:val="708"/>
    <w:next w:val="708"/>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Intense Quote Char"/>
    <w:link w:val="764"/>
    <w:uiPriority w:val="30"/>
    <w:qFormat/>
    <w:rPr>
      <w:i/>
    </w:rPr>
  </w:style>
  <w:style w:type="character" w:styleId="766" w:customStyle="1">
    <w:name w:val="Header Char"/>
    <w:link w:val="730"/>
    <w:uiPriority w:val="99"/>
    <w:qFormat/>
  </w:style>
  <w:style w:type="character" w:styleId="767" w:customStyle="1">
    <w:name w:val="Footer Char"/>
    <w:link w:val="729"/>
    <w:uiPriority w:val="99"/>
    <w:qFormat/>
  </w:style>
  <w:style w:type="character" w:styleId="768" w:customStyle="1">
    <w:name w:val="Caption Char"/>
    <w:link w:val="729"/>
    <w:uiPriority w:val="99"/>
    <w:qFormat/>
  </w:style>
  <w:style w:type="table" w:styleId="7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Footnote Text Char"/>
    <w:link w:val="734"/>
    <w:uiPriority w:val="99"/>
    <w:qFormat/>
    <w:rPr>
      <w:sz w:val="18"/>
    </w:rPr>
  </w:style>
  <w:style w:type="character" w:styleId="895" w:customStyle="1">
    <w:name w:val="Endnote Text Char"/>
    <w:link w:val="728"/>
    <w:uiPriority w:val="99"/>
    <w:qFormat/>
    <w:rPr>
      <w:sz w:val="20"/>
    </w:rPr>
  </w:style>
  <w:style w:type="paragraph" w:styleId="896" w:customStyle="1">
    <w:name w:val="TOC Heading"/>
    <w:uiPriority w:val="39"/>
    <w:unhideWhenUsed/>
    <w:qFormat/>
    <w:rPr>
      <w:rFonts w:hint="default" w:ascii="Times New Roman" w:hAnsi="Times New Roman" w:eastAsia="宋体" w:cs="Times New Roman"/>
    </w:rPr>
  </w:style>
  <w:style w:type="paragraph" w:styleId="897" w:customStyle="1">
    <w:name w:val="标题 11"/>
    <w:basedOn w:val="708"/>
    <w:next w:val="708"/>
    <w:link w:val="903"/>
    <w:uiPriority w:val="0"/>
    <w:qFormat/>
    <w:pPr>
      <w:keepLines/>
      <w:keepNext/>
      <w:spacing w:before="340" w:after="330" w:line="578" w:lineRule="auto"/>
      <w:outlineLvl w:val="0"/>
    </w:pPr>
    <w:rPr>
      <w:b/>
      <w:bCs/>
      <w:sz w:val="44"/>
      <w:szCs w:val="44"/>
    </w:rPr>
  </w:style>
  <w:style w:type="paragraph" w:styleId="898" w:customStyle="1">
    <w:name w:val="标题 21"/>
    <w:basedOn w:val="708"/>
    <w:next w:val="708"/>
    <w:uiPriority w:val="0"/>
    <w:qFormat/>
    <w:pPr>
      <w:keepLines/>
      <w:keepNext/>
      <w:spacing w:line="360" w:lineRule="auto"/>
      <w:outlineLvl w:val="1"/>
    </w:pPr>
    <w:rPr>
      <w:rFonts w:ascii="Arial" w:hAnsi="Arial"/>
      <w:b/>
      <w:bCs/>
      <w:sz w:val="24"/>
      <w:szCs w:val="32"/>
    </w:rPr>
  </w:style>
  <w:style w:type="paragraph" w:styleId="899" w:customStyle="1">
    <w:name w:val="标题 41"/>
    <w:basedOn w:val="708"/>
    <w:next w:val="900"/>
    <w:uiPriority w:val="0"/>
    <w:qFormat/>
    <w:pPr>
      <w:jc w:val="center"/>
      <w:keepNext/>
      <w:outlineLvl w:val="3"/>
    </w:pPr>
    <w:rPr>
      <w:rFonts w:eastAsia="新宋体"/>
      <w:sz w:val="30"/>
      <w:szCs w:val="21"/>
    </w:rPr>
  </w:style>
  <w:style w:type="paragraph" w:styleId="900" w:customStyle="1">
    <w:name w:val="正文缩进11"/>
    <w:basedOn w:val="708"/>
    <w:uiPriority w:val="0"/>
    <w:qFormat/>
    <w:pPr>
      <w:ind w:firstLine="420"/>
    </w:pPr>
  </w:style>
  <w:style w:type="character" w:styleId="901" w:customStyle="1">
    <w:name w:val="默认段落字体1"/>
    <w:link w:val="708"/>
    <w:uiPriority w:val="1"/>
    <w:unhideWhenUsed/>
    <w:qFormat/>
  </w:style>
  <w:style w:type="table" w:styleId="902" w:customStyle="1">
    <w:name w:val="普通表格1"/>
    <w:uiPriority w:val="99"/>
    <w:unhideWhenUsed/>
    <w:qFormat/>
    <w:tblPr/>
  </w:style>
  <w:style w:type="character" w:styleId="903" w:customStyle="1">
    <w:name w:val="标题 1 字符"/>
    <w:link w:val="897"/>
    <w:uiPriority w:val="0"/>
    <w:qFormat/>
    <w:rPr>
      <w:rFonts w:ascii="Times New Roman" w:hAnsi="Times New Roman"/>
      <w:b/>
      <w:bCs/>
      <w:sz w:val="44"/>
      <w:szCs w:val="44"/>
    </w:rPr>
  </w:style>
  <w:style w:type="paragraph" w:styleId="904" w:customStyle="1">
    <w:name w:val="批注文字1"/>
    <w:basedOn w:val="708"/>
    <w:link w:val="905"/>
    <w:uiPriority w:val="0"/>
    <w:qFormat/>
    <w:pPr>
      <w:jc w:val="left"/>
    </w:pPr>
  </w:style>
  <w:style w:type="character" w:styleId="905" w:customStyle="1">
    <w:name w:val="批注文字 字符"/>
    <w:link w:val="904"/>
    <w:uiPriority w:val="0"/>
    <w:qFormat/>
    <w:rPr>
      <w:sz w:val="21"/>
    </w:rPr>
  </w:style>
  <w:style w:type="paragraph" w:styleId="906" w:customStyle="1">
    <w:name w:val="正文文本11"/>
    <w:basedOn w:val="708"/>
    <w:next w:val="708"/>
    <w:uiPriority w:val="0"/>
    <w:qFormat/>
    <w:rPr>
      <w:rFonts w:ascii="仿宋_GB2312" w:eastAsia="仿宋_GB2312"/>
      <w:sz w:val="24"/>
    </w:rPr>
  </w:style>
  <w:style w:type="paragraph" w:styleId="907" w:customStyle="1">
    <w:name w:val="正文文本缩进11"/>
    <w:basedOn w:val="708"/>
    <w:next w:val="908"/>
    <w:link w:val="909"/>
    <w:uiPriority w:val="0"/>
    <w:qFormat/>
    <w:pPr>
      <w:ind w:left="420"/>
      <w:spacing w:after="120"/>
    </w:pPr>
  </w:style>
  <w:style w:type="paragraph" w:styleId="908" w:customStyle="1">
    <w:name w:val="寄信人地址1"/>
    <w:basedOn w:val="708"/>
    <w:uiPriority w:val="0"/>
    <w:qFormat/>
    <w:rPr>
      <w:rFonts w:ascii="Arial" w:hAnsi="Arial"/>
    </w:rPr>
  </w:style>
  <w:style w:type="character" w:styleId="909" w:customStyle="1">
    <w:name w:val="正文文本缩进 字符"/>
    <w:link w:val="907"/>
    <w:uiPriority w:val="0"/>
    <w:qFormat/>
    <w:rPr>
      <w:sz w:val="21"/>
    </w:rPr>
  </w:style>
  <w:style w:type="paragraph" w:styleId="910" w:customStyle="1">
    <w:name w:val="索引 41"/>
    <w:basedOn w:val="708"/>
    <w:next w:val="708"/>
    <w:uiPriority w:val="99"/>
    <w:unhideWhenUsed/>
    <w:qFormat/>
    <w:pPr>
      <w:ind w:left="600"/>
    </w:pPr>
  </w:style>
  <w:style w:type="paragraph" w:styleId="911" w:customStyle="1">
    <w:name w:val="纯文本11"/>
    <w:basedOn w:val="708"/>
    <w:uiPriority w:val="0"/>
    <w:qFormat/>
    <w:rPr>
      <w:rFonts w:ascii="宋体" w:hAnsi="Courier New" w:cs="Courier New"/>
      <w:szCs w:val="21"/>
    </w:rPr>
  </w:style>
  <w:style w:type="paragraph" w:styleId="912" w:customStyle="1">
    <w:name w:val="批注框文本1"/>
    <w:basedOn w:val="708"/>
    <w:link w:val="913"/>
    <w:uiPriority w:val="0"/>
    <w:qFormat/>
    <w:rPr>
      <w:sz w:val="18"/>
      <w:szCs w:val="18"/>
    </w:rPr>
  </w:style>
  <w:style w:type="character" w:styleId="913" w:customStyle="1">
    <w:name w:val="批注框文本 字符"/>
    <w:link w:val="912"/>
    <w:uiPriority w:val="0"/>
    <w:qFormat/>
    <w:rPr>
      <w:sz w:val="18"/>
      <w:szCs w:val="18"/>
    </w:rPr>
  </w:style>
  <w:style w:type="paragraph" w:styleId="914" w:customStyle="1">
    <w:name w:val="页脚11"/>
    <w:basedOn w:val="708"/>
    <w:link w:val="915"/>
    <w:uiPriority w:val="99"/>
    <w:qFormat/>
    <w:pPr>
      <w:jc w:val="left"/>
      <w:tabs>
        <w:tab w:val="center" w:pos="4153" w:leader="none"/>
        <w:tab w:val="right" w:pos="8306" w:leader="none"/>
      </w:tabs>
    </w:pPr>
    <w:rPr>
      <w:sz w:val="18"/>
      <w:szCs w:val="18"/>
    </w:rPr>
  </w:style>
  <w:style w:type="character" w:styleId="915" w:customStyle="1">
    <w:name w:val="页脚 字符"/>
    <w:link w:val="914"/>
    <w:uiPriority w:val="99"/>
    <w:qFormat/>
    <w:rPr>
      <w:rFonts w:ascii="Times New Roman" w:hAnsi="Times New Roman" w:eastAsia="宋体" w:cs="Times New Roman"/>
      <w:sz w:val="18"/>
      <w:szCs w:val="18"/>
    </w:rPr>
  </w:style>
  <w:style w:type="paragraph" w:styleId="916" w:customStyle="1">
    <w:name w:val="页眉1"/>
    <w:basedOn w:val="70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7" w:customStyle="1">
    <w:name w:val="目录 11"/>
    <w:basedOn w:val="708"/>
    <w:next w:val="708"/>
    <w:uiPriority w:val="39"/>
    <w:qFormat/>
  </w:style>
  <w:style w:type="paragraph" w:styleId="918" w:customStyle="1">
    <w:name w:val="正文文本缩进 31"/>
    <w:basedOn w:val="708"/>
    <w:uiPriority w:val="0"/>
    <w:qFormat/>
    <w:pPr>
      <w:ind w:left="645" w:firstLine="645"/>
    </w:pPr>
    <w:rPr>
      <w:rFonts w:ascii="Arial" w:hAnsi="Arial" w:eastAsia="仿宋_GB2312"/>
      <w:color w:val="ffff00"/>
      <w:sz w:val="32"/>
      <w:szCs w:val="32"/>
    </w:rPr>
  </w:style>
  <w:style w:type="paragraph" w:styleId="919" w:customStyle="1">
    <w:name w:val="普通(网站)11"/>
    <w:basedOn w:val="708"/>
    <w:uiPriority w:val="99"/>
    <w:unhideWhenUsed/>
    <w:qFormat/>
    <w:pPr>
      <w:jc w:val="left"/>
      <w:spacing w:before="100" w:beforeAutospacing="1" w:after="100" w:afterAutospacing="1"/>
      <w:widowControl/>
    </w:pPr>
    <w:rPr>
      <w:rFonts w:ascii="宋体" w:hAnsi="宋体" w:cs="宋体"/>
      <w:sz w:val="24"/>
      <w:szCs w:val="24"/>
    </w:rPr>
  </w:style>
  <w:style w:type="paragraph" w:styleId="920" w:customStyle="1">
    <w:name w:val="批注主题1"/>
    <w:basedOn w:val="904"/>
    <w:next w:val="904"/>
    <w:link w:val="921"/>
    <w:uiPriority w:val="0"/>
    <w:qFormat/>
    <w:rPr>
      <w:b/>
      <w:bCs/>
    </w:rPr>
  </w:style>
  <w:style w:type="character" w:styleId="921" w:customStyle="1">
    <w:name w:val="批注主题 字符"/>
    <w:link w:val="920"/>
    <w:uiPriority w:val="0"/>
    <w:qFormat/>
    <w:rPr>
      <w:b/>
      <w:bCs/>
      <w:sz w:val="21"/>
    </w:rPr>
  </w:style>
  <w:style w:type="paragraph" w:styleId="922" w:customStyle="1">
    <w:name w:val="正文首行缩进1"/>
    <w:basedOn w:val="906"/>
    <w:link w:val="923"/>
    <w:uiPriority w:val="0"/>
    <w:qFormat/>
    <w:pPr>
      <w:ind w:firstLine="420"/>
      <w:spacing w:after="120"/>
    </w:pPr>
    <w:rPr>
      <w:rFonts w:ascii="Times New Roman" w:eastAsia="宋体"/>
      <w:szCs w:val="24"/>
    </w:rPr>
  </w:style>
  <w:style w:type="character" w:styleId="923" w:customStyle="1">
    <w:name w:val="正文首行缩进 字符"/>
    <w:link w:val="922"/>
    <w:uiPriority w:val="0"/>
    <w:qFormat/>
    <w:rPr>
      <w:sz w:val="24"/>
      <w:szCs w:val="24"/>
    </w:rPr>
  </w:style>
  <w:style w:type="paragraph" w:styleId="924" w:customStyle="1">
    <w:name w:val="正文首行缩进 211"/>
    <w:basedOn w:val="907"/>
    <w:next w:val="918"/>
    <w:uiPriority w:val="0"/>
    <w:qFormat/>
    <w:pPr>
      <w:ind w:left="0" w:firstLine="420"/>
      <w:spacing w:after="0" w:line="360" w:lineRule="auto"/>
    </w:pPr>
    <w:rPr>
      <w:rFonts w:ascii="宋体" w:hAnsi="宋体"/>
      <w:sz w:val="20"/>
      <w:szCs w:val="20"/>
    </w:rPr>
  </w:style>
  <w:style w:type="table" w:styleId="925" w:customStyle="1">
    <w:name w:val="网格型1"/>
    <w:basedOn w:val="902"/>
    <w:uiPriority w:val="39"/>
    <w:qFormat/>
    <w:tblPr/>
  </w:style>
  <w:style w:type="character" w:styleId="926" w:customStyle="1">
    <w:name w:val="要点1"/>
    <w:link w:val="708"/>
    <w:uiPriority w:val="22"/>
    <w:qFormat/>
    <w:rPr>
      <w:b/>
      <w:bCs/>
    </w:rPr>
  </w:style>
  <w:style w:type="character" w:styleId="927" w:customStyle="1">
    <w:name w:val="已访问的超链接1"/>
    <w:link w:val="708"/>
    <w:uiPriority w:val="0"/>
    <w:qFormat/>
    <w:rPr>
      <w:rFonts w:ascii="Times New Roman" w:hAnsi="Times New Roman" w:eastAsia="宋体" w:cs="Times New Roman"/>
      <w:sz w:val="21"/>
      <w:lang w:val="en-US" w:eastAsia="zh-CN" w:bidi="ar-SA"/>
    </w:rPr>
  </w:style>
  <w:style w:type="character" w:styleId="928" w:customStyle="1">
    <w:name w:val="强调1"/>
    <w:link w:val="708"/>
    <w:uiPriority w:val="0"/>
    <w:qFormat/>
    <w:rPr>
      <w:i/>
    </w:rPr>
  </w:style>
  <w:style w:type="character" w:styleId="929" w:customStyle="1">
    <w:name w:val="超链接1"/>
    <w:link w:val="708"/>
    <w:uiPriority w:val="99"/>
    <w:unhideWhenUsed/>
    <w:qFormat/>
    <w:rPr>
      <w:color w:val="0563c1"/>
      <w:u w:val="single"/>
    </w:rPr>
  </w:style>
  <w:style w:type="character" w:styleId="930" w:customStyle="1">
    <w:name w:val="批注引用1"/>
    <w:link w:val="708"/>
    <w:uiPriority w:val="0"/>
    <w:qFormat/>
    <w:rPr>
      <w:sz w:val="21"/>
      <w:szCs w:val="21"/>
    </w:rPr>
  </w:style>
  <w:style w:type="paragraph" w:styleId="931" w:customStyle="1">
    <w:name w:val="普通文字"/>
    <w:basedOn w:val="708"/>
    <w:next w:val="708"/>
    <w:uiPriority w:val="0"/>
    <w:qFormat/>
    <w:rPr>
      <w:rFonts w:ascii="宋体"/>
      <w:sz w:val="24"/>
    </w:rPr>
  </w:style>
  <w:style w:type="paragraph" w:styleId="932" w:customStyle="1">
    <w:name w:val="正文缩进1"/>
    <w:basedOn w:val="708"/>
    <w:uiPriority w:val="0"/>
    <w:qFormat/>
    <w:pPr>
      <w:ind w:firstLine="420"/>
      <w:jc w:val="left"/>
    </w:pPr>
    <w:rPr>
      <w:rFonts w:ascii="宋体" w:hAnsi="Calibri"/>
      <w:sz w:val="24"/>
      <w:szCs w:val="22"/>
    </w:rPr>
  </w:style>
  <w:style w:type="paragraph" w:styleId="933" w:customStyle="1">
    <w:name w:val="索引 11"/>
    <w:basedOn w:val="708"/>
    <w:next w:val="708"/>
    <w:uiPriority w:val="0"/>
    <w:qFormat/>
    <w:pPr>
      <w:spacing w:line="360" w:lineRule="auto"/>
    </w:pPr>
    <w:rPr>
      <w:rFonts w:ascii="仿宋_GB2312" w:eastAsia="仿宋_GB2312"/>
      <w:sz w:val="24"/>
    </w:rPr>
  </w:style>
  <w:style w:type="paragraph" w:styleId="934" w:customStyle="1">
    <w:name w:val="纯文本1"/>
    <w:basedOn w:val="708"/>
    <w:uiPriority w:val="0"/>
    <w:qFormat/>
    <w:rPr>
      <w:rFonts w:ascii="宋体" w:hAnsi="Courier New"/>
      <w:szCs w:val="22"/>
    </w:rPr>
  </w:style>
  <w:style w:type="paragraph" w:styleId="935" w:customStyle="1">
    <w:name w:val="普通(网站)1"/>
    <w:basedOn w:val="708"/>
    <w:uiPriority w:val="99"/>
    <w:qFormat/>
    <w:pPr>
      <w:jc w:val="left"/>
      <w:spacing w:before="100" w:beforeAutospacing="1" w:after="100" w:afterAutospacing="1"/>
    </w:pPr>
    <w:rPr>
      <w:sz w:val="24"/>
    </w:rPr>
  </w:style>
  <w:style w:type="paragraph" w:styleId="936" w:customStyle="1">
    <w:name w:val="正文文本1"/>
    <w:basedOn w:val="708"/>
    <w:next w:val="708"/>
    <w:uiPriority w:val="0"/>
    <w:qFormat/>
    <w:rPr>
      <w:sz w:val="20"/>
    </w:rPr>
  </w:style>
  <w:style w:type="paragraph" w:styleId="937" w:customStyle="1">
    <w:name w:val="正文文本首行缩进"/>
    <w:basedOn w:val="936"/>
    <w:uiPriority w:val="0"/>
    <w:qFormat/>
    <w:pPr>
      <w:ind w:firstLine="420"/>
      <w:spacing w:after="120"/>
      <w:tabs>
        <w:tab w:val="left" w:pos="2020" w:leader="none"/>
        <w:tab w:val="center" w:pos="4535" w:leader="none"/>
      </w:tabs>
    </w:pPr>
    <w:rPr>
      <w:sz w:val="21"/>
    </w:rPr>
  </w:style>
  <w:style w:type="paragraph" w:styleId="938" w:customStyle="1">
    <w:name w:val="纯文本2"/>
    <w:basedOn w:val="708"/>
    <w:uiPriority w:val="0"/>
    <w:qFormat/>
    <w:rPr>
      <w:rFonts w:ascii="宋体" w:hAnsi="Courier New"/>
    </w:rPr>
  </w:style>
  <w:style w:type="paragraph" w:styleId="939" w:customStyle="1">
    <w:name w:val="正文文本 21"/>
    <w:basedOn w:val="708"/>
    <w:uiPriority w:val="0"/>
    <w:qFormat/>
    <w:pPr>
      <w:spacing w:after="120" w:line="480" w:lineRule="auto"/>
    </w:pPr>
    <w:rPr>
      <w:sz w:val="20"/>
    </w:rPr>
  </w:style>
  <w:style w:type="paragraph" w:styleId="940" w:customStyle="1">
    <w:name w:val="页脚1"/>
    <w:basedOn w:val="708"/>
    <w:uiPriority w:val="0"/>
    <w:qFormat/>
    <w:pPr>
      <w:jc w:val="left"/>
      <w:tabs>
        <w:tab w:val="center" w:pos="4153" w:leader="none"/>
        <w:tab w:val="right" w:pos="8306" w:leader="none"/>
      </w:tabs>
    </w:pPr>
    <w:rPr>
      <w:sz w:val="18"/>
    </w:rPr>
  </w:style>
  <w:style w:type="character" w:styleId="941" w:customStyle="1">
    <w:name w:val="custom-tag-placeholder-class"/>
    <w:link w:val="708"/>
    <w:uiPriority w:val="0"/>
    <w:qFormat/>
  </w:style>
  <w:style w:type="paragraph" w:styleId="94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3" w:customStyle="1">
    <w:name w:val="列出段落1"/>
    <w:basedOn w:val="708"/>
    <w:uiPriority w:val="0"/>
    <w:qFormat/>
    <w:pPr>
      <w:ind w:firstLine="420"/>
    </w:pPr>
    <w:rPr>
      <w:szCs w:val="21"/>
    </w:rPr>
  </w:style>
  <w:style w:type="paragraph" w:styleId="944" w:customStyle="1">
    <w:name w:val="标题 111"/>
    <w:basedOn w:val="708"/>
    <w:next w:val="708"/>
    <w:uiPriority w:val="0"/>
    <w:qFormat/>
    <w:pPr>
      <w:keepLines/>
      <w:keepNext/>
      <w:spacing w:before="340" w:after="330" w:line="578" w:lineRule="auto"/>
      <w:outlineLvl w:val="0"/>
    </w:pPr>
    <w:rPr>
      <w:b/>
      <w:bCs/>
      <w:sz w:val="44"/>
      <w:szCs w:val="44"/>
      <w:lang w:val="en-US" w:eastAsia="en-US"/>
    </w:rPr>
  </w:style>
  <w:style w:type="paragraph" w:styleId="945" w:customStyle="1">
    <w:name w:val="普通(网站)2"/>
    <w:basedOn w:val="708"/>
    <w:uiPriority w:val="99"/>
    <w:unhideWhenUsed/>
    <w:qFormat/>
    <w:pPr>
      <w:jc w:val="left"/>
      <w:spacing w:before="100" w:beforeAutospacing="1" w:after="100" w:afterAutospacing="1"/>
      <w:widowControl/>
    </w:pPr>
    <w:rPr>
      <w:rFonts w:ascii="宋体" w:hAnsi="宋体" w:cs="宋体"/>
      <w:sz w:val="24"/>
      <w:szCs w:val="24"/>
    </w:rPr>
  </w:style>
  <w:style w:type="paragraph" w:styleId="946"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947" w:customStyle="1">
    <w:name w:val="正文首行缩进11"/>
    <w:basedOn w:val="936"/>
    <w:uiPriority w:val="0"/>
    <w:qFormat/>
    <w:pPr>
      <w:ind w:firstLine="200"/>
      <w:spacing w:line="360" w:lineRule="auto"/>
    </w:pPr>
    <w:rPr>
      <w:rFonts w:ascii="仿宋_GB2312" w:hAnsi="Times New Roman" w:eastAsia="仿宋_GB2312"/>
      <w:sz w:val="30"/>
      <w:szCs w:val="30"/>
    </w:rPr>
  </w:style>
  <w:style w:type="character" w:styleId="948" w:customStyle="1">
    <w:name w:val="font51"/>
    <w:basedOn w:val="718"/>
    <w:uiPriority w:val="0"/>
    <w:qFormat/>
    <w:rPr>
      <w:rFonts w:hint="eastAsia" w:ascii="宋体" w:hAnsi="宋体" w:eastAsia="宋体" w:cs="宋体"/>
      <w:color w:val="000000"/>
      <w:sz w:val="21"/>
      <w:szCs w:val="21"/>
      <w:u w:val="none"/>
    </w:rPr>
  </w:style>
  <w:style w:type="character" w:styleId="949" w:customStyle="1">
    <w:name w:val="font41"/>
    <w:basedOn w:val="718"/>
    <w:uiPriority w:val="0"/>
    <w:qFormat/>
    <w:rPr>
      <w:rFonts w:hint="eastAsia" w:ascii="宋体" w:hAnsi="宋体" w:eastAsia="宋体" w:cs="宋体"/>
      <w:color w:val="000000"/>
      <w:sz w:val="22"/>
      <w:szCs w:val="22"/>
      <w:u w:val="none"/>
    </w:rPr>
  </w:style>
  <w:style w:type="numbering" w:styleId="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87729072-7910-4d38-a059-6459f1e035bd</errorID>
      <errorWord>背柱</errorWord>
      <group>L1_Knowledge</group>
      <groupName>知识性问题</groupName>
      <ability>L2_Knowledge</ability>
      <abilityName>其他知识</abilityName>
      <candidateList>
        <item>脊柱</item>
      </candidateList>
      <explain/>
      <paraID>42E0A5DF</paraID>
      <start>16</start>
      <end>18</end>
      <status>ignored</status>
      <modifiedWord/>
      <trackRevisions>false</trackRevisions>
    </reviewItem>
    <reviewItem>
      <errorID>a62f1e3d-8d28-4de8-ad98-8d7b35a09909</errorID>
      <errorWord>拱型</errorWord>
      <group>L1_Word</group>
      <groupName>字词问题</groupName>
      <ability>L2_Typo</ability>
      <abilityName>字词错误</abilityName>
      <candidateList>
        <item>拱形</item>
      </candidateList>
      <explain>存在发音相同字词的误用。</explain>
      <paraID>3ECBB58E</paraID>
      <start>21</start>
      <end>23</end>
      <status>ignored</status>
      <modifiedWord/>
      <trackRevisions>false</trackRevisions>
    </reviewItem>
    <reviewItem>
      <errorID>5b867098-4716-463e-98c9-a78d2c74c79d</errorID>
      <errorWord>:</errorWord>
      <group>L1_Format</group>
      <groupName>格式问题</groupName>
      <ability>L2_HalfPunc_CN</ability>
      <abilityName>全半角问题</abilityName>
      <candidateList>
        <item>：</item>
      </candidateList>
      <explain>文本全半角错误。</explain>
      <paraID>5A4FAC7B</paraID>
      <start>2</start>
      <end>3</end>
      <status>modified</status>
      <modifiedWord>：</modifiedWord>
      <trackRevisions>false</trackRevisions>
    </reviewItem>
    <reviewItem>
      <errorID>84ea42dd-3057-482e-a7d4-98aec17bc81e</errorID>
      <errorWord>:</errorWord>
      <group>L1_Format</group>
      <groupName>格式问题</groupName>
      <ability>L2_HalfPunc_CN</ability>
      <abilityName>全半角问题</abilityName>
      <candidateList>
        <item>：</item>
      </candidateList>
      <explain>文本全半角错误。</explain>
      <paraID>492F6BDB</paraID>
      <start>4</start>
      <end>5</end>
      <status>modified</status>
      <modifiedWord>：</modifiedWord>
      <trackRevisions>false</trackRevisions>
    </reviewItem>
    <reviewItem>
      <errorID>7b1a20e9-0fb4-4aed-970e-c6f753da77fc</errorID>
      <errorWord>:</errorWord>
      <group>L1_Format</group>
      <groupName>格式问题</groupName>
      <ability>L2_HalfPunc_CN</ability>
      <abilityName>全半角问题</abilityName>
      <candidateList>
        <item>：</item>
      </candidateList>
      <explain>文本全半角错误。</explain>
      <paraID>44A2EB11</paraID>
      <start>8</start>
      <end>9</end>
      <status>modified</status>
      <modifiedWord>：</modifiedWord>
      <trackRevisions>false</trackRevisions>
    </reviewItem>
    <reviewItem>
      <errorID>fb163c94-4822-4c9c-b7a0-0e779060ae00</errorID>
      <errorWord>:</errorWord>
      <group>L1_Format</group>
      <groupName>格式问题</groupName>
      <ability>L2_HalfPunc_CN</ability>
      <abilityName>全半角问题</abilityName>
      <candidateList>
        <item>：</item>
      </candidateList>
      <explain>文本全半角错误。</explain>
      <paraID>5A3AE154</paraID>
      <start>6</start>
      <end>7</end>
      <status>modified</status>
      <modifiedWord>：</modifiedWord>
      <trackRevisions>false</trackRevisions>
    </reviewItem>
    <reviewItem>
      <errorID>4ce3c7b4-d312-4ac6-9ee1-8068a151778e</errorID>
      <errorWord>:</errorWord>
      <group>L1_Format</group>
      <groupName>格式问题</groupName>
      <ability>L2_HalfPunc_CN</ability>
      <abilityName>全半角问题</abilityName>
      <candidateList>
        <item>：</item>
      </candidateList>
      <explain>文本全半角错误。</explain>
      <paraID>67CE58A0</paraID>
      <start>2</start>
      <end>3</end>
      <status>modified</status>
      <modifiedWord>：</modifiedWord>
      <trackRevisions>false</trackRevisions>
    </reviewItem>
    <reviewItem>
      <errorID>76074c18-97ae-45d8-8858-ef978dfa0e36</errorID>
      <errorWord>:</errorWord>
      <group>L1_Format</group>
      <groupName>格式问题</groupName>
      <ability>L2_HalfPunc_CN</ability>
      <abilityName>全半角问题</abilityName>
      <candidateList>
        <item>：</item>
      </candidateList>
      <explain>文本全半角错误。</explain>
      <paraID>3149B9FC</paraID>
      <start>2</start>
      <end>3</end>
      <status>modified</status>
      <modifiedWord>：</modifiedWord>
      <trackRevisions>false</trackRevisions>
    </reviewItem>
    <reviewItem>
      <errorID>25017e52-9f39-490a-a7c2-5685e1319429</errorID>
      <errorWord>,</errorWord>
      <group>L1_Format</group>
      <groupName>格式问题</groupName>
      <ability>L2_HalfPunc_CN</ability>
      <abilityName>全半角问题</abilityName>
      <candidateList>
        <item>，</item>
      </candidateList>
      <explain>文本全半角错误。</explain>
      <paraID>581D8B87</paraID>
      <start>15</start>
      <end>16</end>
      <status>modified</status>
      <modifiedWord>，</modifiedWord>
      <trackRevisions>false</trackRevisions>
    </reviewItem>
    <reviewItem>
      <errorID>341192de-59fa-4b50-a8a8-7339cce0d97f</errorID>
      <errorWord>圆型</errorWord>
      <group>L1_Word</group>
      <groupName>字词问题</groupName>
      <ability>L2_Typo</ability>
      <abilityName>字词错误</abilityName>
      <candidateList>
        <item>圆形</item>
      </candidateList>
      <explain/>
      <paraID> BD4AFF9</paraID>
      <start>10</start>
      <end>12</end>
      <status>modified</status>
      <modifiedWord>圆形</modifiedWord>
      <trackRevisions>false</trackRevisions>
    </reviewItem>
    <reviewItem>
      <errorID>74d73910-73a3-4333-8528-948b8440e55f</errorID>
      <errorWord>,</errorWord>
      <group>L1_Format</group>
      <groupName>格式问题</groupName>
      <ability>L2_HalfPunc_CN</ability>
      <abilityName>全半角问题</abilityName>
      <candidateList>
        <item>，</item>
      </candidateList>
      <explain>文本全半角错误。</explain>
      <paraID> BD4AFF9</paraID>
      <start>18</start>
      <end>19</end>
      <status>modified</status>
      <modifiedWord>，</modifiedWord>
      <trackRevisions>false</trackRevisions>
    </reviewItem>
    <reviewItem>
      <errorID>adb11c7b-530e-4da1-b33a-35e4fa7a0b61</errorID>
      <errorWord>栓</errorWord>
      <group>L1_Word</group>
      <groupName>字词问题</groupName>
      <ability>L2_Typo</ability>
      <abilityName>字词错误</abilityName>
      <candidateList>
        <item>拴</item>
      </candidateList>
      <explain>存在发音相同字词的误用。</explain>
      <paraID>44CB53A9</paraID>
      <start>48</start>
      <end>49</end>
      <status>modified</status>
      <modifiedWord>拴</modifiedWord>
      <trackRevisions>false</trackRevisions>
    </reviewItem>
    <reviewItem>
      <errorID>d31b6ec3-0a0f-4e4f-8ec9-91757013f170</errorID>
      <errorWord>栓</errorWord>
      <group>L1_Word</group>
      <groupName>字词问题</groupName>
      <ability>L2_Typo</ability>
      <abilityName>字词错误</abilityName>
      <candidateList>
        <item>拴</item>
      </candidateList>
      <explain>存在发音相同字词的误用。</explain>
      <paraID>346DF752</paraID>
      <start>48</start>
      <end>49</end>
      <status>modified</status>
      <modifiedWord>拴</modifiedWord>
      <trackRevisions>false</trackRevisions>
    </reviewItem>
    <reviewItem>
      <errorID>1e96a2f6-0bcf-48e1-bf5a-242007b3fde6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8AB2E5F</paraID>
      <start>0</start>
      <end>2</end>
      <status>modified</status>
      <modifiedWord>1.</modifiedWord>
      <trackRevisions>false</trackRevisions>
    </reviewItem>
    <reviewItem>
      <errorID>1590ee84-9984-409d-8ee4-1fc017463beb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8AB2E5F</paraID>
      <start>19</start>
      <end>20</end>
      <status>modified</status>
      <modifiedWord>—</modifiedWord>
      <trackRevisions>false</trackRevisions>
    </reviewItem>
    <reviewItem>
      <errorID>6657a669-12bd-41ac-bdb3-5b16c4bcafb9</errorID>
      <errorWord>.</errorWord>
      <group>L1_Format</group>
      <groupName>格式问题</groupName>
      <ability>L2_HalfPunc_CN</ability>
      <abilityName>全半角问题</abilityName>
      <candidateList>
        <item>。</item>
      </candidateList>
      <explain>文本全半角错误。</explain>
      <paraID> 8AB2E5F</paraID>
      <start>38</start>
      <end>39</end>
      <status>ignored</status>
      <modifiedWord/>
      <trackRevisions>false</trackRevisions>
    </reviewItem>
    <reviewItem>
      <errorID>1d981b6e-939a-490a-95fe-c9909e72404c</errorID>
      <errorWord>.</errorWord>
      <group>L1_Format</group>
      <groupName>格式问题</groupName>
      <ability>L2_HalfPunc_CN</ability>
      <abilityName>全半角问题</abilityName>
      <candidateList>
        <item>。</item>
      </candidateList>
      <explain>文本全半角错误。</explain>
      <paraID> 8AB2E5F</paraID>
      <start>41</start>
      <end>42</end>
      <status>ignored</status>
      <modifiedWord/>
      <trackRevisions>false</trackRevisions>
    </reviewItem>
    <reviewItem>
      <errorID>9a746b4e-6671-4b4e-87ed-148277d3014b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8AB2E5F</paraID>
      <start>51</start>
      <end>52</end>
      <status>modified</status>
      <modifiedWord>—</modifiedWord>
      <trackRevisions>false</trackRevisions>
    </reviewItem>
    <reviewItem>
      <errorID>b9293f16-d107-4ee3-a2ec-84ffb6a21f6e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8AB2E5F</paraID>
      <start>104</start>
      <end>105</end>
      <status>modified</status>
      <modifiedWord>—</modifiedWord>
      <trackRevisions>false</trackRevisions>
    </reviewItem>
    <reviewItem>
      <errorID>a7d559cd-0465-45a2-9843-0d7bf213bae4</errorID>
      <errorWord>,</errorWord>
      <group>L1_Format</group>
      <groupName>格式问题</groupName>
      <ability>L2_HalfPunc_CN</ability>
      <abilityName>全半角问题</abilityName>
      <candidateList>
        <item>，</item>
      </candidateList>
      <explain>文本全半角错误。</explain>
      <paraID> 8AB2E5F</paraID>
      <start>110</start>
      <end>111</end>
      <status>modified</status>
      <modifiedWord>，</modifiedWord>
      <trackRevisions>false</trackRevisions>
    </reviewItem>
    <reviewItem>
      <errorID>9a18e4d7-6841-45fb-8d6f-664ebf600ffa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8AB2E5F</paraID>
      <start>115</start>
      <end>116</end>
      <status>modified</status>
      <modifiedWord>—</modifiedWord>
      <trackRevisions>false</trackRevisions>
    </reviewItem>
    <reviewItem>
      <errorID>887a030c-7cdf-42ed-8ece-bb763c79fa82</errorID>
      <errorWord>,</errorWord>
      <group>L1_Format</group>
      <groupName>格式问题</groupName>
      <ability>L2_HalfPunc_CN</ability>
      <abilityName>全半角问题</abilityName>
      <candidateList>
        <item>，</item>
      </candidateList>
      <explain>文本全半角错误。</explain>
      <paraID>560D7E2A</paraID>
      <start>471</start>
      <end>472</end>
      <status>modified</status>
      <modifiedWord>，</modifiedWord>
      <trackRevisions>false</trackRevisions>
    </reviewItem>
    <reviewItem>
      <errorID>7f695d28-4609-418f-8077-896ec1f8ad2e</errorID>
      <errorWord>,</errorWord>
      <group>L1_Format</group>
      <groupName>格式问题</groupName>
      <ability>L2_HalfPunc_CN</ability>
      <abilityName>全半角问题</abilityName>
      <candidateList>
        <item>，</item>
      </candidateList>
      <explain>文本全半角错误。</explain>
      <paraID>560D7E2A</paraID>
      <start>538</start>
      <end>539</end>
      <status>modified</status>
      <modifiedWord>，</modifiedWord>
      <trackRevisions>false</trackRevisions>
    </reviewItem>
    <reviewItem>
      <errorID>31950ec7-a7cd-4cb3-8ba9-49a4d8808be1</errorID>
      <errorWord>：；</errorWord>
      <group>L1_Punc</group>
      <groupName>标点问题</groupName>
      <ability>L2_Punc_CN</ability>
      <abilityName>标点符号问题</abilityName>
      <candidateList>
        <item>：</item>
      </candidateList>
      <explain/>
      <paraID>3A2B4B99</paraID>
      <start>4</start>
      <end>5</end>
      <status>modified</status>
      <modifiedWord>：</modifiedWord>
      <trackRevisions>false</trackRevisions>
    </reviewItem>
    <reviewItem>
      <errorID>cd838af0-2aba-4e69-a23b-1d2047723fc1</errorID>
      <errorWord>的的</errorWord>
      <group>L1_Word</group>
      <groupName>字词问题</groupName>
      <ability>L2_Typo</ability>
      <abilityName>字词错误</abilityName>
      <candidateList>
        <item>的</item>
      </candidateList>
      <explain/>
      <paraID> BEDA6CF</paraID>
      <start>24</start>
      <end>25</end>
      <status>modified</status>
      <modifiedWord>的</modifiedWord>
      <trackRevisions>false</trackRevisions>
    </reviewItem>
    <reviewItem>
      <errorID>4679085c-7f75-47dc-a58a-2db643661734</errorID>
      <errorWord>,</errorWord>
      <group>L1_Format</group>
      <groupName>格式问题</groupName>
      <ability>L2_HalfPunc_CN</ability>
      <abilityName>全半角问题</abilityName>
      <candidateList>
        <item>，</item>
      </candidateList>
      <explain>文本全半角错误。</explain>
      <paraID>559F4A19</paraID>
      <start>7</start>
      <end>8</end>
      <status>modified</status>
      <modifiedWord>，</modifiedWord>
      <trackRevisions>false</trackRevisions>
    </reviewItem>
    <reviewItem>
      <errorID>bc601c69-9dca-4e76-b1be-75c5711ce1c9</errorID>
      <errorWord>:</errorWord>
      <group>L1_Format</group>
      <groupName>格式问题</groupName>
      <ability>L2_HalfPunc_CN</ability>
      <abilityName>全半角问题</abilityName>
      <candidateList>
        <item>：</item>
      </candidateList>
      <explain>文本全半角错误。</explain>
      <paraID>591087D7</paraID>
      <start>4</start>
      <end>5</end>
      <status>modified</status>
      <modifiedWord>：</modifiedWord>
      <trackRevisions>false</trackRevisions>
    </reviewItem>
    <reviewItem>
      <errorID>6a5ae6af-6b76-49f8-8413-b141231efce1</errorID>
      <errorWord>:</errorWord>
      <group>L1_Format</group>
      <groupName>格式问题</groupName>
      <ability>L2_HalfPunc_CN</ability>
      <abilityName>全半角问题</abilityName>
      <candidateList>
        <item>：</item>
      </candidateList>
      <explain>文本全半角错误。</explain>
      <paraID> E2502A8</paraID>
      <start>4</start>
      <end>5</end>
      <status>modified</status>
      <modifiedWord>：</modifiedWord>
      <trackRevisions>false</trackRevisions>
    </reviewItem>
    <reviewItem>
      <errorID>f3c9a69a-3d84-4a88-abf2-792bcbd65431</errorID>
      <errorWord>.</errorWord>
      <group>L1_Format</group>
      <groupName>格式问题</groupName>
      <ability>L2_HalfPunc_CN</ability>
      <abilityName>全半角问题</abilityName>
      <candidateList>
        <item>。</item>
      </candidateList>
      <explain>文本全半角错误。</explain>
      <paraID> E2502A8</paraID>
      <start>7</start>
      <end>8</end>
      <status>ignored</status>
      <modifiedWord/>
      <trackRevisions>false</trackRevisions>
    </reviewItem>
    <reviewItem>
      <errorID>4e0698e6-56eb-4fd3-8f7d-a8dd0fc20675</errorID>
      <errorWord>.</errorWord>
      <group>L1_Format</group>
      <groupName>格式问题</groupName>
      <ability>L2_HalfPunc_CN</ability>
      <abilityName>全半角问题</abilityName>
      <candidateList>
        <item>。</item>
      </candidateList>
      <explain>文本全半角错误。</explain>
      <paraID> E2502A8</paraID>
      <start>10</start>
      <end>11</end>
      <status>ignored</status>
      <modifiedWord/>
      <trackRevisions>false</trackRevisions>
    </reviewItem>
    <reviewItem>
      <errorID>ecc56d98-da32-49b1-a852-60238b2c48d1</errorID>
      <errorWord>:</errorWord>
      <group>L1_Format</group>
      <groupName>格式问题</groupName>
      <ability>L2_HalfPunc_CN</ability>
      <abilityName>全半角问题</abilityName>
      <candidateList>
        <item>：</item>
      </candidateList>
      <explain>文本全半角错误。</explain>
      <paraID>676ABC36</paraID>
      <start>4</start>
      <end>5</end>
      <status>modified</status>
      <modifiedWord>：</modifiedWord>
      <trackRevisions>false</trackRevisions>
    </reviewItem>
    <reviewItem>
      <errorID>ef8fcfd4-5160-46e9-9007-0874d6a1a083</errorID>
      <errorWord>:</errorWord>
      <group>L1_Format</group>
      <groupName>格式问题</groupName>
      <ability>L2_HalfPunc_CN</ability>
      <abilityName>全半角问题</abilityName>
      <candidateList>
        <item>：</item>
      </candidateList>
      <explain>文本全半角错误。</explain>
      <paraID>45CD906A</paraID>
      <start>4</start>
      <end>5</end>
      <status>modified</status>
      <modifiedWord>：</modifiedWord>
      <trackRevisions>false</trackRevisions>
    </reviewItem>
    <reviewItem>
      <errorID>c6c1a086-4189-4087-b498-b7ba53127e65</errorID>
      <errorWord>:</errorWord>
      <group>L1_Format</group>
      <groupName>格式问题</groupName>
      <ability>L2_HalfPunc_CN</ability>
      <abilityName>全半角问题</abilityName>
      <candidateList>
        <item>：</item>
      </candidateList>
      <explain>文本全半角错误。</explain>
      <paraID>716D76B9</paraID>
      <start>4</start>
      <end>5</end>
      <status>modified</status>
      <modifiedWord>：</modifiedWord>
      <trackRevisions>false</trackRevisions>
    </reviewItem>
    <reviewItem>
      <errorID>31304bd1-d463-4693-b635-6ce543731f7e</errorID>
      <errorWord>:</errorWord>
      <group>L1_Format</group>
      <groupName>格式问题</groupName>
      <ability>L2_HalfPunc_CN</ability>
      <abilityName>全半角问题</abilityName>
      <candidateList>
        <item>：</item>
      </candidateList>
      <explain>文本全半角错误。</explain>
      <paraID>361644B7</paraID>
      <start>4</start>
      <end>5</end>
      <status>modified</status>
      <modifiedWord>：</modifiedWord>
      <trackRevisions>false</trackRevisions>
    </reviewItem>
    <reviewItem>
      <errorID>821dd033-52ea-42bf-95be-30393634a585</errorID>
      <errorWord>同</errorWord>
      <group>L1_Word</group>
      <groupName>字词问题</groupName>
      <ability>L2_Typo</ability>
      <abilityName>字词错误</abilityName>
      <candidateList>
        <item>同签</item>
      </candidateList>
      <explain/>
      <paraID>1D21125E</paraID>
      <start>1</start>
      <end>3</end>
      <status>modified</status>
      <modifiedWord>同签</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E72C407-4A8E-4B7D-8655-C55FFCC4070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33</cp:revision>
  <dcterms:created xsi:type="dcterms:W3CDTF">2023-12-07T03:32:00Z</dcterms:created>
  <dcterms:modified xsi:type="dcterms:W3CDTF">2026-10-12T02:53:12Z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C0D80282454A4E1CB345A8BF68E255AF_13</vt:lpwstr>
  </property>
  <property fmtid="{D5CDD505-2E9C-101B-9397-08002B2CF9AE}" pid="4" name="KSOTemplateDocerSaveRecord">
    <vt:lpwstr>eyJoZGlkIjoiYzA5YWY4M2MwNGRhODk4ZjM0ZWM5YjZlMDk5M2I4YjQiLCJ1c2VySWQiOiIxNjU1OTQ5OTg4In0=</vt:lpwstr>
  </property>
</Properties>
</file>